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2A" w:rsidRDefault="00F33257" w:rsidP="00D347FA">
      <w:pPr>
        <w:rPr>
          <w:rFonts w:ascii="Arial" w:hAnsi="Arial" w:cs="Arial"/>
          <w:color w:val="000000"/>
          <w:sz w:val="20"/>
          <w:szCs w:val="20"/>
          <w:shd w:val="clear" w:color="auto" w:fill="FFFFFF"/>
        </w:rPr>
      </w:pPr>
      <w:bookmarkStart w:id="0" w:name="_GoBack"/>
      <w:bookmarkEnd w:id="0"/>
      <w:r w:rsidRPr="00D347FA">
        <w:rPr>
          <w:rFonts w:ascii="Arial" w:hAnsi="Arial" w:cs="Arial"/>
          <w:b/>
          <w:bCs/>
          <w:color w:val="000000"/>
          <w:sz w:val="20"/>
          <w:szCs w:val="20"/>
          <w:shd w:val="clear" w:color="auto" w:fill="FFFFFF"/>
        </w:rPr>
        <w:t>Box 1</w:t>
      </w:r>
      <w:r>
        <w:rPr>
          <w:rFonts w:ascii="Arial" w:hAnsi="Arial" w:cs="Arial"/>
          <w:color w:val="000000"/>
          <w:sz w:val="20"/>
          <w:szCs w:val="20"/>
          <w:shd w:val="clear" w:color="auto" w:fill="FFFFFF"/>
        </w:rPr>
        <w:t>.: Demons</w:t>
      </w:r>
      <w:r w:rsidR="00D347FA">
        <w:rPr>
          <w:rFonts w:ascii="Arial" w:hAnsi="Arial" w:cs="Arial"/>
          <w:color w:val="000000"/>
          <w:sz w:val="20"/>
          <w:szCs w:val="20"/>
          <w:shd w:val="clear" w:color="auto" w:fill="FFFFFF"/>
        </w:rPr>
        <w:t>tration of search strategy for CENTRAL for the topic ‘mother-to-child-transmission for HIV infected mothers receiving ART and infant feeding’</w:t>
      </w:r>
    </w:p>
    <w:p w:rsidR="00F33257" w:rsidRDefault="00F33257" w:rsidP="00E65A2A">
      <w:pPr>
        <w:rPr>
          <w:rFonts w:ascii="Arial" w:hAnsi="Arial" w:cs="Arial"/>
          <w:color w:val="000000"/>
          <w:sz w:val="20"/>
          <w:szCs w:val="20"/>
          <w:shd w:val="clear" w:color="auto" w:fill="FFFFFF"/>
        </w:rPr>
      </w:pPr>
    </w:p>
    <w:p w:rsidR="00F33257" w:rsidRDefault="00F33257" w:rsidP="00E65A2A">
      <w:pPr>
        <w:rPr>
          <w:rFonts w:ascii="Arial" w:hAnsi="Arial" w:cs="Arial"/>
          <w:color w:val="000000"/>
          <w:sz w:val="20"/>
          <w:szCs w:val="20"/>
          <w:shd w:val="clear" w:color="auto" w:fill="FFFFFF"/>
        </w:rPr>
      </w:pPr>
      <w:r w:rsidRPr="00F33257">
        <w:rPr>
          <w:rFonts w:ascii="Arial" w:hAnsi="Arial" w:cs="Arial"/>
          <w:noProof/>
          <w:color w:val="000000"/>
          <w:sz w:val="20"/>
          <w:szCs w:val="20"/>
          <w:shd w:val="clear" w:color="auto" w:fill="FFFFFF"/>
        </w:rPr>
        <mc:AlternateContent>
          <mc:Choice Requires="wps">
            <w:drawing>
              <wp:anchor distT="0" distB="0" distL="114300" distR="114300" simplePos="0" relativeHeight="251659264" behindDoc="0" locked="0" layoutInCell="1" allowOverlap="1" wp14:anchorId="3E9521F5" wp14:editId="7A4484EC">
                <wp:simplePos x="0" y="0"/>
                <wp:positionH relativeFrom="column">
                  <wp:align>center</wp:align>
                </wp:positionH>
                <wp:positionV relativeFrom="paragraph">
                  <wp:posOffset>0</wp:posOffset>
                </wp:positionV>
                <wp:extent cx="5072128" cy="6150633"/>
                <wp:effectExtent l="0" t="0" r="1460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128" cy="6150633"/>
                        </a:xfrm>
                        <a:prstGeom prst="rect">
                          <a:avLst/>
                        </a:prstGeom>
                        <a:solidFill>
                          <a:srgbClr val="FFFFFF"/>
                        </a:solidFill>
                        <a:ln w="9525">
                          <a:solidFill>
                            <a:srgbClr val="000000"/>
                          </a:solidFill>
                          <a:miter lim="800000"/>
                          <a:headEnd/>
                          <a:tailEnd/>
                        </a:ln>
                      </wps:spPr>
                      <wps:txbx>
                        <w:txbxContent>
                          <w:p w:rsidR="00982B6B" w:rsidRDefault="00982B6B" w:rsidP="00D347FA">
                            <w:r>
                              <w:t>1 Maternal</w:t>
                            </w:r>
                          </w:p>
                          <w:p w:rsidR="00982B6B" w:rsidRDefault="00982B6B" w:rsidP="00D347FA">
                            <w:r>
                              <w:t xml:space="preserve">2 </w:t>
                            </w:r>
                            <w:proofErr w:type="gramStart"/>
                            <w:r>
                              <w:t>mother</w:t>
                            </w:r>
                            <w:proofErr w:type="gramEnd"/>
                          </w:p>
                          <w:p w:rsidR="00982B6B" w:rsidRDefault="00982B6B" w:rsidP="00D347FA">
                            <w:r>
                              <w:t>3 #1 OR #2</w:t>
                            </w:r>
                          </w:p>
                          <w:p w:rsidR="00982B6B" w:rsidRDefault="00982B6B" w:rsidP="00D347FA">
                            <w:r>
                              <w:t xml:space="preserve">4 Antiretroviral </w:t>
                            </w:r>
                            <w:proofErr w:type="gramStart"/>
                            <w:r>
                              <w:t>therapy</w:t>
                            </w:r>
                            <w:proofErr w:type="gramEnd"/>
                          </w:p>
                          <w:p w:rsidR="00982B6B" w:rsidRDefault="00982B6B" w:rsidP="00D347FA">
                            <w:r>
                              <w:t>5 Antiretroviral*</w:t>
                            </w:r>
                          </w:p>
                          <w:p w:rsidR="00982B6B" w:rsidRDefault="00982B6B" w:rsidP="00D347FA">
                            <w:r>
                              <w:t>6 ART</w:t>
                            </w:r>
                          </w:p>
                          <w:p w:rsidR="00982B6B" w:rsidRDefault="00982B6B" w:rsidP="00D347FA">
                            <w:r>
                              <w:t>7 HAART</w:t>
                            </w:r>
                          </w:p>
                          <w:p w:rsidR="00982B6B" w:rsidRDefault="00982B6B" w:rsidP="00D347FA">
                            <w:r>
                              <w:t>8 #4 OR #5 OR #6 OR #7</w:t>
                            </w:r>
                          </w:p>
                          <w:p w:rsidR="00982B6B" w:rsidRDefault="00982B6B" w:rsidP="00D347FA">
                            <w:r>
                              <w:t>9 HIV</w:t>
                            </w:r>
                          </w:p>
                          <w:p w:rsidR="00982B6B" w:rsidRDefault="00982B6B" w:rsidP="00D347FA">
                            <w:r>
                              <w:t xml:space="preserve">10 </w:t>
                            </w:r>
                            <w:proofErr w:type="spellStart"/>
                            <w:r>
                              <w:t>Transmi</w:t>
                            </w:r>
                            <w:proofErr w:type="spellEnd"/>
                            <w:r>
                              <w:t>*</w:t>
                            </w:r>
                          </w:p>
                          <w:p w:rsidR="00982B6B" w:rsidRDefault="00982B6B" w:rsidP="00D347FA">
                            <w:r>
                              <w:t xml:space="preserve">11 </w:t>
                            </w:r>
                            <w:proofErr w:type="spellStart"/>
                            <w:r>
                              <w:t>Infec</w:t>
                            </w:r>
                            <w:proofErr w:type="spellEnd"/>
                            <w:r>
                              <w:t>*</w:t>
                            </w:r>
                          </w:p>
                          <w:p w:rsidR="00982B6B" w:rsidRDefault="00982B6B" w:rsidP="00D347FA">
                            <w:r>
                              <w:t>12 #9 OR #10 OR #11</w:t>
                            </w:r>
                          </w:p>
                          <w:p w:rsidR="00982B6B" w:rsidRDefault="00982B6B" w:rsidP="00D347FA">
                            <w:r>
                              <w:t xml:space="preserve">13 Breastfeeding </w:t>
                            </w:r>
                          </w:p>
                          <w:p w:rsidR="00982B6B" w:rsidRDefault="00982B6B" w:rsidP="00D347FA">
                            <w:r>
                              <w:t xml:space="preserve">14 Postnatal </w:t>
                            </w:r>
                          </w:p>
                          <w:p w:rsidR="00982B6B" w:rsidRDefault="00982B6B" w:rsidP="00D347FA">
                            <w:r>
                              <w:t>15 Breast*</w:t>
                            </w:r>
                          </w:p>
                          <w:p w:rsidR="00982B6B" w:rsidRDefault="00982B6B" w:rsidP="00D347FA">
                            <w:r>
                              <w:t>16 Feed*</w:t>
                            </w:r>
                          </w:p>
                          <w:p w:rsidR="00982B6B" w:rsidRDefault="00982B6B" w:rsidP="00D347FA">
                            <w:r>
                              <w:t>17 Mixed</w:t>
                            </w:r>
                          </w:p>
                          <w:p w:rsidR="00982B6B" w:rsidRDefault="00982B6B" w:rsidP="00D347FA">
                            <w:r>
                              <w:t>18 #13 OR #14 OR #15 OR #16 OR #17</w:t>
                            </w:r>
                          </w:p>
                          <w:p w:rsidR="00982B6B" w:rsidRDefault="00982B6B" w:rsidP="00D347FA">
                            <w:r>
                              <w:t>19 #3 AND #8 AND #12 AND #18</w:t>
                            </w:r>
                          </w:p>
                          <w:p w:rsidR="00982B6B" w:rsidRDefault="00982B6B" w:rsidP="00D347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99.4pt;height:484.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">
                <v:textbox>
                  <w:txbxContent>
                    <w:p w:rsidR="00982B6B" w:rsidRDefault="00982B6B" w:rsidP="00D347FA">
                      <w:r>
                        <w:t>1 Maternal</w:t>
                      </w:r>
                    </w:p>
                    <w:p w:rsidR="00982B6B" w:rsidRDefault="00982B6B" w:rsidP="00D347FA">
                      <w:r>
                        <w:t xml:space="preserve">2 </w:t>
                      </w:r>
                      <w:proofErr w:type="gramStart"/>
                      <w:r>
                        <w:t>mother</w:t>
                      </w:r>
                      <w:proofErr w:type="gramEnd"/>
                    </w:p>
                    <w:p w:rsidR="00982B6B" w:rsidRDefault="00982B6B" w:rsidP="00D347FA">
                      <w:r>
                        <w:t>3 #1 OR #2</w:t>
                      </w:r>
                    </w:p>
                    <w:p w:rsidR="00982B6B" w:rsidRDefault="00982B6B" w:rsidP="00D347FA">
                      <w:r>
                        <w:t xml:space="preserve">4 Antiretroviral </w:t>
                      </w:r>
                      <w:proofErr w:type="gramStart"/>
                      <w:r>
                        <w:t>therapy</w:t>
                      </w:r>
                      <w:proofErr w:type="gramEnd"/>
                    </w:p>
                    <w:p w:rsidR="00982B6B" w:rsidRDefault="00982B6B" w:rsidP="00D347FA">
                      <w:r>
                        <w:t>5 Antiretroviral*</w:t>
                      </w:r>
                    </w:p>
                    <w:p w:rsidR="00982B6B" w:rsidRDefault="00982B6B" w:rsidP="00D347FA">
                      <w:r>
                        <w:t>6 ART</w:t>
                      </w:r>
                    </w:p>
                    <w:p w:rsidR="00982B6B" w:rsidRDefault="00982B6B" w:rsidP="00D347FA">
                      <w:r>
                        <w:t>7 HAART</w:t>
                      </w:r>
                    </w:p>
                    <w:p w:rsidR="00982B6B" w:rsidRDefault="00982B6B" w:rsidP="00D347FA">
                      <w:r>
                        <w:t>8 #4 OR #5 OR #6 OR #7</w:t>
                      </w:r>
                    </w:p>
                    <w:p w:rsidR="00982B6B" w:rsidRDefault="00982B6B" w:rsidP="00D347FA">
                      <w:r>
                        <w:t>9 HIV</w:t>
                      </w:r>
                    </w:p>
                    <w:p w:rsidR="00982B6B" w:rsidRDefault="00982B6B" w:rsidP="00D347FA">
                      <w:r>
                        <w:t xml:space="preserve">10 </w:t>
                      </w:r>
                      <w:proofErr w:type="spellStart"/>
                      <w:r>
                        <w:t>Transmi</w:t>
                      </w:r>
                      <w:proofErr w:type="spellEnd"/>
                      <w:r>
                        <w:t>*</w:t>
                      </w:r>
                    </w:p>
                    <w:p w:rsidR="00982B6B" w:rsidRDefault="00982B6B" w:rsidP="00D347FA">
                      <w:r>
                        <w:t xml:space="preserve">11 </w:t>
                      </w:r>
                      <w:proofErr w:type="spellStart"/>
                      <w:r>
                        <w:t>Infec</w:t>
                      </w:r>
                      <w:proofErr w:type="spellEnd"/>
                      <w:r>
                        <w:t>*</w:t>
                      </w:r>
                    </w:p>
                    <w:p w:rsidR="00982B6B" w:rsidRDefault="00982B6B" w:rsidP="00D347FA">
                      <w:r>
                        <w:t>12 #9 OR #10 OR #11</w:t>
                      </w:r>
                    </w:p>
                    <w:p w:rsidR="00982B6B" w:rsidRDefault="00982B6B" w:rsidP="00D347FA">
                      <w:r>
                        <w:t xml:space="preserve">13 Breastfeeding </w:t>
                      </w:r>
                    </w:p>
                    <w:p w:rsidR="00982B6B" w:rsidRDefault="00982B6B" w:rsidP="00D347FA">
                      <w:r>
                        <w:t xml:space="preserve">14 Postnatal </w:t>
                      </w:r>
                    </w:p>
                    <w:p w:rsidR="00982B6B" w:rsidRDefault="00982B6B" w:rsidP="00D347FA">
                      <w:r>
                        <w:t>15 Breast*</w:t>
                      </w:r>
                    </w:p>
                    <w:p w:rsidR="00982B6B" w:rsidRDefault="00982B6B" w:rsidP="00D347FA">
                      <w:r>
                        <w:t>16 Feed*</w:t>
                      </w:r>
                    </w:p>
                    <w:p w:rsidR="00982B6B" w:rsidRDefault="00982B6B" w:rsidP="00D347FA">
                      <w:r>
                        <w:t>17 Mixed</w:t>
                      </w:r>
                    </w:p>
                    <w:p w:rsidR="00982B6B" w:rsidRDefault="00982B6B" w:rsidP="00D347FA">
                      <w:r>
                        <w:t>18 #13 OR #14 OR #15 OR #16 OR #17</w:t>
                      </w:r>
                    </w:p>
                    <w:p w:rsidR="00982B6B" w:rsidRDefault="00982B6B" w:rsidP="00D347FA">
                      <w:r>
                        <w:t>19 #3 AND #8 AND #12 AND #18</w:t>
                      </w:r>
                    </w:p>
                    <w:p w:rsidR="00982B6B" w:rsidRDefault="00982B6B" w:rsidP="00D347FA"/>
                  </w:txbxContent>
                </v:textbox>
              </v:shape>
            </w:pict>
          </mc:Fallback>
        </mc:AlternateContent>
      </w:r>
    </w:p>
    <w:p w:rsidR="00F33257" w:rsidRDefault="00F33257" w:rsidP="00E65A2A">
      <w:pPr>
        <w:rPr>
          <w:rFonts w:ascii="Arial" w:hAnsi="Arial" w:cs="Arial"/>
          <w:color w:val="000000"/>
          <w:sz w:val="20"/>
          <w:szCs w:val="20"/>
          <w:shd w:val="clear" w:color="auto" w:fill="FFFFFF"/>
        </w:rPr>
      </w:pPr>
    </w:p>
    <w:p w:rsidR="00F33257" w:rsidRDefault="00F33257" w:rsidP="00E65A2A">
      <w:pPr>
        <w:rPr>
          <w:rFonts w:ascii="Arial" w:hAnsi="Arial" w:cs="Arial"/>
          <w:color w:val="000000"/>
          <w:sz w:val="20"/>
          <w:szCs w:val="20"/>
          <w:shd w:val="clear" w:color="auto" w:fill="FFFFFF"/>
        </w:rPr>
      </w:pPr>
    </w:p>
    <w:p w:rsidR="00F33257" w:rsidRDefault="00F33257" w:rsidP="00E65A2A">
      <w:pPr>
        <w:rPr>
          <w:rFonts w:ascii="Arial" w:hAnsi="Arial" w:cs="Arial"/>
          <w:color w:val="000000"/>
          <w:sz w:val="20"/>
          <w:szCs w:val="20"/>
          <w:shd w:val="clear" w:color="auto" w:fill="FFFFFF"/>
        </w:rPr>
      </w:pPr>
    </w:p>
    <w:p w:rsidR="00F33257" w:rsidRDefault="00F33257" w:rsidP="00E65A2A">
      <w:pPr>
        <w:rPr>
          <w:rFonts w:ascii="Arial" w:hAnsi="Arial" w:cs="Arial"/>
          <w:color w:val="000000"/>
          <w:sz w:val="20"/>
          <w:szCs w:val="20"/>
          <w:shd w:val="clear" w:color="auto" w:fill="FFFFFF"/>
        </w:rPr>
      </w:pPr>
    </w:p>
    <w:p w:rsidR="00F33257" w:rsidRDefault="00F33257" w:rsidP="00E65A2A">
      <w:pPr>
        <w:rPr>
          <w:rFonts w:ascii="Arial" w:hAnsi="Arial" w:cs="Arial"/>
          <w:color w:val="000000"/>
          <w:sz w:val="20"/>
          <w:szCs w:val="20"/>
          <w:shd w:val="clear" w:color="auto" w:fill="FFFFFF"/>
        </w:rPr>
      </w:pPr>
    </w:p>
    <w:p w:rsidR="00F33257" w:rsidRDefault="00F33257" w:rsidP="00E65A2A">
      <w:pPr>
        <w:rPr>
          <w:rFonts w:ascii="Arial" w:hAnsi="Arial" w:cs="Arial"/>
          <w:color w:val="000000"/>
          <w:sz w:val="20"/>
          <w:szCs w:val="20"/>
          <w:shd w:val="clear" w:color="auto" w:fill="FFFFFF"/>
        </w:rPr>
      </w:pPr>
    </w:p>
    <w:p w:rsidR="00D347FA" w:rsidRDefault="00D347FA" w:rsidP="00E65A2A">
      <w:pPr>
        <w:rPr>
          <w:rFonts w:ascii="Arial" w:hAnsi="Arial" w:cs="Arial"/>
          <w:color w:val="000000"/>
          <w:sz w:val="20"/>
          <w:szCs w:val="20"/>
          <w:shd w:val="clear" w:color="auto" w:fill="FFFFFF"/>
        </w:rPr>
      </w:pPr>
    </w:p>
    <w:p w:rsidR="00D347FA" w:rsidRDefault="00D347FA" w:rsidP="00E65A2A">
      <w:pPr>
        <w:rPr>
          <w:rFonts w:ascii="Arial" w:hAnsi="Arial" w:cs="Arial"/>
          <w:color w:val="000000"/>
          <w:sz w:val="20"/>
          <w:szCs w:val="20"/>
          <w:shd w:val="clear" w:color="auto" w:fill="FFFFFF"/>
        </w:rPr>
      </w:pPr>
    </w:p>
    <w:p w:rsidR="00D347FA" w:rsidRDefault="00D347FA" w:rsidP="00E65A2A">
      <w:pPr>
        <w:rPr>
          <w:rFonts w:ascii="Arial" w:hAnsi="Arial" w:cs="Arial"/>
          <w:color w:val="000000"/>
          <w:sz w:val="20"/>
          <w:szCs w:val="20"/>
          <w:shd w:val="clear" w:color="auto" w:fill="FFFFFF"/>
        </w:rPr>
      </w:pPr>
    </w:p>
    <w:p w:rsidR="00D347FA" w:rsidRDefault="00D347FA" w:rsidP="00E65A2A">
      <w:pPr>
        <w:rPr>
          <w:rFonts w:ascii="Arial" w:hAnsi="Arial" w:cs="Arial"/>
          <w:color w:val="000000"/>
          <w:sz w:val="20"/>
          <w:szCs w:val="20"/>
          <w:shd w:val="clear" w:color="auto" w:fill="FFFFFF"/>
        </w:rPr>
      </w:pPr>
    </w:p>
    <w:p w:rsidR="00D347FA" w:rsidRDefault="00D347FA" w:rsidP="00E65A2A">
      <w:pPr>
        <w:rPr>
          <w:rFonts w:ascii="Arial" w:hAnsi="Arial" w:cs="Arial"/>
          <w:color w:val="000000"/>
          <w:sz w:val="20"/>
          <w:szCs w:val="20"/>
          <w:shd w:val="clear" w:color="auto" w:fill="FFFFFF"/>
        </w:rPr>
      </w:pPr>
    </w:p>
    <w:p w:rsidR="00D347FA" w:rsidRDefault="00D347FA" w:rsidP="00E65A2A">
      <w:pPr>
        <w:rPr>
          <w:rFonts w:ascii="Arial" w:hAnsi="Arial" w:cs="Arial"/>
          <w:color w:val="000000"/>
          <w:sz w:val="20"/>
          <w:szCs w:val="20"/>
          <w:shd w:val="clear" w:color="auto" w:fill="FFFFFF"/>
        </w:rPr>
      </w:pPr>
    </w:p>
    <w:p w:rsidR="00D347FA" w:rsidRDefault="00D347FA" w:rsidP="00E65A2A">
      <w:pPr>
        <w:rPr>
          <w:rFonts w:ascii="Arial" w:hAnsi="Arial" w:cs="Arial"/>
          <w:color w:val="000000"/>
          <w:sz w:val="20"/>
          <w:szCs w:val="20"/>
          <w:shd w:val="clear" w:color="auto" w:fill="FFFFFF"/>
        </w:rPr>
      </w:pPr>
    </w:p>
    <w:p w:rsidR="00D347FA" w:rsidRDefault="00D347FA" w:rsidP="00E65A2A">
      <w:pPr>
        <w:rPr>
          <w:rFonts w:ascii="Arial" w:hAnsi="Arial" w:cs="Arial"/>
          <w:color w:val="000000"/>
          <w:sz w:val="20"/>
          <w:szCs w:val="20"/>
          <w:shd w:val="clear" w:color="auto" w:fill="FFFFFF"/>
        </w:rPr>
      </w:pPr>
    </w:p>
    <w:p w:rsidR="00E65A2A" w:rsidRDefault="00E65A2A" w:rsidP="00235D57">
      <w:pPr>
        <w:pStyle w:val="Caption"/>
        <w:keepNext/>
        <w:rPr>
          <w:rFonts w:asciiTheme="majorBidi" w:hAnsiTheme="majorBidi" w:cstheme="majorBidi"/>
          <w:color w:val="auto"/>
          <w:sz w:val="20"/>
          <w:szCs w:val="20"/>
        </w:rPr>
        <w:sectPr w:rsidR="00E65A2A" w:rsidSect="00E65A2A">
          <w:pgSz w:w="11906" w:h="16838"/>
          <w:pgMar w:top="1440" w:right="1440" w:bottom="1440" w:left="1440" w:header="709" w:footer="709" w:gutter="0"/>
          <w:cols w:space="708"/>
          <w:docGrid w:linePitch="360"/>
        </w:sectPr>
      </w:pPr>
    </w:p>
    <w:p w:rsidR="00235D57" w:rsidRPr="003B09C7" w:rsidRDefault="00235D57" w:rsidP="00235D57">
      <w:pPr>
        <w:pStyle w:val="Caption"/>
        <w:keepNext/>
        <w:rPr>
          <w:rFonts w:asciiTheme="majorBidi" w:hAnsiTheme="majorBidi" w:cstheme="majorBidi"/>
          <w:color w:val="auto"/>
          <w:sz w:val="20"/>
          <w:szCs w:val="20"/>
        </w:rPr>
      </w:pPr>
      <w:proofErr w:type="gramStart"/>
      <w:r w:rsidRPr="003B09C7">
        <w:rPr>
          <w:rFonts w:asciiTheme="majorBidi" w:hAnsiTheme="majorBidi" w:cstheme="majorBidi"/>
          <w:color w:val="auto"/>
          <w:sz w:val="20"/>
          <w:szCs w:val="20"/>
        </w:rPr>
        <w:lastRenderedPageBreak/>
        <w:t>Supplementary Table 1</w:t>
      </w:r>
      <w:r w:rsidR="003B09C7" w:rsidRPr="003B09C7">
        <w:rPr>
          <w:rFonts w:asciiTheme="majorBidi" w:hAnsiTheme="majorBidi" w:cstheme="majorBidi"/>
          <w:color w:val="auto"/>
          <w:sz w:val="20"/>
          <w:szCs w:val="20"/>
        </w:rPr>
        <w:t>.</w:t>
      </w:r>
      <w:proofErr w:type="gramEnd"/>
      <w:r w:rsidRPr="003B09C7">
        <w:rPr>
          <w:rFonts w:asciiTheme="majorBidi" w:hAnsiTheme="majorBidi" w:cstheme="majorBidi"/>
          <w:b w:val="0"/>
          <w:bCs w:val="0"/>
          <w:color w:val="auto"/>
          <w:sz w:val="20"/>
          <w:szCs w:val="20"/>
        </w:rPr>
        <w:t xml:space="preserve"> </w:t>
      </w:r>
      <w:r w:rsidRPr="003B09C7">
        <w:rPr>
          <w:rFonts w:asciiTheme="majorBidi" w:hAnsiTheme="majorBidi" w:cstheme="majorBidi"/>
          <w:color w:val="auto"/>
          <w:sz w:val="20"/>
          <w:szCs w:val="20"/>
        </w:rPr>
        <w:t xml:space="preserve">Included papers: Descriptive information of studies providing information on breastfeeding and ART </w:t>
      </w:r>
    </w:p>
    <w:tbl>
      <w:tblPr>
        <w:tblStyle w:val="TableGrid"/>
        <w:tblpPr w:leftFromText="180" w:rightFromText="180" w:horzAnchor="margin" w:tblpY="615"/>
        <w:tblW w:w="13155" w:type="dxa"/>
        <w:tblLayout w:type="fixed"/>
        <w:tblLook w:val="04A0" w:firstRow="1" w:lastRow="0" w:firstColumn="1" w:lastColumn="0" w:noHBand="0" w:noVBand="1"/>
      </w:tblPr>
      <w:tblGrid>
        <w:gridCol w:w="1381"/>
        <w:gridCol w:w="143"/>
        <w:gridCol w:w="1412"/>
        <w:gridCol w:w="992"/>
        <w:gridCol w:w="1139"/>
        <w:gridCol w:w="993"/>
        <w:gridCol w:w="1416"/>
        <w:gridCol w:w="993"/>
        <w:gridCol w:w="1135"/>
        <w:gridCol w:w="565"/>
        <w:gridCol w:w="1139"/>
        <w:gridCol w:w="1847"/>
      </w:tblGrid>
      <w:tr w:rsidR="00235D57" w:rsidTr="003B09C7">
        <w:trPr>
          <w:trHeight w:val="420"/>
        </w:trPr>
        <w:tc>
          <w:tcPr>
            <w:tcW w:w="13155" w:type="dxa"/>
            <w:gridSpan w:val="1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235D57" w:rsidRPr="003B09C7" w:rsidRDefault="00235D57" w:rsidP="00982B6B">
            <w:pPr>
              <w:jc w:val="center"/>
              <w:rPr>
                <w:rFonts w:asciiTheme="majorBidi" w:hAnsiTheme="majorBidi" w:cstheme="majorBidi"/>
                <w:b/>
                <w:bCs/>
                <w:color w:val="FFFFFF" w:themeColor="background1"/>
                <w:sz w:val="16"/>
                <w:szCs w:val="16"/>
              </w:rPr>
            </w:pPr>
          </w:p>
          <w:p w:rsidR="00235D57" w:rsidRPr="003B09C7" w:rsidRDefault="00235D57" w:rsidP="00982B6B">
            <w:pPr>
              <w:jc w:val="center"/>
              <w:rPr>
                <w:rFonts w:asciiTheme="majorBidi" w:hAnsiTheme="majorBidi" w:cstheme="majorBidi"/>
                <w:b/>
                <w:bCs/>
                <w:sz w:val="20"/>
                <w:szCs w:val="20"/>
              </w:rPr>
            </w:pPr>
            <w:r w:rsidRPr="003B09C7">
              <w:rPr>
                <w:rFonts w:asciiTheme="majorBidi" w:hAnsiTheme="majorBidi" w:cstheme="majorBidi"/>
                <w:b/>
                <w:bCs/>
                <w:color w:val="FFFFFF" w:themeColor="background1"/>
                <w:sz w:val="16"/>
                <w:szCs w:val="16"/>
              </w:rPr>
              <w:t>Cohorts embedded on RCTs</w:t>
            </w:r>
          </w:p>
        </w:tc>
      </w:tr>
      <w:tr w:rsidR="00235D57" w:rsidTr="003B09C7">
        <w:trPr>
          <w:trHeight w:val="225"/>
        </w:trPr>
        <w:tc>
          <w:tcPr>
            <w:tcW w:w="1526" w:type="dxa"/>
            <w:gridSpan w:val="2"/>
            <w:vMerge w:val="restar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First Author/Study</w:t>
            </w:r>
          </w:p>
        </w:tc>
        <w:tc>
          <w:tcPr>
            <w:tcW w:w="1413" w:type="dxa"/>
            <w:vMerge w:val="restart"/>
            <w:tcBorders>
              <w:top w:val="single" w:sz="4" w:space="0" w:color="auto"/>
              <w:left w:val="nil"/>
              <w:bottom w:val="single" w:sz="4" w:space="0" w:color="auto"/>
              <w:right w:val="nil"/>
            </w:tcBorders>
            <w:shd w:val="clear" w:color="auto" w:fill="F2F2F2" w:themeFill="background1" w:themeFillShade="F2"/>
            <w:vAlign w:val="center"/>
            <w:hideMark/>
          </w:tcPr>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Place of study</w:t>
            </w:r>
          </w:p>
        </w:tc>
        <w:tc>
          <w:tcPr>
            <w:tcW w:w="2131" w:type="dxa"/>
            <w:gridSpan w:val="2"/>
            <w:tcBorders>
              <w:top w:val="single" w:sz="4" w:space="0" w:color="auto"/>
              <w:left w:val="nil"/>
              <w:bottom w:val="single" w:sz="4" w:space="0" w:color="auto"/>
              <w:right w:val="nil"/>
            </w:tcBorders>
            <w:shd w:val="clear" w:color="auto" w:fill="F2F2F2" w:themeFill="background1" w:themeFillShade="F2"/>
            <w:hideMark/>
          </w:tcPr>
          <w:p w:rsidR="00235D57" w:rsidRPr="003B09C7" w:rsidRDefault="00235D57" w:rsidP="00982B6B">
            <w:pPr>
              <w:rPr>
                <w:rFonts w:asciiTheme="majorBidi" w:hAnsiTheme="majorBidi" w:cstheme="majorBidi"/>
                <w:b/>
                <w:bCs/>
                <w:sz w:val="16"/>
                <w:szCs w:val="16"/>
              </w:rPr>
            </w:pPr>
            <w:r w:rsidRPr="003B09C7">
              <w:rPr>
                <w:rFonts w:asciiTheme="majorBidi" w:hAnsiTheme="majorBidi" w:cstheme="majorBidi"/>
                <w:b/>
                <w:bCs/>
                <w:sz w:val="16"/>
                <w:szCs w:val="16"/>
              </w:rPr>
              <w:t>Randomised for</w:t>
            </w:r>
          </w:p>
        </w:tc>
        <w:tc>
          <w:tcPr>
            <w:tcW w:w="993" w:type="dxa"/>
            <w:vMerge w:val="restart"/>
            <w:tcBorders>
              <w:top w:val="nil"/>
              <w:left w:val="nil"/>
              <w:bottom w:val="single" w:sz="4" w:space="0" w:color="auto"/>
              <w:right w:val="nil"/>
            </w:tcBorders>
            <w:shd w:val="clear" w:color="auto" w:fill="F2F2F2" w:themeFill="background1" w:themeFillShade="F2"/>
          </w:tcPr>
          <w:p w:rsidR="00235D57" w:rsidRPr="003B09C7" w:rsidRDefault="00235D57" w:rsidP="00982B6B">
            <w:pPr>
              <w:rPr>
                <w:rFonts w:asciiTheme="majorBidi" w:hAnsiTheme="majorBidi" w:cstheme="majorBidi"/>
                <w:b/>
                <w:bCs/>
                <w:sz w:val="16"/>
                <w:szCs w:val="16"/>
              </w:rPr>
            </w:pPr>
          </w:p>
          <w:p w:rsidR="00235D57" w:rsidRPr="003B09C7" w:rsidRDefault="00235D57" w:rsidP="00982B6B">
            <w:pPr>
              <w:rPr>
                <w:rFonts w:asciiTheme="majorBidi" w:hAnsiTheme="majorBidi" w:cstheme="majorBidi"/>
                <w:b/>
                <w:bCs/>
                <w:sz w:val="16"/>
                <w:szCs w:val="16"/>
              </w:rPr>
            </w:pPr>
            <w:r w:rsidRPr="003B09C7">
              <w:rPr>
                <w:rFonts w:asciiTheme="majorBidi" w:hAnsiTheme="majorBidi" w:cstheme="majorBidi"/>
                <w:b/>
                <w:bCs/>
                <w:sz w:val="16"/>
                <w:szCs w:val="16"/>
              </w:rPr>
              <w:t xml:space="preserve">Feeding </w:t>
            </w:r>
          </w:p>
        </w:tc>
        <w:tc>
          <w:tcPr>
            <w:tcW w:w="1417" w:type="dxa"/>
            <w:vMerge w:val="restart"/>
            <w:tcBorders>
              <w:top w:val="single" w:sz="4" w:space="0" w:color="auto"/>
              <w:left w:val="nil"/>
              <w:bottom w:val="single" w:sz="4" w:space="0" w:color="auto"/>
              <w:right w:val="nil"/>
            </w:tcBorders>
            <w:shd w:val="clear" w:color="auto" w:fill="F2F2F2" w:themeFill="background1" w:themeFillShade="F2"/>
            <w:vAlign w:val="center"/>
            <w:hideMark/>
          </w:tcPr>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Beginning/ end ART</w:t>
            </w:r>
          </w:p>
        </w:tc>
        <w:tc>
          <w:tcPr>
            <w:tcW w:w="993" w:type="dxa"/>
            <w:vMerge w:val="restart"/>
            <w:tcBorders>
              <w:top w:val="single" w:sz="4" w:space="0" w:color="auto"/>
              <w:left w:val="nil"/>
              <w:bottom w:val="single" w:sz="4" w:space="0" w:color="auto"/>
              <w:right w:val="nil"/>
            </w:tcBorders>
            <w:shd w:val="clear" w:color="auto" w:fill="F2F2F2" w:themeFill="background1" w:themeFillShade="F2"/>
            <w:vAlign w:val="center"/>
            <w:hideMark/>
          </w:tcPr>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Breast-</w:t>
            </w:r>
          </w:p>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feeding duration</w:t>
            </w:r>
          </w:p>
        </w:tc>
        <w:tc>
          <w:tcPr>
            <w:tcW w:w="1135" w:type="dxa"/>
            <w:vMerge w:val="restart"/>
            <w:tcBorders>
              <w:top w:val="single" w:sz="4" w:space="0" w:color="auto"/>
              <w:left w:val="nil"/>
              <w:bottom w:val="single" w:sz="4" w:space="0" w:color="auto"/>
              <w:right w:val="nil"/>
            </w:tcBorders>
            <w:shd w:val="clear" w:color="auto" w:fill="F2F2F2" w:themeFill="background1" w:themeFillShade="F2"/>
            <w:vAlign w:val="center"/>
            <w:hideMark/>
          </w:tcPr>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Time evaluation</w:t>
            </w:r>
          </w:p>
        </w:tc>
        <w:tc>
          <w:tcPr>
            <w:tcW w:w="565" w:type="dxa"/>
            <w:vMerge w:val="restart"/>
            <w:tcBorders>
              <w:top w:val="single" w:sz="4" w:space="0" w:color="auto"/>
              <w:left w:val="nil"/>
              <w:bottom w:val="single" w:sz="4" w:space="0" w:color="auto"/>
              <w:right w:val="nil"/>
            </w:tcBorders>
            <w:shd w:val="clear" w:color="auto" w:fill="F2F2F2" w:themeFill="background1" w:themeFillShade="F2"/>
            <w:vAlign w:val="center"/>
            <w:hideMark/>
          </w:tcPr>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N</w:t>
            </w:r>
          </w:p>
        </w:tc>
        <w:tc>
          <w:tcPr>
            <w:tcW w:w="2982" w:type="dxa"/>
            <w:gridSpan w:val="2"/>
            <w:tcBorders>
              <w:top w:val="single" w:sz="4" w:space="0" w:color="auto"/>
              <w:left w:val="nil"/>
              <w:bottom w:val="single" w:sz="4" w:space="0" w:color="auto"/>
              <w:right w:val="single" w:sz="4" w:space="0" w:color="auto"/>
            </w:tcBorders>
            <w:shd w:val="clear" w:color="auto" w:fill="F2F2F2" w:themeFill="background1" w:themeFillShade="F2"/>
            <w:hideMark/>
          </w:tcPr>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Extracted information</w:t>
            </w:r>
          </w:p>
        </w:tc>
      </w:tr>
      <w:tr w:rsidR="00235D57" w:rsidTr="004B39AE">
        <w:trPr>
          <w:trHeight w:val="340"/>
        </w:trPr>
        <w:tc>
          <w:tcPr>
            <w:tcW w:w="1526" w:type="dxa"/>
            <w:gridSpan w:val="2"/>
            <w:vMerge/>
            <w:tcBorders>
              <w:top w:val="single" w:sz="4" w:space="0" w:color="auto"/>
              <w:left w:val="single" w:sz="4" w:space="0" w:color="auto"/>
              <w:bottom w:val="single" w:sz="4" w:space="0" w:color="auto"/>
              <w:right w:val="nil"/>
            </w:tcBorders>
            <w:vAlign w:val="center"/>
            <w:hideMark/>
          </w:tcPr>
          <w:p w:rsidR="00235D57" w:rsidRPr="003B09C7" w:rsidRDefault="00235D57" w:rsidP="00982B6B">
            <w:pPr>
              <w:rPr>
                <w:rFonts w:asciiTheme="majorBidi" w:hAnsiTheme="majorBidi" w:cstheme="majorBidi"/>
                <w:b/>
                <w:bCs/>
                <w:sz w:val="16"/>
                <w:szCs w:val="16"/>
              </w:rPr>
            </w:pPr>
          </w:p>
        </w:tc>
        <w:tc>
          <w:tcPr>
            <w:tcW w:w="1413" w:type="dxa"/>
            <w:vMerge/>
            <w:tcBorders>
              <w:top w:val="single" w:sz="4" w:space="0" w:color="auto"/>
              <w:left w:val="nil"/>
              <w:bottom w:val="single" w:sz="4" w:space="0" w:color="auto"/>
              <w:right w:val="nil"/>
            </w:tcBorders>
            <w:vAlign w:val="center"/>
            <w:hideMark/>
          </w:tcPr>
          <w:p w:rsidR="00235D57" w:rsidRPr="003B09C7" w:rsidRDefault="00235D57" w:rsidP="00982B6B">
            <w:pPr>
              <w:rPr>
                <w:rFonts w:asciiTheme="majorBidi" w:hAnsiTheme="majorBidi" w:cstheme="majorBidi"/>
                <w:b/>
                <w:bCs/>
                <w:sz w:val="16"/>
                <w:szCs w:val="16"/>
              </w:rPr>
            </w:pPr>
          </w:p>
        </w:tc>
        <w:tc>
          <w:tcPr>
            <w:tcW w:w="992" w:type="dxa"/>
            <w:tcBorders>
              <w:top w:val="single" w:sz="4" w:space="0" w:color="auto"/>
              <w:left w:val="nil"/>
              <w:bottom w:val="single" w:sz="4" w:space="0" w:color="auto"/>
              <w:right w:val="nil"/>
            </w:tcBorders>
            <w:shd w:val="clear" w:color="auto" w:fill="F2F2F2" w:themeFill="background1" w:themeFillShade="F2"/>
            <w:hideMark/>
          </w:tcPr>
          <w:p w:rsidR="00235D57" w:rsidRPr="003B09C7" w:rsidRDefault="00235D57" w:rsidP="00982B6B">
            <w:pPr>
              <w:rPr>
                <w:rFonts w:asciiTheme="majorBidi" w:hAnsiTheme="majorBidi" w:cstheme="majorBidi"/>
                <w:b/>
                <w:bCs/>
                <w:sz w:val="16"/>
                <w:szCs w:val="16"/>
              </w:rPr>
            </w:pPr>
            <w:r w:rsidRPr="003B09C7">
              <w:rPr>
                <w:rFonts w:asciiTheme="majorBidi" w:hAnsiTheme="majorBidi" w:cstheme="majorBidi"/>
                <w:b/>
                <w:bCs/>
                <w:sz w:val="16"/>
                <w:szCs w:val="16"/>
              </w:rPr>
              <w:t>ARV</w:t>
            </w:r>
          </w:p>
        </w:tc>
        <w:tc>
          <w:tcPr>
            <w:tcW w:w="1139" w:type="dxa"/>
            <w:tcBorders>
              <w:top w:val="single" w:sz="4" w:space="0" w:color="auto"/>
              <w:left w:val="nil"/>
              <w:bottom w:val="single" w:sz="4" w:space="0" w:color="auto"/>
              <w:right w:val="nil"/>
            </w:tcBorders>
            <w:shd w:val="clear" w:color="auto" w:fill="F2F2F2" w:themeFill="background1" w:themeFillShade="F2"/>
            <w:hideMark/>
          </w:tcPr>
          <w:p w:rsidR="00235D57" w:rsidRPr="003B09C7" w:rsidRDefault="00235D57" w:rsidP="00982B6B">
            <w:pPr>
              <w:rPr>
                <w:rFonts w:asciiTheme="majorBidi" w:hAnsiTheme="majorBidi" w:cstheme="majorBidi"/>
                <w:b/>
                <w:bCs/>
                <w:sz w:val="16"/>
                <w:szCs w:val="16"/>
              </w:rPr>
            </w:pPr>
            <w:r w:rsidRPr="003B09C7">
              <w:rPr>
                <w:rFonts w:asciiTheme="majorBidi" w:hAnsiTheme="majorBidi" w:cstheme="majorBidi"/>
                <w:b/>
                <w:bCs/>
                <w:sz w:val="16"/>
                <w:szCs w:val="16"/>
              </w:rPr>
              <w:t>Other</w:t>
            </w:r>
          </w:p>
        </w:tc>
        <w:tc>
          <w:tcPr>
            <w:tcW w:w="993" w:type="dxa"/>
            <w:vMerge/>
            <w:tcBorders>
              <w:top w:val="nil"/>
              <w:left w:val="nil"/>
              <w:bottom w:val="single" w:sz="4" w:space="0" w:color="auto"/>
              <w:right w:val="nil"/>
            </w:tcBorders>
            <w:vAlign w:val="center"/>
            <w:hideMark/>
          </w:tcPr>
          <w:p w:rsidR="00235D57" w:rsidRPr="003B09C7" w:rsidRDefault="00235D57" w:rsidP="00982B6B">
            <w:pPr>
              <w:rPr>
                <w:rFonts w:asciiTheme="majorBidi" w:hAnsiTheme="majorBidi" w:cstheme="majorBidi"/>
                <w:b/>
                <w:bCs/>
                <w:sz w:val="16"/>
                <w:szCs w:val="16"/>
              </w:rPr>
            </w:pPr>
          </w:p>
        </w:tc>
        <w:tc>
          <w:tcPr>
            <w:tcW w:w="1417" w:type="dxa"/>
            <w:vMerge/>
            <w:tcBorders>
              <w:top w:val="single" w:sz="4" w:space="0" w:color="auto"/>
              <w:left w:val="nil"/>
              <w:bottom w:val="single" w:sz="4" w:space="0" w:color="auto"/>
              <w:right w:val="nil"/>
            </w:tcBorders>
            <w:vAlign w:val="center"/>
            <w:hideMark/>
          </w:tcPr>
          <w:p w:rsidR="00235D57" w:rsidRPr="003B09C7" w:rsidRDefault="00235D57" w:rsidP="00982B6B">
            <w:pPr>
              <w:rPr>
                <w:rFonts w:asciiTheme="majorBidi" w:hAnsiTheme="majorBidi" w:cstheme="majorBidi"/>
                <w:b/>
                <w:bCs/>
                <w:sz w:val="16"/>
                <w:szCs w:val="16"/>
              </w:rPr>
            </w:pPr>
          </w:p>
        </w:tc>
        <w:tc>
          <w:tcPr>
            <w:tcW w:w="993" w:type="dxa"/>
            <w:vMerge/>
            <w:tcBorders>
              <w:top w:val="single" w:sz="4" w:space="0" w:color="auto"/>
              <w:left w:val="nil"/>
              <w:bottom w:val="single" w:sz="4" w:space="0" w:color="auto"/>
              <w:right w:val="nil"/>
            </w:tcBorders>
            <w:vAlign w:val="center"/>
            <w:hideMark/>
          </w:tcPr>
          <w:p w:rsidR="00235D57" w:rsidRPr="003B09C7" w:rsidRDefault="00235D57" w:rsidP="00982B6B">
            <w:pPr>
              <w:rPr>
                <w:rFonts w:asciiTheme="majorBidi" w:hAnsiTheme="majorBidi" w:cstheme="majorBidi"/>
                <w:b/>
                <w:bCs/>
                <w:sz w:val="16"/>
                <w:szCs w:val="16"/>
              </w:rPr>
            </w:pPr>
          </w:p>
        </w:tc>
        <w:tc>
          <w:tcPr>
            <w:tcW w:w="1135" w:type="dxa"/>
            <w:vMerge/>
            <w:tcBorders>
              <w:top w:val="single" w:sz="4" w:space="0" w:color="auto"/>
              <w:left w:val="nil"/>
              <w:bottom w:val="single" w:sz="4" w:space="0" w:color="auto"/>
              <w:right w:val="nil"/>
            </w:tcBorders>
            <w:vAlign w:val="center"/>
            <w:hideMark/>
          </w:tcPr>
          <w:p w:rsidR="00235D57" w:rsidRPr="003B09C7" w:rsidRDefault="00235D57" w:rsidP="00982B6B">
            <w:pPr>
              <w:rPr>
                <w:rFonts w:asciiTheme="majorBidi" w:hAnsiTheme="majorBidi" w:cstheme="majorBidi"/>
                <w:b/>
                <w:bCs/>
                <w:sz w:val="16"/>
                <w:szCs w:val="16"/>
              </w:rPr>
            </w:pPr>
          </w:p>
        </w:tc>
        <w:tc>
          <w:tcPr>
            <w:tcW w:w="565" w:type="dxa"/>
            <w:vMerge/>
            <w:tcBorders>
              <w:top w:val="single" w:sz="4" w:space="0" w:color="auto"/>
              <w:left w:val="nil"/>
              <w:bottom w:val="single" w:sz="4" w:space="0" w:color="auto"/>
              <w:right w:val="nil"/>
            </w:tcBorders>
            <w:vAlign w:val="center"/>
            <w:hideMark/>
          </w:tcPr>
          <w:p w:rsidR="00235D57" w:rsidRPr="003B09C7" w:rsidRDefault="00235D57" w:rsidP="00982B6B">
            <w:pPr>
              <w:rPr>
                <w:rFonts w:asciiTheme="majorBidi" w:hAnsiTheme="majorBidi" w:cstheme="majorBidi"/>
                <w:b/>
                <w:bCs/>
                <w:sz w:val="16"/>
                <w:szCs w:val="16"/>
              </w:rPr>
            </w:pPr>
          </w:p>
        </w:tc>
        <w:tc>
          <w:tcPr>
            <w:tcW w:w="1134" w:type="dxa"/>
            <w:tcBorders>
              <w:top w:val="single" w:sz="4" w:space="0" w:color="auto"/>
              <w:left w:val="nil"/>
              <w:bottom w:val="single" w:sz="4" w:space="0" w:color="auto"/>
              <w:right w:val="nil"/>
            </w:tcBorders>
            <w:shd w:val="clear" w:color="auto" w:fill="F2F2F2" w:themeFill="background1" w:themeFillShade="F2"/>
            <w:hideMark/>
          </w:tcPr>
          <w:p w:rsidR="00235D57" w:rsidRPr="003B09C7" w:rsidRDefault="00235D57" w:rsidP="004B39AE">
            <w:pPr>
              <w:jc w:val="center"/>
              <w:rPr>
                <w:rFonts w:asciiTheme="majorBidi" w:hAnsiTheme="majorBidi" w:cstheme="majorBidi"/>
                <w:b/>
                <w:bCs/>
                <w:sz w:val="16"/>
                <w:szCs w:val="16"/>
              </w:rPr>
            </w:pPr>
            <w:proofErr w:type="spellStart"/>
            <w:r w:rsidRPr="003B09C7">
              <w:rPr>
                <w:rFonts w:asciiTheme="majorBidi" w:hAnsiTheme="majorBidi" w:cstheme="majorBidi"/>
                <w:b/>
                <w:bCs/>
                <w:sz w:val="16"/>
                <w:szCs w:val="16"/>
              </w:rPr>
              <w:t>Transm</w:t>
            </w:r>
            <w:proofErr w:type="spellEnd"/>
            <w:r w:rsidR="004B39AE">
              <w:rPr>
                <w:rFonts w:asciiTheme="majorBidi" w:hAnsiTheme="majorBidi" w:cstheme="majorBidi"/>
                <w:b/>
                <w:bCs/>
                <w:sz w:val="16"/>
                <w:szCs w:val="16"/>
              </w:rPr>
              <w:t>.</w:t>
            </w:r>
            <w:r w:rsidRPr="003B09C7">
              <w:rPr>
                <w:rFonts w:asciiTheme="majorBidi" w:hAnsiTheme="majorBidi" w:cstheme="majorBidi"/>
                <w:b/>
                <w:bCs/>
                <w:sz w:val="16"/>
                <w:szCs w:val="16"/>
              </w:rPr>
              <w:t xml:space="preserve"> 6 </w:t>
            </w:r>
            <w:proofErr w:type="spellStart"/>
            <w:r w:rsidRPr="003B09C7">
              <w:rPr>
                <w:rFonts w:asciiTheme="majorBidi" w:hAnsiTheme="majorBidi" w:cstheme="majorBidi"/>
                <w:b/>
                <w:bCs/>
                <w:sz w:val="16"/>
                <w:szCs w:val="16"/>
              </w:rPr>
              <w:t>mo</w:t>
            </w:r>
            <w:proofErr w:type="spellEnd"/>
          </w:p>
        </w:tc>
        <w:tc>
          <w:tcPr>
            <w:tcW w:w="1848" w:type="dxa"/>
            <w:tcBorders>
              <w:top w:val="single" w:sz="4" w:space="0" w:color="auto"/>
              <w:left w:val="nil"/>
              <w:bottom w:val="single" w:sz="4" w:space="0" w:color="auto"/>
              <w:right w:val="single" w:sz="4" w:space="0" w:color="auto"/>
            </w:tcBorders>
            <w:shd w:val="clear" w:color="auto" w:fill="F2F2F2" w:themeFill="background1" w:themeFillShade="F2"/>
            <w:hideMark/>
          </w:tcPr>
          <w:p w:rsidR="00235D57" w:rsidRPr="003B09C7" w:rsidRDefault="00235D57" w:rsidP="00982B6B">
            <w:pPr>
              <w:jc w:val="center"/>
              <w:rPr>
                <w:rFonts w:asciiTheme="majorBidi" w:hAnsiTheme="majorBidi" w:cstheme="majorBidi"/>
                <w:b/>
                <w:bCs/>
                <w:sz w:val="16"/>
                <w:szCs w:val="16"/>
              </w:rPr>
            </w:pPr>
            <w:r w:rsidRPr="003B09C7">
              <w:rPr>
                <w:rFonts w:asciiTheme="majorBidi" w:hAnsiTheme="majorBidi" w:cstheme="majorBidi"/>
                <w:b/>
                <w:bCs/>
                <w:sz w:val="16"/>
                <w:szCs w:val="16"/>
              </w:rPr>
              <w:t xml:space="preserve">Exclude </w:t>
            </w:r>
            <w:proofErr w:type="spellStart"/>
            <w:r w:rsidRPr="003B09C7">
              <w:rPr>
                <w:rFonts w:asciiTheme="majorBidi" w:hAnsiTheme="majorBidi" w:cstheme="majorBidi"/>
                <w:b/>
                <w:bCs/>
                <w:sz w:val="16"/>
                <w:szCs w:val="16"/>
              </w:rPr>
              <w:t>peripartum</w:t>
            </w:r>
            <w:proofErr w:type="spellEnd"/>
          </w:p>
        </w:tc>
      </w:tr>
      <w:tr w:rsidR="00235D57" w:rsidTr="004B39AE">
        <w:trPr>
          <w:trHeight w:val="506"/>
        </w:trPr>
        <w:tc>
          <w:tcPr>
            <w:tcW w:w="152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HPTN046 trial (Fowler</w:t>
            </w:r>
            <w:r w:rsidR="00982B6B">
              <w:rPr>
                <w:rFonts w:asciiTheme="majorBidi" w:hAnsiTheme="majorBidi" w:cstheme="majorBidi"/>
                <w:sz w:val="16"/>
                <w:szCs w:val="16"/>
              </w:rPr>
              <w:t xml:space="preserve"> et al</w:t>
            </w:r>
            <w:r w:rsidRPr="003B09C7">
              <w:rPr>
                <w:rFonts w:asciiTheme="majorBidi" w:hAnsiTheme="majorBidi" w:cstheme="majorBidi"/>
                <w:sz w:val="16"/>
                <w:szCs w:val="16"/>
              </w:rPr>
              <w:t>, 2014; Coovadia</w:t>
            </w:r>
            <w:r w:rsidR="00982B6B">
              <w:rPr>
                <w:rFonts w:asciiTheme="majorBidi" w:hAnsiTheme="majorBidi" w:cstheme="majorBidi"/>
                <w:sz w:val="16"/>
                <w:szCs w:val="16"/>
              </w:rPr>
              <w:t xml:space="preserve"> et al</w:t>
            </w:r>
            <w:r w:rsidRPr="003B09C7">
              <w:rPr>
                <w:rFonts w:asciiTheme="majorBidi" w:hAnsiTheme="majorBidi" w:cstheme="majorBidi"/>
                <w:sz w:val="16"/>
                <w:szCs w:val="16"/>
              </w:rPr>
              <w:t xml:space="preserve">, 2012) </w:t>
            </w:r>
          </w:p>
        </w:tc>
        <w:tc>
          <w:tcPr>
            <w:tcW w:w="141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South Africa, Tanzania, Uganda and Zimbabwe</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ART or not</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Infant NVP or not</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 All BF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From first antenatal visit/ 6 </w:t>
            </w:r>
            <w:proofErr w:type="spellStart"/>
            <w:r w:rsidRPr="003B09C7">
              <w:rPr>
                <w:rFonts w:asciiTheme="majorBidi" w:hAnsiTheme="majorBidi" w:cstheme="majorBidi"/>
                <w:sz w:val="16"/>
                <w:szCs w:val="16"/>
              </w:rPr>
              <w:t>mo</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6 </w:t>
            </w:r>
            <w:proofErr w:type="spellStart"/>
            <w:r w:rsidRPr="003B09C7">
              <w:rPr>
                <w:rFonts w:asciiTheme="majorBidi" w:hAnsiTheme="majorBidi" w:cstheme="majorBidi"/>
                <w:sz w:val="16"/>
                <w:szCs w:val="16"/>
              </w:rPr>
              <w:t>mo</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12 </w:t>
            </w:r>
            <w:proofErr w:type="spellStart"/>
            <w:r w:rsidRPr="003B09C7">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1527</w:t>
            </w:r>
          </w:p>
        </w:tc>
        <w:tc>
          <w:tcPr>
            <w:tcW w:w="1134"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Given</w:t>
            </w:r>
          </w:p>
        </w:tc>
        <w:tc>
          <w:tcPr>
            <w:tcW w:w="1848"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Postnatal: excluding 6 weeks</w:t>
            </w:r>
          </w:p>
        </w:tc>
      </w:tr>
      <w:tr w:rsidR="00235D57" w:rsidTr="004B39AE">
        <w:tc>
          <w:tcPr>
            <w:tcW w:w="152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Jamieson</w:t>
            </w:r>
            <w:r w:rsidR="00982B6B">
              <w:rPr>
                <w:rFonts w:asciiTheme="majorBidi" w:hAnsiTheme="majorBidi" w:cstheme="majorBidi"/>
                <w:sz w:val="16"/>
                <w:szCs w:val="16"/>
              </w:rPr>
              <w:t xml:space="preserve"> et al</w:t>
            </w:r>
            <w:r w:rsidRPr="003B09C7">
              <w:rPr>
                <w:rFonts w:asciiTheme="majorBidi" w:hAnsiTheme="majorBidi" w:cstheme="majorBidi"/>
                <w:sz w:val="16"/>
                <w:szCs w:val="16"/>
              </w:rPr>
              <w:t>, 2012</w:t>
            </w:r>
          </w:p>
        </w:tc>
        <w:tc>
          <w:tcPr>
            <w:tcW w:w="141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Antenatal clinics in Malawi</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ART† or infant NVP</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Nutritional intervention</w:t>
            </w:r>
          </w:p>
        </w:tc>
        <w:tc>
          <w:tcPr>
            <w:tcW w:w="993"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Majority BF</w:t>
            </w:r>
          </w:p>
          <w:p w:rsidR="00235D57" w:rsidRPr="003B09C7" w:rsidRDefault="00235D57" w:rsidP="00982B6B">
            <w:pPr>
              <w:rPr>
                <w:rFonts w:asciiTheme="majorBidi" w:hAnsiTheme="majorBidi" w:cstheme="majorBidi"/>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30wks or less/ 6 </w:t>
            </w:r>
            <w:proofErr w:type="spellStart"/>
            <w:r w:rsidRPr="003B09C7">
              <w:rPr>
                <w:rFonts w:asciiTheme="majorBidi" w:hAnsiTheme="majorBidi" w:cstheme="majorBidi"/>
                <w:sz w:val="16"/>
                <w:szCs w:val="16"/>
              </w:rPr>
              <w:t>mo</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6 </w:t>
            </w:r>
            <w:proofErr w:type="spellStart"/>
            <w:r w:rsidRPr="003B09C7">
              <w:rPr>
                <w:rFonts w:asciiTheme="majorBidi" w:hAnsiTheme="majorBidi" w:cstheme="majorBidi"/>
                <w:sz w:val="16"/>
                <w:szCs w:val="16"/>
              </w:rPr>
              <w:t>mo</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12 </w:t>
            </w:r>
            <w:proofErr w:type="spellStart"/>
            <w:r w:rsidRPr="003B09C7">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849</w:t>
            </w:r>
          </w:p>
        </w:tc>
        <w:tc>
          <w:tcPr>
            <w:tcW w:w="1134"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Calculated</w:t>
            </w:r>
          </w:p>
        </w:tc>
        <w:tc>
          <w:tcPr>
            <w:tcW w:w="1848"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Both measures. </w:t>
            </w:r>
          </w:p>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Provides number of infected children before and after 2 weeks</w:t>
            </w:r>
          </w:p>
        </w:tc>
      </w:tr>
      <w:tr w:rsidR="00235D57" w:rsidTr="004B39AE">
        <w:tc>
          <w:tcPr>
            <w:tcW w:w="152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Kisumu Breastfeeding Study (</w:t>
            </w:r>
            <w:proofErr w:type="spellStart"/>
            <w:r w:rsidRPr="003B09C7">
              <w:rPr>
                <w:rFonts w:asciiTheme="majorBidi" w:hAnsiTheme="majorBidi" w:cstheme="majorBidi"/>
                <w:sz w:val="16"/>
                <w:szCs w:val="16"/>
              </w:rPr>
              <w:t>Okanda</w:t>
            </w:r>
            <w:proofErr w:type="spellEnd"/>
            <w:r w:rsidR="00982B6B">
              <w:rPr>
                <w:rFonts w:asciiTheme="majorBidi" w:hAnsiTheme="majorBidi" w:cstheme="majorBidi"/>
                <w:sz w:val="16"/>
                <w:szCs w:val="16"/>
              </w:rPr>
              <w:t xml:space="preserve"> et al</w:t>
            </w:r>
            <w:r w:rsidRPr="003B09C7">
              <w:rPr>
                <w:rFonts w:asciiTheme="majorBidi" w:hAnsiTheme="majorBidi" w:cstheme="majorBidi"/>
                <w:sz w:val="16"/>
                <w:szCs w:val="16"/>
              </w:rPr>
              <w:t>, 2014;</w:t>
            </w:r>
            <w:r w:rsidR="009F4969">
              <w:rPr>
                <w:rFonts w:asciiTheme="majorBidi" w:hAnsiTheme="majorBidi" w:cstheme="majorBidi"/>
                <w:sz w:val="16"/>
                <w:szCs w:val="16"/>
              </w:rPr>
              <w:t xml:space="preserve"> </w:t>
            </w:r>
            <w:proofErr w:type="spellStart"/>
            <w:r w:rsidR="009F4969">
              <w:rPr>
                <w:rFonts w:asciiTheme="majorBidi" w:hAnsiTheme="majorBidi" w:cstheme="majorBidi"/>
                <w:sz w:val="16"/>
                <w:szCs w:val="16"/>
              </w:rPr>
              <w:t>Minniear</w:t>
            </w:r>
            <w:proofErr w:type="spellEnd"/>
            <w:r w:rsidR="00982B6B">
              <w:rPr>
                <w:rFonts w:asciiTheme="majorBidi" w:hAnsiTheme="majorBidi" w:cstheme="majorBidi"/>
                <w:sz w:val="16"/>
                <w:szCs w:val="16"/>
              </w:rPr>
              <w:t xml:space="preserve"> et al</w:t>
            </w:r>
            <w:r w:rsidR="009F4969">
              <w:rPr>
                <w:rFonts w:asciiTheme="majorBidi" w:hAnsiTheme="majorBidi" w:cstheme="majorBidi"/>
                <w:sz w:val="16"/>
                <w:szCs w:val="16"/>
              </w:rPr>
              <w:t>,2014</w:t>
            </w:r>
            <w:r w:rsidRPr="003B09C7">
              <w:rPr>
                <w:rFonts w:asciiTheme="majorBidi" w:hAnsiTheme="majorBidi" w:cstheme="majorBidi"/>
                <w:sz w:val="16"/>
                <w:szCs w:val="16"/>
              </w:rPr>
              <w:t xml:space="preserve"> Thomas</w:t>
            </w:r>
            <w:r w:rsidR="00982B6B">
              <w:rPr>
                <w:rFonts w:asciiTheme="majorBidi" w:hAnsiTheme="majorBidi" w:cstheme="majorBidi"/>
                <w:sz w:val="16"/>
                <w:szCs w:val="16"/>
              </w:rPr>
              <w:t xml:space="preserve"> et al</w:t>
            </w:r>
            <w:r w:rsidRPr="003B09C7">
              <w:rPr>
                <w:rFonts w:asciiTheme="majorBidi" w:hAnsiTheme="majorBidi" w:cstheme="majorBidi"/>
                <w:sz w:val="16"/>
                <w:szCs w:val="16"/>
              </w:rPr>
              <w:t>, 2011)</w:t>
            </w:r>
          </w:p>
        </w:tc>
        <w:tc>
          <w:tcPr>
            <w:tcW w:w="141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Kenya (antenatal clinics)</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ART</w:t>
            </w:r>
          </w:p>
        </w:tc>
        <w:tc>
          <w:tcPr>
            <w:tcW w:w="1139"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All BF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34 </w:t>
            </w:r>
            <w:proofErr w:type="spellStart"/>
            <w:r w:rsidRPr="003B09C7">
              <w:rPr>
                <w:rFonts w:asciiTheme="majorBidi" w:hAnsiTheme="majorBidi" w:cstheme="majorBidi"/>
                <w:sz w:val="16"/>
                <w:szCs w:val="16"/>
              </w:rPr>
              <w:t>wks</w:t>
            </w:r>
            <w:proofErr w:type="spellEnd"/>
            <w:r w:rsidRPr="003B09C7">
              <w:rPr>
                <w:rFonts w:asciiTheme="majorBidi" w:hAnsiTheme="majorBidi" w:cstheme="majorBidi"/>
                <w:sz w:val="16"/>
                <w:szCs w:val="16"/>
              </w:rPr>
              <w:t xml:space="preserve">/ 6 </w:t>
            </w:r>
            <w:proofErr w:type="spellStart"/>
            <w:r w:rsidRPr="003B09C7">
              <w:rPr>
                <w:rFonts w:asciiTheme="majorBidi" w:hAnsiTheme="majorBidi" w:cstheme="majorBidi"/>
                <w:sz w:val="16"/>
                <w:szCs w:val="16"/>
              </w:rPr>
              <w:t>mo</w:t>
            </w:r>
            <w:proofErr w:type="spellEnd"/>
            <w:r w:rsidRPr="003B09C7">
              <w:rPr>
                <w:rFonts w:asciiTheme="majorBidi" w:hAnsiTheme="majorBidi" w:cstheme="majorBidi"/>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6 months</w:t>
            </w:r>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4029BD" w:rsidP="00982B6B">
            <w:pPr>
              <w:rPr>
                <w:rFonts w:asciiTheme="majorBidi" w:hAnsiTheme="majorBidi" w:cstheme="majorBidi"/>
                <w:sz w:val="16"/>
                <w:szCs w:val="16"/>
              </w:rPr>
            </w:pPr>
            <w:r>
              <w:rPr>
                <w:rFonts w:asciiTheme="majorBidi" w:hAnsiTheme="majorBidi" w:cstheme="majorBidi"/>
                <w:sz w:val="16"/>
                <w:szCs w:val="16"/>
              </w:rPr>
              <w:t xml:space="preserve">6 weeks, 6, 12, </w:t>
            </w:r>
            <w:r w:rsidRPr="004029BD">
              <w:rPr>
                <w:rFonts w:asciiTheme="majorBidi" w:hAnsiTheme="majorBidi" w:cstheme="majorBidi"/>
                <w:sz w:val="16"/>
                <w:szCs w:val="16"/>
                <w:highlight w:val="yellow"/>
              </w:rPr>
              <w:t xml:space="preserve">18 </w:t>
            </w:r>
            <w:proofErr w:type="spellStart"/>
            <w:r w:rsidRPr="004029BD">
              <w:rPr>
                <w:rFonts w:asciiTheme="majorBidi" w:hAnsiTheme="majorBidi" w:cstheme="majorBidi"/>
                <w:sz w:val="16"/>
                <w:szCs w:val="16"/>
                <w:highlight w:val="yellow"/>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502</w:t>
            </w:r>
          </w:p>
        </w:tc>
        <w:tc>
          <w:tcPr>
            <w:tcW w:w="1134"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Given</w:t>
            </w:r>
          </w:p>
        </w:tc>
        <w:tc>
          <w:tcPr>
            <w:tcW w:w="1848"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Include </w:t>
            </w:r>
            <w:proofErr w:type="spellStart"/>
            <w:r w:rsidRPr="003B09C7">
              <w:rPr>
                <w:rFonts w:asciiTheme="majorBidi" w:hAnsiTheme="majorBidi" w:cstheme="majorBidi"/>
                <w:sz w:val="16"/>
                <w:szCs w:val="16"/>
              </w:rPr>
              <w:t>peripartum</w:t>
            </w:r>
            <w:proofErr w:type="spellEnd"/>
            <w:r w:rsidRPr="003B09C7">
              <w:rPr>
                <w:rFonts w:asciiTheme="majorBidi" w:hAnsiTheme="majorBidi" w:cstheme="majorBidi"/>
                <w:sz w:val="16"/>
                <w:szCs w:val="16"/>
              </w:rPr>
              <w:t>. Postnatal calculated.</w:t>
            </w:r>
          </w:p>
        </w:tc>
      </w:tr>
      <w:tr w:rsidR="00235D57" w:rsidTr="004B39AE">
        <w:trPr>
          <w:trHeight w:val="442"/>
        </w:trPr>
        <w:tc>
          <w:tcPr>
            <w:tcW w:w="152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proofErr w:type="spellStart"/>
            <w:r w:rsidRPr="003B09C7">
              <w:rPr>
                <w:rFonts w:asciiTheme="majorBidi" w:hAnsiTheme="majorBidi" w:cstheme="majorBidi"/>
                <w:sz w:val="16"/>
                <w:szCs w:val="16"/>
              </w:rPr>
              <w:t>Thakwalakwa</w:t>
            </w:r>
            <w:proofErr w:type="spellEnd"/>
            <w:r w:rsidR="00982B6B">
              <w:rPr>
                <w:rFonts w:asciiTheme="majorBidi" w:hAnsiTheme="majorBidi" w:cstheme="majorBidi"/>
                <w:sz w:val="16"/>
                <w:szCs w:val="16"/>
              </w:rPr>
              <w:t xml:space="preserve"> et al</w:t>
            </w:r>
            <w:r w:rsidRPr="003B09C7">
              <w:rPr>
                <w:rFonts w:asciiTheme="majorBidi" w:hAnsiTheme="majorBidi" w:cstheme="majorBidi"/>
                <w:sz w:val="16"/>
                <w:szCs w:val="16"/>
                <w:vertAlign w:val="superscript"/>
              </w:rPr>
              <w:t>a</w:t>
            </w:r>
            <w:r w:rsidR="00982B6B">
              <w:rPr>
                <w:rFonts w:asciiTheme="majorBidi" w:hAnsiTheme="majorBidi" w:cstheme="majorBidi"/>
                <w:sz w:val="16"/>
                <w:szCs w:val="16"/>
              </w:rPr>
              <w:t>,</w:t>
            </w:r>
            <w:r w:rsidRPr="003B09C7">
              <w:rPr>
                <w:rFonts w:asciiTheme="majorBidi" w:hAnsiTheme="majorBidi" w:cstheme="majorBidi"/>
                <w:sz w:val="16"/>
                <w:szCs w:val="16"/>
              </w:rPr>
              <w:t xml:space="preserve"> 2014</w:t>
            </w:r>
          </w:p>
        </w:tc>
        <w:tc>
          <w:tcPr>
            <w:tcW w:w="141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Malawi (</w:t>
            </w:r>
            <w:proofErr w:type="spellStart"/>
            <w:r w:rsidRPr="003B09C7">
              <w:rPr>
                <w:rFonts w:asciiTheme="majorBidi" w:hAnsiTheme="majorBidi" w:cstheme="majorBidi"/>
                <w:sz w:val="16"/>
                <w:szCs w:val="16"/>
              </w:rPr>
              <w:t>Thyolo</w:t>
            </w:r>
            <w:proofErr w:type="spellEnd"/>
            <w:r w:rsidRPr="003B09C7">
              <w:rPr>
                <w:rFonts w:asciiTheme="majorBidi" w:hAnsiTheme="majorBidi" w:cstheme="majorBidi"/>
                <w:sz w:val="16"/>
                <w:szCs w:val="16"/>
              </w:rPr>
              <w:t xml:space="preserve"> District Hospital)</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Only ART</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Nutritional intervention</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both"/>
              <w:rPr>
                <w:rFonts w:asciiTheme="majorBidi" w:hAnsiTheme="majorBidi" w:cstheme="majorBidi"/>
                <w:sz w:val="16"/>
                <w:szCs w:val="16"/>
              </w:rPr>
            </w:pPr>
            <w:r w:rsidRPr="003B09C7">
              <w:rPr>
                <w:rFonts w:asciiTheme="majorBidi" w:hAnsiTheme="majorBidi" w:cstheme="majorBidi"/>
                <w:sz w:val="16"/>
                <w:szCs w:val="16"/>
              </w:rPr>
              <w:t>All BF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From first antenatal visit/ lifelong</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it-IT"/>
              </w:rPr>
            </w:pPr>
            <w:r w:rsidRPr="003B09C7">
              <w:rPr>
                <w:rFonts w:asciiTheme="majorBidi" w:hAnsiTheme="majorBidi" w:cstheme="majorBidi"/>
                <w:sz w:val="16"/>
                <w:szCs w:val="16"/>
              </w:rPr>
              <w:t xml:space="preserve">6 </w:t>
            </w:r>
            <w:proofErr w:type="spellStart"/>
            <w:r w:rsidRPr="003B09C7">
              <w:rPr>
                <w:rFonts w:asciiTheme="majorBidi" w:hAnsiTheme="majorBidi" w:cstheme="majorBidi"/>
                <w:sz w:val="16"/>
                <w:szCs w:val="16"/>
              </w:rPr>
              <w:t>mo</w:t>
            </w:r>
            <w:proofErr w:type="spellEnd"/>
            <w:r w:rsidRPr="003B09C7">
              <w:rPr>
                <w:rFonts w:asciiTheme="majorBidi" w:hAnsiTheme="majorBidi" w:cstheme="majorBidi"/>
                <w:sz w:val="16"/>
                <w:szCs w:val="16"/>
              </w:rPr>
              <w:t xml:space="preserve"> </w:t>
            </w:r>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it-IT"/>
              </w:rPr>
            </w:pPr>
            <w:r w:rsidRPr="003B09C7">
              <w:rPr>
                <w:rFonts w:asciiTheme="majorBidi" w:hAnsiTheme="majorBidi" w:cstheme="majorBidi"/>
                <w:sz w:val="16"/>
                <w:szCs w:val="16"/>
              </w:rPr>
              <w:t xml:space="preserve">12 </w:t>
            </w:r>
            <w:proofErr w:type="spellStart"/>
            <w:r w:rsidRPr="003B09C7">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it-IT"/>
              </w:rPr>
            </w:pPr>
            <w:r w:rsidRPr="003B09C7">
              <w:rPr>
                <w:rFonts w:asciiTheme="majorBidi" w:hAnsiTheme="majorBidi" w:cstheme="majorBidi"/>
                <w:sz w:val="16"/>
                <w:szCs w:val="16"/>
              </w:rPr>
              <w:t>248</w:t>
            </w:r>
          </w:p>
        </w:tc>
        <w:tc>
          <w:tcPr>
            <w:tcW w:w="1134"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lang w:val="it-IT"/>
              </w:rPr>
            </w:pPr>
            <w:r w:rsidRPr="003B09C7">
              <w:rPr>
                <w:rFonts w:asciiTheme="majorBidi" w:hAnsiTheme="majorBidi" w:cstheme="majorBidi"/>
                <w:sz w:val="16"/>
                <w:szCs w:val="16"/>
              </w:rPr>
              <w:t xml:space="preserve">Not given </w:t>
            </w:r>
          </w:p>
        </w:tc>
        <w:tc>
          <w:tcPr>
            <w:tcW w:w="1848"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Gives only number of infected children with no denominator</w:t>
            </w:r>
          </w:p>
        </w:tc>
      </w:tr>
      <w:tr w:rsidR="00235D57" w:rsidTr="000B757A">
        <w:trPr>
          <w:trHeight w:val="64"/>
        </w:trPr>
        <w:tc>
          <w:tcPr>
            <w:tcW w:w="13155" w:type="dxa"/>
            <w:gridSpan w:val="1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235D57" w:rsidRPr="003B09C7" w:rsidRDefault="00235D57" w:rsidP="000B757A">
            <w:pPr>
              <w:jc w:val="center"/>
              <w:rPr>
                <w:rFonts w:asciiTheme="majorBidi" w:hAnsiTheme="majorBidi" w:cstheme="majorBidi"/>
                <w:b/>
                <w:bCs/>
                <w:sz w:val="16"/>
                <w:szCs w:val="16"/>
              </w:rPr>
            </w:pPr>
            <w:r w:rsidRPr="003B09C7">
              <w:rPr>
                <w:rFonts w:asciiTheme="majorBidi" w:hAnsiTheme="majorBidi" w:cstheme="majorBidi"/>
                <w:b/>
                <w:bCs/>
                <w:color w:val="FFFFFF" w:themeColor="background1"/>
                <w:sz w:val="16"/>
                <w:szCs w:val="16"/>
              </w:rPr>
              <w:t>Observational studies</w:t>
            </w:r>
          </w:p>
        </w:tc>
      </w:tr>
      <w:tr w:rsidR="00235D57" w:rsidTr="004B39AE">
        <w:tc>
          <w:tcPr>
            <w:tcW w:w="138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DREAM study (Giuliano</w:t>
            </w:r>
            <w:r w:rsidR="00982B6B">
              <w:rPr>
                <w:rFonts w:asciiTheme="majorBidi" w:hAnsiTheme="majorBidi" w:cstheme="majorBidi"/>
                <w:sz w:val="16"/>
                <w:szCs w:val="16"/>
              </w:rPr>
              <w:t xml:space="preserve"> et al</w:t>
            </w:r>
            <w:r w:rsidRPr="003B09C7">
              <w:rPr>
                <w:rFonts w:asciiTheme="majorBidi" w:hAnsiTheme="majorBidi" w:cstheme="majorBidi"/>
                <w:sz w:val="16"/>
                <w:szCs w:val="16"/>
              </w:rPr>
              <w:t>, 2013; Palombi</w:t>
            </w:r>
            <w:r w:rsidR="00982B6B">
              <w:rPr>
                <w:rFonts w:asciiTheme="majorBidi" w:hAnsiTheme="majorBidi" w:cstheme="majorBidi"/>
                <w:sz w:val="16"/>
                <w:szCs w:val="16"/>
              </w:rPr>
              <w:t xml:space="preserve"> et al</w:t>
            </w:r>
            <w:r w:rsidRPr="003B09C7">
              <w:rPr>
                <w:rFonts w:asciiTheme="majorBidi" w:hAnsiTheme="majorBidi" w:cstheme="majorBidi"/>
                <w:sz w:val="16"/>
                <w:szCs w:val="16"/>
              </w:rPr>
              <w:t>, 2007)</w:t>
            </w:r>
          </w:p>
        </w:tc>
        <w:tc>
          <w:tcPr>
            <w:tcW w:w="155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pt-PT"/>
              </w:rPr>
            </w:pPr>
            <w:r w:rsidRPr="003B09C7">
              <w:rPr>
                <w:rFonts w:asciiTheme="majorBidi" w:hAnsiTheme="majorBidi" w:cstheme="majorBidi"/>
                <w:sz w:val="16"/>
                <w:szCs w:val="16"/>
                <w:lang w:val="pt-PT"/>
              </w:rPr>
              <w:t>Malawi (</w:t>
            </w:r>
            <w:proofErr w:type="spellStart"/>
            <w:r w:rsidRPr="003B09C7">
              <w:rPr>
                <w:rFonts w:asciiTheme="majorBidi" w:hAnsiTheme="majorBidi" w:cstheme="majorBidi"/>
                <w:sz w:val="16"/>
                <w:szCs w:val="16"/>
                <w:lang w:val="pt-PT"/>
              </w:rPr>
              <w:t>two</w:t>
            </w:r>
            <w:proofErr w:type="spellEnd"/>
            <w:r w:rsidRPr="003B09C7">
              <w:rPr>
                <w:rFonts w:asciiTheme="majorBidi" w:hAnsiTheme="majorBidi" w:cstheme="majorBidi"/>
                <w:sz w:val="16"/>
                <w:szCs w:val="16"/>
                <w:lang w:val="pt-PT"/>
              </w:rPr>
              <w:t xml:space="preserve"> ante natal </w:t>
            </w:r>
            <w:proofErr w:type="spellStart"/>
            <w:r w:rsidRPr="003B09C7">
              <w:rPr>
                <w:rFonts w:asciiTheme="majorBidi" w:hAnsiTheme="majorBidi" w:cstheme="majorBidi"/>
                <w:sz w:val="16"/>
                <w:szCs w:val="16"/>
                <w:lang w:val="pt-PT"/>
              </w:rPr>
              <w:t>clinics</w:t>
            </w:r>
            <w:proofErr w:type="spellEnd"/>
            <w:r w:rsidRPr="003B09C7">
              <w:rPr>
                <w:rFonts w:asciiTheme="majorBidi" w:hAnsiTheme="majorBidi" w:cstheme="majorBidi"/>
                <w:sz w:val="16"/>
                <w:szCs w:val="16"/>
                <w:lang w:val="pt-PT"/>
              </w:rPr>
              <w:t>)</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pt-PT"/>
              </w:rPr>
            </w:pPr>
            <w:r w:rsidRPr="003B09C7">
              <w:rPr>
                <w:rFonts w:asciiTheme="majorBidi" w:hAnsiTheme="majorBidi" w:cstheme="majorBidi"/>
                <w:sz w:val="16"/>
                <w:szCs w:val="16"/>
                <w:lang w:val="pt-PT"/>
              </w:rPr>
              <w:t>ART*</w:t>
            </w:r>
          </w:p>
        </w:tc>
        <w:tc>
          <w:tcPr>
            <w:tcW w:w="1139"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lang w:val="pt-PT"/>
              </w:rPr>
            </w:pP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pt-PT"/>
              </w:rPr>
            </w:pPr>
            <w:proofErr w:type="spellStart"/>
            <w:r w:rsidRPr="003B09C7">
              <w:rPr>
                <w:rFonts w:asciiTheme="majorBidi" w:hAnsiTheme="majorBidi" w:cstheme="majorBidi"/>
                <w:sz w:val="16"/>
                <w:szCs w:val="16"/>
                <w:lang w:val="pt-PT"/>
              </w:rPr>
              <w:t>All</w:t>
            </w:r>
            <w:proofErr w:type="spellEnd"/>
            <w:r w:rsidRPr="003B09C7">
              <w:rPr>
                <w:rFonts w:asciiTheme="majorBidi" w:hAnsiTheme="majorBidi" w:cstheme="majorBidi"/>
                <w:sz w:val="16"/>
                <w:szCs w:val="16"/>
                <w:lang w:val="pt-PT"/>
              </w:rPr>
              <w:t xml:space="preserve"> BF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1st </w:t>
            </w:r>
            <w:r w:rsidR="000B757A" w:rsidRPr="003B09C7">
              <w:rPr>
                <w:rFonts w:asciiTheme="majorBidi" w:hAnsiTheme="majorBidi" w:cstheme="majorBidi"/>
                <w:sz w:val="16"/>
                <w:szCs w:val="16"/>
              </w:rPr>
              <w:t>trimester</w:t>
            </w:r>
            <w:r w:rsidRPr="003B09C7">
              <w:rPr>
                <w:rFonts w:asciiTheme="majorBidi" w:hAnsiTheme="majorBidi" w:cstheme="majorBidi"/>
                <w:sz w:val="16"/>
                <w:szCs w:val="16"/>
              </w:rPr>
              <w:t xml:space="preserve"> and lifelong (CD4+&lt;350) or week 25/ 6 </w:t>
            </w:r>
            <w:proofErr w:type="spellStart"/>
            <w:r w:rsidRPr="003B09C7">
              <w:rPr>
                <w:rFonts w:asciiTheme="majorBidi" w:hAnsiTheme="majorBidi" w:cstheme="majorBidi"/>
                <w:sz w:val="16"/>
                <w:szCs w:val="16"/>
              </w:rPr>
              <w:t>mo</w:t>
            </w:r>
            <w:proofErr w:type="spellEnd"/>
            <w:r w:rsidRPr="003B09C7">
              <w:rPr>
                <w:rFonts w:asciiTheme="majorBidi" w:hAnsiTheme="majorBidi" w:cstheme="majorBidi"/>
                <w:sz w:val="16"/>
                <w:szCs w:val="16"/>
              </w:rPr>
              <w:t xml:space="preserve"> or end BF</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pt-PT"/>
              </w:rPr>
            </w:pPr>
            <w:r w:rsidRPr="003B09C7">
              <w:rPr>
                <w:rFonts w:asciiTheme="majorBidi" w:hAnsiTheme="majorBidi" w:cstheme="majorBidi"/>
                <w:sz w:val="16"/>
                <w:szCs w:val="16"/>
                <w:lang w:val="pt-PT"/>
              </w:rPr>
              <w:t xml:space="preserve">4.5 </w:t>
            </w:r>
            <w:proofErr w:type="gramStart"/>
            <w:r w:rsidRPr="003B09C7">
              <w:rPr>
                <w:rFonts w:asciiTheme="majorBidi" w:hAnsiTheme="majorBidi" w:cstheme="majorBidi"/>
                <w:sz w:val="16"/>
                <w:szCs w:val="16"/>
                <w:lang w:val="pt-PT"/>
              </w:rPr>
              <w:t>mo</w:t>
            </w:r>
            <w:proofErr w:type="gramEnd"/>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pt-PT"/>
              </w:rPr>
            </w:pPr>
            <w:r w:rsidRPr="003B09C7">
              <w:rPr>
                <w:rFonts w:asciiTheme="majorBidi" w:hAnsiTheme="majorBidi" w:cstheme="majorBidi"/>
                <w:sz w:val="16"/>
                <w:szCs w:val="16"/>
                <w:lang w:val="pt-PT"/>
              </w:rPr>
              <w:t xml:space="preserve">12 </w:t>
            </w:r>
            <w:proofErr w:type="gramStart"/>
            <w:r w:rsidRPr="003B09C7">
              <w:rPr>
                <w:rFonts w:asciiTheme="majorBidi" w:hAnsiTheme="majorBidi" w:cstheme="majorBidi"/>
                <w:sz w:val="16"/>
                <w:szCs w:val="16"/>
                <w:lang w:val="pt-PT"/>
              </w:rPr>
              <w:t>mo</w:t>
            </w:r>
            <w:proofErr w:type="gram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lang w:val="pt-PT"/>
              </w:rPr>
            </w:pPr>
            <w:r w:rsidRPr="003B09C7">
              <w:rPr>
                <w:rFonts w:asciiTheme="majorBidi" w:hAnsiTheme="majorBidi" w:cstheme="majorBidi"/>
                <w:sz w:val="16"/>
                <w:szCs w:val="16"/>
                <w:lang w:val="pt-PT"/>
              </w:rPr>
              <w:t>300</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 xml:space="preserve">Not given </w:t>
            </w:r>
          </w:p>
        </w:tc>
        <w:tc>
          <w:tcPr>
            <w:tcW w:w="184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Gives only number of infected children with no denominator</w:t>
            </w:r>
          </w:p>
        </w:tc>
      </w:tr>
      <w:tr w:rsidR="00235D57" w:rsidTr="004B39AE">
        <w:tc>
          <w:tcPr>
            <w:tcW w:w="138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Alvarez-</w:t>
            </w:r>
            <w:proofErr w:type="spellStart"/>
            <w:r w:rsidRPr="003B09C7">
              <w:rPr>
                <w:rFonts w:asciiTheme="majorBidi" w:hAnsiTheme="majorBidi" w:cstheme="majorBidi"/>
                <w:sz w:val="16"/>
                <w:szCs w:val="16"/>
              </w:rPr>
              <w:t>Uria</w:t>
            </w:r>
            <w:proofErr w:type="spellEnd"/>
            <w:r w:rsidR="00982B6B">
              <w:rPr>
                <w:rFonts w:asciiTheme="majorBidi" w:hAnsiTheme="majorBidi" w:cstheme="majorBidi"/>
                <w:sz w:val="16"/>
                <w:szCs w:val="16"/>
              </w:rPr>
              <w:t xml:space="preserve"> et al</w:t>
            </w:r>
            <w:r w:rsidRPr="003B09C7">
              <w:rPr>
                <w:rFonts w:asciiTheme="majorBidi" w:hAnsiTheme="majorBidi" w:cstheme="majorBidi"/>
                <w:sz w:val="16"/>
                <w:szCs w:val="16"/>
                <w:vertAlign w:val="superscript"/>
              </w:rPr>
              <w:t>a</w:t>
            </w:r>
            <w:r w:rsidRPr="003B09C7">
              <w:rPr>
                <w:rFonts w:asciiTheme="majorBidi" w:hAnsiTheme="majorBidi" w:cstheme="majorBidi"/>
                <w:sz w:val="16"/>
                <w:szCs w:val="16"/>
              </w:rPr>
              <w:t xml:space="preserve">, 2012 </w:t>
            </w:r>
          </w:p>
        </w:tc>
        <w:tc>
          <w:tcPr>
            <w:tcW w:w="155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India (3 hospitals in </w:t>
            </w:r>
            <w:proofErr w:type="spellStart"/>
            <w:r w:rsidRPr="003B09C7">
              <w:rPr>
                <w:rFonts w:asciiTheme="majorBidi" w:hAnsiTheme="majorBidi" w:cstheme="majorBidi"/>
                <w:sz w:val="16"/>
                <w:szCs w:val="16"/>
              </w:rPr>
              <w:t>Antapur</w:t>
            </w:r>
            <w:proofErr w:type="spellEnd"/>
            <w:r w:rsidRPr="003B09C7">
              <w:rPr>
                <w:rFonts w:asciiTheme="majorBidi" w:hAnsiTheme="majorBidi" w:cstheme="majorBidi"/>
                <w:sz w:val="16"/>
                <w:szCs w:val="16"/>
              </w:rPr>
              <w:t>)</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lang w:val="pt-PT"/>
              </w:rPr>
              <w:t>ART</w:t>
            </w:r>
          </w:p>
        </w:tc>
        <w:tc>
          <w:tcPr>
            <w:tcW w:w="1139"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BF and RF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From first antenatal visit / 6 </w:t>
            </w:r>
            <w:proofErr w:type="spellStart"/>
            <w:r w:rsidRPr="003B09C7">
              <w:rPr>
                <w:rFonts w:asciiTheme="majorBidi" w:hAnsiTheme="majorBidi" w:cstheme="majorBidi"/>
                <w:sz w:val="16"/>
                <w:szCs w:val="16"/>
              </w:rPr>
              <w:t>mo</w:t>
            </w:r>
            <w:proofErr w:type="spellEnd"/>
            <w:r w:rsidRPr="003B09C7">
              <w:rPr>
                <w:rFonts w:asciiTheme="majorBidi" w:hAnsiTheme="majorBidi" w:cstheme="majorBidi"/>
                <w:sz w:val="16"/>
                <w:szCs w:val="16"/>
              </w:rPr>
              <w:t xml:space="preserve"> (BF), post labour (NBF)</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6 </w:t>
            </w:r>
            <w:proofErr w:type="spellStart"/>
            <w:r w:rsidRPr="003B09C7">
              <w:rPr>
                <w:rFonts w:asciiTheme="majorBidi" w:hAnsiTheme="majorBidi" w:cstheme="majorBidi"/>
                <w:sz w:val="16"/>
                <w:szCs w:val="16"/>
              </w:rPr>
              <w:t>mo</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6 and 12 </w:t>
            </w:r>
            <w:proofErr w:type="spellStart"/>
            <w:r w:rsidRPr="003B09C7">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318</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Given</w:t>
            </w:r>
          </w:p>
        </w:tc>
        <w:tc>
          <w:tcPr>
            <w:tcW w:w="184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Exclude 6 weeks</w:t>
            </w:r>
          </w:p>
        </w:tc>
      </w:tr>
      <w:tr w:rsidR="00235D57" w:rsidTr="004B39AE">
        <w:tc>
          <w:tcPr>
            <w:tcW w:w="138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Peltier</w:t>
            </w:r>
            <w:r w:rsidR="00982B6B">
              <w:rPr>
                <w:rFonts w:asciiTheme="majorBidi" w:hAnsiTheme="majorBidi" w:cstheme="majorBidi"/>
                <w:sz w:val="16"/>
                <w:szCs w:val="16"/>
              </w:rPr>
              <w:t xml:space="preserve"> et al</w:t>
            </w:r>
            <w:r w:rsidRPr="003B09C7">
              <w:rPr>
                <w:rFonts w:asciiTheme="majorBidi" w:hAnsiTheme="majorBidi" w:cstheme="majorBidi"/>
                <w:sz w:val="16"/>
                <w:szCs w:val="16"/>
                <w:vertAlign w:val="superscript"/>
              </w:rPr>
              <w:t>a</w:t>
            </w:r>
            <w:r w:rsidRPr="003B09C7">
              <w:rPr>
                <w:rFonts w:asciiTheme="majorBidi" w:hAnsiTheme="majorBidi" w:cstheme="majorBidi"/>
                <w:sz w:val="16"/>
                <w:szCs w:val="16"/>
              </w:rPr>
              <w:t>, 2009</w:t>
            </w:r>
          </w:p>
        </w:tc>
        <w:tc>
          <w:tcPr>
            <w:tcW w:w="155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Rwanda (four government-run health facilities)</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lang w:val="pt-PT"/>
              </w:rPr>
              <w:t>ART</w:t>
            </w:r>
          </w:p>
        </w:tc>
        <w:tc>
          <w:tcPr>
            <w:tcW w:w="1139"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BF and RF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28 </w:t>
            </w:r>
            <w:proofErr w:type="spellStart"/>
            <w:r w:rsidRPr="003B09C7">
              <w:rPr>
                <w:rFonts w:asciiTheme="majorBidi" w:hAnsiTheme="majorBidi" w:cstheme="majorBidi"/>
                <w:sz w:val="16"/>
                <w:szCs w:val="16"/>
              </w:rPr>
              <w:t>wks</w:t>
            </w:r>
            <w:proofErr w:type="spellEnd"/>
            <w:r w:rsidRPr="003B09C7">
              <w:rPr>
                <w:rFonts w:asciiTheme="majorBidi" w:hAnsiTheme="majorBidi" w:cstheme="majorBidi"/>
                <w:sz w:val="16"/>
                <w:szCs w:val="16"/>
              </w:rPr>
              <w:t xml:space="preserve"> / 7 </w:t>
            </w:r>
            <w:proofErr w:type="spellStart"/>
            <w:r w:rsidRPr="003B09C7">
              <w:rPr>
                <w:rFonts w:asciiTheme="majorBidi" w:hAnsiTheme="majorBidi" w:cstheme="majorBidi"/>
                <w:sz w:val="16"/>
                <w:szCs w:val="16"/>
              </w:rPr>
              <w:t>mo</w:t>
            </w:r>
            <w:proofErr w:type="spellEnd"/>
            <w:r w:rsidRPr="003B09C7">
              <w:rPr>
                <w:rFonts w:asciiTheme="majorBidi" w:hAnsiTheme="majorBidi" w:cstheme="majorBidi"/>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6 </w:t>
            </w:r>
            <w:proofErr w:type="spellStart"/>
            <w:r w:rsidRPr="003B09C7">
              <w:rPr>
                <w:rFonts w:asciiTheme="majorBidi" w:hAnsiTheme="majorBidi" w:cstheme="majorBidi"/>
                <w:sz w:val="16"/>
                <w:szCs w:val="16"/>
              </w:rPr>
              <w:t>mo</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9 </w:t>
            </w:r>
            <w:proofErr w:type="spellStart"/>
            <w:r w:rsidRPr="003B09C7">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532</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Not given</w:t>
            </w:r>
          </w:p>
        </w:tc>
        <w:tc>
          <w:tcPr>
            <w:tcW w:w="184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Provides Overall transmission including </w:t>
            </w:r>
            <w:proofErr w:type="spellStart"/>
            <w:r w:rsidRPr="003B09C7">
              <w:rPr>
                <w:rFonts w:asciiTheme="majorBidi" w:hAnsiTheme="majorBidi" w:cstheme="majorBidi"/>
                <w:sz w:val="16"/>
                <w:szCs w:val="16"/>
              </w:rPr>
              <w:t>peripartum</w:t>
            </w:r>
            <w:proofErr w:type="spellEnd"/>
          </w:p>
        </w:tc>
      </w:tr>
      <w:tr w:rsidR="00235D57" w:rsidTr="004B39AE">
        <w:tc>
          <w:tcPr>
            <w:tcW w:w="138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proofErr w:type="spellStart"/>
            <w:r w:rsidRPr="003B09C7">
              <w:rPr>
                <w:rFonts w:asciiTheme="majorBidi" w:hAnsiTheme="majorBidi" w:cstheme="majorBidi"/>
                <w:sz w:val="16"/>
                <w:szCs w:val="16"/>
              </w:rPr>
              <w:t>Marazzi</w:t>
            </w:r>
            <w:proofErr w:type="spellEnd"/>
            <w:r w:rsidR="00982B6B">
              <w:rPr>
                <w:rFonts w:asciiTheme="majorBidi" w:hAnsiTheme="majorBidi" w:cstheme="majorBidi"/>
                <w:sz w:val="16"/>
                <w:szCs w:val="16"/>
              </w:rPr>
              <w:t xml:space="preserve"> et al</w:t>
            </w:r>
            <w:r w:rsidRPr="003B09C7">
              <w:rPr>
                <w:rFonts w:asciiTheme="majorBidi" w:hAnsiTheme="majorBidi" w:cstheme="majorBidi"/>
                <w:sz w:val="16"/>
                <w:szCs w:val="16"/>
              </w:rPr>
              <w:t>, 2009</w:t>
            </w:r>
          </w:p>
        </w:tc>
        <w:tc>
          <w:tcPr>
            <w:tcW w:w="155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Mozambique</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lang w:val="pt-PT"/>
              </w:rPr>
              <w:t>ART</w:t>
            </w:r>
          </w:p>
        </w:tc>
        <w:tc>
          <w:tcPr>
            <w:tcW w:w="1139"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All BF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15 </w:t>
            </w:r>
            <w:proofErr w:type="spellStart"/>
            <w:r w:rsidRPr="003B09C7">
              <w:rPr>
                <w:rFonts w:asciiTheme="majorBidi" w:hAnsiTheme="majorBidi" w:cstheme="majorBidi"/>
                <w:sz w:val="16"/>
                <w:szCs w:val="16"/>
              </w:rPr>
              <w:t>wks</w:t>
            </w:r>
            <w:proofErr w:type="spellEnd"/>
            <w:r w:rsidRPr="003B09C7">
              <w:rPr>
                <w:rFonts w:asciiTheme="majorBidi" w:hAnsiTheme="majorBidi" w:cstheme="majorBidi"/>
                <w:sz w:val="16"/>
                <w:szCs w:val="16"/>
              </w:rPr>
              <w:t xml:space="preserve">/ 6 </w:t>
            </w:r>
            <w:proofErr w:type="spellStart"/>
            <w:r w:rsidRPr="003B09C7">
              <w:rPr>
                <w:rFonts w:asciiTheme="majorBidi" w:hAnsiTheme="majorBidi" w:cstheme="majorBidi"/>
                <w:sz w:val="16"/>
                <w:szCs w:val="16"/>
              </w:rPr>
              <w:t>mo</w:t>
            </w:r>
            <w:proofErr w:type="spellEnd"/>
            <w:r w:rsidRPr="003B09C7">
              <w:rPr>
                <w:rFonts w:asciiTheme="majorBidi" w:hAnsiTheme="majorBidi" w:cstheme="majorBidi"/>
                <w:sz w:val="16"/>
                <w:szCs w:val="16"/>
              </w:rPr>
              <w:t>‡</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5 </w:t>
            </w:r>
            <w:proofErr w:type="spellStart"/>
            <w:r w:rsidRPr="003B09C7">
              <w:rPr>
                <w:rFonts w:asciiTheme="majorBidi" w:hAnsiTheme="majorBidi" w:cstheme="majorBidi"/>
                <w:sz w:val="16"/>
                <w:szCs w:val="16"/>
              </w:rPr>
              <w:t>mo</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6 weeks, 6 and 12 </w:t>
            </w:r>
            <w:proofErr w:type="spellStart"/>
            <w:r w:rsidRPr="003B09C7">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341</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Given</w:t>
            </w:r>
          </w:p>
        </w:tc>
        <w:tc>
          <w:tcPr>
            <w:tcW w:w="184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Both, provides rates including and excluding </w:t>
            </w:r>
            <w:proofErr w:type="spellStart"/>
            <w:r w:rsidRPr="003B09C7">
              <w:rPr>
                <w:rFonts w:asciiTheme="majorBidi" w:hAnsiTheme="majorBidi" w:cstheme="majorBidi"/>
                <w:sz w:val="16"/>
                <w:szCs w:val="16"/>
              </w:rPr>
              <w:t>peripartum</w:t>
            </w:r>
            <w:proofErr w:type="spellEnd"/>
            <w:r w:rsidRPr="003B09C7">
              <w:rPr>
                <w:rFonts w:asciiTheme="majorBidi" w:hAnsiTheme="majorBidi" w:cstheme="majorBidi"/>
                <w:sz w:val="16"/>
                <w:szCs w:val="16"/>
              </w:rPr>
              <w:t xml:space="preserve"> (exclude 4 </w:t>
            </w:r>
            <w:proofErr w:type="spellStart"/>
            <w:r w:rsidRPr="003B09C7">
              <w:rPr>
                <w:rFonts w:asciiTheme="majorBidi" w:hAnsiTheme="majorBidi" w:cstheme="majorBidi"/>
                <w:sz w:val="16"/>
                <w:szCs w:val="16"/>
              </w:rPr>
              <w:t>wks</w:t>
            </w:r>
            <w:proofErr w:type="spellEnd"/>
            <w:r w:rsidRPr="003B09C7">
              <w:rPr>
                <w:rFonts w:asciiTheme="majorBidi" w:hAnsiTheme="majorBidi" w:cstheme="majorBidi"/>
                <w:sz w:val="16"/>
                <w:szCs w:val="16"/>
              </w:rPr>
              <w:t>)</w:t>
            </w:r>
          </w:p>
        </w:tc>
      </w:tr>
      <w:tr w:rsidR="00235D57" w:rsidTr="004B39AE">
        <w:tc>
          <w:tcPr>
            <w:tcW w:w="138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proofErr w:type="spellStart"/>
            <w:r w:rsidRPr="003B09C7">
              <w:rPr>
                <w:rFonts w:asciiTheme="majorBidi" w:hAnsiTheme="majorBidi" w:cstheme="majorBidi"/>
                <w:sz w:val="16"/>
                <w:szCs w:val="16"/>
              </w:rPr>
              <w:t>Kilewo</w:t>
            </w:r>
            <w:proofErr w:type="spellEnd"/>
            <w:r w:rsidR="00982B6B">
              <w:rPr>
                <w:rFonts w:asciiTheme="majorBidi" w:hAnsiTheme="majorBidi" w:cstheme="majorBidi"/>
                <w:sz w:val="16"/>
                <w:szCs w:val="16"/>
              </w:rPr>
              <w:t xml:space="preserve"> et al</w:t>
            </w:r>
            <w:r w:rsidRPr="003B09C7">
              <w:rPr>
                <w:rFonts w:asciiTheme="majorBidi" w:hAnsiTheme="majorBidi" w:cstheme="majorBidi"/>
                <w:sz w:val="16"/>
                <w:szCs w:val="16"/>
              </w:rPr>
              <w:t>, 2009</w:t>
            </w:r>
          </w:p>
        </w:tc>
        <w:tc>
          <w:tcPr>
            <w:tcW w:w="155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Tanzania (Dar </w:t>
            </w:r>
            <w:proofErr w:type="spellStart"/>
            <w:r w:rsidRPr="003B09C7">
              <w:rPr>
                <w:rFonts w:asciiTheme="majorBidi" w:hAnsiTheme="majorBidi" w:cstheme="majorBidi"/>
                <w:sz w:val="16"/>
                <w:szCs w:val="16"/>
              </w:rPr>
              <w:t>es</w:t>
            </w:r>
            <w:proofErr w:type="spellEnd"/>
            <w:r w:rsidRPr="003B09C7">
              <w:rPr>
                <w:rFonts w:asciiTheme="majorBidi" w:hAnsiTheme="majorBidi" w:cstheme="majorBidi"/>
                <w:sz w:val="16"/>
                <w:szCs w:val="16"/>
              </w:rPr>
              <w:t xml:space="preserve"> Salam)</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lang w:val="pt-PT"/>
              </w:rPr>
              <w:t>ART</w:t>
            </w:r>
          </w:p>
        </w:tc>
        <w:tc>
          <w:tcPr>
            <w:tcW w:w="1139"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All BF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34 </w:t>
            </w:r>
            <w:proofErr w:type="spellStart"/>
            <w:r w:rsidRPr="003B09C7">
              <w:rPr>
                <w:rFonts w:asciiTheme="majorBidi" w:hAnsiTheme="majorBidi" w:cstheme="majorBidi"/>
                <w:sz w:val="16"/>
                <w:szCs w:val="16"/>
              </w:rPr>
              <w:t>wks</w:t>
            </w:r>
            <w:proofErr w:type="spellEnd"/>
            <w:r w:rsidRPr="003B09C7">
              <w:rPr>
                <w:rFonts w:asciiTheme="majorBidi" w:hAnsiTheme="majorBidi" w:cstheme="majorBidi"/>
                <w:sz w:val="16"/>
                <w:szCs w:val="16"/>
              </w:rPr>
              <w:t xml:space="preserve">/ 6 </w:t>
            </w:r>
            <w:proofErr w:type="spellStart"/>
            <w:r w:rsidRPr="003B09C7">
              <w:rPr>
                <w:rFonts w:asciiTheme="majorBidi" w:hAnsiTheme="majorBidi" w:cstheme="majorBidi"/>
                <w:sz w:val="16"/>
                <w:szCs w:val="16"/>
              </w:rPr>
              <w:t>mo</w:t>
            </w:r>
            <w:proofErr w:type="spellEnd"/>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6 </w:t>
            </w:r>
            <w:proofErr w:type="spellStart"/>
            <w:r w:rsidRPr="003B09C7">
              <w:rPr>
                <w:rFonts w:asciiTheme="majorBidi" w:hAnsiTheme="majorBidi" w:cstheme="majorBidi"/>
                <w:sz w:val="16"/>
                <w:szCs w:val="16"/>
              </w:rPr>
              <w:t>mo</w:t>
            </w:r>
            <w:proofErr w:type="spellEnd"/>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6 weeks, 6, 9, 12, 18 </w:t>
            </w:r>
            <w:proofErr w:type="spellStart"/>
            <w:r w:rsidRPr="003B09C7">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441</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Given</w:t>
            </w:r>
          </w:p>
        </w:tc>
        <w:tc>
          <w:tcPr>
            <w:tcW w:w="184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Include </w:t>
            </w:r>
            <w:proofErr w:type="spellStart"/>
            <w:r w:rsidRPr="003B09C7">
              <w:rPr>
                <w:rFonts w:asciiTheme="majorBidi" w:hAnsiTheme="majorBidi" w:cstheme="majorBidi"/>
                <w:sz w:val="16"/>
                <w:szCs w:val="16"/>
              </w:rPr>
              <w:t>peripartum</w:t>
            </w:r>
            <w:proofErr w:type="spellEnd"/>
            <w:r w:rsidRPr="003B09C7">
              <w:rPr>
                <w:rFonts w:asciiTheme="majorBidi" w:hAnsiTheme="majorBidi" w:cstheme="majorBidi"/>
                <w:sz w:val="16"/>
                <w:szCs w:val="16"/>
              </w:rPr>
              <w:t>. Postnatal calculated.</w:t>
            </w:r>
          </w:p>
        </w:tc>
      </w:tr>
      <w:tr w:rsidR="00235D57" w:rsidTr="004B39AE">
        <w:tc>
          <w:tcPr>
            <w:tcW w:w="138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proofErr w:type="spellStart"/>
            <w:r w:rsidRPr="003B09C7">
              <w:rPr>
                <w:rFonts w:asciiTheme="majorBidi" w:hAnsiTheme="majorBidi" w:cstheme="majorBidi"/>
                <w:sz w:val="16"/>
                <w:szCs w:val="16"/>
              </w:rPr>
              <w:t>Sagay</w:t>
            </w:r>
            <w:proofErr w:type="spellEnd"/>
            <w:r w:rsidR="00982B6B">
              <w:rPr>
                <w:rFonts w:asciiTheme="majorBidi" w:hAnsiTheme="majorBidi" w:cstheme="majorBidi"/>
                <w:sz w:val="16"/>
                <w:szCs w:val="16"/>
              </w:rPr>
              <w:t xml:space="preserve"> et al</w:t>
            </w:r>
            <w:r w:rsidRPr="003B09C7">
              <w:rPr>
                <w:rFonts w:asciiTheme="majorBidi" w:hAnsiTheme="majorBidi" w:cstheme="majorBidi"/>
                <w:sz w:val="16"/>
                <w:szCs w:val="16"/>
              </w:rPr>
              <w:t>, 2015</w:t>
            </w:r>
          </w:p>
        </w:tc>
        <w:tc>
          <w:tcPr>
            <w:tcW w:w="155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Nigeria</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lang w:val="pt-PT"/>
              </w:rPr>
              <w:t>ART</w:t>
            </w:r>
          </w:p>
        </w:tc>
        <w:tc>
          <w:tcPr>
            <w:tcW w:w="1139"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All BF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lifelong</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1 year</w:t>
            </w:r>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D96C75" w:rsidP="00982B6B">
            <w:pPr>
              <w:rPr>
                <w:rFonts w:asciiTheme="majorBidi" w:hAnsiTheme="majorBidi" w:cstheme="majorBidi"/>
                <w:sz w:val="16"/>
                <w:szCs w:val="16"/>
              </w:rPr>
            </w:pPr>
            <w:r>
              <w:rPr>
                <w:rFonts w:asciiTheme="majorBidi" w:hAnsiTheme="majorBidi" w:cstheme="majorBidi"/>
                <w:sz w:val="16"/>
                <w:szCs w:val="16"/>
              </w:rPr>
              <w:t xml:space="preserve">6, </w:t>
            </w:r>
            <w:r w:rsidR="00235D57" w:rsidRPr="003B09C7">
              <w:rPr>
                <w:rFonts w:asciiTheme="majorBidi" w:hAnsiTheme="majorBidi" w:cstheme="majorBidi"/>
                <w:sz w:val="16"/>
                <w:szCs w:val="16"/>
              </w:rPr>
              <w:t xml:space="preserve">18 </w:t>
            </w:r>
            <w:proofErr w:type="spellStart"/>
            <w:r w:rsidR="00235D57" w:rsidRPr="003B09C7">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856</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Calculated</w:t>
            </w:r>
          </w:p>
        </w:tc>
        <w:tc>
          <w:tcPr>
            <w:tcW w:w="1843" w:type="dxa"/>
            <w:tcBorders>
              <w:top w:val="single" w:sz="4" w:space="0" w:color="auto"/>
              <w:left w:val="single" w:sz="4" w:space="0" w:color="auto"/>
              <w:bottom w:val="single" w:sz="4" w:space="0" w:color="auto"/>
              <w:right w:val="single" w:sz="4" w:space="0" w:color="auto"/>
            </w:tcBorders>
            <w:hideMark/>
          </w:tcPr>
          <w:p w:rsidR="00235D57" w:rsidRPr="003B09C7" w:rsidRDefault="004B39AE" w:rsidP="00982B6B">
            <w:pPr>
              <w:rPr>
                <w:rFonts w:asciiTheme="majorBidi" w:hAnsiTheme="majorBidi" w:cstheme="majorBidi"/>
                <w:sz w:val="16"/>
                <w:szCs w:val="16"/>
              </w:rPr>
            </w:pPr>
            <w:r w:rsidRPr="004B39AE">
              <w:rPr>
                <w:rFonts w:asciiTheme="majorBidi" w:hAnsiTheme="majorBidi" w:cstheme="majorBidi"/>
                <w:sz w:val="16"/>
                <w:szCs w:val="16"/>
                <w:highlight w:val="yellow"/>
              </w:rPr>
              <w:t>Exclude 6 weeks</w:t>
            </w:r>
          </w:p>
        </w:tc>
      </w:tr>
      <w:tr w:rsidR="00235D57" w:rsidTr="004B39AE">
        <w:tc>
          <w:tcPr>
            <w:tcW w:w="138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proofErr w:type="spellStart"/>
            <w:r w:rsidRPr="003B09C7">
              <w:rPr>
                <w:rFonts w:asciiTheme="majorBidi" w:hAnsiTheme="majorBidi" w:cstheme="majorBidi"/>
                <w:sz w:val="16"/>
                <w:szCs w:val="16"/>
              </w:rPr>
              <w:t>Ngoma</w:t>
            </w:r>
            <w:proofErr w:type="spellEnd"/>
            <w:r w:rsidR="00982B6B">
              <w:rPr>
                <w:rFonts w:asciiTheme="majorBidi" w:hAnsiTheme="majorBidi" w:cstheme="majorBidi"/>
                <w:sz w:val="16"/>
                <w:szCs w:val="16"/>
              </w:rPr>
              <w:t xml:space="preserve"> et al</w:t>
            </w:r>
            <w:r w:rsidRPr="003B09C7">
              <w:rPr>
                <w:rFonts w:asciiTheme="majorBidi" w:hAnsiTheme="majorBidi" w:cstheme="majorBidi"/>
                <w:sz w:val="16"/>
                <w:szCs w:val="16"/>
              </w:rPr>
              <w:t>, 2015</w:t>
            </w:r>
          </w:p>
        </w:tc>
        <w:tc>
          <w:tcPr>
            <w:tcW w:w="1556" w:type="dxa"/>
            <w:gridSpan w:val="2"/>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Zambia</w:t>
            </w:r>
          </w:p>
        </w:tc>
        <w:tc>
          <w:tcPr>
            <w:tcW w:w="992"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lang w:val="pt-PT"/>
              </w:rPr>
              <w:t>ART</w:t>
            </w:r>
          </w:p>
        </w:tc>
        <w:tc>
          <w:tcPr>
            <w:tcW w:w="1139" w:type="dxa"/>
            <w:tcBorders>
              <w:top w:val="single" w:sz="4" w:space="0" w:color="auto"/>
              <w:left w:val="single" w:sz="4" w:space="0" w:color="auto"/>
              <w:bottom w:val="single" w:sz="4" w:space="0" w:color="auto"/>
              <w:right w:val="single" w:sz="4" w:space="0" w:color="auto"/>
            </w:tcBorders>
          </w:tcPr>
          <w:p w:rsidR="00235D57" w:rsidRPr="003B09C7" w:rsidRDefault="00235D57" w:rsidP="00982B6B">
            <w:pPr>
              <w:rPr>
                <w:rFonts w:asciiTheme="majorBidi" w:hAnsiTheme="majorBidi" w:cstheme="majorBidi"/>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All BF</w:t>
            </w:r>
          </w:p>
        </w:tc>
        <w:tc>
          <w:tcPr>
            <w:tcW w:w="1417"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14 </w:t>
            </w:r>
            <w:proofErr w:type="spellStart"/>
            <w:r w:rsidRPr="003B09C7">
              <w:rPr>
                <w:rFonts w:asciiTheme="majorBidi" w:hAnsiTheme="majorBidi" w:cstheme="majorBidi"/>
                <w:sz w:val="16"/>
                <w:szCs w:val="16"/>
              </w:rPr>
              <w:t>wks</w:t>
            </w:r>
            <w:proofErr w:type="spellEnd"/>
            <w:r w:rsidRPr="003B09C7">
              <w:rPr>
                <w:rFonts w:asciiTheme="majorBidi" w:hAnsiTheme="majorBidi" w:cstheme="majorBidi"/>
                <w:sz w:val="16"/>
                <w:szCs w:val="16"/>
              </w:rPr>
              <w:t>-lifelong</w:t>
            </w:r>
          </w:p>
        </w:tc>
        <w:tc>
          <w:tcPr>
            <w:tcW w:w="99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1 year</w:t>
            </w:r>
          </w:p>
        </w:tc>
        <w:tc>
          <w:tcPr>
            <w:tcW w:w="1135" w:type="dxa"/>
            <w:tcBorders>
              <w:top w:val="single" w:sz="4" w:space="0" w:color="auto"/>
              <w:left w:val="single" w:sz="4" w:space="0" w:color="auto"/>
              <w:bottom w:val="single" w:sz="4" w:space="0" w:color="auto"/>
              <w:right w:val="single" w:sz="4" w:space="0" w:color="auto"/>
            </w:tcBorders>
            <w:hideMark/>
          </w:tcPr>
          <w:p w:rsidR="00235D57" w:rsidRPr="003B09C7" w:rsidRDefault="004B39AE" w:rsidP="004B39AE">
            <w:pPr>
              <w:rPr>
                <w:rFonts w:asciiTheme="majorBidi" w:hAnsiTheme="majorBidi" w:cstheme="majorBidi"/>
                <w:sz w:val="16"/>
                <w:szCs w:val="16"/>
              </w:rPr>
            </w:pPr>
            <w:r>
              <w:rPr>
                <w:rFonts w:asciiTheme="majorBidi" w:hAnsiTheme="majorBidi" w:cstheme="majorBidi"/>
                <w:sz w:val="16"/>
                <w:szCs w:val="16"/>
              </w:rPr>
              <w:t xml:space="preserve">6 weeks, 6, </w:t>
            </w:r>
            <w:r w:rsidR="00235D57" w:rsidRPr="003B09C7">
              <w:rPr>
                <w:rFonts w:asciiTheme="majorBidi" w:hAnsiTheme="majorBidi" w:cstheme="majorBidi"/>
                <w:sz w:val="16"/>
                <w:szCs w:val="16"/>
              </w:rPr>
              <w:t xml:space="preserve">12 </w:t>
            </w:r>
            <w:proofErr w:type="spellStart"/>
            <w:r w:rsidR="00235D57" w:rsidRPr="003B09C7">
              <w:rPr>
                <w:rFonts w:asciiTheme="majorBidi" w:hAnsiTheme="majorBidi" w:cstheme="majorBidi"/>
                <w:sz w:val="16"/>
                <w:szCs w:val="16"/>
              </w:rPr>
              <w:t>mo</w:t>
            </w:r>
            <w:proofErr w:type="spellEnd"/>
            <w:r>
              <w:rPr>
                <w:rFonts w:asciiTheme="majorBidi" w:hAnsiTheme="majorBidi" w:cstheme="majorBidi"/>
                <w:sz w:val="16"/>
                <w:szCs w:val="16"/>
              </w:rPr>
              <w:t xml:space="preserve">, 18 </w:t>
            </w:r>
            <w:proofErr w:type="spellStart"/>
            <w:r>
              <w:rPr>
                <w:rFonts w:asciiTheme="majorBidi" w:hAnsiTheme="majorBidi" w:cstheme="majorBidi"/>
                <w:sz w:val="16"/>
                <w:szCs w:val="16"/>
              </w:rPr>
              <w:t>mo</w:t>
            </w:r>
            <w:proofErr w:type="spellEnd"/>
          </w:p>
        </w:tc>
        <w:tc>
          <w:tcPr>
            <w:tcW w:w="565"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231</w:t>
            </w:r>
          </w:p>
        </w:tc>
        <w:tc>
          <w:tcPr>
            <w:tcW w:w="1139"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jc w:val="center"/>
              <w:rPr>
                <w:rFonts w:asciiTheme="majorBidi" w:hAnsiTheme="majorBidi" w:cstheme="majorBidi"/>
                <w:sz w:val="16"/>
                <w:szCs w:val="16"/>
              </w:rPr>
            </w:pPr>
            <w:r w:rsidRPr="003B09C7">
              <w:rPr>
                <w:rFonts w:asciiTheme="majorBidi" w:hAnsiTheme="majorBidi" w:cstheme="majorBidi"/>
                <w:sz w:val="16"/>
                <w:szCs w:val="16"/>
              </w:rPr>
              <w:t xml:space="preserve">Given </w:t>
            </w:r>
            <w:r w:rsidR="0017154F">
              <w:rPr>
                <w:rFonts w:asciiTheme="majorBidi" w:hAnsiTheme="majorBidi" w:cstheme="majorBidi"/>
                <w:sz w:val="16"/>
                <w:szCs w:val="16"/>
              </w:rPr>
              <w:t>for 18 months</w:t>
            </w:r>
          </w:p>
        </w:tc>
        <w:tc>
          <w:tcPr>
            <w:tcW w:w="1843" w:type="dxa"/>
            <w:tcBorders>
              <w:top w:val="single" w:sz="4" w:space="0" w:color="auto"/>
              <w:left w:val="single" w:sz="4" w:space="0" w:color="auto"/>
              <w:bottom w:val="single" w:sz="4" w:space="0" w:color="auto"/>
              <w:right w:val="single" w:sz="4" w:space="0" w:color="auto"/>
            </w:tcBorders>
            <w:hideMark/>
          </w:tcPr>
          <w:p w:rsidR="00235D57" w:rsidRPr="003B09C7" w:rsidRDefault="00235D57" w:rsidP="00982B6B">
            <w:pPr>
              <w:rPr>
                <w:rFonts w:asciiTheme="majorBidi" w:hAnsiTheme="majorBidi" w:cstheme="majorBidi"/>
                <w:sz w:val="16"/>
                <w:szCs w:val="16"/>
              </w:rPr>
            </w:pPr>
            <w:r w:rsidRPr="003B09C7">
              <w:rPr>
                <w:rFonts w:asciiTheme="majorBidi" w:hAnsiTheme="majorBidi" w:cstheme="majorBidi"/>
                <w:sz w:val="16"/>
                <w:szCs w:val="16"/>
              </w:rPr>
              <w:t xml:space="preserve">Include </w:t>
            </w:r>
            <w:proofErr w:type="spellStart"/>
            <w:r w:rsidRPr="003B09C7">
              <w:rPr>
                <w:rFonts w:asciiTheme="majorBidi" w:hAnsiTheme="majorBidi" w:cstheme="majorBidi"/>
                <w:sz w:val="16"/>
                <w:szCs w:val="16"/>
              </w:rPr>
              <w:t>peripartum</w:t>
            </w:r>
            <w:proofErr w:type="spellEnd"/>
          </w:p>
        </w:tc>
      </w:tr>
    </w:tbl>
    <w:p w:rsidR="00235D57" w:rsidRDefault="00235D57" w:rsidP="00235D57">
      <w:pPr>
        <w:rPr>
          <w:rFonts w:asciiTheme="majorBidi" w:hAnsiTheme="majorBidi" w:cstheme="majorBidi"/>
          <w:sz w:val="24"/>
          <w:szCs w:val="24"/>
        </w:rPr>
      </w:pPr>
    </w:p>
    <w:p w:rsidR="00E65A2A" w:rsidRDefault="00E65A2A" w:rsidP="00235D57">
      <w:pPr>
        <w:spacing w:after="0" w:line="240" w:lineRule="auto"/>
        <w:ind w:left="360"/>
        <w:rPr>
          <w:rFonts w:asciiTheme="majorBidi" w:hAnsiTheme="majorBidi" w:cstheme="majorBidi"/>
          <w:sz w:val="18"/>
          <w:szCs w:val="18"/>
          <w:vertAlign w:val="superscript"/>
        </w:rPr>
        <w:sectPr w:rsidR="00E65A2A" w:rsidSect="00E65A2A">
          <w:pgSz w:w="16838" w:h="11906" w:orient="landscape"/>
          <w:pgMar w:top="1440" w:right="1440" w:bottom="1440" w:left="1440" w:header="709" w:footer="709" w:gutter="0"/>
          <w:cols w:space="708"/>
          <w:docGrid w:linePitch="360"/>
        </w:sectPr>
      </w:pPr>
    </w:p>
    <w:p w:rsidR="003B09C7" w:rsidRDefault="003B09C7" w:rsidP="00235D57">
      <w:pPr>
        <w:spacing w:after="0" w:line="240" w:lineRule="auto"/>
        <w:ind w:left="360"/>
        <w:rPr>
          <w:rFonts w:asciiTheme="majorBidi" w:hAnsiTheme="majorBidi" w:cstheme="majorBidi"/>
          <w:sz w:val="18"/>
          <w:szCs w:val="18"/>
          <w:vertAlign w:val="superscript"/>
        </w:rPr>
      </w:pPr>
    </w:p>
    <w:p w:rsidR="003670BF" w:rsidRPr="003670BF" w:rsidRDefault="003670BF" w:rsidP="003670BF">
      <w:pPr>
        <w:spacing w:after="0" w:line="240" w:lineRule="auto"/>
        <w:ind w:left="360"/>
        <w:rPr>
          <w:rFonts w:asciiTheme="majorBidi" w:hAnsiTheme="majorBidi" w:cstheme="majorBidi"/>
          <w:sz w:val="16"/>
          <w:szCs w:val="16"/>
        </w:rPr>
      </w:pPr>
      <w:r w:rsidRPr="000445DC">
        <w:rPr>
          <w:rFonts w:asciiTheme="majorBidi" w:hAnsiTheme="majorBidi" w:cstheme="majorBidi"/>
          <w:sz w:val="16"/>
          <w:szCs w:val="16"/>
          <w:highlight w:val="yellow"/>
        </w:rPr>
        <w:t>BF= Breastfeeding; RF= Replacement feeding</w:t>
      </w:r>
    </w:p>
    <w:p w:rsidR="00235D57" w:rsidRPr="003B09C7" w:rsidRDefault="00235D57" w:rsidP="003670BF">
      <w:pPr>
        <w:spacing w:after="0" w:line="240" w:lineRule="auto"/>
        <w:ind w:left="360"/>
        <w:rPr>
          <w:rFonts w:asciiTheme="majorBidi" w:hAnsiTheme="majorBidi" w:cstheme="majorBidi"/>
          <w:sz w:val="16"/>
          <w:szCs w:val="16"/>
          <w:vertAlign w:val="superscript"/>
        </w:rPr>
      </w:pPr>
      <w:proofErr w:type="gramStart"/>
      <w:r w:rsidRPr="003B09C7">
        <w:rPr>
          <w:rFonts w:asciiTheme="majorBidi" w:hAnsiTheme="majorBidi" w:cstheme="majorBidi"/>
          <w:sz w:val="16"/>
          <w:szCs w:val="16"/>
          <w:vertAlign w:val="superscript"/>
        </w:rPr>
        <w:t xml:space="preserve">a  </w:t>
      </w:r>
      <w:r w:rsidRPr="003B09C7">
        <w:rPr>
          <w:rFonts w:asciiTheme="majorBidi" w:hAnsiTheme="majorBidi" w:cstheme="majorBidi"/>
          <w:sz w:val="16"/>
          <w:szCs w:val="16"/>
        </w:rPr>
        <w:t>Studies</w:t>
      </w:r>
      <w:proofErr w:type="gramEnd"/>
      <w:r w:rsidRPr="003B09C7">
        <w:rPr>
          <w:rFonts w:asciiTheme="majorBidi" w:hAnsiTheme="majorBidi" w:cstheme="majorBidi"/>
          <w:sz w:val="16"/>
          <w:szCs w:val="16"/>
        </w:rPr>
        <w:t xml:space="preserve"> performed in rural environment</w:t>
      </w:r>
    </w:p>
    <w:p w:rsidR="00235D57" w:rsidRPr="003B09C7" w:rsidRDefault="00235D57" w:rsidP="003670BF">
      <w:pPr>
        <w:spacing w:after="0" w:line="240" w:lineRule="auto"/>
        <w:ind w:left="360"/>
        <w:rPr>
          <w:rFonts w:asciiTheme="majorBidi" w:hAnsiTheme="majorBidi" w:cstheme="majorBidi"/>
          <w:sz w:val="16"/>
          <w:szCs w:val="16"/>
        </w:rPr>
      </w:pPr>
      <w:r w:rsidRPr="003B09C7">
        <w:rPr>
          <w:rFonts w:asciiTheme="majorBidi" w:hAnsiTheme="majorBidi" w:cstheme="majorBidi"/>
          <w:sz w:val="16"/>
          <w:szCs w:val="16"/>
        </w:rPr>
        <w:t>†Mothers with clinical stage 4 or CD4 &lt;200 cells/mm</w:t>
      </w:r>
      <w:r w:rsidRPr="003B09C7">
        <w:rPr>
          <w:rFonts w:asciiTheme="majorBidi" w:hAnsiTheme="majorBidi" w:cstheme="majorBidi"/>
          <w:sz w:val="16"/>
          <w:szCs w:val="16"/>
          <w:vertAlign w:val="superscript"/>
        </w:rPr>
        <w:t>3</w:t>
      </w:r>
      <w:r w:rsidRPr="003B09C7">
        <w:rPr>
          <w:rFonts w:asciiTheme="majorBidi" w:hAnsiTheme="majorBidi" w:cstheme="majorBidi"/>
          <w:sz w:val="16"/>
          <w:szCs w:val="16"/>
        </w:rPr>
        <w:t xml:space="preserve"> were excluded</w:t>
      </w:r>
    </w:p>
    <w:p w:rsidR="00235D57" w:rsidRPr="003B09C7" w:rsidRDefault="00235D57" w:rsidP="003670BF">
      <w:pPr>
        <w:spacing w:after="0" w:line="240" w:lineRule="auto"/>
        <w:ind w:left="360"/>
        <w:rPr>
          <w:rFonts w:asciiTheme="majorBidi" w:hAnsiTheme="majorBidi" w:cstheme="majorBidi"/>
          <w:sz w:val="16"/>
          <w:szCs w:val="16"/>
        </w:rPr>
      </w:pPr>
      <w:r w:rsidRPr="003B09C7">
        <w:rPr>
          <w:rFonts w:asciiTheme="majorBidi" w:hAnsiTheme="majorBidi" w:cstheme="majorBidi"/>
          <w:sz w:val="16"/>
          <w:szCs w:val="16"/>
        </w:rPr>
        <w:t xml:space="preserve">‡Mothers with CD4 count  &lt;200 cells/mm3 or stage III or </w:t>
      </w:r>
      <w:proofErr w:type="spellStart"/>
      <w:r w:rsidRPr="003B09C7">
        <w:rPr>
          <w:rFonts w:asciiTheme="majorBidi" w:hAnsiTheme="majorBidi" w:cstheme="majorBidi"/>
          <w:sz w:val="16"/>
          <w:szCs w:val="16"/>
        </w:rPr>
        <w:t>IVdisease</w:t>
      </w:r>
      <w:proofErr w:type="spellEnd"/>
      <w:r w:rsidRPr="003B09C7">
        <w:rPr>
          <w:rFonts w:asciiTheme="majorBidi" w:hAnsiTheme="majorBidi" w:cstheme="majorBidi"/>
          <w:sz w:val="16"/>
          <w:szCs w:val="16"/>
        </w:rPr>
        <w:t xml:space="preserve"> remained on ART throughout the study, and those who subsequently met the criteria after stopping ARVs were restarted, or when CD4 cell counts were  ≤350 cells/mm</w:t>
      </w:r>
      <w:r w:rsidRPr="003B09C7">
        <w:rPr>
          <w:rFonts w:asciiTheme="majorBidi" w:hAnsiTheme="majorBidi" w:cstheme="majorBidi"/>
          <w:sz w:val="16"/>
          <w:szCs w:val="16"/>
          <w:vertAlign w:val="superscript"/>
        </w:rPr>
        <w:t xml:space="preserve">3 </w:t>
      </w:r>
      <w:r w:rsidRPr="003B09C7">
        <w:rPr>
          <w:rFonts w:asciiTheme="majorBidi" w:hAnsiTheme="majorBidi" w:cstheme="majorBidi"/>
          <w:sz w:val="16"/>
          <w:szCs w:val="16"/>
        </w:rPr>
        <w:t xml:space="preserve">(Peltier, </w:t>
      </w:r>
      <w:proofErr w:type="spellStart"/>
      <w:r w:rsidRPr="003B09C7">
        <w:rPr>
          <w:rFonts w:asciiTheme="majorBidi" w:hAnsiTheme="majorBidi" w:cstheme="majorBidi"/>
          <w:sz w:val="16"/>
          <w:szCs w:val="16"/>
        </w:rPr>
        <w:t>Marazzi</w:t>
      </w:r>
      <w:proofErr w:type="spellEnd"/>
      <w:r w:rsidRPr="003B09C7">
        <w:rPr>
          <w:rFonts w:asciiTheme="majorBidi" w:hAnsiTheme="majorBidi" w:cstheme="majorBidi"/>
          <w:sz w:val="16"/>
          <w:szCs w:val="16"/>
        </w:rPr>
        <w:t>)</w:t>
      </w:r>
    </w:p>
    <w:p w:rsidR="00D347FA" w:rsidRDefault="00235D57" w:rsidP="003670BF">
      <w:pPr>
        <w:spacing w:after="0" w:line="240" w:lineRule="auto"/>
        <w:ind w:left="360"/>
        <w:rPr>
          <w:rFonts w:asciiTheme="majorBidi" w:hAnsiTheme="majorBidi" w:cstheme="majorBidi"/>
          <w:sz w:val="16"/>
          <w:szCs w:val="16"/>
        </w:rPr>
      </w:pPr>
      <w:r w:rsidRPr="003B09C7">
        <w:rPr>
          <w:rFonts w:asciiTheme="majorBidi" w:hAnsiTheme="majorBidi" w:cstheme="majorBidi"/>
          <w:sz w:val="16"/>
          <w:szCs w:val="16"/>
        </w:rPr>
        <w:t>*Mothers on ART based on disease progression or low CD4+ count</w:t>
      </w:r>
    </w:p>
    <w:p w:rsidR="00D347FA" w:rsidRDefault="00D347FA" w:rsidP="003670BF">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5737F7" w:rsidRDefault="005737F7">
      <w:pPr>
        <w:rPr>
          <w:rFonts w:asciiTheme="majorBidi" w:eastAsia="Times New Roman" w:hAnsiTheme="majorBidi" w:cstheme="majorBidi"/>
          <w:b/>
          <w:bCs/>
          <w:color w:val="000000"/>
          <w:sz w:val="24"/>
          <w:szCs w:val="24"/>
          <w:lang w:val="en"/>
        </w:rPr>
        <w:sectPr w:rsidR="005737F7" w:rsidSect="00E65A2A">
          <w:pgSz w:w="16838" w:h="11906" w:orient="landscape"/>
          <w:pgMar w:top="1440" w:right="1440" w:bottom="1440" w:left="1440" w:header="709" w:footer="709" w:gutter="0"/>
          <w:cols w:space="708"/>
          <w:docGrid w:linePitch="360"/>
        </w:sectPr>
      </w:pPr>
    </w:p>
    <w:p w:rsidR="005737F7" w:rsidRDefault="005737F7" w:rsidP="005737F7">
      <w:pPr>
        <w:spacing w:line="480" w:lineRule="auto"/>
        <w:rPr>
          <w:rFonts w:asciiTheme="majorBidi" w:eastAsia="Times New Roman" w:hAnsiTheme="majorBidi" w:cstheme="majorBidi"/>
          <w:color w:val="000000"/>
          <w:sz w:val="24"/>
          <w:szCs w:val="24"/>
          <w:lang w:val="en"/>
        </w:rPr>
      </w:pPr>
      <w:proofErr w:type="gramStart"/>
      <w:r w:rsidRPr="000445DC">
        <w:rPr>
          <w:rFonts w:asciiTheme="majorBidi" w:eastAsia="Times New Roman" w:hAnsiTheme="majorBidi" w:cstheme="majorBidi"/>
          <w:b/>
          <w:bCs/>
          <w:color w:val="000000"/>
          <w:sz w:val="24"/>
          <w:szCs w:val="24"/>
          <w:highlight w:val="yellow"/>
          <w:lang w:val="en"/>
        </w:rPr>
        <w:lastRenderedPageBreak/>
        <w:t>Supplementary Table 2</w:t>
      </w:r>
      <w:r w:rsidRPr="006D0F4D">
        <w:rPr>
          <w:rFonts w:asciiTheme="majorBidi" w:eastAsia="Times New Roman" w:hAnsiTheme="majorBidi" w:cstheme="majorBidi"/>
          <w:b/>
          <w:bCs/>
          <w:color w:val="000000"/>
          <w:sz w:val="24"/>
          <w:szCs w:val="24"/>
          <w:lang w:val="en"/>
        </w:rPr>
        <w:t>.</w:t>
      </w:r>
      <w:proofErr w:type="gramEnd"/>
      <w:r w:rsidRPr="006D0F4D">
        <w:rPr>
          <w:rFonts w:asciiTheme="majorBidi" w:eastAsia="Times New Roman" w:hAnsiTheme="majorBidi" w:cstheme="majorBidi"/>
          <w:b/>
          <w:bCs/>
          <w:color w:val="000000"/>
          <w:sz w:val="24"/>
          <w:szCs w:val="24"/>
          <w:lang w:val="en"/>
        </w:rPr>
        <w:t xml:space="preserve"> </w:t>
      </w:r>
      <w:r>
        <w:rPr>
          <w:rFonts w:asciiTheme="majorBidi" w:eastAsia="Times New Roman" w:hAnsiTheme="majorBidi" w:cstheme="majorBidi"/>
          <w:color w:val="000000"/>
          <w:sz w:val="24"/>
          <w:szCs w:val="24"/>
          <w:lang w:val="en"/>
        </w:rPr>
        <w:t>Full-text articles excluded from systematic review with reasons</w:t>
      </w:r>
    </w:p>
    <w:tbl>
      <w:tblPr>
        <w:tblStyle w:val="TableGrid"/>
        <w:tblW w:w="9498" w:type="dxa"/>
        <w:tblInd w:w="108" w:type="dxa"/>
        <w:tblLook w:val="04A0" w:firstRow="1" w:lastRow="0" w:firstColumn="1" w:lastColumn="0" w:noHBand="0" w:noVBand="1"/>
      </w:tblPr>
      <w:tblGrid>
        <w:gridCol w:w="567"/>
        <w:gridCol w:w="6010"/>
        <w:gridCol w:w="2921"/>
      </w:tblGrid>
      <w:tr w:rsidR="005737F7" w:rsidRPr="00CF288A" w:rsidTr="00982B6B">
        <w:tc>
          <w:tcPr>
            <w:tcW w:w="567" w:type="dxa"/>
          </w:tcPr>
          <w:p w:rsidR="005737F7" w:rsidRPr="00CF288A" w:rsidRDefault="005737F7" w:rsidP="00982B6B">
            <w:pPr>
              <w:rPr>
                <w:rFonts w:asciiTheme="majorBidi" w:hAnsiTheme="majorBidi" w:cstheme="majorBidi"/>
                <w:sz w:val="18"/>
                <w:szCs w:val="18"/>
                <w:lang w:val="en-CA" w:eastAsia="en-CA"/>
              </w:rPr>
            </w:pPr>
            <w:r w:rsidRPr="00CF288A">
              <w:rPr>
                <w:rFonts w:asciiTheme="majorBidi" w:hAnsiTheme="majorBidi" w:cstheme="majorBidi"/>
                <w:sz w:val="18"/>
                <w:szCs w:val="18"/>
                <w:lang w:val="en-CA" w:eastAsia="en-CA"/>
              </w:rPr>
              <w:t>No.</w:t>
            </w:r>
          </w:p>
        </w:tc>
        <w:tc>
          <w:tcPr>
            <w:tcW w:w="6010" w:type="dxa"/>
          </w:tcPr>
          <w:p w:rsidR="005737F7" w:rsidRPr="00CF288A" w:rsidRDefault="005737F7" w:rsidP="00982B6B">
            <w:pPr>
              <w:rPr>
                <w:rFonts w:asciiTheme="majorBidi" w:hAnsiTheme="majorBidi" w:cstheme="majorBidi"/>
                <w:sz w:val="18"/>
                <w:szCs w:val="18"/>
                <w:lang w:val="en-CA" w:eastAsia="en-CA"/>
              </w:rPr>
            </w:pPr>
            <w:r w:rsidRPr="00CF288A">
              <w:rPr>
                <w:rFonts w:asciiTheme="majorBidi" w:hAnsiTheme="majorBidi" w:cstheme="majorBidi"/>
                <w:sz w:val="18"/>
                <w:szCs w:val="18"/>
                <w:lang w:val="en-CA" w:eastAsia="en-CA"/>
              </w:rPr>
              <w:t xml:space="preserve">Reference </w:t>
            </w:r>
          </w:p>
        </w:tc>
        <w:tc>
          <w:tcPr>
            <w:tcW w:w="2921" w:type="dxa"/>
          </w:tcPr>
          <w:p w:rsidR="005737F7" w:rsidRPr="00CF288A" w:rsidRDefault="005737F7" w:rsidP="00982B6B">
            <w:pPr>
              <w:rPr>
                <w:rFonts w:asciiTheme="majorBidi" w:hAnsiTheme="majorBidi" w:cstheme="majorBidi"/>
                <w:sz w:val="18"/>
                <w:szCs w:val="18"/>
                <w:lang w:val="en-CA" w:eastAsia="en-CA"/>
              </w:rPr>
            </w:pPr>
            <w:r w:rsidRPr="00CF288A">
              <w:rPr>
                <w:rFonts w:asciiTheme="majorBidi" w:hAnsiTheme="majorBidi" w:cstheme="majorBidi"/>
                <w:sz w:val="18"/>
                <w:szCs w:val="18"/>
                <w:lang w:val="en-CA" w:eastAsia="en-CA"/>
              </w:rPr>
              <w:t>Reason for Exclusion</w:t>
            </w:r>
          </w:p>
        </w:tc>
      </w:tr>
      <w:tr w:rsidR="005737F7" w:rsidRPr="00CF288A" w:rsidTr="00982B6B">
        <w:trPr>
          <w:trHeight w:val="940"/>
        </w:trPr>
        <w:tc>
          <w:tcPr>
            <w:tcW w:w="567" w:type="dxa"/>
          </w:tcPr>
          <w:p w:rsidR="005737F7" w:rsidRPr="00CF288A" w:rsidRDefault="005737F7" w:rsidP="00982B6B">
            <w:pPr>
              <w:rPr>
                <w:rFonts w:asciiTheme="majorBidi" w:hAnsiTheme="majorBidi" w:cstheme="majorBidi"/>
                <w:sz w:val="18"/>
                <w:szCs w:val="18"/>
                <w:lang w:val="en-CA" w:eastAsia="en-CA"/>
              </w:rPr>
            </w:pPr>
            <w:r w:rsidRPr="00CF288A">
              <w:rPr>
                <w:rFonts w:asciiTheme="majorBidi" w:hAnsiTheme="majorBidi" w:cstheme="majorBidi"/>
                <w:sz w:val="18"/>
                <w:szCs w:val="18"/>
                <w:lang w:val="en-CA" w:eastAsia="en-CA"/>
              </w:rPr>
              <w:t>1</w:t>
            </w:r>
            <w:r>
              <w:rPr>
                <w:rFonts w:asciiTheme="majorBidi" w:hAnsiTheme="majorBidi" w:cstheme="majorBidi"/>
                <w:sz w:val="18"/>
                <w:szCs w:val="18"/>
                <w:lang w:val="en-CA" w:eastAsia="en-CA"/>
              </w:rPr>
              <w:t>.</w:t>
            </w:r>
          </w:p>
        </w:tc>
        <w:tc>
          <w:tcPr>
            <w:tcW w:w="6010" w:type="dxa"/>
          </w:tcPr>
          <w:p w:rsidR="005737F7" w:rsidRPr="00CF288A" w:rsidRDefault="005737F7" w:rsidP="00982B6B">
            <w:pPr>
              <w:pStyle w:val="EndNoteBibliography"/>
              <w:rPr>
                <w:rFonts w:asciiTheme="majorBidi" w:hAnsiTheme="majorBidi" w:cstheme="majorBidi"/>
                <w:sz w:val="18"/>
                <w:szCs w:val="18"/>
              </w:rPr>
            </w:pPr>
            <w:r w:rsidRPr="00301EE3">
              <w:rPr>
                <w:rFonts w:asciiTheme="majorBidi" w:hAnsiTheme="majorBidi" w:cstheme="majorBidi"/>
                <w:sz w:val="18"/>
                <w:szCs w:val="18"/>
              </w:rPr>
              <w:t>Anoje C, Aiyenigba B, Suzuki C, Badru T, Akpoigbe K, Odo M, et al. Reducing mother-to-child transmission of HIV: findings from an early infant diagnosis program in south-south region of Nigeria. BMC Public Health. 2012;12:184</w:t>
            </w:r>
            <w:r>
              <w:rPr>
                <w:rFonts w:asciiTheme="majorBidi" w:hAnsiTheme="majorBidi" w:cstheme="majorBidi"/>
                <w:sz w:val="18"/>
                <w:szCs w:val="18"/>
              </w:rPr>
              <w:t>.</w:t>
            </w:r>
          </w:p>
        </w:tc>
        <w:tc>
          <w:tcPr>
            <w:tcW w:w="2921" w:type="dxa"/>
          </w:tcPr>
          <w:p w:rsidR="005737F7" w:rsidRPr="00CF288A" w:rsidRDefault="005737F7" w:rsidP="00982B6B">
            <w:pPr>
              <w:rPr>
                <w:rFonts w:asciiTheme="majorBidi" w:hAnsiTheme="majorBidi" w:cstheme="majorBidi"/>
                <w:sz w:val="18"/>
                <w:szCs w:val="18"/>
                <w:lang w:val="en-CA" w:eastAsia="en-CA"/>
              </w:rPr>
            </w:pPr>
            <w:r w:rsidRPr="00CF288A">
              <w:rPr>
                <w:rFonts w:asciiTheme="majorBidi" w:hAnsiTheme="majorBidi" w:cstheme="majorBidi"/>
                <w:sz w:val="18"/>
                <w:szCs w:val="18"/>
                <w:lang w:val="en-CA" w:eastAsia="en-CA"/>
              </w:rPr>
              <w:t xml:space="preserve">The study </w:t>
            </w:r>
            <w:r>
              <w:rPr>
                <w:rFonts w:asciiTheme="majorBidi" w:hAnsiTheme="majorBidi" w:cstheme="majorBidi"/>
                <w:sz w:val="18"/>
                <w:szCs w:val="18"/>
                <w:lang w:val="en-CA" w:eastAsia="en-CA"/>
              </w:rPr>
              <w:t xml:space="preserve">combines both groups of women on different types of ARV, and do not provide infant HIV free survival when mothers are breastfeeding and on </w:t>
            </w:r>
            <w:proofErr w:type="spellStart"/>
            <w:r>
              <w:rPr>
                <w:rFonts w:asciiTheme="majorBidi" w:hAnsiTheme="majorBidi" w:cstheme="majorBidi"/>
                <w:sz w:val="18"/>
                <w:szCs w:val="18"/>
                <w:lang w:val="en-CA" w:eastAsia="en-CA"/>
              </w:rPr>
              <w:t>cART</w:t>
            </w:r>
            <w:proofErr w:type="spellEnd"/>
            <w:r>
              <w:rPr>
                <w:rFonts w:asciiTheme="majorBidi" w:hAnsiTheme="majorBidi" w:cstheme="majorBidi"/>
                <w:sz w:val="18"/>
                <w:szCs w:val="18"/>
                <w:lang w:val="en-CA" w:eastAsia="en-CA"/>
              </w:rPr>
              <w:t xml:space="preserve">. </w:t>
            </w:r>
          </w:p>
        </w:tc>
      </w:tr>
      <w:tr w:rsidR="005737F7" w:rsidRPr="00CF288A" w:rsidTr="005737F7">
        <w:trPr>
          <w:trHeight w:val="1663"/>
        </w:trPr>
        <w:tc>
          <w:tcPr>
            <w:tcW w:w="567" w:type="dxa"/>
          </w:tcPr>
          <w:p w:rsidR="005737F7" w:rsidRPr="00CF288A" w:rsidRDefault="005737F7" w:rsidP="00982B6B">
            <w:pPr>
              <w:rPr>
                <w:rFonts w:asciiTheme="majorBidi" w:hAnsiTheme="majorBidi" w:cstheme="majorBidi"/>
                <w:sz w:val="18"/>
                <w:szCs w:val="18"/>
                <w:lang w:val="en-CA" w:eastAsia="en-CA"/>
              </w:rPr>
            </w:pPr>
            <w:r w:rsidRPr="00CF288A">
              <w:rPr>
                <w:rFonts w:asciiTheme="majorBidi" w:hAnsiTheme="majorBidi" w:cstheme="majorBidi"/>
                <w:sz w:val="18"/>
                <w:szCs w:val="18"/>
                <w:lang w:val="en-CA" w:eastAsia="en-CA"/>
              </w:rPr>
              <w:t>2.</w:t>
            </w:r>
          </w:p>
        </w:tc>
        <w:tc>
          <w:tcPr>
            <w:tcW w:w="6010" w:type="dxa"/>
          </w:tcPr>
          <w:p w:rsidR="005737F7" w:rsidRDefault="005737F7" w:rsidP="00982B6B">
            <w:pPr>
              <w:pStyle w:val="EndNoteBibliography"/>
              <w:rPr>
                <w:rFonts w:asciiTheme="majorBidi" w:hAnsiTheme="majorBidi" w:cstheme="majorBidi"/>
                <w:sz w:val="18"/>
                <w:szCs w:val="18"/>
              </w:rPr>
            </w:pPr>
            <w:r w:rsidRPr="00F43487">
              <w:rPr>
                <w:rFonts w:asciiTheme="majorBidi" w:hAnsiTheme="majorBidi" w:cstheme="majorBidi"/>
                <w:sz w:val="18"/>
                <w:szCs w:val="18"/>
              </w:rPr>
              <w:t>Becquet R, Bequet L, Ekouevi DK, Viho I, Sakarovitch C, Fassinou P, et al. Two-year morbidity-mortality and alternatives to prolonged breast-feeding among children born to HIV-infected mothers in Cote d'Ivoire. PLoS Med. 2007;4(1):e17</w:t>
            </w:r>
          </w:p>
          <w:p w:rsidR="005737F7" w:rsidRDefault="005737F7" w:rsidP="005737F7">
            <w:pPr>
              <w:pStyle w:val="EndNoteBibliography"/>
              <w:rPr>
                <w:rFonts w:asciiTheme="majorBidi" w:hAnsiTheme="majorBidi" w:cstheme="majorBidi"/>
                <w:sz w:val="18"/>
                <w:szCs w:val="18"/>
              </w:rPr>
            </w:pPr>
            <w:r w:rsidRPr="002260D2">
              <w:rPr>
                <w:rFonts w:asciiTheme="majorBidi" w:hAnsiTheme="majorBidi" w:cstheme="majorBidi"/>
                <w:sz w:val="18"/>
                <w:szCs w:val="18"/>
                <w:lang w:val="en-CA"/>
              </w:rPr>
              <w:t xml:space="preserve">Becquet R, Ekouevi DK, Menan H, Amani-Bosse C, Bequet L, Viho I, et al. </w:t>
            </w:r>
            <w:r w:rsidRPr="00F43487">
              <w:rPr>
                <w:rFonts w:asciiTheme="majorBidi" w:hAnsiTheme="majorBidi" w:cstheme="majorBidi"/>
                <w:sz w:val="18"/>
                <w:szCs w:val="18"/>
              </w:rPr>
              <w:t>Early mixed feeding and breastfeeding beyond 6 months increase the risk of postnatal HIV transmission: ANRS 1201/1202 Ditrame Plus, Abidjan, Cote d'Ivoire. Preventive Medicine. 2008;47(1):27-33.</w:t>
            </w:r>
          </w:p>
          <w:p w:rsidR="005737F7" w:rsidRPr="00F43487" w:rsidRDefault="005737F7" w:rsidP="005737F7">
            <w:pPr>
              <w:pStyle w:val="EndNoteBibliography"/>
              <w:rPr>
                <w:rFonts w:asciiTheme="majorBidi" w:hAnsiTheme="majorBidi" w:cstheme="majorBidi"/>
                <w:sz w:val="18"/>
                <w:szCs w:val="18"/>
              </w:rPr>
            </w:pPr>
            <w:r w:rsidRPr="00F43487">
              <w:rPr>
                <w:rFonts w:asciiTheme="majorBidi" w:hAnsiTheme="majorBidi" w:cstheme="majorBidi"/>
                <w:sz w:val="18"/>
                <w:szCs w:val="18"/>
              </w:rPr>
              <w:t>Leroy V, Ekouevi DK, Becquet R, Viho I, Dequae-Merchadou L, Tonwe-Gold B, et al. 18-month effectiveness of short-course antiretroviral regimens combined with alternatives to breastfeeding to prevent HIV mother-to-child transmission. PLoS One. 2008;3(2):e1645</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Mothers were not on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 but on dual ARV with single dose NVP on labour.</w:t>
            </w:r>
          </w:p>
        </w:tc>
      </w:tr>
      <w:tr w:rsidR="005737F7" w:rsidRPr="00CF288A" w:rsidTr="00982B6B">
        <w:tc>
          <w:tcPr>
            <w:tcW w:w="567" w:type="dxa"/>
          </w:tcPr>
          <w:p w:rsidR="005737F7" w:rsidRPr="00CF288A"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3</w:t>
            </w:r>
            <w:r w:rsidR="005737F7" w:rsidRPr="00CF288A">
              <w:rPr>
                <w:rFonts w:asciiTheme="majorBidi" w:hAnsiTheme="majorBidi" w:cstheme="majorBidi"/>
                <w:sz w:val="18"/>
                <w:szCs w:val="18"/>
                <w:lang w:val="en-CA" w:eastAsia="en-CA"/>
              </w:rPr>
              <w:t>.</w:t>
            </w:r>
          </w:p>
        </w:tc>
        <w:tc>
          <w:tcPr>
            <w:tcW w:w="6010" w:type="dxa"/>
          </w:tcPr>
          <w:p w:rsidR="005737F7" w:rsidRPr="00D85594"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Binagwaho A, Pegurri E, Drobac PC, Mugwaneza P, Stulac SN, Wagner CM, et al. Prevention of mother-to-child transmission of HIV: cost-effectiveness of antiretroviral regimens and feeding options in Rwanda. PLoS One. 2013;8(2):e54180</w:t>
            </w:r>
          </w:p>
        </w:tc>
        <w:tc>
          <w:tcPr>
            <w:tcW w:w="2921" w:type="dxa"/>
          </w:tcPr>
          <w:p w:rsidR="005737F7" w:rsidRPr="00CF288A" w:rsidRDefault="005737F7"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 xml:space="preserve">Mothers are on short course </w:t>
            </w:r>
            <w:proofErr w:type="spellStart"/>
            <w:r>
              <w:rPr>
                <w:rFonts w:asciiTheme="majorBidi" w:hAnsiTheme="majorBidi" w:cstheme="majorBidi"/>
                <w:sz w:val="18"/>
                <w:szCs w:val="18"/>
                <w:lang w:val="en-CA" w:eastAsia="en-CA"/>
              </w:rPr>
              <w:t>cART</w:t>
            </w:r>
            <w:proofErr w:type="spellEnd"/>
            <w:r>
              <w:rPr>
                <w:rFonts w:asciiTheme="majorBidi" w:hAnsiTheme="majorBidi" w:cstheme="majorBidi"/>
                <w:sz w:val="18"/>
                <w:szCs w:val="18"/>
                <w:lang w:val="en-CA" w:eastAsia="en-CA"/>
              </w:rPr>
              <w:t xml:space="preserve">, and </w:t>
            </w:r>
            <w:r w:rsidR="00D13118">
              <w:rPr>
                <w:rFonts w:asciiTheme="majorBidi" w:hAnsiTheme="majorBidi" w:cstheme="majorBidi"/>
                <w:sz w:val="18"/>
                <w:szCs w:val="18"/>
                <w:lang w:val="en-CA" w:eastAsia="en-CA"/>
              </w:rPr>
              <w:t xml:space="preserve">study </w:t>
            </w:r>
            <w:r>
              <w:rPr>
                <w:rFonts w:asciiTheme="majorBidi" w:hAnsiTheme="majorBidi" w:cstheme="majorBidi"/>
                <w:sz w:val="18"/>
                <w:szCs w:val="18"/>
                <w:lang w:val="en-CA" w:eastAsia="en-CA"/>
              </w:rPr>
              <w:t xml:space="preserve">does not provide </w:t>
            </w:r>
            <w:r w:rsidR="00D13118">
              <w:rPr>
                <w:rFonts w:asciiTheme="majorBidi" w:hAnsiTheme="majorBidi" w:cstheme="majorBidi"/>
                <w:sz w:val="18"/>
                <w:szCs w:val="18"/>
                <w:lang w:val="en-CA" w:eastAsia="en-CA"/>
              </w:rPr>
              <w:t xml:space="preserve">rates of </w:t>
            </w:r>
            <w:r>
              <w:rPr>
                <w:rFonts w:asciiTheme="majorBidi" w:hAnsiTheme="majorBidi" w:cstheme="majorBidi"/>
                <w:sz w:val="18"/>
                <w:szCs w:val="18"/>
                <w:lang w:val="en-CA" w:eastAsia="en-CA"/>
              </w:rPr>
              <w:t>HIV free survival. Focused on costs.</w:t>
            </w:r>
          </w:p>
        </w:tc>
      </w:tr>
      <w:tr w:rsidR="005737F7" w:rsidRPr="00CF288A" w:rsidTr="00982B6B">
        <w:trPr>
          <w:trHeight w:val="942"/>
        </w:trPr>
        <w:tc>
          <w:tcPr>
            <w:tcW w:w="567" w:type="dxa"/>
          </w:tcPr>
          <w:p w:rsidR="005737F7" w:rsidRPr="00CF288A"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4</w:t>
            </w:r>
            <w:r w:rsidR="005737F7" w:rsidRPr="00CF288A">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2260D2">
              <w:rPr>
                <w:rFonts w:asciiTheme="majorBidi" w:hAnsiTheme="majorBidi" w:cstheme="majorBidi"/>
                <w:noProof/>
                <w:sz w:val="18"/>
                <w:szCs w:val="18"/>
                <w:lang w:val="en-CA"/>
              </w:rPr>
              <w:t xml:space="preserve">Chi BH, Musonda P, Lembalemba MK, Chintu NT, Gartland MG, Mulenga SN, et al. </w:t>
            </w:r>
            <w:r w:rsidRPr="00F43487">
              <w:rPr>
                <w:rFonts w:asciiTheme="majorBidi" w:hAnsiTheme="majorBidi" w:cstheme="majorBidi"/>
                <w:noProof/>
                <w:sz w:val="18"/>
                <w:szCs w:val="18"/>
              </w:rPr>
              <w:t>Universal combination antiretroviral regimens to prevent mother-to-child transmission of HIV in rural Zambia: a two-round cross-sectional study. Bulletin of the World Health Organization. 2014;92(8):582-92.</w:t>
            </w:r>
          </w:p>
        </w:tc>
        <w:tc>
          <w:tcPr>
            <w:tcW w:w="2921" w:type="dxa"/>
          </w:tcPr>
          <w:p w:rsidR="005737F7" w:rsidRPr="00CF288A" w:rsidRDefault="005737F7" w:rsidP="00982B6B">
            <w:pPr>
              <w:rPr>
                <w:rFonts w:asciiTheme="majorBidi" w:hAnsiTheme="majorBidi" w:cstheme="majorBidi"/>
                <w:sz w:val="18"/>
                <w:szCs w:val="18"/>
                <w:lang w:val="en-CA" w:eastAsia="en-CA"/>
              </w:rPr>
            </w:pPr>
            <w:r w:rsidRPr="001109F2">
              <w:rPr>
                <w:rFonts w:asciiTheme="majorBidi" w:hAnsiTheme="majorBidi" w:cstheme="majorBidi"/>
                <w:sz w:val="18"/>
                <w:szCs w:val="18"/>
                <w:lang w:val="en-CA" w:eastAsia="en-CA"/>
              </w:rPr>
              <w:t>Provides only total HIV free survival</w:t>
            </w:r>
            <w:r>
              <w:rPr>
                <w:rFonts w:asciiTheme="majorBidi" w:hAnsiTheme="majorBidi" w:cstheme="majorBidi"/>
                <w:sz w:val="18"/>
                <w:szCs w:val="18"/>
                <w:lang w:val="en-CA" w:eastAsia="en-CA"/>
              </w:rPr>
              <w:t xml:space="preserve">, not total number of mothers on </w:t>
            </w:r>
            <w:proofErr w:type="spellStart"/>
            <w:r>
              <w:rPr>
                <w:rFonts w:asciiTheme="majorBidi" w:hAnsiTheme="majorBidi" w:cstheme="majorBidi"/>
                <w:sz w:val="18"/>
                <w:szCs w:val="18"/>
                <w:lang w:val="en-CA" w:eastAsia="en-CA"/>
              </w:rPr>
              <w:t>cART</w:t>
            </w:r>
            <w:proofErr w:type="spellEnd"/>
            <w:r>
              <w:rPr>
                <w:rFonts w:asciiTheme="majorBidi" w:hAnsiTheme="majorBidi" w:cstheme="majorBidi"/>
                <w:sz w:val="18"/>
                <w:szCs w:val="18"/>
                <w:lang w:val="en-CA" w:eastAsia="en-CA"/>
              </w:rPr>
              <w:t xml:space="preserve"> or infection only by </w:t>
            </w:r>
            <w:proofErr w:type="spellStart"/>
            <w:r>
              <w:rPr>
                <w:rFonts w:asciiTheme="majorBidi" w:hAnsiTheme="majorBidi" w:cstheme="majorBidi"/>
                <w:sz w:val="18"/>
                <w:szCs w:val="18"/>
                <w:lang w:val="en-CA" w:eastAsia="en-CA"/>
              </w:rPr>
              <w:t>c</w:t>
            </w:r>
            <w:r w:rsidRPr="001109F2">
              <w:rPr>
                <w:rFonts w:asciiTheme="majorBidi" w:hAnsiTheme="majorBidi" w:cstheme="majorBidi"/>
                <w:sz w:val="18"/>
                <w:szCs w:val="18"/>
                <w:lang w:val="en-CA" w:eastAsia="en-CA"/>
              </w:rPr>
              <w:t>ART</w:t>
            </w:r>
            <w:proofErr w:type="spellEnd"/>
            <w:r>
              <w:rPr>
                <w:rFonts w:asciiTheme="majorBidi" w:hAnsiTheme="majorBidi" w:cstheme="majorBidi"/>
                <w:sz w:val="18"/>
                <w:szCs w:val="18"/>
                <w:lang w:val="en-CA" w:eastAsia="en-CA"/>
              </w:rPr>
              <w:t>.</w:t>
            </w:r>
          </w:p>
        </w:tc>
      </w:tr>
      <w:tr w:rsidR="005737F7" w:rsidRPr="00CF288A" w:rsidTr="00982B6B">
        <w:tc>
          <w:tcPr>
            <w:tcW w:w="567" w:type="dxa"/>
          </w:tcPr>
          <w:p w:rsidR="005737F7" w:rsidRPr="00CF288A"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5</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Derebe G, Biadgilign S, Trivelli M, Hundessa G, Robi ZD, Gebre-Mariam M, et al. Determinant and outcome of early diagnosis of HIV infection among HIV-exposed infants in southwest Ethiopia. BMC research notes. 2014;7:309</w:t>
            </w:r>
          </w:p>
        </w:tc>
        <w:tc>
          <w:tcPr>
            <w:tcW w:w="2921" w:type="dxa"/>
          </w:tcPr>
          <w:p w:rsidR="005737F7" w:rsidRPr="00CF288A" w:rsidRDefault="005737F7" w:rsidP="00982B6B">
            <w:pPr>
              <w:rPr>
                <w:rFonts w:asciiTheme="majorBidi" w:hAnsiTheme="majorBidi" w:cstheme="majorBidi"/>
                <w:sz w:val="18"/>
                <w:szCs w:val="18"/>
                <w:lang w:val="en-CA" w:eastAsia="en-CA"/>
              </w:rPr>
            </w:pPr>
            <w:r w:rsidRPr="001109F2">
              <w:rPr>
                <w:rFonts w:asciiTheme="majorBidi" w:hAnsiTheme="majorBidi" w:cstheme="majorBidi"/>
                <w:sz w:val="18"/>
                <w:szCs w:val="18"/>
                <w:lang w:val="en-CA" w:eastAsia="en-CA"/>
              </w:rPr>
              <w:t>N</w:t>
            </w:r>
            <w:r>
              <w:rPr>
                <w:rFonts w:asciiTheme="majorBidi" w:hAnsiTheme="majorBidi" w:cstheme="majorBidi"/>
                <w:sz w:val="18"/>
                <w:szCs w:val="18"/>
                <w:lang w:val="en-CA" w:eastAsia="en-CA"/>
              </w:rPr>
              <w:t xml:space="preserve">o rates for breastfeeding and </w:t>
            </w:r>
            <w:proofErr w:type="spellStart"/>
            <w:r>
              <w:rPr>
                <w:rFonts w:asciiTheme="majorBidi" w:hAnsiTheme="majorBidi" w:cstheme="majorBidi"/>
                <w:sz w:val="18"/>
                <w:szCs w:val="18"/>
                <w:lang w:val="en-CA" w:eastAsia="en-CA"/>
              </w:rPr>
              <w:t>c</w:t>
            </w:r>
            <w:r w:rsidRPr="001109F2">
              <w:rPr>
                <w:rFonts w:asciiTheme="majorBidi" w:hAnsiTheme="majorBidi" w:cstheme="majorBidi"/>
                <w:sz w:val="18"/>
                <w:szCs w:val="18"/>
                <w:lang w:val="en-CA" w:eastAsia="en-CA"/>
              </w:rPr>
              <w:t>ART</w:t>
            </w:r>
            <w:proofErr w:type="spellEnd"/>
            <w:r w:rsidRPr="001109F2">
              <w:rPr>
                <w:rFonts w:asciiTheme="majorBidi" w:hAnsiTheme="majorBidi" w:cstheme="majorBidi"/>
                <w:sz w:val="18"/>
                <w:szCs w:val="18"/>
                <w:lang w:val="en-CA" w:eastAsia="en-CA"/>
              </w:rPr>
              <w:t xml:space="preserve"> together</w:t>
            </w:r>
            <w:r>
              <w:rPr>
                <w:rFonts w:asciiTheme="majorBidi" w:hAnsiTheme="majorBidi" w:cstheme="majorBidi"/>
                <w:sz w:val="18"/>
                <w:szCs w:val="18"/>
                <w:lang w:val="en-CA" w:eastAsia="en-CA"/>
              </w:rPr>
              <w:t xml:space="preserve"> were provided.</w:t>
            </w:r>
          </w:p>
        </w:tc>
      </w:tr>
      <w:tr w:rsidR="005737F7" w:rsidRPr="00CF288A" w:rsidTr="00982B6B">
        <w:tc>
          <w:tcPr>
            <w:tcW w:w="567" w:type="dxa"/>
          </w:tcPr>
          <w:p w:rsidR="005737F7" w:rsidRPr="00CF288A"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6</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noProof/>
                <w:sz w:val="18"/>
                <w:szCs w:val="18"/>
              </w:rPr>
            </w:pPr>
            <w:r w:rsidRPr="00F43487">
              <w:rPr>
                <w:rFonts w:asciiTheme="majorBidi" w:hAnsiTheme="majorBidi" w:cstheme="majorBidi"/>
                <w:noProof/>
                <w:sz w:val="18"/>
                <w:szCs w:val="18"/>
              </w:rPr>
              <w:t>Goga AE, Dinh TH, Jackson DJ, Lombard C, Delaney KP. First population-level effectiveness evaluation of a national programme to prevent HIV transmission from mother to child, South Africa. 2015;69(3):240-8</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It is very early diagnosis (4-6 weeks).</w:t>
            </w:r>
          </w:p>
        </w:tc>
      </w:tr>
      <w:tr w:rsidR="005737F7" w:rsidRPr="00CF288A" w:rsidTr="00982B6B">
        <w:tc>
          <w:tcPr>
            <w:tcW w:w="567" w:type="dxa"/>
          </w:tcPr>
          <w:p w:rsidR="005737F7" w:rsidRPr="00CF288A"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7</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Gray GE, Urban M, Chersich MF, Bolton C, van Niekerk R, Violari A, et al. A randomized trial of two postexposure prophylaxis regimens to reduce mother-to-child HIV-1 transmission in infants of untreated mothers. AIDS (London, England). 2005;19(12):1289-97</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Mothers were not on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 but on dual ARV.</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8</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Kagaayi J, Gray RH, Brahmbhatt H, Kigozi G, Nalugoda F, Wabwire-Mangen F, et al. Survival of infants born to HIV-positive mothers, by feeding modality, in Rakai, Uganda. PLoS One. 2008;3(12):e387</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Mothers on different type of antiretroviral therapy. Not possible to identify HIV transmission and death by mothers on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w:t>
            </w:r>
          </w:p>
        </w:tc>
      </w:tr>
      <w:tr w:rsidR="005737F7" w:rsidRPr="00CF288A" w:rsidTr="00982B6B">
        <w:tc>
          <w:tcPr>
            <w:tcW w:w="567" w:type="dxa"/>
          </w:tcPr>
          <w:p w:rsidR="005737F7" w:rsidRDefault="009F4969" w:rsidP="009F4969">
            <w:pPr>
              <w:rPr>
                <w:rFonts w:asciiTheme="majorBidi" w:hAnsiTheme="majorBidi" w:cstheme="majorBidi"/>
                <w:sz w:val="18"/>
                <w:szCs w:val="18"/>
                <w:lang w:val="en-CA" w:eastAsia="en-CA"/>
              </w:rPr>
            </w:pPr>
            <w:r>
              <w:rPr>
                <w:rFonts w:asciiTheme="majorBidi" w:hAnsiTheme="majorBidi" w:cstheme="majorBidi"/>
                <w:sz w:val="18"/>
                <w:szCs w:val="18"/>
                <w:lang w:val="en-CA" w:eastAsia="en-CA"/>
              </w:rPr>
              <w:t>9</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2260D2">
              <w:rPr>
                <w:rFonts w:asciiTheme="majorBidi" w:hAnsiTheme="majorBidi" w:cstheme="majorBidi"/>
                <w:noProof/>
                <w:sz w:val="18"/>
                <w:szCs w:val="18"/>
              </w:rPr>
              <w:t xml:space="preserve">Kouanda S, Tougri H, Cisse M, Simpore J, Pietra V, Doulougou B, et al. </w:t>
            </w:r>
            <w:r w:rsidRPr="00F43487">
              <w:rPr>
                <w:rFonts w:asciiTheme="majorBidi" w:hAnsiTheme="majorBidi" w:cstheme="majorBidi"/>
                <w:noProof/>
                <w:sz w:val="18"/>
                <w:szCs w:val="18"/>
              </w:rPr>
              <w:t>Impact of maternal HAART on the prevention of mother-to-child transmission of HIV: results of an 18-month follow-up study in Ouagadougou, Burkina Faso. AIDS care. 2010;22(7):843-50</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Only 8 mothers on </w:t>
            </w:r>
            <w:proofErr w:type="spellStart"/>
            <w:r>
              <w:rPr>
                <w:rFonts w:asciiTheme="majorBidi" w:hAnsiTheme="majorBidi" w:cstheme="majorBidi"/>
                <w:sz w:val="18"/>
                <w:szCs w:val="18"/>
              </w:rPr>
              <w:t>c</w:t>
            </w:r>
            <w:r w:rsidRPr="004A544C">
              <w:rPr>
                <w:rFonts w:asciiTheme="majorBidi" w:hAnsiTheme="majorBidi" w:cstheme="majorBidi"/>
                <w:sz w:val="18"/>
                <w:szCs w:val="18"/>
              </w:rPr>
              <w:t>ART</w:t>
            </w:r>
            <w:proofErr w:type="spellEnd"/>
            <w:r w:rsidRPr="004A544C">
              <w:rPr>
                <w:rFonts w:asciiTheme="majorBidi" w:hAnsiTheme="majorBidi" w:cstheme="majorBidi"/>
                <w:sz w:val="18"/>
                <w:szCs w:val="18"/>
              </w:rPr>
              <w:t xml:space="preserve"> were breastfeeding on the first exam.</w:t>
            </w:r>
          </w:p>
        </w:tc>
      </w:tr>
      <w:tr w:rsidR="005737F7" w:rsidRPr="00CF288A" w:rsidTr="00982B6B">
        <w:tc>
          <w:tcPr>
            <w:tcW w:w="567" w:type="dxa"/>
          </w:tcPr>
          <w:p w:rsidR="005737F7" w:rsidRDefault="005737F7" w:rsidP="009F4969">
            <w:pPr>
              <w:rPr>
                <w:rFonts w:asciiTheme="majorBidi" w:hAnsiTheme="majorBidi" w:cstheme="majorBidi"/>
                <w:sz w:val="18"/>
                <w:szCs w:val="18"/>
                <w:lang w:val="en-CA" w:eastAsia="en-CA"/>
              </w:rPr>
            </w:pPr>
            <w:r>
              <w:rPr>
                <w:rFonts w:asciiTheme="majorBidi" w:hAnsiTheme="majorBidi" w:cstheme="majorBidi"/>
                <w:sz w:val="18"/>
                <w:szCs w:val="18"/>
                <w:lang w:val="en-CA" w:eastAsia="en-CA"/>
              </w:rPr>
              <w:t>1</w:t>
            </w:r>
            <w:r w:rsidR="009F4969">
              <w:rPr>
                <w:rFonts w:asciiTheme="majorBidi" w:hAnsiTheme="majorBidi" w:cstheme="majorBidi"/>
                <w:sz w:val="18"/>
                <w:szCs w:val="18"/>
                <w:lang w:val="en-CA" w:eastAsia="en-CA"/>
              </w:rPr>
              <w:t>0</w:t>
            </w:r>
            <w:r>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Kuhn L, Aldrovandi GM, Sinkala M, Kankasa C, Semrau K, Kasonde P, et al. Differential effects of early weaning for HIV-free survival of children born to HIV-infected mothers by severity of maternal disease. PLoS One. 2009;4(6):e6059</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Mothers received single-dose </w:t>
            </w:r>
            <w:proofErr w:type="spellStart"/>
            <w:r>
              <w:rPr>
                <w:rFonts w:asciiTheme="majorBidi" w:hAnsiTheme="majorBidi" w:cstheme="majorBidi"/>
                <w:sz w:val="18"/>
                <w:szCs w:val="18"/>
              </w:rPr>
              <w:t>nevirapine</w:t>
            </w:r>
            <w:proofErr w:type="spellEnd"/>
            <w:r>
              <w:rPr>
                <w:rFonts w:asciiTheme="majorBidi" w:hAnsiTheme="majorBidi" w:cstheme="majorBidi"/>
                <w:sz w:val="18"/>
                <w:szCs w:val="18"/>
              </w:rPr>
              <w:t>.</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11</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lang w:val="it-IT"/>
              </w:rPr>
              <w:t xml:space="preserve">Magoni M, Bassani L, Okong P, Kituuka P, Germinario EP, Giuliano M, et al. </w:t>
            </w:r>
            <w:r w:rsidRPr="00F43487">
              <w:rPr>
                <w:rFonts w:asciiTheme="majorBidi" w:hAnsiTheme="majorBidi" w:cstheme="majorBidi"/>
                <w:noProof/>
                <w:sz w:val="18"/>
                <w:szCs w:val="18"/>
              </w:rPr>
              <w:t>Mode of infant feeding and HIV infection in children in a program for prevention of mother-to-child transmission in Uganda. AIDS (London, England). 2005;19(4):433-7</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Mother receiving short course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w:t>
            </w:r>
          </w:p>
        </w:tc>
      </w:tr>
      <w:tr w:rsidR="005737F7" w:rsidRPr="00CF288A" w:rsidTr="00982B6B">
        <w:tc>
          <w:tcPr>
            <w:tcW w:w="567" w:type="dxa"/>
          </w:tcPr>
          <w:p w:rsidR="005737F7" w:rsidRPr="004A544C" w:rsidRDefault="009F4969" w:rsidP="00982B6B">
            <w:pPr>
              <w:rPr>
                <w:rFonts w:asciiTheme="majorBidi" w:hAnsiTheme="majorBidi" w:cstheme="majorBidi"/>
                <w:sz w:val="18"/>
                <w:szCs w:val="18"/>
                <w:lang w:eastAsia="en-CA"/>
              </w:rPr>
            </w:pPr>
            <w:r>
              <w:rPr>
                <w:rFonts w:asciiTheme="majorBidi" w:hAnsiTheme="majorBidi" w:cstheme="majorBidi"/>
                <w:sz w:val="18"/>
                <w:szCs w:val="18"/>
                <w:lang w:eastAsia="en-CA"/>
              </w:rPr>
              <w:t>12</w:t>
            </w:r>
            <w:r w:rsidR="005737F7">
              <w:rPr>
                <w:rFonts w:asciiTheme="majorBidi" w:hAnsiTheme="majorBidi" w:cstheme="majorBidi"/>
                <w:sz w:val="18"/>
                <w:szCs w:val="18"/>
                <w:lang w:eastAsia="en-CA"/>
              </w:rPr>
              <w:t>.</w:t>
            </w:r>
          </w:p>
        </w:tc>
        <w:tc>
          <w:tcPr>
            <w:tcW w:w="6010" w:type="dxa"/>
          </w:tcPr>
          <w:p w:rsidR="005737F7" w:rsidRPr="00F43487" w:rsidRDefault="005737F7" w:rsidP="00982B6B">
            <w:pPr>
              <w:tabs>
                <w:tab w:val="left" w:pos="1095"/>
              </w:tabs>
              <w:rPr>
                <w:rFonts w:asciiTheme="majorBidi" w:hAnsiTheme="majorBidi" w:cstheme="majorBidi"/>
                <w:sz w:val="18"/>
                <w:szCs w:val="18"/>
              </w:rPr>
            </w:pPr>
            <w:r w:rsidRPr="002260D2">
              <w:rPr>
                <w:rFonts w:asciiTheme="majorBidi" w:hAnsiTheme="majorBidi" w:cstheme="majorBidi"/>
                <w:noProof/>
                <w:sz w:val="18"/>
                <w:szCs w:val="18"/>
              </w:rPr>
              <w:t xml:space="preserve">Mandala J, Moyo T, Torpey K, Weaver M, Suzuki C, Dirks R, et al. </w:t>
            </w:r>
            <w:r w:rsidRPr="00F43487">
              <w:rPr>
                <w:rFonts w:asciiTheme="majorBidi" w:hAnsiTheme="majorBidi" w:cstheme="majorBidi"/>
                <w:noProof/>
                <w:sz w:val="18"/>
                <w:szCs w:val="18"/>
              </w:rPr>
              <w:t>Use of service data to inform pediatric HIV-free survival following prevention of mother-to-child transmission programs in rural Malawi. Bmc Public Health. 2012;12</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Mothers on single dose NVP.</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13</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Mwendo EM, Mtuy TB, Renju J, Rutherford GW, Nondi J, Sichalwe AW, et al. Effectiveness of prevention of mother-to-child HIV transmission programmes in Kilimanjaro region, northern Tanzania. Tropical medicine &amp; international health : TM &amp; IH. 2014;19(3):267-74</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Almost 50% of losses on the first PCR test, and only 7 children completed 18 months follow-up.</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14</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 xml:space="preserve">Nagot N, Kankasa C, Meda N, Hofmeyr J, Nikodem C, Tumwine JK, et al. Lopinavir/Ritonavir versus Lamivudine peri-exposure prophylaxis to prevent </w:t>
            </w:r>
            <w:r w:rsidRPr="00F43487">
              <w:rPr>
                <w:rFonts w:asciiTheme="majorBidi" w:hAnsiTheme="majorBidi" w:cstheme="majorBidi"/>
                <w:noProof/>
                <w:sz w:val="18"/>
                <w:szCs w:val="18"/>
              </w:rPr>
              <w:lastRenderedPageBreak/>
              <w:t>HIV-1 transmission by breastfeeding: the PROMISE-PEP trial Protocol ANRS 12174. BMC infectious diseases. 2012;12:246</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lastRenderedPageBreak/>
              <w:t xml:space="preserve">Mothers included on the study were not eligible for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lastRenderedPageBreak/>
              <w:t>15</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Nlend AEN, Ekani BB. Preliminary assessment of breastfeeding practices in HIV 1-infected mothers (prior to weaning) under the Djoungolo programme on the prevention of mother-to-child transmission of HIV. Journal of tropical pediatrics. 2010;56(6):436-9</w:t>
            </w:r>
          </w:p>
        </w:tc>
        <w:tc>
          <w:tcPr>
            <w:tcW w:w="2921" w:type="dxa"/>
          </w:tcPr>
          <w:p w:rsidR="005737F7" w:rsidRPr="00CF288A" w:rsidRDefault="005737F7" w:rsidP="00982B6B">
            <w:pPr>
              <w:rPr>
                <w:rFonts w:asciiTheme="majorBidi" w:hAnsiTheme="majorBidi" w:cstheme="majorBidi"/>
                <w:sz w:val="18"/>
                <w:szCs w:val="18"/>
              </w:rPr>
            </w:pPr>
            <w:r w:rsidRPr="004A544C">
              <w:rPr>
                <w:rFonts w:asciiTheme="majorBidi" w:hAnsiTheme="majorBidi" w:cstheme="majorBidi"/>
                <w:sz w:val="18"/>
                <w:szCs w:val="18"/>
              </w:rPr>
              <w:t>The paper focus on breastfeeding, mastitis and transmission</w:t>
            </w:r>
            <w:r>
              <w:rPr>
                <w:rFonts w:asciiTheme="majorBidi" w:hAnsiTheme="majorBidi" w:cstheme="majorBidi"/>
                <w:sz w:val="18"/>
                <w:szCs w:val="18"/>
              </w:rPr>
              <w:t>, and assessment of transmission done at 13 weeks.</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16</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Nyandiko WM, Otieno-Nyunya B, Musick B, Bucher-Yiannoutsos S, Akhaabi P, Lane K, et al. Outcomes of HIV-exposed children in western Kenya: efficacy of prevention of mother to child transmission in a resource-constrained setting. Journal of acquired immune deficiency syndromes (1999). 2010;54(1):42-50</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Not possible to extract transmission and death for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 xml:space="preserve"> and BF together.</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17</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Omer SB. Twelve-month follow-up of Six Week Extended Dose Nevirapine randomized controlled trials: differential impact of extended-dose nevirapine on mother-to-child transmission and infant death by maternal CD4 cell count. AIDS (London, England). 2011;25(6):767-76</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Most mothers were not on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18</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Read JS. Prevention of mother-to-child transmission of HIV: antiretroviral strategies. Clinics in perin</w:t>
            </w:r>
            <w:r w:rsidR="00D13118">
              <w:rPr>
                <w:rFonts w:asciiTheme="majorBidi" w:hAnsiTheme="majorBidi" w:cstheme="majorBidi"/>
                <w:noProof/>
                <w:sz w:val="18"/>
                <w:szCs w:val="18"/>
              </w:rPr>
              <w:t>atology. 2010;37(4):765-76.</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Very small number of mothers on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19</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Seth A, Chandra J, Gupta R, Kumar P, Aggarwal V, Dutta A. Outcome of HIV exposed infants: experience of a regional pediatric center for HIV in North India. Indian J Pediatr. 2012;79(2):188-93</w:t>
            </w:r>
          </w:p>
        </w:tc>
        <w:tc>
          <w:tcPr>
            <w:tcW w:w="2921" w:type="dxa"/>
          </w:tcPr>
          <w:p w:rsidR="005737F7" w:rsidRPr="00CF288A" w:rsidRDefault="005737F7" w:rsidP="00D13118">
            <w:pPr>
              <w:rPr>
                <w:rFonts w:asciiTheme="majorBidi" w:hAnsiTheme="majorBidi" w:cstheme="majorBidi"/>
                <w:sz w:val="18"/>
                <w:szCs w:val="18"/>
              </w:rPr>
            </w:pPr>
            <w:r>
              <w:rPr>
                <w:rFonts w:asciiTheme="majorBidi" w:hAnsiTheme="majorBidi" w:cstheme="majorBidi"/>
                <w:sz w:val="18"/>
                <w:szCs w:val="18"/>
              </w:rPr>
              <w:t xml:space="preserve">Very small number of mothers on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 xml:space="preserve">, and no information </w:t>
            </w:r>
            <w:r w:rsidR="00D13118">
              <w:rPr>
                <w:rFonts w:asciiTheme="majorBidi" w:hAnsiTheme="majorBidi" w:cstheme="majorBidi"/>
                <w:sz w:val="18"/>
                <w:szCs w:val="18"/>
              </w:rPr>
              <w:t xml:space="preserve">provided on whether </w:t>
            </w:r>
            <w:r>
              <w:rPr>
                <w:rFonts w:asciiTheme="majorBidi" w:hAnsiTheme="majorBidi" w:cstheme="majorBidi"/>
                <w:sz w:val="18"/>
                <w:szCs w:val="18"/>
              </w:rPr>
              <w:t>those mothers were breastfeeding or not.</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20</w:t>
            </w:r>
            <w:r w:rsidR="005737F7">
              <w:rPr>
                <w:rFonts w:asciiTheme="majorBidi" w:hAnsiTheme="majorBidi" w:cstheme="majorBidi"/>
                <w:sz w:val="18"/>
                <w:szCs w:val="18"/>
                <w:lang w:val="en-CA" w:eastAsia="en-CA"/>
              </w:rPr>
              <w:t>.</w:t>
            </w:r>
          </w:p>
        </w:tc>
        <w:tc>
          <w:tcPr>
            <w:tcW w:w="6010" w:type="dxa"/>
          </w:tcPr>
          <w:p w:rsidR="005737F7" w:rsidRPr="00F43487" w:rsidRDefault="005737F7" w:rsidP="009F4969">
            <w:pPr>
              <w:pStyle w:val="EndNoteBibliography"/>
              <w:rPr>
                <w:rFonts w:asciiTheme="majorBidi" w:hAnsiTheme="majorBidi" w:cstheme="majorBidi"/>
                <w:sz w:val="18"/>
                <w:szCs w:val="18"/>
              </w:rPr>
            </w:pPr>
            <w:r w:rsidRPr="00F43487">
              <w:rPr>
                <w:rFonts w:asciiTheme="majorBidi" w:hAnsiTheme="majorBidi" w:cstheme="majorBidi"/>
                <w:sz w:val="18"/>
                <w:szCs w:val="18"/>
              </w:rPr>
              <w:t>Shah M, Johns B, Abimiku Al, Walker DG. Cost-effectiveness of new WHO recommendations for prevention of mother-to-child transmission of HIV in a resource-limited setting. AIDS. 2011;25(8):1093-102.</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Study based on models of % of adherence in Nigeria.</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21</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Simpore J, Pietra V, Pignatelli S, Karou D, Nadembega WM, Ilboudo D, et al. Effective program against mother-to-child transmission of HIV at Saint Camille Medical Centre in Burkina Faso. Journal of medical virology. 2007;79(7):873-9</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Very small number of breastfed children.</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22</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Stringer JS, Stinson K, Tih PM, Giganti MJ, Ekouevi DK, Creek TL, et al. Measuring coverage in MNCH: population HIV-free survival among children under two years of age in four African countrie</w:t>
            </w:r>
            <w:r w:rsidR="009F4969">
              <w:rPr>
                <w:rFonts w:asciiTheme="majorBidi" w:hAnsiTheme="majorBidi" w:cstheme="majorBidi"/>
                <w:noProof/>
                <w:sz w:val="18"/>
                <w:szCs w:val="18"/>
              </w:rPr>
              <w:t>s. PLoS Med. 2013;10(5).</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Only provide HIV free survival for mothers on </w:t>
            </w:r>
            <w:proofErr w:type="spellStart"/>
            <w:r>
              <w:rPr>
                <w:rFonts w:asciiTheme="majorBidi" w:hAnsiTheme="majorBidi" w:cstheme="majorBidi"/>
                <w:sz w:val="18"/>
                <w:szCs w:val="18"/>
              </w:rPr>
              <w:t>cART</w:t>
            </w:r>
            <w:proofErr w:type="spellEnd"/>
            <w:r>
              <w:rPr>
                <w:rFonts w:asciiTheme="majorBidi" w:hAnsiTheme="majorBidi" w:cstheme="majorBidi"/>
                <w:sz w:val="18"/>
                <w:szCs w:val="18"/>
              </w:rPr>
              <w:t xml:space="preserve"> or dual ARV together.</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23</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Taha TE, Li Q, Hoover DR, Mipando L, Nkanaunena K, Thigpen MC, et al. Postexposure Prophylaxis of Breastfeeding HIV-Exposed Infants With Antiretroviral Drugs to Age 14 Weeks: Updated Efficacy Results of the PEPI-Malawi Trial. Jaids-Journal of Acquired Immune Deficiency Syndromes. 2011;57(4):319-25</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Mothers not on </w:t>
            </w:r>
            <w:proofErr w:type="spellStart"/>
            <w:r>
              <w:rPr>
                <w:rFonts w:asciiTheme="majorBidi" w:hAnsiTheme="majorBidi" w:cstheme="majorBidi"/>
                <w:sz w:val="18"/>
                <w:szCs w:val="18"/>
              </w:rPr>
              <w:t>c</w:t>
            </w:r>
            <w:r w:rsidRPr="00AA636D">
              <w:rPr>
                <w:rFonts w:asciiTheme="majorBidi" w:hAnsiTheme="majorBidi" w:cstheme="majorBidi"/>
                <w:sz w:val="18"/>
                <w:szCs w:val="18"/>
              </w:rPr>
              <w:t>ART</w:t>
            </w:r>
            <w:proofErr w:type="spellEnd"/>
            <w:r w:rsidRPr="00AA636D">
              <w:rPr>
                <w:rFonts w:asciiTheme="majorBidi" w:hAnsiTheme="majorBidi" w:cstheme="majorBidi"/>
                <w:sz w:val="18"/>
                <w:szCs w:val="18"/>
              </w:rPr>
              <w:t>, comparison among dual therapy</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24</w:t>
            </w:r>
            <w:r w:rsidR="005737F7">
              <w:rPr>
                <w:rFonts w:asciiTheme="majorBidi" w:hAnsiTheme="majorBidi" w:cstheme="majorBidi"/>
                <w:sz w:val="18"/>
                <w:szCs w:val="18"/>
                <w:lang w:val="en-CA" w:eastAsia="en-CA"/>
              </w:rPr>
              <w:t>.</w:t>
            </w:r>
          </w:p>
        </w:tc>
        <w:tc>
          <w:tcPr>
            <w:tcW w:w="6010" w:type="dxa"/>
          </w:tcPr>
          <w:p w:rsidR="005737F7" w:rsidRDefault="005737F7" w:rsidP="00982B6B">
            <w:pPr>
              <w:rPr>
                <w:rFonts w:asciiTheme="majorBidi" w:hAnsiTheme="majorBidi" w:cstheme="majorBidi"/>
                <w:noProof/>
                <w:sz w:val="18"/>
                <w:szCs w:val="18"/>
              </w:rPr>
            </w:pPr>
            <w:r w:rsidRPr="00F43487">
              <w:rPr>
                <w:rFonts w:asciiTheme="majorBidi" w:hAnsiTheme="majorBidi" w:cstheme="majorBidi"/>
                <w:noProof/>
                <w:sz w:val="18"/>
                <w:szCs w:val="18"/>
              </w:rPr>
              <w:t>Torpey K, Kabaso M, Weaver MA, Kasonde P, Mukonka V, Bweupe M, et al. Infant feeding options, other nonchemoprophylactic factors, and mother-to-child transmission of HIV in Zambia. Journal of the International Association of Physicians in AIDS Care (Chicago, Ill : 2002). 2012;11(1):26-33</w:t>
            </w:r>
          </w:p>
          <w:p w:rsidR="009F4969" w:rsidRPr="00F43487" w:rsidRDefault="009F4969" w:rsidP="00982B6B">
            <w:pPr>
              <w:rPr>
                <w:rFonts w:asciiTheme="majorBidi" w:hAnsiTheme="majorBidi" w:cstheme="majorBidi"/>
                <w:sz w:val="18"/>
                <w:szCs w:val="18"/>
              </w:rPr>
            </w:pPr>
            <w:r w:rsidRPr="00F43487">
              <w:rPr>
                <w:rFonts w:asciiTheme="majorBidi" w:hAnsiTheme="majorBidi" w:cstheme="majorBidi"/>
                <w:noProof/>
                <w:sz w:val="18"/>
                <w:szCs w:val="18"/>
              </w:rPr>
              <w:t>Torpey K, Kasonde P, Kabaso M, Weaver MA, Bryan G, Mukonka V, et al. Reducing pediatric HIV infection: estimating mother-to-child transmission rates in a program setting in Zambia. Journal of acquired immune deficiency syndromes (1999). 2010;54(4):415-22</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N</w:t>
            </w:r>
            <w:r w:rsidRPr="00AA636D">
              <w:rPr>
                <w:rFonts w:asciiTheme="majorBidi" w:hAnsiTheme="majorBidi" w:cstheme="majorBidi"/>
                <w:sz w:val="18"/>
                <w:szCs w:val="18"/>
              </w:rPr>
              <w:t xml:space="preserve">o </w:t>
            </w:r>
            <w:r>
              <w:rPr>
                <w:rFonts w:asciiTheme="majorBidi" w:hAnsiTheme="majorBidi" w:cstheme="majorBidi"/>
                <w:sz w:val="18"/>
                <w:szCs w:val="18"/>
              </w:rPr>
              <w:t xml:space="preserve">data for mother on </w:t>
            </w:r>
            <w:proofErr w:type="spellStart"/>
            <w:r>
              <w:rPr>
                <w:rFonts w:asciiTheme="majorBidi" w:hAnsiTheme="majorBidi" w:cstheme="majorBidi"/>
                <w:sz w:val="18"/>
                <w:szCs w:val="18"/>
              </w:rPr>
              <w:t>c</w:t>
            </w:r>
            <w:r w:rsidRPr="00AA636D">
              <w:rPr>
                <w:rFonts w:asciiTheme="majorBidi" w:hAnsiTheme="majorBidi" w:cstheme="majorBidi"/>
                <w:sz w:val="18"/>
                <w:szCs w:val="18"/>
              </w:rPr>
              <w:t>ART</w:t>
            </w:r>
            <w:proofErr w:type="spellEnd"/>
            <w:r w:rsidRPr="00AA636D">
              <w:rPr>
                <w:rFonts w:asciiTheme="majorBidi" w:hAnsiTheme="majorBidi" w:cstheme="majorBidi"/>
                <w:sz w:val="18"/>
                <w:szCs w:val="18"/>
              </w:rPr>
              <w:t xml:space="preserve"> and breastfeeding together</w:t>
            </w:r>
          </w:p>
        </w:tc>
      </w:tr>
      <w:tr w:rsidR="005737F7" w:rsidRPr="00CF288A" w:rsidTr="00982B6B">
        <w:tc>
          <w:tcPr>
            <w:tcW w:w="567" w:type="dxa"/>
          </w:tcPr>
          <w:p w:rsidR="005737F7" w:rsidRDefault="009F4969" w:rsidP="00982B6B">
            <w:pPr>
              <w:rPr>
                <w:rFonts w:asciiTheme="majorBidi" w:hAnsiTheme="majorBidi" w:cstheme="majorBidi"/>
                <w:sz w:val="18"/>
                <w:szCs w:val="18"/>
                <w:lang w:val="en-CA" w:eastAsia="en-CA"/>
              </w:rPr>
            </w:pPr>
            <w:r>
              <w:rPr>
                <w:rFonts w:asciiTheme="majorBidi" w:hAnsiTheme="majorBidi" w:cstheme="majorBidi"/>
                <w:sz w:val="18"/>
                <w:szCs w:val="18"/>
                <w:lang w:val="en-CA" w:eastAsia="en-CA"/>
              </w:rPr>
              <w:t>25</w:t>
            </w:r>
            <w:r w:rsidR="005737F7">
              <w:rPr>
                <w:rFonts w:asciiTheme="majorBidi" w:hAnsiTheme="majorBidi" w:cstheme="majorBidi"/>
                <w:sz w:val="18"/>
                <w:szCs w:val="18"/>
                <w:lang w:val="en-CA" w:eastAsia="en-CA"/>
              </w:rPr>
              <w:t>.</w:t>
            </w:r>
          </w:p>
        </w:tc>
        <w:tc>
          <w:tcPr>
            <w:tcW w:w="6010" w:type="dxa"/>
          </w:tcPr>
          <w:p w:rsidR="005737F7" w:rsidRPr="00F43487" w:rsidRDefault="005737F7" w:rsidP="00982B6B">
            <w:pPr>
              <w:rPr>
                <w:rFonts w:asciiTheme="majorBidi" w:hAnsiTheme="majorBidi" w:cstheme="majorBidi"/>
                <w:sz w:val="18"/>
                <w:szCs w:val="18"/>
              </w:rPr>
            </w:pPr>
            <w:r w:rsidRPr="00F43487">
              <w:rPr>
                <w:rFonts w:asciiTheme="majorBidi" w:hAnsiTheme="majorBidi" w:cstheme="majorBidi"/>
                <w:noProof/>
                <w:sz w:val="18"/>
                <w:szCs w:val="18"/>
              </w:rPr>
              <w:t>van Lettow M, Bedell R, Landes M, Gawa L, Gatto S, Mayuni I, et al. Uptake and outcomes of a prevention-of mother-to-child transmission (PMTCT) program in Zomba district, Malawi. BMC Public Health. 2011;11:426</w:t>
            </w:r>
          </w:p>
        </w:tc>
        <w:tc>
          <w:tcPr>
            <w:tcW w:w="2921" w:type="dxa"/>
          </w:tcPr>
          <w:p w:rsidR="005737F7" w:rsidRPr="00CF288A" w:rsidRDefault="005737F7" w:rsidP="00982B6B">
            <w:pPr>
              <w:rPr>
                <w:rFonts w:asciiTheme="majorBidi" w:hAnsiTheme="majorBidi" w:cstheme="majorBidi"/>
                <w:sz w:val="18"/>
                <w:szCs w:val="18"/>
              </w:rPr>
            </w:pPr>
            <w:r>
              <w:rPr>
                <w:rFonts w:asciiTheme="majorBidi" w:hAnsiTheme="majorBidi" w:cstheme="majorBidi"/>
                <w:sz w:val="18"/>
                <w:szCs w:val="18"/>
              </w:rPr>
              <w:t xml:space="preserve">Very small number of mothers on </w:t>
            </w:r>
            <w:proofErr w:type="spellStart"/>
            <w:r>
              <w:rPr>
                <w:rFonts w:asciiTheme="majorBidi" w:hAnsiTheme="majorBidi" w:cstheme="majorBidi"/>
                <w:sz w:val="18"/>
                <w:szCs w:val="18"/>
              </w:rPr>
              <w:t>cART</w:t>
            </w:r>
            <w:proofErr w:type="spellEnd"/>
          </w:p>
        </w:tc>
      </w:tr>
    </w:tbl>
    <w:p w:rsidR="005737F7" w:rsidRPr="006D0F4D" w:rsidRDefault="005737F7" w:rsidP="005737F7">
      <w:pPr>
        <w:spacing w:line="480" w:lineRule="auto"/>
        <w:rPr>
          <w:rFonts w:asciiTheme="majorBidi" w:eastAsia="Times New Roman" w:hAnsiTheme="majorBidi" w:cstheme="majorBidi"/>
          <w:color w:val="000000"/>
          <w:sz w:val="24"/>
          <w:szCs w:val="24"/>
          <w:lang w:val="en"/>
        </w:rPr>
      </w:pPr>
    </w:p>
    <w:p w:rsidR="005737F7" w:rsidRDefault="005737F7">
      <w:pPr>
        <w:rPr>
          <w:rFonts w:asciiTheme="majorBidi" w:eastAsia="Times New Roman" w:hAnsiTheme="majorBidi" w:cstheme="majorBidi"/>
          <w:b/>
          <w:bCs/>
          <w:color w:val="000000"/>
          <w:sz w:val="24"/>
          <w:szCs w:val="24"/>
          <w:lang w:val="en"/>
        </w:rPr>
      </w:pPr>
      <w:r>
        <w:rPr>
          <w:rFonts w:asciiTheme="majorBidi" w:eastAsia="Times New Roman" w:hAnsiTheme="majorBidi" w:cstheme="majorBidi"/>
          <w:b/>
          <w:bCs/>
          <w:color w:val="000000"/>
          <w:sz w:val="24"/>
          <w:szCs w:val="24"/>
          <w:lang w:val="en"/>
        </w:rPr>
        <w:br w:type="page"/>
      </w:r>
    </w:p>
    <w:p w:rsidR="005737F7" w:rsidRDefault="005737F7" w:rsidP="00AD4F82">
      <w:pPr>
        <w:spacing w:line="480" w:lineRule="auto"/>
        <w:rPr>
          <w:rFonts w:asciiTheme="majorBidi" w:eastAsia="Times New Roman" w:hAnsiTheme="majorBidi" w:cstheme="majorBidi"/>
          <w:b/>
          <w:bCs/>
          <w:color w:val="000000"/>
          <w:sz w:val="24"/>
          <w:szCs w:val="24"/>
          <w:lang w:val="en"/>
        </w:rPr>
        <w:sectPr w:rsidR="005737F7" w:rsidSect="005737F7">
          <w:pgSz w:w="11906" w:h="16838"/>
          <w:pgMar w:top="1440" w:right="1440" w:bottom="1440" w:left="1440" w:header="709" w:footer="709" w:gutter="0"/>
          <w:cols w:space="708"/>
          <w:docGrid w:linePitch="360"/>
        </w:sectPr>
      </w:pPr>
    </w:p>
    <w:p w:rsidR="00AD4F82" w:rsidRPr="006D0F4D" w:rsidRDefault="00AD4F82" w:rsidP="00E072D4">
      <w:pPr>
        <w:spacing w:line="480" w:lineRule="auto"/>
        <w:rPr>
          <w:rFonts w:asciiTheme="majorBidi" w:eastAsia="Times New Roman" w:hAnsiTheme="majorBidi" w:cstheme="majorBidi"/>
          <w:color w:val="000000"/>
          <w:sz w:val="24"/>
          <w:szCs w:val="24"/>
          <w:lang w:val="en"/>
        </w:rPr>
      </w:pPr>
      <w:proofErr w:type="gramStart"/>
      <w:r>
        <w:rPr>
          <w:rFonts w:asciiTheme="majorBidi" w:eastAsia="Times New Roman" w:hAnsiTheme="majorBidi" w:cstheme="majorBidi"/>
          <w:b/>
          <w:bCs/>
          <w:color w:val="000000"/>
          <w:sz w:val="24"/>
          <w:szCs w:val="24"/>
          <w:lang w:val="en"/>
        </w:rPr>
        <w:lastRenderedPageBreak/>
        <w:t>Supplementary Ta</w:t>
      </w:r>
      <w:r w:rsidRPr="006D0F4D">
        <w:rPr>
          <w:rFonts w:asciiTheme="majorBidi" w:eastAsia="Times New Roman" w:hAnsiTheme="majorBidi" w:cstheme="majorBidi"/>
          <w:b/>
          <w:bCs/>
          <w:color w:val="000000"/>
          <w:sz w:val="24"/>
          <w:szCs w:val="24"/>
          <w:lang w:val="en"/>
        </w:rPr>
        <w:t xml:space="preserve">ble </w:t>
      </w:r>
      <w:r w:rsidR="00E072D4">
        <w:rPr>
          <w:rFonts w:asciiTheme="majorBidi" w:eastAsia="Times New Roman" w:hAnsiTheme="majorBidi" w:cstheme="majorBidi"/>
          <w:b/>
          <w:bCs/>
          <w:color w:val="000000"/>
          <w:sz w:val="24"/>
          <w:szCs w:val="24"/>
          <w:lang w:val="en"/>
        </w:rPr>
        <w:t>3</w:t>
      </w:r>
      <w:r w:rsidRPr="006D0F4D">
        <w:rPr>
          <w:rFonts w:asciiTheme="majorBidi" w:eastAsia="Times New Roman" w:hAnsiTheme="majorBidi" w:cstheme="majorBidi"/>
          <w:b/>
          <w:bCs/>
          <w:color w:val="000000"/>
          <w:sz w:val="24"/>
          <w:szCs w:val="24"/>
          <w:lang w:val="en"/>
        </w:rPr>
        <w:t>.</w:t>
      </w:r>
      <w:proofErr w:type="gramEnd"/>
      <w:r w:rsidRPr="006D0F4D">
        <w:rPr>
          <w:rFonts w:asciiTheme="majorBidi" w:eastAsia="Times New Roman" w:hAnsiTheme="majorBidi" w:cstheme="majorBidi"/>
          <w:b/>
          <w:bCs/>
          <w:color w:val="000000"/>
          <w:sz w:val="24"/>
          <w:szCs w:val="24"/>
          <w:lang w:val="en"/>
        </w:rPr>
        <w:t xml:space="preserve"> </w:t>
      </w:r>
      <w:r w:rsidRPr="006D0F4D">
        <w:rPr>
          <w:rFonts w:asciiTheme="majorBidi" w:eastAsia="Times New Roman" w:hAnsiTheme="majorBidi" w:cstheme="majorBidi"/>
          <w:color w:val="000000"/>
          <w:sz w:val="24"/>
          <w:szCs w:val="24"/>
          <w:lang w:val="en"/>
        </w:rPr>
        <w:t>GRADE evidence profile</w:t>
      </w:r>
    </w:p>
    <w:p w:rsidR="00AD4F82" w:rsidRPr="00322CD0" w:rsidRDefault="00AD4F82" w:rsidP="00AD4F82">
      <w:pPr>
        <w:spacing w:line="480" w:lineRule="auto"/>
        <w:rPr>
          <w:rFonts w:asciiTheme="majorBidi" w:eastAsia="Times New Roman" w:hAnsiTheme="majorBidi" w:cstheme="majorBidi"/>
          <w:color w:val="000000"/>
          <w:lang w:val="en"/>
        </w:rPr>
      </w:pPr>
      <w:r w:rsidRPr="00322CD0">
        <w:rPr>
          <w:rFonts w:asciiTheme="majorBidi" w:eastAsia="Times New Roman" w:hAnsiTheme="majorBidi" w:cstheme="majorBidi"/>
          <w:b/>
          <w:bCs/>
          <w:color w:val="000000"/>
          <w:lang w:val="en"/>
        </w:rPr>
        <w:t>Question</w:t>
      </w:r>
      <w:r w:rsidRPr="00322CD0">
        <w:rPr>
          <w:rFonts w:asciiTheme="majorBidi" w:eastAsia="Times New Roman" w:hAnsiTheme="majorBidi" w:cstheme="majorBidi"/>
          <w:color w:val="000000"/>
          <w:lang w:val="en"/>
        </w:rPr>
        <w:t xml:space="preserve">: HIV transmission in breastfed infants of mothers on </w:t>
      </w:r>
      <w:r>
        <w:rPr>
          <w:rFonts w:asciiTheme="majorBidi" w:eastAsia="Times New Roman" w:hAnsiTheme="majorBidi" w:cstheme="majorBidi"/>
          <w:color w:val="000000"/>
          <w:lang w:val="en"/>
        </w:rPr>
        <w:t>ART</w:t>
      </w:r>
      <w:r w:rsidRPr="00322CD0">
        <w:rPr>
          <w:rFonts w:asciiTheme="majorBidi" w:eastAsia="Times New Roman" w:hAnsiTheme="majorBidi" w:cstheme="majorBidi"/>
          <w:color w:val="000000"/>
          <w:lang w:val="en"/>
        </w:rPr>
        <w:t xml:space="preserve"> </w:t>
      </w:r>
      <w:r w:rsidRPr="00322CD0">
        <w:rPr>
          <w:rFonts w:asciiTheme="majorBidi" w:eastAsia="Times New Roman" w:hAnsiTheme="majorBidi" w:cstheme="majorBidi"/>
          <w:color w:val="000000"/>
          <w:vertAlign w:val="superscript"/>
          <w:lang w:val="en"/>
        </w:rPr>
        <w:t>1</w:t>
      </w:r>
    </w:p>
    <w:p w:rsidR="00AD4F82" w:rsidRDefault="00AD4F82" w:rsidP="00AD4F82">
      <w:pPr>
        <w:spacing w:line="480" w:lineRule="auto"/>
        <w:rPr>
          <w:rFonts w:asciiTheme="majorBidi" w:eastAsia="Times New Roman" w:hAnsiTheme="majorBidi" w:cstheme="majorBidi"/>
          <w:color w:val="000000"/>
          <w:lang w:val="en"/>
        </w:rPr>
      </w:pPr>
      <w:r w:rsidRPr="00322CD0">
        <w:rPr>
          <w:rFonts w:asciiTheme="majorBidi" w:eastAsia="Times New Roman" w:hAnsiTheme="majorBidi" w:cstheme="majorBidi"/>
          <w:b/>
          <w:bCs/>
          <w:color w:val="000000"/>
          <w:lang w:val="en"/>
        </w:rPr>
        <w:t>Setting</w:t>
      </w:r>
      <w:r w:rsidRPr="00322CD0">
        <w:rPr>
          <w:rFonts w:asciiTheme="majorBidi" w:eastAsia="Times New Roman" w:hAnsiTheme="majorBidi" w:cstheme="majorBidi"/>
          <w:color w:val="000000"/>
          <w:lang w:val="en"/>
        </w:rPr>
        <w:t xml:space="preserve">: Zambia, Nigeria, Malawi, South Africa, Tanzania, Uganda and Zimbabwe, India, Kenya, Mozambique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922"/>
        <w:gridCol w:w="1345"/>
        <w:gridCol w:w="1067"/>
        <w:gridCol w:w="1135"/>
        <w:gridCol w:w="1020"/>
        <w:gridCol w:w="979"/>
        <w:gridCol w:w="1436"/>
        <w:gridCol w:w="1148"/>
        <w:gridCol w:w="2664"/>
        <w:gridCol w:w="1371"/>
        <w:gridCol w:w="1021"/>
      </w:tblGrid>
      <w:tr w:rsidR="00AD4F82" w:rsidTr="00982B6B">
        <w:trPr>
          <w:cantSplit/>
          <w:tblHeader/>
        </w:trPr>
        <w:tc>
          <w:tcPr>
            <w:tcW w:w="2801" w:type="pct"/>
            <w:gridSpan w:val="7"/>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Quality assessment</w:t>
            </w:r>
          </w:p>
        </w:tc>
        <w:tc>
          <w:tcPr>
            <w:tcW w:w="407"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 of patients</w:t>
            </w:r>
          </w:p>
        </w:tc>
        <w:tc>
          <w:tcPr>
            <w:tcW w:w="944"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Effect</w:t>
            </w:r>
          </w:p>
        </w:tc>
        <w:tc>
          <w:tcPr>
            <w:tcW w:w="486"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Quality</w:t>
            </w:r>
          </w:p>
        </w:tc>
        <w:tc>
          <w:tcPr>
            <w:tcW w:w="362" w:type="pct"/>
            <w:vMerge w:val="restar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Importance</w:t>
            </w:r>
          </w:p>
        </w:tc>
      </w:tr>
      <w:tr w:rsidR="00AD4F82" w:rsidTr="00AD4F82">
        <w:trPr>
          <w:cantSplit/>
          <w:trHeight w:val="714"/>
          <w:tblHeader/>
        </w:trPr>
        <w:tc>
          <w:tcPr>
            <w:tcW w:w="327"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 of studies</w:t>
            </w:r>
          </w:p>
        </w:tc>
        <w:tc>
          <w:tcPr>
            <w:tcW w:w="477"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Study design</w:t>
            </w:r>
          </w:p>
        </w:tc>
        <w:tc>
          <w:tcPr>
            <w:tcW w:w="378"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Risk of bias</w:t>
            </w:r>
          </w:p>
        </w:tc>
        <w:tc>
          <w:tcPr>
            <w:tcW w:w="402"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Inconsistency</w:t>
            </w:r>
          </w:p>
        </w:tc>
        <w:tc>
          <w:tcPr>
            <w:tcW w:w="361"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Indirectness</w:t>
            </w:r>
          </w:p>
        </w:tc>
        <w:tc>
          <w:tcPr>
            <w:tcW w:w="347"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Imprecision</w:t>
            </w:r>
          </w:p>
        </w:tc>
        <w:tc>
          <w:tcPr>
            <w:tcW w:w="509"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Other considerations</w:t>
            </w:r>
          </w:p>
        </w:tc>
        <w:tc>
          <w:tcPr>
            <w:tcW w:w="407"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sidRPr="001B5777">
              <w:rPr>
                <w:rFonts w:ascii="Arial Narrow" w:eastAsia="Times New Roman" w:hAnsi="Arial Narrow"/>
                <w:b/>
                <w:bCs/>
                <w:color w:val="000000"/>
                <w:sz w:val="18"/>
                <w:szCs w:val="18"/>
              </w:rPr>
              <w:t>[intervention]</w:t>
            </w:r>
          </w:p>
        </w:tc>
        <w:tc>
          <w:tcPr>
            <w:tcW w:w="944" w:type="pct"/>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jc w:val="center"/>
              <w:rPr>
                <w:rFonts w:ascii="Arial Narrow" w:eastAsia="Times New Roman" w:hAnsi="Arial Narrow"/>
                <w:b/>
                <w:bCs/>
                <w:color w:val="000000"/>
                <w:sz w:val="18"/>
                <w:szCs w:val="18"/>
              </w:rPr>
            </w:pPr>
            <w:r>
              <w:rPr>
                <w:rFonts w:ascii="Arial Narrow" w:eastAsia="Times New Roman" w:hAnsi="Arial Narrow"/>
                <w:b/>
                <w:bCs/>
                <w:color w:val="000000"/>
                <w:sz w:val="18"/>
                <w:szCs w:val="18"/>
              </w:rPr>
              <w:t xml:space="preserve">Rate of transmission % </w:t>
            </w:r>
            <w:r w:rsidRPr="001B5777">
              <w:rPr>
                <w:rFonts w:ascii="Arial Narrow" w:eastAsia="Times New Roman" w:hAnsi="Arial Narrow"/>
                <w:b/>
                <w:bCs/>
                <w:color w:val="000000"/>
                <w:sz w:val="18"/>
                <w:szCs w:val="18"/>
              </w:rPr>
              <w:t>(95% CI)</w:t>
            </w:r>
          </w:p>
        </w:tc>
        <w:tc>
          <w:tcPr>
            <w:tcW w:w="486" w:type="pct"/>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rPr>
                <w:rFonts w:ascii="Arial Narrow" w:eastAsia="Times New Roman" w:hAnsi="Arial Narrow"/>
                <w:b/>
                <w:bCs/>
                <w:color w:val="000000"/>
                <w:sz w:val="18"/>
                <w:szCs w:val="18"/>
              </w:rPr>
            </w:pPr>
          </w:p>
        </w:tc>
        <w:tc>
          <w:tcPr>
            <w:tcW w:w="362" w:type="pct"/>
            <w:vMerge/>
            <w:tcBorders>
              <w:top w:val="single" w:sz="6" w:space="0" w:color="000000"/>
              <w:left w:val="single" w:sz="6" w:space="0" w:color="000000"/>
              <w:bottom w:val="single" w:sz="6" w:space="0" w:color="000000"/>
              <w:right w:val="single" w:sz="6" w:space="0" w:color="000000"/>
            </w:tcBorders>
            <w:shd w:val="clear" w:color="auto" w:fill="DDDDDD"/>
            <w:vAlign w:val="center"/>
            <w:hideMark/>
          </w:tcPr>
          <w:p w:rsidR="00AD4F82" w:rsidRPr="001B5777" w:rsidRDefault="00AD4F82" w:rsidP="00982B6B">
            <w:pPr>
              <w:spacing w:after="0" w:line="480" w:lineRule="auto"/>
              <w:rPr>
                <w:rFonts w:ascii="Arial Narrow" w:eastAsia="Times New Roman" w:hAnsi="Arial Narrow"/>
                <w:b/>
                <w:bCs/>
                <w:color w:val="000000"/>
                <w:sz w:val="18"/>
                <w:szCs w:val="18"/>
              </w:rPr>
            </w:pPr>
          </w:p>
        </w:tc>
      </w:tr>
      <w:tr w:rsidR="00AD4F82" w:rsidTr="00982B6B">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Style w:val="label"/>
                <w:rFonts w:ascii="Arial Narrow" w:eastAsia="Times New Roman" w:hAnsi="Arial Narrow"/>
                <w:color w:val="000000"/>
                <w:sz w:val="18"/>
                <w:szCs w:val="18"/>
              </w:rPr>
              <w:t>Overall transmission at 6 months (Perinatal and Postnatal transmission)</w:t>
            </w:r>
          </w:p>
        </w:tc>
      </w:tr>
      <w:tr w:rsidR="00AD4F82" w:rsidTr="00AD4F82">
        <w:trPr>
          <w:cantSplit/>
        </w:trPr>
        <w:tc>
          <w:tcPr>
            <w:tcW w:w="32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6 </w:t>
            </w:r>
          </w:p>
        </w:tc>
        <w:tc>
          <w:tcPr>
            <w:tcW w:w="47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observational studies</w:t>
            </w:r>
            <w:r w:rsidRPr="004B05D1">
              <w:rPr>
                <w:rFonts w:ascii="Arial Narrow" w:eastAsia="Times New Roman" w:hAnsi="Arial Narrow"/>
                <w:color w:val="000000"/>
                <w:sz w:val="18"/>
                <w:szCs w:val="18"/>
                <w:u w:val="single"/>
                <w:vertAlign w:val="superscript"/>
              </w:rPr>
              <w:t>2</w:t>
            </w:r>
            <w:r w:rsidRPr="001B5777">
              <w:rPr>
                <w:rFonts w:ascii="Arial Narrow" w:eastAsia="Times New Roman" w:hAnsi="Arial Narrow"/>
                <w:color w:val="000000"/>
                <w:sz w:val="18"/>
                <w:szCs w:val="18"/>
              </w:rPr>
              <w:t xml:space="preserve"> </w:t>
            </w:r>
          </w:p>
        </w:tc>
        <w:tc>
          <w:tcPr>
            <w:tcW w:w="378"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very serious </w:t>
            </w:r>
            <w:r w:rsidRPr="001B5777">
              <w:rPr>
                <w:rFonts w:ascii="Arial Narrow" w:eastAsia="Times New Roman" w:hAnsi="Arial Narrow"/>
                <w:color w:val="000000"/>
                <w:sz w:val="18"/>
                <w:szCs w:val="18"/>
                <w:vertAlign w:val="superscript"/>
              </w:rPr>
              <w:t> </w:t>
            </w:r>
            <w:r w:rsidRPr="001B5777">
              <w:rPr>
                <w:rStyle w:val="underline1"/>
                <w:rFonts w:ascii="Arial Narrow" w:eastAsia="Times New Roman" w:hAnsi="Arial Narrow"/>
                <w:color w:val="000000"/>
                <w:sz w:val="18"/>
                <w:szCs w:val="18"/>
                <w:vertAlign w:val="superscript"/>
              </w:rPr>
              <w:t>3</w:t>
            </w:r>
          </w:p>
        </w:tc>
        <w:tc>
          <w:tcPr>
            <w:tcW w:w="40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very serious </w:t>
            </w:r>
            <w:r w:rsidRPr="001B5777">
              <w:rPr>
                <w:rFonts w:ascii="Arial Narrow" w:eastAsia="Times New Roman" w:hAnsi="Arial Narrow"/>
                <w:color w:val="000000"/>
                <w:sz w:val="18"/>
                <w:szCs w:val="18"/>
                <w:vertAlign w:val="superscript"/>
              </w:rPr>
              <w:t> </w:t>
            </w:r>
            <w:r w:rsidRPr="001B5777">
              <w:rPr>
                <w:rStyle w:val="underline1"/>
                <w:rFonts w:ascii="Arial Narrow" w:eastAsia="Times New Roman" w:hAnsi="Arial Narrow"/>
                <w:color w:val="000000"/>
                <w:sz w:val="18"/>
                <w:szCs w:val="18"/>
                <w:vertAlign w:val="superscript"/>
              </w:rPr>
              <w:t>4</w:t>
            </w:r>
          </w:p>
        </w:tc>
        <w:tc>
          <w:tcPr>
            <w:tcW w:w="361"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serious </w:t>
            </w:r>
            <w:r w:rsidRPr="001B5777">
              <w:rPr>
                <w:rFonts w:ascii="Arial Narrow" w:eastAsia="Times New Roman" w:hAnsi="Arial Narrow"/>
                <w:color w:val="000000"/>
                <w:sz w:val="18"/>
                <w:szCs w:val="18"/>
                <w:vertAlign w:val="superscript"/>
              </w:rPr>
              <w:t> </w:t>
            </w:r>
            <w:r w:rsidRPr="001B5777">
              <w:rPr>
                <w:rStyle w:val="underline1"/>
                <w:rFonts w:ascii="Arial Narrow" w:eastAsia="Times New Roman" w:hAnsi="Arial Narrow"/>
                <w:color w:val="000000"/>
                <w:sz w:val="18"/>
                <w:szCs w:val="18"/>
                <w:vertAlign w:val="superscript"/>
              </w:rPr>
              <w:t>5</w:t>
            </w:r>
          </w:p>
        </w:tc>
        <w:tc>
          <w:tcPr>
            <w:tcW w:w="34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p>
        </w:tc>
        <w:tc>
          <w:tcPr>
            <w:tcW w:w="509"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none</w:t>
            </w:r>
          </w:p>
        </w:tc>
        <w:tc>
          <w:tcPr>
            <w:tcW w:w="40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3175 </w:t>
            </w:r>
          </w:p>
        </w:tc>
        <w:tc>
          <w:tcPr>
            <w:tcW w:w="944"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Pr>
                <w:rStyle w:val="cell"/>
                <w:rFonts w:ascii="Arial Narrow" w:eastAsia="Times New Roman" w:hAnsi="Arial Narrow"/>
                <w:color w:val="000000"/>
                <w:sz w:val="18"/>
                <w:szCs w:val="18"/>
              </w:rPr>
              <w:t>Rate 3.54 (1.15- 5.93)</w:t>
            </w:r>
          </w:p>
        </w:tc>
        <w:tc>
          <w:tcPr>
            <w:tcW w:w="486"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2858C1">
              <w:rPr>
                <w:rStyle w:val="quality-sign1"/>
                <w:rFonts w:ascii="Cambria Math" w:eastAsia="Times New Roman" w:hAnsi="Cambria Math" w:cs="Cambria Math"/>
                <w:color w:val="000000"/>
                <w:sz w:val="18"/>
                <w:szCs w:val="18"/>
              </w:rPr>
              <w:t>⨁</w:t>
            </w:r>
            <w:r w:rsidRPr="002858C1">
              <w:rPr>
                <w:rStyle w:val="quality-sign1"/>
                <w:rFonts w:ascii="MS Mincho" w:eastAsia="Times New Roman" w:hAnsi="MS Mincho" w:cs="MS Mincho"/>
                <w:color w:val="000000"/>
                <w:sz w:val="18"/>
                <w:szCs w:val="18"/>
              </w:rPr>
              <w:t>◯◯◯</w:t>
            </w:r>
            <w:r w:rsidRPr="002858C1">
              <w:rPr>
                <w:rFonts w:ascii="Arial Narrow" w:eastAsia="Times New Roman" w:hAnsi="Arial Narrow"/>
                <w:color w:val="000000"/>
                <w:sz w:val="18"/>
                <w:szCs w:val="18"/>
              </w:rPr>
              <w:br/>
              <w:t>VERY LOW</w:t>
            </w:r>
            <w:r>
              <w:rPr>
                <w:rFonts w:ascii="Arial Narrow" w:eastAsia="Times New Roman" w:hAnsi="Arial Narrow"/>
                <w:color w:val="000000"/>
                <w:sz w:val="18"/>
                <w:szCs w:val="18"/>
              </w:rPr>
              <w:t xml:space="preserve"> </w:t>
            </w:r>
            <w:r w:rsidRPr="001B5777">
              <w:rPr>
                <w:rStyle w:val="underline1"/>
                <w:rFonts w:ascii="Arial Narrow" w:eastAsia="Times New Roman" w:hAnsi="Arial Narrow"/>
                <w:color w:val="000000"/>
                <w:sz w:val="18"/>
                <w:szCs w:val="18"/>
                <w:vertAlign w:val="superscript"/>
              </w:rPr>
              <w:t>2</w:t>
            </w:r>
            <w:r w:rsidRPr="001B5777">
              <w:rPr>
                <w:rFonts w:ascii="Arial Narrow" w:eastAsia="Times New Roman" w:hAnsi="Arial Narrow"/>
                <w:color w:val="000000"/>
                <w:sz w:val="18"/>
                <w:szCs w:val="18"/>
                <w:vertAlign w:val="superscript"/>
              </w:rPr>
              <w:t> </w:t>
            </w:r>
            <w:r w:rsidRPr="001B5777">
              <w:rPr>
                <w:rStyle w:val="underline1"/>
                <w:rFonts w:ascii="Arial Narrow" w:eastAsia="Times New Roman" w:hAnsi="Arial Narrow"/>
                <w:color w:val="000000"/>
                <w:sz w:val="18"/>
                <w:szCs w:val="18"/>
                <w:vertAlign w:val="superscript"/>
              </w:rPr>
              <w:t>3</w:t>
            </w:r>
            <w:r w:rsidRPr="001B5777">
              <w:rPr>
                <w:rFonts w:ascii="Arial Narrow" w:eastAsia="Times New Roman" w:hAnsi="Arial Narrow"/>
                <w:color w:val="000000"/>
                <w:sz w:val="18"/>
                <w:szCs w:val="18"/>
                <w:vertAlign w:val="superscript"/>
              </w:rPr>
              <w:t> </w:t>
            </w:r>
            <w:r w:rsidRPr="001B5777">
              <w:rPr>
                <w:rStyle w:val="underline1"/>
                <w:rFonts w:ascii="Arial Narrow" w:eastAsia="Times New Roman" w:hAnsi="Arial Narrow"/>
                <w:color w:val="000000"/>
                <w:sz w:val="18"/>
                <w:szCs w:val="18"/>
                <w:vertAlign w:val="superscript"/>
              </w:rPr>
              <w:t>4</w:t>
            </w:r>
            <w:r w:rsidRPr="001B5777">
              <w:rPr>
                <w:rFonts w:ascii="Arial Narrow" w:eastAsia="Times New Roman" w:hAnsi="Arial Narrow"/>
                <w:color w:val="000000"/>
                <w:sz w:val="18"/>
                <w:szCs w:val="18"/>
                <w:vertAlign w:val="superscript"/>
              </w:rPr>
              <w:t> </w:t>
            </w:r>
            <w:r w:rsidRPr="001B5777">
              <w:rPr>
                <w:rStyle w:val="underline1"/>
                <w:rFonts w:ascii="Arial Narrow" w:eastAsia="Times New Roman" w:hAnsi="Arial Narrow"/>
                <w:color w:val="000000"/>
                <w:sz w:val="18"/>
                <w:szCs w:val="18"/>
                <w:vertAlign w:val="superscript"/>
              </w:rPr>
              <w:t>5</w:t>
            </w:r>
          </w:p>
        </w:tc>
        <w:tc>
          <w:tcPr>
            <w:tcW w:w="362" w:type="pct"/>
            <w:tcBorders>
              <w:top w:val="single" w:sz="6" w:space="0" w:color="000000"/>
              <w:left w:val="single" w:sz="6" w:space="0" w:color="000000"/>
              <w:bottom w:val="single" w:sz="6" w:space="0" w:color="000000"/>
              <w:right w:val="single" w:sz="6" w:space="0" w:color="000000"/>
            </w:tcBorders>
            <w:hideMark/>
          </w:tcPr>
          <w:p w:rsidR="00AD4F82"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IMPORTANT </w:t>
            </w:r>
          </w:p>
          <w:p w:rsidR="00AD4F82" w:rsidRPr="00BB2629" w:rsidRDefault="00AD4F82" w:rsidP="00982B6B">
            <w:pPr>
              <w:tabs>
                <w:tab w:val="left" w:pos="601"/>
              </w:tabs>
              <w:rPr>
                <w:rFonts w:ascii="Arial Narrow" w:eastAsia="Times New Roman" w:hAnsi="Arial Narrow"/>
                <w:sz w:val="18"/>
                <w:szCs w:val="18"/>
              </w:rPr>
            </w:pPr>
            <w:r>
              <w:rPr>
                <w:rFonts w:ascii="Arial Narrow" w:eastAsia="Times New Roman" w:hAnsi="Arial Narrow"/>
                <w:sz w:val="18"/>
                <w:szCs w:val="18"/>
              </w:rPr>
              <w:tab/>
            </w:r>
          </w:p>
        </w:tc>
      </w:tr>
      <w:tr w:rsidR="00AD4F82" w:rsidTr="00982B6B">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Style w:val="label"/>
                <w:rFonts w:ascii="Arial Narrow" w:eastAsia="Times New Roman" w:hAnsi="Arial Narrow"/>
                <w:color w:val="000000"/>
                <w:sz w:val="18"/>
                <w:szCs w:val="18"/>
              </w:rPr>
              <w:t>Postnatal transmission at 6 months</w:t>
            </w:r>
          </w:p>
        </w:tc>
      </w:tr>
      <w:tr w:rsidR="00AD4F82" w:rsidTr="00AD4F82">
        <w:trPr>
          <w:cantSplit/>
        </w:trPr>
        <w:tc>
          <w:tcPr>
            <w:tcW w:w="32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6 </w:t>
            </w:r>
          </w:p>
        </w:tc>
        <w:tc>
          <w:tcPr>
            <w:tcW w:w="47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observational studies </w:t>
            </w:r>
            <w:r w:rsidRPr="004B05D1">
              <w:rPr>
                <w:rFonts w:ascii="Arial Narrow" w:eastAsia="Times New Roman" w:hAnsi="Arial Narrow"/>
                <w:color w:val="000000"/>
                <w:sz w:val="18"/>
                <w:szCs w:val="18"/>
                <w:u w:val="single"/>
                <w:vertAlign w:val="superscript"/>
              </w:rPr>
              <w:t>6</w:t>
            </w:r>
          </w:p>
        </w:tc>
        <w:tc>
          <w:tcPr>
            <w:tcW w:w="378"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very serious </w:t>
            </w:r>
            <w:r w:rsidRPr="001B5777">
              <w:rPr>
                <w:rFonts w:ascii="Arial Narrow" w:eastAsia="Times New Roman" w:hAnsi="Arial Narrow"/>
                <w:color w:val="000000"/>
                <w:sz w:val="18"/>
                <w:szCs w:val="18"/>
                <w:vertAlign w:val="superscript"/>
              </w:rPr>
              <w:t> </w:t>
            </w:r>
            <w:r w:rsidRPr="00E01A05">
              <w:rPr>
                <w:rStyle w:val="underline1"/>
                <w:sz w:val="18"/>
                <w:szCs w:val="18"/>
                <w:vertAlign w:val="superscript"/>
              </w:rPr>
              <w:t>7</w:t>
            </w:r>
          </w:p>
        </w:tc>
        <w:tc>
          <w:tcPr>
            <w:tcW w:w="40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very serious </w:t>
            </w:r>
            <w:r w:rsidRPr="001B5777">
              <w:rPr>
                <w:rFonts w:ascii="Arial Narrow" w:eastAsia="Times New Roman" w:hAnsi="Arial Narrow"/>
                <w:color w:val="000000"/>
                <w:sz w:val="18"/>
                <w:szCs w:val="18"/>
                <w:vertAlign w:val="superscript"/>
              </w:rPr>
              <w:t> </w:t>
            </w:r>
            <w:r w:rsidRPr="00D40157">
              <w:rPr>
                <w:rFonts w:ascii="Arial Narrow" w:eastAsia="Times New Roman" w:hAnsi="Arial Narrow"/>
                <w:color w:val="000000"/>
                <w:sz w:val="18"/>
                <w:szCs w:val="18"/>
                <w:u w:val="single"/>
                <w:vertAlign w:val="superscript"/>
              </w:rPr>
              <w:t>8</w:t>
            </w:r>
          </w:p>
        </w:tc>
        <w:tc>
          <w:tcPr>
            <w:tcW w:w="361"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serious </w:t>
            </w:r>
            <w:r w:rsidRPr="001B5777">
              <w:rPr>
                <w:rFonts w:ascii="Arial Narrow" w:eastAsia="Times New Roman" w:hAnsi="Arial Narrow"/>
                <w:color w:val="000000"/>
                <w:sz w:val="18"/>
                <w:szCs w:val="18"/>
                <w:vertAlign w:val="superscript"/>
              </w:rPr>
              <w:t> </w:t>
            </w:r>
            <w:r w:rsidRPr="00E01A05">
              <w:rPr>
                <w:rStyle w:val="underline1"/>
                <w:sz w:val="18"/>
                <w:szCs w:val="18"/>
                <w:vertAlign w:val="superscript"/>
              </w:rPr>
              <w:t>9</w:t>
            </w:r>
          </w:p>
        </w:tc>
        <w:tc>
          <w:tcPr>
            <w:tcW w:w="34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p>
        </w:tc>
        <w:tc>
          <w:tcPr>
            <w:tcW w:w="509"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none</w:t>
            </w:r>
          </w:p>
        </w:tc>
        <w:tc>
          <w:tcPr>
            <w:tcW w:w="40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2109 </w:t>
            </w:r>
          </w:p>
        </w:tc>
        <w:tc>
          <w:tcPr>
            <w:tcW w:w="944"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Style w:val="cell-value"/>
                <w:rFonts w:ascii="Arial Narrow" w:eastAsia="Times New Roman" w:hAnsi="Arial Narrow"/>
                <w:color w:val="000000"/>
                <w:sz w:val="18"/>
                <w:szCs w:val="18"/>
              </w:rPr>
              <w:t xml:space="preserve">rate </w:t>
            </w:r>
            <w:r>
              <w:rPr>
                <w:rStyle w:val="cell-value"/>
                <w:rFonts w:ascii="Arial Narrow" w:eastAsia="Times New Roman" w:hAnsi="Arial Narrow"/>
                <w:b/>
                <w:bCs/>
                <w:color w:val="000000"/>
                <w:sz w:val="18"/>
                <w:szCs w:val="18"/>
              </w:rPr>
              <w:t xml:space="preserve">1.08 </w:t>
            </w:r>
            <w:r w:rsidRPr="001B5777">
              <w:rPr>
                <w:rFonts w:ascii="Arial Narrow" w:eastAsia="Times New Roman" w:hAnsi="Arial Narrow"/>
                <w:color w:val="000000"/>
                <w:sz w:val="18"/>
                <w:szCs w:val="18"/>
              </w:rPr>
              <w:br/>
            </w:r>
            <w:r>
              <w:rPr>
                <w:rStyle w:val="cell-value"/>
                <w:rFonts w:ascii="Arial Narrow" w:eastAsia="Times New Roman" w:hAnsi="Arial Narrow"/>
                <w:color w:val="000000"/>
                <w:sz w:val="18"/>
                <w:szCs w:val="18"/>
              </w:rPr>
              <w:t xml:space="preserve">(0.32 </w:t>
            </w:r>
            <w:r w:rsidRPr="001B5777">
              <w:rPr>
                <w:rStyle w:val="cell-value"/>
                <w:rFonts w:ascii="Arial Narrow" w:eastAsia="Times New Roman" w:hAnsi="Arial Narrow"/>
                <w:color w:val="000000"/>
                <w:sz w:val="18"/>
                <w:szCs w:val="18"/>
              </w:rPr>
              <w:t xml:space="preserve">to </w:t>
            </w:r>
            <w:r>
              <w:rPr>
                <w:rStyle w:val="cell-value"/>
                <w:rFonts w:ascii="Arial Narrow" w:eastAsia="Times New Roman" w:hAnsi="Arial Narrow"/>
                <w:color w:val="000000"/>
                <w:sz w:val="18"/>
                <w:szCs w:val="18"/>
              </w:rPr>
              <w:t>1.85</w:t>
            </w:r>
            <w:r w:rsidRPr="001B5777">
              <w:rPr>
                <w:rStyle w:val="cell-value"/>
                <w:rFonts w:ascii="Arial Narrow" w:eastAsia="Times New Roman" w:hAnsi="Arial Narrow"/>
                <w:color w:val="000000"/>
                <w:sz w:val="18"/>
                <w:szCs w:val="18"/>
              </w:rPr>
              <w:t>)</w:t>
            </w:r>
            <w:r w:rsidRPr="001B5777">
              <w:rPr>
                <w:rFonts w:ascii="Arial Narrow" w:eastAsia="Times New Roman" w:hAnsi="Arial Narrow"/>
                <w:color w:val="000000"/>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2858C1">
              <w:rPr>
                <w:rStyle w:val="quality-sign1"/>
                <w:rFonts w:ascii="Cambria Math" w:eastAsia="Times New Roman" w:hAnsi="Cambria Math" w:cs="Cambria Math"/>
                <w:color w:val="000000"/>
                <w:sz w:val="18"/>
                <w:szCs w:val="18"/>
              </w:rPr>
              <w:t>⨁</w:t>
            </w:r>
            <w:r w:rsidRPr="002858C1">
              <w:rPr>
                <w:rStyle w:val="quality-sign1"/>
                <w:rFonts w:ascii="MS Mincho" w:eastAsia="Times New Roman" w:hAnsi="MS Mincho" w:cs="MS Mincho"/>
                <w:color w:val="000000"/>
                <w:sz w:val="18"/>
                <w:szCs w:val="18"/>
              </w:rPr>
              <w:t>◯◯◯</w:t>
            </w:r>
            <w:r w:rsidRPr="002858C1">
              <w:rPr>
                <w:rFonts w:ascii="Arial Narrow" w:eastAsia="Times New Roman" w:hAnsi="Arial Narrow"/>
                <w:color w:val="000000"/>
                <w:sz w:val="18"/>
                <w:szCs w:val="18"/>
              </w:rPr>
              <w:br/>
              <w:t>VERY LOW</w:t>
            </w:r>
            <w:r w:rsidRPr="001B5777">
              <w:rPr>
                <w:rFonts w:ascii="Arial Narrow" w:eastAsia="Times New Roman" w:hAnsi="Arial Narrow"/>
                <w:color w:val="000000"/>
                <w:sz w:val="18"/>
                <w:szCs w:val="18"/>
                <w:vertAlign w:val="superscript"/>
              </w:rPr>
              <w:t>  </w:t>
            </w:r>
            <w:r w:rsidRPr="001B5777">
              <w:rPr>
                <w:rStyle w:val="underline1"/>
                <w:rFonts w:ascii="Arial Narrow" w:eastAsia="Times New Roman" w:hAnsi="Arial Narrow"/>
                <w:color w:val="000000"/>
                <w:sz w:val="18"/>
                <w:szCs w:val="18"/>
                <w:vertAlign w:val="superscript"/>
              </w:rPr>
              <w:t>7</w:t>
            </w:r>
            <w:r w:rsidRPr="001B5777">
              <w:rPr>
                <w:rFonts w:ascii="Arial Narrow" w:eastAsia="Times New Roman" w:hAnsi="Arial Narrow"/>
                <w:color w:val="000000"/>
                <w:sz w:val="18"/>
                <w:szCs w:val="18"/>
                <w:vertAlign w:val="superscript"/>
              </w:rPr>
              <w:t> </w:t>
            </w:r>
            <w:r w:rsidRPr="001B5777">
              <w:rPr>
                <w:rStyle w:val="underline1"/>
                <w:rFonts w:ascii="Arial Narrow" w:eastAsia="Times New Roman" w:hAnsi="Arial Narrow"/>
                <w:color w:val="000000"/>
                <w:sz w:val="18"/>
                <w:szCs w:val="18"/>
                <w:vertAlign w:val="superscript"/>
              </w:rPr>
              <w:t>8</w:t>
            </w:r>
            <w:r>
              <w:rPr>
                <w:rStyle w:val="underline1"/>
                <w:rFonts w:ascii="Arial Narrow" w:eastAsia="Times New Roman" w:hAnsi="Arial Narrow"/>
                <w:color w:val="000000"/>
                <w:sz w:val="18"/>
                <w:szCs w:val="18"/>
                <w:vertAlign w:val="superscript"/>
              </w:rPr>
              <w:t xml:space="preserve"> 9</w:t>
            </w:r>
          </w:p>
        </w:tc>
        <w:tc>
          <w:tcPr>
            <w:tcW w:w="36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CRITICAL</w:t>
            </w:r>
            <w:r w:rsidRPr="001B5777">
              <w:rPr>
                <w:rFonts w:ascii="Arial Narrow" w:eastAsia="Times New Roman" w:hAnsi="Arial Narrow"/>
                <w:color w:val="000000"/>
                <w:sz w:val="18"/>
                <w:szCs w:val="18"/>
              </w:rPr>
              <w:t xml:space="preserve"> </w:t>
            </w:r>
          </w:p>
        </w:tc>
      </w:tr>
      <w:tr w:rsidR="00AD4F82" w:rsidTr="00982B6B">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rsidR="00AD4F82" w:rsidRPr="001B5777" w:rsidRDefault="00AD4F82" w:rsidP="00982B6B">
            <w:pPr>
              <w:spacing w:after="0" w:line="480" w:lineRule="auto"/>
              <w:rPr>
                <w:rFonts w:ascii="Arial Narrow" w:eastAsia="Times New Roman" w:hAnsi="Arial Narrow"/>
                <w:color w:val="000000"/>
                <w:sz w:val="18"/>
                <w:szCs w:val="18"/>
              </w:rPr>
            </w:pPr>
            <w:r>
              <w:rPr>
                <w:rStyle w:val="label"/>
                <w:rFonts w:ascii="Arial Narrow" w:eastAsia="Times New Roman" w:hAnsi="Arial Narrow"/>
                <w:color w:val="000000"/>
                <w:sz w:val="18"/>
                <w:szCs w:val="18"/>
              </w:rPr>
              <w:t xml:space="preserve">HIV transmission at 9 months </w:t>
            </w:r>
            <w:r w:rsidR="006B4C23">
              <w:rPr>
                <w:rStyle w:val="label"/>
                <w:rFonts w:ascii="Arial Narrow" w:eastAsia="Times New Roman" w:hAnsi="Arial Narrow"/>
                <w:color w:val="000000"/>
                <w:sz w:val="18"/>
                <w:szCs w:val="18"/>
              </w:rPr>
              <w:t xml:space="preserve">- </w:t>
            </w:r>
            <w:r w:rsidR="006B4C23" w:rsidRPr="00E072D4">
              <w:rPr>
                <w:rStyle w:val="label"/>
                <w:rFonts w:ascii="Arial Narrow" w:eastAsia="Times New Roman" w:hAnsi="Arial Narrow"/>
                <w:color w:val="000000"/>
                <w:sz w:val="18"/>
                <w:szCs w:val="18"/>
                <w:highlight w:val="yellow"/>
              </w:rPr>
              <w:t xml:space="preserve">including </w:t>
            </w:r>
            <w:proofErr w:type="spellStart"/>
            <w:r w:rsidR="006B4C23" w:rsidRPr="00E072D4">
              <w:rPr>
                <w:rStyle w:val="label"/>
                <w:rFonts w:ascii="Arial Narrow" w:eastAsia="Times New Roman" w:hAnsi="Arial Narrow"/>
                <w:color w:val="000000"/>
                <w:sz w:val="18"/>
                <w:szCs w:val="18"/>
                <w:highlight w:val="yellow"/>
              </w:rPr>
              <w:t>peripartum</w:t>
            </w:r>
            <w:proofErr w:type="spellEnd"/>
            <w:r w:rsidR="006B4C23" w:rsidRPr="00E072D4">
              <w:rPr>
                <w:rStyle w:val="label"/>
                <w:rFonts w:ascii="Arial Narrow" w:eastAsia="Times New Roman" w:hAnsi="Arial Narrow"/>
                <w:color w:val="000000"/>
                <w:sz w:val="18"/>
                <w:szCs w:val="18"/>
                <w:highlight w:val="yellow"/>
              </w:rPr>
              <w:t xml:space="preserve"> transmission</w:t>
            </w:r>
          </w:p>
        </w:tc>
      </w:tr>
      <w:tr w:rsidR="00AD4F82" w:rsidTr="00AD4F82">
        <w:trPr>
          <w:cantSplit/>
        </w:trPr>
        <w:tc>
          <w:tcPr>
            <w:tcW w:w="32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1 </w:t>
            </w:r>
          </w:p>
        </w:tc>
        <w:tc>
          <w:tcPr>
            <w:tcW w:w="47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observational studies</w:t>
            </w:r>
            <w:r w:rsidRPr="004B05D1">
              <w:rPr>
                <w:rFonts w:ascii="Arial Narrow" w:eastAsia="Times New Roman" w:hAnsi="Arial Narrow"/>
                <w:color w:val="000000"/>
                <w:sz w:val="18"/>
                <w:szCs w:val="18"/>
                <w:u w:val="single"/>
                <w:vertAlign w:val="superscript"/>
              </w:rPr>
              <w:t>10</w:t>
            </w:r>
            <w:r w:rsidRPr="001B5777">
              <w:rPr>
                <w:rFonts w:ascii="Arial Narrow" w:eastAsia="Times New Roman" w:hAnsi="Arial Narrow"/>
                <w:color w:val="000000"/>
                <w:sz w:val="18"/>
                <w:szCs w:val="18"/>
              </w:rPr>
              <w:t xml:space="preserve"> </w:t>
            </w:r>
          </w:p>
        </w:tc>
        <w:tc>
          <w:tcPr>
            <w:tcW w:w="378"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serious</w:t>
            </w:r>
            <w:r w:rsidRPr="00C469FF">
              <w:rPr>
                <w:rFonts w:ascii="Arial Narrow" w:eastAsia="Times New Roman" w:hAnsi="Arial Narrow"/>
                <w:color w:val="000000"/>
                <w:sz w:val="18"/>
                <w:szCs w:val="18"/>
                <w:u w:val="single"/>
                <w:vertAlign w:val="superscript"/>
              </w:rPr>
              <w:t>1</w:t>
            </w:r>
            <w:r>
              <w:rPr>
                <w:rFonts w:ascii="Arial Narrow" w:eastAsia="Times New Roman" w:hAnsi="Arial Narrow"/>
                <w:color w:val="000000"/>
                <w:sz w:val="18"/>
                <w:szCs w:val="18"/>
                <w:u w:val="single"/>
                <w:vertAlign w:val="superscript"/>
              </w:rPr>
              <w:t>1</w:t>
            </w:r>
            <w:r w:rsidRPr="001B5777">
              <w:rPr>
                <w:rFonts w:ascii="Arial Narrow" w:eastAsia="Times New Roman" w:hAnsi="Arial Narrow"/>
                <w:color w:val="000000"/>
                <w:sz w:val="18"/>
                <w:szCs w:val="18"/>
              </w:rPr>
              <w:t xml:space="preserve"> </w:t>
            </w:r>
          </w:p>
        </w:tc>
        <w:tc>
          <w:tcPr>
            <w:tcW w:w="40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p>
        </w:tc>
        <w:tc>
          <w:tcPr>
            <w:tcW w:w="361"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 serious</w:t>
            </w:r>
            <w:r>
              <w:rPr>
                <w:rFonts w:ascii="Arial Narrow" w:eastAsia="Times New Roman" w:hAnsi="Arial Narrow"/>
                <w:color w:val="000000"/>
                <w:sz w:val="18"/>
                <w:szCs w:val="18"/>
              </w:rPr>
              <w:t xml:space="preserve"> </w:t>
            </w:r>
            <w:r w:rsidRPr="00160295">
              <w:rPr>
                <w:rFonts w:ascii="Arial Narrow" w:eastAsia="Times New Roman" w:hAnsi="Arial Narrow"/>
                <w:color w:val="000000"/>
                <w:sz w:val="18"/>
                <w:szCs w:val="18"/>
                <w:u w:val="single"/>
                <w:vertAlign w:val="superscript"/>
              </w:rPr>
              <w:t>12</w:t>
            </w:r>
            <w:r w:rsidRPr="001B5777">
              <w:rPr>
                <w:rFonts w:ascii="Arial Narrow" w:eastAsia="Times New Roman" w:hAnsi="Arial Narrow"/>
                <w:color w:val="000000"/>
                <w:sz w:val="18"/>
                <w:szCs w:val="18"/>
              </w:rPr>
              <w:t xml:space="preserve"> </w:t>
            </w:r>
          </w:p>
        </w:tc>
        <w:tc>
          <w:tcPr>
            <w:tcW w:w="34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p>
        </w:tc>
        <w:tc>
          <w:tcPr>
            <w:tcW w:w="509"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none</w:t>
            </w:r>
          </w:p>
        </w:tc>
        <w:tc>
          <w:tcPr>
            <w:tcW w:w="40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532 </w:t>
            </w:r>
          </w:p>
        </w:tc>
        <w:tc>
          <w:tcPr>
            <w:tcW w:w="944"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Style w:val="cell-value"/>
                <w:rFonts w:ascii="Arial Narrow" w:eastAsia="Times New Roman" w:hAnsi="Arial Narrow"/>
                <w:color w:val="000000"/>
                <w:sz w:val="18"/>
                <w:szCs w:val="18"/>
              </w:rPr>
              <w:t xml:space="preserve">rate </w:t>
            </w:r>
            <w:r>
              <w:rPr>
                <w:rStyle w:val="cell-value"/>
                <w:rFonts w:ascii="Arial Narrow" w:eastAsia="Times New Roman" w:hAnsi="Arial Narrow"/>
                <w:b/>
                <w:bCs/>
                <w:color w:val="000000"/>
                <w:sz w:val="18"/>
                <w:szCs w:val="18"/>
              </w:rPr>
              <w:t xml:space="preserve">1.8 </w:t>
            </w:r>
            <w:r w:rsidRPr="001B5777">
              <w:rPr>
                <w:rFonts w:ascii="Arial Narrow" w:eastAsia="Times New Roman" w:hAnsi="Arial Narrow"/>
                <w:color w:val="000000"/>
                <w:sz w:val="18"/>
                <w:szCs w:val="18"/>
              </w:rPr>
              <w:br/>
            </w:r>
            <w:r w:rsidRPr="001B5777">
              <w:rPr>
                <w:rStyle w:val="cell-value"/>
                <w:rFonts w:ascii="Arial Narrow" w:eastAsia="Times New Roman" w:hAnsi="Arial Narrow"/>
                <w:color w:val="000000"/>
                <w:sz w:val="18"/>
                <w:szCs w:val="18"/>
              </w:rPr>
              <w:t>(0.7 to 4.8)</w:t>
            </w:r>
            <w:r w:rsidRPr="001B5777">
              <w:rPr>
                <w:rFonts w:ascii="Arial Narrow" w:eastAsia="Times New Roman" w:hAnsi="Arial Narrow"/>
                <w:color w:val="000000"/>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Pr>
                <w:rStyle w:val="quality-sign1"/>
                <w:rFonts w:ascii="Cambria Math" w:eastAsia="Times New Roman" w:hAnsi="Cambria Math" w:cs="Cambria Math"/>
                <w:color w:val="000000"/>
                <w:sz w:val="18"/>
                <w:szCs w:val="18"/>
              </w:rPr>
              <w:t>⨁</w:t>
            </w:r>
            <w:r w:rsidRPr="002858C1">
              <w:rPr>
                <w:rStyle w:val="quality-sign1"/>
                <w:rFonts w:ascii="MS Mincho" w:eastAsia="Times New Roman" w:hAnsi="MS Mincho" w:cs="MS Mincho"/>
                <w:color w:val="000000"/>
                <w:sz w:val="18"/>
                <w:szCs w:val="18"/>
              </w:rPr>
              <w:t>◯◯◯</w:t>
            </w:r>
            <w:r w:rsidRPr="002858C1">
              <w:rPr>
                <w:rFonts w:ascii="Arial Narrow" w:eastAsia="Times New Roman" w:hAnsi="Arial Narrow"/>
                <w:color w:val="000000"/>
                <w:sz w:val="18"/>
                <w:szCs w:val="18"/>
              </w:rPr>
              <w:br/>
            </w:r>
            <w:r>
              <w:rPr>
                <w:rFonts w:ascii="Arial Narrow" w:eastAsia="Times New Roman" w:hAnsi="Arial Narrow"/>
                <w:color w:val="000000"/>
                <w:sz w:val="18"/>
                <w:szCs w:val="18"/>
              </w:rPr>
              <w:t>LOW</w:t>
            </w:r>
            <w:r>
              <w:rPr>
                <w:rFonts w:ascii="Arial Narrow" w:eastAsia="Times New Roman" w:hAnsi="Arial Narrow"/>
                <w:color w:val="000000"/>
                <w:sz w:val="18"/>
                <w:szCs w:val="18"/>
                <w:u w:val="single"/>
                <w:vertAlign w:val="superscript"/>
              </w:rPr>
              <w:t>11</w:t>
            </w:r>
            <w:r w:rsidRPr="00160295">
              <w:rPr>
                <w:rFonts w:ascii="Arial Narrow" w:eastAsia="Times New Roman" w:hAnsi="Arial Narrow"/>
                <w:color w:val="000000"/>
                <w:sz w:val="18"/>
                <w:szCs w:val="18"/>
                <w:vertAlign w:val="superscript"/>
              </w:rPr>
              <w:t xml:space="preserve"> </w:t>
            </w:r>
            <w:r>
              <w:rPr>
                <w:rFonts w:ascii="Arial Narrow" w:eastAsia="Times New Roman" w:hAnsi="Arial Narrow"/>
                <w:color w:val="000000"/>
                <w:sz w:val="18"/>
                <w:szCs w:val="18"/>
                <w:u w:val="single"/>
                <w:vertAlign w:val="superscript"/>
              </w:rPr>
              <w:t>12</w:t>
            </w:r>
          </w:p>
        </w:tc>
        <w:tc>
          <w:tcPr>
            <w:tcW w:w="36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CRITICAL</w:t>
            </w:r>
            <w:r w:rsidRPr="001B5777">
              <w:rPr>
                <w:rFonts w:ascii="Arial Narrow" w:eastAsia="Times New Roman" w:hAnsi="Arial Narrow"/>
                <w:color w:val="000000"/>
                <w:sz w:val="18"/>
                <w:szCs w:val="18"/>
              </w:rPr>
              <w:t xml:space="preserve"> </w:t>
            </w:r>
          </w:p>
        </w:tc>
      </w:tr>
      <w:tr w:rsidR="00AD4F82" w:rsidTr="00982B6B">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Style w:val="label"/>
                <w:rFonts w:ascii="Arial Narrow" w:eastAsia="Times New Roman" w:hAnsi="Arial Narrow"/>
                <w:color w:val="000000"/>
                <w:sz w:val="18"/>
                <w:szCs w:val="18"/>
              </w:rPr>
              <w:lastRenderedPageBreak/>
              <w:t xml:space="preserve">Overall transmission at 12 months - including </w:t>
            </w:r>
            <w:proofErr w:type="spellStart"/>
            <w:r w:rsidRPr="001B5777">
              <w:rPr>
                <w:rStyle w:val="label"/>
                <w:rFonts w:ascii="Arial Narrow" w:eastAsia="Times New Roman" w:hAnsi="Arial Narrow"/>
                <w:color w:val="000000"/>
                <w:sz w:val="18"/>
                <w:szCs w:val="18"/>
              </w:rPr>
              <w:t>peripartum</w:t>
            </w:r>
            <w:proofErr w:type="spellEnd"/>
            <w:r w:rsidRPr="001B5777">
              <w:rPr>
                <w:rStyle w:val="label"/>
                <w:rFonts w:ascii="Arial Narrow" w:eastAsia="Times New Roman" w:hAnsi="Arial Narrow"/>
                <w:color w:val="000000"/>
                <w:sz w:val="18"/>
                <w:szCs w:val="18"/>
              </w:rPr>
              <w:t xml:space="preserve"> transmission</w:t>
            </w:r>
            <w:r>
              <w:rPr>
                <w:rStyle w:val="label"/>
                <w:rFonts w:ascii="Arial Narrow" w:eastAsia="Times New Roman" w:hAnsi="Arial Narrow"/>
                <w:color w:val="000000"/>
                <w:sz w:val="18"/>
                <w:szCs w:val="18"/>
              </w:rPr>
              <w:t xml:space="preserve"> </w:t>
            </w:r>
          </w:p>
        </w:tc>
      </w:tr>
      <w:tr w:rsidR="00AD4F82" w:rsidTr="00AD4F82">
        <w:trPr>
          <w:cantSplit/>
        </w:trPr>
        <w:tc>
          <w:tcPr>
            <w:tcW w:w="32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5 </w:t>
            </w:r>
          </w:p>
        </w:tc>
        <w:tc>
          <w:tcPr>
            <w:tcW w:w="47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observational studies </w:t>
            </w:r>
            <w:r>
              <w:rPr>
                <w:rFonts w:ascii="Arial Narrow" w:eastAsia="Times New Roman" w:hAnsi="Arial Narrow"/>
                <w:color w:val="000000"/>
                <w:sz w:val="18"/>
                <w:szCs w:val="18"/>
                <w:u w:val="single"/>
                <w:vertAlign w:val="superscript"/>
              </w:rPr>
              <w:t>13</w:t>
            </w:r>
          </w:p>
        </w:tc>
        <w:tc>
          <w:tcPr>
            <w:tcW w:w="378"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serious </w:t>
            </w:r>
            <w:r w:rsidRPr="001B5777">
              <w:rPr>
                <w:rFonts w:ascii="Arial Narrow" w:eastAsia="Times New Roman" w:hAnsi="Arial Narrow"/>
                <w:color w:val="000000"/>
                <w:sz w:val="18"/>
                <w:szCs w:val="18"/>
                <w:vertAlign w:val="superscript"/>
              </w:rPr>
              <w:t> </w:t>
            </w:r>
            <w:r>
              <w:rPr>
                <w:rStyle w:val="underline1"/>
                <w:sz w:val="18"/>
                <w:szCs w:val="18"/>
                <w:vertAlign w:val="superscript"/>
              </w:rPr>
              <w:t>14</w:t>
            </w:r>
          </w:p>
        </w:tc>
        <w:tc>
          <w:tcPr>
            <w:tcW w:w="40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serious </w:t>
            </w:r>
            <w:r w:rsidRPr="001B5777">
              <w:rPr>
                <w:rFonts w:ascii="Arial Narrow" w:eastAsia="Times New Roman" w:hAnsi="Arial Narrow"/>
                <w:color w:val="000000"/>
                <w:sz w:val="18"/>
                <w:szCs w:val="18"/>
                <w:vertAlign w:val="superscript"/>
              </w:rPr>
              <w:t> </w:t>
            </w:r>
            <w:r>
              <w:rPr>
                <w:rStyle w:val="underline1"/>
                <w:rFonts w:ascii="Arial Narrow" w:eastAsia="Times New Roman" w:hAnsi="Arial Narrow"/>
                <w:color w:val="000000"/>
                <w:sz w:val="18"/>
                <w:szCs w:val="18"/>
                <w:vertAlign w:val="superscript"/>
              </w:rPr>
              <w:t>15</w:t>
            </w:r>
          </w:p>
        </w:tc>
        <w:tc>
          <w:tcPr>
            <w:tcW w:w="361"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r w:rsidRPr="001B5777">
              <w:rPr>
                <w:rFonts w:ascii="Arial Narrow" w:eastAsia="Times New Roman" w:hAnsi="Arial Narrow"/>
                <w:color w:val="000000"/>
                <w:sz w:val="18"/>
                <w:szCs w:val="18"/>
                <w:vertAlign w:val="superscript"/>
              </w:rPr>
              <w:t> </w:t>
            </w:r>
            <w:r>
              <w:rPr>
                <w:rStyle w:val="underline1"/>
                <w:rFonts w:ascii="Arial Narrow" w:eastAsia="Times New Roman" w:hAnsi="Arial Narrow"/>
                <w:color w:val="000000"/>
                <w:sz w:val="18"/>
                <w:szCs w:val="18"/>
                <w:vertAlign w:val="superscript"/>
              </w:rPr>
              <w:t>16</w:t>
            </w:r>
          </w:p>
        </w:tc>
        <w:tc>
          <w:tcPr>
            <w:tcW w:w="34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p>
        </w:tc>
        <w:tc>
          <w:tcPr>
            <w:tcW w:w="509"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none</w:t>
            </w:r>
          </w:p>
        </w:tc>
        <w:tc>
          <w:tcPr>
            <w:tcW w:w="40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1493 </w:t>
            </w:r>
          </w:p>
        </w:tc>
        <w:tc>
          <w:tcPr>
            <w:tcW w:w="944"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Style w:val="cell-value"/>
                <w:rFonts w:ascii="Arial Narrow" w:eastAsia="Times New Roman" w:hAnsi="Arial Narrow"/>
                <w:color w:val="000000"/>
                <w:sz w:val="18"/>
                <w:szCs w:val="18"/>
              </w:rPr>
              <w:t xml:space="preserve">rate </w:t>
            </w:r>
            <w:r>
              <w:rPr>
                <w:rStyle w:val="cell-value"/>
                <w:rFonts w:ascii="Arial Narrow" w:eastAsia="Times New Roman" w:hAnsi="Arial Narrow"/>
                <w:b/>
                <w:bCs/>
                <w:color w:val="000000"/>
                <w:sz w:val="18"/>
                <w:szCs w:val="18"/>
              </w:rPr>
              <w:t xml:space="preserve">4.23 </w:t>
            </w:r>
            <w:r w:rsidRPr="001B5777">
              <w:rPr>
                <w:rFonts w:ascii="Arial Narrow" w:eastAsia="Times New Roman" w:hAnsi="Arial Narrow"/>
                <w:color w:val="000000"/>
                <w:sz w:val="18"/>
                <w:szCs w:val="18"/>
              </w:rPr>
              <w:br/>
            </w:r>
            <w:r w:rsidRPr="001B5777">
              <w:rPr>
                <w:rStyle w:val="cell-value"/>
                <w:rFonts w:ascii="Arial Narrow" w:eastAsia="Times New Roman" w:hAnsi="Arial Narrow"/>
                <w:color w:val="000000"/>
                <w:sz w:val="18"/>
                <w:szCs w:val="18"/>
              </w:rPr>
              <w:t>(</w:t>
            </w:r>
            <w:r>
              <w:rPr>
                <w:rStyle w:val="cell-value"/>
                <w:rFonts w:ascii="Arial Narrow" w:eastAsia="Times New Roman" w:hAnsi="Arial Narrow"/>
                <w:color w:val="000000"/>
                <w:sz w:val="18"/>
                <w:szCs w:val="18"/>
              </w:rPr>
              <w:t>2.97</w:t>
            </w:r>
            <w:r w:rsidRPr="001B5777">
              <w:rPr>
                <w:rStyle w:val="cell-value"/>
                <w:rFonts w:ascii="Arial Narrow" w:eastAsia="Times New Roman" w:hAnsi="Arial Narrow"/>
                <w:color w:val="000000"/>
                <w:sz w:val="18"/>
                <w:szCs w:val="18"/>
              </w:rPr>
              <w:t xml:space="preserve"> to 5</w:t>
            </w:r>
            <w:r>
              <w:rPr>
                <w:rStyle w:val="cell-value"/>
                <w:rFonts w:ascii="Arial Narrow" w:eastAsia="Times New Roman" w:hAnsi="Arial Narrow"/>
                <w:color w:val="000000"/>
                <w:sz w:val="18"/>
                <w:szCs w:val="18"/>
              </w:rPr>
              <w:t>.49</w:t>
            </w:r>
            <w:r w:rsidRPr="001B5777">
              <w:rPr>
                <w:rStyle w:val="cell-value"/>
                <w:rFonts w:ascii="Arial Narrow" w:eastAsia="Times New Roman" w:hAnsi="Arial Narrow"/>
                <w:color w:val="000000"/>
                <w:sz w:val="18"/>
                <w:szCs w:val="18"/>
              </w:rPr>
              <w:t>)</w:t>
            </w:r>
            <w:r w:rsidRPr="001B5777">
              <w:rPr>
                <w:rFonts w:ascii="Arial Narrow" w:eastAsia="Times New Roman" w:hAnsi="Arial Narrow"/>
                <w:color w:val="000000"/>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2858C1">
              <w:rPr>
                <w:rStyle w:val="quality-sign1"/>
                <w:rFonts w:ascii="Cambria Math" w:eastAsia="Times New Roman" w:hAnsi="Cambria Math" w:cs="Cambria Math"/>
                <w:color w:val="000000"/>
                <w:sz w:val="18"/>
                <w:szCs w:val="18"/>
              </w:rPr>
              <w:t>⨁</w:t>
            </w:r>
            <w:r w:rsidRPr="002858C1">
              <w:rPr>
                <w:rStyle w:val="quality-sign1"/>
                <w:rFonts w:ascii="MS Mincho" w:eastAsia="Times New Roman" w:hAnsi="MS Mincho" w:cs="MS Mincho"/>
                <w:color w:val="000000"/>
                <w:sz w:val="18"/>
                <w:szCs w:val="18"/>
              </w:rPr>
              <w:t>◯◯◯</w:t>
            </w:r>
            <w:r>
              <w:rPr>
                <w:rFonts w:ascii="Arial Narrow" w:eastAsia="Times New Roman" w:hAnsi="Arial Narrow"/>
                <w:color w:val="000000"/>
                <w:sz w:val="18"/>
                <w:szCs w:val="18"/>
              </w:rPr>
              <w:br/>
              <w:t xml:space="preserve">VERY </w:t>
            </w:r>
            <w:r w:rsidRPr="002858C1">
              <w:rPr>
                <w:rFonts w:ascii="Arial Narrow" w:eastAsia="Times New Roman" w:hAnsi="Arial Narrow"/>
                <w:color w:val="000000"/>
                <w:sz w:val="18"/>
                <w:szCs w:val="18"/>
              </w:rPr>
              <w:t>LOW</w:t>
            </w:r>
            <w:r>
              <w:rPr>
                <w:rStyle w:val="underline1"/>
                <w:rFonts w:ascii="Arial Narrow" w:eastAsia="Times New Roman" w:hAnsi="Arial Narrow"/>
                <w:color w:val="000000"/>
                <w:sz w:val="18"/>
                <w:szCs w:val="18"/>
                <w:vertAlign w:val="superscript"/>
              </w:rPr>
              <w:t xml:space="preserve"> 14 15 16</w:t>
            </w:r>
          </w:p>
        </w:tc>
        <w:tc>
          <w:tcPr>
            <w:tcW w:w="36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CRITICAL</w:t>
            </w:r>
          </w:p>
        </w:tc>
      </w:tr>
      <w:tr w:rsidR="00AD4F82" w:rsidTr="00982B6B">
        <w:trPr>
          <w:cantSplit/>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Style w:val="label"/>
                <w:rFonts w:ascii="Arial Narrow" w:eastAsia="Times New Roman" w:hAnsi="Arial Narrow"/>
                <w:color w:val="000000"/>
                <w:sz w:val="18"/>
                <w:szCs w:val="18"/>
              </w:rPr>
              <w:t xml:space="preserve">Postnatal transmission at 12 months (excluding </w:t>
            </w:r>
            <w:proofErr w:type="spellStart"/>
            <w:r w:rsidRPr="001B5777">
              <w:rPr>
                <w:rStyle w:val="label"/>
                <w:rFonts w:ascii="Arial Narrow" w:eastAsia="Times New Roman" w:hAnsi="Arial Narrow"/>
                <w:color w:val="000000"/>
                <w:sz w:val="18"/>
                <w:szCs w:val="18"/>
              </w:rPr>
              <w:t>peripartum</w:t>
            </w:r>
            <w:proofErr w:type="spellEnd"/>
            <w:r w:rsidRPr="001B5777">
              <w:rPr>
                <w:rStyle w:val="label"/>
                <w:rFonts w:ascii="Arial Narrow" w:eastAsia="Times New Roman" w:hAnsi="Arial Narrow"/>
                <w:color w:val="000000"/>
                <w:sz w:val="18"/>
                <w:szCs w:val="18"/>
              </w:rPr>
              <w:t xml:space="preserve"> transmission)</w:t>
            </w:r>
          </w:p>
        </w:tc>
      </w:tr>
      <w:tr w:rsidR="00AD4F82" w:rsidTr="00AD4F82">
        <w:trPr>
          <w:cantSplit/>
        </w:trPr>
        <w:tc>
          <w:tcPr>
            <w:tcW w:w="32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2 </w:t>
            </w:r>
          </w:p>
        </w:tc>
        <w:tc>
          <w:tcPr>
            <w:tcW w:w="47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observational studies</w:t>
            </w:r>
            <w:r>
              <w:rPr>
                <w:rFonts w:ascii="Arial Narrow" w:eastAsia="Times New Roman" w:hAnsi="Arial Narrow"/>
                <w:color w:val="000000"/>
                <w:sz w:val="18"/>
                <w:szCs w:val="18"/>
              </w:rPr>
              <w:t xml:space="preserve"> </w:t>
            </w:r>
            <w:r>
              <w:rPr>
                <w:rFonts w:ascii="Arial Narrow" w:eastAsia="Times New Roman" w:hAnsi="Arial Narrow"/>
                <w:color w:val="000000"/>
                <w:sz w:val="18"/>
                <w:szCs w:val="18"/>
                <w:u w:val="single"/>
                <w:vertAlign w:val="superscript"/>
              </w:rPr>
              <w:t>17</w:t>
            </w:r>
            <w:r w:rsidRPr="001B5777">
              <w:rPr>
                <w:rFonts w:ascii="Arial Narrow" w:eastAsia="Times New Roman" w:hAnsi="Arial Narrow"/>
                <w:color w:val="000000"/>
                <w:sz w:val="18"/>
                <w:szCs w:val="18"/>
              </w:rPr>
              <w:t xml:space="preserve"> </w:t>
            </w:r>
          </w:p>
        </w:tc>
        <w:tc>
          <w:tcPr>
            <w:tcW w:w="378"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serious </w:t>
            </w:r>
            <w:r w:rsidRPr="001B5777">
              <w:rPr>
                <w:rFonts w:ascii="Arial Narrow" w:eastAsia="Times New Roman" w:hAnsi="Arial Narrow"/>
                <w:color w:val="000000"/>
                <w:sz w:val="18"/>
                <w:szCs w:val="18"/>
                <w:vertAlign w:val="superscript"/>
              </w:rPr>
              <w:t> </w:t>
            </w:r>
            <w:r>
              <w:rPr>
                <w:rStyle w:val="underline1"/>
                <w:rFonts w:ascii="Arial Narrow" w:eastAsia="Times New Roman" w:hAnsi="Arial Narrow"/>
                <w:color w:val="000000"/>
                <w:sz w:val="18"/>
                <w:szCs w:val="18"/>
                <w:vertAlign w:val="superscript"/>
              </w:rPr>
              <w:t>18</w:t>
            </w:r>
          </w:p>
        </w:tc>
        <w:tc>
          <w:tcPr>
            <w:tcW w:w="40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serious </w:t>
            </w:r>
            <w:r w:rsidRPr="001B5777">
              <w:rPr>
                <w:rFonts w:ascii="Arial Narrow" w:eastAsia="Times New Roman" w:hAnsi="Arial Narrow"/>
                <w:color w:val="000000"/>
                <w:sz w:val="18"/>
                <w:szCs w:val="18"/>
                <w:vertAlign w:val="superscript"/>
              </w:rPr>
              <w:t> </w:t>
            </w:r>
            <w:r>
              <w:rPr>
                <w:rStyle w:val="underline1"/>
                <w:rFonts w:ascii="Arial Narrow" w:eastAsia="Times New Roman" w:hAnsi="Arial Narrow"/>
                <w:color w:val="000000"/>
                <w:sz w:val="18"/>
                <w:szCs w:val="18"/>
                <w:vertAlign w:val="superscript"/>
              </w:rPr>
              <w:t>19</w:t>
            </w:r>
          </w:p>
        </w:tc>
        <w:tc>
          <w:tcPr>
            <w:tcW w:w="361"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serious </w:t>
            </w:r>
            <w:r w:rsidRPr="001B5777">
              <w:rPr>
                <w:rFonts w:ascii="Arial Narrow" w:eastAsia="Times New Roman" w:hAnsi="Arial Narrow"/>
                <w:color w:val="000000"/>
                <w:sz w:val="18"/>
                <w:szCs w:val="18"/>
                <w:vertAlign w:val="superscript"/>
              </w:rPr>
              <w:t> </w:t>
            </w:r>
            <w:r w:rsidRPr="00160295">
              <w:rPr>
                <w:rStyle w:val="underline1"/>
                <w:vertAlign w:val="superscript"/>
              </w:rPr>
              <w:t>20</w:t>
            </w:r>
          </w:p>
        </w:tc>
        <w:tc>
          <w:tcPr>
            <w:tcW w:w="34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p>
        </w:tc>
        <w:tc>
          <w:tcPr>
            <w:tcW w:w="509"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none</w:t>
            </w:r>
          </w:p>
        </w:tc>
        <w:tc>
          <w:tcPr>
            <w:tcW w:w="40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833 </w:t>
            </w:r>
          </w:p>
        </w:tc>
        <w:tc>
          <w:tcPr>
            <w:tcW w:w="944"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Style w:val="cell-value"/>
                <w:rFonts w:ascii="Arial Narrow" w:eastAsia="Times New Roman" w:hAnsi="Arial Narrow"/>
                <w:color w:val="000000"/>
                <w:sz w:val="18"/>
                <w:szCs w:val="18"/>
              </w:rPr>
              <w:t xml:space="preserve">rate </w:t>
            </w:r>
            <w:r>
              <w:rPr>
                <w:rStyle w:val="cell-value"/>
                <w:rFonts w:ascii="Arial Narrow" w:eastAsia="Times New Roman" w:hAnsi="Arial Narrow"/>
                <w:b/>
                <w:bCs/>
                <w:color w:val="000000"/>
                <w:sz w:val="18"/>
                <w:szCs w:val="18"/>
              </w:rPr>
              <w:t xml:space="preserve">2.93  </w:t>
            </w:r>
            <w:r w:rsidRPr="001B5777">
              <w:rPr>
                <w:rFonts w:ascii="Arial Narrow" w:eastAsia="Times New Roman" w:hAnsi="Arial Narrow"/>
                <w:color w:val="000000"/>
                <w:sz w:val="18"/>
                <w:szCs w:val="18"/>
              </w:rPr>
              <w:br/>
            </w:r>
            <w:r>
              <w:rPr>
                <w:rStyle w:val="cell-value"/>
                <w:rFonts w:ascii="Arial Narrow" w:eastAsia="Times New Roman" w:hAnsi="Arial Narrow"/>
                <w:color w:val="000000"/>
                <w:sz w:val="18"/>
                <w:szCs w:val="18"/>
              </w:rPr>
              <w:t>(0.68</w:t>
            </w:r>
            <w:r w:rsidRPr="001B5777">
              <w:rPr>
                <w:rStyle w:val="cell-value"/>
                <w:rFonts w:ascii="Arial Narrow" w:eastAsia="Times New Roman" w:hAnsi="Arial Narrow"/>
                <w:color w:val="000000"/>
                <w:sz w:val="18"/>
                <w:szCs w:val="18"/>
              </w:rPr>
              <w:t xml:space="preserve"> to </w:t>
            </w:r>
            <w:r>
              <w:rPr>
                <w:rStyle w:val="cell-value"/>
                <w:rFonts w:ascii="Arial Narrow" w:eastAsia="Times New Roman" w:hAnsi="Arial Narrow"/>
                <w:color w:val="000000"/>
                <w:sz w:val="18"/>
                <w:szCs w:val="18"/>
              </w:rPr>
              <w:t>5.18</w:t>
            </w:r>
            <w:r w:rsidRPr="001B5777">
              <w:rPr>
                <w:rStyle w:val="cell-value"/>
                <w:rFonts w:ascii="Arial Narrow" w:eastAsia="Times New Roman" w:hAnsi="Arial Narrow"/>
                <w:color w:val="000000"/>
                <w:sz w:val="18"/>
                <w:szCs w:val="18"/>
              </w:rPr>
              <w:t>)</w:t>
            </w:r>
            <w:r w:rsidRPr="001B5777">
              <w:rPr>
                <w:rFonts w:ascii="Arial Narrow" w:eastAsia="Times New Roman" w:hAnsi="Arial Narrow"/>
                <w:color w:val="000000"/>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2858C1">
              <w:rPr>
                <w:rStyle w:val="quality-sign1"/>
                <w:rFonts w:ascii="Cambria Math" w:eastAsia="Times New Roman" w:hAnsi="Cambria Math" w:cs="Cambria Math"/>
                <w:color w:val="000000"/>
                <w:sz w:val="18"/>
                <w:szCs w:val="18"/>
              </w:rPr>
              <w:t>⨁</w:t>
            </w:r>
            <w:r w:rsidRPr="002858C1">
              <w:rPr>
                <w:rStyle w:val="quality-sign1"/>
                <w:rFonts w:ascii="MS Mincho" w:eastAsia="Times New Roman" w:hAnsi="MS Mincho" w:cs="MS Mincho"/>
                <w:color w:val="000000"/>
                <w:sz w:val="18"/>
                <w:szCs w:val="18"/>
              </w:rPr>
              <w:t>◯◯◯</w:t>
            </w:r>
            <w:r w:rsidRPr="002858C1">
              <w:rPr>
                <w:rFonts w:ascii="Arial Narrow" w:eastAsia="Times New Roman" w:hAnsi="Arial Narrow"/>
                <w:color w:val="000000"/>
                <w:sz w:val="18"/>
                <w:szCs w:val="18"/>
              </w:rPr>
              <w:br/>
              <w:t>VERY LOW</w:t>
            </w:r>
            <w:r>
              <w:rPr>
                <w:rFonts w:ascii="Arial Narrow" w:eastAsia="Times New Roman" w:hAnsi="Arial Narrow"/>
                <w:color w:val="000000"/>
                <w:sz w:val="18"/>
                <w:szCs w:val="18"/>
              </w:rPr>
              <w:t xml:space="preserve"> </w:t>
            </w:r>
            <w:r w:rsidRPr="001B5777">
              <w:rPr>
                <w:rFonts w:ascii="Arial Narrow" w:eastAsia="Times New Roman" w:hAnsi="Arial Narrow"/>
                <w:color w:val="000000"/>
                <w:sz w:val="18"/>
                <w:szCs w:val="18"/>
                <w:vertAlign w:val="superscript"/>
              </w:rPr>
              <w:t> </w:t>
            </w:r>
            <w:r>
              <w:rPr>
                <w:rStyle w:val="underline1"/>
                <w:rFonts w:ascii="Arial Narrow" w:eastAsia="Times New Roman" w:hAnsi="Arial Narrow"/>
                <w:color w:val="000000"/>
                <w:sz w:val="18"/>
                <w:szCs w:val="18"/>
                <w:vertAlign w:val="superscript"/>
              </w:rPr>
              <w:t>18</w:t>
            </w:r>
            <w:r w:rsidRPr="00160295">
              <w:rPr>
                <w:rStyle w:val="underline1"/>
                <w:rFonts w:ascii="Arial Narrow" w:eastAsia="Times New Roman" w:hAnsi="Arial Narrow"/>
                <w:color w:val="000000"/>
                <w:sz w:val="18"/>
                <w:szCs w:val="18"/>
                <w:vertAlign w:val="superscript"/>
              </w:rPr>
              <w:t xml:space="preserve"> </w:t>
            </w:r>
            <w:r>
              <w:rPr>
                <w:rStyle w:val="underline1"/>
                <w:rFonts w:ascii="Arial Narrow" w:eastAsia="Times New Roman" w:hAnsi="Arial Narrow"/>
                <w:color w:val="000000"/>
                <w:sz w:val="18"/>
                <w:szCs w:val="18"/>
                <w:vertAlign w:val="superscript"/>
              </w:rPr>
              <w:t>19 20</w:t>
            </w:r>
          </w:p>
        </w:tc>
        <w:tc>
          <w:tcPr>
            <w:tcW w:w="36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CRITICAL</w:t>
            </w:r>
          </w:p>
        </w:tc>
      </w:tr>
      <w:tr w:rsidR="00AD4F82" w:rsidTr="00982B6B">
        <w:trPr>
          <w:cantSplit/>
          <w:trHeight w:val="392"/>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DEDED"/>
            <w:vAlign w:val="center"/>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Style w:val="label"/>
                <w:rFonts w:ascii="Arial Narrow" w:eastAsia="Times New Roman" w:hAnsi="Arial Narrow"/>
                <w:color w:val="000000"/>
                <w:sz w:val="18"/>
                <w:szCs w:val="18"/>
              </w:rPr>
              <w:t xml:space="preserve">Postnatal transmission at 18 months (lifelong </w:t>
            </w:r>
            <w:r>
              <w:rPr>
                <w:rStyle w:val="label"/>
                <w:rFonts w:ascii="Arial Narrow" w:eastAsia="Times New Roman" w:hAnsi="Arial Narrow"/>
                <w:color w:val="000000"/>
                <w:sz w:val="18"/>
                <w:szCs w:val="18"/>
              </w:rPr>
              <w:t>ART, including all transmission</w:t>
            </w:r>
            <w:r w:rsidRPr="001B5777">
              <w:rPr>
                <w:rStyle w:val="label"/>
                <w:rFonts w:ascii="Arial Narrow" w:eastAsia="Times New Roman" w:hAnsi="Arial Narrow"/>
                <w:color w:val="000000"/>
                <w:sz w:val="18"/>
                <w:szCs w:val="18"/>
              </w:rPr>
              <w:t>)</w:t>
            </w:r>
          </w:p>
        </w:tc>
      </w:tr>
      <w:tr w:rsidR="00AD4F82" w:rsidTr="00AD4F82">
        <w:trPr>
          <w:cantSplit/>
        </w:trPr>
        <w:tc>
          <w:tcPr>
            <w:tcW w:w="32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1 </w:t>
            </w:r>
          </w:p>
        </w:tc>
        <w:tc>
          <w:tcPr>
            <w:tcW w:w="47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observational studies </w:t>
            </w:r>
            <w:r>
              <w:rPr>
                <w:rFonts w:ascii="Arial Narrow" w:eastAsia="Times New Roman" w:hAnsi="Arial Narrow"/>
                <w:color w:val="000000"/>
                <w:sz w:val="18"/>
                <w:szCs w:val="18"/>
                <w:u w:val="single"/>
                <w:vertAlign w:val="superscript"/>
              </w:rPr>
              <w:t>21</w:t>
            </w:r>
          </w:p>
        </w:tc>
        <w:tc>
          <w:tcPr>
            <w:tcW w:w="378"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r>
              <w:rPr>
                <w:rFonts w:ascii="Arial Narrow" w:eastAsia="Times New Roman" w:hAnsi="Arial Narrow"/>
                <w:color w:val="000000"/>
                <w:sz w:val="18"/>
                <w:szCs w:val="18"/>
                <w:u w:val="single"/>
                <w:vertAlign w:val="superscript"/>
              </w:rPr>
              <w:t>22</w:t>
            </w:r>
          </w:p>
        </w:tc>
        <w:tc>
          <w:tcPr>
            <w:tcW w:w="40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 xml:space="preserve">not serious </w:t>
            </w:r>
          </w:p>
        </w:tc>
        <w:tc>
          <w:tcPr>
            <w:tcW w:w="361"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Pr>
                <w:rFonts w:ascii="Arial Narrow" w:eastAsia="Times New Roman" w:hAnsi="Arial Narrow"/>
                <w:color w:val="000000"/>
                <w:sz w:val="18"/>
                <w:szCs w:val="18"/>
              </w:rPr>
              <w:t>s</w:t>
            </w:r>
            <w:r w:rsidRPr="001B5777">
              <w:rPr>
                <w:rFonts w:ascii="Arial Narrow" w:eastAsia="Times New Roman" w:hAnsi="Arial Narrow"/>
                <w:color w:val="000000"/>
                <w:sz w:val="18"/>
                <w:szCs w:val="18"/>
              </w:rPr>
              <w:t>erious</w:t>
            </w:r>
            <w:r>
              <w:rPr>
                <w:rFonts w:ascii="Arial Narrow" w:eastAsia="Times New Roman" w:hAnsi="Arial Narrow"/>
                <w:color w:val="000000"/>
                <w:sz w:val="18"/>
                <w:szCs w:val="18"/>
                <w:u w:val="single"/>
                <w:vertAlign w:val="superscript"/>
              </w:rPr>
              <w:t>23</w:t>
            </w:r>
            <w:r w:rsidRPr="001B5777">
              <w:rPr>
                <w:rFonts w:ascii="Arial Narrow" w:eastAsia="Times New Roman" w:hAnsi="Arial Narrow"/>
                <w:color w:val="000000"/>
                <w:sz w:val="18"/>
                <w:szCs w:val="18"/>
              </w:rPr>
              <w:t xml:space="preserve"> </w:t>
            </w:r>
          </w:p>
        </w:tc>
        <w:tc>
          <w:tcPr>
            <w:tcW w:w="34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1B5777">
              <w:rPr>
                <w:rFonts w:ascii="Arial Narrow" w:eastAsia="Times New Roman" w:hAnsi="Arial Narrow"/>
                <w:color w:val="000000"/>
                <w:sz w:val="18"/>
                <w:szCs w:val="18"/>
              </w:rPr>
              <w:t>not serious</w:t>
            </w:r>
          </w:p>
        </w:tc>
        <w:tc>
          <w:tcPr>
            <w:tcW w:w="509"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none</w:t>
            </w:r>
          </w:p>
        </w:tc>
        <w:tc>
          <w:tcPr>
            <w:tcW w:w="407"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Pr>
                <w:rFonts w:ascii="Arial Narrow" w:eastAsia="Times New Roman" w:hAnsi="Arial Narrow"/>
                <w:color w:val="000000"/>
                <w:sz w:val="18"/>
                <w:szCs w:val="18"/>
              </w:rPr>
              <w:t>219</w:t>
            </w:r>
            <w:r w:rsidRPr="001B5777">
              <w:rPr>
                <w:rFonts w:ascii="Arial Narrow" w:eastAsia="Times New Roman" w:hAnsi="Arial Narrow"/>
                <w:color w:val="000000"/>
                <w:sz w:val="18"/>
                <w:szCs w:val="18"/>
              </w:rPr>
              <w:t xml:space="preserve"> </w:t>
            </w:r>
          </w:p>
        </w:tc>
        <w:tc>
          <w:tcPr>
            <w:tcW w:w="944"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1B5777">
              <w:rPr>
                <w:rStyle w:val="cell-value"/>
                <w:rFonts w:ascii="Arial Narrow" w:eastAsia="Times New Roman" w:hAnsi="Arial Narrow"/>
                <w:color w:val="000000"/>
                <w:sz w:val="18"/>
                <w:szCs w:val="18"/>
              </w:rPr>
              <w:t xml:space="preserve">rate </w:t>
            </w:r>
            <w:r>
              <w:rPr>
                <w:rStyle w:val="cell-value"/>
                <w:rFonts w:ascii="Arial Narrow" w:eastAsia="Times New Roman" w:hAnsi="Arial Narrow"/>
                <w:b/>
                <w:bCs/>
                <w:color w:val="000000"/>
                <w:sz w:val="18"/>
                <w:szCs w:val="18"/>
              </w:rPr>
              <w:t xml:space="preserve">4.1 </w:t>
            </w:r>
            <w:r w:rsidRPr="001B5777">
              <w:rPr>
                <w:rFonts w:ascii="Arial Narrow" w:eastAsia="Times New Roman" w:hAnsi="Arial Narrow"/>
                <w:color w:val="000000"/>
                <w:sz w:val="18"/>
                <w:szCs w:val="18"/>
              </w:rPr>
              <w:br/>
            </w:r>
            <w:r>
              <w:rPr>
                <w:rStyle w:val="cell-value"/>
                <w:rFonts w:ascii="Arial Narrow" w:eastAsia="Times New Roman" w:hAnsi="Arial Narrow"/>
                <w:color w:val="000000"/>
                <w:sz w:val="18"/>
                <w:szCs w:val="18"/>
              </w:rPr>
              <w:t xml:space="preserve">(2.2 </w:t>
            </w:r>
            <w:r w:rsidRPr="001B5777">
              <w:rPr>
                <w:rStyle w:val="cell-value"/>
                <w:rFonts w:ascii="Arial Narrow" w:eastAsia="Times New Roman" w:hAnsi="Arial Narrow"/>
                <w:color w:val="000000"/>
                <w:sz w:val="18"/>
                <w:szCs w:val="18"/>
              </w:rPr>
              <w:t xml:space="preserve"> to 7.6 )</w:t>
            </w:r>
            <w:r w:rsidRPr="001B5777">
              <w:rPr>
                <w:rFonts w:ascii="Arial Narrow" w:eastAsia="Times New Roman" w:hAnsi="Arial Narrow"/>
                <w:color w:val="000000"/>
                <w:sz w:val="18"/>
                <w:szCs w:val="18"/>
              </w:rPr>
              <w:t xml:space="preserve"> </w:t>
            </w:r>
          </w:p>
        </w:tc>
        <w:tc>
          <w:tcPr>
            <w:tcW w:w="486"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jc w:val="center"/>
              <w:rPr>
                <w:rFonts w:ascii="Arial Narrow" w:eastAsia="Times New Roman" w:hAnsi="Arial Narrow"/>
                <w:color w:val="000000"/>
                <w:sz w:val="18"/>
                <w:szCs w:val="18"/>
              </w:rPr>
            </w:pPr>
            <w:r w:rsidRPr="002858C1">
              <w:rPr>
                <w:rStyle w:val="quality-sign1"/>
                <w:rFonts w:ascii="Cambria Math" w:eastAsia="Times New Roman" w:hAnsi="Cambria Math" w:cs="Cambria Math"/>
                <w:color w:val="000000"/>
                <w:sz w:val="18"/>
                <w:szCs w:val="18"/>
              </w:rPr>
              <w:t>⨁</w:t>
            </w:r>
            <w:r w:rsidRPr="002858C1">
              <w:rPr>
                <w:rStyle w:val="quality-sign1"/>
                <w:rFonts w:ascii="MS Mincho" w:eastAsia="Times New Roman" w:hAnsi="MS Mincho" w:cs="MS Mincho"/>
                <w:color w:val="000000"/>
                <w:sz w:val="18"/>
                <w:szCs w:val="18"/>
              </w:rPr>
              <w:t>◯◯◯</w:t>
            </w:r>
            <w:r w:rsidRPr="002858C1">
              <w:rPr>
                <w:rFonts w:ascii="Arial Narrow" w:eastAsia="Times New Roman" w:hAnsi="Arial Narrow"/>
                <w:color w:val="000000"/>
                <w:sz w:val="18"/>
                <w:szCs w:val="18"/>
              </w:rPr>
              <w:br/>
            </w:r>
            <w:r>
              <w:rPr>
                <w:rFonts w:ascii="Arial Narrow" w:eastAsia="Times New Roman" w:hAnsi="Arial Narrow"/>
                <w:color w:val="000000"/>
                <w:sz w:val="18"/>
                <w:szCs w:val="18"/>
              </w:rPr>
              <w:t xml:space="preserve">LOW </w:t>
            </w:r>
            <w:r>
              <w:rPr>
                <w:rFonts w:ascii="Arial Narrow" w:eastAsia="Times New Roman" w:hAnsi="Arial Narrow"/>
                <w:color w:val="000000"/>
                <w:sz w:val="18"/>
                <w:szCs w:val="18"/>
                <w:u w:val="single"/>
                <w:vertAlign w:val="superscript"/>
              </w:rPr>
              <w:t>23</w:t>
            </w:r>
          </w:p>
        </w:tc>
        <w:tc>
          <w:tcPr>
            <w:tcW w:w="362" w:type="pct"/>
            <w:tcBorders>
              <w:top w:val="single" w:sz="6" w:space="0" w:color="000000"/>
              <w:left w:val="single" w:sz="6" w:space="0" w:color="000000"/>
              <w:bottom w:val="single" w:sz="6" w:space="0" w:color="000000"/>
              <w:right w:val="single" w:sz="6" w:space="0" w:color="000000"/>
            </w:tcBorders>
            <w:hideMark/>
          </w:tcPr>
          <w:p w:rsidR="00AD4F82" w:rsidRPr="001B5777" w:rsidRDefault="00AD4F82" w:rsidP="00982B6B">
            <w:pPr>
              <w:spacing w:after="0" w:line="480" w:lineRule="auto"/>
              <w:rPr>
                <w:rFonts w:ascii="Arial Narrow" w:eastAsia="Times New Roman" w:hAnsi="Arial Narrow"/>
                <w:color w:val="000000"/>
                <w:sz w:val="18"/>
                <w:szCs w:val="18"/>
              </w:rPr>
            </w:pPr>
            <w:r w:rsidRPr="002858C1">
              <w:rPr>
                <w:rFonts w:ascii="Arial Narrow" w:eastAsia="Times New Roman" w:hAnsi="Arial Narrow"/>
                <w:color w:val="000000"/>
                <w:sz w:val="18"/>
                <w:szCs w:val="18"/>
              </w:rPr>
              <w:t>CRITICAL</w:t>
            </w:r>
          </w:p>
        </w:tc>
      </w:tr>
    </w:tbl>
    <w:p w:rsidR="00AD4F82" w:rsidRDefault="00AD4F82" w:rsidP="00AD4F82">
      <w:pPr>
        <w:spacing w:line="480" w:lineRule="auto"/>
      </w:pP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 xml:space="preserve">There was no comparison that was in line with the PICO question. In all studies the recommendation was exclusive breastfeeding </w:t>
      </w:r>
      <w:r>
        <w:rPr>
          <w:rFonts w:ascii="Arial Narrow" w:eastAsia="Times New Roman" w:hAnsi="Arial Narrow"/>
          <w:color w:val="000000"/>
          <w:sz w:val="18"/>
          <w:szCs w:val="18"/>
          <w:lang w:val="en"/>
        </w:rPr>
        <w:t xml:space="preserve">for </w:t>
      </w:r>
      <w:r w:rsidRPr="001B5777">
        <w:rPr>
          <w:rFonts w:ascii="Arial Narrow" w:eastAsia="Times New Roman" w:hAnsi="Arial Narrow"/>
          <w:color w:val="000000"/>
          <w:sz w:val="18"/>
          <w:szCs w:val="18"/>
          <w:lang w:val="en"/>
        </w:rPr>
        <w:t xml:space="preserve">the first six months </w:t>
      </w:r>
      <w:r>
        <w:rPr>
          <w:rFonts w:ascii="Arial Narrow" w:eastAsia="Times New Roman" w:hAnsi="Arial Narrow"/>
          <w:color w:val="000000"/>
          <w:sz w:val="18"/>
          <w:szCs w:val="18"/>
          <w:lang w:val="en"/>
        </w:rPr>
        <w:t xml:space="preserve">of life </w:t>
      </w:r>
      <w:r w:rsidRPr="001B5777">
        <w:rPr>
          <w:rFonts w:ascii="Arial Narrow" w:eastAsia="Times New Roman" w:hAnsi="Arial Narrow"/>
          <w:color w:val="000000"/>
          <w:sz w:val="18"/>
          <w:szCs w:val="18"/>
          <w:lang w:val="en"/>
        </w:rPr>
        <w:t xml:space="preserve">and the majority of mothers breastfed their children. Transmission according to mixed feeding was not provided by </w:t>
      </w:r>
      <w:r>
        <w:rPr>
          <w:rFonts w:ascii="Arial Narrow" w:eastAsia="Times New Roman" w:hAnsi="Arial Narrow"/>
          <w:color w:val="000000"/>
          <w:sz w:val="18"/>
          <w:szCs w:val="18"/>
          <w:lang w:val="en"/>
        </w:rPr>
        <w:t xml:space="preserve">any </w:t>
      </w:r>
      <w:r w:rsidRPr="001B5777">
        <w:rPr>
          <w:rFonts w:ascii="Arial Narrow" w:eastAsia="Times New Roman" w:hAnsi="Arial Narrow"/>
          <w:color w:val="000000"/>
          <w:sz w:val="18"/>
          <w:szCs w:val="18"/>
          <w:lang w:val="en"/>
        </w:rPr>
        <w:t>of the studies.</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proofErr w:type="spellStart"/>
      <w:r w:rsidRPr="004B05D1">
        <w:rPr>
          <w:rFonts w:ascii="Arial Narrow" w:eastAsia="Times New Roman" w:hAnsi="Arial Narrow"/>
          <w:color w:val="000000"/>
          <w:sz w:val="18"/>
          <w:szCs w:val="18"/>
          <w:lang w:val="fr-FR"/>
        </w:rPr>
        <w:lastRenderedPageBreak/>
        <w:t>Studies</w:t>
      </w:r>
      <w:proofErr w:type="spellEnd"/>
      <w:r w:rsidRPr="004B05D1">
        <w:rPr>
          <w:rFonts w:ascii="Arial Narrow" w:eastAsia="Times New Roman" w:hAnsi="Arial Narrow"/>
          <w:color w:val="000000"/>
          <w:sz w:val="18"/>
          <w:szCs w:val="18"/>
          <w:lang w:val="fr-FR"/>
        </w:rPr>
        <w:t xml:space="preserve"> </w:t>
      </w:r>
      <w:proofErr w:type="spellStart"/>
      <w:r w:rsidRPr="004B05D1">
        <w:rPr>
          <w:rFonts w:ascii="Arial Narrow" w:eastAsia="Times New Roman" w:hAnsi="Arial Narrow"/>
          <w:color w:val="000000"/>
          <w:sz w:val="18"/>
          <w:szCs w:val="18"/>
          <w:lang w:val="fr-FR"/>
        </w:rPr>
        <w:t>included</w:t>
      </w:r>
      <w:proofErr w:type="spellEnd"/>
      <w:r w:rsidRPr="004B05D1">
        <w:rPr>
          <w:rFonts w:ascii="Arial Narrow" w:eastAsia="Times New Roman" w:hAnsi="Arial Narrow"/>
          <w:color w:val="000000"/>
          <w:sz w:val="18"/>
          <w:szCs w:val="18"/>
          <w:lang w:val="fr-FR"/>
        </w:rPr>
        <w:t>:</w:t>
      </w:r>
      <w:r>
        <w:rPr>
          <w:rFonts w:ascii="Arial Narrow" w:eastAsia="Times New Roman" w:hAnsi="Arial Narrow"/>
          <w:color w:val="000000"/>
          <w:sz w:val="18"/>
          <w:szCs w:val="18"/>
          <w:lang w:val="fr-FR"/>
        </w:rPr>
        <w:t xml:space="preserve"> </w:t>
      </w:r>
      <w:proofErr w:type="spellStart"/>
      <w:r w:rsidRPr="004B05D1">
        <w:rPr>
          <w:rFonts w:ascii="Arial Narrow" w:eastAsia="Times New Roman" w:hAnsi="Arial Narrow"/>
          <w:color w:val="000000"/>
          <w:sz w:val="18"/>
          <w:szCs w:val="18"/>
          <w:lang w:val="fr-FR"/>
        </w:rPr>
        <w:t>Ngoma</w:t>
      </w:r>
      <w:proofErr w:type="spellEnd"/>
      <w:r w:rsidRPr="004B05D1">
        <w:rPr>
          <w:rFonts w:ascii="Arial Narrow" w:eastAsia="Times New Roman" w:hAnsi="Arial Narrow"/>
          <w:color w:val="000000"/>
          <w:sz w:val="18"/>
          <w:szCs w:val="18"/>
          <w:lang w:val="fr-FR"/>
        </w:rPr>
        <w:t xml:space="preserve"> et al, 2015; </w:t>
      </w:r>
      <w:proofErr w:type="spellStart"/>
      <w:r w:rsidRPr="004B05D1">
        <w:rPr>
          <w:rFonts w:ascii="Arial Narrow" w:eastAsia="Times New Roman" w:hAnsi="Arial Narrow"/>
          <w:color w:val="000000"/>
          <w:sz w:val="18"/>
          <w:szCs w:val="18"/>
          <w:lang w:val="fr-FR"/>
        </w:rPr>
        <w:t>Sagay</w:t>
      </w:r>
      <w:proofErr w:type="spellEnd"/>
      <w:r w:rsidRPr="004B05D1">
        <w:rPr>
          <w:rFonts w:ascii="Arial Narrow" w:eastAsia="Times New Roman" w:hAnsi="Arial Narrow"/>
          <w:color w:val="000000"/>
          <w:sz w:val="18"/>
          <w:szCs w:val="18"/>
          <w:lang w:val="fr-FR"/>
        </w:rPr>
        <w:t xml:space="preserve"> et al, 2015; Jamieson et al, 2012; Thomas et al,</w:t>
      </w:r>
      <w:r>
        <w:rPr>
          <w:rFonts w:ascii="Arial Narrow" w:eastAsia="Times New Roman" w:hAnsi="Arial Narrow"/>
          <w:color w:val="000000"/>
          <w:sz w:val="18"/>
          <w:szCs w:val="18"/>
          <w:lang w:val="fr-FR"/>
        </w:rPr>
        <w:t xml:space="preserve"> 2011; </w:t>
      </w:r>
      <w:proofErr w:type="spellStart"/>
      <w:r>
        <w:rPr>
          <w:rFonts w:ascii="Arial Narrow" w:eastAsia="Times New Roman" w:hAnsi="Arial Narrow"/>
          <w:color w:val="000000"/>
          <w:sz w:val="18"/>
          <w:szCs w:val="18"/>
          <w:lang w:val="fr-FR"/>
        </w:rPr>
        <w:t>Marazzi</w:t>
      </w:r>
      <w:proofErr w:type="spellEnd"/>
      <w:r>
        <w:rPr>
          <w:rFonts w:ascii="Arial Narrow" w:eastAsia="Times New Roman" w:hAnsi="Arial Narrow"/>
          <w:color w:val="000000"/>
          <w:sz w:val="18"/>
          <w:szCs w:val="18"/>
          <w:lang w:val="fr-FR"/>
        </w:rPr>
        <w:t xml:space="preserve"> et al, 2009 and </w:t>
      </w:r>
      <w:proofErr w:type="spellStart"/>
      <w:r>
        <w:rPr>
          <w:rFonts w:ascii="Arial Narrow" w:eastAsia="Times New Roman" w:hAnsi="Arial Narrow"/>
          <w:color w:val="000000"/>
          <w:sz w:val="18"/>
          <w:szCs w:val="18"/>
          <w:lang w:val="fr-FR"/>
        </w:rPr>
        <w:t>K</w:t>
      </w:r>
      <w:r w:rsidRPr="004B05D1">
        <w:rPr>
          <w:rFonts w:ascii="Arial Narrow" w:eastAsia="Times New Roman" w:hAnsi="Arial Narrow"/>
          <w:color w:val="000000"/>
          <w:sz w:val="18"/>
          <w:szCs w:val="18"/>
          <w:lang w:val="fr-FR"/>
        </w:rPr>
        <w:t>ilewo</w:t>
      </w:r>
      <w:proofErr w:type="spellEnd"/>
      <w:r w:rsidRPr="004B05D1">
        <w:rPr>
          <w:rFonts w:ascii="Arial Narrow" w:eastAsia="Times New Roman" w:hAnsi="Arial Narrow"/>
          <w:color w:val="000000"/>
          <w:sz w:val="18"/>
          <w:szCs w:val="18"/>
          <w:lang w:val="fr-FR"/>
        </w:rPr>
        <w:t xml:space="preserve"> et al, 2009. </w:t>
      </w:r>
      <w:r w:rsidRPr="009B0572">
        <w:rPr>
          <w:rFonts w:ascii="Arial Narrow" w:eastAsia="Times New Roman" w:hAnsi="Arial Narrow"/>
          <w:color w:val="000000"/>
          <w:sz w:val="18"/>
          <w:szCs w:val="18"/>
        </w:rPr>
        <w:t xml:space="preserve">Of these, </w:t>
      </w:r>
      <w:r w:rsidRPr="001B5777">
        <w:rPr>
          <w:rFonts w:ascii="Arial Narrow" w:eastAsia="Times New Roman" w:hAnsi="Arial Narrow"/>
          <w:color w:val="000000"/>
          <w:sz w:val="18"/>
          <w:szCs w:val="18"/>
          <w:lang w:val="en"/>
        </w:rPr>
        <w:t xml:space="preserve">Jamieson et al (2012) and Thomas et al (2011) were cohorts embedded in randomized control trials, while </w:t>
      </w:r>
      <w:proofErr w:type="spellStart"/>
      <w:r w:rsidRPr="001B5777">
        <w:rPr>
          <w:rFonts w:ascii="Arial Narrow" w:eastAsia="Times New Roman" w:hAnsi="Arial Narrow"/>
          <w:color w:val="000000"/>
          <w:sz w:val="18"/>
          <w:szCs w:val="18"/>
          <w:lang w:val="en"/>
        </w:rPr>
        <w:t>Ngoma</w:t>
      </w:r>
      <w:proofErr w:type="spellEnd"/>
      <w:r w:rsidRPr="001B5777">
        <w:rPr>
          <w:rFonts w:ascii="Arial Narrow" w:eastAsia="Times New Roman" w:hAnsi="Arial Narrow"/>
          <w:color w:val="000000"/>
          <w:sz w:val="18"/>
          <w:szCs w:val="18"/>
          <w:lang w:val="en"/>
        </w:rPr>
        <w:t xml:space="preserve"> et al, (2015), </w:t>
      </w:r>
      <w:proofErr w:type="spellStart"/>
      <w:r w:rsidRPr="001B5777">
        <w:rPr>
          <w:rFonts w:ascii="Arial Narrow" w:eastAsia="Times New Roman" w:hAnsi="Arial Narrow"/>
          <w:color w:val="000000"/>
          <w:sz w:val="18"/>
          <w:szCs w:val="18"/>
          <w:lang w:val="en"/>
        </w:rPr>
        <w:t>Sagay</w:t>
      </w:r>
      <w:proofErr w:type="spellEnd"/>
      <w:r w:rsidRPr="001B5777">
        <w:rPr>
          <w:rFonts w:ascii="Arial Narrow" w:eastAsia="Times New Roman" w:hAnsi="Arial Narrow"/>
          <w:color w:val="000000"/>
          <w:sz w:val="18"/>
          <w:szCs w:val="18"/>
          <w:lang w:val="en"/>
        </w:rPr>
        <w:t xml:space="preserve"> et al (2015),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were cohort studies</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 xml:space="preserve">Risk of bias: We downgraded once due to potential selection bias for lack of detailed feeding history in </w:t>
      </w:r>
      <w:proofErr w:type="spellStart"/>
      <w:r w:rsidRPr="001B5777">
        <w:rPr>
          <w:rFonts w:ascii="Arial Narrow" w:eastAsia="Times New Roman" w:hAnsi="Arial Narrow"/>
          <w:color w:val="000000"/>
          <w:sz w:val="18"/>
          <w:szCs w:val="18"/>
          <w:lang w:val="en"/>
        </w:rPr>
        <w:t>Sagay</w:t>
      </w:r>
      <w:proofErr w:type="spellEnd"/>
      <w:r w:rsidRPr="001B5777">
        <w:rPr>
          <w:rFonts w:ascii="Arial Narrow" w:eastAsia="Times New Roman" w:hAnsi="Arial Narrow"/>
          <w:color w:val="000000"/>
          <w:sz w:val="18"/>
          <w:szCs w:val="18"/>
          <w:lang w:val="en"/>
        </w:rPr>
        <w:t xml:space="preserve"> et al, 2015 and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Adherence to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was not provided in </w:t>
      </w:r>
      <w:proofErr w:type="spellStart"/>
      <w:r w:rsidRPr="001B5777">
        <w:rPr>
          <w:rFonts w:ascii="Arial Narrow" w:eastAsia="Times New Roman" w:hAnsi="Arial Narrow"/>
          <w:color w:val="000000"/>
          <w:sz w:val="18"/>
          <w:szCs w:val="18"/>
          <w:lang w:val="en"/>
        </w:rPr>
        <w:t>Sagay</w:t>
      </w:r>
      <w:proofErr w:type="spellEnd"/>
      <w:r w:rsidRPr="001B5777">
        <w:rPr>
          <w:rFonts w:ascii="Arial Narrow" w:eastAsia="Times New Roman" w:hAnsi="Arial Narrow"/>
          <w:color w:val="000000"/>
          <w:sz w:val="18"/>
          <w:szCs w:val="18"/>
          <w:lang w:val="en"/>
        </w:rPr>
        <w:t xml:space="preserve"> et al, 2015;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w:t>
      </w:r>
      <w:proofErr w:type="spellStart"/>
      <w:r w:rsidRPr="001B5777">
        <w:rPr>
          <w:rFonts w:ascii="Arial Narrow" w:eastAsia="Times New Roman" w:hAnsi="Arial Narrow"/>
          <w:color w:val="000000"/>
          <w:sz w:val="18"/>
          <w:szCs w:val="18"/>
          <w:lang w:val="en"/>
        </w:rPr>
        <w:t>Sagay</w:t>
      </w:r>
      <w:proofErr w:type="spellEnd"/>
      <w:r w:rsidRPr="001B5777">
        <w:rPr>
          <w:rFonts w:ascii="Arial Narrow" w:eastAsia="Times New Roman" w:hAnsi="Arial Narrow"/>
          <w:color w:val="000000"/>
          <w:sz w:val="18"/>
          <w:szCs w:val="18"/>
          <w:lang w:val="en"/>
        </w:rPr>
        <w:t xml:space="preserve"> et al, 2015 and Jamieson et al, 2012 did not provide </w:t>
      </w:r>
      <w:r>
        <w:rPr>
          <w:rFonts w:ascii="Arial Narrow" w:eastAsia="Times New Roman" w:hAnsi="Arial Narrow"/>
          <w:color w:val="000000"/>
          <w:sz w:val="18"/>
          <w:szCs w:val="18"/>
          <w:lang w:val="en"/>
        </w:rPr>
        <w:t xml:space="preserve">a </w:t>
      </w:r>
      <w:r w:rsidRPr="001B5777">
        <w:rPr>
          <w:rFonts w:ascii="Arial Narrow" w:eastAsia="Times New Roman" w:hAnsi="Arial Narrow"/>
          <w:color w:val="000000"/>
          <w:sz w:val="18"/>
          <w:szCs w:val="18"/>
          <w:lang w:val="en"/>
        </w:rPr>
        <w:t xml:space="preserve">rate of transmission, but </w:t>
      </w:r>
      <w:r>
        <w:rPr>
          <w:rFonts w:ascii="Arial Narrow" w:eastAsia="Times New Roman" w:hAnsi="Arial Narrow"/>
          <w:color w:val="000000"/>
          <w:sz w:val="18"/>
          <w:szCs w:val="18"/>
          <w:lang w:val="en"/>
        </w:rPr>
        <w:t xml:space="preserve">the </w:t>
      </w:r>
      <w:r w:rsidRPr="001B5777">
        <w:rPr>
          <w:rFonts w:ascii="Arial Narrow" w:eastAsia="Times New Roman" w:hAnsi="Arial Narrow"/>
          <w:color w:val="000000"/>
          <w:sz w:val="18"/>
          <w:szCs w:val="18"/>
          <w:lang w:val="en"/>
        </w:rPr>
        <w:t xml:space="preserve">rate </w:t>
      </w:r>
      <w:r>
        <w:rPr>
          <w:rFonts w:ascii="Arial Narrow" w:eastAsia="Times New Roman" w:hAnsi="Arial Narrow"/>
          <w:color w:val="000000"/>
          <w:sz w:val="18"/>
          <w:szCs w:val="18"/>
          <w:lang w:val="en"/>
        </w:rPr>
        <w:t xml:space="preserve">of transmission </w:t>
      </w:r>
      <w:r w:rsidRPr="001B5777">
        <w:rPr>
          <w:rFonts w:ascii="Arial Narrow" w:eastAsia="Times New Roman" w:hAnsi="Arial Narrow"/>
          <w:color w:val="000000"/>
          <w:sz w:val="18"/>
          <w:szCs w:val="18"/>
          <w:lang w:val="en"/>
        </w:rPr>
        <w:t xml:space="preserve">was calculated </w:t>
      </w:r>
      <w:r>
        <w:rPr>
          <w:rFonts w:ascii="Arial Narrow" w:eastAsia="Times New Roman" w:hAnsi="Arial Narrow"/>
          <w:color w:val="000000"/>
          <w:sz w:val="18"/>
          <w:szCs w:val="18"/>
          <w:lang w:val="en"/>
        </w:rPr>
        <w:t xml:space="preserve">from the </w:t>
      </w:r>
      <w:r w:rsidRPr="001B5777">
        <w:rPr>
          <w:rFonts w:ascii="Arial Narrow" w:eastAsia="Times New Roman" w:hAnsi="Arial Narrow"/>
          <w:color w:val="000000"/>
          <w:sz w:val="18"/>
          <w:szCs w:val="18"/>
          <w:lang w:val="en"/>
        </w:rPr>
        <w:t xml:space="preserve">number of children at risk provided in the paper. </w:t>
      </w:r>
      <w:proofErr w:type="spellStart"/>
      <w:r w:rsidRPr="001B5777">
        <w:rPr>
          <w:rFonts w:ascii="Arial Narrow" w:eastAsia="Times New Roman" w:hAnsi="Arial Narrow"/>
          <w:color w:val="000000"/>
          <w:sz w:val="18"/>
          <w:szCs w:val="18"/>
          <w:lang w:val="en"/>
        </w:rPr>
        <w:t>Sagay</w:t>
      </w:r>
      <w:proofErr w:type="spellEnd"/>
      <w:r w:rsidRPr="001B5777">
        <w:rPr>
          <w:rFonts w:ascii="Arial Narrow" w:eastAsia="Times New Roman" w:hAnsi="Arial Narrow"/>
          <w:color w:val="000000"/>
          <w:sz w:val="18"/>
          <w:szCs w:val="18"/>
          <w:lang w:val="en"/>
        </w:rPr>
        <w:t xml:space="preserve"> et al, 2015 is a retrospective study, and only one denominator was provided for all rates </w:t>
      </w:r>
      <w:r>
        <w:rPr>
          <w:rFonts w:ascii="Arial Narrow" w:eastAsia="Times New Roman" w:hAnsi="Arial Narrow"/>
          <w:color w:val="000000"/>
          <w:sz w:val="18"/>
          <w:szCs w:val="18"/>
          <w:lang w:val="en"/>
        </w:rPr>
        <w:t xml:space="preserve">provided </w:t>
      </w:r>
      <w:r w:rsidRPr="001B5777">
        <w:rPr>
          <w:rFonts w:ascii="Arial Narrow" w:eastAsia="Times New Roman" w:hAnsi="Arial Narrow"/>
          <w:color w:val="000000"/>
          <w:sz w:val="18"/>
          <w:szCs w:val="18"/>
          <w:lang w:val="en"/>
        </w:rPr>
        <w:t xml:space="preserve">in the study. </w:t>
      </w:r>
      <w:proofErr w:type="spellStart"/>
      <w:r w:rsidRPr="001B5777">
        <w:rPr>
          <w:rFonts w:ascii="Arial Narrow" w:eastAsia="Times New Roman" w:hAnsi="Arial Narrow"/>
          <w:color w:val="000000"/>
          <w:sz w:val="18"/>
          <w:szCs w:val="18"/>
          <w:lang w:val="en"/>
        </w:rPr>
        <w:t>Ngoma</w:t>
      </w:r>
      <w:proofErr w:type="spellEnd"/>
      <w:r w:rsidRPr="001B5777">
        <w:rPr>
          <w:rFonts w:ascii="Arial Narrow" w:eastAsia="Times New Roman" w:hAnsi="Arial Narrow"/>
          <w:color w:val="000000"/>
          <w:sz w:val="18"/>
          <w:szCs w:val="18"/>
          <w:lang w:val="en"/>
        </w:rPr>
        <w:t xml:space="preserve"> et al, 2015 and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did not provide confidence interval, which was calculated for both studies according to </w:t>
      </w:r>
      <w:r>
        <w:rPr>
          <w:rFonts w:ascii="Arial Narrow" w:eastAsia="Times New Roman" w:hAnsi="Arial Narrow"/>
          <w:color w:val="000000"/>
          <w:sz w:val="18"/>
          <w:szCs w:val="18"/>
          <w:lang w:val="en"/>
        </w:rPr>
        <w:t>the</w:t>
      </w:r>
      <w:r w:rsidRPr="001B5777">
        <w:rPr>
          <w:rFonts w:ascii="Arial Narrow" w:eastAsia="Times New Roman" w:hAnsi="Arial Narrow"/>
          <w:color w:val="000000"/>
          <w:sz w:val="18"/>
          <w:szCs w:val="18"/>
          <w:lang w:val="en"/>
        </w:rPr>
        <w:t xml:space="preserve"> formula</w:t>
      </w:r>
      <w:r>
        <w:rPr>
          <w:rFonts w:ascii="Arial Narrow" w:eastAsia="Times New Roman" w:hAnsi="Arial Narrow"/>
          <w:color w:val="000000"/>
          <w:sz w:val="18"/>
          <w:szCs w:val="18"/>
          <w:lang w:val="en"/>
        </w:rPr>
        <w:t xml:space="preserve"> provided in Appendix 6</w:t>
      </w:r>
      <w:r w:rsidRPr="001B5777">
        <w:rPr>
          <w:rFonts w:ascii="Arial Narrow" w:eastAsia="Times New Roman" w:hAnsi="Arial Narrow"/>
          <w:color w:val="000000"/>
          <w:sz w:val="18"/>
          <w:szCs w:val="18"/>
          <w:lang w:val="en"/>
        </w:rPr>
        <w:t>.</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Pr>
          <w:rFonts w:ascii="Arial Narrow" w:eastAsia="Times New Roman" w:hAnsi="Arial Narrow"/>
          <w:color w:val="000000"/>
          <w:sz w:val="18"/>
          <w:szCs w:val="18"/>
          <w:lang w:val="en"/>
        </w:rPr>
        <w:t xml:space="preserve">Inconsistency: </w:t>
      </w:r>
      <w:r w:rsidRPr="001B5777">
        <w:rPr>
          <w:rFonts w:ascii="Arial Narrow" w:eastAsia="Times New Roman" w:hAnsi="Arial Narrow"/>
          <w:color w:val="000000"/>
          <w:sz w:val="18"/>
          <w:szCs w:val="18"/>
          <w:lang w:val="en"/>
        </w:rPr>
        <w:t xml:space="preserve">We </w:t>
      </w:r>
      <w:r>
        <w:rPr>
          <w:rFonts w:ascii="Arial Narrow" w:eastAsia="Times New Roman" w:hAnsi="Arial Narrow"/>
          <w:color w:val="000000"/>
          <w:sz w:val="18"/>
          <w:szCs w:val="18"/>
          <w:lang w:val="en"/>
        </w:rPr>
        <w:t>downgraded twice due to substant</w:t>
      </w:r>
      <w:r w:rsidRPr="001B5777">
        <w:rPr>
          <w:rFonts w:ascii="Arial Narrow" w:eastAsia="Times New Roman" w:hAnsi="Arial Narrow"/>
          <w:color w:val="000000"/>
          <w:sz w:val="18"/>
          <w:szCs w:val="18"/>
          <w:lang w:val="en"/>
        </w:rPr>
        <w:t>ial heterogeneity in rates of transmission provided or calculated. Rates ranged from 0.7</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(95% CI 0.20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-1.20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in </w:t>
      </w:r>
      <w:proofErr w:type="spellStart"/>
      <w:r w:rsidRPr="001B5777">
        <w:rPr>
          <w:rFonts w:ascii="Arial Narrow" w:eastAsia="Times New Roman" w:hAnsi="Arial Narrow"/>
          <w:color w:val="000000"/>
          <w:sz w:val="18"/>
          <w:szCs w:val="18"/>
          <w:lang w:val="en"/>
        </w:rPr>
        <w:t>Sagay</w:t>
      </w:r>
      <w:proofErr w:type="spellEnd"/>
      <w:r w:rsidRPr="001B5777">
        <w:rPr>
          <w:rFonts w:ascii="Arial Narrow" w:eastAsia="Times New Roman" w:hAnsi="Arial Narrow"/>
          <w:color w:val="000000"/>
          <w:sz w:val="18"/>
          <w:szCs w:val="18"/>
          <w:lang w:val="en"/>
        </w:rPr>
        <w:t xml:space="preserve"> et al, 2015, </w:t>
      </w:r>
      <w:r>
        <w:rPr>
          <w:rFonts w:ascii="Arial Narrow" w:eastAsia="Times New Roman" w:hAnsi="Arial Narrow"/>
          <w:color w:val="000000"/>
          <w:sz w:val="18"/>
          <w:szCs w:val="18"/>
          <w:lang w:val="en"/>
        </w:rPr>
        <w:t xml:space="preserve">which </w:t>
      </w:r>
      <w:r w:rsidRPr="001B5777">
        <w:rPr>
          <w:rFonts w:ascii="Arial Narrow" w:eastAsia="Times New Roman" w:hAnsi="Arial Narrow"/>
          <w:color w:val="000000"/>
          <w:sz w:val="18"/>
          <w:szCs w:val="18"/>
          <w:lang w:val="en"/>
        </w:rPr>
        <w:t>was a retrospective cohort, to 7.9</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(95% CI 6.2</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-9.90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in Jamieson et al, 2012</w:t>
      </w:r>
    </w:p>
    <w:p w:rsidR="00AD4F82"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Pr>
          <w:rFonts w:ascii="Arial Narrow" w:eastAsia="Times New Roman" w:hAnsi="Arial Narrow"/>
          <w:color w:val="000000"/>
          <w:sz w:val="18"/>
          <w:szCs w:val="18"/>
          <w:lang w:val="en"/>
        </w:rPr>
        <w:t xml:space="preserve">Indirectness: </w:t>
      </w:r>
      <w:r w:rsidRPr="001B5777">
        <w:rPr>
          <w:rFonts w:ascii="Arial Narrow" w:eastAsia="Times New Roman" w:hAnsi="Arial Narrow"/>
          <w:color w:val="000000"/>
          <w:sz w:val="18"/>
          <w:szCs w:val="18"/>
          <w:lang w:val="en"/>
        </w:rPr>
        <w:t xml:space="preserve">We downgraded once as the studies’ questions were not in line with the PICO question and covered different types of </w:t>
      </w:r>
      <w:r>
        <w:rPr>
          <w:rFonts w:ascii="Arial Narrow" w:eastAsia="Times New Roman" w:hAnsi="Arial Narrow"/>
          <w:color w:val="000000"/>
          <w:sz w:val="18"/>
          <w:szCs w:val="18"/>
          <w:lang w:val="en"/>
        </w:rPr>
        <w:t xml:space="preserve">additional </w:t>
      </w:r>
      <w:r w:rsidRPr="001B5777">
        <w:rPr>
          <w:rFonts w:ascii="Arial Narrow" w:eastAsia="Times New Roman" w:hAnsi="Arial Narrow"/>
          <w:color w:val="000000"/>
          <w:sz w:val="18"/>
          <w:szCs w:val="18"/>
          <w:lang w:val="en"/>
        </w:rPr>
        <w:t>interventions.</w:t>
      </w:r>
      <w:r>
        <w:rPr>
          <w:rFonts w:ascii="Arial Narrow" w:eastAsia="Times New Roman" w:hAnsi="Arial Narrow"/>
          <w:color w:val="000000"/>
          <w:sz w:val="18"/>
          <w:szCs w:val="18"/>
          <w:lang w:val="en"/>
        </w:rPr>
        <w:t xml:space="preserve"> In </w:t>
      </w:r>
      <w:proofErr w:type="spellStart"/>
      <w:r>
        <w:rPr>
          <w:rFonts w:ascii="Arial Narrow" w:eastAsia="Times New Roman" w:hAnsi="Arial Narrow"/>
          <w:color w:val="000000"/>
          <w:sz w:val="18"/>
          <w:szCs w:val="18"/>
          <w:lang w:val="en"/>
        </w:rPr>
        <w:t>Ngoma</w:t>
      </w:r>
      <w:proofErr w:type="spellEnd"/>
      <w:r>
        <w:rPr>
          <w:rFonts w:ascii="Arial Narrow" w:eastAsia="Times New Roman" w:hAnsi="Arial Narrow"/>
          <w:color w:val="000000"/>
          <w:sz w:val="18"/>
          <w:szCs w:val="18"/>
          <w:lang w:val="en"/>
        </w:rPr>
        <w:t xml:space="preserve"> et al, 2015, </w:t>
      </w:r>
      <w:proofErr w:type="spellStart"/>
      <w:r>
        <w:rPr>
          <w:rFonts w:ascii="Arial Narrow" w:eastAsia="Times New Roman" w:hAnsi="Arial Narrow"/>
          <w:color w:val="000000"/>
          <w:sz w:val="18"/>
          <w:szCs w:val="18"/>
          <w:lang w:val="en"/>
        </w:rPr>
        <w:t>Sagay</w:t>
      </w:r>
      <w:proofErr w:type="spellEnd"/>
      <w:r>
        <w:rPr>
          <w:rFonts w:ascii="Arial Narrow" w:eastAsia="Times New Roman" w:hAnsi="Arial Narrow"/>
          <w:color w:val="000000"/>
          <w:sz w:val="18"/>
          <w:szCs w:val="18"/>
          <w:lang w:val="en"/>
        </w:rPr>
        <w:t xml:space="preserve"> et al, 2015,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the only intervention was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Jamieson et al. 2012 compared </w:t>
      </w:r>
      <w:r>
        <w:rPr>
          <w:rFonts w:ascii="Arial Narrow" w:eastAsia="Times New Roman" w:hAnsi="Arial Narrow"/>
          <w:color w:val="000000"/>
          <w:sz w:val="18"/>
          <w:szCs w:val="18"/>
          <w:lang w:val="en"/>
        </w:rPr>
        <w:t>transmission rates</w:t>
      </w:r>
      <w:r w:rsidRPr="001B5777">
        <w:rPr>
          <w:rFonts w:ascii="Arial Narrow" w:eastAsia="Times New Roman" w:hAnsi="Arial Narrow"/>
          <w:color w:val="000000"/>
          <w:sz w:val="18"/>
          <w:szCs w:val="18"/>
          <w:lang w:val="en"/>
        </w:rPr>
        <w:t xml:space="preserve"> in children whose mothers were on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infants on NVP and a control group and the three groups were further divided into those who were on a maternal nutrition supplement and those that were</w:t>
      </w:r>
      <w:r>
        <w:rPr>
          <w:rFonts w:ascii="Arial Narrow" w:eastAsia="Times New Roman" w:hAnsi="Arial Narrow"/>
          <w:color w:val="000000"/>
          <w:sz w:val="18"/>
          <w:szCs w:val="18"/>
          <w:lang w:val="en"/>
        </w:rPr>
        <w:t xml:space="preserve"> </w:t>
      </w:r>
      <w:r w:rsidRPr="001B5777">
        <w:rPr>
          <w:rFonts w:ascii="Arial Narrow" w:eastAsia="Times New Roman" w:hAnsi="Arial Narrow"/>
          <w:color w:val="000000"/>
          <w:sz w:val="18"/>
          <w:szCs w:val="18"/>
          <w:lang w:val="en"/>
        </w:rPr>
        <w:t>n</w:t>
      </w:r>
      <w:r>
        <w:rPr>
          <w:rFonts w:ascii="Arial Narrow" w:eastAsia="Times New Roman" w:hAnsi="Arial Narrow"/>
          <w:color w:val="000000"/>
          <w:sz w:val="18"/>
          <w:szCs w:val="18"/>
          <w:lang w:val="en"/>
        </w:rPr>
        <w:t>o</w:t>
      </w:r>
      <w:r w:rsidRPr="001B5777">
        <w:rPr>
          <w:rFonts w:ascii="Arial Narrow" w:eastAsia="Times New Roman" w:hAnsi="Arial Narrow"/>
          <w:color w:val="000000"/>
          <w:sz w:val="18"/>
          <w:szCs w:val="18"/>
          <w:lang w:val="en"/>
        </w:rPr>
        <w:t>t.</w:t>
      </w:r>
    </w:p>
    <w:p w:rsidR="00AD4F82" w:rsidRPr="00FC597F"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fr-FR"/>
        </w:rPr>
      </w:pPr>
      <w:proofErr w:type="spellStart"/>
      <w:r w:rsidRPr="004B05D1">
        <w:rPr>
          <w:rFonts w:ascii="Arial Narrow" w:eastAsia="Times New Roman" w:hAnsi="Arial Narrow"/>
          <w:color w:val="000000"/>
          <w:sz w:val="18"/>
          <w:szCs w:val="18"/>
          <w:lang w:val="fr-FR"/>
        </w:rPr>
        <w:t>Studies</w:t>
      </w:r>
      <w:proofErr w:type="spellEnd"/>
      <w:r w:rsidRPr="004B05D1">
        <w:rPr>
          <w:rFonts w:ascii="Arial Narrow" w:eastAsia="Times New Roman" w:hAnsi="Arial Narrow"/>
          <w:color w:val="000000"/>
          <w:sz w:val="18"/>
          <w:szCs w:val="18"/>
          <w:lang w:val="fr-FR"/>
        </w:rPr>
        <w:t xml:space="preserve"> </w:t>
      </w:r>
      <w:proofErr w:type="spellStart"/>
      <w:r w:rsidRPr="004B05D1">
        <w:rPr>
          <w:rFonts w:ascii="Arial Narrow" w:eastAsia="Times New Roman" w:hAnsi="Arial Narrow"/>
          <w:color w:val="000000"/>
          <w:sz w:val="18"/>
          <w:szCs w:val="18"/>
          <w:lang w:val="fr-FR"/>
        </w:rPr>
        <w:t>incl</w:t>
      </w:r>
      <w:r>
        <w:rPr>
          <w:rFonts w:ascii="Arial Narrow" w:eastAsia="Times New Roman" w:hAnsi="Arial Narrow"/>
          <w:color w:val="000000"/>
          <w:sz w:val="18"/>
          <w:szCs w:val="18"/>
          <w:lang w:val="fr-FR"/>
        </w:rPr>
        <w:t>uded</w:t>
      </w:r>
      <w:proofErr w:type="spellEnd"/>
      <w:r>
        <w:rPr>
          <w:rFonts w:ascii="Arial Narrow" w:eastAsia="Times New Roman" w:hAnsi="Arial Narrow"/>
          <w:color w:val="000000"/>
          <w:sz w:val="18"/>
          <w:szCs w:val="18"/>
          <w:lang w:val="fr-FR"/>
        </w:rPr>
        <w:t xml:space="preserve"> </w:t>
      </w:r>
      <w:proofErr w:type="spellStart"/>
      <w:r>
        <w:rPr>
          <w:rFonts w:ascii="Arial Narrow" w:eastAsia="Times New Roman" w:hAnsi="Arial Narrow"/>
          <w:color w:val="000000"/>
          <w:sz w:val="18"/>
          <w:szCs w:val="18"/>
          <w:lang w:val="fr-FR"/>
        </w:rPr>
        <w:t>were</w:t>
      </w:r>
      <w:proofErr w:type="spellEnd"/>
      <w:r>
        <w:rPr>
          <w:rFonts w:ascii="Arial Narrow" w:eastAsia="Times New Roman" w:hAnsi="Arial Narrow"/>
          <w:color w:val="000000"/>
          <w:sz w:val="18"/>
          <w:szCs w:val="18"/>
          <w:lang w:val="fr-FR"/>
        </w:rPr>
        <w:t xml:space="preserve">: </w:t>
      </w:r>
      <w:proofErr w:type="spellStart"/>
      <w:r>
        <w:rPr>
          <w:rFonts w:ascii="Arial Narrow" w:eastAsia="Times New Roman" w:hAnsi="Arial Narrow"/>
          <w:color w:val="000000"/>
          <w:sz w:val="18"/>
          <w:szCs w:val="18"/>
          <w:lang w:val="fr-FR"/>
        </w:rPr>
        <w:t>Coovadia</w:t>
      </w:r>
      <w:proofErr w:type="spellEnd"/>
      <w:r>
        <w:rPr>
          <w:rFonts w:ascii="Arial Narrow" w:eastAsia="Times New Roman" w:hAnsi="Arial Narrow"/>
          <w:color w:val="000000"/>
          <w:sz w:val="18"/>
          <w:szCs w:val="18"/>
          <w:lang w:val="fr-FR"/>
        </w:rPr>
        <w:t xml:space="preserve"> et al, 2012,</w:t>
      </w:r>
      <w:r w:rsidRPr="004B05D1">
        <w:rPr>
          <w:rFonts w:ascii="Arial Narrow" w:eastAsia="Times New Roman" w:hAnsi="Arial Narrow"/>
          <w:color w:val="000000"/>
          <w:sz w:val="18"/>
          <w:szCs w:val="18"/>
          <w:lang w:val="fr-FR"/>
        </w:rPr>
        <w:t xml:space="preserve"> Jamieson et al, 2012</w:t>
      </w:r>
      <w:r>
        <w:rPr>
          <w:rFonts w:ascii="Arial Narrow" w:eastAsia="Times New Roman" w:hAnsi="Arial Narrow"/>
          <w:color w:val="000000"/>
          <w:sz w:val="18"/>
          <w:szCs w:val="18"/>
          <w:lang w:val="fr-FR"/>
        </w:rPr>
        <w:t>,</w:t>
      </w:r>
      <w:r w:rsidRPr="004B05D1">
        <w:rPr>
          <w:rFonts w:ascii="Arial Narrow" w:eastAsia="Times New Roman" w:hAnsi="Arial Narrow"/>
          <w:color w:val="000000"/>
          <w:sz w:val="18"/>
          <w:szCs w:val="18"/>
          <w:lang w:val="fr-FR"/>
        </w:rPr>
        <w:t xml:space="preserve"> Alvarez-</w:t>
      </w:r>
      <w:proofErr w:type="spellStart"/>
      <w:r w:rsidRPr="004B05D1">
        <w:rPr>
          <w:rFonts w:ascii="Arial Narrow" w:eastAsia="Times New Roman" w:hAnsi="Arial Narrow"/>
          <w:color w:val="000000"/>
          <w:sz w:val="18"/>
          <w:szCs w:val="18"/>
          <w:lang w:val="fr-FR"/>
        </w:rPr>
        <w:t>Uria</w:t>
      </w:r>
      <w:proofErr w:type="spellEnd"/>
      <w:r w:rsidRPr="004B05D1">
        <w:rPr>
          <w:rFonts w:ascii="Arial Narrow" w:eastAsia="Times New Roman" w:hAnsi="Arial Narrow"/>
          <w:color w:val="000000"/>
          <w:sz w:val="18"/>
          <w:szCs w:val="18"/>
          <w:lang w:val="fr-FR"/>
        </w:rPr>
        <w:t xml:space="preserve"> et al, 2012</w:t>
      </w:r>
      <w:r>
        <w:rPr>
          <w:rFonts w:ascii="Arial Narrow" w:eastAsia="Times New Roman" w:hAnsi="Arial Narrow"/>
          <w:color w:val="000000"/>
          <w:sz w:val="18"/>
          <w:szCs w:val="18"/>
          <w:lang w:val="fr-FR"/>
        </w:rPr>
        <w:t>,</w:t>
      </w:r>
      <w:r w:rsidRPr="004B05D1">
        <w:rPr>
          <w:rFonts w:ascii="Arial Narrow" w:eastAsia="Times New Roman" w:hAnsi="Arial Narrow"/>
          <w:color w:val="000000"/>
          <w:sz w:val="18"/>
          <w:szCs w:val="18"/>
          <w:lang w:val="fr-FR"/>
        </w:rPr>
        <w:t xml:space="preserve"> Thomas et al, 2011</w:t>
      </w:r>
      <w:r>
        <w:rPr>
          <w:rFonts w:ascii="Arial Narrow" w:eastAsia="Times New Roman" w:hAnsi="Arial Narrow"/>
          <w:color w:val="000000"/>
          <w:sz w:val="18"/>
          <w:szCs w:val="18"/>
          <w:lang w:val="fr-FR"/>
        </w:rPr>
        <w:t>,</w:t>
      </w:r>
      <w:r w:rsidRPr="004B05D1">
        <w:rPr>
          <w:rFonts w:ascii="Arial Narrow" w:eastAsia="Times New Roman" w:hAnsi="Arial Narrow"/>
          <w:color w:val="000000"/>
          <w:sz w:val="18"/>
          <w:szCs w:val="18"/>
          <w:lang w:val="fr-FR"/>
        </w:rPr>
        <w:t xml:space="preserve"> </w:t>
      </w:r>
      <w:proofErr w:type="spellStart"/>
      <w:r w:rsidRPr="004B05D1">
        <w:rPr>
          <w:rFonts w:ascii="Arial Narrow" w:eastAsia="Times New Roman" w:hAnsi="Arial Narrow"/>
          <w:color w:val="000000"/>
          <w:sz w:val="18"/>
          <w:szCs w:val="18"/>
          <w:lang w:val="fr-FR"/>
        </w:rPr>
        <w:t>Marazzi</w:t>
      </w:r>
      <w:proofErr w:type="spellEnd"/>
      <w:r w:rsidRPr="004B05D1">
        <w:rPr>
          <w:rFonts w:ascii="Arial Narrow" w:eastAsia="Times New Roman" w:hAnsi="Arial Narrow"/>
          <w:color w:val="000000"/>
          <w:sz w:val="18"/>
          <w:szCs w:val="18"/>
          <w:lang w:val="fr-FR"/>
        </w:rPr>
        <w:t xml:space="preserve"> et al, 2009 and </w:t>
      </w:r>
      <w:proofErr w:type="spellStart"/>
      <w:r w:rsidRPr="004B05D1">
        <w:rPr>
          <w:rFonts w:ascii="Arial Narrow" w:eastAsia="Times New Roman" w:hAnsi="Arial Narrow"/>
          <w:color w:val="000000"/>
          <w:sz w:val="18"/>
          <w:szCs w:val="18"/>
          <w:lang w:val="fr-FR"/>
        </w:rPr>
        <w:t>Kilewo</w:t>
      </w:r>
      <w:proofErr w:type="spellEnd"/>
      <w:r w:rsidRPr="004B05D1">
        <w:rPr>
          <w:rFonts w:ascii="Arial Narrow" w:eastAsia="Times New Roman" w:hAnsi="Arial Narrow"/>
          <w:color w:val="000000"/>
          <w:sz w:val="18"/>
          <w:szCs w:val="18"/>
          <w:lang w:val="fr-FR"/>
        </w:rPr>
        <w:t xml:space="preserve"> et al, 2009. </w:t>
      </w:r>
      <w:r w:rsidRPr="00FC597F">
        <w:rPr>
          <w:rFonts w:ascii="Arial Narrow" w:eastAsia="Times New Roman" w:hAnsi="Arial Narrow"/>
          <w:color w:val="000000"/>
          <w:sz w:val="18"/>
          <w:szCs w:val="18"/>
          <w:lang w:val="fr-FR"/>
        </w:rPr>
        <w:t xml:space="preserve">Coovadia et al (2012), Jamieson et al (2012) and Thomas et al (2011) </w:t>
      </w:r>
      <w:proofErr w:type="spellStart"/>
      <w:r w:rsidRPr="00FC597F">
        <w:rPr>
          <w:rFonts w:ascii="Arial Narrow" w:eastAsia="Times New Roman" w:hAnsi="Arial Narrow"/>
          <w:color w:val="000000"/>
          <w:sz w:val="18"/>
          <w:szCs w:val="18"/>
          <w:lang w:val="fr-FR"/>
        </w:rPr>
        <w:t>were</w:t>
      </w:r>
      <w:proofErr w:type="spellEnd"/>
      <w:r w:rsidRPr="00FC597F">
        <w:rPr>
          <w:rFonts w:ascii="Arial Narrow" w:eastAsia="Times New Roman" w:hAnsi="Arial Narrow"/>
          <w:color w:val="000000"/>
          <w:sz w:val="18"/>
          <w:szCs w:val="18"/>
          <w:lang w:val="fr-FR"/>
        </w:rPr>
        <w:t xml:space="preserve"> </w:t>
      </w:r>
      <w:proofErr w:type="spellStart"/>
      <w:r w:rsidRPr="00FC597F">
        <w:rPr>
          <w:rFonts w:ascii="Arial Narrow" w:eastAsia="Times New Roman" w:hAnsi="Arial Narrow"/>
          <w:color w:val="000000"/>
          <w:sz w:val="18"/>
          <w:szCs w:val="18"/>
          <w:lang w:val="fr-FR"/>
        </w:rPr>
        <w:t>cohorts</w:t>
      </w:r>
      <w:proofErr w:type="spellEnd"/>
      <w:r w:rsidRPr="00FC597F">
        <w:rPr>
          <w:rFonts w:ascii="Arial Narrow" w:eastAsia="Times New Roman" w:hAnsi="Arial Narrow"/>
          <w:color w:val="000000"/>
          <w:sz w:val="18"/>
          <w:szCs w:val="18"/>
          <w:lang w:val="fr-FR"/>
        </w:rPr>
        <w:t xml:space="preserve"> </w:t>
      </w:r>
      <w:proofErr w:type="spellStart"/>
      <w:r w:rsidRPr="00FC597F">
        <w:rPr>
          <w:rFonts w:ascii="Arial Narrow" w:eastAsia="Times New Roman" w:hAnsi="Arial Narrow"/>
          <w:color w:val="000000"/>
          <w:sz w:val="18"/>
          <w:szCs w:val="18"/>
          <w:lang w:val="fr-FR"/>
        </w:rPr>
        <w:t>embedded</w:t>
      </w:r>
      <w:proofErr w:type="spellEnd"/>
      <w:r w:rsidRPr="00FC597F">
        <w:rPr>
          <w:rFonts w:ascii="Arial Narrow" w:eastAsia="Times New Roman" w:hAnsi="Arial Narrow"/>
          <w:color w:val="000000"/>
          <w:sz w:val="18"/>
          <w:szCs w:val="18"/>
          <w:lang w:val="fr-FR"/>
        </w:rPr>
        <w:t xml:space="preserve"> in </w:t>
      </w:r>
      <w:proofErr w:type="spellStart"/>
      <w:r w:rsidRPr="00FC597F">
        <w:rPr>
          <w:rFonts w:ascii="Arial Narrow" w:eastAsia="Times New Roman" w:hAnsi="Arial Narrow"/>
          <w:color w:val="000000"/>
          <w:sz w:val="18"/>
          <w:szCs w:val="18"/>
          <w:lang w:val="fr-FR"/>
        </w:rPr>
        <w:t>randomized</w:t>
      </w:r>
      <w:proofErr w:type="spellEnd"/>
      <w:r w:rsidRPr="00FC597F">
        <w:rPr>
          <w:rFonts w:ascii="Arial Narrow" w:eastAsia="Times New Roman" w:hAnsi="Arial Narrow"/>
          <w:color w:val="000000"/>
          <w:sz w:val="18"/>
          <w:szCs w:val="18"/>
          <w:lang w:val="fr-FR"/>
        </w:rPr>
        <w:t xml:space="preserve"> control trials, </w:t>
      </w:r>
      <w:proofErr w:type="spellStart"/>
      <w:r w:rsidRPr="00FC597F">
        <w:rPr>
          <w:rFonts w:ascii="Arial Narrow" w:eastAsia="Times New Roman" w:hAnsi="Arial Narrow"/>
          <w:color w:val="000000"/>
          <w:sz w:val="18"/>
          <w:szCs w:val="18"/>
          <w:lang w:val="fr-FR"/>
        </w:rPr>
        <w:t>while</w:t>
      </w:r>
      <w:proofErr w:type="spellEnd"/>
      <w:r w:rsidRPr="00FC597F">
        <w:rPr>
          <w:rFonts w:ascii="Arial Narrow" w:eastAsia="Times New Roman" w:hAnsi="Arial Narrow"/>
          <w:color w:val="000000"/>
          <w:sz w:val="18"/>
          <w:szCs w:val="18"/>
          <w:lang w:val="fr-FR"/>
        </w:rPr>
        <w:t xml:space="preserve"> Alvarez-</w:t>
      </w:r>
      <w:proofErr w:type="spellStart"/>
      <w:r w:rsidRPr="00FC597F">
        <w:rPr>
          <w:rFonts w:ascii="Arial Narrow" w:eastAsia="Times New Roman" w:hAnsi="Arial Narrow"/>
          <w:color w:val="000000"/>
          <w:sz w:val="18"/>
          <w:szCs w:val="18"/>
          <w:lang w:val="fr-FR"/>
        </w:rPr>
        <w:t>Uria</w:t>
      </w:r>
      <w:proofErr w:type="spellEnd"/>
      <w:r w:rsidRPr="00FC597F">
        <w:rPr>
          <w:rFonts w:ascii="Arial Narrow" w:eastAsia="Times New Roman" w:hAnsi="Arial Narrow"/>
          <w:color w:val="000000"/>
          <w:sz w:val="18"/>
          <w:szCs w:val="18"/>
          <w:lang w:val="fr-FR"/>
        </w:rPr>
        <w:t xml:space="preserve"> et al (2012), </w:t>
      </w:r>
      <w:proofErr w:type="spellStart"/>
      <w:r w:rsidRPr="00FC597F">
        <w:rPr>
          <w:rFonts w:ascii="Arial Narrow" w:eastAsia="Times New Roman" w:hAnsi="Arial Narrow"/>
          <w:color w:val="000000"/>
          <w:sz w:val="18"/>
          <w:szCs w:val="18"/>
          <w:lang w:val="fr-FR"/>
        </w:rPr>
        <w:t>Marazzi</w:t>
      </w:r>
      <w:proofErr w:type="spellEnd"/>
      <w:r w:rsidRPr="00FC597F">
        <w:rPr>
          <w:rFonts w:ascii="Arial Narrow" w:eastAsia="Times New Roman" w:hAnsi="Arial Narrow"/>
          <w:color w:val="000000"/>
          <w:sz w:val="18"/>
          <w:szCs w:val="18"/>
          <w:lang w:val="fr-FR"/>
        </w:rPr>
        <w:t xml:space="preserve"> et al (2009) and </w:t>
      </w:r>
      <w:proofErr w:type="spellStart"/>
      <w:r w:rsidRPr="00FC597F">
        <w:rPr>
          <w:rFonts w:ascii="Arial Narrow" w:eastAsia="Times New Roman" w:hAnsi="Arial Narrow"/>
          <w:color w:val="000000"/>
          <w:sz w:val="18"/>
          <w:szCs w:val="18"/>
          <w:lang w:val="fr-FR"/>
        </w:rPr>
        <w:t>Kilewo</w:t>
      </w:r>
      <w:proofErr w:type="spellEnd"/>
      <w:r w:rsidRPr="00FC597F">
        <w:rPr>
          <w:rFonts w:ascii="Arial Narrow" w:eastAsia="Times New Roman" w:hAnsi="Arial Narrow"/>
          <w:color w:val="000000"/>
          <w:sz w:val="18"/>
          <w:szCs w:val="18"/>
          <w:lang w:val="fr-FR"/>
        </w:rPr>
        <w:t xml:space="preserve"> et al (2009) </w:t>
      </w:r>
      <w:proofErr w:type="spellStart"/>
      <w:r w:rsidRPr="00FC597F">
        <w:rPr>
          <w:rFonts w:ascii="Arial Narrow" w:eastAsia="Times New Roman" w:hAnsi="Arial Narrow"/>
          <w:color w:val="000000"/>
          <w:sz w:val="18"/>
          <w:szCs w:val="18"/>
          <w:lang w:val="fr-FR"/>
        </w:rPr>
        <w:t>were</w:t>
      </w:r>
      <w:proofErr w:type="spellEnd"/>
      <w:r w:rsidRPr="00FC597F">
        <w:rPr>
          <w:rFonts w:ascii="Arial Narrow" w:eastAsia="Times New Roman" w:hAnsi="Arial Narrow"/>
          <w:color w:val="000000"/>
          <w:sz w:val="18"/>
          <w:szCs w:val="18"/>
          <w:lang w:val="fr-FR"/>
        </w:rPr>
        <w:t xml:space="preserve"> </w:t>
      </w:r>
      <w:proofErr w:type="spellStart"/>
      <w:r w:rsidRPr="00FC597F">
        <w:rPr>
          <w:rFonts w:ascii="Arial Narrow" w:eastAsia="Times New Roman" w:hAnsi="Arial Narrow"/>
          <w:color w:val="000000"/>
          <w:sz w:val="18"/>
          <w:szCs w:val="18"/>
          <w:lang w:val="fr-FR"/>
        </w:rPr>
        <w:t>cohort</w:t>
      </w:r>
      <w:proofErr w:type="spellEnd"/>
      <w:r w:rsidRPr="00FC597F">
        <w:rPr>
          <w:rFonts w:ascii="Arial Narrow" w:eastAsia="Times New Roman" w:hAnsi="Arial Narrow"/>
          <w:color w:val="000000"/>
          <w:sz w:val="18"/>
          <w:szCs w:val="18"/>
          <w:lang w:val="fr-FR"/>
        </w:rPr>
        <w:t xml:space="preserve"> </w:t>
      </w:r>
      <w:proofErr w:type="spellStart"/>
      <w:r w:rsidRPr="00FC597F">
        <w:rPr>
          <w:rFonts w:ascii="Arial Narrow" w:eastAsia="Times New Roman" w:hAnsi="Arial Narrow"/>
          <w:color w:val="000000"/>
          <w:sz w:val="18"/>
          <w:szCs w:val="18"/>
          <w:lang w:val="fr-FR"/>
        </w:rPr>
        <w:t>studies</w:t>
      </w:r>
      <w:proofErr w:type="spellEnd"/>
      <w:r w:rsidRPr="00FC597F">
        <w:rPr>
          <w:rFonts w:ascii="Arial Narrow" w:eastAsia="Times New Roman" w:hAnsi="Arial Narrow"/>
          <w:color w:val="000000"/>
          <w:sz w:val="18"/>
          <w:szCs w:val="18"/>
          <w:lang w:val="fr-FR"/>
        </w:rPr>
        <w:t>.</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 xml:space="preserve">Risk of bias: We downgraded once due to potential selection bias for lack of detailed feeding history in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Adherence to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was not provided in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There were some differences </w:t>
      </w:r>
      <w:r>
        <w:rPr>
          <w:rFonts w:ascii="Arial Narrow" w:eastAsia="Times New Roman" w:hAnsi="Arial Narrow"/>
          <w:color w:val="000000"/>
          <w:sz w:val="18"/>
          <w:szCs w:val="18"/>
          <w:lang w:val="en"/>
        </w:rPr>
        <w:t xml:space="preserve">regarding age in weeks as endpoint </w:t>
      </w:r>
      <w:r w:rsidRPr="001B5777">
        <w:rPr>
          <w:rFonts w:ascii="Arial Narrow" w:eastAsia="Times New Roman" w:hAnsi="Arial Narrow"/>
          <w:color w:val="000000"/>
          <w:sz w:val="18"/>
          <w:szCs w:val="18"/>
          <w:lang w:val="en"/>
        </w:rPr>
        <w:t>considered perinatal transmission. Coovadia et al (2012), Alvarez-</w:t>
      </w:r>
      <w:proofErr w:type="spellStart"/>
      <w:r w:rsidRPr="001B5777">
        <w:rPr>
          <w:rFonts w:ascii="Arial Narrow" w:eastAsia="Times New Roman" w:hAnsi="Arial Narrow"/>
          <w:color w:val="000000"/>
          <w:sz w:val="18"/>
          <w:szCs w:val="18"/>
          <w:lang w:val="en"/>
        </w:rPr>
        <w:t>Uria</w:t>
      </w:r>
      <w:proofErr w:type="spellEnd"/>
      <w:r w:rsidRPr="001B5777">
        <w:rPr>
          <w:rFonts w:ascii="Arial Narrow" w:eastAsia="Times New Roman" w:hAnsi="Arial Narrow"/>
          <w:color w:val="000000"/>
          <w:sz w:val="18"/>
          <w:szCs w:val="18"/>
          <w:lang w:val="en"/>
        </w:rPr>
        <w:t xml:space="preserve"> et al (2012), Thomas et al (2011)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excluded children </w:t>
      </w:r>
      <w:r>
        <w:rPr>
          <w:rFonts w:ascii="Arial Narrow" w:eastAsia="Times New Roman" w:hAnsi="Arial Narrow"/>
          <w:color w:val="000000"/>
          <w:sz w:val="18"/>
          <w:szCs w:val="18"/>
          <w:lang w:val="en"/>
        </w:rPr>
        <w:t xml:space="preserve">positive </w:t>
      </w:r>
      <w:r w:rsidRPr="001B5777">
        <w:rPr>
          <w:rFonts w:ascii="Arial Narrow" w:eastAsia="Times New Roman" w:hAnsi="Arial Narrow"/>
          <w:color w:val="000000"/>
          <w:sz w:val="18"/>
          <w:szCs w:val="18"/>
          <w:lang w:val="en"/>
        </w:rPr>
        <w:t>at 6 weeks</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Jamieson et al (2012) excluded at 2 weeks and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w:t>
      </w:r>
      <w:r>
        <w:rPr>
          <w:rFonts w:ascii="Arial Narrow" w:eastAsia="Times New Roman" w:hAnsi="Arial Narrow"/>
          <w:color w:val="000000"/>
          <w:sz w:val="18"/>
          <w:szCs w:val="18"/>
          <w:lang w:val="en"/>
        </w:rPr>
        <w:t xml:space="preserve">at </w:t>
      </w:r>
      <w:r w:rsidRPr="001B5777">
        <w:rPr>
          <w:rFonts w:ascii="Arial Narrow" w:eastAsia="Times New Roman" w:hAnsi="Arial Narrow"/>
          <w:color w:val="000000"/>
          <w:sz w:val="18"/>
          <w:szCs w:val="18"/>
          <w:lang w:val="en"/>
        </w:rPr>
        <w:t xml:space="preserve">4 weeks. Jamieson et al (2012), Thomas et al (2011)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did not provide </w:t>
      </w:r>
      <w:r>
        <w:rPr>
          <w:rFonts w:ascii="Arial Narrow" w:eastAsia="Times New Roman" w:hAnsi="Arial Narrow"/>
          <w:color w:val="000000"/>
          <w:sz w:val="18"/>
          <w:szCs w:val="18"/>
          <w:lang w:val="en"/>
        </w:rPr>
        <w:t xml:space="preserve">a </w:t>
      </w:r>
      <w:r w:rsidRPr="001B5777">
        <w:rPr>
          <w:rFonts w:ascii="Arial Narrow" w:eastAsia="Times New Roman" w:hAnsi="Arial Narrow"/>
          <w:color w:val="000000"/>
          <w:sz w:val="18"/>
          <w:szCs w:val="18"/>
          <w:lang w:val="en"/>
        </w:rPr>
        <w:t xml:space="preserve">rate of transmission, but </w:t>
      </w:r>
      <w:r>
        <w:rPr>
          <w:rFonts w:ascii="Arial Narrow" w:eastAsia="Times New Roman" w:hAnsi="Arial Narrow"/>
          <w:color w:val="000000"/>
          <w:sz w:val="18"/>
          <w:szCs w:val="18"/>
          <w:lang w:val="en"/>
        </w:rPr>
        <w:t xml:space="preserve">the </w:t>
      </w:r>
      <w:r w:rsidRPr="001B5777">
        <w:rPr>
          <w:rFonts w:ascii="Arial Narrow" w:eastAsia="Times New Roman" w:hAnsi="Arial Narrow"/>
          <w:color w:val="000000"/>
          <w:sz w:val="18"/>
          <w:szCs w:val="18"/>
          <w:lang w:val="en"/>
        </w:rPr>
        <w:t xml:space="preserve">rate was calculated </w:t>
      </w:r>
      <w:r>
        <w:rPr>
          <w:rFonts w:ascii="Arial Narrow" w:eastAsia="Times New Roman" w:hAnsi="Arial Narrow"/>
          <w:color w:val="000000"/>
          <w:sz w:val="18"/>
          <w:szCs w:val="18"/>
          <w:lang w:val="en"/>
        </w:rPr>
        <w:t xml:space="preserve">based on the </w:t>
      </w:r>
      <w:r w:rsidRPr="001B5777">
        <w:rPr>
          <w:rFonts w:ascii="Arial Narrow" w:eastAsia="Times New Roman" w:hAnsi="Arial Narrow"/>
          <w:color w:val="000000"/>
          <w:sz w:val="18"/>
          <w:szCs w:val="18"/>
          <w:lang w:val="en"/>
        </w:rPr>
        <w:t xml:space="preserve">number of children at risk provided in the paper. </w:t>
      </w:r>
      <w:r>
        <w:rPr>
          <w:rFonts w:ascii="Arial Narrow" w:eastAsia="Times New Roman" w:hAnsi="Arial Narrow"/>
          <w:color w:val="000000"/>
          <w:sz w:val="18"/>
          <w:szCs w:val="18"/>
          <w:lang w:val="en"/>
        </w:rPr>
        <w:t xml:space="preserve">In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w:t>
      </w:r>
      <w:r>
        <w:rPr>
          <w:rFonts w:ascii="Arial Narrow" w:eastAsia="Times New Roman" w:hAnsi="Arial Narrow"/>
          <w:color w:val="000000"/>
          <w:sz w:val="18"/>
          <w:szCs w:val="18"/>
          <w:lang w:val="en"/>
        </w:rPr>
        <w:t xml:space="preserve"> a</w:t>
      </w:r>
      <w:r w:rsidRPr="001B5777">
        <w:rPr>
          <w:rFonts w:ascii="Arial Narrow" w:eastAsia="Times New Roman" w:hAnsi="Arial Narrow"/>
          <w:color w:val="000000"/>
          <w:sz w:val="18"/>
          <w:szCs w:val="18"/>
          <w:lang w:val="en"/>
        </w:rPr>
        <w:t xml:space="preserve"> confidence interval was not provided </w:t>
      </w:r>
      <w:r>
        <w:rPr>
          <w:rFonts w:ascii="Arial Narrow" w:eastAsia="Times New Roman" w:hAnsi="Arial Narrow"/>
          <w:color w:val="000000"/>
          <w:sz w:val="18"/>
          <w:szCs w:val="18"/>
          <w:lang w:val="en"/>
        </w:rPr>
        <w:t xml:space="preserve">but </w:t>
      </w:r>
      <w:r w:rsidRPr="001B5777">
        <w:rPr>
          <w:rFonts w:ascii="Arial Narrow" w:eastAsia="Times New Roman" w:hAnsi="Arial Narrow"/>
          <w:color w:val="000000"/>
          <w:sz w:val="18"/>
          <w:szCs w:val="18"/>
          <w:lang w:val="en"/>
        </w:rPr>
        <w:t xml:space="preserve">was calculated using </w:t>
      </w:r>
      <w:r>
        <w:rPr>
          <w:rFonts w:ascii="Arial Narrow" w:eastAsia="Times New Roman" w:hAnsi="Arial Narrow"/>
          <w:color w:val="000000"/>
          <w:sz w:val="18"/>
          <w:szCs w:val="18"/>
          <w:lang w:val="en"/>
        </w:rPr>
        <w:t xml:space="preserve">the </w:t>
      </w:r>
      <w:r w:rsidRPr="001B5777">
        <w:rPr>
          <w:rFonts w:ascii="Arial Narrow" w:eastAsia="Times New Roman" w:hAnsi="Arial Narrow"/>
          <w:color w:val="000000"/>
          <w:sz w:val="18"/>
          <w:szCs w:val="18"/>
          <w:lang w:val="en"/>
        </w:rPr>
        <w:t>formula</w:t>
      </w:r>
      <w:r>
        <w:rPr>
          <w:rFonts w:ascii="Arial Narrow" w:eastAsia="Times New Roman" w:hAnsi="Arial Narrow"/>
          <w:color w:val="000000"/>
          <w:sz w:val="18"/>
          <w:szCs w:val="18"/>
          <w:lang w:val="en"/>
        </w:rPr>
        <w:t xml:space="preserve"> in Appendix 6</w:t>
      </w:r>
      <w:r w:rsidRPr="001B5777">
        <w:rPr>
          <w:rFonts w:ascii="Arial Narrow" w:eastAsia="Times New Roman" w:hAnsi="Arial Narrow"/>
          <w:color w:val="000000"/>
          <w:sz w:val="18"/>
          <w:szCs w:val="18"/>
          <w:lang w:val="en"/>
        </w:rPr>
        <w:t>.</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Inconsistency: We downgraded due to substantial heterogeneity in rates of transmission provided or calculated</w:t>
      </w:r>
      <w:r>
        <w:rPr>
          <w:rFonts w:ascii="Arial Narrow" w:eastAsia="Times New Roman" w:hAnsi="Arial Narrow"/>
          <w:color w:val="000000"/>
          <w:sz w:val="18"/>
          <w:szCs w:val="18"/>
          <w:lang w:val="en"/>
        </w:rPr>
        <w:t xml:space="preserve"> (I</w:t>
      </w:r>
      <w:r w:rsidRPr="00D40157">
        <w:rPr>
          <w:rFonts w:ascii="Arial Narrow" w:eastAsia="Times New Roman" w:hAnsi="Arial Narrow"/>
          <w:color w:val="000000"/>
          <w:sz w:val="18"/>
          <w:szCs w:val="18"/>
          <w:vertAlign w:val="superscript"/>
          <w:lang w:val="en"/>
        </w:rPr>
        <w:t>2</w:t>
      </w:r>
      <w:r>
        <w:rPr>
          <w:rFonts w:ascii="Arial Narrow" w:eastAsia="Times New Roman" w:hAnsi="Arial Narrow"/>
          <w:color w:val="000000"/>
          <w:sz w:val="18"/>
          <w:szCs w:val="18"/>
          <w:lang w:val="en"/>
        </w:rPr>
        <w:t>=66.4%)</w:t>
      </w:r>
      <w:r w:rsidRPr="001B5777">
        <w:rPr>
          <w:rFonts w:ascii="Arial Narrow" w:eastAsia="Times New Roman" w:hAnsi="Arial Narrow"/>
          <w:color w:val="000000"/>
          <w:sz w:val="18"/>
          <w:szCs w:val="18"/>
          <w:lang w:val="en"/>
        </w:rPr>
        <w:t>. Rates ranged from 0.24</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(95% CI 0.0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to 1.40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in Coovadia et al, 2012 to 3.10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(95% CI 1.20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to 7.80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in Alvarez-</w:t>
      </w:r>
      <w:proofErr w:type="spellStart"/>
      <w:r w:rsidRPr="001B5777">
        <w:rPr>
          <w:rFonts w:ascii="Arial Narrow" w:eastAsia="Times New Roman" w:hAnsi="Arial Narrow"/>
          <w:color w:val="000000"/>
          <w:sz w:val="18"/>
          <w:szCs w:val="18"/>
          <w:lang w:val="en"/>
        </w:rPr>
        <w:t>Uria</w:t>
      </w:r>
      <w:proofErr w:type="spellEnd"/>
      <w:r w:rsidRPr="001B5777">
        <w:rPr>
          <w:rFonts w:ascii="Arial Narrow" w:eastAsia="Times New Roman" w:hAnsi="Arial Narrow"/>
          <w:color w:val="000000"/>
          <w:sz w:val="18"/>
          <w:szCs w:val="18"/>
          <w:lang w:val="en"/>
        </w:rPr>
        <w:t xml:space="preserve"> et al, 2012</w:t>
      </w:r>
      <w:r>
        <w:rPr>
          <w:rFonts w:ascii="Arial Narrow" w:eastAsia="Times New Roman" w:hAnsi="Arial Narrow"/>
          <w:color w:val="000000"/>
          <w:sz w:val="18"/>
          <w:szCs w:val="18"/>
          <w:lang w:val="en"/>
        </w:rPr>
        <w:t xml:space="preserve">, the latter </w:t>
      </w:r>
      <w:r w:rsidRPr="001B5777">
        <w:rPr>
          <w:rFonts w:ascii="Arial Narrow" w:eastAsia="Times New Roman" w:hAnsi="Arial Narrow"/>
          <w:color w:val="000000"/>
          <w:sz w:val="18"/>
          <w:szCs w:val="18"/>
          <w:lang w:val="en"/>
        </w:rPr>
        <w:t xml:space="preserve">study had a very </w:t>
      </w:r>
      <w:r>
        <w:rPr>
          <w:rFonts w:ascii="Arial Narrow" w:eastAsia="Times New Roman" w:hAnsi="Arial Narrow"/>
          <w:color w:val="000000"/>
          <w:sz w:val="18"/>
          <w:szCs w:val="18"/>
          <w:lang w:val="en"/>
        </w:rPr>
        <w:t xml:space="preserve">wide </w:t>
      </w:r>
      <w:r w:rsidRPr="001B5777">
        <w:rPr>
          <w:rFonts w:ascii="Arial Narrow" w:eastAsia="Times New Roman" w:hAnsi="Arial Narrow"/>
          <w:color w:val="000000"/>
          <w:sz w:val="18"/>
          <w:szCs w:val="18"/>
          <w:lang w:val="en"/>
        </w:rPr>
        <w:t xml:space="preserve">confidence interval due to </w:t>
      </w:r>
      <w:r>
        <w:rPr>
          <w:rFonts w:ascii="Arial Narrow" w:eastAsia="Times New Roman" w:hAnsi="Arial Narrow"/>
          <w:color w:val="000000"/>
          <w:sz w:val="18"/>
          <w:szCs w:val="18"/>
          <w:lang w:val="en"/>
        </w:rPr>
        <w:t xml:space="preserve">the </w:t>
      </w:r>
      <w:r w:rsidRPr="001B5777">
        <w:rPr>
          <w:rFonts w:ascii="Arial Narrow" w:eastAsia="Times New Roman" w:hAnsi="Arial Narrow"/>
          <w:color w:val="000000"/>
          <w:sz w:val="18"/>
          <w:szCs w:val="18"/>
          <w:lang w:val="en"/>
        </w:rPr>
        <w:t>small sample of 127.</w:t>
      </w:r>
    </w:p>
    <w:p w:rsidR="00AD4F82"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Indirectness: We downgraded once as the studies’ questions were not in line with the PICO question and covered different types of co-interventions</w:t>
      </w:r>
      <w:r>
        <w:rPr>
          <w:rFonts w:ascii="Arial Narrow" w:eastAsia="Times New Roman" w:hAnsi="Arial Narrow"/>
          <w:color w:val="000000"/>
          <w:sz w:val="18"/>
          <w:szCs w:val="18"/>
          <w:lang w:val="en"/>
        </w:rPr>
        <w:t xml:space="preserve">. </w:t>
      </w:r>
      <w:r w:rsidRPr="001B5777">
        <w:rPr>
          <w:rFonts w:ascii="Arial Narrow" w:eastAsia="Times New Roman" w:hAnsi="Arial Narrow"/>
          <w:color w:val="000000"/>
          <w:sz w:val="18"/>
          <w:szCs w:val="18"/>
          <w:lang w:val="en"/>
        </w:rPr>
        <w:t>In Alvarez-</w:t>
      </w:r>
      <w:proofErr w:type="spellStart"/>
      <w:r w:rsidRPr="001B5777">
        <w:rPr>
          <w:rFonts w:ascii="Arial Narrow" w:eastAsia="Times New Roman" w:hAnsi="Arial Narrow"/>
          <w:color w:val="000000"/>
          <w:sz w:val="18"/>
          <w:szCs w:val="18"/>
          <w:lang w:val="en"/>
        </w:rPr>
        <w:t>Uria</w:t>
      </w:r>
      <w:proofErr w:type="spellEnd"/>
      <w:r w:rsidRPr="001B5777">
        <w:rPr>
          <w:rFonts w:ascii="Arial Narrow" w:eastAsia="Times New Roman" w:hAnsi="Arial Narrow"/>
          <w:color w:val="000000"/>
          <w:sz w:val="18"/>
          <w:szCs w:val="18"/>
          <w:lang w:val="en"/>
        </w:rPr>
        <w:t xml:space="preserve"> et al., 2012,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the only intervention was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Jamieson et al. 2012 compared HIV</w:t>
      </w:r>
      <w:r>
        <w:rPr>
          <w:rFonts w:ascii="Arial Narrow" w:eastAsia="Times New Roman" w:hAnsi="Arial Narrow"/>
          <w:color w:val="000000"/>
          <w:sz w:val="18"/>
          <w:szCs w:val="18"/>
          <w:lang w:val="en"/>
        </w:rPr>
        <w:t>-free s</w:t>
      </w:r>
      <w:r w:rsidRPr="001B5777">
        <w:rPr>
          <w:rFonts w:ascii="Arial Narrow" w:eastAsia="Times New Roman" w:hAnsi="Arial Narrow"/>
          <w:color w:val="000000"/>
          <w:sz w:val="18"/>
          <w:szCs w:val="18"/>
          <w:lang w:val="en"/>
        </w:rPr>
        <w:t xml:space="preserve">urvival in children whose mothers were on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infants on NVP and a control group and the three groups </w:t>
      </w:r>
      <w:r w:rsidRPr="001B5777">
        <w:rPr>
          <w:rFonts w:ascii="Arial Narrow" w:eastAsia="Times New Roman" w:hAnsi="Arial Narrow"/>
          <w:color w:val="000000"/>
          <w:sz w:val="18"/>
          <w:szCs w:val="18"/>
          <w:lang w:val="en"/>
        </w:rPr>
        <w:lastRenderedPageBreak/>
        <w:t>were further divided into those who were on a maternal nutrition supplement and those that were</w:t>
      </w:r>
      <w:r>
        <w:rPr>
          <w:rFonts w:ascii="Arial Narrow" w:eastAsia="Times New Roman" w:hAnsi="Arial Narrow"/>
          <w:color w:val="000000"/>
          <w:sz w:val="18"/>
          <w:szCs w:val="18"/>
          <w:lang w:val="en"/>
        </w:rPr>
        <w:t xml:space="preserve"> no</w:t>
      </w:r>
      <w:r w:rsidRPr="001B5777">
        <w:rPr>
          <w:rFonts w:ascii="Arial Narrow" w:eastAsia="Times New Roman" w:hAnsi="Arial Narrow"/>
          <w:color w:val="000000"/>
          <w:sz w:val="18"/>
          <w:szCs w:val="18"/>
          <w:lang w:val="en"/>
        </w:rPr>
        <w:t>t. In Coovadia</w:t>
      </w:r>
      <w:r>
        <w:rPr>
          <w:rFonts w:ascii="Arial Narrow" w:eastAsia="Times New Roman" w:hAnsi="Arial Narrow"/>
          <w:color w:val="000000"/>
          <w:sz w:val="18"/>
          <w:szCs w:val="18"/>
          <w:lang w:val="en"/>
        </w:rPr>
        <w:t xml:space="preserve"> et al</w:t>
      </w:r>
      <w:r w:rsidRPr="001B5777">
        <w:rPr>
          <w:rFonts w:ascii="Arial Narrow" w:eastAsia="Times New Roman" w:hAnsi="Arial Narrow"/>
          <w:color w:val="000000"/>
          <w:sz w:val="18"/>
          <w:szCs w:val="18"/>
          <w:lang w:val="en"/>
        </w:rPr>
        <w:t xml:space="preserve">, infants were </w:t>
      </w:r>
      <w:r>
        <w:rPr>
          <w:rFonts w:ascii="Arial Narrow" w:eastAsia="Times New Roman" w:hAnsi="Arial Narrow"/>
          <w:color w:val="000000"/>
          <w:sz w:val="18"/>
          <w:szCs w:val="18"/>
          <w:lang w:val="en"/>
        </w:rPr>
        <w:t xml:space="preserve">randomized to receive extended </w:t>
      </w:r>
      <w:proofErr w:type="spellStart"/>
      <w:r>
        <w:rPr>
          <w:rFonts w:ascii="Arial Narrow" w:eastAsia="Times New Roman" w:hAnsi="Arial Narrow"/>
          <w:color w:val="000000"/>
          <w:sz w:val="18"/>
          <w:szCs w:val="18"/>
          <w:lang w:val="en"/>
        </w:rPr>
        <w:t>N</w:t>
      </w:r>
      <w:r w:rsidRPr="001B5777">
        <w:rPr>
          <w:rFonts w:ascii="Arial Narrow" w:eastAsia="Times New Roman" w:hAnsi="Arial Narrow"/>
          <w:color w:val="000000"/>
          <w:sz w:val="18"/>
          <w:szCs w:val="18"/>
          <w:lang w:val="en"/>
        </w:rPr>
        <w:t>evirapine</w:t>
      </w:r>
      <w:proofErr w:type="spellEnd"/>
      <w:r w:rsidRPr="001B5777">
        <w:rPr>
          <w:rFonts w:ascii="Arial Narrow" w:eastAsia="Times New Roman" w:hAnsi="Arial Narrow"/>
          <w:color w:val="000000"/>
          <w:sz w:val="18"/>
          <w:szCs w:val="18"/>
          <w:lang w:val="en"/>
        </w:rPr>
        <w:t xml:space="preserve"> or placebo until 6 months of life. In Alvarez-</w:t>
      </w:r>
      <w:proofErr w:type="spellStart"/>
      <w:r w:rsidRPr="001B5777">
        <w:rPr>
          <w:rFonts w:ascii="Arial Narrow" w:eastAsia="Times New Roman" w:hAnsi="Arial Narrow"/>
          <w:color w:val="000000"/>
          <w:sz w:val="18"/>
          <w:szCs w:val="18"/>
          <w:lang w:val="en"/>
        </w:rPr>
        <w:t>Uria</w:t>
      </w:r>
      <w:proofErr w:type="spellEnd"/>
      <w:r w:rsidRPr="001B5777">
        <w:rPr>
          <w:rFonts w:ascii="Arial Narrow" w:eastAsia="Times New Roman" w:hAnsi="Arial Narrow"/>
          <w:color w:val="000000"/>
          <w:sz w:val="18"/>
          <w:szCs w:val="18"/>
          <w:lang w:val="en"/>
        </w:rPr>
        <w:t xml:space="preserve"> et al. 2012 all women were on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but newborns were also given prophylaxis, the study also compared tran</w:t>
      </w:r>
      <w:r>
        <w:rPr>
          <w:rFonts w:ascii="Arial Narrow" w:eastAsia="Times New Roman" w:hAnsi="Arial Narrow"/>
          <w:color w:val="000000"/>
          <w:sz w:val="18"/>
          <w:szCs w:val="18"/>
          <w:lang w:val="en"/>
        </w:rPr>
        <w:t>s</w:t>
      </w:r>
      <w:r w:rsidRPr="001B5777">
        <w:rPr>
          <w:rFonts w:ascii="Arial Narrow" w:eastAsia="Times New Roman" w:hAnsi="Arial Narrow"/>
          <w:color w:val="000000"/>
          <w:sz w:val="18"/>
          <w:szCs w:val="18"/>
          <w:lang w:val="en"/>
        </w:rPr>
        <w:t xml:space="preserve">mission </w:t>
      </w:r>
      <w:r>
        <w:rPr>
          <w:rFonts w:ascii="Arial Narrow" w:eastAsia="Times New Roman" w:hAnsi="Arial Narrow"/>
          <w:color w:val="000000"/>
          <w:sz w:val="18"/>
          <w:szCs w:val="18"/>
          <w:lang w:val="en"/>
        </w:rPr>
        <w:t xml:space="preserve">rates between </w:t>
      </w:r>
      <w:r w:rsidRPr="001B5777">
        <w:rPr>
          <w:rFonts w:ascii="Arial Narrow" w:eastAsia="Times New Roman" w:hAnsi="Arial Narrow"/>
          <w:color w:val="000000"/>
          <w:sz w:val="18"/>
          <w:szCs w:val="18"/>
          <w:lang w:val="en"/>
        </w:rPr>
        <w:t xml:space="preserve">infants being breastfed and receiving formula feeding. In Thomas et al. 2011 all mothers were on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but all infants received a single dose of NVP within 72 hours. Studies also varied with regard to initiation of maternal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w:t>
      </w:r>
    </w:p>
    <w:p w:rsidR="00AD4F82"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FA77C0">
        <w:rPr>
          <w:rFonts w:ascii="Arial Narrow" w:eastAsia="Times New Roman" w:hAnsi="Arial Narrow"/>
          <w:color w:val="000000"/>
          <w:sz w:val="18"/>
          <w:szCs w:val="18"/>
          <w:lang w:val="en"/>
        </w:rPr>
        <w:t>Single study included: Peltier et al, 2009, which was a cohort study.</w:t>
      </w:r>
    </w:p>
    <w:p w:rsidR="00AD4F82" w:rsidRPr="00FA77C0"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FA77C0">
        <w:rPr>
          <w:rFonts w:ascii="Arial Narrow" w:eastAsia="Times New Roman" w:hAnsi="Arial Narrow"/>
          <w:color w:val="000000"/>
          <w:sz w:val="18"/>
          <w:szCs w:val="18"/>
          <w:lang w:val="en"/>
        </w:rPr>
        <w:t xml:space="preserve">Risk of bias: We downgraded once due to potential selection bias since this was a non-randomized intervention cohort in which the mother could choose the type of feeding for the infant. Only mothers with low CD4 count (&lt;350 cells/µl or WHO clinical stage 4) were eligible for lifelong </w:t>
      </w:r>
      <w:r>
        <w:rPr>
          <w:rFonts w:ascii="Arial Narrow" w:eastAsia="Times New Roman" w:hAnsi="Arial Narrow"/>
          <w:color w:val="000000"/>
          <w:sz w:val="18"/>
          <w:szCs w:val="18"/>
          <w:lang w:val="en"/>
        </w:rPr>
        <w:t>ART</w:t>
      </w:r>
      <w:r w:rsidRPr="00FA77C0">
        <w:rPr>
          <w:rFonts w:ascii="Arial Narrow" w:eastAsia="Times New Roman" w:hAnsi="Arial Narrow"/>
          <w:color w:val="000000"/>
          <w:sz w:val="18"/>
          <w:szCs w:val="18"/>
          <w:lang w:val="en"/>
        </w:rPr>
        <w:t xml:space="preserve">. The study had good adherence to </w:t>
      </w:r>
      <w:r>
        <w:rPr>
          <w:rFonts w:ascii="Arial Narrow" w:eastAsia="Times New Roman" w:hAnsi="Arial Narrow"/>
          <w:color w:val="000000"/>
          <w:sz w:val="18"/>
          <w:szCs w:val="18"/>
          <w:lang w:val="en"/>
        </w:rPr>
        <w:t>ART</w:t>
      </w:r>
      <w:r w:rsidRPr="00FA77C0">
        <w:rPr>
          <w:rFonts w:ascii="Arial Narrow" w:eastAsia="Times New Roman" w:hAnsi="Arial Narrow"/>
          <w:color w:val="000000"/>
          <w:sz w:val="18"/>
          <w:szCs w:val="18"/>
          <w:lang w:val="en"/>
        </w:rPr>
        <w:t xml:space="preserve"> and ascertainment of feeding. Only 15 mothers were reported to be mixed feeding their children, but no children were infected. </w:t>
      </w:r>
    </w:p>
    <w:p w:rsidR="00AD4F82" w:rsidRPr="004B05D1"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Pr>
          <w:rFonts w:ascii="Arial Narrow" w:eastAsia="Times New Roman" w:hAnsi="Arial Narrow"/>
          <w:color w:val="000000"/>
          <w:sz w:val="18"/>
          <w:szCs w:val="18"/>
          <w:lang w:val="en"/>
        </w:rPr>
        <w:t>Indirectness: We downgraded once as the study research question was not in line with PICO questions and although the study compares breastfeeding and formula feeding, it did not study the effect of ART by feeding.</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Pr>
          <w:rFonts w:ascii="Arial Narrow" w:eastAsia="Times New Roman" w:hAnsi="Arial Narrow"/>
          <w:color w:val="000000"/>
          <w:sz w:val="18"/>
          <w:szCs w:val="18"/>
          <w:lang w:val="en"/>
        </w:rPr>
        <w:t>Studies included were: Giuliano et al, 2013, Alvarez-</w:t>
      </w:r>
      <w:proofErr w:type="spellStart"/>
      <w:r>
        <w:rPr>
          <w:rFonts w:ascii="Arial Narrow" w:eastAsia="Times New Roman" w:hAnsi="Arial Narrow"/>
          <w:color w:val="000000"/>
          <w:sz w:val="18"/>
          <w:szCs w:val="18"/>
          <w:lang w:val="en"/>
        </w:rPr>
        <w:t>Uria</w:t>
      </w:r>
      <w:proofErr w:type="spellEnd"/>
      <w:r>
        <w:rPr>
          <w:rFonts w:ascii="Arial Narrow" w:eastAsia="Times New Roman" w:hAnsi="Arial Narrow"/>
          <w:color w:val="000000"/>
          <w:sz w:val="18"/>
          <w:szCs w:val="18"/>
          <w:lang w:val="en"/>
        </w:rPr>
        <w:t xml:space="preserve"> et al, 2012, Thomas et al, 2011, </w:t>
      </w:r>
      <w:proofErr w:type="spellStart"/>
      <w:r>
        <w:rPr>
          <w:rFonts w:ascii="Arial Narrow" w:eastAsia="Times New Roman" w:hAnsi="Arial Narrow"/>
          <w:color w:val="000000"/>
          <w:sz w:val="18"/>
          <w:szCs w:val="18"/>
          <w:lang w:val="en"/>
        </w:rPr>
        <w:t>Marazzi</w:t>
      </w:r>
      <w:proofErr w:type="spellEnd"/>
      <w:r>
        <w:rPr>
          <w:rFonts w:ascii="Arial Narrow" w:eastAsia="Times New Roman" w:hAnsi="Arial Narrow"/>
          <w:color w:val="000000"/>
          <w:sz w:val="18"/>
          <w:szCs w:val="18"/>
          <w:lang w:val="en"/>
        </w:rPr>
        <w:t xml:space="preserve"> et al, 2009 and </w:t>
      </w:r>
      <w:proofErr w:type="spellStart"/>
      <w:r>
        <w:rPr>
          <w:rFonts w:ascii="Arial Narrow" w:eastAsia="Times New Roman" w:hAnsi="Arial Narrow"/>
          <w:color w:val="000000"/>
          <w:sz w:val="18"/>
          <w:szCs w:val="18"/>
          <w:lang w:val="en"/>
        </w:rPr>
        <w:t>Kilewo</w:t>
      </w:r>
      <w:proofErr w:type="spellEnd"/>
      <w:r>
        <w:rPr>
          <w:rFonts w:ascii="Arial Narrow" w:eastAsia="Times New Roman" w:hAnsi="Arial Narrow"/>
          <w:color w:val="000000"/>
          <w:sz w:val="18"/>
          <w:szCs w:val="18"/>
          <w:lang w:val="en"/>
        </w:rPr>
        <w:t xml:space="preserve"> et al, 2009.  </w:t>
      </w:r>
      <w:r w:rsidRPr="001B5777">
        <w:rPr>
          <w:rFonts w:ascii="Arial Narrow" w:eastAsia="Times New Roman" w:hAnsi="Arial Narrow"/>
          <w:color w:val="000000"/>
          <w:sz w:val="18"/>
          <w:szCs w:val="18"/>
          <w:lang w:val="en"/>
        </w:rPr>
        <w:t>Thomas et al (2011) was a cohort embedded in a randomized control trial, while Giuliano et al (2013), Alvarez-</w:t>
      </w:r>
      <w:proofErr w:type="spellStart"/>
      <w:r w:rsidRPr="001B5777">
        <w:rPr>
          <w:rFonts w:ascii="Arial Narrow" w:eastAsia="Times New Roman" w:hAnsi="Arial Narrow"/>
          <w:color w:val="000000"/>
          <w:sz w:val="18"/>
          <w:szCs w:val="18"/>
          <w:lang w:val="en"/>
        </w:rPr>
        <w:t>Uria</w:t>
      </w:r>
      <w:proofErr w:type="spellEnd"/>
      <w:r w:rsidRPr="001B5777">
        <w:rPr>
          <w:rFonts w:ascii="Arial Narrow" w:eastAsia="Times New Roman" w:hAnsi="Arial Narrow"/>
          <w:color w:val="000000"/>
          <w:sz w:val="18"/>
          <w:szCs w:val="18"/>
          <w:lang w:val="en"/>
        </w:rPr>
        <w:t xml:space="preserve"> et al (2012),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were cohort studies</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 xml:space="preserve">Risk of bias: We downgraded once due to potential selection bias for lack of detailed information regarding feeding in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Inconsistency: We downgraded once due to heterogeneity in rates of transmission (</w:t>
      </w:r>
      <w:r>
        <w:rPr>
          <w:rFonts w:ascii="Arial Narrow" w:eastAsia="Times New Roman" w:hAnsi="Arial Narrow"/>
          <w:color w:val="000000"/>
          <w:sz w:val="18"/>
          <w:szCs w:val="18"/>
          <w:lang w:val="en"/>
        </w:rPr>
        <w:t>I</w:t>
      </w:r>
      <w:r w:rsidRPr="0047008A">
        <w:rPr>
          <w:rFonts w:ascii="Arial Narrow" w:eastAsia="Times New Roman" w:hAnsi="Arial Narrow"/>
          <w:color w:val="000000"/>
          <w:sz w:val="18"/>
          <w:szCs w:val="18"/>
          <w:vertAlign w:val="superscript"/>
          <w:lang w:val="en"/>
        </w:rPr>
        <w:t>2</w:t>
      </w:r>
      <w:r>
        <w:rPr>
          <w:rFonts w:ascii="Arial Narrow" w:eastAsia="Times New Roman" w:hAnsi="Arial Narrow"/>
          <w:color w:val="000000"/>
          <w:sz w:val="18"/>
          <w:szCs w:val="18"/>
          <w:lang w:val="en"/>
        </w:rPr>
        <w:t xml:space="preserve"> =</w:t>
      </w:r>
      <w:r w:rsidRPr="001B5777">
        <w:rPr>
          <w:rFonts w:ascii="Arial Narrow" w:eastAsia="Times New Roman" w:hAnsi="Arial Narrow"/>
          <w:color w:val="000000"/>
          <w:sz w:val="18"/>
          <w:szCs w:val="18"/>
          <w:lang w:val="en"/>
        </w:rPr>
        <w:t>39.9%), which varied from 2.8</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(95%CI 1.40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to 5.50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in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to 5.80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(95% CI 3.60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to 8.00</w:t>
      </w:r>
      <w:r>
        <w:rPr>
          <w:rFonts w:ascii="Arial Narrow" w:eastAsia="Times New Roman" w:hAnsi="Arial Narrow"/>
          <w:color w:val="000000"/>
          <w:sz w:val="18"/>
          <w:szCs w:val="18"/>
          <w:lang w:val="en"/>
        </w:rPr>
        <w:t xml:space="preserve">%) in </w:t>
      </w:r>
      <w:proofErr w:type="spellStart"/>
      <w:r>
        <w:rPr>
          <w:rFonts w:ascii="Arial Narrow" w:eastAsia="Times New Roman" w:hAnsi="Arial Narrow"/>
          <w:color w:val="000000"/>
          <w:sz w:val="18"/>
          <w:szCs w:val="18"/>
          <w:lang w:val="en"/>
        </w:rPr>
        <w:t>Kilewo</w:t>
      </w:r>
      <w:proofErr w:type="spellEnd"/>
      <w:r>
        <w:rPr>
          <w:rFonts w:ascii="Arial Narrow" w:eastAsia="Times New Roman" w:hAnsi="Arial Narrow"/>
          <w:color w:val="000000"/>
          <w:sz w:val="18"/>
          <w:szCs w:val="18"/>
          <w:lang w:val="en"/>
        </w:rPr>
        <w:t xml:space="preserve"> et al, 2009.</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Indirectness: We downgraded once as the studies</w:t>
      </w:r>
      <w:r>
        <w:rPr>
          <w:rFonts w:ascii="Arial Narrow" w:eastAsia="Times New Roman" w:hAnsi="Arial Narrow"/>
          <w:color w:val="000000"/>
          <w:sz w:val="18"/>
          <w:szCs w:val="18"/>
          <w:lang w:val="en"/>
        </w:rPr>
        <w:t>’ research questions</w:t>
      </w:r>
      <w:r w:rsidRPr="001B5777">
        <w:rPr>
          <w:rFonts w:ascii="Arial Narrow" w:eastAsia="Times New Roman" w:hAnsi="Arial Narrow"/>
          <w:color w:val="000000"/>
          <w:sz w:val="18"/>
          <w:szCs w:val="18"/>
          <w:lang w:val="en"/>
        </w:rPr>
        <w:t xml:space="preserve"> were not in line with PICO questions and covered different types of co-interventions. In Giuliano et al, 2013, Alvarez-</w:t>
      </w:r>
      <w:proofErr w:type="spellStart"/>
      <w:r w:rsidRPr="001B5777">
        <w:rPr>
          <w:rFonts w:ascii="Arial Narrow" w:eastAsia="Times New Roman" w:hAnsi="Arial Narrow"/>
          <w:color w:val="000000"/>
          <w:sz w:val="18"/>
          <w:szCs w:val="18"/>
          <w:lang w:val="en"/>
        </w:rPr>
        <w:t>Uria</w:t>
      </w:r>
      <w:proofErr w:type="spellEnd"/>
      <w:r w:rsidRPr="001B5777">
        <w:rPr>
          <w:rFonts w:ascii="Arial Narrow" w:eastAsia="Times New Roman" w:hAnsi="Arial Narrow"/>
          <w:color w:val="000000"/>
          <w:sz w:val="18"/>
          <w:szCs w:val="18"/>
          <w:lang w:val="en"/>
        </w:rPr>
        <w:t xml:space="preserve"> et al, 2012, </w:t>
      </w:r>
      <w:proofErr w:type="spellStart"/>
      <w:r w:rsidRPr="001B5777">
        <w:rPr>
          <w:rFonts w:ascii="Arial Narrow" w:eastAsia="Times New Roman" w:hAnsi="Arial Narrow"/>
          <w:color w:val="000000"/>
          <w:sz w:val="18"/>
          <w:szCs w:val="18"/>
          <w:lang w:val="en"/>
        </w:rPr>
        <w:t>Marazzi</w:t>
      </w:r>
      <w:proofErr w:type="spellEnd"/>
      <w:r w:rsidRPr="001B5777">
        <w:rPr>
          <w:rFonts w:ascii="Arial Narrow" w:eastAsia="Times New Roman" w:hAnsi="Arial Narrow"/>
          <w:color w:val="000000"/>
          <w:sz w:val="18"/>
          <w:szCs w:val="18"/>
          <w:lang w:val="en"/>
        </w:rPr>
        <w:t xml:space="preserve"> et al. 2009 and </w:t>
      </w:r>
      <w:proofErr w:type="spellStart"/>
      <w:r w:rsidRPr="001B5777">
        <w:rPr>
          <w:rFonts w:ascii="Arial Narrow" w:eastAsia="Times New Roman" w:hAnsi="Arial Narrow"/>
          <w:color w:val="000000"/>
          <w:sz w:val="18"/>
          <w:szCs w:val="18"/>
          <w:lang w:val="en"/>
        </w:rPr>
        <w:t>Kilewo</w:t>
      </w:r>
      <w:proofErr w:type="spellEnd"/>
      <w:r w:rsidRPr="001B5777">
        <w:rPr>
          <w:rFonts w:ascii="Arial Narrow" w:eastAsia="Times New Roman" w:hAnsi="Arial Narrow"/>
          <w:color w:val="000000"/>
          <w:sz w:val="18"/>
          <w:szCs w:val="18"/>
          <w:lang w:val="en"/>
        </w:rPr>
        <w:t xml:space="preserve"> et al. 2009 the only intervention was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Giuliano et al (2013) offered lifelong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for mothers with low CD4 count. In Alvarez-</w:t>
      </w:r>
      <w:proofErr w:type="spellStart"/>
      <w:r w:rsidRPr="001B5777">
        <w:rPr>
          <w:rFonts w:ascii="Arial Narrow" w:eastAsia="Times New Roman" w:hAnsi="Arial Narrow"/>
          <w:color w:val="000000"/>
          <w:sz w:val="18"/>
          <w:szCs w:val="18"/>
          <w:lang w:val="en"/>
        </w:rPr>
        <w:t>Uria</w:t>
      </w:r>
      <w:proofErr w:type="spellEnd"/>
      <w:r w:rsidRPr="001B5777">
        <w:rPr>
          <w:rFonts w:ascii="Arial Narrow" w:eastAsia="Times New Roman" w:hAnsi="Arial Narrow"/>
          <w:color w:val="000000"/>
          <w:sz w:val="18"/>
          <w:szCs w:val="18"/>
          <w:lang w:val="en"/>
        </w:rPr>
        <w:t xml:space="preserve"> et al. 2012 all women were on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but newborns were also given prophylaxis. In Thomas et al. 2011 all mothers were on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but all infants received a single dose of NVP within 72 hours. Studies also varied with regard to initiation of maternal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w:t>
      </w:r>
    </w:p>
    <w:p w:rsidR="00AD4F82"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Pr>
          <w:rFonts w:ascii="Arial Narrow" w:eastAsia="Times New Roman" w:hAnsi="Arial Narrow"/>
          <w:color w:val="000000"/>
          <w:sz w:val="18"/>
          <w:szCs w:val="18"/>
          <w:lang w:val="en"/>
        </w:rPr>
        <w:t xml:space="preserve">Studies include </w:t>
      </w:r>
      <w:proofErr w:type="spellStart"/>
      <w:r>
        <w:rPr>
          <w:rFonts w:ascii="Arial Narrow" w:eastAsia="Times New Roman" w:hAnsi="Arial Narrow"/>
          <w:color w:val="000000"/>
          <w:sz w:val="18"/>
          <w:szCs w:val="18"/>
          <w:lang w:val="en"/>
        </w:rPr>
        <w:t>were</w:t>
      </w:r>
      <w:proofErr w:type="spellEnd"/>
      <w:r>
        <w:rPr>
          <w:rFonts w:ascii="Arial Narrow" w:eastAsia="Times New Roman" w:hAnsi="Arial Narrow"/>
          <w:color w:val="000000"/>
          <w:sz w:val="18"/>
          <w:szCs w:val="18"/>
          <w:lang w:val="en"/>
        </w:rPr>
        <w:t xml:space="preserve">: </w:t>
      </w:r>
      <w:proofErr w:type="spellStart"/>
      <w:r>
        <w:rPr>
          <w:rFonts w:ascii="Arial Narrow" w:eastAsia="Times New Roman" w:hAnsi="Arial Narrow"/>
          <w:color w:val="000000"/>
          <w:sz w:val="18"/>
          <w:szCs w:val="18"/>
          <w:lang w:val="en"/>
        </w:rPr>
        <w:t>Coovadia</w:t>
      </w:r>
      <w:proofErr w:type="spellEnd"/>
      <w:r>
        <w:rPr>
          <w:rFonts w:ascii="Arial Narrow" w:eastAsia="Times New Roman" w:hAnsi="Arial Narrow"/>
          <w:color w:val="000000"/>
          <w:sz w:val="18"/>
          <w:szCs w:val="18"/>
          <w:lang w:val="en"/>
        </w:rPr>
        <w:t xml:space="preserve"> et al, 2012 and Jamieson et al, 2012. Both studies were cohorts </w:t>
      </w:r>
      <w:r w:rsidRPr="001B5777">
        <w:rPr>
          <w:rFonts w:ascii="Arial Narrow" w:eastAsia="Times New Roman" w:hAnsi="Arial Narrow"/>
          <w:color w:val="000000"/>
          <w:sz w:val="18"/>
          <w:szCs w:val="18"/>
          <w:lang w:val="en"/>
        </w:rPr>
        <w:t>embedded in a randomized control trial</w:t>
      </w:r>
      <w:r>
        <w:rPr>
          <w:rFonts w:ascii="Arial Narrow" w:eastAsia="Times New Roman" w:hAnsi="Arial Narrow"/>
          <w:color w:val="000000"/>
          <w:sz w:val="18"/>
          <w:szCs w:val="18"/>
          <w:lang w:val="en"/>
        </w:rPr>
        <w:t>.</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Risk of bias: We downgrade</w:t>
      </w:r>
      <w:r>
        <w:rPr>
          <w:rFonts w:ascii="Arial Narrow" w:eastAsia="Times New Roman" w:hAnsi="Arial Narrow"/>
          <w:color w:val="000000"/>
          <w:sz w:val="18"/>
          <w:szCs w:val="18"/>
          <w:lang w:val="en"/>
        </w:rPr>
        <w:t>d</w:t>
      </w:r>
      <w:r w:rsidRPr="001B5777">
        <w:rPr>
          <w:rFonts w:ascii="Arial Narrow" w:eastAsia="Times New Roman" w:hAnsi="Arial Narrow"/>
          <w:color w:val="000000"/>
          <w:sz w:val="18"/>
          <w:szCs w:val="18"/>
          <w:lang w:val="en"/>
        </w:rPr>
        <w:t xml:space="preserve"> once due to potential selection bias for lack of detail of feeding practices and adherence to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xml:space="preserve"> in Coovadia et al, 2012. Jamieson et al, 2012 did not provide rate of transmission. The studies also var</w:t>
      </w:r>
      <w:r>
        <w:rPr>
          <w:rFonts w:ascii="Arial Narrow" w:eastAsia="Times New Roman" w:hAnsi="Arial Narrow"/>
          <w:color w:val="000000"/>
          <w:sz w:val="18"/>
          <w:szCs w:val="18"/>
          <w:lang w:val="en"/>
        </w:rPr>
        <w:t>ied</w:t>
      </w:r>
      <w:r w:rsidRPr="001B5777">
        <w:rPr>
          <w:rFonts w:ascii="Arial Narrow" w:eastAsia="Times New Roman" w:hAnsi="Arial Narrow"/>
          <w:color w:val="000000"/>
          <w:sz w:val="18"/>
          <w:szCs w:val="18"/>
          <w:lang w:val="en"/>
        </w:rPr>
        <w:t xml:space="preserve"> in the </w:t>
      </w:r>
      <w:r>
        <w:rPr>
          <w:rFonts w:ascii="Arial Narrow" w:eastAsia="Times New Roman" w:hAnsi="Arial Narrow"/>
          <w:color w:val="000000"/>
          <w:sz w:val="18"/>
          <w:szCs w:val="18"/>
          <w:lang w:val="en"/>
        </w:rPr>
        <w:t xml:space="preserve">age in weeks as endpoint for </w:t>
      </w:r>
      <w:proofErr w:type="spellStart"/>
      <w:r w:rsidRPr="001B5777">
        <w:rPr>
          <w:rFonts w:ascii="Arial Narrow" w:eastAsia="Times New Roman" w:hAnsi="Arial Narrow"/>
          <w:color w:val="000000"/>
          <w:sz w:val="18"/>
          <w:szCs w:val="18"/>
          <w:lang w:val="en"/>
        </w:rPr>
        <w:t>peripartum</w:t>
      </w:r>
      <w:proofErr w:type="spellEnd"/>
      <w:r>
        <w:rPr>
          <w:rFonts w:ascii="Arial Narrow" w:eastAsia="Times New Roman" w:hAnsi="Arial Narrow"/>
          <w:color w:val="000000"/>
          <w:sz w:val="18"/>
          <w:szCs w:val="18"/>
          <w:lang w:val="en"/>
        </w:rPr>
        <w:t xml:space="preserve"> transmission</w:t>
      </w:r>
      <w:r w:rsidRPr="001B5777">
        <w:rPr>
          <w:rFonts w:ascii="Arial Narrow" w:eastAsia="Times New Roman" w:hAnsi="Arial Narrow"/>
          <w:color w:val="000000"/>
          <w:sz w:val="18"/>
          <w:szCs w:val="18"/>
          <w:lang w:val="en"/>
        </w:rPr>
        <w:t xml:space="preserve">, </w:t>
      </w:r>
      <w:proofErr w:type="spellStart"/>
      <w:r w:rsidRPr="001B5777">
        <w:rPr>
          <w:rFonts w:ascii="Arial Narrow" w:eastAsia="Times New Roman" w:hAnsi="Arial Narrow"/>
          <w:color w:val="000000"/>
          <w:sz w:val="18"/>
          <w:szCs w:val="18"/>
          <w:lang w:val="en"/>
        </w:rPr>
        <w:t>Coovadia</w:t>
      </w:r>
      <w:proofErr w:type="spellEnd"/>
      <w:r w:rsidRPr="001B5777">
        <w:rPr>
          <w:rFonts w:ascii="Arial Narrow" w:eastAsia="Times New Roman" w:hAnsi="Arial Narrow"/>
          <w:color w:val="000000"/>
          <w:sz w:val="18"/>
          <w:szCs w:val="18"/>
          <w:lang w:val="en"/>
        </w:rPr>
        <w:t xml:space="preserve"> et al, 2012 excluded </w:t>
      </w:r>
      <w:r>
        <w:rPr>
          <w:rFonts w:ascii="Arial Narrow" w:eastAsia="Times New Roman" w:hAnsi="Arial Narrow"/>
          <w:color w:val="000000"/>
          <w:sz w:val="18"/>
          <w:szCs w:val="18"/>
          <w:lang w:val="en"/>
        </w:rPr>
        <w:t xml:space="preserve">infants identified as infected at </w:t>
      </w:r>
      <w:r w:rsidRPr="001B5777">
        <w:rPr>
          <w:rFonts w:ascii="Arial Narrow" w:eastAsia="Times New Roman" w:hAnsi="Arial Narrow"/>
          <w:color w:val="000000"/>
          <w:sz w:val="18"/>
          <w:szCs w:val="18"/>
          <w:lang w:val="en"/>
        </w:rPr>
        <w:t xml:space="preserve">6 weeks and Jamieson et al, 2012 </w:t>
      </w:r>
      <w:r>
        <w:rPr>
          <w:rFonts w:ascii="Arial Narrow" w:eastAsia="Times New Roman" w:hAnsi="Arial Narrow"/>
          <w:color w:val="000000"/>
          <w:sz w:val="18"/>
          <w:szCs w:val="18"/>
          <w:lang w:val="en"/>
        </w:rPr>
        <w:t xml:space="preserve">at </w:t>
      </w:r>
      <w:r w:rsidRPr="001B5777">
        <w:rPr>
          <w:rFonts w:ascii="Arial Narrow" w:eastAsia="Times New Roman" w:hAnsi="Arial Narrow"/>
          <w:color w:val="000000"/>
          <w:sz w:val="18"/>
          <w:szCs w:val="18"/>
          <w:lang w:val="en"/>
        </w:rPr>
        <w:t xml:space="preserve">2 weeks. </w:t>
      </w:r>
    </w:p>
    <w:p w:rsidR="00AD4F82" w:rsidRPr="001B5777"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lastRenderedPageBreak/>
        <w:t>Inconsistency: We downgraded twice due to high heterogene</w:t>
      </w:r>
      <w:r>
        <w:rPr>
          <w:rFonts w:ascii="Arial Narrow" w:eastAsia="Times New Roman" w:hAnsi="Arial Narrow"/>
          <w:color w:val="000000"/>
          <w:sz w:val="18"/>
          <w:szCs w:val="18"/>
          <w:lang w:val="en"/>
        </w:rPr>
        <w:t>i</w:t>
      </w:r>
      <w:r w:rsidRPr="001B5777">
        <w:rPr>
          <w:rFonts w:ascii="Arial Narrow" w:eastAsia="Times New Roman" w:hAnsi="Arial Narrow"/>
          <w:color w:val="000000"/>
          <w:sz w:val="18"/>
          <w:szCs w:val="18"/>
          <w:lang w:val="en"/>
        </w:rPr>
        <w:t>ty in the pooled estimate (</w:t>
      </w:r>
      <w:r>
        <w:rPr>
          <w:rFonts w:ascii="Arial Narrow" w:eastAsia="Times New Roman" w:hAnsi="Arial Narrow"/>
          <w:color w:val="000000"/>
          <w:sz w:val="18"/>
          <w:szCs w:val="18"/>
          <w:lang w:val="en"/>
        </w:rPr>
        <w:t>I</w:t>
      </w:r>
      <w:r w:rsidRPr="0047008A">
        <w:rPr>
          <w:rFonts w:ascii="Arial Narrow" w:eastAsia="Times New Roman" w:hAnsi="Arial Narrow"/>
          <w:color w:val="000000"/>
          <w:sz w:val="18"/>
          <w:szCs w:val="18"/>
          <w:vertAlign w:val="superscript"/>
          <w:lang w:val="en"/>
        </w:rPr>
        <w:t>2</w:t>
      </w:r>
      <w:r w:rsidRPr="006A1D6D">
        <w:rPr>
          <w:rFonts w:ascii="Arial Narrow" w:eastAsia="Times New Roman" w:hAnsi="Arial Narrow"/>
          <w:color w:val="000000"/>
          <w:sz w:val="18"/>
          <w:szCs w:val="18"/>
          <w:lang w:val="en"/>
        </w:rPr>
        <w:t>=</w:t>
      </w:r>
      <w:r>
        <w:rPr>
          <w:rFonts w:ascii="Arial Narrow" w:eastAsia="Times New Roman" w:hAnsi="Arial Narrow"/>
          <w:color w:val="000000"/>
          <w:sz w:val="18"/>
          <w:szCs w:val="18"/>
          <w:lang w:val="en"/>
        </w:rPr>
        <w:t xml:space="preserve"> </w:t>
      </w:r>
      <w:r w:rsidRPr="001B5777">
        <w:rPr>
          <w:rFonts w:ascii="Arial Narrow" w:eastAsia="Times New Roman" w:hAnsi="Arial Narrow"/>
          <w:color w:val="000000"/>
          <w:sz w:val="18"/>
          <w:szCs w:val="18"/>
          <w:lang w:val="en"/>
        </w:rPr>
        <w:t xml:space="preserve">71.2%), </w:t>
      </w:r>
      <w:r>
        <w:rPr>
          <w:rFonts w:ascii="Arial Narrow" w:eastAsia="Times New Roman" w:hAnsi="Arial Narrow"/>
          <w:color w:val="000000"/>
          <w:sz w:val="18"/>
          <w:szCs w:val="18"/>
          <w:lang w:val="en"/>
        </w:rPr>
        <w:t xml:space="preserve">with rates </w:t>
      </w:r>
      <w:r w:rsidRPr="001B5777">
        <w:rPr>
          <w:rFonts w:ascii="Arial Narrow" w:eastAsia="Times New Roman" w:hAnsi="Arial Narrow"/>
          <w:color w:val="000000"/>
          <w:sz w:val="18"/>
          <w:szCs w:val="18"/>
          <w:lang w:val="en"/>
        </w:rPr>
        <w:t>varying from 1.70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(95% CI 0.30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to 4.10</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in Coovadia et al, 2012 and 4.0% (95%Ci 1.94</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xml:space="preserve"> to 4.29</w:t>
      </w:r>
      <w:r>
        <w:rPr>
          <w:rFonts w:ascii="Arial Narrow" w:eastAsia="Times New Roman" w:hAnsi="Arial Narrow"/>
          <w:color w:val="000000"/>
          <w:sz w:val="18"/>
          <w:szCs w:val="18"/>
          <w:lang w:val="en"/>
        </w:rPr>
        <w:t>%</w:t>
      </w:r>
      <w:r w:rsidRPr="001B5777">
        <w:rPr>
          <w:rFonts w:ascii="Arial Narrow" w:eastAsia="Times New Roman" w:hAnsi="Arial Narrow"/>
          <w:color w:val="000000"/>
          <w:sz w:val="18"/>
          <w:szCs w:val="18"/>
          <w:lang w:val="en"/>
        </w:rPr>
        <w:t>) in Jamieson et al, 2012..</w:t>
      </w:r>
    </w:p>
    <w:p w:rsidR="00AD4F82"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1B5777">
        <w:rPr>
          <w:rFonts w:ascii="Arial Narrow" w:eastAsia="Times New Roman" w:hAnsi="Arial Narrow"/>
          <w:color w:val="000000"/>
          <w:sz w:val="18"/>
          <w:szCs w:val="18"/>
          <w:lang w:val="en"/>
        </w:rPr>
        <w:t xml:space="preserve">Indirectness: We downgraded once because the studies’ research question was not in line with the PICO question and covered different types of co-interventions. . In Coovadia et al. 2012, infants were </w:t>
      </w:r>
      <w:proofErr w:type="spellStart"/>
      <w:r w:rsidRPr="001B5777">
        <w:rPr>
          <w:rFonts w:ascii="Arial Narrow" w:eastAsia="Times New Roman" w:hAnsi="Arial Narrow"/>
          <w:color w:val="000000"/>
          <w:sz w:val="18"/>
          <w:szCs w:val="18"/>
          <w:lang w:val="en"/>
        </w:rPr>
        <w:t>randomi</w:t>
      </w:r>
      <w:r>
        <w:rPr>
          <w:rFonts w:ascii="Arial Narrow" w:eastAsia="Times New Roman" w:hAnsi="Arial Narrow"/>
          <w:color w:val="000000"/>
          <w:sz w:val="18"/>
          <w:szCs w:val="18"/>
          <w:lang w:val="en"/>
        </w:rPr>
        <w:t>sed</w:t>
      </w:r>
      <w:proofErr w:type="spellEnd"/>
      <w:r>
        <w:rPr>
          <w:rFonts w:ascii="Arial Narrow" w:eastAsia="Times New Roman" w:hAnsi="Arial Narrow"/>
          <w:color w:val="000000"/>
          <w:sz w:val="18"/>
          <w:szCs w:val="18"/>
          <w:lang w:val="en"/>
        </w:rPr>
        <w:t xml:space="preserve"> to receive either extended </w:t>
      </w:r>
      <w:proofErr w:type="spellStart"/>
      <w:r>
        <w:rPr>
          <w:rFonts w:ascii="Arial Narrow" w:eastAsia="Times New Roman" w:hAnsi="Arial Narrow"/>
          <w:color w:val="000000"/>
          <w:sz w:val="18"/>
          <w:szCs w:val="18"/>
          <w:lang w:val="en"/>
        </w:rPr>
        <w:t>N</w:t>
      </w:r>
      <w:r w:rsidRPr="001B5777">
        <w:rPr>
          <w:rFonts w:ascii="Arial Narrow" w:eastAsia="Times New Roman" w:hAnsi="Arial Narrow"/>
          <w:color w:val="000000"/>
          <w:sz w:val="18"/>
          <w:szCs w:val="18"/>
          <w:lang w:val="en"/>
        </w:rPr>
        <w:t>evirapine</w:t>
      </w:r>
      <w:proofErr w:type="spellEnd"/>
      <w:r w:rsidRPr="001B5777">
        <w:rPr>
          <w:rFonts w:ascii="Arial Narrow" w:eastAsia="Times New Roman" w:hAnsi="Arial Narrow"/>
          <w:color w:val="000000"/>
          <w:sz w:val="18"/>
          <w:szCs w:val="18"/>
          <w:lang w:val="en"/>
        </w:rPr>
        <w:t xml:space="preserve"> prophylaxis or placebo until 6 months or until breastfeeding cessation. Jamieson et al, 2012 compared HIV</w:t>
      </w:r>
      <w:r>
        <w:rPr>
          <w:rFonts w:ascii="Arial Narrow" w:eastAsia="Times New Roman" w:hAnsi="Arial Narrow"/>
          <w:color w:val="000000"/>
          <w:sz w:val="18"/>
          <w:szCs w:val="18"/>
          <w:lang w:val="en"/>
        </w:rPr>
        <w:t>-free s</w:t>
      </w:r>
      <w:r w:rsidRPr="001B5777">
        <w:rPr>
          <w:rFonts w:ascii="Arial Narrow" w:eastAsia="Times New Roman" w:hAnsi="Arial Narrow"/>
          <w:color w:val="000000"/>
          <w:sz w:val="18"/>
          <w:szCs w:val="18"/>
          <w:lang w:val="en"/>
        </w:rPr>
        <w:t xml:space="preserve">urvival in children whose mothers were on </w:t>
      </w:r>
      <w:r>
        <w:rPr>
          <w:rFonts w:ascii="Arial Narrow" w:eastAsia="Times New Roman" w:hAnsi="Arial Narrow"/>
          <w:color w:val="000000"/>
          <w:sz w:val="18"/>
          <w:szCs w:val="18"/>
          <w:lang w:val="en"/>
        </w:rPr>
        <w:t>ART</w:t>
      </w:r>
      <w:r w:rsidRPr="001B5777">
        <w:rPr>
          <w:rFonts w:ascii="Arial Narrow" w:eastAsia="Times New Roman" w:hAnsi="Arial Narrow"/>
          <w:color w:val="000000"/>
          <w:sz w:val="18"/>
          <w:szCs w:val="18"/>
          <w:lang w:val="en"/>
        </w:rPr>
        <w:t>, infants on NVP and a control group and the three groups were further divided into those who were on a maternal nutrition supplement and those that were</w:t>
      </w:r>
      <w:r>
        <w:rPr>
          <w:rFonts w:ascii="Arial Narrow" w:eastAsia="Times New Roman" w:hAnsi="Arial Narrow"/>
          <w:color w:val="000000"/>
          <w:sz w:val="18"/>
          <w:szCs w:val="18"/>
          <w:lang w:val="en"/>
        </w:rPr>
        <w:t xml:space="preserve"> </w:t>
      </w:r>
      <w:r w:rsidRPr="001B5777">
        <w:rPr>
          <w:rFonts w:ascii="Arial Narrow" w:eastAsia="Times New Roman" w:hAnsi="Arial Narrow"/>
          <w:color w:val="000000"/>
          <w:sz w:val="18"/>
          <w:szCs w:val="18"/>
          <w:lang w:val="en"/>
        </w:rPr>
        <w:t>n</w:t>
      </w:r>
      <w:r>
        <w:rPr>
          <w:rFonts w:ascii="Arial Narrow" w:eastAsia="Times New Roman" w:hAnsi="Arial Narrow"/>
          <w:color w:val="000000"/>
          <w:sz w:val="18"/>
          <w:szCs w:val="18"/>
          <w:lang w:val="en"/>
        </w:rPr>
        <w:t>o</w:t>
      </w:r>
      <w:r w:rsidRPr="001B5777">
        <w:rPr>
          <w:rFonts w:ascii="Arial Narrow" w:eastAsia="Times New Roman" w:hAnsi="Arial Narrow"/>
          <w:color w:val="000000"/>
          <w:sz w:val="18"/>
          <w:szCs w:val="18"/>
          <w:lang w:val="en"/>
        </w:rPr>
        <w:t xml:space="preserve">t. </w:t>
      </w:r>
    </w:p>
    <w:p w:rsidR="00AD4F82"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Pr>
          <w:rFonts w:ascii="Arial Narrow" w:eastAsia="Times New Roman" w:hAnsi="Arial Narrow"/>
          <w:color w:val="000000"/>
          <w:sz w:val="18"/>
          <w:szCs w:val="18"/>
          <w:lang w:val="en"/>
        </w:rPr>
        <w:t xml:space="preserve">Single study included: </w:t>
      </w:r>
      <w:proofErr w:type="spellStart"/>
      <w:r>
        <w:rPr>
          <w:rFonts w:ascii="Arial Narrow" w:eastAsia="Times New Roman" w:hAnsi="Arial Narrow"/>
          <w:color w:val="000000"/>
          <w:sz w:val="18"/>
          <w:szCs w:val="18"/>
          <w:lang w:val="en"/>
        </w:rPr>
        <w:t>Ngoma</w:t>
      </w:r>
      <w:proofErr w:type="spellEnd"/>
      <w:r>
        <w:rPr>
          <w:rFonts w:ascii="Arial Narrow" w:eastAsia="Times New Roman" w:hAnsi="Arial Narrow"/>
          <w:color w:val="000000"/>
          <w:sz w:val="18"/>
          <w:szCs w:val="18"/>
          <w:lang w:val="en"/>
        </w:rPr>
        <w:t xml:space="preserve"> et al, 2015.</w:t>
      </w:r>
    </w:p>
    <w:p w:rsidR="00AD4F82"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Pr>
          <w:rFonts w:ascii="Arial Narrow" w:eastAsia="Times New Roman" w:hAnsi="Arial Narrow"/>
          <w:color w:val="000000"/>
          <w:sz w:val="18"/>
          <w:szCs w:val="18"/>
          <w:lang w:val="en"/>
        </w:rPr>
        <w:t>Risk of bias: The study was not downgraded because the study had high adherence to ART, all mothers were receiving lifelong ART, and feeding was well-evaluated.</w:t>
      </w:r>
    </w:p>
    <w:p w:rsidR="00AD4F82" w:rsidRPr="005306D2" w:rsidRDefault="00AD4F82" w:rsidP="00AD4F82">
      <w:pPr>
        <w:numPr>
          <w:ilvl w:val="0"/>
          <w:numId w:val="1"/>
        </w:numPr>
        <w:spacing w:before="100" w:beforeAutospacing="1" w:after="100" w:afterAutospacing="1" w:line="480" w:lineRule="auto"/>
        <w:rPr>
          <w:rFonts w:ascii="Arial Narrow" w:eastAsia="Times New Roman" w:hAnsi="Arial Narrow"/>
          <w:color w:val="000000"/>
          <w:sz w:val="18"/>
          <w:szCs w:val="18"/>
          <w:lang w:val="en"/>
        </w:rPr>
      </w:pPr>
      <w:r w:rsidRPr="005306D2">
        <w:rPr>
          <w:rFonts w:ascii="Arial Narrow" w:eastAsia="Times New Roman" w:hAnsi="Arial Narrow"/>
          <w:color w:val="000000"/>
          <w:sz w:val="18"/>
          <w:szCs w:val="18"/>
          <w:lang w:val="en"/>
        </w:rPr>
        <w:t>Indirectness: We downgraded once as the study</w:t>
      </w:r>
      <w:r>
        <w:rPr>
          <w:rFonts w:ascii="Arial Narrow" w:eastAsia="Times New Roman" w:hAnsi="Arial Narrow"/>
          <w:color w:val="000000"/>
          <w:sz w:val="18"/>
          <w:szCs w:val="18"/>
          <w:lang w:val="en"/>
        </w:rPr>
        <w:t>’s</w:t>
      </w:r>
      <w:r w:rsidRPr="005306D2">
        <w:rPr>
          <w:rFonts w:ascii="Arial Narrow" w:eastAsia="Times New Roman" w:hAnsi="Arial Narrow"/>
          <w:color w:val="000000"/>
          <w:sz w:val="18"/>
          <w:szCs w:val="18"/>
          <w:lang w:val="en"/>
        </w:rPr>
        <w:t xml:space="preserve"> </w:t>
      </w:r>
      <w:r>
        <w:rPr>
          <w:rFonts w:ascii="Arial Narrow" w:eastAsia="Times New Roman" w:hAnsi="Arial Narrow"/>
          <w:color w:val="000000"/>
          <w:sz w:val="18"/>
          <w:szCs w:val="18"/>
          <w:lang w:val="en"/>
        </w:rPr>
        <w:t xml:space="preserve">research </w:t>
      </w:r>
      <w:r w:rsidRPr="005306D2">
        <w:rPr>
          <w:rFonts w:ascii="Arial Narrow" w:eastAsia="Times New Roman" w:hAnsi="Arial Narrow"/>
          <w:color w:val="000000"/>
          <w:sz w:val="18"/>
          <w:szCs w:val="18"/>
          <w:lang w:val="en"/>
        </w:rPr>
        <w:t>questions were not in line with the PICO question, and although all mo</w:t>
      </w:r>
      <w:r>
        <w:rPr>
          <w:rFonts w:ascii="Arial Narrow" w:eastAsia="Times New Roman" w:hAnsi="Arial Narrow"/>
          <w:color w:val="000000"/>
          <w:sz w:val="18"/>
          <w:szCs w:val="18"/>
          <w:lang w:val="en"/>
        </w:rPr>
        <w:t>thers were on lifelong ART, and ascertainment of ART and breastfeeding were adequate, outcome was not stratified by feeding, and the number of infants who were mixed fed was not provided.</w:t>
      </w: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D347FA" w:rsidRDefault="00D347FA" w:rsidP="003B09C7">
      <w:pPr>
        <w:spacing w:after="0" w:line="240" w:lineRule="auto"/>
        <w:ind w:left="360"/>
        <w:rPr>
          <w:rFonts w:asciiTheme="majorBidi" w:hAnsiTheme="majorBidi" w:cstheme="majorBidi"/>
          <w:sz w:val="16"/>
          <w:szCs w:val="16"/>
        </w:rPr>
      </w:pPr>
    </w:p>
    <w:p w:rsidR="00235D57" w:rsidRDefault="00235D57" w:rsidP="003B09C7">
      <w:pPr>
        <w:spacing w:after="0" w:line="240" w:lineRule="auto"/>
        <w:ind w:left="360"/>
        <w:rPr>
          <w:rFonts w:asciiTheme="majorBidi" w:hAnsiTheme="majorBidi" w:cstheme="majorBidi"/>
          <w:sz w:val="24"/>
          <w:szCs w:val="24"/>
        </w:rPr>
      </w:pPr>
      <w:r>
        <w:rPr>
          <w:rFonts w:asciiTheme="majorBidi" w:hAnsiTheme="majorBidi" w:cstheme="majorBidi"/>
          <w:sz w:val="24"/>
          <w:szCs w:val="24"/>
        </w:rPr>
        <w:br w:type="page"/>
      </w:r>
    </w:p>
    <w:p w:rsidR="00235D57" w:rsidRDefault="00235D57" w:rsidP="00235D57">
      <w:pPr>
        <w:tabs>
          <w:tab w:val="left" w:pos="1425"/>
        </w:tabs>
        <w:rPr>
          <w:rFonts w:asciiTheme="majorBidi" w:hAnsiTheme="majorBidi" w:cstheme="majorBidi"/>
          <w:b/>
          <w:bCs/>
        </w:rPr>
        <w:sectPr w:rsidR="00235D57" w:rsidSect="005737F7">
          <w:pgSz w:w="16838" w:h="11906" w:orient="landscape"/>
          <w:pgMar w:top="1440" w:right="1440" w:bottom="1440" w:left="1440" w:header="709" w:footer="709" w:gutter="0"/>
          <w:cols w:space="708"/>
          <w:docGrid w:linePitch="360"/>
        </w:sectPr>
      </w:pPr>
    </w:p>
    <w:p w:rsidR="00235D57" w:rsidRPr="003B09C7" w:rsidRDefault="00E072D4" w:rsidP="00A035D1">
      <w:pPr>
        <w:spacing w:after="0" w:line="240" w:lineRule="auto"/>
        <w:jc w:val="both"/>
        <w:rPr>
          <w:rFonts w:asciiTheme="majorBidi" w:hAnsiTheme="majorBidi" w:cstheme="majorBidi"/>
          <w:b/>
          <w:bCs/>
          <w:sz w:val="20"/>
          <w:szCs w:val="20"/>
        </w:rPr>
      </w:pPr>
      <w:proofErr w:type="gramStart"/>
      <w:r>
        <w:rPr>
          <w:rFonts w:asciiTheme="majorBidi" w:hAnsiTheme="majorBidi" w:cstheme="majorBidi"/>
          <w:b/>
          <w:bCs/>
          <w:sz w:val="20"/>
          <w:szCs w:val="20"/>
        </w:rPr>
        <w:lastRenderedPageBreak/>
        <w:t>Supplementary Table 4</w:t>
      </w:r>
      <w:r w:rsidR="00235D57" w:rsidRPr="003B09C7">
        <w:rPr>
          <w:rFonts w:asciiTheme="majorBidi" w:hAnsiTheme="majorBidi" w:cstheme="majorBidi"/>
          <w:b/>
          <w:bCs/>
          <w:sz w:val="20"/>
          <w:szCs w:val="20"/>
        </w:rPr>
        <w:t>.</w:t>
      </w:r>
      <w:proofErr w:type="gramEnd"/>
      <w:r w:rsidR="00235D57" w:rsidRPr="003B09C7">
        <w:rPr>
          <w:rFonts w:asciiTheme="majorBidi" w:hAnsiTheme="majorBidi" w:cstheme="majorBidi"/>
          <w:b/>
          <w:bCs/>
          <w:sz w:val="20"/>
          <w:szCs w:val="20"/>
        </w:rPr>
        <w:t xml:space="preserve"> Modified Newcastle-Ottawa for assessment of HIV transmission in breastfed infants whose mothers were on ART</w:t>
      </w:r>
    </w:p>
    <w:p w:rsidR="00235D57" w:rsidRPr="00DE57F1" w:rsidRDefault="00235D57" w:rsidP="00235D57">
      <w:pPr>
        <w:spacing w:after="0" w:line="240" w:lineRule="auto"/>
        <w:jc w:val="both"/>
        <w:rPr>
          <w:rFonts w:asciiTheme="majorBidi" w:hAnsiTheme="majorBidi" w:cstheme="majorBidi"/>
          <w:sz w:val="24"/>
          <w:szCs w:val="24"/>
        </w:rPr>
      </w:pPr>
    </w:p>
    <w:tbl>
      <w:tblPr>
        <w:tblW w:w="7479" w:type="dxa"/>
        <w:jc w:val="center"/>
        <w:tblLook w:val="04A0" w:firstRow="1" w:lastRow="0" w:firstColumn="1" w:lastColumn="0" w:noHBand="0" w:noVBand="1"/>
      </w:tblPr>
      <w:tblGrid>
        <w:gridCol w:w="2127"/>
        <w:gridCol w:w="3084"/>
        <w:gridCol w:w="1104"/>
        <w:gridCol w:w="1164"/>
      </w:tblGrid>
      <w:tr w:rsidR="00235D57" w:rsidRPr="00D3377F" w:rsidTr="00982B6B">
        <w:trPr>
          <w:trHeight w:val="300"/>
          <w:jc w:val="center"/>
        </w:trPr>
        <w:tc>
          <w:tcPr>
            <w:tcW w:w="2127" w:type="dxa"/>
            <w:tcBorders>
              <w:top w:val="single" w:sz="4" w:space="0" w:color="auto"/>
              <w:left w:val="nil"/>
              <w:bottom w:val="single" w:sz="4" w:space="0" w:color="auto"/>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b/>
                <w:bCs/>
                <w:color w:val="000000"/>
                <w:sz w:val="16"/>
                <w:szCs w:val="16"/>
              </w:rPr>
            </w:pPr>
            <w:r w:rsidRPr="003B09C7">
              <w:rPr>
                <w:rFonts w:ascii="Times New Roman" w:eastAsia="Times New Roman" w:hAnsi="Times New Roman" w:cs="Times New Roman"/>
                <w:b/>
                <w:bCs/>
                <w:color w:val="000000"/>
                <w:sz w:val="16"/>
                <w:szCs w:val="16"/>
              </w:rPr>
              <w:t>Author</w:t>
            </w:r>
          </w:p>
        </w:tc>
        <w:tc>
          <w:tcPr>
            <w:tcW w:w="3084" w:type="dxa"/>
            <w:tcBorders>
              <w:top w:val="single" w:sz="4" w:space="0" w:color="auto"/>
              <w:left w:val="nil"/>
              <w:bottom w:val="single" w:sz="4" w:space="0" w:color="auto"/>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b/>
                <w:bCs/>
                <w:color w:val="000000"/>
                <w:sz w:val="16"/>
                <w:szCs w:val="16"/>
              </w:rPr>
            </w:pPr>
            <w:r w:rsidRPr="003B09C7">
              <w:rPr>
                <w:rFonts w:ascii="Times New Roman" w:eastAsia="Times New Roman" w:hAnsi="Times New Roman" w:cs="Times New Roman"/>
                <w:b/>
                <w:bCs/>
                <w:color w:val="000000"/>
                <w:sz w:val="16"/>
                <w:szCs w:val="16"/>
              </w:rPr>
              <w:t>Country</w:t>
            </w:r>
          </w:p>
        </w:tc>
        <w:tc>
          <w:tcPr>
            <w:tcW w:w="1104" w:type="dxa"/>
            <w:tcBorders>
              <w:top w:val="single" w:sz="4" w:space="0" w:color="auto"/>
              <w:left w:val="nil"/>
              <w:bottom w:val="single" w:sz="4" w:space="0" w:color="auto"/>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b/>
                <w:bCs/>
                <w:color w:val="000000"/>
                <w:sz w:val="16"/>
                <w:szCs w:val="16"/>
              </w:rPr>
            </w:pPr>
            <w:r w:rsidRPr="003B09C7">
              <w:rPr>
                <w:rFonts w:ascii="Times New Roman" w:eastAsia="Times New Roman" w:hAnsi="Times New Roman" w:cs="Times New Roman"/>
                <w:b/>
                <w:bCs/>
                <w:color w:val="000000"/>
                <w:sz w:val="16"/>
                <w:szCs w:val="16"/>
              </w:rPr>
              <w:t>Selection</w:t>
            </w:r>
          </w:p>
        </w:tc>
        <w:tc>
          <w:tcPr>
            <w:tcW w:w="1164" w:type="dxa"/>
            <w:tcBorders>
              <w:top w:val="single" w:sz="4" w:space="0" w:color="auto"/>
              <w:left w:val="nil"/>
              <w:bottom w:val="single" w:sz="4" w:space="0" w:color="auto"/>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b/>
                <w:bCs/>
                <w:color w:val="000000"/>
                <w:sz w:val="16"/>
                <w:szCs w:val="16"/>
              </w:rPr>
            </w:pPr>
            <w:r w:rsidRPr="003B09C7">
              <w:rPr>
                <w:rFonts w:ascii="Times New Roman" w:eastAsia="Times New Roman" w:hAnsi="Times New Roman" w:cs="Times New Roman"/>
                <w:b/>
                <w:bCs/>
                <w:color w:val="000000"/>
                <w:sz w:val="16"/>
                <w:szCs w:val="16"/>
              </w:rPr>
              <w:t>Outcome</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proofErr w:type="spellStart"/>
            <w:r w:rsidRPr="003B09C7">
              <w:rPr>
                <w:rFonts w:ascii="Times New Roman" w:eastAsia="Times New Roman" w:hAnsi="Times New Roman" w:cs="Times New Roman"/>
                <w:color w:val="000000"/>
                <w:sz w:val="16"/>
                <w:szCs w:val="16"/>
              </w:rPr>
              <w:t>Ngoma</w:t>
            </w:r>
            <w:proofErr w:type="spellEnd"/>
            <w:r w:rsidRPr="003B09C7">
              <w:rPr>
                <w:rFonts w:ascii="Times New Roman" w:eastAsia="Times New Roman" w:hAnsi="Times New Roman" w:cs="Times New Roman"/>
                <w:color w:val="000000"/>
                <w:sz w:val="16"/>
                <w:szCs w:val="16"/>
              </w:rPr>
              <w:t xml:space="preserve"> et al, 2015</w:t>
            </w:r>
          </w:p>
        </w:tc>
        <w:tc>
          <w:tcPr>
            <w:tcW w:w="308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Zambia</w:t>
            </w:r>
          </w:p>
        </w:tc>
        <w:tc>
          <w:tcPr>
            <w:tcW w:w="110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proofErr w:type="spellStart"/>
            <w:r w:rsidRPr="003B09C7">
              <w:rPr>
                <w:rFonts w:ascii="Times New Roman" w:eastAsia="Times New Roman" w:hAnsi="Times New Roman" w:cs="Times New Roman"/>
                <w:color w:val="000000"/>
                <w:sz w:val="16"/>
                <w:szCs w:val="16"/>
              </w:rPr>
              <w:t>Sagay</w:t>
            </w:r>
            <w:proofErr w:type="spellEnd"/>
            <w:r w:rsidRPr="003B09C7">
              <w:rPr>
                <w:rFonts w:ascii="Times New Roman" w:eastAsia="Times New Roman" w:hAnsi="Times New Roman" w:cs="Times New Roman"/>
                <w:color w:val="000000"/>
                <w:sz w:val="16"/>
                <w:szCs w:val="16"/>
              </w:rPr>
              <w:t xml:space="preserve"> et al, 2015</w:t>
            </w:r>
          </w:p>
        </w:tc>
        <w:tc>
          <w:tcPr>
            <w:tcW w:w="308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Nigeria</w:t>
            </w:r>
          </w:p>
        </w:tc>
        <w:tc>
          <w:tcPr>
            <w:tcW w:w="110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proofErr w:type="spellStart"/>
            <w:r w:rsidRPr="003B09C7">
              <w:rPr>
                <w:rFonts w:ascii="Times New Roman" w:eastAsia="Times New Roman" w:hAnsi="Times New Roman" w:cs="Times New Roman"/>
                <w:color w:val="000000"/>
                <w:sz w:val="16"/>
                <w:szCs w:val="16"/>
              </w:rPr>
              <w:t>Thakwalakwa</w:t>
            </w:r>
            <w:proofErr w:type="spellEnd"/>
            <w:r w:rsidRPr="003B09C7">
              <w:rPr>
                <w:rFonts w:ascii="Times New Roman" w:eastAsia="Times New Roman" w:hAnsi="Times New Roman" w:cs="Times New Roman"/>
                <w:color w:val="000000"/>
                <w:sz w:val="16"/>
                <w:szCs w:val="16"/>
              </w:rPr>
              <w:t xml:space="preserve"> et al, 2014</w:t>
            </w:r>
          </w:p>
        </w:tc>
        <w:tc>
          <w:tcPr>
            <w:tcW w:w="308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Malawi</w:t>
            </w:r>
          </w:p>
        </w:tc>
        <w:tc>
          <w:tcPr>
            <w:tcW w:w="110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Giuliano et al, 2013</w:t>
            </w:r>
          </w:p>
        </w:tc>
        <w:tc>
          <w:tcPr>
            <w:tcW w:w="308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Malawi</w:t>
            </w:r>
          </w:p>
        </w:tc>
        <w:tc>
          <w:tcPr>
            <w:tcW w:w="110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Coovadia et al, 2012</w:t>
            </w:r>
          </w:p>
        </w:tc>
        <w:tc>
          <w:tcPr>
            <w:tcW w:w="308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South Africa, Tanzania, Uganda and Zimbabwe</w:t>
            </w:r>
          </w:p>
        </w:tc>
        <w:tc>
          <w:tcPr>
            <w:tcW w:w="110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Jamieson et al, 2012</w:t>
            </w:r>
          </w:p>
        </w:tc>
        <w:tc>
          <w:tcPr>
            <w:tcW w:w="308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Malawi</w:t>
            </w:r>
          </w:p>
        </w:tc>
        <w:tc>
          <w:tcPr>
            <w:tcW w:w="110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Alvarez-</w:t>
            </w:r>
            <w:proofErr w:type="spellStart"/>
            <w:r w:rsidRPr="003B09C7">
              <w:rPr>
                <w:rFonts w:ascii="Times New Roman" w:eastAsia="Times New Roman" w:hAnsi="Times New Roman" w:cs="Times New Roman"/>
                <w:color w:val="000000"/>
                <w:sz w:val="16"/>
                <w:szCs w:val="16"/>
              </w:rPr>
              <w:t>Uria</w:t>
            </w:r>
            <w:proofErr w:type="spellEnd"/>
            <w:r w:rsidRPr="003B09C7">
              <w:rPr>
                <w:rFonts w:ascii="Times New Roman" w:eastAsia="Times New Roman" w:hAnsi="Times New Roman" w:cs="Times New Roman"/>
                <w:color w:val="000000"/>
                <w:sz w:val="16"/>
                <w:szCs w:val="16"/>
              </w:rPr>
              <w:t xml:space="preserve"> et al, 2012 </w:t>
            </w:r>
          </w:p>
        </w:tc>
        <w:tc>
          <w:tcPr>
            <w:tcW w:w="308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India</w:t>
            </w:r>
          </w:p>
        </w:tc>
        <w:tc>
          <w:tcPr>
            <w:tcW w:w="110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Thomas et al, 2011</w:t>
            </w:r>
          </w:p>
        </w:tc>
        <w:tc>
          <w:tcPr>
            <w:tcW w:w="308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Kenya</w:t>
            </w:r>
          </w:p>
        </w:tc>
        <w:tc>
          <w:tcPr>
            <w:tcW w:w="110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 xml:space="preserve"> </w:t>
            </w:r>
            <w:proofErr w:type="spellStart"/>
            <w:r w:rsidRPr="003B09C7">
              <w:rPr>
                <w:rFonts w:ascii="Times New Roman" w:eastAsia="Times New Roman" w:hAnsi="Times New Roman" w:cs="Times New Roman"/>
                <w:color w:val="000000"/>
                <w:sz w:val="16"/>
                <w:szCs w:val="16"/>
              </w:rPr>
              <w:t>Marazzi</w:t>
            </w:r>
            <w:proofErr w:type="spellEnd"/>
            <w:r w:rsidRPr="003B09C7">
              <w:rPr>
                <w:rFonts w:ascii="Times New Roman" w:eastAsia="Times New Roman" w:hAnsi="Times New Roman" w:cs="Times New Roman"/>
                <w:color w:val="000000"/>
                <w:sz w:val="16"/>
                <w:szCs w:val="16"/>
              </w:rPr>
              <w:t xml:space="preserve"> et al, 2009</w:t>
            </w:r>
          </w:p>
        </w:tc>
        <w:tc>
          <w:tcPr>
            <w:tcW w:w="3084" w:type="dxa"/>
            <w:tcBorders>
              <w:top w:val="nil"/>
              <w:left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Mozambique</w:t>
            </w:r>
          </w:p>
        </w:tc>
        <w:tc>
          <w:tcPr>
            <w:tcW w:w="1104" w:type="dxa"/>
            <w:tcBorders>
              <w:top w:val="nil"/>
              <w:left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 xml:space="preserve"> </w:t>
            </w:r>
            <w:proofErr w:type="spellStart"/>
            <w:r w:rsidRPr="003B09C7">
              <w:rPr>
                <w:rFonts w:ascii="Times New Roman" w:eastAsia="Times New Roman" w:hAnsi="Times New Roman" w:cs="Times New Roman"/>
                <w:color w:val="000000"/>
                <w:sz w:val="16"/>
                <w:szCs w:val="16"/>
              </w:rPr>
              <w:t>Kilewo</w:t>
            </w:r>
            <w:proofErr w:type="spellEnd"/>
            <w:r w:rsidRPr="003B09C7">
              <w:rPr>
                <w:rFonts w:ascii="Times New Roman" w:eastAsia="Times New Roman" w:hAnsi="Times New Roman" w:cs="Times New Roman"/>
                <w:color w:val="000000"/>
                <w:sz w:val="16"/>
                <w:szCs w:val="16"/>
              </w:rPr>
              <w:t xml:space="preserve"> et al, 2009</w:t>
            </w:r>
          </w:p>
        </w:tc>
        <w:tc>
          <w:tcPr>
            <w:tcW w:w="308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Tanzania</w:t>
            </w:r>
          </w:p>
        </w:tc>
        <w:tc>
          <w:tcPr>
            <w:tcW w:w="110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nil"/>
              <w:right w:val="nil"/>
            </w:tcBorders>
            <w:shd w:val="clear" w:color="auto" w:fill="auto"/>
            <w:vAlign w:val="center"/>
            <w:hideMark/>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r w:rsidR="00235D57" w:rsidRPr="00D3377F" w:rsidTr="00982B6B">
        <w:trPr>
          <w:trHeight w:val="284"/>
          <w:jc w:val="center"/>
        </w:trPr>
        <w:tc>
          <w:tcPr>
            <w:tcW w:w="2127" w:type="dxa"/>
            <w:tcBorders>
              <w:top w:val="nil"/>
              <w:left w:val="nil"/>
              <w:bottom w:val="single" w:sz="4" w:space="0" w:color="auto"/>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 xml:space="preserve"> Peltier et al, 2009</w:t>
            </w:r>
          </w:p>
        </w:tc>
        <w:tc>
          <w:tcPr>
            <w:tcW w:w="3084" w:type="dxa"/>
            <w:tcBorders>
              <w:top w:val="nil"/>
              <w:left w:val="nil"/>
              <w:bottom w:val="single" w:sz="4" w:space="0" w:color="auto"/>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Rwanda</w:t>
            </w:r>
          </w:p>
        </w:tc>
        <w:tc>
          <w:tcPr>
            <w:tcW w:w="1104" w:type="dxa"/>
            <w:tcBorders>
              <w:top w:val="nil"/>
              <w:left w:val="nil"/>
              <w:bottom w:val="single" w:sz="4" w:space="0" w:color="auto"/>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c>
          <w:tcPr>
            <w:tcW w:w="1164" w:type="dxa"/>
            <w:tcBorders>
              <w:top w:val="nil"/>
              <w:left w:val="nil"/>
              <w:bottom w:val="single" w:sz="4" w:space="0" w:color="auto"/>
              <w:right w:val="nil"/>
            </w:tcBorders>
            <w:shd w:val="clear" w:color="auto" w:fill="auto"/>
            <w:vAlign w:val="center"/>
          </w:tcPr>
          <w:p w:rsidR="00235D57" w:rsidRPr="003B09C7" w:rsidRDefault="00235D57" w:rsidP="00982B6B">
            <w:pPr>
              <w:spacing w:after="0" w:line="240" w:lineRule="auto"/>
              <w:rPr>
                <w:rFonts w:ascii="Times New Roman" w:eastAsia="Times New Roman" w:hAnsi="Times New Roman" w:cs="Times New Roman"/>
                <w:color w:val="000000"/>
                <w:sz w:val="16"/>
                <w:szCs w:val="16"/>
              </w:rPr>
            </w:pPr>
            <w:r w:rsidRPr="003B09C7">
              <w:rPr>
                <w:rFonts w:ascii="Times New Roman" w:eastAsia="Times New Roman" w:hAnsi="Times New Roman" w:cs="Times New Roman"/>
                <w:color w:val="000000"/>
                <w:sz w:val="16"/>
                <w:szCs w:val="16"/>
              </w:rPr>
              <w:t>***</w:t>
            </w:r>
          </w:p>
        </w:tc>
      </w:tr>
    </w:tbl>
    <w:p w:rsidR="00235D57" w:rsidRDefault="00235D57" w:rsidP="00235D57">
      <w:pPr>
        <w:spacing w:after="0" w:line="360" w:lineRule="auto"/>
        <w:jc w:val="both"/>
        <w:rPr>
          <w:rFonts w:asciiTheme="majorBidi" w:hAnsiTheme="majorBidi" w:cstheme="majorBidi"/>
          <w:sz w:val="24"/>
          <w:szCs w:val="24"/>
        </w:rPr>
      </w:pPr>
    </w:p>
    <w:p w:rsidR="00235D57" w:rsidRDefault="00235D57" w:rsidP="00235D57">
      <w:pPr>
        <w:rPr>
          <w:rFonts w:asciiTheme="majorBidi" w:hAnsiTheme="majorBidi" w:cstheme="majorBidi"/>
          <w:sz w:val="24"/>
          <w:szCs w:val="24"/>
        </w:rPr>
      </w:pPr>
    </w:p>
    <w:p w:rsidR="009F0AD1" w:rsidRDefault="009F0AD1"/>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 w:rsidR="00E65A2A" w:rsidRDefault="00E65A2A">
      <w:pPr>
        <w:rPr>
          <w:rFonts w:ascii="Arial" w:hAnsi="Arial" w:cs="Arial"/>
          <w:color w:val="000000"/>
          <w:sz w:val="20"/>
          <w:szCs w:val="20"/>
          <w:shd w:val="clear" w:color="auto" w:fill="FFFFFF"/>
        </w:rPr>
      </w:pPr>
    </w:p>
    <w:p w:rsidR="00E65A2A" w:rsidRDefault="00E65A2A">
      <w:pPr>
        <w:rPr>
          <w:rFonts w:ascii="Arial" w:hAnsi="Arial" w:cs="Arial"/>
          <w:color w:val="000000"/>
          <w:sz w:val="20"/>
          <w:szCs w:val="20"/>
          <w:shd w:val="clear" w:color="auto" w:fill="FFFFFF"/>
        </w:rPr>
      </w:pPr>
    </w:p>
    <w:sectPr w:rsidR="00E65A2A" w:rsidSect="005737F7">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RADE-quality">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E3162"/>
    <w:multiLevelType w:val="multilevel"/>
    <w:tmpl w:val="B0A8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57"/>
    <w:rsid w:val="000445DC"/>
    <w:rsid w:val="000B757A"/>
    <w:rsid w:val="0017154F"/>
    <w:rsid w:val="00235D57"/>
    <w:rsid w:val="00291082"/>
    <w:rsid w:val="003670BF"/>
    <w:rsid w:val="003B09C7"/>
    <w:rsid w:val="004029BD"/>
    <w:rsid w:val="004A6E15"/>
    <w:rsid w:val="004B39AE"/>
    <w:rsid w:val="005737F7"/>
    <w:rsid w:val="006B4C23"/>
    <w:rsid w:val="00982B6B"/>
    <w:rsid w:val="00992B7A"/>
    <w:rsid w:val="009F0AD1"/>
    <w:rsid w:val="009F4969"/>
    <w:rsid w:val="00A035D1"/>
    <w:rsid w:val="00A97282"/>
    <w:rsid w:val="00AD4F82"/>
    <w:rsid w:val="00D13118"/>
    <w:rsid w:val="00D347FA"/>
    <w:rsid w:val="00D96C75"/>
    <w:rsid w:val="00E072D4"/>
    <w:rsid w:val="00E65A2A"/>
    <w:rsid w:val="00EE3A8E"/>
    <w:rsid w:val="00F332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5D57"/>
    <w:pPr>
      <w:spacing w:line="240" w:lineRule="auto"/>
    </w:pPr>
    <w:rPr>
      <w:b/>
      <w:bCs/>
      <w:color w:val="4F81BD" w:themeColor="accent1"/>
      <w:sz w:val="18"/>
      <w:szCs w:val="18"/>
    </w:rPr>
  </w:style>
  <w:style w:type="character" w:customStyle="1" w:styleId="apple-converted-space">
    <w:name w:val="apple-converted-space"/>
    <w:basedOn w:val="DefaultParagraphFont"/>
    <w:rsid w:val="00E65A2A"/>
  </w:style>
  <w:style w:type="character" w:styleId="Hyperlink">
    <w:name w:val="Hyperlink"/>
    <w:basedOn w:val="DefaultParagraphFont"/>
    <w:uiPriority w:val="99"/>
    <w:semiHidden/>
    <w:unhideWhenUsed/>
    <w:rsid w:val="00E65A2A"/>
    <w:rPr>
      <w:color w:val="0000FF"/>
      <w:u w:val="single"/>
    </w:rPr>
  </w:style>
  <w:style w:type="paragraph" w:styleId="BalloonText">
    <w:name w:val="Balloon Text"/>
    <w:basedOn w:val="Normal"/>
    <w:link w:val="BalloonTextChar"/>
    <w:uiPriority w:val="99"/>
    <w:semiHidden/>
    <w:unhideWhenUsed/>
    <w:rsid w:val="00F33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257"/>
    <w:rPr>
      <w:rFonts w:ascii="Tahoma" w:hAnsi="Tahoma" w:cs="Tahoma"/>
      <w:sz w:val="16"/>
      <w:szCs w:val="16"/>
    </w:rPr>
  </w:style>
  <w:style w:type="character" w:customStyle="1" w:styleId="underline1">
    <w:name w:val="underline1"/>
    <w:basedOn w:val="DefaultParagraphFont"/>
    <w:rsid w:val="00AD4F82"/>
    <w:rPr>
      <w:u w:val="single"/>
    </w:rPr>
  </w:style>
  <w:style w:type="character" w:customStyle="1" w:styleId="label">
    <w:name w:val="label"/>
    <w:basedOn w:val="DefaultParagraphFont"/>
    <w:rsid w:val="00AD4F82"/>
  </w:style>
  <w:style w:type="character" w:customStyle="1" w:styleId="cell">
    <w:name w:val="cell"/>
    <w:basedOn w:val="DefaultParagraphFont"/>
    <w:rsid w:val="00AD4F82"/>
  </w:style>
  <w:style w:type="character" w:customStyle="1" w:styleId="cell-value">
    <w:name w:val="cell-value"/>
    <w:basedOn w:val="DefaultParagraphFont"/>
    <w:rsid w:val="00AD4F82"/>
  </w:style>
  <w:style w:type="character" w:customStyle="1" w:styleId="quality-sign1">
    <w:name w:val="quality-sign1"/>
    <w:basedOn w:val="DefaultParagraphFont"/>
    <w:rsid w:val="00AD4F82"/>
    <w:rPr>
      <w:rFonts w:ascii="GRADE-quality" w:hAnsi="GRADE-quality" w:hint="default"/>
      <w:sz w:val="21"/>
      <w:szCs w:val="21"/>
    </w:rPr>
  </w:style>
  <w:style w:type="paragraph" w:customStyle="1" w:styleId="EndNoteBibliography">
    <w:name w:val="EndNote Bibliography"/>
    <w:basedOn w:val="Normal"/>
    <w:link w:val="EndNoteBibliographyChar"/>
    <w:rsid w:val="005737F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737F7"/>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35D57"/>
    <w:pPr>
      <w:spacing w:line="240" w:lineRule="auto"/>
    </w:pPr>
    <w:rPr>
      <w:b/>
      <w:bCs/>
      <w:color w:val="4F81BD" w:themeColor="accent1"/>
      <w:sz w:val="18"/>
      <w:szCs w:val="18"/>
    </w:rPr>
  </w:style>
  <w:style w:type="character" w:customStyle="1" w:styleId="apple-converted-space">
    <w:name w:val="apple-converted-space"/>
    <w:basedOn w:val="DefaultParagraphFont"/>
    <w:rsid w:val="00E65A2A"/>
  </w:style>
  <w:style w:type="character" w:styleId="Hyperlink">
    <w:name w:val="Hyperlink"/>
    <w:basedOn w:val="DefaultParagraphFont"/>
    <w:uiPriority w:val="99"/>
    <w:semiHidden/>
    <w:unhideWhenUsed/>
    <w:rsid w:val="00E65A2A"/>
    <w:rPr>
      <w:color w:val="0000FF"/>
      <w:u w:val="single"/>
    </w:rPr>
  </w:style>
  <w:style w:type="paragraph" w:styleId="BalloonText">
    <w:name w:val="Balloon Text"/>
    <w:basedOn w:val="Normal"/>
    <w:link w:val="BalloonTextChar"/>
    <w:uiPriority w:val="99"/>
    <w:semiHidden/>
    <w:unhideWhenUsed/>
    <w:rsid w:val="00F33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257"/>
    <w:rPr>
      <w:rFonts w:ascii="Tahoma" w:hAnsi="Tahoma" w:cs="Tahoma"/>
      <w:sz w:val="16"/>
      <w:szCs w:val="16"/>
    </w:rPr>
  </w:style>
  <w:style w:type="character" w:customStyle="1" w:styleId="underline1">
    <w:name w:val="underline1"/>
    <w:basedOn w:val="DefaultParagraphFont"/>
    <w:rsid w:val="00AD4F82"/>
    <w:rPr>
      <w:u w:val="single"/>
    </w:rPr>
  </w:style>
  <w:style w:type="character" w:customStyle="1" w:styleId="label">
    <w:name w:val="label"/>
    <w:basedOn w:val="DefaultParagraphFont"/>
    <w:rsid w:val="00AD4F82"/>
  </w:style>
  <w:style w:type="character" w:customStyle="1" w:styleId="cell">
    <w:name w:val="cell"/>
    <w:basedOn w:val="DefaultParagraphFont"/>
    <w:rsid w:val="00AD4F82"/>
  </w:style>
  <w:style w:type="character" w:customStyle="1" w:styleId="cell-value">
    <w:name w:val="cell-value"/>
    <w:basedOn w:val="DefaultParagraphFont"/>
    <w:rsid w:val="00AD4F82"/>
  </w:style>
  <w:style w:type="character" w:customStyle="1" w:styleId="quality-sign1">
    <w:name w:val="quality-sign1"/>
    <w:basedOn w:val="DefaultParagraphFont"/>
    <w:rsid w:val="00AD4F82"/>
    <w:rPr>
      <w:rFonts w:ascii="GRADE-quality" w:hAnsi="GRADE-quality" w:hint="default"/>
      <w:sz w:val="21"/>
      <w:szCs w:val="21"/>
    </w:rPr>
  </w:style>
  <w:style w:type="paragraph" w:customStyle="1" w:styleId="EndNoteBibliography">
    <w:name w:val="EndNote Bibliography"/>
    <w:basedOn w:val="Normal"/>
    <w:link w:val="EndNoteBibliographyChar"/>
    <w:rsid w:val="005737F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5737F7"/>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3384</Words>
  <Characters>19290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Bispo S.</dc:creator>
  <cp:lastModifiedBy>Whalley T.</cp:lastModifiedBy>
  <cp:revision>2</cp:revision>
  <dcterms:created xsi:type="dcterms:W3CDTF">2017-02-02T11:25:00Z</dcterms:created>
  <dcterms:modified xsi:type="dcterms:W3CDTF">2017-02-02T11:25:00Z</dcterms:modified>
</cp:coreProperties>
</file>