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23BFF" w14:textId="77777777" w:rsidR="003C3EA1" w:rsidRDefault="003C3EA1" w:rsidP="00594FDB">
      <w:pPr>
        <w:tabs>
          <w:tab w:val="left" w:pos="3000"/>
        </w:tabs>
        <w:spacing w:before="240" w:after="0" w:line="360" w:lineRule="auto"/>
        <w:jc w:val="right"/>
        <w:rPr>
          <w:rFonts w:asciiTheme="minorHAnsi" w:hAnsiTheme="minorHAnsi"/>
          <w:i/>
          <w:sz w:val="24"/>
          <w:szCs w:val="24"/>
          <w:lang w:val="en-US"/>
        </w:rPr>
      </w:pPr>
      <w:bookmarkStart w:id="0" w:name="_GoBack"/>
      <w:bookmarkEnd w:id="0"/>
    </w:p>
    <w:p w14:paraId="09AA0D4F" w14:textId="646FA9BD" w:rsidR="00594FDB" w:rsidRPr="00594FDB" w:rsidRDefault="003C3EA1" w:rsidP="00594FDB">
      <w:pPr>
        <w:tabs>
          <w:tab w:val="left" w:pos="3000"/>
        </w:tabs>
        <w:spacing w:before="240" w:after="0" w:line="360" w:lineRule="auto"/>
        <w:jc w:val="right"/>
        <w:rPr>
          <w:rFonts w:asciiTheme="minorHAnsi" w:hAnsiTheme="minorHAnsi"/>
          <w:i/>
          <w:sz w:val="24"/>
          <w:szCs w:val="24"/>
          <w:lang w:val="en-US"/>
        </w:rPr>
      </w:pPr>
      <w:r w:rsidRPr="003C3EA1">
        <w:rPr>
          <w:rFonts w:asciiTheme="minorHAnsi" w:hAnsiTheme="minorHAnsi"/>
          <w:b/>
          <w:i/>
          <w:sz w:val="24"/>
          <w:szCs w:val="24"/>
          <w:lang w:val="en-US"/>
        </w:rPr>
        <w:t>OSIN-D-16-00500/R1</w:t>
      </w:r>
    </w:p>
    <w:p w14:paraId="196BCC25" w14:textId="77777777" w:rsidR="00C114A4" w:rsidRPr="00594FDB" w:rsidRDefault="00C114A4" w:rsidP="00E4190D">
      <w:pPr>
        <w:tabs>
          <w:tab w:val="left" w:pos="3000"/>
        </w:tabs>
        <w:spacing w:before="240" w:after="0" w:line="360" w:lineRule="auto"/>
        <w:jc w:val="center"/>
        <w:rPr>
          <w:rFonts w:asciiTheme="minorHAnsi" w:hAnsiTheme="minorHAnsi"/>
          <w:b/>
          <w:sz w:val="24"/>
          <w:szCs w:val="24"/>
          <w:lang w:val="en-US"/>
        </w:rPr>
      </w:pPr>
      <w:r w:rsidRPr="00594FDB">
        <w:rPr>
          <w:rFonts w:asciiTheme="minorHAnsi" w:hAnsiTheme="minorHAnsi"/>
          <w:b/>
          <w:sz w:val="24"/>
          <w:szCs w:val="24"/>
          <w:lang w:val="en-US"/>
        </w:rPr>
        <w:t>Imminent risk of fracture after fracture</w:t>
      </w:r>
    </w:p>
    <w:p w14:paraId="57836C13" w14:textId="34C16EF6" w:rsidR="00C114A4" w:rsidRPr="00594FDB" w:rsidRDefault="00C114A4" w:rsidP="00E4190D">
      <w:pPr>
        <w:spacing w:before="240" w:after="0" w:line="360" w:lineRule="auto"/>
        <w:jc w:val="center"/>
        <w:rPr>
          <w:rFonts w:asciiTheme="minorHAnsi" w:hAnsiTheme="minorHAnsi"/>
          <w:sz w:val="24"/>
          <w:szCs w:val="24"/>
          <w:vertAlign w:val="superscript"/>
          <w:lang w:val="en-US"/>
        </w:rPr>
      </w:pPr>
      <w:r w:rsidRPr="00594FDB">
        <w:rPr>
          <w:rFonts w:asciiTheme="minorHAnsi" w:hAnsiTheme="minorHAnsi"/>
          <w:sz w:val="24"/>
          <w:szCs w:val="24"/>
          <w:lang w:val="en-US"/>
        </w:rPr>
        <w:t>Helena Johansson</w:t>
      </w:r>
      <w:r w:rsidRPr="00594FDB">
        <w:rPr>
          <w:rFonts w:asciiTheme="minorHAnsi" w:hAnsiTheme="minorHAnsi"/>
          <w:sz w:val="24"/>
          <w:szCs w:val="24"/>
          <w:vertAlign w:val="superscript"/>
          <w:lang w:val="en-US"/>
        </w:rPr>
        <w:t>1</w:t>
      </w:r>
      <w:r w:rsidRPr="00594FDB">
        <w:rPr>
          <w:rFonts w:asciiTheme="minorHAnsi" w:hAnsiTheme="minorHAnsi"/>
          <w:sz w:val="24"/>
          <w:szCs w:val="24"/>
          <w:lang w:val="en-US"/>
        </w:rPr>
        <w:t xml:space="preserve">, Kristín Siggeirsdóttir </w:t>
      </w:r>
      <w:r w:rsidRPr="00594FDB">
        <w:rPr>
          <w:rFonts w:asciiTheme="minorHAnsi" w:hAnsiTheme="minorHAnsi"/>
          <w:sz w:val="24"/>
          <w:szCs w:val="24"/>
          <w:vertAlign w:val="superscript"/>
          <w:lang w:val="en-US"/>
        </w:rPr>
        <w:t>2</w:t>
      </w:r>
      <w:r w:rsidRPr="00594FDB">
        <w:rPr>
          <w:rFonts w:asciiTheme="minorHAnsi" w:hAnsiTheme="minorHAnsi"/>
          <w:sz w:val="24"/>
          <w:szCs w:val="24"/>
          <w:lang w:val="en-US"/>
        </w:rPr>
        <w:t>, Nicholas C Harvey</w:t>
      </w:r>
      <w:r w:rsidRPr="00594FDB">
        <w:rPr>
          <w:rFonts w:asciiTheme="minorHAnsi" w:hAnsiTheme="minorHAnsi"/>
          <w:sz w:val="24"/>
          <w:szCs w:val="24"/>
          <w:vertAlign w:val="superscript"/>
          <w:lang w:val="en-US"/>
        </w:rPr>
        <w:t>3,4</w:t>
      </w:r>
      <w:r w:rsidRPr="00594FDB">
        <w:rPr>
          <w:rFonts w:asciiTheme="minorHAnsi" w:hAnsiTheme="minorHAnsi"/>
          <w:sz w:val="24"/>
          <w:szCs w:val="24"/>
          <w:lang w:val="en-US"/>
        </w:rPr>
        <w:t>, Anders Odén</w:t>
      </w:r>
      <w:r w:rsidRPr="00594FDB">
        <w:rPr>
          <w:rFonts w:asciiTheme="minorHAnsi" w:hAnsiTheme="minorHAnsi"/>
          <w:sz w:val="24"/>
          <w:szCs w:val="24"/>
          <w:vertAlign w:val="superscript"/>
          <w:lang w:val="en-US"/>
        </w:rPr>
        <w:t>5</w:t>
      </w:r>
      <w:r w:rsidRPr="00594FDB">
        <w:rPr>
          <w:rFonts w:asciiTheme="minorHAnsi" w:hAnsiTheme="minorHAnsi"/>
          <w:sz w:val="24"/>
          <w:szCs w:val="24"/>
          <w:lang w:val="en-US"/>
        </w:rPr>
        <w:t xml:space="preserve">, Vilmundur Gudnason </w:t>
      </w:r>
      <w:r w:rsidRPr="00594FDB">
        <w:rPr>
          <w:rFonts w:asciiTheme="minorHAnsi" w:hAnsiTheme="minorHAnsi"/>
          <w:sz w:val="24"/>
          <w:szCs w:val="24"/>
          <w:vertAlign w:val="superscript"/>
          <w:lang w:val="en-US"/>
        </w:rPr>
        <w:t>2,6</w:t>
      </w:r>
      <w:r w:rsidRPr="00594FDB">
        <w:rPr>
          <w:rFonts w:asciiTheme="minorHAnsi" w:hAnsiTheme="minorHAnsi"/>
          <w:sz w:val="24"/>
          <w:szCs w:val="24"/>
          <w:lang w:val="en-US"/>
        </w:rPr>
        <w:t>, Eugene McCloskey</w:t>
      </w:r>
      <w:r w:rsidRPr="00594FDB">
        <w:rPr>
          <w:rFonts w:asciiTheme="minorHAnsi" w:hAnsiTheme="minorHAnsi"/>
          <w:sz w:val="24"/>
          <w:szCs w:val="24"/>
          <w:vertAlign w:val="superscript"/>
          <w:lang w:val="en-US"/>
        </w:rPr>
        <w:t>5</w:t>
      </w:r>
      <w:r w:rsidRPr="00594FDB">
        <w:rPr>
          <w:rFonts w:asciiTheme="minorHAnsi" w:hAnsiTheme="minorHAnsi"/>
          <w:sz w:val="24"/>
          <w:szCs w:val="24"/>
          <w:lang w:val="en-US"/>
        </w:rPr>
        <w:t xml:space="preserve">, Gunnar Sigurdsson </w:t>
      </w:r>
      <w:r w:rsidRPr="00594FDB">
        <w:rPr>
          <w:rFonts w:asciiTheme="minorHAnsi" w:hAnsiTheme="minorHAnsi"/>
          <w:sz w:val="24"/>
          <w:szCs w:val="24"/>
          <w:vertAlign w:val="superscript"/>
          <w:lang w:val="en-US"/>
        </w:rPr>
        <w:t>2</w:t>
      </w:r>
      <w:r w:rsidRPr="00594FDB">
        <w:rPr>
          <w:rFonts w:asciiTheme="minorHAnsi" w:hAnsiTheme="minorHAnsi"/>
          <w:sz w:val="24"/>
          <w:szCs w:val="24"/>
          <w:lang w:val="en-US"/>
        </w:rPr>
        <w:t>, John A Kanis</w:t>
      </w:r>
      <w:r w:rsidR="00F56EE5" w:rsidRPr="00594FDB">
        <w:rPr>
          <w:rFonts w:asciiTheme="minorHAnsi" w:hAnsiTheme="minorHAnsi"/>
          <w:sz w:val="24"/>
          <w:szCs w:val="24"/>
          <w:vertAlign w:val="superscript"/>
          <w:lang w:val="en-US"/>
        </w:rPr>
        <w:t>1,</w:t>
      </w:r>
      <w:r w:rsidRPr="00594FDB">
        <w:rPr>
          <w:rFonts w:asciiTheme="minorHAnsi" w:hAnsiTheme="minorHAnsi"/>
          <w:sz w:val="24"/>
          <w:szCs w:val="24"/>
          <w:vertAlign w:val="superscript"/>
          <w:lang w:val="en-US"/>
        </w:rPr>
        <w:t>5</w:t>
      </w:r>
    </w:p>
    <w:p w14:paraId="67D5FD6D" w14:textId="77777777" w:rsidR="00C114A4" w:rsidRPr="00594FDB" w:rsidRDefault="00C114A4" w:rsidP="00E4190D">
      <w:pPr>
        <w:spacing w:after="120" w:line="360" w:lineRule="auto"/>
        <w:rPr>
          <w:rFonts w:asciiTheme="minorHAnsi" w:hAnsiTheme="minorHAnsi"/>
          <w:sz w:val="24"/>
          <w:szCs w:val="24"/>
          <w:vertAlign w:val="superscript"/>
          <w:lang w:val="en-US"/>
        </w:rPr>
      </w:pPr>
    </w:p>
    <w:p w14:paraId="3859C6F2" w14:textId="54075FE6" w:rsidR="00F56EE5" w:rsidRPr="00594FDB" w:rsidRDefault="00C114A4" w:rsidP="00F56EE5">
      <w:pPr>
        <w:spacing w:after="120" w:line="360" w:lineRule="auto"/>
        <w:rPr>
          <w:rFonts w:asciiTheme="minorHAnsi" w:eastAsia="AdvTT46dcae81" w:hAnsiTheme="minorHAnsi"/>
          <w:sz w:val="24"/>
          <w:szCs w:val="24"/>
          <w:lang w:val="en-GB"/>
        </w:rPr>
      </w:pPr>
      <w:r w:rsidRPr="00594FDB">
        <w:rPr>
          <w:rFonts w:asciiTheme="minorHAnsi" w:eastAsia="AdvTT46dcae81" w:hAnsiTheme="minorHAnsi"/>
          <w:sz w:val="24"/>
          <w:szCs w:val="24"/>
          <w:vertAlign w:val="superscript"/>
          <w:lang w:val="en-US"/>
        </w:rPr>
        <w:t>1</w:t>
      </w:r>
      <w:r w:rsidR="00F56EE5" w:rsidRPr="00594FDB">
        <w:rPr>
          <w:rFonts w:asciiTheme="minorHAnsi" w:eastAsiaTheme="minorHAnsi" w:hAnsiTheme="minorHAnsi" w:cstheme="minorBidi"/>
          <w:lang w:val="en-GB"/>
        </w:rPr>
        <w:t xml:space="preserve"> </w:t>
      </w:r>
      <w:r w:rsidR="00F56EE5" w:rsidRPr="00594FDB">
        <w:rPr>
          <w:rFonts w:asciiTheme="minorHAnsi" w:eastAsia="AdvTT46dcae81" w:hAnsiTheme="minorHAnsi"/>
          <w:sz w:val="24"/>
          <w:szCs w:val="24"/>
          <w:lang w:val="en-GB"/>
        </w:rPr>
        <w:t xml:space="preserve">Institute for Health and Aging, </w:t>
      </w:r>
      <w:r w:rsidR="00CE518D" w:rsidRPr="00CE518D">
        <w:rPr>
          <w:rFonts w:asciiTheme="minorHAnsi" w:eastAsia="AdvTT46dcae81" w:hAnsiTheme="minorHAnsi"/>
          <w:sz w:val="24"/>
          <w:szCs w:val="24"/>
          <w:lang w:val="en-GB"/>
        </w:rPr>
        <w:t>Australian Catholic University</w:t>
      </w:r>
      <w:r w:rsidR="00F56EE5" w:rsidRPr="00594FDB">
        <w:rPr>
          <w:rFonts w:asciiTheme="minorHAnsi" w:eastAsia="AdvTT46dcae81" w:hAnsiTheme="minorHAnsi"/>
          <w:sz w:val="24"/>
          <w:szCs w:val="24"/>
          <w:lang w:val="en-GB"/>
        </w:rPr>
        <w:t>, Melbourne, Australia</w:t>
      </w:r>
    </w:p>
    <w:p w14:paraId="11BA58A0" w14:textId="77777777" w:rsidR="00C114A4" w:rsidRPr="00594FDB" w:rsidRDefault="00C114A4" w:rsidP="00E4190D">
      <w:pPr>
        <w:spacing w:after="120" w:line="360" w:lineRule="auto"/>
        <w:rPr>
          <w:rFonts w:asciiTheme="minorHAnsi" w:hAnsiTheme="minorHAnsi"/>
          <w:sz w:val="24"/>
          <w:szCs w:val="24"/>
          <w:lang w:val="en-US"/>
        </w:rPr>
      </w:pPr>
      <w:r w:rsidRPr="00594FDB">
        <w:rPr>
          <w:rFonts w:asciiTheme="minorHAnsi" w:hAnsiTheme="minorHAnsi"/>
          <w:sz w:val="24"/>
          <w:szCs w:val="24"/>
          <w:vertAlign w:val="superscript"/>
          <w:lang w:val="en-US"/>
        </w:rPr>
        <w:t>2</w:t>
      </w:r>
      <w:r w:rsidRPr="00594FDB">
        <w:rPr>
          <w:rFonts w:asciiTheme="minorHAnsi" w:hAnsiTheme="minorHAnsi"/>
          <w:sz w:val="24"/>
          <w:szCs w:val="24"/>
          <w:lang w:val="en-US"/>
        </w:rPr>
        <w:t xml:space="preserve"> Icelandic Heart Association, Kopavogur, Iceland</w:t>
      </w:r>
    </w:p>
    <w:p w14:paraId="34E6BD0E" w14:textId="2F25FAFB" w:rsidR="00C114A4" w:rsidRPr="00594FDB" w:rsidRDefault="00C114A4" w:rsidP="00E4190D">
      <w:pPr>
        <w:spacing w:after="120" w:line="360" w:lineRule="auto"/>
        <w:rPr>
          <w:rFonts w:asciiTheme="minorHAnsi" w:hAnsiTheme="minorHAnsi"/>
          <w:sz w:val="24"/>
          <w:szCs w:val="24"/>
          <w:lang w:val="en-US"/>
        </w:rPr>
      </w:pPr>
      <w:r w:rsidRPr="00594FDB">
        <w:rPr>
          <w:rFonts w:asciiTheme="minorHAnsi" w:hAnsiTheme="minorHAnsi"/>
          <w:sz w:val="24"/>
          <w:szCs w:val="24"/>
          <w:vertAlign w:val="superscript"/>
          <w:lang w:val="en-US"/>
        </w:rPr>
        <w:t>3</w:t>
      </w:r>
      <w:r w:rsidRPr="00594FDB">
        <w:rPr>
          <w:rFonts w:asciiTheme="minorHAnsi" w:hAnsiTheme="minorHAnsi"/>
          <w:sz w:val="24"/>
          <w:szCs w:val="24"/>
          <w:lang w:val="en-US"/>
        </w:rPr>
        <w:t>MRC Lifecourse Epidemiology Unit, University of Southampton, Southampton, UK</w:t>
      </w:r>
    </w:p>
    <w:p w14:paraId="12EF8E24" w14:textId="4D95347C" w:rsidR="00C114A4" w:rsidRPr="00594FDB" w:rsidRDefault="00C114A4" w:rsidP="00E4190D">
      <w:pPr>
        <w:spacing w:after="120" w:line="360" w:lineRule="auto"/>
        <w:rPr>
          <w:rFonts w:asciiTheme="minorHAnsi" w:hAnsiTheme="minorHAnsi"/>
          <w:sz w:val="24"/>
          <w:szCs w:val="24"/>
          <w:lang w:val="en-US"/>
        </w:rPr>
      </w:pPr>
      <w:r w:rsidRPr="00594FDB">
        <w:rPr>
          <w:rFonts w:asciiTheme="minorHAnsi" w:hAnsiTheme="minorHAnsi"/>
          <w:sz w:val="24"/>
          <w:szCs w:val="24"/>
          <w:vertAlign w:val="superscript"/>
          <w:lang w:val="en-US"/>
        </w:rPr>
        <w:t>4</w:t>
      </w:r>
      <w:r w:rsidRPr="00594FDB">
        <w:rPr>
          <w:rFonts w:asciiTheme="minorHAnsi" w:hAnsiTheme="minorHAnsi"/>
          <w:sz w:val="24"/>
          <w:szCs w:val="24"/>
          <w:lang w:val="en-US"/>
        </w:rPr>
        <w:t>NIHR Southampton Biomedical Research Centre, University of Southampton and University</w:t>
      </w:r>
      <w:r w:rsidR="00CE518D">
        <w:rPr>
          <w:rFonts w:asciiTheme="minorHAnsi" w:hAnsiTheme="minorHAnsi"/>
          <w:sz w:val="24"/>
          <w:szCs w:val="24"/>
          <w:lang w:val="en-US"/>
        </w:rPr>
        <w:br/>
      </w:r>
      <w:r w:rsidRPr="00594FDB">
        <w:rPr>
          <w:rFonts w:asciiTheme="minorHAnsi" w:hAnsiTheme="minorHAnsi"/>
          <w:sz w:val="24"/>
          <w:szCs w:val="24"/>
          <w:lang w:val="en-US"/>
        </w:rPr>
        <w:t>Hospital Southampton NHS Foundation Trust, Tremona Road, Southampton, UK</w:t>
      </w:r>
    </w:p>
    <w:p w14:paraId="0B2CBC92" w14:textId="5FDC4AFE" w:rsidR="00C114A4" w:rsidRPr="00594FDB" w:rsidRDefault="00C114A4" w:rsidP="00E4190D">
      <w:pPr>
        <w:spacing w:after="120" w:line="360" w:lineRule="auto"/>
        <w:rPr>
          <w:rFonts w:asciiTheme="minorHAnsi" w:eastAsia="AdvTT46dcae81" w:hAnsiTheme="minorHAnsi"/>
          <w:sz w:val="24"/>
          <w:szCs w:val="24"/>
          <w:lang w:val="en-US"/>
        </w:rPr>
      </w:pPr>
      <w:r w:rsidRPr="00594FDB">
        <w:rPr>
          <w:rFonts w:asciiTheme="minorHAnsi" w:eastAsia="AdvTT46dcae81" w:hAnsiTheme="minorHAnsi"/>
          <w:sz w:val="24"/>
          <w:szCs w:val="24"/>
          <w:vertAlign w:val="superscript"/>
          <w:lang w:val="en-US"/>
        </w:rPr>
        <w:t>5</w:t>
      </w:r>
      <w:r w:rsidRPr="00594FDB">
        <w:rPr>
          <w:rFonts w:asciiTheme="minorHAnsi" w:eastAsia="AdvTT46dcae81" w:hAnsiTheme="minorHAnsi"/>
          <w:sz w:val="24"/>
          <w:szCs w:val="24"/>
          <w:lang w:val="en-US"/>
        </w:rPr>
        <w:t xml:space="preserve"> Centre for Metabolic Bone Diseases, University of Sheffield, Sheffield, UK</w:t>
      </w:r>
    </w:p>
    <w:p w14:paraId="4E4AD713" w14:textId="77777777" w:rsidR="00C114A4" w:rsidRPr="00594FDB" w:rsidRDefault="00C114A4" w:rsidP="00E4190D">
      <w:pPr>
        <w:spacing w:after="120" w:line="360" w:lineRule="auto"/>
        <w:rPr>
          <w:rFonts w:asciiTheme="minorHAnsi" w:hAnsiTheme="minorHAnsi"/>
          <w:sz w:val="24"/>
          <w:szCs w:val="24"/>
          <w:lang w:val="en-US"/>
        </w:rPr>
      </w:pPr>
      <w:r w:rsidRPr="00594FDB">
        <w:rPr>
          <w:rFonts w:asciiTheme="minorHAnsi" w:hAnsiTheme="minorHAnsi"/>
          <w:sz w:val="24"/>
          <w:szCs w:val="24"/>
          <w:vertAlign w:val="superscript"/>
          <w:lang w:val="en-US"/>
        </w:rPr>
        <w:t>6</w:t>
      </w:r>
      <w:r w:rsidRPr="00594FDB">
        <w:rPr>
          <w:rFonts w:asciiTheme="minorHAnsi" w:hAnsiTheme="minorHAnsi"/>
          <w:sz w:val="24"/>
          <w:szCs w:val="24"/>
          <w:lang w:val="en-US"/>
        </w:rPr>
        <w:t xml:space="preserve"> University of Iceland, Reykjavik, Iceland</w:t>
      </w:r>
    </w:p>
    <w:p w14:paraId="2829C9EC" w14:textId="77777777" w:rsidR="00C114A4" w:rsidRPr="00E4190D" w:rsidRDefault="00C114A4" w:rsidP="00E4190D">
      <w:pPr>
        <w:pStyle w:val="NoSpacing"/>
        <w:spacing w:line="360" w:lineRule="auto"/>
        <w:rPr>
          <w:rFonts w:ascii="Times New Roman" w:hAnsi="Times New Roman" w:cs="Times New Roman"/>
          <w:b/>
          <w:sz w:val="24"/>
          <w:szCs w:val="24"/>
          <w:lang w:val="en-US"/>
        </w:rPr>
      </w:pPr>
    </w:p>
    <w:p w14:paraId="66342A4A" w14:textId="77777777" w:rsidR="00D53C36" w:rsidRPr="00E4190D" w:rsidRDefault="00D53C36" w:rsidP="00E4190D">
      <w:pPr>
        <w:autoSpaceDE w:val="0"/>
        <w:autoSpaceDN w:val="0"/>
        <w:adjustRightInd w:val="0"/>
        <w:spacing w:after="0" w:line="360" w:lineRule="auto"/>
        <w:rPr>
          <w:rFonts w:ascii="Times New Roman" w:hAnsi="Times New Roman"/>
          <w:b/>
          <w:sz w:val="24"/>
          <w:szCs w:val="24"/>
          <w:lang w:val="en-US"/>
        </w:rPr>
      </w:pPr>
    </w:p>
    <w:p w14:paraId="2B1A8899" w14:textId="77777777" w:rsidR="00D53C36" w:rsidRPr="00E4190D" w:rsidRDefault="00D53C36" w:rsidP="00E4190D">
      <w:pPr>
        <w:autoSpaceDE w:val="0"/>
        <w:autoSpaceDN w:val="0"/>
        <w:adjustRightInd w:val="0"/>
        <w:spacing w:after="0" w:line="360" w:lineRule="auto"/>
        <w:rPr>
          <w:rFonts w:ascii="Times New Roman" w:hAnsi="Times New Roman"/>
          <w:b/>
          <w:sz w:val="24"/>
          <w:szCs w:val="24"/>
          <w:lang w:val="en-US"/>
        </w:rPr>
      </w:pPr>
    </w:p>
    <w:p w14:paraId="33F7211C" w14:textId="77777777" w:rsidR="00D53C36" w:rsidRPr="00E4190D" w:rsidRDefault="00D53C36" w:rsidP="00E4190D">
      <w:pPr>
        <w:autoSpaceDE w:val="0"/>
        <w:autoSpaceDN w:val="0"/>
        <w:adjustRightInd w:val="0"/>
        <w:spacing w:after="0" w:line="360" w:lineRule="auto"/>
        <w:rPr>
          <w:rFonts w:ascii="Times New Roman" w:hAnsi="Times New Roman"/>
          <w:b/>
          <w:sz w:val="24"/>
          <w:szCs w:val="24"/>
          <w:lang w:val="en-US"/>
        </w:rPr>
      </w:pPr>
    </w:p>
    <w:p w14:paraId="2ABE0C9C" w14:textId="77777777" w:rsidR="00C114A4" w:rsidRPr="00594FDB" w:rsidRDefault="00C114A4" w:rsidP="00594FDB">
      <w:pPr>
        <w:autoSpaceDE w:val="0"/>
        <w:autoSpaceDN w:val="0"/>
        <w:adjustRightInd w:val="0"/>
        <w:spacing w:after="0" w:line="360" w:lineRule="auto"/>
        <w:rPr>
          <w:rFonts w:asciiTheme="minorHAnsi" w:hAnsiTheme="minorHAnsi"/>
          <w:b/>
          <w:sz w:val="24"/>
          <w:szCs w:val="24"/>
          <w:lang w:val="en-US"/>
        </w:rPr>
      </w:pPr>
      <w:r w:rsidRPr="00594FDB">
        <w:rPr>
          <w:rFonts w:asciiTheme="minorHAnsi" w:hAnsiTheme="minorHAnsi"/>
          <w:b/>
          <w:sz w:val="24"/>
          <w:szCs w:val="24"/>
          <w:lang w:val="en-US"/>
        </w:rPr>
        <w:t>Corresponding author:</w:t>
      </w:r>
    </w:p>
    <w:p w14:paraId="57F6838E" w14:textId="77777777" w:rsidR="00C114A4" w:rsidRPr="00594FDB" w:rsidRDefault="00C114A4" w:rsidP="00594FDB">
      <w:pPr>
        <w:pStyle w:val="NoSpacing"/>
        <w:spacing w:line="360" w:lineRule="auto"/>
        <w:rPr>
          <w:rFonts w:cs="Times New Roman"/>
          <w:b/>
          <w:sz w:val="24"/>
          <w:szCs w:val="24"/>
          <w:lang w:val="en-GB"/>
        </w:rPr>
      </w:pPr>
    </w:p>
    <w:p w14:paraId="15894702" w14:textId="77777777" w:rsidR="007312D8" w:rsidRPr="00594FDB" w:rsidRDefault="007312D8" w:rsidP="00594FDB">
      <w:pPr>
        <w:spacing w:line="360" w:lineRule="auto"/>
        <w:rPr>
          <w:rFonts w:asciiTheme="minorHAnsi" w:hAnsiTheme="minorHAnsi"/>
          <w:color w:val="0000FF" w:themeColor="hyperlink"/>
          <w:sz w:val="24"/>
          <w:szCs w:val="24"/>
          <w:u w:val="single"/>
          <w:lang w:val="en-US"/>
        </w:rPr>
      </w:pPr>
      <w:r w:rsidRPr="00594FDB">
        <w:rPr>
          <w:rFonts w:asciiTheme="minorHAnsi" w:hAnsiTheme="minorHAnsi"/>
          <w:b/>
          <w:bCs/>
          <w:sz w:val="24"/>
          <w:szCs w:val="24"/>
          <w:lang w:val="en-US"/>
        </w:rPr>
        <w:t>Address for Correspondence:</w:t>
      </w:r>
      <w:r w:rsidRPr="00594FDB">
        <w:rPr>
          <w:rFonts w:asciiTheme="minorHAnsi" w:hAnsiTheme="minorHAnsi"/>
          <w:sz w:val="24"/>
          <w:szCs w:val="24"/>
          <w:lang w:val="en-US"/>
        </w:rPr>
        <w:t xml:space="preserve"> John A Kanis, Centre for Metabolic Bone Diseases, University of Sheffield Medical School, Beech Hill Road, Sheffield S10 2RX, UK; Tel: +44 114 285 1109; Fax: +44 114 285 1813; </w:t>
      </w:r>
      <w:hyperlink r:id="rId9" w:history="1">
        <w:r w:rsidRPr="00594FDB">
          <w:rPr>
            <w:rFonts w:asciiTheme="minorHAnsi" w:hAnsiTheme="minorHAnsi"/>
            <w:color w:val="0000FF" w:themeColor="hyperlink"/>
            <w:sz w:val="24"/>
            <w:szCs w:val="24"/>
            <w:u w:val="single"/>
            <w:lang w:val="en-US"/>
          </w:rPr>
          <w:t>w.j.pontefract@sheffield.ac.uk</w:t>
        </w:r>
      </w:hyperlink>
    </w:p>
    <w:p w14:paraId="2721B1FC" w14:textId="77777777" w:rsidR="00565005" w:rsidRPr="00E4190D" w:rsidRDefault="00565005" w:rsidP="00E4190D">
      <w:pPr>
        <w:spacing w:line="360" w:lineRule="auto"/>
        <w:rPr>
          <w:rFonts w:ascii="Times New Roman" w:eastAsiaTheme="minorHAnsi" w:hAnsi="Times New Roman"/>
          <w:b/>
          <w:sz w:val="24"/>
          <w:szCs w:val="24"/>
          <w:lang w:val="en-GB"/>
        </w:rPr>
      </w:pPr>
      <w:r w:rsidRPr="00E4190D">
        <w:rPr>
          <w:rFonts w:ascii="Times New Roman" w:hAnsi="Times New Roman"/>
          <w:b/>
          <w:sz w:val="24"/>
          <w:szCs w:val="24"/>
          <w:lang w:val="en-GB"/>
        </w:rPr>
        <w:br w:type="page"/>
      </w:r>
    </w:p>
    <w:p w14:paraId="52B5CA64" w14:textId="77777777" w:rsidR="00565005" w:rsidRPr="003C3EA1" w:rsidRDefault="00565005" w:rsidP="00E4190D">
      <w:pPr>
        <w:pStyle w:val="NoSpacing"/>
        <w:spacing w:line="360" w:lineRule="auto"/>
        <w:rPr>
          <w:rFonts w:cs="Times New Roman"/>
          <w:b/>
          <w:sz w:val="24"/>
          <w:szCs w:val="24"/>
          <w:lang w:val="en-GB"/>
        </w:rPr>
      </w:pPr>
      <w:r w:rsidRPr="003C3EA1">
        <w:rPr>
          <w:rFonts w:cs="Times New Roman"/>
          <w:b/>
          <w:sz w:val="24"/>
          <w:szCs w:val="24"/>
          <w:lang w:val="en-GB"/>
        </w:rPr>
        <w:lastRenderedPageBreak/>
        <w:t>Abstract</w:t>
      </w:r>
    </w:p>
    <w:p w14:paraId="232240DC" w14:textId="77777777" w:rsidR="00C114A4" w:rsidRPr="00E4190D" w:rsidRDefault="00C114A4" w:rsidP="00E4190D">
      <w:pPr>
        <w:pStyle w:val="NoSpacing"/>
        <w:spacing w:line="360" w:lineRule="auto"/>
        <w:rPr>
          <w:rFonts w:ascii="Times New Roman" w:hAnsi="Times New Roman" w:cs="Times New Roman"/>
          <w:b/>
          <w:sz w:val="24"/>
          <w:szCs w:val="24"/>
          <w:lang w:val="en-GB"/>
        </w:rPr>
      </w:pPr>
    </w:p>
    <w:p w14:paraId="741F0C4A" w14:textId="77777777" w:rsidR="001275DC" w:rsidRPr="00606623" w:rsidRDefault="001275DC" w:rsidP="00E4190D">
      <w:pPr>
        <w:pStyle w:val="BodyText"/>
        <w:spacing w:after="120" w:line="360" w:lineRule="auto"/>
        <w:jc w:val="both"/>
        <w:rPr>
          <w:rFonts w:ascii="Calibri" w:hAnsi="Calibri"/>
          <w:szCs w:val="24"/>
        </w:rPr>
      </w:pPr>
      <w:r w:rsidRPr="00606623">
        <w:rPr>
          <w:rFonts w:ascii="Calibri" w:hAnsi="Calibri"/>
          <w:i/>
          <w:szCs w:val="24"/>
          <w:lang w:val="en-US"/>
        </w:rPr>
        <w:t>Objectives</w:t>
      </w:r>
      <w:r w:rsidRPr="00606623">
        <w:rPr>
          <w:rFonts w:ascii="Calibri" w:hAnsi="Calibri"/>
          <w:szCs w:val="24"/>
          <w:lang w:val="en-US"/>
        </w:rPr>
        <w:t xml:space="preserve"> </w:t>
      </w:r>
      <w:r w:rsidRPr="00606623">
        <w:rPr>
          <w:rFonts w:ascii="Calibri" w:hAnsi="Calibri"/>
          <w:szCs w:val="24"/>
        </w:rPr>
        <w:t xml:space="preserve">A history of fracture is a strong risk factor for future fractures. The aim of the present study was to determine whether the predictive value of a past major osteoporotic fracture (MOF) for future MOF changed with time. </w:t>
      </w:r>
    </w:p>
    <w:p w14:paraId="662760F3" w14:textId="2E324A74" w:rsidR="001275DC" w:rsidRPr="00606623" w:rsidRDefault="00B47306" w:rsidP="00E4190D">
      <w:pPr>
        <w:autoSpaceDE w:val="0"/>
        <w:autoSpaceDN w:val="0"/>
        <w:adjustRightInd w:val="0"/>
        <w:spacing w:after="0" w:line="360" w:lineRule="auto"/>
        <w:rPr>
          <w:sz w:val="24"/>
          <w:szCs w:val="24"/>
          <w:lang w:val="en-US"/>
        </w:rPr>
      </w:pPr>
      <w:r w:rsidRPr="00606623">
        <w:rPr>
          <w:i/>
          <w:sz w:val="24"/>
          <w:szCs w:val="24"/>
          <w:lang w:val="en-US"/>
        </w:rPr>
        <w:t>M</w:t>
      </w:r>
      <w:r w:rsidR="001275DC" w:rsidRPr="00606623">
        <w:rPr>
          <w:i/>
          <w:sz w:val="24"/>
          <w:szCs w:val="24"/>
          <w:lang w:val="en-US"/>
        </w:rPr>
        <w:t>ethods</w:t>
      </w:r>
      <w:r w:rsidR="001275DC" w:rsidRPr="00606623">
        <w:rPr>
          <w:sz w:val="24"/>
          <w:szCs w:val="24"/>
          <w:lang w:val="en-US"/>
        </w:rPr>
        <w:t xml:space="preserve"> </w:t>
      </w:r>
      <w:r w:rsidR="001275DC" w:rsidRPr="00606623">
        <w:rPr>
          <w:color w:val="131413"/>
          <w:sz w:val="24"/>
          <w:szCs w:val="24"/>
          <w:lang w:val="en-GB"/>
        </w:rPr>
        <w:t xml:space="preserve">The study was based on </w:t>
      </w:r>
      <w:r w:rsidR="001275DC" w:rsidRPr="00606623">
        <w:rPr>
          <w:sz w:val="24"/>
          <w:szCs w:val="24"/>
          <w:lang w:val="en-US"/>
        </w:rPr>
        <w:t xml:space="preserve">a population-based cohort of </w:t>
      </w:r>
      <w:r w:rsidR="001275DC" w:rsidRPr="00606623">
        <w:rPr>
          <w:color w:val="131413"/>
          <w:sz w:val="24"/>
          <w:szCs w:val="24"/>
          <w:lang w:val="en-GB"/>
        </w:rPr>
        <w:t xml:space="preserve">18,872 men and women born between 1907 and 1935. </w:t>
      </w:r>
      <w:r w:rsidR="005B4904">
        <w:rPr>
          <w:color w:val="131413"/>
          <w:sz w:val="24"/>
          <w:szCs w:val="24"/>
          <w:lang w:val="en-GB"/>
        </w:rPr>
        <w:t>F</w:t>
      </w:r>
      <w:r w:rsidR="001275DC" w:rsidRPr="00606623">
        <w:rPr>
          <w:color w:val="131413"/>
          <w:sz w:val="24"/>
          <w:szCs w:val="24"/>
          <w:lang w:val="en-GB"/>
        </w:rPr>
        <w:t xml:space="preserve">ractures were </w:t>
      </w:r>
      <w:r w:rsidR="00A41D44" w:rsidRPr="00606623">
        <w:rPr>
          <w:color w:val="131413"/>
          <w:sz w:val="24"/>
          <w:szCs w:val="24"/>
          <w:lang w:val="en-GB"/>
        </w:rPr>
        <w:t>documented</w:t>
      </w:r>
      <w:r w:rsidR="00606623" w:rsidRPr="00606623">
        <w:rPr>
          <w:color w:val="131413"/>
          <w:sz w:val="24"/>
          <w:szCs w:val="24"/>
          <w:lang w:val="en-GB"/>
        </w:rPr>
        <w:t xml:space="preserve"> over </w:t>
      </w:r>
      <w:r w:rsidR="0087065D">
        <w:rPr>
          <w:color w:val="131413"/>
          <w:sz w:val="24"/>
          <w:szCs w:val="24"/>
          <w:lang w:val="en-GB"/>
        </w:rPr>
        <w:t>510,265</w:t>
      </w:r>
      <w:r w:rsidR="00606623" w:rsidRPr="00606623">
        <w:rPr>
          <w:color w:val="131413"/>
          <w:sz w:val="24"/>
          <w:szCs w:val="24"/>
          <w:lang w:val="en-GB"/>
        </w:rPr>
        <w:t xml:space="preserve"> person-years</w:t>
      </w:r>
      <w:r w:rsidR="001275DC" w:rsidRPr="00606623">
        <w:rPr>
          <w:color w:val="131413"/>
          <w:sz w:val="24"/>
          <w:szCs w:val="24"/>
          <w:lang w:val="en-GB"/>
        </w:rPr>
        <w:t xml:space="preserve">. </w:t>
      </w:r>
      <w:r w:rsidR="001275DC" w:rsidRPr="00606623">
        <w:rPr>
          <w:sz w:val="24"/>
          <w:szCs w:val="24"/>
          <w:lang w:val="en-US"/>
        </w:rPr>
        <w:t xml:space="preserve">An extension of Poisson regression was used to investigate the relationship between the first MOF and the second. All associations were adjusted for age and time since baseline. </w:t>
      </w:r>
    </w:p>
    <w:p w14:paraId="0FBF440A" w14:textId="4DEFE32B" w:rsidR="001275DC" w:rsidRPr="00606623" w:rsidRDefault="001275DC" w:rsidP="00E4190D">
      <w:pPr>
        <w:pStyle w:val="BodyText"/>
        <w:spacing w:after="120" w:line="360" w:lineRule="auto"/>
        <w:jc w:val="both"/>
        <w:rPr>
          <w:rFonts w:ascii="Calibri" w:hAnsi="Calibri"/>
          <w:szCs w:val="24"/>
        </w:rPr>
      </w:pPr>
      <w:r w:rsidRPr="00606623">
        <w:rPr>
          <w:rFonts w:ascii="Calibri" w:hAnsi="Calibri"/>
          <w:i/>
          <w:szCs w:val="24"/>
          <w:lang w:val="en-US"/>
        </w:rPr>
        <w:t xml:space="preserve">Results </w:t>
      </w:r>
      <w:r w:rsidR="00A41D44" w:rsidRPr="00CC3FD3">
        <w:rPr>
          <w:rFonts w:ascii="Calibri" w:hAnsi="Calibri"/>
          <w:szCs w:val="24"/>
          <w:lang w:val="en-US"/>
        </w:rPr>
        <w:t xml:space="preserve">5039 </w:t>
      </w:r>
      <w:r w:rsidR="00606623" w:rsidRPr="00606623">
        <w:rPr>
          <w:rFonts w:ascii="Calibri" w:hAnsi="Calibri"/>
          <w:szCs w:val="24"/>
          <w:lang w:val="en-US"/>
        </w:rPr>
        <w:t>individuals</w:t>
      </w:r>
      <w:r w:rsidR="00A41D44" w:rsidRPr="00606623">
        <w:rPr>
          <w:rFonts w:ascii="Calibri" w:hAnsi="Calibri"/>
          <w:szCs w:val="24"/>
          <w:lang w:val="en-US"/>
        </w:rPr>
        <w:t xml:space="preserve"> sustained one or more MOF, of whom </w:t>
      </w:r>
      <w:r w:rsidRPr="00606623">
        <w:rPr>
          <w:rFonts w:ascii="Calibri" w:hAnsi="Calibri"/>
          <w:color w:val="131413"/>
          <w:szCs w:val="24"/>
        </w:rPr>
        <w:t xml:space="preserve">1919 experienced a second MOF. The risk of a second MOF after a first increased by 4% for each year of age (95 % CI: 1.02-1.06) and was 41% higher for women than men (95% CI: 1.25-1.59). The risk of a second MOF was highest immediately after the first fracture and thereafter decreased with time though remained higher than the population risk throughout </w:t>
      </w:r>
      <w:r w:rsidR="003319E8" w:rsidRPr="00606623">
        <w:rPr>
          <w:rFonts w:ascii="Calibri" w:hAnsi="Calibri"/>
          <w:color w:val="131413"/>
          <w:szCs w:val="24"/>
        </w:rPr>
        <w:t>follow-up</w:t>
      </w:r>
      <w:r w:rsidRPr="00606623">
        <w:rPr>
          <w:rFonts w:ascii="Calibri" w:hAnsi="Calibri"/>
          <w:color w:val="131413"/>
          <w:szCs w:val="24"/>
        </w:rPr>
        <w:t xml:space="preserve">. For example, 1 year after the first MOF the risk of a second fracture was </w:t>
      </w:r>
      <w:r w:rsidR="00D71B21" w:rsidRPr="00D71B21">
        <w:rPr>
          <w:rFonts w:ascii="Calibri" w:hAnsi="Calibri"/>
          <w:color w:val="131413"/>
          <w:szCs w:val="24"/>
          <w:lang w:val="en-US"/>
        </w:rPr>
        <w:t xml:space="preserve">2.7 (2.4-3.0) </w:t>
      </w:r>
      <w:r w:rsidR="00DA55E9">
        <w:rPr>
          <w:rFonts w:ascii="Calibri" w:hAnsi="Calibri"/>
          <w:color w:val="131413"/>
          <w:szCs w:val="24"/>
        </w:rPr>
        <w:t xml:space="preserve">fold </w:t>
      </w:r>
      <w:r w:rsidRPr="00606623">
        <w:rPr>
          <w:rFonts w:ascii="Calibri" w:hAnsi="Calibri"/>
          <w:color w:val="131413"/>
          <w:szCs w:val="24"/>
        </w:rPr>
        <w:t xml:space="preserve">higher than the population risk. After 10 </w:t>
      </w:r>
      <w:r w:rsidR="007A09DF" w:rsidRPr="00606623">
        <w:rPr>
          <w:rFonts w:ascii="Calibri" w:hAnsi="Calibri"/>
          <w:color w:val="131413"/>
          <w:szCs w:val="24"/>
        </w:rPr>
        <w:t>years</w:t>
      </w:r>
      <w:r w:rsidRPr="00606623">
        <w:rPr>
          <w:rFonts w:ascii="Calibri" w:hAnsi="Calibri"/>
          <w:color w:val="131413"/>
          <w:szCs w:val="24"/>
        </w:rPr>
        <w:t xml:space="preserve"> this risk ratio was </w:t>
      </w:r>
      <w:r w:rsidR="00D71B21" w:rsidRPr="00D71B21">
        <w:rPr>
          <w:rFonts w:ascii="Calibri" w:hAnsi="Calibri"/>
          <w:color w:val="131413"/>
          <w:szCs w:val="24"/>
          <w:lang w:val="en-US"/>
        </w:rPr>
        <w:t>and 1.4 (1.2-1.6)</w:t>
      </w:r>
      <w:r w:rsidRPr="00606623">
        <w:rPr>
          <w:rFonts w:ascii="Calibri" w:hAnsi="Calibri"/>
          <w:color w:val="131413"/>
          <w:szCs w:val="24"/>
        </w:rPr>
        <w:t xml:space="preserve">. </w:t>
      </w:r>
      <w:r w:rsidR="00A432A1" w:rsidRPr="00C95686">
        <w:rPr>
          <w:rFonts w:ascii="Calibri" w:hAnsi="Calibri"/>
          <w:color w:val="131413"/>
          <w:szCs w:val="24"/>
          <w:lang w:val="sv-SE"/>
        </w:rPr>
        <w:t>The ef</w:t>
      </w:r>
      <w:r w:rsidR="00104A54" w:rsidRPr="00C95686">
        <w:rPr>
          <w:rFonts w:ascii="Calibri" w:hAnsi="Calibri"/>
          <w:color w:val="131413"/>
          <w:szCs w:val="24"/>
          <w:lang w:val="sv-SE"/>
        </w:rPr>
        <w:t>f</w:t>
      </w:r>
      <w:r w:rsidR="00A432A1" w:rsidRPr="00C95686">
        <w:rPr>
          <w:rFonts w:ascii="Calibri" w:hAnsi="Calibri"/>
          <w:color w:val="131413"/>
          <w:szCs w:val="24"/>
          <w:lang w:val="sv-SE"/>
        </w:rPr>
        <w:t>ect was more marked with increasing age.</w:t>
      </w:r>
    </w:p>
    <w:p w14:paraId="37A1ED7A" w14:textId="246F40DF" w:rsidR="001275DC" w:rsidRPr="00606623" w:rsidRDefault="001275DC" w:rsidP="00E4190D">
      <w:pPr>
        <w:pStyle w:val="BodyText"/>
        <w:spacing w:after="120" w:line="360" w:lineRule="auto"/>
        <w:jc w:val="both"/>
        <w:rPr>
          <w:rFonts w:ascii="Calibri" w:hAnsi="Calibri"/>
          <w:szCs w:val="24"/>
        </w:rPr>
      </w:pPr>
      <w:r w:rsidRPr="00606623">
        <w:rPr>
          <w:rFonts w:ascii="Calibri" w:hAnsi="Calibri"/>
          <w:i/>
          <w:szCs w:val="24"/>
          <w:lang w:val="en-US"/>
        </w:rPr>
        <w:t>Conclusions</w:t>
      </w:r>
      <w:r w:rsidRPr="00606623">
        <w:rPr>
          <w:rFonts w:ascii="Calibri" w:hAnsi="Calibri"/>
          <w:szCs w:val="24"/>
        </w:rPr>
        <w:t xml:space="preserve"> The risk of MOF after a first MOF is increased over the whole follow up but the imminent risk is even higher. If the acute increment in risk in the few years following MOF is amenable to therapeutic intervention</w:t>
      </w:r>
      <w:r w:rsidR="004652B1">
        <w:rPr>
          <w:rFonts w:ascii="Calibri" w:hAnsi="Calibri"/>
          <w:szCs w:val="24"/>
        </w:rPr>
        <w:t>,</w:t>
      </w:r>
      <w:r w:rsidRPr="00606623">
        <w:rPr>
          <w:rFonts w:ascii="Calibri" w:hAnsi="Calibri"/>
          <w:szCs w:val="24"/>
        </w:rPr>
        <w:t xml:space="preserve"> then immediate short-term treatments may provide worthwhile clinical dividends in a very </w:t>
      </w:r>
      <w:r w:rsidRPr="00606623">
        <w:rPr>
          <w:rFonts w:ascii="Calibri" w:hAnsi="Calibri"/>
          <w:szCs w:val="24"/>
          <w:lang w:val="en-US"/>
        </w:rPr>
        <w:t>cost-effective manner</w:t>
      </w:r>
      <w:r w:rsidR="00A432A1">
        <w:rPr>
          <w:rFonts w:ascii="Calibri" w:hAnsi="Calibri"/>
          <w:szCs w:val="24"/>
          <w:lang w:val="en-US"/>
        </w:rPr>
        <w:t>, particularly in the elderly</w:t>
      </w:r>
      <w:r w:rsidRPr="00606623">
        <w:rPr>
          <w:rFonts w:ascii="Calibri" w:hAnsi="Calibri"/>
          <w:szCs w:val="24"/>
          <w:lang w:val="en-US"/>
        </w:rPr>
        <w:t>.</w:t>
      </w:r>
      <w:r w:rsidRPr="00606623">
        <w:rPr>
          <w:rFonts w:ascii="Calibri" w:hAnsi="Calibri"/>
          <w:szCs w:val="24"/>
        </w:rPr>
        <w:t xml:space="preserve"> </w:t>
      </w:r>
    </w:p>
    <w:p w14:paraId="5A2043DA" w14:textId="77777777" w:rsidR="00424977" w:rsidRPr="00606623" w:rsidRDefault="00424977" w:rsidP="00E4190D">
      <w:pPr>
        <w:spacing w:after="0" w:line="360" w:lineRule="auto"/>
        <w:rPr>
          <w:sz w:val="24"/>
          <w:szCs w:val="24"/>
          <w:lang w:val="en-GB"/>
        </w:rPr>
      </w:pPr>
      <w:r w:rsidRPr="00606623">
        <w:rPr>
          <w:b/>
          <w:sz w:val="24"/>
          <w:szCs w:val="24"/>
          <w:lang w:val="en-GB"/>
        </w:rPr>
        <w:t>Keywords:</w:t>
      </w:r>
      <w:r w:rsidRPr="00606623">
        <w:rPr>
          <w:sz w:val="24"/>
          <w:szCs w:val="24"/>
          <w:lang w:val="en-GB"/>
        </w:rPr>
        <w:t xml:space="preserve"> Osteoporotic fracture · second fracture · Iceland · Poisson regression model · epidemiology  </w:t>
      </w:r>
    </w:p>
    <w:p w14:paraId="22D7D691" w14:textId="77777777" w:rsidR="00424977" w:rsidRPr="00606623" w:rsidRDefault="00424977" w:rsidP="00E4190D">
      <w:pPr>
        <w:spacing w:after="0" w:line="360" w:lineRule="auto"/>
        <w:rPr>
          <w:sz w:val="24"/>
          <w:szCs w:val="24"/>
          <w:lang w:val="en-GB"/>
        </w:rPr>
      </w:pPr>
    </w:p>
    <w:p w14:paraId="4D4F4062" w14:textId="0ECE8F32" w:rsidR="00424977" w:rsidRPr="00606623" w:rsidRDefault="00424977" w:rsidP="00E4190D">
      <w:pPr>
        <w:spacing w:line="360" w:lineRule="auto"/>
        <w:rPr>
          <w:b/>
          <w:sz w:val="24"/>
          <w:szCs w:val="24"/>
          <w:lang w:val="en-GB"/>
        </w:rPr>
      </w:pPr>
      <w:r w:rsidRPr="00606623">
        <w:rPr>
          <w:b/>
          <w:sz w:val="24"/>
          <w:szCs w:val="24"/>
          <w:lang w:val="en-GB"/>
        </w:rPr>
        <w:t>Mini abstract</w:t>
      </w:r>
      <w:r w:rsidRPr="00606623">
        <w:rPr>
          <w:sz w:val="24"/>
          <w:szCs w:val="24"/>
          <w:lang w:val="en-GB"/>
        </w:rPr>
        <w:t xml:space="preserve">: </w:t>
      </w:r>
      <w:r w:rsidR="006D76E3" w:rsidRPr="00606623">
        <w:rPr>
          <w:sz w:val="24"/>
          <w:szCs w:val="24"/>
          <w:lang w:val="en-US"/>
        </w:rPr>
        <w:t xml:space="preserve">The risk of MOF after a first MOF is increased over the whole </w:t>
      </w:r>
      <w:r w:rsidR="00DA55E9">
        <w:rPr>
          <w:sz w:val="24"/>
          <w:szCs w:val="24"/>
          <w:lang w:val="en-US"/>
        </w:rPr>
        <w:t xml:space="preserve">duration of </w:t>
      </w:r>
      <w:r w:rsidR="006D76E3" w:rsidRPr="00606623">
        <w:rPr>
          <w:sz w:val="24"/>
          <w:szCs w:val="24"/>
          <w:lang w:val="en-US"/>
        </w:rPr>
        <w:t>follow up but the imminent risk is even higher. If the acute increment in risk in the few years following MOF is amenable to therapeutic intervention</w:t>
      </w:r>
      <w:r w:rsidR="004652B1">
        <w:rPr>
          <w:sz w:val="24"/>
          <w:szCs w:val="24"/>
          <w:lang w:val="en-US"/>
        </w:rPr>
        <w:t>,</w:t>
      </w:r>
      <w:r w:rsidR="006D76E3" w:rsidRPr="00606623">
        <w:rPr>
          <w:sz w:val="24"/>
          <w:szCs w:val="24"/>
          <w:lang w:val="en-US"/>
        </w:rPr>
        <w:t xml:space="preserve"> then immediate short-term treatments may provide worthwhile clinical dividends in a very cost-effective manner. </w:t>
      </w:r>
    </w:p>
    <w:p w14:paraId="7465C2EB" w14:textId="77777777" w:rsidR="00424977" w:rsidRPr="00E4190D" w:rsidRDefault="00424977" w:rsidP="00E4190D">
      <w:pPr>
        <w:spacing w:line="360" w:lineRule="auto"/>
        <w:rPr>
          <w:rFonts w:ascii="Times New Roman" w:eastAsiaTheme="minorHAnsi" w:hAnsi="Times New Roman"/>
          <w:b/>
          <w:sz w:val="24"/>
          <w:szCs w:val="24"/>
          <w:lang w:val="en-GB"/>
        </w:rPr>
      </w:pPr>
      <w:r w:rsidRPr="00E4190D">
        <w:rPr>
          <w:rFonts w:ascii="Times New Roman" w:hAnsi="Times New Roman"/>
          <w:b/>
          <w:sz w:val="24"/>
          <w:szCs w:val="24"/>
          <w:lang w:val="en-GB"/>
        </w:rPr>
        <w:br w:type="page"/>
      </w:r>
    </w:p>
    <w:p w14:paraId="21EE2BF2" w14:textId="27892909" w:rsidR="00CC3FD3" w:rsidRDefault="00CC3FD3" w:rsidP="00CC3FD3">
      <w:pPr>
        <w:autoSpaceDE w:val="0"/>
        <w:autoSpaceDN w:val="0"/>
        <w:adjustRightInd w:val="0"/>
        <w:spacing w:after="0" w:line="360" w:lineRule="auto"/>
        <w:rPr>
          <w:rFonts w:eastAsia="MS Mincho" w:cs="AdvTimes"/>
          <w:b/>
          <w:sz w:val="24"/>
          <w:szCs w:val="24"/>
          <w:lang w:val="en-GB"/>
        </w:rPr>
      </w:pPr>
      <w:r w:rsidRPr="00CC3FD3">
        <w:rPr>
          <w:rFonts w:eastAsia="MS Mincho" w:cs="AdvTimes"/>
          <w:b/>
          <w:sz w:val="24"/>
          <w:szCs w:val="24"/>
          <w:lang w:val="en-GB"/>
        </w:rPr>
        <w:lastRenderedPageBreak/>
        <w:t>Introduction</w:t>
      </w:r>
    </w:p>
    <w:p w14:paraId="53F7F87D" w14:textId="77777777" w:rsidR="00CC3FD3" w:rsidRPr="00CC3FD3" w:rsidRDefault="00CC3FD3" w:rsidP="00CC3FD3">
      <w:pPr>
        <w:autoSpaceDE w:val="0"/>
        <w:autoSpaceDN w:val="0"/>
        <w:adjustRightInd w:val="0"/>
        <w:spacing w:after="0" w:line="360" w:lineRule="auto"/>
        <w:rPr>
          <w:rFonts w:eastAsia="MS Mincho" w:cs="AdvTimes"/>
          <w:b/>
          <w:sz w:val="24"/>
          <w:szCs w:val="24"/>
          <w:lang w:val="en-GB"/>
        </w:rPr>
      </w:pPr>
    </w:p>
    <w:p w14:paraId="35B4180D" w14:textId="4C52FD87" w:rsidR="00CC3FD3" w:rsidRPr="00CC3FD3" w:rsidRDefault="00CC3FD3" w:rsidP="00CC3FD3">
      <w:pPr>
        <w:autoSpaceDE w:val="0"/>
        <w:autoSpaceDN w:val="0"/>
        <w:adjustRightInd w:val="0"/>
        <w:spacing w:after="0" w:line="360" w:lineRule="auto"/>
        <w:rPr>
          <w:rFonts w:eastAsia="MS Mincho" w:cs="AdvTimes"/>
          <w:sz w:val="24"/>
          <w:szCs w:val="24"/>
          <w:lang w:val="en-GB"/>
        </w:rPr>
      </w:pPr>
      <w:r w:rsidRPr="00CC3FD3">
        <w:rPr>
          <w:rFonts w:eastAsia="MS Mincho" w:cs="AdvTimes"/>
          <w:sz w:val="24"/>
          <w:szCs w:val="24"/>
          <w:lang w:val="en-GB"/>
        </w:rPr>
        <w:t>It is well established that fragility fracture</w:t>
      </w:r>
      <w:r>
        <w:rPr>
          <w:rFonts w:eastAsia="MS Mincho" w:cs="AdvTimes"/>
          <w:sz w:val="24"/>
          <w:szCs w:val="24"/>
          <w:lang w:val="en-GB"/>
        </w:rPr>
        <w:t>s</w:t>
      </w:r>
      <w:r w:rsidRPr="00CC3FD3">
        <w:rPr>
          <w:rFonts w:eastAsia="MS Mincho" w:cs="AdvTimes"/>
          <w:sz w:val="24"/>
          <w:szCs w:val="24"/>
          <w:lang w:val="en-GB"/>
        </w:rPr>
        <w:t xml:space="preserve"> increase the risk of </w:t>
      </w:r>
      <w:r w:rsidRPr="00286C59">
        <w:rPr>
          <w:rFonts w:eastAsia="MS Mincho" w:cs="AdvTimes"/>
          <w:sz w:val="24"/>
          <w:szCs w:val="24"/>
          <w:lang w:val="en-GB"/>
        </w:rPr>
        <w:t>a further fracture [</w:t>
      </w:r>
      <w:r w:rsidR="004B2B62" w:rsidRPr="00286C59">
        <w:rPr>
          <w:rFonts w:eastAsia="MS Mincho" w:cs="AdvTimes"/>
          <w:sz w:val="24"/>
          <w:szCs w:val="24"/>
          <w:lang w:val="en-GB"/>
        </w:rPr>
        <w:t>1-4</w:t>
      </w:r>
      <w:r w:rsidRPr="00286C59">
        <w:rPr>
          <w:rFonts w:eastAsia="MS Mincho" w:cs="AdvTimes"/>
          <w:sz w:val="24"/>
          <w:szCs w:val="24"/>
          <w:lang w:val="en-GB"/>
        </w:rPr>
        <w:t>].  In a meta-analysis performed by Klotzbuecher et al. [</w:t>
      </w:r>
      <w:r w:rsidR="004B2B62" w:rsidRPr="00286C59">
        <w:rPr>
          <w:rFonts w:eastAsia="MS Mincho" w:cs="AdvTimes"/>
          <w:sz w:val="24"/>
          <w:szCs w:val="24"/>
          <w:lang w:val="en-GB"/>
        </w:rPr>
        <w:t>5</w:t>
      </w:r>
      <w:r w:rsidRPr="00286C59">
        <w:rPr>
          <w:rFonts w:eastAsia="MS Mincho" w:cs="AdvTimes"/>
          <w:sz w:val="24"/>
          <w:szCs w:val="24"/>
          <w:lang w:val="en-GB"/>
        </w:rPr>
        <w:t>], the relative risk of having</w:t>
      </w:r>
      <w:r w:rsidRPr="00CC3FD3">
        <w:rPr>
          <w:rFonts w:eastAsia="MS Mincho" w:cs="AdvTimes"/>
          <w:sz w:val="24"/>
          <w:szCs w:val="24"/>
          <w:lang w:val="en-GB"/>
        </w:rPr>
        <w:t xml:space="preserve"> a hip fracture or a vertebral fracture was approximately 2-fold higher for most types of prior fracture. For a prior vertebral fracture, however, the risk of a further vertebral fracture was increased more than 4-fold. Most studies suffer from heterogeneous </w:t>
      </w:r>
      <w:r w:rsidR="00DA55E9">
        <w:rPr>
          <w:rFonts w:eastAsia="MS Mincho" w:cs="AdvTimes"/>
          <w:sz w:val="24"/>
          <w:szCs w:val="24"/>
          <w:lang w:val="en-GB"/>
        </w:rPr>
        <w:t xml:space="preserve">and incomplete </w:t>
      </w:r>
      <w:r w:rsidRPr="00CC3FD3">
        <w:rPr>
          <w:rFonts w:eastAsia="MS Mincho" w:cs="AdvTimes"/>
          <w:sz w:val="24"/>
          <w:szCs w:val="24"/>
          <w:lang w:val="en-GB"/>
        </w:rPr>
        <w:t>retrieval of fracture outcomes, a relatively short follow up and scant information on men so that risk estimates lack accuracy.</w:t>
      </w:r>
    </w:p>
    <w:p w14:paraId="590B7D98" w14:textId="77777777" w:rsidR="00CC3FD3" w:rsidRPr="00CC3FD3" w:rsidRDefault="00CC3FD3" w:rsidP="00CC3FD3">
      <w:pPr>
        <w:autoSpaceDE w:val="0"/>
        <w:autoSpaceDN w:val="0"/>
        <w:adjustRightInd w:val="0"/>
        <w:spacing w:after="0" w:line="360" w:lineRule="auto"/>
        <w:rPr>
          <w:rFonts w:eastAsia="MS Mincho" w:cs="AdvTimes"/>
          <w:sz w:val="24"/>
          <w:szCs w:val="24"/>
          <w:lang w:val="en-GB"/>
        </w:rPr>
      </w:pPr>
    </w:p>
    <w:p w14:paraId="1F192005" w14:textId="516B3C43" w:rsidR="00CC3FD3" w:rsidRPr="00CC3FD3" w:rsidRDefault="00CC3FD3" w:rsidP="00CC3FD3">
      <w:pPr>
        <w:autoSpaceDE w:val="0"/>
        <w:autoSpaceDN w:val="0"/>
        <w:adjustRightInd w:val="0"/>
        <w:spacing w:after="0" w:line="360" w:lineRule="auto"/>
        <w:rPr>
          <w:rFonts w:eastAsia="MS Mincho" w:cs="AdvTimes"/>
          <w:sz w:val="24"/>
          <w:szCs w:val="24"/>
          <w:lang w:val="en-GB"/>
        </w:rPr>
      </w:pPr>
      <w:r w:rsidRPr="00CC3FD3">
        <w:rPr>
          <w:rFonts w:eastAsia="MS Mincho" w:cs="AdvTimes"/>
          <w:sz w:val="24"/>
          <w:szCs w:val="24"/>
          <w:lang w:val="en-GB"/>
        </w:rPr>
        <w:t>Additionally</w:t>
      </w:r>
      <w:r w:rsidR="00DA55E9">
        <w:rPr>
          <w:rFonts w:eastAsia="MS Mincho" w:cs="AdvTimes"/>
          <w:sz w:val="24"/>
          <w:szCs w:val="24"/>
          <w:lang w:val="en-GB"/>
        </w:rPr>
        <w:t>,</w:t>
      </w:r>
      <w:r w:rsidRPr="00CC3FD3">
        <w:rPr>
          <w:rFonts w:eastAsia="MS Mincho" w:cs="AdvTimes"/>
          <w:sz w:val="24"/>
          <w:szCs w:val="24"/>
          <w:lang w:val="en-GB"/>
        </w:rPr>
        <w:t xml:space="preserve"> and importantly, the increase in </w:t>
      </w:r>
      <w:r w:rsidR="00DA55E9">
        <w:rPr>
          <w:rFonts w:eastAsia="MS Mincho" w:cs="AdvTimes"/>
          <w:sz w:val="24"/>
          <w:szCs w:val="24"/>
          <w:lang w:val="en-GB"/>
        </w:rPr>
        <w:t xml:space="preserve">relative </w:t>
      </w:r>
      <w:r w:rsidRPr="00CC3FD3">
        <w:rPr>
          <w:rFonts w:eastAsia="MS Mincho" w:cs="AdvTimes"/>
          <w:sz w:val="24"/>
          <w:szCs w:val="24"/>
          <w:lang w:val="en-GB"/>
        </w:rPr>
        <w:t xml:space="preserve">risk may not be constant with time or age. For example, a large meta-analysis showed that a prior fracture history was a significant risk factor for hip fracture at all ages but was highest at younger ages and decreased progressively with </w:t>
      </w:r>
      <w:r w:rsidRPr="00286C59">
        <w:rPr>
          <w:rFonts w:eastAsia="MS Mincho" w:cs="AdvTimes"/>
          <w:sz w:val="24"/>
          <w:szCs w:val="24"/>
          <w:lang w:val="en-GB"/>
        </w:rPr>
        <w:t>age [</w:t>
      </w:r>
      <w:r w:rsidR="004B2B62" w:rsidRPr="00286C59">
        <w:rPr>
          <w:rFonts w:eastAsia="MS Mincho" w:cs="AdvTimes"/>
          <w:sz w:val="24"/>
          <w:szCs w:val="24"/>
          <w:lang w:val="en-GB"/>
        </w:rPr>
        <w:t>3</w:t>
      </w:r>
      <w:r w:rsidRPr="00286C59">
        <w:rPr>
          <w:rFonts w:eastAsia="MS Mincho" w:cs="AdvTimes"/>
          <w:sz w:val="24"/>
          <w:szCs w:val="24"/>
          <w:lang w:val="en-GB"/>
        </w:rPr>
        <w:t xml:space="preserve">]. </w:t>
      </w:r>
      <w:r w:rsidR="003C3EA1" w:rsidRPr="00286C59">
        <w:rPr>
          <w:rFonts w:eastAsia="MS Mincho" w:cs="AdvTimes"/>
          <w:sz w:val="24"/>
          <w:szCs w:val="24"/>
          <w:lang w:val="en-GB"/>
        </w:rPr>
        <w:t>Several</w:t>
      </w:r>
      <w:r w:rsidRPr="00CC3FD3">
        <w:rPr>
          <w:rFonts w:eastAsia="MS Mincho" w:cs="AdvTimes"/>
          <w:sz w:val="24"/>
          <w:szCs w:val="24"/>
          <w:lang w:val="en-GB"/>
        </w:rPr>
        <w:t xml:space="preserve"> studies have examined the time course of second fractures by site following a</w:t>
      </w:r>
      <w:r>
        <w:rPr>
          <w:rFonts w:eastAsia="MS Mincho" w:cs="AdvTimes"/>
          <w:sz w:val="24"/>
          <w:szCs w:val="24"/>
          <w:lang w:val="en-GB"/>
        </w:rPr>
        <w:t>n</w:t>
      </w:r>
      <w:r w:rsidRPr="00CC3FD3">
        <w:rPr>
          <w:rFonts w:eastAsia="MS Mincho" w:cs="AdvTimes"/>
          <w:sz w:val="24"/>
          <w:szCs w:val="24"/>
          <w:lang w:val="en-GB"/>
        </w:rPr>
        <w:t xml:space="preserve"> </w:t>
      </w:r>
      <w:r>
        <w:rPr>
          <w:rFonts w:eastAsia="MS Mincho" w:cs="AdvTimes"/>
          <w:sz w:val="24"/>
          <w:szCs w:val="24"/>
          <w:lang w:val="en-GB"/>
        </w:rPr>
        <w:t>index</w:t>
      </w:r>
      <w:r w:rsidRPr="00CC3FD3">
        <w:rPr>
          <w:rFonts w:eastAsia="MS Mincho" w:cs="AdvTimes"/>
          <w:sz w:val="24"/>
          <w:szCs w:val="24"/>
          <w:lang w:val="en-GB"/>
        </w:rPr>
        <w:t xml:space="preserve"> </w:t>
      </w:r>
      <w:r w:rsidRPr="003319E8">
        <w:rPr>
          <w:rFonts w:eastAsia="MS Mincho" w:cs="AdvTimes"/>
          <w:sz w:val="24"/>
          <w:szCs w:val="24"/>
          <w:lang w:val="en-GB"/>
        </w:rPr>
        <w:t>fracture</w:t>
      </w:r>
      <w:r w:rsidR="004D728D" w:rsidRPr="003319E8">
        <w:rPr>
          <w:rFonts w:eastAsia="MS Mincho" w:cs="AdvTimes"/>
          <w:sz w:val="24"/>
          <w:szCs w:val="24"/>
          <w:lang w:val="en-GB"/>
        </w:rPr>
        <w:t xml:space="preserve"> [</w:t>
      </w:r>
      <w:r w:rsidR="00261052" w:rsidRPr="003319E8">
        <w:rPr>
          <w:rFonts w:eastAsia="MS Mincho" w:cs="AdvTimes"/>
          <w:sz w:val="24"/>
          <w:szCs w:val="24"/>
          <w:lang w:val="en-GB"/>
        </w:rPr>
        <w:t>6-1</w:t>
      </w:r>
      <w:r w:rsidR="003319E8" w:rsidRPr="003319E8">
        <w:rPr>
          <w:rFonts w:eastAsia="MS Mincho" w:cs="AdvTimes"/>
          <w:sz w:val="24"/>
          <w:szCs w:val="24"/>
          <w:lang w:val="en-GB"/>
        </w:rPr>
        <w:t>2]</w:t>
      </w:r>
      <w:r w:rsidR="00155636" w:rsidRPr="003319E8">
        <w:rPr>
          <w:rFonts w:eastAsia="MS Mincho" w:cs="AdvTimes"/>
          <w:sz w:val="24"/>
          <w:szCs w:val="24"/>
          <w:lang w:val="en-GB"/>
        </w:rPr>
        <w:t>.</w:t>
      </w:r>
      <w:r w:rsidRPr="00CC3FD3">
        <w:rPr>
          <w:rFonts w:eastAsia="MS Mincho" w:cs="AdvTimes"/>
          <w:sz w:val="24"/>
          <w:szCs w:val="24"/>
          <w:lang w:val="en-GB"/>
        </w:rPr>
        <w:t xml:space="preserve">  </w:t>
      </w:r>
      <w:r w:rsidR="00360DF9" w:rsidRPr="00360DF9">
        <w:rPr>
          <w:rFonts w:eastAsia="MS Mincho" w:cs="AdvTimes"/>
          <w:sz w:val="24"/>
          <w:szCs w:val="24"/>
          <w:lang w:val="en-GB"/>
        </w:rPr>
        <w:t xml:space="preserve">Fracture at the hip, forearm, spine or humerus (collectively termed major osteoporotic fractures) </w:t>
      </w:r>
      <w:r w:rsidR="00155636">
        <w:rPr>
          <w:rFonts w:eastAsia="MS Mincho" w:cs="AdvTimes"/>
          <w:sz w:val="24"/>
          <w:szCs w:val="24"/>
          <w:lang w:val="en-GB"/>
        </w:rPr>
        <w:t>have been less frequently studied but</w:t>
      </w:r>
      <w:r w:rsidR="00360DF9" w:rsidRPr="00360DF9">
        <w:rPr>
          <w:rFonts w:eastAsia="MS Mincho" w:cs="AdvTimes"/>
          <w:sz w:val="24"/>
          <w:szCs w:val="24"/>
          <w:lang w:val="en-GB"/>
        </w:rPr>
        <w:t xml:space="preserve"> (apart from rib fractures) comprise approximately 90% of the morbidity due to </w:t>
      </w:r>
      <w:r w:rsidR="00E0340C" w:rsidRPr="00E0340C">
        <w:rPr>
          <w:rFonts w:eastAsia="MS Mincho" w:cs="AdvTimes"/>
          <w:sz w:val="24"/>
          <w:szCs w:val="24"/>
          <w:lang w:val="en-GB"/>
        </w:rPr>
        <w:t>fracture [</w:t>
      </w:r>
      <w:r w:rsidR="00261052" w:rsidRPr="00E0340C">
        <w:rPr>
          <w:rFonts w:eastAsia="MS Mincho" w:cs="AdvTimes"/>
          <w:sz w:val="24"/>
          <w:szCs w:val="24"/>
          <w:lang w:val="en-GB"/>
        </w:rPr>
        <w:t>13</w:t>
      </w:r>
      <w:r w:rsidR="00E0340C" w:rsidRPr="00E0340C">
        <w:rPr>
          <w:rFonts w:eastAsia="MS Mincho" w:cs="AdvTimes"/>
          <w:sz w:val="24"/>
          <w:szCs w:val="24"/>
          <w:lang w:val="en-GB"/>
        </w:rPr>
        <w:t>,</w:t>
      </w:r>
      <w:r w:rsidR="00261052" w:rsidRPr="00E0340C">
        <w:rPr>
          <w:rFonts w:eastAsia="MS Mincho" w:cs="AdvTimes"/>
          <w:sz w:val="24"/>
          <w:szCs w:val="24"/>
          <w:lang w:val="en-GB"/>
        </w:rPr>
        <w:t>1</w:t>
      </w:r>
      <w:r w:rsidR="003319E8" w:rsidRPr="00E0340C">
        <w:rPr>
          <w:rFonts w:eastAsia="MS Mincho" w:cs="AdvTimes"/>
          <w:sz w:val="24"/>
          <w:szCs w:val="24"/>
          <w:lang w:val="en-GB"/>
        </w:rPr>
        <w:t>4</w:t>
      </w:r>
      <w:r w:rsidR="00E0340C" w:rsidRPr="00E0340C">
        <w:rPr>
          <w:rFonts w:eastAsia="MS Mincho" w:cs="AdvTimes"/>
          <w:sz w:val="24"/>
          <w:szCs w:val="24"/>
          <w:lang w:val="en-GB"/>
        </w:rPr>
        <w:t>]</w:t>
      </w:r>
      <w:r w:rsidR="00360DF9" w:rsidRPr="00E0340C">
        <w:rPr>
          <w:rFonts w:eastAsia="MS Mincho" w:cs="AdvTimes"/>
          <w:sz w:val="24"/>
          <w:szCs w:val="24"/>
          <w:lang w:val="en-GB"/>
        </w:rPr>
        <w:t xml:space="preserve">.  </w:t>
      </w:r>
      <w:r w:rsidRPr="00E0340C">
        <w:rPr>
          <w:rFonts w:eastAsia="MS Mincho" w:cs="AdvTimes"/>
          <w:sz w:val="24"/>
          <w:szCs w:val="24"/>
          <w:lang w:val="en-GB"/>
        </w:rPr>
        <w:t>In</w:t>
      </w:r>
      <w:r w:rsidRPr="00CC3FD3">
        <w:rPr>
          <w:rFonts w:eastAsia="MS Mincho" w:cs="AdvTimes"/>
          <w:sz w:val="24"/>
          <w:szCs w:val="24"/>
          <w:lang w:val="en-GB"/>
        </w:rPr>
        <w:t xml:space="preserve"> a small study of patients in Malmo over 5 years, prior fractures of the proximal humerus, spine or hip were associated with higher subsequent fracture risks at the hip, forearm, spine or humerus that were most marked in the year following the index </w:t>
      </w:r>
      <w:r w:rsidRPr="00E0340C">
        <w:rPr>
          <w:rFonts w:eastAsia="MS Mincho" w:cs="AdvTimes"/>
          <w:sz w:val="24"/>
          <w:szCs w:val="24"/>
          <w:lang w:val="en-GB"/>
        </w:rPr>
        <w:t>fracture [</w:t>
      </w:r>
      <w:r w:rsidR="004B2B62" w:rsidRPr="00E0340C">
        <w:rPr>
          <w:rFonts w:eastAsia="MS Mincho" w:cs="AdvTimes"/>
          <w:sz w:val="24"/>
          <w:szCs w:val="24"/>
          <w:lang w:val="en-GB"/>
        </w:rPr>
        <w:t>1</w:t>
      </w:r>
      <w:r w:rsidRPr="00E0340C">
        <w:rPr>
          <w:rFonts w:eastAsia="MS Mincho" w:cs="AdvTimes"/>
          <w:sz w:val="24"/>
          <w:szCs w:val="24"/>
          <w:lang w:val="en-GB"/>
        </w:rPr>
        <w:t xml:space="preserve">].  </w:t>
      </w:r>
      <w:r w:rsidR="00360DF9" w:rsidRPr="00E0340C">
        <w:rPr>
          <w:rFonts w:eastAsia="MS Mincho" w:cs="AdvTimes"/>
          <w:sz w:val="24"/>
          <w:szCs w:val="24"/>
          <w:lang w:val="en-GB"/>
        </w:rPr>
        <w:t>A large</w:t>
      </w:r>
      <w:r w:rsidR="00360DF9">
        <w:rPr>
          <w:rFonts w:eastAsia="MS Mincho" w:cs="AdvTimes"/>
          <w:sz w:val="24"/>
          <w:szCs w:val="24"/>
          <w:lang w:val="en-GB"/>
        </w:rPr>
        <w:t xml:space="preserve"> study from Manitoba showed a similar phenomenon when these fracture sites were </w:t>
      </w:r>
      <w:r w:rsidR="00360DF9" w:rsidRPr="00E0340C">
        <w:rPr>
          <w:rFonts w:eastAsia="MS Mincho" w:cs="AdvTimes"/>
          <w:sz w:val="24"/>
          <w:szCs w:val="24"/>
          <w:lang w:val="en-GB"/>
        </w:rPr>
        <w:t>combined [</w:t>
      </w:r>
      <w:r w:rsidR="00261052" w:rsidRPr="00E0340C">
        <w:rPr>
          <w:rFonts w:eastAsia="MS Mincho" w:cs="AdvTimes"/>
          <w:sz w:val="24"/>
          <w:szCs w:val="24"/>
          <w:lang w:val="en-GB"/>
        </w:rPr>
        <w:t>6</w:t>
      </w:r>
      <w:r w:rsidR="00E0340C" w:rsidRPr="00E0340C">
        <w:rPr>
          <w:rFonts w:eastAsia="MS Mincho" w:cs="AdvTimes"/>
          <w:sz w:val="24"/>
          <w:szCs w:val="24"/>
          <w:lang w:val="en-GB"/>
        </w:rPr>
        <w:t>]</w:t>
      </w:r>
      <w:r w:rsidR="004479F9" w:rsidRPr="00E0340C">
        <w:rPr>
          <w:rFonts w:eastAsia="MS Mincho" w:cs="AdvTimes"/>
          <w:sz w:val="24"/>
          <w:szCs w:val="24"/>
          <w:lang w:val="en-GB"/>
        </w:rPr>
        <w:t xml:space="preserve">. </w:t>
      </w:r>
      <w:r w:rsidR="00FF1E8F" w:rsidRPr="00E0340C">
        <w:rPr>
          <w:rFonts w:eastAsia="MS Mincho" w:cs="AdvTimes"/>
          <w:sz w:val="24"/>
          <w:szCs w:val="24"/>
          <w:lang w:val="en-GB"/>
        </w:rPr>
        <w:t>There</w:t>
      </w:r>
      <w:r w:rsidR="00FF1E8F">
        <w:rPr>
          <w:rFonts w:eastAsia="MS Mincho" w:cs="AdvTimes"/>
          <w:sz w:val="24"/>
          <w:szCs w:val="24"/>
          <w:lang w:val="en-GB"/>
        </w:rPr>
        <w:t xml:space="preserve"> are no studies that have examined the age-dependency of the immediate increase in fracture risk.</w:t>
      </w:r>
    </w:p>
    <w:p w14:paraId="277223A1" w14:textId="77777777" w:rsidR="00CC3FD3" w:rsidRDefault="00CC3FD3" w:rsidP="00CC3FD3">
      <w:pPr>
        <w:autoSpaceDE w:val="0"/>
        <w:autoSpaceDN w:val="0"/>
        <w:adjustRightInd w:val="0"/>
        <w:spacing w:after="0" w:line="360" w:lineRule="auto"/>
        <w:rPr>
          <w:rFonts w:ascii="Times New Roman" w:hAnsi="Times New Roman"/>
          <w:b/>
          <w:sz w:val="24"/>
          <w:szCs w:val="24"/>
          <w:lang w:val="en-GB"/>
        </w:rPr>
      </w:pPr>
    </w:p>
    <w:p w14:paraId="47BA539C" w14:textId="3C6FF0E2" w:rsidR="00565005" w:rsidRPr="00CC3FD3" w:rsidRDefault="009E0A8A" w:rsidP="00CC3FD3">
      <w:pPr>
        <w:autoSpaceDE w:val="0"/>
        <w:autoSpaceDN w:val="0"/>
        <w:adjustRightInd w:val="0"/>
        <w:spacing w:after="0" w:line="360" w:lineRule="auto"/>
        <w:rPr>
          <w:rFonts w:asciiTheme="minorHAnsi" w:hAnsiTheme="minorHAnsi"/>
          <w:sz w:val="24"/>
          <w:szCs w:val="24"/>
          <w:lang w:val="en-GB"/>
        </w:rPr>
      </w:pPr>
      <w:r w:rsidRPr="009E0A8A">
        <w:rPr>
          <w:rFonts w:asciiTheme="minorHAnsi" w:hAnsiTheme="minorHAnsi"/>
          <w:sz w:val="24"/>
          <w:szCs w:val="24"/>
        </w:rPr>
        <w:t>The time since prior fracture and age -depende</w:t>
      </w:r>
      <w:r w:rsidR="003A093B">
        <w:rPr>
          <w:rFonts w:asciiTheme="minorHAnsi" w:hAnsiTheme="minorHAnsi"/>
          <w:sz w:val="24"/>
          <w:szCs w:val="24"/>
        </w:rPr>
        <w:t>n</w:t>
      </w:r>
      <w:r w:rsidRPr="009E0A8A">
        <w:rPr>
          <w:rFonts w:asciiTheme="minorHAnsi" w:hAnsiTheme="minorHAnsi"/>
          <w:sz w:val="24"/>
          <w:szCs w:val="24"/>
        </w:rPr>
        <w:t xml:space="preserve">cy has clinical implications.  An acute increase in risk following an index fracture argues that treatment should be optimally targetted as soon as possible after a fragility frature.  </w:t>
      </w:r>
      <w:r w:rsidR="00764995">
        <w:rPr>
          <w:rFonts w:asciiTheme="minorHAnsi" w:hAnsiTheme="minorHAnsi"/>
          <w:sz w:val="24"/>
          <w:szCs w:val="24"/>
        </w:rPr>
        <w:t xml:space="preserve">Age-dependency </w:t>
      </w:r>
      <w:r w:rsidRPr="009E0A8A">
        <w:rPr>
          <w:rFonts w:asciiTheme="minorHAnsi" w:hAnsiTheme="minorHAnsi"/>
          <w:sz w:val="24"/>
          <w:szCs w:val="24"/>
        </w:rPr>
        <w:t xml:space="preserve">may help target such strategies to the more vulnerable sections of the community at high risk. </w:t>
      </w:r>
      <w:r w:rsidR="00565005" w:rsidRPr="00CC3FD3">
        <w:rPr>
          <w:rFonts w:asciiTheme="minorHAnsi" w:hAnsiTheme="minorHAnsi"/>
          <w:sz w:val="24"/>
          <w:szCs w:val="24"/>
          <w:lang w:val="en-GB"/>
        </w:rPr>
        <w:t xml:space="preserve">The aim of the present study </w:t>
      </w:r>
      <w:r w:rsidR="00CC3FD3" w:rsidRPr="00CC3FD3">
        <w:rPr>
          <w:rFonts w:asciiTheme="minorHAnsi" w:hAnsiTheme="minorHAnsi"/>
          <w:sz w:val="24"/>
          <w:szCs w:val="24"/>
          <w:lang w:val="en-GB"/>
        </w:rPr>
        <w:t>wa</w:t>
      </w:r>
      <w:r w:rsidR="00565005" w:rsidRPr="00CC3FD3">
        <w:rPr>
          <w:rFonts w:asciiTheme="minorHAnsi" w:hAnsiTheme="minorHAnsi"/>
          <w:sz w:val="24"/>
          <w:szCs w:val="24"/>
          <w:lang w:val="en-GB"/>
        </w:rPr>
        <w:t xml:space="preserve">s to determine the pattern of risk of </w:t>
      </w:r>
      <w:r w:rsidR="00CC3FD3" w:rsidRPr="00CC3FD3">
        <w:rPr>
          <w:rFonts w:asciiTheme="minorHAnsi" w:hAnsiTheme="minorHAnsi"/>
          <w:sz w:val="24"/>
          <w:szCs w:val="24"/>
          <w:lang w:val="en-GB"/>
        </w:rPr>
        <w:t xml:space="preserve">major osteoporotic </w:t>
      </w:r>
      <w:r w:rsidR="00565005" w:rsidRPr="00CC3FD3">
        <w:rPr>
          <w:rFonts w:asciiTheme="minorHAnsi" w:hAnsiTheme="minorHAnsi"/>
          <w:sz w:val="24"/>
          <w:szCs w:val="24"/>
          <w:lang w:val="en-GB"/>
        </w:rPr>
        <w:t>fractures</w:t>
      </w:r>
      <w:r w:rsidR="00CC3FD3" w:rsidRPr="00CC3FD3">
        <w:rPr>
          <w:rFonts w:asciiTheme="minorHAnsi" w:hAnsiTheme="minorHAnsi"/>
          <w:sz w:val="24"/>
          <w:szCs w:val="24"/>
          <w:lang w:val="en-GB"/>
        </w:rPr>
        <w:t xml:space="preserve"> (MOF)</w:t>
      </w:r>
      <w:r w:rsidR="00565005" w:rsidRPr="00CC3FD3">
        <w:rPr>
          <w:rFonts w:asciiTheme="minorHAnsi" w:hAnsiTheme="minorHAnsi"/>
          <w:sz w:val="24"/>
          <w:szCs w:val="24"/>
          <w:lang w:val="en-GB"/>
        </w:rPr>
        <w:t xml:space="preserve"> in the years </w:t>
      </w:r>
      <w:r w:rsidR="00CC3FD3" w:rsidRPr="00CC3FD3">
        <w:rPr>
          <w:rFonts w:asciiTheme="minorHAnsi" w:hAnsiTheme="minorHAnsi"/>
          <w:sz w:val="24"/>
          <w:szCs w:val="24"/>
          <w:lang w:val="en-GB"/>
        </w:rPr>
        <w:t>following</w:t>
      </w:r>
      <w:r w:rsidR="00565005" w:rsidRPr="00CC3FD3">
        <w:rPr>
          <w:rFonts w:asciiTheme="minorHAnsi" w:hAnsiTheme="minorHAnsi"/>
          <w:sz w:val="24"/>
          <w:szCs w:val="24"/>
          <w:lang w:val="en-GB"/>
        </w:rPr>
        <w:t xml:space="preserve"> a </w:t>
      </w:r>
      <w:r w:rsidR="00CC3FD3" w:rsidRPr="00CC3FD3">
        <w:rPr>
          <w:rFonts w:asciiTheme="minorHAnsi" w:hAnsiTheme="minorHAnsi"/>
          <w:sz w:val="24"/>
          <w:szCs w:val="24"/>
          <w:lang w:val="en-GB"/>
        </w:rPr>
        <w:t>MOF</w:t>
      </w:r>
      <w:r w:rsidR="00565005" w:rsidRPr="00CC3FD3">
        <w:rPr>
          <w:rFonts w:asciiTheme="minorHAnsi" w:hAnsiTheme="minorHAnsi"/>
          <w:sz w:val="24"/>
          <w:szCs w:val="24"/>
          <w:lang w:val="en-GB"/>
        </w:rPr>
        <w:t>.  The patterns of interest include</w:t>
      </w:r>
      <w:r w:rsidR="00CC3FD3" w:rsidRPr="00CC3FD3">
        <w:rPr>
          <w:rFonts w:asciiTheme="minorHAnsi" w:hAnsiTheme="minorHAnsi"/>
          <w:sz w:val="24"/>
          <w:szCs w:val="24"/>
          <w:lang w:val="en-GB"/>
        </w:rPr>
        <w:t>d t</w:t>
      </w:r>
      <w:r w:rsidR="00565005" w:rsidRPr="00CC3FD3">
        <w:rPr>
          <w:rFonts w:asciiTheme="minorHAnsi" w:hAnsiTheme="minorHAnsi"/>
          <w:sz w:val="24"/>
          <w:szCs w:val="24"/>
          <w:lang w:val="en-GB"/>
        </w:rPr>
        <w:t xml:space="preserve">he time course of </w:t>
      </w:r>
      <w:r w:rsidR="00CC3FD3" w:rsidRPr="00CC3FD3">
        <w:rPr>
          <w:rFonts w:asciiTheme="minorHAnsi" w:hAnsiTheme="minorHAnsi"/>
          <w:sz w:val="24"/>
          <w:szCs w:val="24"/>
          <w:lang w:val="en-GB"/>
        </w:rPr>
        <w:t>risk,</w:t>
      </w:r>
      <w:r w:rsidR="00565005" w:rsidRPr="00CC3FD3">
        <w:rPr>
          <w:rFonts w:asciiTheme="minorHAnsi" w:hAnsiTheme="minorHAnsi"/>
          <w:sz w:val="24"/>
          <w:szCs w:val="24"/>
          <w:lang w:val="en-GB"/>
        </w:rPr>
        <w:t xml:space="preserve"> </w:t>
      </w:r>
      <w:r w:rsidR="00CC3FD3" w:rsidRPr="00CC3FD3">
        <w:rPr>
          <w:rFonts w:asciiTheme="minorHAnsi" w:hAnsiTheme="minorHAnsi"/>
          <w:sz w:val="24"/>
          <w:szCs w:val="24"/>
          <w:lang w:val="en-GB"/>
        </w:rPr>
        <w:t>effects of gender and dependency on age.</w:t>
      </w:r>
    </w:p>
    <w:p w14:paraId="3737B724" w14:textId="77777777" w:rsidR="00565005" w:rsidRPr="00E4190D" w:rsidRDefault="00565005" w:rsidP="00CC3FD3">
      <w:pPr>
        <w:pStyle w:val="NoSpacing"/>
        <w:spacing w:line="360" w:lineRule="auto"/>
        <w:rPr>
          <w:rFonts w:ascii="Times New Roman" w:hAnsi="Times New Roman" w:cs="Times New Roman"/>
          <w:b/>
          <w:sz w:val="24"/>
          <w:szCs w:val="24"/>
          <w:lang w:val="en-GB"/>
        </w:rPr>
      </w:pPr>
    </w:p>
    <w:p w14:paraId="6F79B8B7" w14:textId="77777777" w:rsidR="00665B6D" w:rsidRPr="00544C47" w:rsidRDefault="00665B6D" w:rsidP="00CC3FD3">
      <w:pPr>
        <w:pStyle w:val="NoSpacing"/>
        <w:spacing w:line="360" w:lineRule="auto"/>
        <w:rPr>
          <w:rFonts w:cs="Times New Roman"/>
          <w:b/>
          <w:sz w:val="24"/>
          <w:szCs w:val="24"/>
          <w:lang w:val="en-GB"/>
        </w:rPr>
      </w:pPr>
      <w:r w:rsidRPr="00544C47">
        <w:rPr>
          <w:rFonts w:cs="Times New Roman"/>
          <w:b/>
          <w:sz w:val="24"/>
          <w:szCs w:val="24"/>
          <w:lang w:val="en-GB"/>
        </w:rPr>
        <w:lastRenderedPageBreak/>
        <w:t>Methods</w:t>
      </w:r>
    </w:p>
    <w:p w14:paraId="2BB0401D" w14:textId="77777777" w:rsidR="00565005" w:rsidRPr="00E4190D" w:rsidRDefault="00565005" w:rsidP="00CC3FD3">
      <w:pPr>
        <w:pStyle w:val="NoSpacing"/>
        <w:spacing w:line="360" w:lineRule="auto"/>
        <w:rPr>
          <w:rFonts w:ascii="Times New Roman" w:hAnsi="Times New Roman" w:cs="Times New Roman"/>
          <w:sz w:val="24"/>
          <w:szCs w:val="24"/>
          <w:lang w:val="en-GB"/>
        </w:rPr>
      </w:pPr>
    </w:p>
    <w:p w14:paraId="6B95DC8F" w14:textId="70962DA4" w:rsidR="00CC3FD3" w:rsidRDefault="00CC3FD3" w:rsidP="00CC3FD3">
      <w:pPr>
        <w:autoSpaceDE w:val="0"/>
        <w:autoSpaceDN w:val="0"/>
        <w:adjustRightInd w:val="0"/>
        <w:spacing w:after="0" w:line="360" w:lineRule="auto"/>
        <w:rPr>
          <w:rFonts w:eastAsia="MS Mincho" w:cs="AdvTT3713a231"/>
          <w:color w:val="131413"/>
          <w:sz w:val="24"/>
          <w:szCs w:val="24"/>
          <w:lang w:val="en-GB"/>
        </w:rPr>
      </w:pPr>
      <w:r w:rsidRPr="00CC3FD3">
        <w:rPr>
          <w:rFonts w:eastAsia="MS Mincho" w:cs="AdvTT3713a231"/>
          <w:color w:val="131413"/>
          <w:sz w:val="24"/>
          <w:szCs w:val="24"/>
          <w:lang w:val="en-GB"/>
        </w:rPr>
        <w:t xml:space="preserve">The study cohort consists of 30,795 men and women, comprising all residents in the greater Reykjavik Area on </w:t>
      </w:r>
      <w:r w:rsidR="004652B1">
        <w:rPr>
          <w:rFonts w:eastAsia="MS Mincho" w:cs="AdvTT3713a231"/>
          <w:color w:val="131413"/>
          <w:sz w:val="24"/>
          <w:szCs w:val="24"/>
          <w:lang w:val="en-GB"/>
        </w:rPr>
        <w:t xml:space="preserve">1 </w:t>
      </w:r>
      <w:r w:rsidRPr="00CC3FD3">
        <w:rPr>
          <w:rFonts w:eastAsia="MS Mincho" w:cs="AdvTT3713a231"/>
          <w:color w:val="131413"/>
          <w:sz w:val="24"/>
          <w:szCs w:val="24"/>
          <w:lang w:val="en-GB"/>
        </w:rPr>
        <w:t>December 1967</w:t>
      </w:r>
      <w:r w:rsidR="004652B1">
        <w:rPr>
          <w:rFonts w:eastAsia="MS Mincho" w:cs="AdvTT3713a231"/>
          <w:color w:val="131413"/>
          <w:sz w:val="24"/>
          <w:szCs w:val="24"/>
          <w:lang w:val="en-GB"/>
        </w:rPr>
        <w:t xml:space="preserve"> who were </w:t>
      </w:r>
      <w:r w:rsidRPr="00CC3FD3">
        <w:rPr>
          <w:rFonts w:eastAsia="MS Mincho" w:cs="AdvTT3713a231"/>
          <w:color w:val="131413"/>
          <w:sz w:val="24"/>
          <w:szCs w:val="24"/>
          <w:lang w:val="en-GB"/>
        </w:rPr>
        <w:t>born between 1907 and 1935 (both years included)</w:t>
      </w:r>
      <w:r w:rsidR="00DA55E9">
        <w:rPr>
          <w:rFonts w:eastAsia="MS Mincho" w:cs="AdvTT3713a231"/>
          <w:color w:val="131413"/>
          <w:sz w:val="24"/>
          <w:szCs w:val="24"/>
          <w:lang w:val="en-GB"/>
        </w:rPr>
        <w:t xml:space="preserve">; this sample </w:t>
      </w:r>
      <w:r w:rsidRPr="00CC3FD3">
        <w:rPr>
          <w:rFonts w:eastAsia="MS Mincho" w:cs="AdvTT3713a231"/>
          <w:color w:val="131413"/>
          <w:sz w:val="24"/>
          <w:szCs w:val="24"/>
          <w:lang w:val="en-GB"/>
        </w:rPr>
        <w:t xml:space="preserve">represented 55 % percent of the total Icelandic population in this age </w:t>
      </w:r>
      <w:r w:rsidRPr="00E0340C">
        <w:rPr>
          <w:rFonts w:eastAsia="MS Mincho" w:cs="AdvTT3713a231"/>
          <w:color w:val="131413"/>
          <w:sz w:val="24"/>
          <w:szCs w:val="24"/>
          <w:lang w:val="en-GB"/>
        </w:rPr>
        <w:t>range [</w:t>
      </w:r>
      <w:r w:rsidR="00261052" w:rsidRPr="00E0340C">
        <w:rPr>
          <w:rFonts w:eastAsia="MS Mincho" w:cs="AdvTT3713a231"/>
          <w:color w:val="131413"/>
          <w:sz w:val="24"/>
          <w:szCs w:val="24"/>
          <w:lang w:val="en-GB"/>
        </w:rPr>
        <w:t>1</w:t>
      </w:r>
      <w:r w:rsidR="003319E8" w:rsidRPr="00E0340C">
        <w:rPr>
          <w:rFonts w:eastAsia="MS Mincho" w:cs="AdvTT3713a231"/>
          <w:color w:val="131413"/>
          <w:sz w:val="24"/>
          <w:szCs w:val="24"/>
          <w:lang w:val="en-GB"/>
        </w:rPr>
        <w:t>5</w:t>
      </w:r>
      <w:r w:rsidR="00261052" w:rsidRPr="00E0340C">
        <w:rPr>
          <w:rFonts w:eastAsia="MS Mincho" w:cs="AdvTT3713a231"/>
          <w:color w:val="131413"/>
          <w:sz w:val="24"/>
          <w:szCs w:val="24"/>
          <w:lang w:val="en-GB"/>
        </w:rPr>
        <w:t>, 1</w:t>
      </w:r>
      <w:r w:rsidR="003319E8" w:rsidRPr="00E0340C">
        <w:rPr>
          <w:rFonts w:eastAsia="MS Mincho" w:cs="AdvTT3713a231"/>
          <w:color w:val="131413"/>
          <w:sz w:val="24"/>
          <w:szCs w:val="24"/>
          <w:lang w:val="en-GB"/>
        </w:rPr>
        <w:t>6</w:t>
      </w:r>
      <w:r w:rsidR="00261052" w:rsidRPr="00E0340C">
        <w:rPr>
          <w:rFonts w:eastAsia="MS Mincho" w:cs="AdvTT3713a231"/>
          <w:color w:val="131413"/>
          <w:sz w:val="24"/>
          <w:szCs w:val="24"/>
          <w:lang w:val="en-GB"/>
        </w:rPr>
        <w:t>]</w:t>
      </w:r>
      <w:r w:rsidRPr="00E0340C">
        <w:rPr>
          <w:rFonts w:eastAsia="MS Mincho" w:cs="AdvTT3713a231"/>
          <w:color w:val="131413"/>
          <w:sz w:val="24"/>
          <w:szCs w:val="24"/>
          <w:lang w:val="en-GB"/>
        </w:rPr>
        <w:t>.</w:t>
      </w:r>
      <w:r w:rsidRPr="00CC3FD3">
        <w:rPr>
          <w:rFonts w:eastAsia="MS Mincho" w:cs="AdvTT3713a231"/>
          <w:color w:val="131413"/>
          <w:sz w:val="24"/>
          <w:szCs w:val="24"/>
          <w:lang w:val="en-GB"/>
        </w:rPr>
        <w:t xml:space="preserve">  Participants were selected at random from the Icelandic National Register. The current study was based on 18,872 participants who </w:t>
      </w:r>
      <w:r w:rsidR="00ED5344">
        <w:rPr>
          <w:rFonts w:eastAsia="MS Mincho" w:cs="AdvTT3713a231"/>
          <w:color w:val="131413"/>
          <w:sz w:val="24"/>
          <w:szCs w:val="24"/>
          <w:lang w:val="en-GB"/>
        </w:rPr>
        <w:t>enrolled</w:t>
      </w:r>
      <w:r w:rsidR="00ED5344" w:rsidRPr="00CC3FD3">
        <w:rPr>
          <w:rFonts w:eastAsia="MS Mincho" w:cs="AdvTT3713a231"/>
          <w:color w:val="131413"/>
          <w:sz w:val="24"/>
          <w:szCs w:val="24"/>
          <w:lang w:val="en-GB"/>
        </w:rPr>
        <w:t xml:space="preserve"> </w:t>
      </w:r>
      <w:r w:rsidRPr="00CC3FD3">
        <w:rPr>
          <w:rFonts w:eastAsia="MS Mincho" w:cs="AdvTT3713a231"/>
          <w:color w:val="131413"/>
          <w:sz w:val="24"/>
          <w:szCs w:val="24"/>
          <w:lang w:val="en-GB"/>
        </w:rPr>
        <w:t>during the recruitment period in 1967</w:t>
      </w:r>
      <w:r w:rsidRPr="00CC3FD3">
        <w:rPr>
          <w:rFonts w:eastAsia="MS Mincho" w:cs="AdvTT3713a231+20"/>
          <w:color w:val="131413"/>
          <w:sz w:val="24"/>
          <w:szCs w:val="24"/>
          <w:lang w:val="en-GB"/>
        </w:rPr>
        <w:t>–</w:t>
      </w:r>
      <w:r w:rsidRPr="00CC3FD3">
        <w:rPr>
          <w:rFonts w:eastAsia="MS Mincho" w:cs="AdvTT3713a231"/>
          <w:color w:val="131413"/>
          <w:sz w:val="24"/>
          <w:szCs w:val="24"/>
          <w:lang w:val="en-GB"/>
        </w:rPr>
        <w:t>1991, with 9,116 men and 9,756 women, resulting in a 71.8 % recruitment rate.</w:t>
      </w:r>
      <w:r w:rsidRPr="00CC3FD3">
        <w:rPr>
          <w:rFonts w:ascii="AdvTT3713a231" w:eastAsia="MS Mincho" w:hAnsi="AdvTT3713a231" w:cs="AdvTT3713a231"/>
          <w:color w:val="131413"/>
          <w:sz w:val="20"/>
          <w:szCs w:val="20"/>
          <w:lang w:val="en-GB"/>
        </w:rPr>
        <w:t xml:space="preserve"> </w:t>
      </w:r>
      <w:r w:rsidRPr="00CC3FD3">
        <w:rPr>
          <w:rFonts w:eastAsia="MS Mincho" w:cs="AdvTT3713a231"/>
          <w:color w:val="131413"/>
          <w:sz w:val="24"/>
          <w:szCs w:val="24"/>
          <w:lang w:val="en-GB"/>
        </w:rPr>
        <w:t xml:space="preserve">Individuals were </w:t>
      </w:r>
      <w:r w:rsidRPr="00392F55">
        <w:rPr>
          <w:rFonts w:eastAsia="MS Mincho" w:cs="AdvTT3713a231"/>
          <w:color w:val="131413"/>
          <w:sz w:val="24"/>
          <w:szCs w:val="24"/>
          <w:lang w:val="en-GB"/>
        </w:rPr>
        <w:t xml:space="preserve">followed-up for a median time of </w:t>
      </w:r>
      <w:r w:rsidR="00D33145" w:rsidRPr="00392F55">
        <w:rPr>
          <w:rFonts w:eastAsia="MS Mincho" w:cs="AdvTT3713a231"/>
          <w:color w:val="131413"/>
          <w:sz w:val="24"/>
          <w:szCs w:val="24"/>
          <w:lang w:val="en-GB"/>
        </w:rPr>
        <w:t>28</w:t>
      </w:r>
      <w:r w:rsidRPr="00392F55">
        <w:rPr>
          <w:rFonts w:eastAsia="MS Mincho" w:cs="AdvTT3713a231"/>
          <w:color w:val="131413"/>
          <w:sz w:val="24"/>
          <w:szCs w:val="24"/>
          <w:lang w:val="en-GB"/>
        </w:rPr>
        <w:t xml:space="preserve"> years until death</w:t>
      </w:r>
      <w:r w:rsidR="007A09DF">
        <w:rPr>
          <w:rFonts w:eastAsia="MS Mincho" w:cs="AdvTT3713a231"/>
          <w:color w:val="131413"/>
          <w:sz w:val="24"/>
          <w:szCs w:val="24"/>
          <w:lang w:val="en-GB"/>
        </w:rPr>
        <w:t>, emigration</w:t>
      </w:r>
      <w:r w:rsidRPr="00392F55">
        <w:rPr>
          <w:rFonts w:eastAsia="MS Mincho" w:cs="AdvTT3713a231"/>
          <w:color w:val="131413"/>
          <w:sz w:val="24"/>
          <w:szCs w:val="24"/>
          <w:lang w:val="en-GB"/>
        </w:rPr>
        <w:t xml:space="preserve"> or December 31</w:t>
      </w:r>
      <w:r w:rsidRPr="00392F55">
        <w:rPr>
          <w:rFonts w:eastAsia="MS Mincho" w:cs="AdvTT3713a231"/>
          <w:color w:val="131413"/>
          <w:sz w:val="24"/>
          <w:szCs w:val="24"/>
          <w:vertAlign w:val="superscript"/>
          <w:lang w:val="en-GB"/>
        </w:rPr>
        <w:t>st</w:t>
      </w:r>
      <w:r w:rsidRPr="00392F55">
        <w:rPr>
          <w:rFonts w:eastAsia="MS Mincho" w:cs="AdvTT3713a231"/>
          <w:color w:val="131413"/>
          <w:sz w:val="24"/>
          <w:szCs w:val="24"/>
          <w:lang w:val="en-GB"/>
        </w:rPr>
        <w:t xml:space="preserve"> 2012, a total of </w:t>
      </w:r>
      <w:r w:rsidR="00F51EF1" w:rsidRPr="00392F55">
        <w:rPr>
          <w:rFonts w:eastAsia="MS Mincho" w:cs="AdvTT3713a231"/>
          <w:color w:val="131413"/>
          <w:sz w:val="24"/>
          <w:szCs w:val="24"/>
          <w:lang w:val="en-GB"/>
        </w:rPr>
        <w:t>510,265</w:t>
      </w:r>
      <w:r w:rsidRPr="00392F55">
        <w:rPr>
          <w:rFonts w:eastAsia="MS Mincho" w:cs="AdvTT3713a231"/>
          <w:color w:val="131413"/>
          <w:sz w:val="24"/>
          <w:szCs w:val="24"/>
          <w:lang w:val="en-GB"/>
        </w:rPr>
        <w:t xml:space="preserve"> person years.</w:t>
      </w:r>
    </w:p>
    <w:p w14:paraId="3D93ADDF" w14:textId="77777777" w:rsidR="00ED5344" w:rsidRDefault="00ED5344" w:rsidP="00CC3FD3">
      <w:pPr>
        <w:autoSpaceDE w:val="0"/>
        <w:autoSpaceDN w:val="0"/>
        <w:adjustRightInd w:val="0"/>
        <w:spacing w:after="0" w:line="360" w:lineRule="auto"/>
        <w:rPr>
          <w:rFonts w:eastAsia="MS Mincho" w:cs="AdvTT3713a231"/>
          <w:color w:val="131413"/>
          <w:sz w:val="24"/>
          <w:szCs w:val="24"/>
          <w:lang w:val="en-GB"/>
        </w:rPr>
      </w:pPr>
    </w:p>
    <w:p w14:paraId="0D7F6FF3" w14:textId="77777777" w:rsidR="00ED5344" w:rsidRPr="00ED5344" w:rsidRDefault="00ED5344" w:rsidP="00ED5344">
      <w:pPr>
        <w:autoSpaceDE w:val="0"/>
        <w:autoSpaceDN w:val="0"/>
        <w:adjustRightInd w:val="0"/>
        <w:spacing w:after="0" w:line="360" w:lineRule="auto"/>
        <w:rPr>
          <w:rFonts w:eastAsia="MS Mincho" w:cs="AdvTT3713a231"/>
          <w:color w:val="131413"/>
          <w:sz w:val="24"/>
          <w:szCs w:val="24"/>
          <w:lang w:val="en-GB"/>
        </w:rPr>
      </w:pPr>
      <w:r w:rsidRPr="00ED5344">
        <w:rPr>
          <w:rFonts w:eastAsia="MS Mincho" w:cs="AdvTT3713a231"/>
          <w:color w:val="131413"/>
          <w:sz w:val="24"/>
          <w:szCs w:val="24"/>
          <w:lang w:val="en-GB"/>
        </w:rPr>
        <w:t>The study was approved by the National Bioethics Committee and the Data Protection Authority in Iceland.  All participants gave informed written consent.</w:t>
      </w:r>
    </w:p>
    <w:p w14:paraId="38AC6D6F" w14:textId="77777777" w:rsidR="00CC3FD3" w:rsidRPr="00E4190D" w:rsidRDefault="00CC3FD3" w:rsidP="00CC3FD3">
      <w:pPr>
        <w:autoSpaceDE w:val="0"/>
        <w:autoSpaceDN w:val="0"/>
        <w:adjustRightInd w:val="0"/>
        <w:spacing w:after="0" w:line="360" w:lineRule="auto"/>
        <w:rPr>
          <w:rFonts w:ascii="Times New Roman" w:hAnsi="Times New Roman"/>
          <w:color w:val="131413"/>
          <w:sz w:val="24"/>
          <w:szCs w:val="24"/>
          <w:lang w:val="en-GB"/>
        </w:rPr>
      </w:pPr>
    </w:p>
    <w:p w14:paraId="5BC2C202" w14:textId="77777777" w:rsidR="00CC3FD3" w:rsidRPr="00B111B1" w:rsidRDefault="00CC3FD3" w:rsidP="00CC3FD3">
      <w:pPr>
        <w:autoSpaceDE w:val="0"/>
        <w:autoSpaceDN w:val="0"/>
        <w:adjustRightInd w:val="0"/>
        <w:spacing w:after="0" w:line="360" w:lineRule="auto"/>
        <w:rPr>
          <w:rFonts w:cs="AdvTT3713a231"/>
          <w:i/>
          <w:color w:val="131413"/>
          <w:sz w:val="24"/>
          <w:szCs w:val="24"/>
          <w:lang w:val="en-GB"/>
        </w:rPr>
      </w:pPr>
      <w:r w:rsidRPr="00B111B1">
        <w:rPr>
          <w:rFonts w:cs="AdvTT3713a231"/>
          <w:i/>
          <w:color w:val="131413"/>
          <w:sz w:val="24"/>
          <w:szCs w:val="24"/>
          <w:lang w:val="en-GB"/>
        </w:rPr>
        <w:t>Assessment of fractures</w:t>
      </w:r>
    </w:p>
    <w:p w14:paraId="5999AFA0" w14:textId="0D6AAD71" w:rsidR="00CC3FD3" w:rsidRDefault="003808CA" w:rsidP="00CC3FD3">
      <w:pPr>
        <w:autoSpaceDE w:val="0"/>
        <w:autoSpaceDN w:val="0"/>
        <w:adjustRightInd w:val="0"/>
        <w:spacing w:after="0" w:line="360" w:lineRule="auto"/>
        <w:rPr>
          <w:rFonts w:cs="AdvTT3713a231"/>
          <w:color w:val="131413"/>
          <w:sz w:val="24"/>
          <w:szCs w:val="24"/>
          <w:lang w:val="en-GB"/>
        </w:rPr>
      </w:pPr>
      <w:r w:rsidRPr="003808CA">
        <w:rPr>
          <w:rFonts w:cs="AdvTT3713a231"/>
          <w:color w:val="131413"/>
          <w:sz w:val="24"/>
          <w:szCs w:val="24"/>
          <w:lang w:val="en-GB"/>
        </w:rPr>
        <w:t xml:space="preserve">The Reykjavik Study fracture registration collected all fractures of the participants from entry into the study up to December 31st </w:t>
      </w:r>
      <w:r w:rsidRPr="00E0340C">
        <w:rPr>
          <w:rFonts w:cs="AdvTT3713a231"/>
          <w:color w:val="131413"/>
          <w:sz w:val="24"/>
          <w:szCs w:val="24"/>
          <w:lang w:val="en-GB"/>
        </w:rPr>
        <w:t>2008 [</w:t>
      </w:r>
      <w:r w:rsidR="00261052" w:rsidRPr="00E0340C">
        <w:rPr>
          <w:rFonts w:cs="AdvTT3713a231"/>
          <w:color w:val="131413"/>
          <w:sz w:val="24"/>
          <w:szCs w:val="24"/>
          <w:lang w:val="en-GB"/>
        </w:rPr>
        <w:t>1</w:t>
      </w:r>
      <w:r w:rsidR="003319E8" w:rsidRPr="00E0340C">
        <w:rPr>
          <w:rFonts w:cs="AdvTT3713a231"/>
          <w:color w:val="131413"/>
          <w:sz w:val="24"/>
          <w:szCs w:val="24"/>
          <w:lang w:val="en-GB"/>
        </w:rPr>
        <w:t>5</w:t>
      </w:r>
      <w:r w:rsidR="00261052" w:rsidRPr="00E0340C">
        <w:rPr>
          <w:rFonts w:cs="AdvTT3713a231"/>
          <w:color w:val="131413"/>
          <w:sz w:val="24"/>
          <w:szCs w:val="24"/>
          <w:lang w:val="en-GB"/>
        </w:rPr>
        <w:t>-1</w:t>
      </w:r>
      <w:r w:rsidR="003319E8" w:rsidRPr="00E0340C">
        <w:rPr>
          <w:rFonts w:cs="AdvTT3713a231"/>
          <w:color w:val="131413"/>
          <w:sz w:val="24"/>
          <w:szCs w:val="24"/>
          <w:lang w:val="en-GB"/>
        </w:rPr>
        <w:t>7</w:t>
      </w:r>
      <w:r w:rsidR="00261052" w:rsidRPr="00E0340C">
        <w:rPr>
          <w:rFonts w:cs="AdvTT3713a231"/>
          <w:color w:val="131413"/>
          <w:sz w:val="24"/>
          <w:szCs w:val="24"/>
          <w:lang w:val="en-GB"/>
        </w:rPr>
        <w:t>]</w:t>
      </w:r>
      <w:r w:rsidRPr="00E0340C">
        <w:rPr>
          <w:rFonts w:cs="AdvTT3713a231"/>
          <w:color w:val="131413"/>
          <w:sz w:val="24"/>
          <w:szCs w:val="24"/>
          <w:lang w:val="en-GB"/>
        </w:rPr>
        <w:t xml:space="preserve">.  </w:t>
      </w:r>
      <w:r w:rsidR="00CC3FD3" w:rsidRPr="00E0340C">
        <w:rPr>
          <w:rFonts w:cs="AdvTT3713a231"/>
          <w:color w:val="131413"/>
          <w:sz w:val="24"/>
          <w:szCs w:val="24"/>
          <w:lang w:val="en-GB"/>
        </w:rPr>
        <w:t>All residents</w:t>
      </w:r>
      <w:r w:rsidR="00CC3FD3" w:rsidRPr="00B111B1">
        <w:rPr>
          <w:rFonts w:cs="AdvTT3713a231"/>
          <w:color w:val="131413"/>
          <w:sz w:val="24"/>
          <w:szCs w:val="24"/>
          <w:lang w:val="en-GB"/>
        </w:rPr>
        <w:t xml:space="preserve"> of Iceland have a unique personal identification number allocated at birth or when taking up residence in the country, which facilitates identity and examination of hospital records. Fractures treated on an outpatient basis in Reykjavik were always referred to the only outpatient trauma clinic at the Landspitalinn University Hospital. Both inpatient and outpatient reports, from all hospitals in Reykjavik, including different departments, e.g., the trauma, radiography, and outpatient departments, were manually examined and verified for fractures until 1983. Beginning in 1983, hospitals and the private radiology clinics used by the general practitioners in the Reykjavik Area introduced a computerized registration system, including fracture diagnostic codes. All medical records for the participants, including referral letters if needed, were manually examined and verified. The medical records from the main hospitals outside Reykjavik (Akureyri and Akranes) were searched in the same way. The same two orthopaedic surgeons were consulted if any doubt arose about the fracture diagnosis. </w:t>
      </w:r>
      <w:r w:rsidR="007A09DF" w:rsidRPr="007A09DF">
        <w:rPr>
          <w:rFonts w:cs="AdvTT3713a231"/>
          <w:color w:val="131413"/>
          <w:sz w:val="24"/>
          <w:szCs w:val="24"/>
          <w:lang w:val="en-GB"/>
        </w:rPr>
        <w:t xml:space="preserve">All fractures were registered according to the International Classification of Diseases (ICD version 10 or ICD version 9). </w:t>
      </w:r>
      <w:r w:rsidR="007A09DF" w:rsidRPr="00B111B1">
        <w:rPr>
          <w:rFonts w:cs="AdvTT3713a231"/>
          <w:color w:val="131413"/>
          <w:sz w:val="24"/>
          <w:szCs w:val="24"/>
          <w:lang w:val="en-GB"/>
        </w:rPr>
        <w:t>Avulsions less than 5×6 mm</w:t>
      </w:r>
      <w:r w:rsidR="00970CAC">
        <w:rPr>
          <w:rFonts w:cs="AdvTT3713a231"/>
          <w:color w:val="131413"/>
          <w:sz w:val="24"/>
          <w:szCs w:val="24"/>
          <w:lang w:val="en-GB"/>
        </w:rPr>
        <w:t xml:space="preserve"> were excluded</w:t>
      </w:r>
      <w:r w:rsidR="00CC3FD3" w:rsidRPr="00B111B1">
        <w:rPr>
          <w:rFonts w:cs="AdvTT3713a231"/>
          <w:color w:val="131413"/>
          <w:sz w:val="24"/>
          <w:szCs w:val="24"/>
          <w:lang w:val="en-GB"/>
        </w:rPr>
        <w:t xml:space="preserve">. The Reykjavik Study fracture registration has been shown to have a capture rate of about 97 % for hip, forearm, and </w:t>
      </w:r>
      <w:r w:rsidR="00CC3FD3" w:rsidRPr="00B111B1">
        <w:rPr>
          <w:rFonts w:cs="AdvTT3713a231"/>
          <w:color w:val="131413"/>
          <w:sz w:val="24"/>
          <w:szCs w:val="24"/>
          <w:lang w:val="en-GB"/>
        </w:rPr>
        <w:lastRenderedPageBreak/>
        <w:t xml:space="preserve">clinical </w:t>
      </w:r>
      <w:r w:rsidR="00CC3FD3" w:rsidRPr="001372D4">
        <w:rPr>
          <w:rFonts w:cs="AdvTT3713a231"/>
          <w:color w:val="131413"/>
          <w:sz w:val="24"/>
          <w:szCs w:val="24"/>
          <w:lang w:val="en-GB"/>
        </w:rPr>
        <w:t xml:space="preserve">vertebral fractures </w:t>
      </w:r>
      <w:r w:rsidR="00261052" w:rsidRPr="001372D4">
        <w:rPr>
          <w:rFonts w:cs="AdvTT3713a231"/>
          <w:color w:val="131413"/>
          <w:sz w:val="24"/>
          <w:szCs w:val="24"/>
          <w:lang w:val="en-GB"/>
        </w:rPr>
        <w:t>[1</w:t>
      </w:r>
      <w:r w:rsidR="00E0340C" w:rsidRPr="001372D4">
        <w:rPr>
          <w:rFonts w:cs="AdvTT3713a231"/>
          <w:color w:val="131413"/>
          <w:sz w:val="24"/>
          <w:szCs w:val="24"/>
          <w:lang w:val="en-GB"/>
        </w:rPr>
        <w:t>7</w:t>
      </w:r>
      <w:r w:rsidR="00261052" w:rsidRPr="001372D4">
        <w:rPr>
          <w:rFonts w:cs="AdvTT3713a231"/>
          <w:color w:val="131413"/>
          <w:sz w:val="24"/>
          <w:szCs w:val="24"/>
          <w:lang w:val="en-GB"/>
        </w:rPr>
        <w:t>]</w:t>
      </w:r>
      <w:r w:rsidR="00CC3FD3" w:rsidRPr="001372D4">
        <w:rPr>
          <w:rFonts w:cs="AdvTT3713a231"/>
          <w:color w:val="131413"/>
          <w:sz w:val="24"/>
          <w:szCs w:val="24"/>
          <w:lang w:val="en-GB"/>
        </w:rPr>
        <w:t>. The circumstances of the trauma</w:t>
      </w:r>
      <w:r w:rsidR="00CC3FD3" w:rsidRPr="00B111B1">
        <w:rPr>
          <w:rFonts w:cs="AdvTT3713a231"/>
          <w:color w:val="131413"/>
          <w:sz w:val="24"/>
          <w:szCs w:val="24"/>
          <w:lang w:val="en-GB"/>
        </w:rPr>
        <w:t xml:space="preserve"> leading to the fracture were assessed as well as the date of the fracture</w:t>
      </w:r>
      <w:r w:rsidR="00CC3FD3">
        <w:rPr>
          <w:rFonts w:cs="AdvTT3713a231"/>
          <w:color w:val="131413"/>
          <w:sz w:val="24"/>
          <w:szCs w:val="24"/>
          <w:lang w:val="en-GB"/>
        </w:rPr>
        <w:t xml:space="preserve">. </w:t>
      </w:r>
      <w:r w:rsidR="00CC3FD3" w:rsidRPr="00CC3FD3">
        <w:rPr>
          <w:rFonts w:ascii="Times New Roman" w:hAnsi="Times New Roman"/>
          <w:color w:val="131413"/>
          <w:sz w:val="24"/>
          <w:szCs w:val="24"/>
          <w:lang w:val="en-GB"/>
        </w:rPr>
        <w:t xml:space="preserve"> </w:t>
      </w:r>
      <w:r w:rsidR="00CC3FD3">
        <w:rPr>
          <w:rFonts w:cs="AdvTT3713a231"/>
          <w:color w:val="131413"/>
          <w:sz w:val="24"/>
          <w:szCs w:val="24"/>
          <w:lang w:val="en-GB"/>
        </w:rPr>
        <w:t>However, a</w:t>
      </w:r>
      <w:r w:rsidR="00CC3FD3" w:rsidRPr="00CC3FD3">
        <w:rPr>
          <w:rFonts w:cs="AdvTT3713a231"/>
          <w:color w:val="131413"/>
          <w:sz w:val="24"/>
          <w:szCs w:val="24"/>
          <w:lang w:val="en-GB"/>
        </w:rPr>
        <w:t xml:space="preserve">ll fractures </w:t>
      </w:r>
      <w:r w:rsidR="00CC3FD3">
        <w:rPr>
          <w:rFonts w:cs="AdvTT3713a231"/>
          <w:color w:val="131413"/>
          <w:sz w:val="24"/>
          <w:szCs w:val="24"/>
          <w:lang w:val="en-GB"/>
        </w:rPr>
        <w:t>we</w:t>
      </w:r>
      <w:r w:rsidR="00CC3FD3" w:rsidRPr="00CC3FD3">
        <w:rPr>
          <w:rFonts w:cs="AdvTT3713a231"/>
          <w:color w:val="131413"/>
          <w:sz w:val="24"/>
          <w:szCs w:val="24"/>
          <w:lang w:val="en-GB"/>
        </w:rPr>
        <w:t>re counted regardless of trauma.</w:t>
      </w:r>
      <w:r w:rsidR="00CC3FD3">
        <w:rPr>
          <w:rFonts w:cs="AdvTT3713a231"/>
          <w:color w:val="131413"/>
          <w:sz w:val="24"/>
          <w:szCs w:val="24"/>
          <w:lang w:val="en-GB"/>
        </w:rPr>
        <w:t xml:space="preserve"> </w:t>
      </w:r>
      <w:r w:rsidR="00CC3FD3" w:rsidRPr="00B111B1">
        <w:rPr>
          <w:rFonts w:cs="AdvTT3713a231"/>
          <w:color w:val="131413"/>
          <w:sz w:val="24"/>
          <w:szCs w:val="24"/>
          <w:lang w:val="en-GB"/>
        </w:rPr>
        <w:t xml:space="preserve"> If reports for a participant contained records of two identical fractures on the same day, only the first fracture was included, and 30 days had to pass between </w:t>
      </w:r>
      <w:r w:rsidR="0005793E">
        <w:rPr>
          <w:rFonts w:cs="AdvTT3713a231"/>
          <w:color w:val="131413"/>
          <w:sz w:val="24"/>
          <w:szCs w:val="24"/>
          <w:lang w:val="en-GB"/>
        </w:rPr>
        <w:t xml:space="preserve">fractures at </w:t>
      </w:r>
      <w:r w:rsidR="00CC3FD3" w:rsidRPr="00B111B1">
        <w:rPr>
          <w:rFonts w:cs="AdvTT3713a231"/>
          <w:color w:val="131413"/>
          <w:sz w:val="24"/>
          <w:szCs w:val="24"/>
          <w:lang w:val="en-GB"/>
        </w:rPr>
        <w:t xml:space="preserve">the same </w:t>
      </w:r>
      <w:r w:rsidR="00CC3FD3">
        <w:rPr>
          <w:rFonts w:cs="AdvTT3713a231"/>
          <w:color w:val="131413"/>
          <w:sz w:val="24"/>
          <w:szCs w:val="24"/>
          <w:lang w:val="en-GB"/>
        </w:rPr>
        <w:t>site</w:t>
      </w:r>
      <w:r w:rsidR="00CC3FD3" w:rsidRPr="00B111B1">
        <w:rPr>
          <w:rFonts w:cs="AdvTT3713a231"/>
          <w:color w:val="131413"/>
          <w:sz w:val="24"/>
          <w:szCs w:val="24"/>
          <w:lang w:val="en-GB"/>
        </w:rPr>
        <w:t xml:space="preserve"> for</w:t>
      </w:r>
      <w:r w:rsidR="0005793E">
        <w:rPr>
          <w:rFonts w:cs="AdvTT3713a231"/>
          <w:color w:val="131413"/>
          <w:sz w:val="24"/>
          <w:szCs w:val="24"/>
          <w:lang w:val="en-GB"/>
        </w:rPr>
        <w:t xml:space="preserve"> the second event</w:t>
      </w:r>
      <w:r w:rsidR="00CC3FD3" w:rsidRPr="00B111B1">
        <w:rPr>
          <w:rFonts w:cs="AdvTT3713a231"/>
          <w:color w:val="131413"/>
          <w:sz w:val="24"/>
          <w:szCs w:val="24"/>
          <w:lang w:val="en-GB"/>
        </w:rPr>
        <w:t xml:space="preserve"> to be included in the calculation as </w:t>
      </w:r>
      <w:r w:rsidR="00CC3FD3">
        <w:rPr>
          <w:rFonts w:cs="AdvTT3713a231"/>
          <w:color w:val="131413"/>
          <w:sz w:val="24"/>
          <w:szCs w:val="24"/>
          <w:lang w:val="en-GB"/>
        </w:rPr>
        <w:t xml:space="preserve">a </w:t>
      </w:r>
      <w:r w:rsidR="00CC3FD3" w:rsidRPr="00B111B1">
        <w:rPr>
          <w:rFonts w:cs="AdvTT3713a231"/>
          <w:color w:val="131413"/>
          <w:sz w:val="24"/>
          <w:szCs w:val="24"/>
          <w:lang w:val="en-GB"/>
        </w:rPr>
        <w:t>separate fracture</w:t>
      </w:r>
      <w:r w:rsidR="00CC3FD3">
        <w:rPr>
          <w:rFonts w:cs="AdvTT3713a231"/>
          <w:color w:val="131413"/>
          <w:sz w:val="24"/>
          <w:szCs w:val="24"/>
          <w:lang w:val="en-GB"/>
        </w:rPr>
        <w:t>.</w:t>
      </w:r>
      <w:r w:rsidR="00CC3FD3" w:rsidRPr="00B111B1">
        <w:rPr>
          <w:rFonts w:cs="AdvTT3713a231"/>
          <w:color w:val="131413"/>
          <w:sz w:val="24"/>
          <w:szCs w:val="24"/>
          <w:lang w:val="en-GB"/>
        </w:rPr>
        <w:t xml:space="preserve"> </w:t>
      </w:r>
    </w:p>
    <w:p w14:paraId="2CD1CC77" w14:textId="77777777" w:rsidR="00FA0486" w:rsidRPr="00E4190D" w:rsidRDefault="00FA0486" w:rsidP="00E4190D">
      <w:pPr>
        <w:autoSpaceDE w:val="0"/>
        <w:autoSpaceDN w:val="0"/>
        <w:adjustRightInd w:val="0"/>
        <w:spacing w:after="0" w:line="360" w:lineRule="auto"/>
        <w:rPr>
          <w:rFonts w:ascii="Times New Roman" w:hAnsi="Times New Roman"/>
          <w:color w:val="131413"/>
          <w:sz w:val="24"/>
          <w:szCs w:val="24"/>
          <w:lang w:val="en-GB"/>
        </w:rPr>
      </w:pPr>
    </w:p>
    <w:p w14:paraId="3509BD42" w14:textId="5F825700" w:rsidR="00CC3FD3" w:rsidRDefault="00CC3FD3" w:rsidP="00CC3FD3">
      <w:pPr>
        <w:pStyle w:val="NoSpacing"/>
        <w:spacing w:line="360" w:lineRule="auto"/>
        <w:rPr>
          <w:rFonts w:cs="Times New Roman"/>
          <w:sz w:val="24"/>
          <w:szCs w:val="24"/>
          <w:lang w:val="en-GB"/>
        </w:rPr>
      </w:pPr>
      <w:r w:rsidRPr="00CC3FD3">
        <w:rPr>
          <w:rFonts w:cs="Times New Roman"/>
          <w:color w:val="131413"/>
          <w:sz w:val="24"/>
          <w:szCs w:val="24"/>
          <w:lang w:val="en-GB"/>
        </w:rPr>
        <w:t>Cases</w:t>
      </w:r>
      <w:r w:rsidR="00FA0486" w:rsidRPr="00CC3FD3">
        <w:rPr>
          <w:rFonts w:cs="Times New Roman"/>
          <w:color w:val="131413"/>
          <w:sz w:val="24"/>
          <w:szCs w:val="24"/>
          <w:lang w:val="en-GB"/>
        </w:rPr>
        <w:t xml:space="preserve"> </w:t>
      </w:r>
      <w:r w:rsidRPr="00CC3FD3">
        <w:rPr>
          <w:rFonts w:cs="Times New Roman"/>
          <w:color w:val="131413"/>
          <w:sz w:val="24"/>
          <w:szCs w:val="24"/>
          <w:lang w:val="en-GB"/>
        </w:rPr>
        <w:t xml:space="preserve">with major </w:t>
      </w:r>
      <w:r w:rsidR="0005793E">
        <w:rPr>
          <w:rFonts w:cs="Times New Roman"/>
          <w:color w:val="131413"/>
          <w:sz w:val="24"/>
          <w:szCs w:val="24"/>
          <w:lang w:val="en-GB"/>
        </w:rPr>
        <w:t xml:space="preserve">osteoporotic </w:t>
      </w:r>
      <w:r w:rsidRPr="00CC3FD3">
        <w:rPr>
          <w:rFonts w:cs="Times New Roman"/>
          <w:color w:val="131413"/>
          <w:sz w:val="24"/>
          <w:szCs w:val="24"/>
          <w:lang w:val="en-GB"/>
        </w:rPr>
        <w:t>fractures</w:t>
      </w:r>
      <w:r w:rsidR="0085615B">
        <w:rPr>
          <w:rFonts w:cs="Times New Roman"/>
          <w:color w:val="131413"/>
          <w:sz w:val="24"/>
          <w:szCs w:val="24"/>
          <w:lang w:val="en-GB"/>
        </w:rPr>
        <w:t xml:space="preserve"> comprised vertebral </w:t>
      </w:r>
      <w:r w:rsidR="00E9190A">
        <w:rPr>
          <w:rFonts w:cs="Times New Roman"/>
          <w:color w:val="131413"/>
          <w:sz w:val="24"/>
          <w:szCs w:val="24"/>
          <w:lang w:val="en-GB"/>
        </w:rPr>
        <w:t>fracture (</w:t>
      </w:r>
      <w:r w:rsidR="0085615B" w:rsidRPr="0085615B">
        <w:rPr>
          <w:rFonts w:cs="Times New Roman"/>
          <w:color w:val="131413"/>
          <w:sz w:val="24"/>
          <w:szCs w:val="24"/>
          <w:lang w:val="en-GB"/>
        </w:rPr>
        <w:t xml:space="preserve">ICD 10 codes </w:t>
      </w:r>
      <w:r w:rsidR="0085615B" w:rsidRPr="0085615B">
        <w:rPr>
          <w:rFonts w:cs="Times New Roman"/>
          <w:color w:val="131413"/>
          <w:sz w:val="24"/>
          <w:szCs w:val="24"/>
          <w:lang w:val="en-US"/>
        </w:rPr>
        <w:t>S12.0-S12.2, S12.7, S22.0-22.1, S32.0</w:t>
      </w:r>
      <w:r w:rsidR="0085615B">
        <w:rPr>
          <w:rFonts w:cs="Times New Roman"/>
          <w:color w:val="131413"/>
          <w:sz w:val="24"/>
          <w:szCs w:val="24"/>
          <w:lang w:val="en-GB"/>
        </w:rPr>
        <w:t>),</w:t>
      </w:r>
      <w:r w:rsidR="00E9190A">
        <w:rPr>
          <w:rFonts w:cs="Times New Roman"/>
          <w:color w:val="131413"/>
          <w:sz w:val="24"/>
          <w:szCs w:val="24"/>
          <w:lang w:val="en-GB"/>
        </w:rPr>
        <w:t xml:space="preserve"> humeral fractures (</w:t>
      </w:r>
      <w:r w:rsidR="00E9190A" w:rsidRPr="00E9190A">
        <w:rPr>
          <w:rFonts w:cs="Times New Roman"/>
          <w:color w:val="131413"/>
          <w:sz w:val="24"/>
          <w:szCs w:val="24"/>
          <w:lang w:val="en-US"/>
        </w:rPr>
        <w:t>S42.2-42.3</w:t>
      </w:r>
      <w:r w:rsidR="00E9190A">
        <w:rPr>
          <w:rFonts w:cs="Times New Roman"/>
          <w:color w:val="131413"/>
          <w:sz w:val="24"/>
          <w:szCs w:val="24"/>
          <w:lang w:val="en-US"/>
        </w:rPr>
        <w:t>),</w:t>
      </w:r>
      <w:r w:rsidR="00E9190A" w:rsidRPr="00E9190A">
        <w:rPr>
          <w:rFonts w:cs="Times New Roman"/>
          <w:color w:val="131413"/>
          <w:sz w:val="24"/>
          <w:szCs w:val="24"/>
          <w:lang w:val="en-US"/>
        </w:rPr>
        <w:t xml:space="preserve"> </w:t>
      </w:r>
      <w:r w:rsidR="00E9190A">
        <w:rPr>
          <w:rFonts w:cs="Times New Roman"/>
          <w:color w:val="131413"/>
          <w:sz w:val="24"/>
          <w:szCs w:val="24"/>
          <w:lang w:val="en-GB"/>
        </w:rPr>
        <w:t>distal</w:t>
      </w:r>
      <w:r w:rsidR="00E9190A" w:rsidRPr="00E9190A">
        <w:rPr>
          <w:rFonts w:cs="Times New Roman"/>
          <w:color w:val="131413"/>
          <w:sz w:val="24"/>
          <w:szCs w:val="24"/>
          <w:lang w:val="en-US"/>
        </w:rPr>
        <w:t xml:space="preserve"> forearm fracture</w:t>
      </w:r>
      <w:r w:rsidR="00E9190A">
        <w:rPr>
          <w:rFonts w:cs="Times New Roman"/>
          <w:color w:val="131413"/>
          <w:sz w:val="24"/>
          <w:szCs w:val="24"/>
          <w:lang w:val="en-US"/>
        </w:rPr>
        <w:t xml:space="preserve"> (</w:t>
      </w:r>
      <w:r w:rsidR="00E9190A" w:rsidRPr="00E9190A">
        <w:rPr>
          <w:rFonts w:cs="Times New Roman"/>
          <w:color w:val="131413"/>
          <w:sz w:val="24"/>
          <w:szCs w:val="24"/>
          <w:lang w:val="en-US"/>
        </w:rPr>
        <w:t>S52.5-52.6</w:t>
      </w:r>
      <w:r w:rsidR="00E9190A">
        <w:rPr>
          <w:rFonts w:cs="Times New Roman"/>
          <w:color w:val="131413"/>
          <w:sz w:val="24"/>
          <w:szCs w:val="24"/>
          <w:lang w:val="en-US"/>
        </w:rPr>
        <w:t>) and hip fracture (</w:t>
      </w:r>
      <w:r w:rsidR="00E9190A" w:rsidRPr="00E9190A">
        <w:rPr>
          <w:rFonts w:cs="Times New Roman"/>
          <w:color w:val="131413"/>
          <w:sz w:val="24"/>
          <w:szCs w:val="24"/>
          <w:lang w:val="en-US"/>
        </w:rPr>
        <w:t>S72.0-S72.2</w:t>
      </w:r>
      <w:r w:rsidR="00E9190A">
        <w:rPr>
          <w:rFonts w:cs="Times New Roman"/>
          <w:color w:val="131413"/>
          <w:sz w:val="24"/>
          <w:szCs w:val="24"/>
          <w:lang w:val="en-US"/>
        </w:rPr>
        <w:t xml:space="preserve">) which </w:t>
      </w:r>
      <w:r w:rsidRPr="00CC3FD3">
        <w:rPr>
          <w:rFonts w:cs="Times New Roman"/>
          <w:color w:val="131413"/>
          <w:sz w:val="24"/>
          <w:szCs w:val="24"/>
          <w:lang w:val="en-GB"/>
        </w:rPr>
        <w:t xml:space="preserve">were identified throughout the follow-up. </w:t>
      </w:r>
      <w:r w:rsidR="00077AA9" w:rsidRPr="00CC3FD3">
        <w:rPr>
          <w:rFonts w:cs="Times New Roman"/>
          <w:sz w:val="24"/>
          <w:szCs w:val="24"/>
          <w:lang w:val="en-GB"/>
        </w:rPr>
        <w:t xml:space="preserve">Any participant who experienced one or more incident major osteoporotic fractures (MOF) was eligible for inclusion in the analysis of a second MOF. </w:t>
      </w:r>
    </w:p>
    <w:p w14:paraId="1F7ECEE8" w14:textId="77777777" w:rsidR="005260A2" w:rsidRDefault="005260A2" w:rsidP="00CC3FD3">
      <w:pPr>
        <w:pStyle w:val="NoSpacing"/>
        <w:spacing w:line="360" w:lineRule="auto"/>
        <w:rPr>
          <w:rFonts w:cs="Times New Roman"/>
          <w:sz w:val="24"/>
          <w:szCs w:val="24"/>
          <w:lang w:val="en-GB"/>
        </w:rPr>
      </w:pPr>
    </w:p>
    <w:p w14:paraId="079DA9CE" w14:textId="34F42089" w:rsidR="00077AA9" w:rsidRPr="00CC3FD3" w:rsidRDefault="00CC3FD3" w:rsidP="00CC3FD3">
      <w:pPr>
        <w:pStyle w:val="NoSpacing"/>
        <w:spacing w:line="360" w:lineRule="auto"/>
        <w:rPr>
          <w:rFonts w:cs="Times New Roman"/>
          <w:sz w:val="24"/>
          <w:szCs w:val="24"/>
          <w:lang w:val="en-US"/>
        </w:rPr>
      </w:pPr>
      <w:r>
        <w:rPr>
          <w:rFonts w:cs="Times New Roman"/>
          <w:sz w:val="24"/>
          <w:szCs w:val="24"/>
          <w:lang w:val="en-GB"/>
        </w:rPr>
        <w:t xml:space="preserve">In order to eliminate any risk of double counting, we reanalysed the data where the second MOF was excluded if it occurred at the same site as the first fracture. For example, if the index fracture was a forearm fracture, only fractures at the hip, spine and humerus were counted as a second MOF. </w:t>
      </w:r>
      <w:r w:rsidR="00077AA9" w:rsidRPr="00CC3FD3">
        <w:rPr>
          <w:rFonts w:cs="Times New Roman"/>
          <w:sz w:val="24"/>
          <w:szCs w:val="24"/>
          <w:lang w:val="en-GB"/>
        </w:rPr>
        <w:t xml:space="preserve"> </w:t>
      </w:r>
    </w:p>
    <w:p w14:paraId="4687FCA2" w14:textId="77777777" w:rsidR="00FA0486" w:rsidRPr="00E4190D" w:rsidRDefault="00FA0486" w:rsidP="00CC3FD3">
      <w:pPr>
        <w:autoSpaceDE w:val="0"/>
        <w:autoSpaceDN w:val="0"/>
        <w:adjustRightInd w:val="0"/>
        <w:spacing w:after="0" w:line="360" w:lineRule="auto"/>
        <w:rPr>
          <w:rFonts w:ascii="Times New Roman" w:hAnsi="Times New Roman"/>
          <w:color w:val="131413"/>
          <w:sz w:val="24"/>
          <w:szCs w:val="24"/>
          <w:lang w:val="en-US"/>
        </w:rPr>
      </w:pPr>
    </w:p>
    <w:p w14:paraId="5D467AB0" w14:textId="77777777" w:rsidR="00B5271A" w:rsidRPr="004652B1" w:rsidRDefault="004E69B7" w:rsidP="00E4190D">
      <w:pPr>
        <w:pStyle w:val="NoSpacing"/>
        <w:spacing w:line="360" w:lineRule="auto"/>
        <w:rPr>
          <w:rFonts w:cs="Times New Roman"/>
          <w:i/>
          <w:sz w:val="24"/>
          <w:szCs w:val="24"/>
          <w:lang w:val="is-IS"/>
        </w:rPr>
      </w:pPr>
      <w:r w:rsidRPr="004652B1">
        <w:rPr>
          <w:rFonts w:cs="Times New Roman"/>
          <w:i/>
          <w:sz w:val="24"/>
          <w:szCs w:val="24"/>
          <w:lang w:val="is-IS"/>
        </w:rPr>
        <w:t>Statistical methods</w:t>
      </w:r>
    </w:p>
    <w:p w14:paraId="73DD8ABA" w14:textId="73282D0C" w:rsidR="00FD3804" w:rsidRPr="004652B1" w:rsidRDefault="005A1B69" w:rsidP="00E4190D">
      <w:pPr>
        <w:pStyle w:val="NoSpacing"/>
        <w:spacing w:line="360" w:lineRule="auto"/>
        <w:rPr>
          <w:rFonts w:cs="Times New Roman"/>
          <w:sz w:val="24"/>
          <w:szCs w:val="24"/>
          <w:lang w:val="en-GB"/>
        </w:rPr>
      </w:pPr>
      <w:r>
        <w:rPr>
          <w:rFonts w:eastAsia="Times New Roman" w:cs="Times New Roman"/>
          <w:iCs/>
          <w:sz w:val="24"/>
          <w:szCs w:val="24"/>
          <w:lang w:val="en-GB"/>
        </w:rPr>
        <w:t>We calculated the incidence of the first major osteoporotic fracture, in order to compare this with the incidence of the second fracture</w:t>
      </w:r>
      <w:r w:rsidR="00656011">
        <w:rPr>
          <w:rFonts w:eastAsia="Times New Roman" w:cs="Times New Roman"/>
          <w:iCs/>
          <w:sz w:val="24"/>
          <w:szCs w:val="24"/>
          <w:lang w:val="en-GB"/>
        </w:rPr>
        <w:t xml:space="preserve">. </w:t>
      </w:r>
      <w:r w:rsidR="00FD3804" w:rsidRPr="004652B1">
        <w:rPr>
          <w:rFonts w:eastAsia="Times New Roman" w:cs="Times New Roman"/>
          <w:iCs/>
          <w:sz w:val="24"/>
          <w:szCs w:val="24"/>
          <w:lang w:val="en-GB"/>
        </w:rPr>
        <w:t>A modification of the Poisson regression model w</w:t>
      </w:r>
      <w:r w:rsidR="004E35D5" w:rsidRPr="004652B1">
        <w:rPr>
          <w:rFonts w:eastAsia="Times New Roman" w:cs="Times New Roman"/>
          <w:iCs/>
          <w:sz w:val="24"/>
          <w:szCs w:val="24"/>
          <w:lang w:val="en-GB"/>
        </w:rPr>
        <w:t xml:space="preserve">as used to </w:t>
      </w:r>
      <w:r w:rsidR="00FD3804" w:rsidRPr="004652B1">
        <w:rPr>
          <w:rFonts w:eastAsia="Times New Roman" w:cs="Times New Roman"/>
          <w:iCs/>
          <w:sz w:val="24"/>
          <w:szCs w:val="24"/>
          <w:lang w:val="en-GB"/>
        </w:rPr>
        <w:t xml:space="preserve">study the relationship between </w:t>
      </w:r>
      <w:r w:rsidR="00FD3804" w:rsidRPr="00BD331D">
        <w:rPr>
          <w:rFonts w:eastAsia="Times New Roman" w:cstheme="minorHAnsi"/>
          <w:iCs/>
          <w:sz w:val="24"/>
          <w:szCs w:val="24"/>
          <w:lang w:val="en-GB"/>
        </w:rPr>
        <w:t xml:space="preserve">sex, age, </w:t>
      </w:r>
      <w:r w:rsidR="0005793E">
        <w:rPr>
          <w:rFonts w:eastAsia="Times New Roman" w:cstheme="minorHAnsi"/>
          <w:iCs/>
          <w:sz w:val="24"/>
          <w:szCs w:val="24"/>
          <w:lang w:val="en-GB"/>
        </w:rPr>
        <w:t xml:space="preserve">and </w:t>
      </w:r>
      <w:r w:rsidR="00FD3804" w:rsidRPr="00BD331D">
        <w:rPr>
          <w:rFonts w:eastAsia="Times New Roman" w:cstheme="minorHAnsi"/>
          <w:iCs/>
          <w:sz w:val="24"/>
          <w:szCs w:val="24"/>
          <w:lang w:val="en-GB"/>
        </w:rPr>
        <w:t>the time since previous fracture on the one hand and on the other hand, the</w:t>
      </w:r>
      <w:r w:rsidRPr="005A1B69">
        <w:rPr>
          <w:rFonts w:eastAsia="Times New Roman" w:cstheme="minorHAnsi"/>
          <w:iCs/>
          <w:sz w:val="24"/>
          <w:szCs w:val="24"/>
          <w:lang w:val="en-GB"/>
        </w:rPr>
        <w:t xml:space="preserve"> risk of the first fracture (n=18,872) and the second (n=5039</w:t>
      </w:r>
      <w:r w:rsidRPr="00E0340C">
        <w:rPr>
          <w:rFonts w:eastAsia="Times New Roman" w:cstheme="minorHAnsi"/>
          <w:iCs/>
          <w:sz w:val="24"/>
          <w:szCs w:val="24"/>
          <w:lang w:val="en-GB"/>
        </w:rPr>
        <w:t>)</w:t>
      </w:r>
      <w:r w:rsidR="00261052" w:rsidRPr="00E0340C">
        <w:rPr>
          <w:rFonts w:eastAsia="Times New Roman" w:cstheme="minorHAnsi"/>
          <w:iCs/>
          <w:sz w:val="24"/>
          <w:szCs w:val="24"/>
          <w:lang w:val="en-GB"/>
        </w:rPr>
        <w:t xml:space="preserve"> [1</w:t>
      </w:r>
      <w:r w:rsidR="006667E9">
        <w:rPr>
          <w:rFonts w:eastAsia="Times New Roman" w:cstheme="minorHAnsi"/>
          <w:iCs/>
          <w:sz w:val="24"/>
          <w:szCs w:val="24"/>
          <w:lang w:val="en-GB"/>
        </w:rPr>
        <w:t>8</w:t>
      </w:r>
      <w:r w:rsidR="00261052" w:rsidRPr="00E0340C">
        <w:rPr>
          <w:rFonts w:eastAsia="Times New Roman" w:cstheme="minorHAnsi"/>
          <w:iCs/>
          <w:sz w:val="24"/>
          <w:szCs w:val="24"/>
          <w:lang w:val="en-GB"/>
        </w:rPr>
        <w:t>]</w:t>
      </w:r>
      <w:r w:rsidR="00FD3804" w:rsidRPr="00E0340C">
        <w:rPr>
          <w:rFonts w:eastAsia="Times New Roman" w:cstheme="minorHAnsi"/>
          <w:iCs/>
          <w:sz w:val="24"/>
          <w:szCs w:val="24"/>
          <w:lang w:val="en-GB"/>
        </w:rPr>
        <w:t>.</w:t>
      </w:r>
      <w:r w:rsidR="00FD3804" w:rsidRPr="00BD331D">
        <w:rPr>
          <w:rFonts w:eastAsia="Times New Roman" w:cstheme="minorHAnsi"/>
          <w:iCs/>
          <w:sz w:val="24"/>
          <w:szCs w:val="24"/>
          <w:lang w:val="en-GB"/>
        </w:rPr>
        <w:t xml:space="preserve"> </w:t>
      </w:r>
      <w:r w:rsidR="00104A54">
        <w:rPr>
          <w:rFonts w:eastAsia="Times New Roman" w:cstheme="minorHAnsi"/>
          <w:iCs/>
          <w:sz w:val="24"/>
          <w:szCs w:val="24"/>
          <w:lang w:val="en-GB"/>
        </w:rPr>
        <w:t xml:space="preserve">Note that the model determines the hazard function for fracture </w:t>
      </w:r>
      <w:r w:rsidR="00D71B21">
        <w:rPr>
          <w:rFonts w:eastAsia="Times New Roman" w:cstheme="minorHAnsi"/>
          <w:iCs/>
          <w:sz w:val="24"/>
          <w:szCs w:val="24"/>
          <w:lang w:val="en-GB"/>
        </w:rPr>
        <w:t>and not fracture probability</w:t>
      </w:r>
      <w:r w:rsidR="00104A54">
        <w:rPr>
          <w:rFonts w:eastAsia="Times New Roman" w:cstheme="minorHAnsi"/>
          <w:iCs/>
          <w:sz w:val="24"/>
          <w:szCs w:val="24"/>
          <w:lang w:val="en-GB"/>
        </w:rPr>
        <w:t xml:space="preserve">. </w:t>
      </w:r>
      <w:r w:rsidR="0005793E">
        <w:rPr>
          <w:rFonts w:eastAsia="Times New Roman" w:cstheme="minorHAnsi"/>
          <w:iCs/>
          <w:sz w:val="24"/>
          <w:szCs w:val="24"/>
          <w:lang w:val="en-GB"/>
        </w:rPr>
        <w:t>Follow up was measured in person years and t</w:t>
      </w:r>
      <w:r w:rsidR="00114BC4" w:rsidRPr="00BD331D">
        <w:rPr>
          <w:rFonts w:cstheme="minorHAnsi"/>
          <w:iCs/>
          <w:sz w:val="24"/>
          <w:szCs w:val="24"/>
          <w:lang w:val="en-US"/>
        </w:rPr>
        <w:t xml:space="preserve">he observation period of each participant was divided in intervals of one month. </w:t>
      </w:r>
      <w:r w:rsidR="00BD331D">
        <w:rPr>
          <w:rFonts w:cstheme="minorHAnsi"/>
          <w:iCs/>
          <w:sz w:val="24"/>
          <w:szCs w:val="24"/>
          <w:lang w:val="en-US"/>
        </w:rPr>
        <w:t xml:space="preserve">In the case of recurrent fractures, the first recurrent MOF </w:t>
      </w:r>
      <w:r w:rsidR="00114BC4" w:rsidRPr="00BD331D">
        <w:rPr>
          <w:rFonts w:cstheme="minorHAnsi"/>
          <w:iCs/>
          <w:sz w:val="24"/>
          <w:szCs w:val="24"/>
          <w:lang w:val="en-US"/>
        </w:rPr>
        <w:t xml:space="preserve">was counted. </w:t>
      </w:r>
      <w:r w:rsidR="00FD3804" w:rsidRPr="00BD331D">
        <w:rPr>
          <w:rFonts w:eastAsia="Times New Roman" w:cstheme="minorHAnsi"/>
          <w:iCs/>
          <w:sz w:val="24"/>
          <w:szCs w:val="24"/>
          <w:lang w:val="en-GB"/>
        </w:rPr>
        <w:t xml:space="preserve">The hazard function </w:t>
      </w:r>
      <w:r w:rsidR="004E35D5" w:rsidRPr="00BD331D">
        <w:rPr>
          <w:rFonts w:eastAsia="Times New Roman" w:cstheme="minorHAnsi"/>
          <w:iCs/>
          <w:sz w:val="24"/>
          <w:szCs w:val="24"/>
          <w:lang w:val="en-GB"/>
        </w:rPr>
        <w:t>was</w:t>
      </w:r>
      <w:r w:rsidR="00FD3804" w:rsidRPr="00BD331D">
        <w:rPr>
          <w:rFonts w:eastAsia="Times New Roman" w:cstheme="minorHAnsi"/>
          <w:iCs/>
          <w:sz w:val="24"/>
          <w:szCs w:val="24"/>
          <w:lang w:val="en-GB"/>
        </w:rPr>
        <w:t xml:space="preserve"> assumed to be exp(</w:t>
      </w:r>
      <w:r w:rsidR="00FD3804" w:rsidRPr="00BD331D">
        <w:rPr>
          <w:rFonts w:eastAsia="Times New Roman" w:cstheme="minorHAnsi"/>
          <w:iCs/>
          <w:sz w:val="24"/>
          <w:szCs w:val="24"/>
          <w:lang w:val="en-GB"/>
        </w:rPr>
        <w:sym w:font="Symbol" w:char="F062"/>
      </w:r>
      <w:r w:rsidR="00FD3804" w:rsidRPr="00BD331D">
        <w:rPr>
          <w:rFonts w:eastAsia="Times New Roman" w:cstheme="minorHAnsi"/>
          <w:iCs/>
          <w:sz w:val="24"/>
          <w:szCs w:val="24"/>
          <w:vertAlign w:val="subscript"/>
          <w:lang w:val="en-GB"/>
        </w:rPr>
        <w:t>0</w:t>
      </w:r>
      <w:r w:rsidR="00FD3804" w:rsidRPr="00BD331D">
        <w:rPr>
          <w:rFonts w:eastAsia="Times New Roman" w:cstheme="minorHAnsi"/>
          <w:iCs/>
          <w:sz w:val="24"/>
          <w:szCs w:val="24"/>
          <w:lang w:val="en-GB"/>
        </w:rPr>
        <w:t xml:space="preserve"> + </w:t>
      </w:r>
      <w:r w:rsidR="00FD3804" w:rsidRPr="00BD331D">
        <w:rPr>
          <w:rFonts w:eastAsia="Times New Roman" w:cstheme="minorHAnsi"/>
          <w:iCs/>
          <w:sz w:val="24"/>
          <w:szCs w:val="24"/>
          <w:lang w:val="en-GB"/>
        </w:rPr>
        <w:sym w:font="Symbol" w:char="F062"/>
      </w:r>
      <w:r w:rsidR="00FD3804" w:rsidRPr="00BD331D">
        <w:rPr>
          <w:rFonts w:eastAsia="Times New Roman" w:cstheme="minorHAnsi"/>
          <w:iCs/>
          <w:sz w:val="24"/>
          <w:szCs w:val="24"/>
          <w:vertAlign w:val="subscript"/>
          <w:lang w:val="en-GB"/>
        </w:rPr>
        <w:t xml:space="preserve">1 </w:t>
      </w:r>
      <w:r w:rsidR="00FD3804" w:rsidRPr="00BD331D">
        <w:rPr>
          <w:rFonts w:eastAsia="Times New Roman" w:cstheme="minorHAnsi"/>
          <w:iCs/>
          <w:sz w:val="24"/>
          <w:szCs w:val="24"/>
          <w:lang w:val="en-GB"/>
        </w:rPr>
        <w:t xml:space="preserve">· sex + </w:t>
      </w:r>
      <w:r w:rsidR="00FD3804" w:rsidRPr="00BD331D">
        <w:rPr>
          <w:rFonts w:eastAsia="Times New Roman" w:cstheme="minorHAnsi"/>
          <w:iCs/>
          <w:sz w:val="24"/>
          <w:szCs w:val="24"/>
          <w:lang w:val="en-GB"/>
        </w:rPr>
        <w:sym w:font="Symbol" w:char="F062"/>
      </w:r>
      <w:r w:rsidR="00FD3804" w:rsidRPr="00BD331D">
        <w:rPr>
          <w:rFonts w:eastAsia="Times New Roman" w:cstheme="minorHAnsi"/>
          <w:iCs/>
          <w:sz w:val="24"/>
          <w:szCs w:val="24"/>
          <w:vertAlign w:val="subscript"/>
          <w:lang w:val="en-GB"/>
        </w:rPr>
        <w:t xml:space="preserve">2 </w:t>
      </w:r>
      <w:r w:rsidR="00FD3804" w:rsidRPr="00BD331D">
        <w:rPr>
          <w:rFonts w:eastAsia="Times New Roman" w:cstheme="minorHAnsi"/>
          <w:iCs/>
          <w:sz w:val="24"/>
          <w:szCs w:val="24"/>
          <w:lang w:val="en-GB"/>
        </w:rPr>
        <w:t xml:space="preserve">· current time from fracture + </w:t>
      </w:r>
      <w:r w:rsidR="00FD3804" w:rsidRPr="00BD331D">
        <w:rPr>
          <w:rFonts w:eastAsia="Times New Roman" w:cstheme="minorHAnsi"/>
          <w:iCs/>
          <w:sz w:val="24"/>
          <w:szCs w:val="24"/>
          <w:lang w:val="en-GB"/>
        </w:rPr>
        <w:sym w:font="Symbol" w:char="F062"/>
      </w:r>
      <w:r w:rsidR="00FD3804" w:rsidRPr="00BD331D">
        <w:rPr>
          <w:rFonts w:eastAsia="Times New Roman" w:cstheme="minorHAnsi"/>
          <w:iCs/>
          <w:sz w:val="24"/>
          <w:szCs w:val="24"/>
          <w:vertAlign w:val="subscript"/>
          <w:lang w:val="en-GB"/>
        </w:rPr>
        <w:t xml:space="preserve">3  </w:t>
      </w:r>
      <w:r w:rsidR="00FD3804" w:rsidRPr="00BD331D">
        <w:rPr>
          <w:rFonts w:eastAsia="Times New Roman" w:cstheme="minorHAnsi"/>
          <w:iCs/>
          <w:sz w:val="24"/>
          <w:szCs w:val="24"/>
          <w:lang w:val="en-GB"/>
        </w:rPr>
        <w:t>· current age</w:t>
      </w:r>
      <w:r w:rsidR="004E35D5" w:rsidRPr="00BD331D">
        <w:rPr>
          <w:rFonts w:eastAsia="Times New Roman" w:cstheme="minorHAnsi"/>
          <w:iCs/>
          <w:sz w:val="24"/>
          <w:szCs w:val="24"/>
          <w:lang w:val="en-GB"/>
        </w:rPr>
        <w:t>)</w:t>
      </w:r>
      <w:r w:rsidR="00FD3804" w:rsidRPr="00BD331D">
        <w:rPr>
          <w:rFonts w:eastAsia="Times New Roman" w:cstheme="minorHAnsi"/>
          <w:iCs/>
          <w:sz w:val="24"/>
          <w:szCs w:val="24"/>
          <w:lang w:val="en-GB"/>
        </w:rPr>
        <w:t>. The beta coefficients</w:t>
      </w:r>
      <w:r w:rsidR="00FD3804" w:rsidRPr="00BD331D">
        <w:rPr>
          <w:rFonts w:eastAsia="Times New Roman" w:cstheme="minorHAnsi"/>
          <w:iCs/>
          <w:sz w:val="24"/>
          <w:szCs w:val="24"/>
          <w:vertAlign w:val="subscript"/>
          <w:lang w:val="en-GB"/>
        </w:rPr>
        <w:t xml:space="preserve"> </w:t>
      </w:r>
      <w:r w:rsidR="00FD3804" w:rsidRPr="00BD331D">
        <w:rPr>
          <w:rFonts w:eastAsia="Times New Roman" w:cstheme="minorHAnsi"/>
          <w:iCs/>
          <w:sz w:val="24"/>
          <w:szCs w:val="24"/>
          <w:lang w:val="en-GB"/>
        </w:rPr>
        <w:t xml:space="preserve">reflect the importance of the variables, and </w:t>
      </w:r>
      <w:r w:rsidR="00FD3804" w:rsidRPr="00BD331D">
        <w:rPr>
          <w:rFonts w:eastAsia="Times New Roman" w:cstheme="minorHAnsi"/>
          <w:iCs/>
          <w:sz w:val="24"/>
          <w:szCs w:val="24"/>
          <w:lang w:val="en-GB"/>
        </w:rPr>
        <w:sym w:font="Symbol" w:char="F062"/>
      </w:r>
      <w:r w:rsidR="00FD3804" w:rsidRPr="00BD331D">
        <w:rPr>
          <w:rFonts w:eastAsia="Times New Roman" w:cstheme="minorHAnsi"/>
          <w:iCs/>
          <w:sz w:val="24"/>
          <w:szCs w:val="24"/>
          <w:vertAlign w:val="subscript"/>
          <w:lang w:val="en-GB"/>
        </w:rPr>
        <w:t>x</w:t>
      </w:r>
      <w:r w:rsidR="00FD3804" w:rsidRPr="00BD331D">
        <w:rPr>
          <w:rFonts w:eastAsia="Times New Roman" w:cstheme="minorHAnsi"/>
          <w:iCs/>
          <w:sz w:val="24"/>
          <w:szCs w:val="24"/>
          <w:lang w:val="en-GB"/>
        </w:rPr>
        <w:t xml:space="preserve"> = 0 denotes that the corresponding variable</w:t>
      </w:r>
      <w:r w:rsidR="00FD3804" w:rsidRPr="00BD331D">
        <w:rPr>
          <w:rFonts w:eastAsia="Times New Roman" w:cstheme="minorHAnsi"/>
          <w:iCs/>
          <w:sz w:val="24"/>
          <w:szCs w:val="24"/>
          <w:vertAlign w:val="subscript"/>
          <w:lang w:val="en-GB"/>
        </w:rPr>
        <w:t xml:space="preserve"> </w:t>
      </w:r>
      <w:r w:rsidR="00FD3804" w:rsidRPr="00BD331D">
        <w:rPr>
          <w:rFonts w:eastAsia="Times New Roman" w:cstheme="minorHAnsi"/>
          <w:iCs/>
          <w:sz w:val="24"/>
          <w:szCs w:val="24"/>
          <w:lang w:val="en-GB"/>
        </w:rPr>
        <w:t xml:space="preserve">does not contribute to fracture risk. </w:t>
      </w:r>
      <w:r w:rsidR="00B5271A" w:rsidRPr="00BD331D">
        <w:rPr>
          <w:rFonts w:cstheme="minorHAnsi"/>
          <w:sz w:val="24"/>
          <w:szCs w:val="24"/>
          <w:lang w:val="en-GB"/>
        </w:rPr>
        <w:t>All</w:t>
      </w:r>
      <w:r w:rsidR="00B5271A" w:rsidRPr="004652B1">
        <w:rPr>
          <w:rFonts w:cs="Times New Roman"/>
          <w:sz w:val="24"/>
          <w:szCs w:val="24"/>
          <w:lang w:val="en-GB"/>
        </w:rPr>
        <w:t xml:space="preserve"> associations were thus adjusted for age and time since baseline.</w:t>
      </w:r>
      <w:r w:rsidR="00FD3804" w:rsidRPr="004652B1">
        <w:rPr>
          <w:rFonts w:eastAsia="Times New Roman" w:cs="Times New Roman"/>
          <w:iCs/>
          <w:sz w:val="24"/>
          <w:szCs w:val="24"/>
          <w:lang w:val="en-GB"/>
        </w:rPr>
        <w:t xml:space="preserve"> </w:t>
      </w:r>
      <w:r w:rsidR="00B5271A" w:rsidRPr="004652B1">
        <w:rPr>
          <w:rFonts w:eastAsia="Times New Roman" w:cs="Times New Roman"/>
          <w:iCs/>
          <w:sz w:val="24"/>
          <w:szCs w:val="24"/>
          <w:lang w:val="en-GB"/>
        </w:rPr>
        <w:t>T</w:t>
      </w:r>
      <w:r w:rsidR="00FD3804" w:rsidRPr="004652B1">
        <w:rPr>
          <w:rFonts w:eastAsia="Times New Roman" w:cs="Times New Roman"/>
          <w:iCs/>
          <w:sz w:val="24"/>
          <w:szCs w:val="24"/>
          <w:lang w:val="en-GB"/>
        </w:rPr>
        <w:t>he fracture risk with the time after previous fracture w</w:t>
      </w:r>
      <w:r w:rsidR="004E35D5" w:rsidRPr="004652B1">
        <w:rPr>
          <w:rFonts w:eastAsia="Times New Roman" w:cs="Times New Roman"/>
          <w:iCs/>
          <w:sz w:val="24"/>
          <w:szCs w:val="24"/>
          <w:lang w:val="en-GB"/>
        </w:rPr>
        <w:t>as</w:t>
      </w:r>
      <w:r w:rsidR="00FD3804" w:rsidRPr="004652B1">
        <w:rPr>
          <w:rFonts w:eastAsia="Times New Roman" w:cs="Times New Roman"/>
          <w:iCs/>
          <w:sz w:val="24"/>
          <w:szCs w:val="24"/>
          <w:lang w:val="en-GB"/>
        </w:rPr>
        <w:t xml:space="preserve"> investigated both with linear, piecewise linear and with spline functions.</w:t>
      </w:r>
      <w:r w:rsidR="00FD3804" w:rsidRPr="004652B1">
        <w:rPr>
          <w:rFonts w:cs="Times New Roman"/>
          <w:sz w:val="24"/>
          <w:szCs w:val="24"/>
          <w:lang w:val="en-GB" w:eastAsia="ja-JP"/>
        </w:rPr>
        <w:t xml:space="preserve"> Time since previous fracture </w:t>
      </w:r>
      <w:r w:rsidR="004E35D5" w:rsidRPr="004652B1">
        <w:rPr>
          <w:rFonts w:cs="Times New Roman"/>
          <w:sz w:val="24"/>
          <w:szCs w:val="24"/>
          <w:lang w:val="en-GB" w:eastAsia="ja-JP"/>
        </w:rPr>
        <w:t>was</w:t>
      </w:r>
      <w:r w:rsidR="00FD3804" w:rsidRPr="004652B1">
        <w:rPr>
          <w:rFonts w:cs="Times New Roman"/>
          <w:sz w:val="24"/>
          <w:szCs w:val="24"/>
          <w:lang w:val="en-GB" w:eastAsia="ja-JP"/>
        </w:rPr>
        <w:t xml:space="preserve"> </w:t>
      </w:r>
      <w:r w:rsidR="00FD3804" w:rsidRPr="004652B1">
        <w:rPr>
          <w:rFonts w:cs="Times New Roman"/>
          <w:sz w:val="24"/>
          <w:szCs w:val="24"/>
          <w:lang w:val="en-GB" w:eastAsia="ja-JP"/>
        </w:rPr>
        <w:lastRenderedPageBreak/>
        <w:t xml:space="preserve">investigated </w:t>
      </w:r>
      <w:r w:rsidR="00FD3804" w:rsidRPr="004652B1">
        <w:rPr>
          <w:rFonts w:cs="Times New Roman"/>
          <w:sz w:val="24"/>
          <w:szCs w:val="24"/>
          <w:lang w:val="en-GB"/>
        </w:rPr>
        <w:t>as a continuous variable and examples given at specific times</w:t>
      </w:r>
      <w:r w:rsidR="003808CA" w:rsidRPr="003808CA">
        <w:rPr>
          <w:rFonts w:cs="Times New Roman"/>
          <w:sz w:val="24"/>
          <w:szCs w:val="24"/>
          <w:lang w:val="en-US"/>
        </w:rPr>
        <w:t xml:space="preserve">When </w:t>
      </w:r>
      <w:r w:rsidR="003A4F1B">
        <w:rPr>
          <w:rFonts w:cs="Times New Roman"/>
          <w:sz w:val="24"/>
          <w:szCs w:val="24"/>
          <w:lang w:val="en-US"/>
        </w:rPr>
        <w:t>a</w:t>
      </w:r>
      <w:r w:rsidR="003808CA" w:rsidRPr="003808CA">
        <w:rPr>
          <w:rFonts w:cs="Times New Roman"/>
          <w:sz w:val="24"/>
          <w:szCs w:val="24"/>
          <w:lang w:val="en-US"/>
        </w:rPr>
        <w:t xml:space="preserve">nalysing time to fracture (second or first) </w:t>
      </w:r>
      <w:r w:rsidR="003808CA">
        <w:rPr>
          <w:rFonts w:cs="Times New Roman"/>
          <w:sz w:val="24"/>
          <w:szCs w:val="24"/>
          <w:lang w:val="en-US"/>
        </w:rPr>
        <w:t>only</w:t>
      </w:r>
      <w:r w:rsidR="003808CA" w:rsidRPr="003808CA">
        <w:rPr>
          <w:rFonts w:cs="Times New Roman"/>
          <w:sz w:val="24"/>
          <w:szCs w:val="24"/>
          <w:lang w:val="en-US"/>
        </w:rPr>
        <w:t xml:space="preserve"> the first fracture after baseline was counted.  </w:t>
      </w:r>
      <w:r w:rsidR="0086725B">
        <w:rPr>
          <w:rFonts w:cs="Times New Roman"/>
          <w:sz w:val="24"/>
          <w:szCs w:val="24"/>
          <w:lang w:val="en-GB"/>
        </w:rPr>
        <w:t>T</w:t>
      </w:r>
      <w:r w:rsidR="00B5271A" w:rsidRPr="004652B1">
        <w:rPr>
          <w:rFonts w:cs="Times New Roman"/>
          <w:sz w:val="24"/>
          <w:szCs w:val="24"/>
          <w:lang w:val="en-US"/>
        </w:rPr>
        <w:t xml:space="preserve">he association between risk of a second fracture and the time since first fracture, spline functions were fitted using knots at 0.5, 2.5 and 15 years after the first fracture. </w:t>
      </w:r>
      <w:r w:rsidR="003A4F1B" w:rsidRPr="003A4F1B">
        <w:rPr>
          <w:rFonts w:cs="Times New Roman"/>
          <w:sz w:val="24"/>
          <w:szCs w:val="24"/>
          <w:lang w:val="en-US"/>
        </w:rPr>
        <w:t>The splines were second-order functions between the breakpoints and linear functions at the tails resulting in a smooth curve.</w:t>
      </w:r>
      <w:r w:rsidR="003A4F1B">
        <w:rPr>
          <w:rFonts w:cs="Times New Roman"/>
          <w:sz w:val="24"/>
          <w:szCs w:val="24"/>
          <w:lang w:val="en-US"/>
        </w:rPr>
        <w:t xml:space="preserve"> </w:t>
      </w:r>
      <w:r w:rsidR="003808CA">
        <w:rPr>
          <w:rFonts w:cs="Times New Roman"/>
          <w:sz w:val="24"/>
          <w:szCs w:val="24"/>
          <w:lang w:val="en-US"/>
        </w:rPr>
        <w:t xml:space="preserve">The final model assessed the dependence of the spline functions </w:t>
      </w:r>
      <w:r w:rsidR="00FD3804" w:rsidRPr="004652B1">
        <w:rPr>
          <w:rFonts w:cs="Times New Roman"/>
          <w:sz w:val="24"/>
          <w:szCs w:val="24"/>
          <w:lang w:val="en-GB" w:eastAsia="ja-JP"/>
        </w:rPr>
        <w:t>with</w:t>
      </w:r>
      <w:r w:rsidR="004652B1">
        <w:rPr>
          <w:rFonts w:cs="Times New Roman"/>
          <w:sz w:val="24"/>
          <w:szCs w:val="24"/>
          <w:lang w:val="en-GB" w:eastAsia="ja-JP"/>
        </w:rPr>
        <w:t>,</w:t>
      </w:r>
      <w:r w:rsidR="00FD3804" w:rsidRPr="004652B1">
        <w:rPr>
          <w:rFonts w:cs="Times New Roman"/>
          <w:sz w:val="24"/>
          <w:szCs w:val="24"/>
          <w:lang w:val="en-GB" w:eastAsia="ja-JP"/>
        </w:rPr>
        <w:t xml:space="preserve"> </w:t>
      </w:r>
      <w:r w:rsidR="004E35D5" w:rsidRPr="004652B1">
        <w:rPr>
          <w:rFonts w:cs="Times New Roman"/>
          <w:sz w:val="24"/>
          <w:szCs w:val="24"/>
          <w:lang w:val="en-GB" w:eastAsia="ja-JP"/>
        </w:rPr>
        <w:t xml:space="preserve">age and sex </w:t>
      </w:r>
      <w:r w:rsidR="00FD3804" w:rsidRPr="004652B1">
        <w:rPr>
          <w:rFonts w:cs="Times New Roman"/>
          <w:sz w:val="24"/>
          <w:szCs w:val="24"/>
          <w:lang w:val="en-GB" w:eastAsia="ja-JP"/>
        </w:rPr>
        <w:t xml:space="preserve">to determine if the time to subsequent fracture </w:t>
      </w:r>
      <w:r w:rsidR="003808CA">
        <w:rPr>
          <w:rFonts w:cs="Times New Roman"/>
          <w:sz w:val="24"/>
          <w:szCs w:val="24"/>
          <w:lang w:val="en-GB" w:eastAsia="ja-JP"/>
        </w:rPr>
        <w:t>wa</w:t>
      </w:r>
      <w:r w:rsidR="003808CA" w:rsidRPr="004652B1">
        <w:rPr>
          <w:rFonts w:cs="Times New Roman"/>
          <w:sz w:val="24"/>
          <w:szCs w:val="24"/>
          <w:lang w:val="en-GB" w:eastAsia="ja-JP"/>
        </w:rPr>
        <w:t xml:space="preserve">s </w:t>
      </w:r>
      <w:r w:rsidR="00FD3804" w:rsidRPr="004652B1">
        <w:rPr>
          <w:rFonts w:cs="Times New Roman"/>
          <w:sz w:val="24"/>
          <w:szCs w:val="24"/>
          <w:lang w:val="en-GB" w:eastAsia="ja-JP"/>
        </w:rPr>
        <w:t xml:space="preserve">affected in the presence of these variables. </w:t>
      </w:r>
    </w:p>
    <w:p w14:paraId="151FE4C7" w14:textId="77777777" w:rsidR="000E3FFF" w:rsidRPr="00E4190D" w:rsidRDefault="000E3FFF" w:rsidP="00E4190D">
      <w:pPr>
        <w:pStyle w:val="NoSpacing"/>
        <w:spacing w:line="360" w:lineRule="auto"/>
        <w:rPr>
          <w:rFonts w:ascii="Times New Roman" w:hAnsi="Times New Roman" w:cs="Times New Roman"/>
          <w:b/>
          <w:sz w:val="24"/>
          <w:szCs w:val="24"/>
          <w:lang w:val="en-US"/>
        </w:rPr>
      </w:pPr>
    </w:p>
    <w:p w14:paraId="03986CA8" w14:textId="54B992E3" w:rsidR="00665B6D" w:rsidRDefault="00C114A4" w:rsidP="00E4190D">
      <w:pPr>
        <w:pStyle w:val="NoSpacing"/>
        <w:spacing w:line="360" w:lineRule="auto"/>
        <w:rPr>
          <w:rFonts w:cs="Times New Roman"/>
          <w:b/>
          <w:sz w:val="24"/>
          <w:szCs w:val="24"/>
          <w:lang w:val="en-US"/>
        </w:rPr>
      </w:pPr>
      <w:r w:rsidRPr="00CC3FD3">
        <w:rPr>
          <w:rFonts w:cs="Times New Roman"/>
          <w:b/>
          <w:sz w:val="24"/>
          <w:szCs w:val="24"/>
          <w:lang w:val="en-US"/>
        </w:rPr>
        <w:t>Result</w:t>
      </w:r>
      <w:r w:rsidR="00CC3FD3">
        <w:rPr>
          <w:rFonts w:cs="Times New Roman"/>
          <w:b/>
          <w:sz w:val="24"/>
          <w:szCs w:val="24"/>
          <w:lang w:val="en-US"/>
        </w:rPr>
        <w:t>s</w:t>
      </w:r>
    </w:p>
    <w:p w14:paraId="11F0542A" w14:textId="1794CAF2" w:rsidR="003A4ACE" w:rsidRDefault="00CC3FD3" w:rsidP="003A4ACE">
      <w:pPr>
        <w:pStyle w:val="NoSpacing"/>
        <w:spacing w:line="360" w:lineRule="auto"/>
        <w:rPr>
          <w:rFonts w:cs="Times New Roman"/>
          <w:b/>
          <w:sz w:val="24"/>
          <w:szCs w:val="24"/>
          <w:lang w:val="en-GB"/>
        </w:rPr>
      </w:pPr>
      <w:r w:rsidRPr="00CC3FD3">
        <w:rPr>
          <w:rFonts w:cs="Times New Roman"/>
          <w:sz w:val="24"/>
          <w:szCs w:val="24"/>
          <w:lang w:val="en-US"/>
        </w:rPr>
        <w:t>During</w:t>
      </w:r>
      <w:r>
        <w:rPr>
          <w:rFonts w:cs="Times New Roman"/>
          <w:sz w:val="24"/>
          <w:szCs w:val="24"/>
          <w:lang w:val="en-US"/>
        </w:rPr>
        <w:t xml:space="preserve"> follow up, </w:t>
      </w:r>
      <w:r w:rsidR="003C550B">
        <w:rPr>
          <w:rFonts w:cs="Times New Roman"/>
          <w:sz w:val="24"/>
          <w:szCs w:val="24"/>
          <w:lang w:val="en-US"/>
        </w:rPr>
        <w:t xml:space="preserve">a total of 6895 major osteoporotic fractures occurred, comprising 1365 single or multiple </w:t>
      </w:r>
      <w:r>
        <w:rPr>
          <w:rFonts w:cs="Times New Roman"/>
          <w:sz w:val="24"/>
          <w:szCs w:val="24"/>
          <w:lang w:val="en-US"/>
        </w:rPr>
        <w:t>clinical vertebral fracture</w:t>
      </w:r>
      <w:r w:rsidR="003C550B">
        <w:rPr>
          <w:rFonts w:cs="Times New Roman"/>
          <w:sz w:val="24"/>
          <w:szCs w:val="24"/>
          <w:lang w:val="en-US"/>
        </w:rPr>
        <w:t xml:space="preserve">, 2074 hip fractures, 2364 forearm fractures and 1092 humeral fractures.  These fractures occurred in </w:t>
      </w:r>
      <w:r>
        <w:rPr>
          <w:rFonts w:cs="Times New Roman"/>
          <w:sz w:val="24"/>
          <w:szCs w:val="24"/>
          <w:lang w:val="en-US"/>
        </w:rPr>
        <w:t>5039</w:t>
      </w:r>
      <w:r w:rsidRPr="00CC3FD3">
        <w:rPr>
          <w:rFonts w:ascii="Times New Roman" w:hAnsi="Times New Roman" w:cs="Times New Roman"/>
          <w:sz w:val="24"/>
          <w:szCs w:val="24"/>
          <w:lang w:val="en-US"/>
        </w:rPr>
        <w:t xml:space="preserve"> </w:t>
      </w:r>
      <w:r>
        <w:rPr>
          <w:rFonts w:cs="Times New Roman"/>
          <w:sz w:val="24"/>
          <w:szCs w:val="24"/>
          <w:lang w:val="en-US"/>
        </w:rPr>
        <w:t>individuals</w:t>
      </w:r>
      <w:r w:rsidR="003C550B">
        <w:rPr>
          <w:rFonts w:cs="Times New Roman"/>
          <w:sz w:val="24"/>
          <w:szCs w:val="24"/>
          <w:lang w:val="en-US"/>
        </w:rPr>
        <w:t xml:space="preserve"> (</w:t>
      </w:r>
      <w:r>
        <w:rPr>
          <w:rFonts w:cs="Times New Roman"/>
          <w:sz w:val="24"/>
          <w:szCs w:val="24"/>
          <w:lang w:val="en-US"/>
        </w:rPr>
        <w:t>Table 1</w:t>
      </w:r>
      <w:r w:rsidR="003C550B">
        <w:rPr>
          <w:rFonts w:cs="Times New Roman"/>
          <w:sz w:val="24"/>
          <w:szCs w:val="24"/>
          <w:lang w:val="en-US"/>
        </w:rPr>
        <w:t>)</w:t>
      </w:r>
      <w:r>
        <w:rPr>
          <w:rFonts w:cs="Times New Roman"/>
          <w:sz w:val="24"/>
          <w:szCs w:val="24"/>
          <w:lang w:val="en-US"/>
        </w:rPr>
        <w:t>.</w:t>
      </w:r>
      <w:r w:rsidR="00061FF6">
        <w:rPr>
          <w:rFonts w:cs="Times New Roman"/>
          <w:sz w:val="24"/>
          <w:szCs w:val="24"/>
          <w:lang w:val="en-US"/>
        </w:rPr>
        <w:t xml:space="preserve">  </w:t>
      </w:r>
      <w:r w:rsidR="003A4ACE" w:rsidRPr="003A4ACE">
        <w:rPr>
          <w:rFonts w:cs="Times New Roman"/>
          <w:sz w:val="24"/>
          <w:szCs w:val="24"/>
          <w:lang w:val="en-GB"/>
        </w:rPr>
        <w:t>For MOF, the risk of a first fracture was 2-3 fold higher for women than for men and the fracture risk increased progressively with age in both men and women</w:t>
      </w:r>
      <w:r w:rsidR="003A4ACE">
        <w:rPr>
          <w:rFonts w:cs="Times New Roman"/>
          <w:sz w:val="24"/>
          <w:szCs w:val="24"/>
          <w:lang w:val="en-GB"/>
        </w:rPr>
        <w:t xml:space="preserve"> </w:t>
      </w:r>
      <w:r w:rsidR="003A4ACE" w:rsidRPr="003A4ACE">
        <w:rPr>
          <w:rFonts w:cs="Times New Roman"/>
          <w:sz w:val="24"/>
          <w:szCs w:val="24"/>
          <w:lang w:val="en-GB"/>
        </w:rPr>
        <w:t>(Table 2)</w:t>
      </w:r>
      <w:r w:rsidR="003A4ACE" w:rsidRPr="003A4ACE">
        <w:rPr>
          <w:rFonts w:cs="Times New Roman"/>
          <w:b/>
          <w:sz w:val="24"/>
          <w:szCs w:val="24"/>
          <w:lang w:val="en-GB"/>
        </w:rPr>
        <w:t xml:space="preserve">. </w:t>
      </w:r>
    </w:p>
    <w:p w14:paraId="35A77237" w14:textId="77777777" w:rsidR="003A4ACE" w:rsidRDefault="003A4ACE" w:rsidP="003A4ACE">
      <w:pPr>
        <w:pStyle w:val="NoSpacing"/>
        <w:spacing w:line="360" w:lineRule="auto"/>
        <w:rPr>
          <w:rFonts w:cs="Times New Roman"/>
          <w:b/>
          <w:sz w:val="24"/>
          <w:szCs w:val="24"/>
          <w:lang w:val="en-GB"/>
        </w:rPr>
      </w:pPr>
    </w:p>
    <w:p w14:paraId="6758C2EB" w14:textId="77777777" w:rsidR="003A4ACE" w:rsidRPr="00CC3FD3" w:rsidRDefault="003A4ACE" w:rsidP="003A4ACE">
      <w:pPr>
        <w:pStyle w:val="NoSpacing"/>
        <w:spacing w:line="360" w:lineRule="auto"/>
        <w:rPr>
          <w:rFonts w:ascii="Calibri" w:hAnsi="Calibri" w:cs="Times New Roman"/>
          <w:iCs/>
          <w:sz w:val="24"/>
          <w:szCs w:val="24"/>
          <w:lang w:val="en-GB"/>
        </w:rPr>
      </w:pPr>
      <w:r w:rsidRPr="00CC3FD3">
        <w:rPr>
          <w:rFonts w:ascii="Calibri" w:hAnsi="Calibri" w:cs="Times New Roman"/>
          <w:b/>
          <w:bCs/>
          <w:iCs/>
          <w:sz w:val="24"/>
          <w:szCs w:val="24"/>
          <w:lang w:val="en-GB"/>
        </w:rPr>
        <w:t>Table 1</w:t>
      </w:r>
      <w:r w:rsidRPr="00CC3FD3">
        <w:rPr>
          <w:rFonts w:ascii="Calibri" w:hAnsi="Calibri" w:cs="Times New Roman"/>
          <w:bCs/>
          <w:iCs/>
          <w:sz w:val="24"/>
          <w:szCs w:val="24"/>
          <w:lang w:val="en-GB"/>
        </w:rPr>
        <w:t xml:space="preserve">. </w:t>
      </w:r>
      <w:r w:rsidRPr="00CC3FD3">
        <w:rPr>
          <w:rFonts w:ascii="Calibri" w:hAnsi="Calibri" w:cs="Times New Roman"/>
          <w:iCs/>
          <w:sz w:val="24"/>
          <w:szCs w:val="24"/>
          <w:lang w:val="en-GB"/>
        </w:rPr>
        <w:t xml:space="preserve">Baseline characteristics and fracture outcomes.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704"/>
        <w:gridCol w:w="2827"/>
        <w:gridCol w:w="2135"/>
      </w:tblGrid>
      <w:tr w:rsidR="003A4ACE" w:rsidRPr="00CC3FD3" w14:paraId="571C7471" w14:textId="77777777" w:rsidTr="00575DEC">
        <w:tc>
          <w:tcPr>
            <w:tcW w:w="2265" w:type="dxa"/>
            <w:tcBorders>
              <w:top w:val="single" w:sz="4" w:space="0" w:color="auto"/>
              <w:bottom w:val="single" w:sz="4" w:space="0" w:color="auto"/>
            </w:tcBorders>
          </w:tcPr>
          <w:p w14:paraId="533AAA01" w14:textId="77777777" w:rsidR="003A4ACE" w:rsidRPr="00CC3FD3" w:rsidRDefault="003A4ACE" w:rsidP="00575DEC">
            <w:pPr>
              <w:pStyle w:val="NoSpacing"/>
              <w:spacing w:line="360" w:lineRule="auto"/>
              <w:rPr>
                <w:rFonts w:ascii="Calibri" w:hAnsi="Calibri" w:cs="Times New Roman"/>
                <w:iCs/>
                <w:sz w:val="24"/>
                <w:szCs w:val="24"/>
                <w:lang w:val="en-GB"/>
              </w:rPr>
            </w:pPr>
          </w:p>
        </w:tc>
        <w:tc>
          <w:tcPr>
            <w:tcW w:w="1704" w:type="dxa"/>
            <w:tcBorders>
              <w:top w:val="single" w:sz="4" w:space="0" w:color="auto"/>
              <w:bottom w:val="single" w:sz="4" w:space="0" w:color="auto"/>
            </w:tcBorders>
          </w:tcPr>
          <w:p w14:paraId="0C98D324"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No MOF</w:t>
            </w:r>
          </w:p>
        </w:tc>
        <w:tc>
          <w:tcPr>
            <w:tcW w:w="2827" w:type="dxa"/>
            <w:tcBorders>
              <w:top w:val="single" w:sz="4" w:space="0" w:color="auto"/>
              <w:bottom w:val="single" w:sz="4" w:space="0" w:color="auto"/>
            </w:tcBorders>
          </w:tcPr>
          <w:p w14:paraId="5DE8B955" w14:textId="09790086" w:rsidR="003A4ACE" w:rsidRPr="00CC3FD3" w:rsidRDefault="00970CAC" w:rsidP="00575DEC">
            <w:pPr>
              <w:pStyle w:val="NoSpacing"/>
              <w:spacing w:line="360" w:lineRule="auto"/>
              <w:rPr>
                <w:rFonts w:ascii="Calibri" w:hAnsi="Calibri" w:cs="Times New Roman"/>
                <w:iCs/>
                <w:sz w:val="24"/>
                <w:szCs w:val="24"/>
                <w:lang w:val="en-GB"/>
              </w:rPr>
            </w:pPr>
            <w:r>
              <w:rPr>
                <w:rFonts w:ascii="Calibri" w:hAnsi="Calibri" w:cs="Times New Roman"/>
                <w:iCs/>
                <w:sz w:val="24"/>
                <w:szCs w:val="24"/>
                <w:lang w:val="en-GB"/>
              </w:rPr>
              <w:t>First</w:t>
            </w:r>
            <w:r w:rsidR="003A4ACE" w:rsidRPr="00CC3FD3">
              <w:rPr>
                <w:rFonts w:ascii="Calibri" w:hAnsi="Calibri" w:cs="Times New Roman"/>
                <w:iCs/>
                <w:sz w:val="24"/>
                <w:szCs w:val="24"/>
                <w:lang w:val="en-GB"/>
              </w:rPr>
              <w:t xml:space="preserve"> MOF</w:t>
            </w:r>
          </w:p>
        </w:tc>
        <w:tc>
          <w:tcPr>
            <w:tcW w:w="2135" w:type="dxa"/>
            <w:tcBorders>
              <w:top w:val="single" w:sz="4" w:space="0" w:color="auto"/>
              <w:bottom w:val="single" w:sz="4" w:space="0" w:color="auto"/>
            </w:tcBorders>
          </w:tcPr>
          <w:p w14:paraId="441AE6FE" w14:textId="3FE6D2BD" w:rsidR="003A4ACE" w:rsidRPr="00CC3FD3" w:rsidRDefault="00970CAC" w:rsidP="00575DEC">
            <w:pPr>
              <w:pStyle w:val="NoSpacing"/>
              <w:spacing w:line="360" w:lineRule="auto"/>
              <w:rPr>
                <w:rFonts w:ascii="Calibri" w:hAnsi="Calibri" w:cs="Times New Roman"/>
                <w:iCs/>
                <w:sz w:val="24"/>
                <w:szCs w:val="24"/>
                <w:lang w:val="en-GB"/>
              </w:rPr>
            </w:pPr>
            <w:r>
              <w:rPr>
                <w:rFonts w:ascii="Calibri" w:hAnsi="Calibri" w:cs="Times New Roman"/>
                <w:iCs/>
                <w:sz w:val="24"/>
                <w:szCs w:val="24"/>
                <w:lang w:val="en-GB"/>
              </w:rPr>
              <w:t>Second</w:t>
            </w:r>
            <w:r w:rsidR="003A4ACE" w:rsidRPr="00CC3FD3">
              <w:rPr>
                <w:rFonts w:ascii="Calibri" w:hAnsi="Calibri" w:cs="Times New Roman"/>
                <w:iCs/>
                <w:sz w:val="24"/>
                <w:szCs w:val="24"/>
                <w:lang w:val="en-GB"/>
              </w:rPr>
              <w:t xml:space="preserve"> MOF</w:t>
            </w:r>
          </w:p>
        </w:tc>
      </w:tr>
      <w:tr w:rsidR="003A4ACE" w:rsidRPr="00CC3FD3" w14:paraId="100FA571" w14:textId="77777777" w:rsidTr="00575DEC">
        <w:tc>
          <w:tcPr>
            <w:tcW w:w="2265" w:type="dxa"/>
            <w:tcBorders>
              <w:top w:val="single" w:sz="4" w:space="0" w:color="auto"/>
            </w:tcBorders>
          </w:tcPr>
          <w:p w14:paraId="79ABE88A"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Number</w:t>
            </w:r>
            <w:r>
              <w:rPr>
                <w:rFonts w:ascii="Calibri" w:hAnsi="Calibri" w:cs="Times New Roman"/>
                <w:iCs/>
                <w:sz w:val="24"/>
                <w:szCs w:val="24"/>
                <w:lang w:val="en-GB"/>
              </w:rPr>
              <w:t xml:space="preserve"> of individuals</w:t>
            </w:r>
          </w:p>
        </w:tc>
        <w:tc>
          <w:tcPr>
            <w:tcW w:w="1704" w:type="dxa"/>
            <w:tcBorders>
              <w:top w:val="single" w:sz="4" w:space="0" w:color="auto"/>
            </w:tcBorders>
          </w:tcPr>
          <w:p w14:paraId="53050000"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13,833</w:t>
            </w:r>
          </w:p>
        </w:tc>
        <w:tc>
          <w:tcPr>
            <w:tcW w:w="2827" w:type="dxa"/>
            <w:tcBorders>
              <w:top w:val="single" w:sz="4" w:space="0" w:color="auto"/>
            </w:tcBorders>
          </w:tcPr>
          <w:p w14:paraId="01DDE23C"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5039</w:t>
            </w:r>
          </w:p>
        </w:tc>
        <w:tc>
          <w:tcPr>
            <w:tcW w:w="2135" w:type="dxa"/>
            <w:tcBorders>
              <w:top w:val="single" w:sz="4" w:space="0" w:color="auto"/>
            </w:tcBorders>
          </w:tcPr>
          <w:p w14:paraId="383CD04B" w14:textId="11BE6DA9" w:rsidR="003A4ACE" w:rsidRPr="00CC3FD3" w:rsidRDefault="00970CAC" w:rsidP="00575DEC">
            <w:pPr>
              <w:pStyle w:val="NoSpacing"/>
              <w:spacing w:line="360" w:lineRule="auto"/>
              <w:rPr>
                <w:rFonts w:ascii="Calibri" w:hAnsi="Calibri" w:cs="Times New Roman"/>
                <w:iCs/>
                <w:sz w:val="24"/>
                <w:szCs w:val="24"/>
                <w:lang w:val="en-GB"/>
              </w:rPr>
            </w:pPr>
            <w:r>
              <w:rPr>
                <w:rFonts w:ascii="Calibri" w:hAnsi="Calibri" w:cs="Times New Roman"/>
                <w:iCs/>
                <w:sz w:val="24"/>
                <w:szCs w:val="24"/>
                <w:lang w:val="en-GB"/>
              </w:rPr>
              <w:t>1919</w:t>
            </w:r>
          </w:p>
        </w:tc>
      </w:tr>
      <w:tr w:rsidR="003A4ACE" w:rsidRPr="00CC3FD3" w14:paraId="1B9A52B7" w14:textId="77777777" w:rsidTr="00575DEC">
        <w:tc>
          <w:tcPr>
            <w:tcW w:w="2265" w:type="dxa"/>
          </w:tcPr>
          <w:p w14:paraId="434AA283"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Age (years) </w:t>
            </w:r>
            <w:r w:rsidRPr="00CC3FD3">
              <w:rPr>
                <w:rFonts w:ascii="Calibri" w:hAnsi="Calibri" w:cs="Times New Roman"/>
                <w:iCs/>
                <w:sz w:val="24"/>
                <w:szCs w:val="24"/>
                <w:u w:val="single"/>
                <w:lang w:val="en-GB"/>
              </w:rPr>
              <w:t>+</w:t>
            </w:r>
            <w:r w:rsidRPr="00CC3FD3">
              <w:rPr>
                <w:rFonts w:ascii="Calibri" w:hAnsi="Calibri" w:cs="Times New Roman"/>
                <w:iCs/>
                <w:sz w:val="24"/>
                <w:szCs w:val="24"/>
                <w:lang w:val="en-GB"/>
              </w:rPr>
              <w:t xml:space="preserve"> SD</w:t>
            </w:r>
          </w:p>
        </w:tc>
        <w:tc>
          <w:tcPr>
            <w:tcW w:w="1704" w:type="dxa"/>
          </w:tcPr>
          <w:p w14:paraId="214959DA"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52.7 </w:t>
            </w:r>
            <w:r w:rsidRPr="00CC3FD3">
              <w:rPr>
                <w:rFonts w:ascii="Calibri" w:hAnsi="Calibri" w:cs="Times New Roman"/>
                <w:iCs/>
                <w:sz w:val="24"/>
                <w:szCs w:val="24"/>
                <w:u w:val="single"/>
                <w:lang w:val="en-GB"/>
              </w:rPr>
              <w:t>+</w:t>
            </w:r>
            <w:r>
              <w:rPr>
                <w:rFonts w:ascii="Calibri" w:hAnsi="Calibri" w:cs="Times New Roman"/>
                <w:iCs/>
                <w:sz w:val="24"/>
                <w:szCs w:val="24"/>
                <w:u w:val="single"/>
                <w:lang w:val="en-GB"/>
              </w:rPr>
              <w:t>8.9</w:t>
            </w:r>
          </w:p>
        </w:tc>
        <w:tc>
          <w:tcPr>
            <w:tcW w:w="2827" w:type="dxa"/>
          </w:tcPr>
          <w:p w14:paraId="1608C701"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53.1 </w:t>
            </w:r>
            <w:r w:rsidRPr="00CC3FD3">
              <w:rPr>
                <w:rFonts w:ascii="Calibri" w:hAnsi="Calibri" w:cs="Times New Roman"/>
                <w:iCs/>
                <w:sz w:val="24"/>
                <w:szCs w:val="24"/>
                <w:u w:val="single"/>
                <w:lang w:val="en-GB"/>
              </w:rPr>
              <w:t>+</w:t>
            </w:r>
            <w:r w:rsidRPr="00CC3FD3">
              <w:rPr>
                <w:rFonts w:ascii="Calibri" w:hAnsi="Calibri" w:cs="Times New Roman"/>
                <w:iCs/>
                <w:sz w:val="24"/>
                <w:szCs w:val="24"/>
                <w:lang w:val="en-GB"/>
              </w:rPr>
              <w:t xml:space="preserve"> 8.7</w:t>
            </w:r>
          </w:p>
        </w:tc>
        <w:tc>
          <w:tcPr>
            <w:tcW w:w="2135" w:type="dxa"/>
          </w:tcPr>
          <w:p w14:paraId="69C73DCA"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53.5 </w:t>
            </w:r>
            <w:r w:rsidRPr="00CC3FD3">
              <w:rPr>
                <w:rFonts w:ascii="Calibri" w:hAnsi="Calibri" w:cs="Times New Roman"/>
                <w:iCs/>
                <w:sz w:val="24"/>
                <w:szCs w:val="24"/>
                <w:u w:val="single"/>
                <w:lang w:val="en-GB"/>
              </w:rPr>
              <w:t>+</w:t>
            </w:r>
            <w:r w:rsidRPr="00CC3FD3">
              <w:rPr>
                <w:rFonts w:ascii="Calibri" w:hAnsi="Calibri" w:cs="Times New Roman"/>
                <w:iCs/>
                <w:sz w:val="24"/>
                <w:szCs w:val="24"/>
                <w:lang w:val="en-GB"/>
              </w:rPr>
              <w:t xml:space="preserve"> 8.5</w:t>
            </w:r>
          </w:p>
        </w:tc>
      </w:tr>
      <w:tr w:rsidR="003A4ACE" w:rsidRPr="00CC3FD3" w14:paraId="5FE544AD" w14:textId="77777777" w:rsidTr="00575DEC">
        <w:tc>
          <w:tcPr>
            <w:tcW w:w="2265" w:type="dxa"/>
          </w:tcPr>
          <w:p w14:paraId="0A63F247"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Women (%)</w:t>
            </w:r>
          </w:p>
        </w:tc>
        <w:tc>
          <w:tcPr>
            <w:tcW w:w="1704" w:type="dxa"/>
          </w:tcPr>
          <w:p w14:paraId="37523F52"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43</w:t>
            </w:r>
          </w:p>
        </w:tc>
        <w:tc>
          <w:tcPr>
            <w:tcW w:w="2827" w:type="dxa"/>
          </w:tcPr>
          <w:p w14:paraId="69540919"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74</w:t>
            </w:r>
          </w:p>
        </w:tc>
        <w:tc>
          <w:tcPr>
            <w:tcW w:w="2135" w:type="dxa"/>
          </w:tcPr>
          <w:p w14:paraId="57EDFBE4"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83</w:t>
            </w:r>
          </w:p>
        </w:tc>
      </w:tr>
      <w:tr w:rsidR="003A4ACE" w:rsidRPr="00CC3FD3" w14:paraId="3265B214" w14:textId="77777777" w:rsidTr="00575DEC">
        <w:tc>
          <w:tcPr>
            <w:tcW w:w="2265" w:type="dxa"/>
          </w:tcPr>
          <w:p w14:paraId="79887B6F"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BMI (kg/m</w:t>
            </w:r>
            <w:r w:rsidRPr="00CC3FD3">
              <w:rPr>
                <w:rFonts w:ascii="Calibri" w:hAnsi="Calibri" w:cs="Times New Roman"/>
                <w:iCs/>
                <w:sz w:val="24"/>
                <w:szCs w:val="24"/>
                <w:vertAlign w:val="superscript"/>
                <w:lang w:val="en-GB"/>
              </w:rPr>
              <w:t>2</w:t>
            </w:r>
            <w:r w:rsidRPr="00CC3FD3">
              <w:rPr>
                <w:rFonts w:ascii="Calibri" w:hAnsi="Calibri" w:cs="Times New Roman"/>
                <w:iCs/>
                <w:sz w:val="24"/>
                <w:szCs w:val="24"/>
                <w:lang w:val="en-GB"/>
              </w:rPr>
              <w:t>)</w:t>
            </w:r>
            <w:r w:rsidRPr="00CC3FD3">
              <w:rPr>
                <w:rFonts w:ascii="Calibri" w:eastAsia="Calibri" w:hAnsi="Calibri" w:cs="Times New Roman"/>
                <w:iCs/>
                <w:sz w:val="24"/>
                <w:szCs w:val="24"/>
                <w:u w:val="single"/>
                <w:lang w:val="en-GB"/>
              </w:rPr>
              <w:t xml:space="preserve"> </w:t>
            </w:r>
            <w:r w:rsidRPr="00CC3FD3">
              <w:rPr>
                <w:rFonts w:ascii="Calibri" w:hAnsi="Calibri" w:cs="Times New Roman"/>
                <w:iCs/>
                <w:sz w:val="24"/>
                <w:szCs w:val="24"/>
                <w:u w:val="single"/>
                <w:lang w:val="en-GB"/>
              </w:rPr>
              <w:t>+</w:t>
            </w:r>
            <w:r w:rsidRPr="00CC3FD3">
              <w:rPr>
                <w:rFonts w:ascii="Calibri" w:hAnsi="Calibri" w:cs="Times New Roman"/>
                <w:iCs/>
                <w:sz w:val="24"/>
                <w:szCs w:val="24"/>
                <w:lang w:val="en-GB"/>
              </w:rPr>
              <w:t xml:space="preserve"> SD</w:t>
            </w:r>
          </w:p>
        </w:tc>
        <w:tc>
          <w:tcPr>
            <w:tcW w:w="1704" w:type="dxa"/>
          </w:tcPr>
          <w:p w14:paraId="03F44252"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25.7 </w:t>
            </w:r>
            <w:r w:rsidRPr="00CC3FD3">
              <w:rPr>
                <w:rFonts w:ascii="Calibri" w:hAnsi="Calibri" w:cs="Times New Roman"/>
                <w:iCs/>
                <w:sz w:val="24"/>
                <w:szCs w:val="24"/>
                <w:u w:val="single"/>
                <w:lang w:val="en-GB"/>
              </w:rPr>
              <w:t>+</w:t>
            </w:r>
            <w:r w:rsidRPr="00CC3FD3">
              <w:rPr>
                <w:rFonts w:ascii="Calibri" w:hAnsi="Calibri" w:cs="Times New Roman"/>
                <w:iCs/>
                <w:sz w:val="24"/>
                <w:szCs w:val="24"/>
                <w:lang w:val="en-GB"/>
              </w:rPr>
              <w:t xml:space="preserve"> 3.9</w:t>
            </w:r>
          </w:p>
        </w:tc>
        <w:tc>
          <w:tcPr>
            <w:tcW w:w="2827" w:type="dxa"/>
          </w:tcPr>
          <w:p w14:paraId="4CA0F3F8"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24.9 </w:t>
            </w:r>
            <w:r w:rsidRPr="00CC3FD3">
              <w:rPr>
                <w:rFonts w:ascii="Calibri" w:hAnsi="Calibri" w:cs="Times New Roman"/>
                <w:iCs/>
                <w:sz w:val="24"/>
                <w:szCs w:val="24"/>
                <w:u w:val="single"/>
                <w:lang w:val="en-GB"/>
              </w:rPr>
              <w:t>+</w:t>
            </w:r>
            <w:r w:rsidRPr="00CC3FD3">
              <w:rPr>
                <w:rFonts w:ascii="Calibri" w:hAnsi="Calibri" w:cs="Times New Roman"/>
                <w:iCs/>
                <w:sz w:val="24"/>
                <w:szCs w:val="24"/>
                <w:lang w:val="en-GB"/>
              </w:rPr>
              <w:t xml:space="preserve"> 3.8</w:t>
            </w:r>
          </w:p>
        </w:tc>
        <w:tc>
          <w:tcPr>
            <w:tcW w:w="2135" w:type="dxa"/>
          </w:tcPr>
          <w:p w14:paraId="55BC4310"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24.</w:t>
            </w:r>
            <w:r>
              <w:rPr>
                <w:rFonts w:ascii="Calibri" w:hAnsi="Calibri" w:cs="Times New Roman"/>
                <w:iCs/>
                <w:sz w:val="24"/>
                <w:szCs w:val="24"/>
                <w:lang w:val="en-GB"/>
              </w:rPr>
              <w:t>6</w:t>
            </w:r>
            <w:r w:rsidRPr="00CC3FD3">
              <w:rPr>
                <w:rFonts w:ascii="Calibri" w:hAnsi="Calibri" w:cs="Times New Roman"/>
                <w:iCs/>
                <w:sz w:val="24"/>
                <w:szCs w:val="24"/>
                <w:lang w:val="en-GB"/>
              </w:rPr>
              <w:t xml:space="preserve"> </w:t>
            </w:r>
            <w:r w:rsidRPr="00CC3FD3">
              <w:rPr>
                <w:rFonts w:ascii="Calibri" w:hAnsi="Calibri" w:cs="Times New Roman"/>
                <w:iCs/>
                <w:sz w:val="24"/>
                <w:szCs w:val="24"/>
                <w:u w:val="single"/>
                <w:lang w:val="en-GB"/>
              </w:rPr>
              <w:t>+</w:t>
            </w:r>
            <w:r w:rsidRPr="00CC3FD3">
              <w:rPr>
                <w:rFonts w:ascii="Calibri" w:hAnsi="Calibri" w:cs="Times New Roman"/>
                <w:iCs/>
                <w:sz w:val="24"/>
                <w:szCs w:val="24"/>
                <w:lang w:val="en-GB"/>
              </w:rPr>
              <w:t xml:space="preserve"> 3.7</w:t>
            </w:r>
          </w:p>
        </w:tc>
      </w:tr>
      <w:tr w:rsidR="003A4ACE" w:rsidRPr="00CC3FD3" w14:paraId="723331A9" w14:textId="77777777" w:rsidTr="00575DEC">
        <w:tc>
          <w:tcPr>
            <w:tcW w:w="2265" w:type="dxa"/>
          </w:tcPr>
          <w:p w14:paraId="026D6703" w14:textId="5CEF432D" w:rsidR="003A4ACE" w:rsidRPr="00CC3FD3" w:rsidRDefault="00764995" w:rsidP="00575DEC">
            <w:pPr>
              <w:pStyle w:val="NoSpacing"/>
              <w:spacing w:line="360" w:lineRule="auto"/>
              <w:rPr>
                <w:rFonts w:ascii="Calibri" w:hAnsi="Calibri" w:cs="Times New Roman"/>
                <w:i/>
                <w:iCs/>
                <w:sz w:val="24"/>
                <w:szCs w:val="24"/>
                <w:lang w:val="en-GB"/>
              </w:rPr>
            </w:pPr>
            <w:r w:rsidRPr="00CC3FD3">
              <w:rPr>
                <w:rFonts w:ascii="Calibri" w:hAnsi="Calibri" w:cs="Times New Roman"/>
                <w:i/>
                <w:iCs/>
                <w:sz w:val="24"/>
                <w:szCs w:val="24"/>
                <w:lang w:val="en-GB"/>
              </w:rPr>
              <w:t>Incident fractures</w:t>
            </w:r>
          </w:p>
        </w:tc>
        <w:tc>
          <w:tcPr>
            <w:tcW w:w="1704" w:type="dxa"/>
          </w:tcPr>
          <w:p w14:paraId="3A1584FA" w14:textId="77777777" w:rsidR="003A4ACE" w:rsidRPr="00CC3FD3" w:rsidRDefault="003A4ACE" w:rsidP="00575DEC">
            <w:pPr>
              <w:pStyle w:val="NoSpacing"/>
              <w:spacing w:line="360" w:lineRule="auto"/>
              <w:rPr>
                <w:rFonts w:ascii="Calibri" w:hAnsi="Calibri" w:cs="Times New Roman"/>
                <w:iCs/>
                <w:sz w:val="24"/>
                <w:szCs w:val="24"/>
                <w:lang w:val="en-GB"/>
              </w:rPr>
            </w:pPr>
          </w:p>
        </w:tc>
        <w:tc>
          <w:tcPr>
            <w:tcW w:w="2827" w:type="dxa"/>
          </w:tcPr>
          <w:p w14:paraId="669B4F13" w14:textId="77777777" w:rsidR="003A4ACE" w:rsidRPr="00CC3FD3" w:rsidRDefault="003A4ACE" w:rsidP="00575DEC">
            <w:pPr>
              <w:pStyle w:val="NoSpacing"/>
              <w:spacing w:line="360" w:lineRule="auto"/>
              <w:rPr>
                <w:rFonts w:ascii="Calibri" w:hAnsi="Calibri" w:cs="Times New Roman"/>
                <w:iCs/>
                <w:sz w:val="24"/>
                <w:szCs w:val="24"/>
                <w:lang w:val="en-GB"/>
              </w:rPr>
            </w:pPr>
          </w:p>
        </w:tc>
        <w:tc>
          <w:tcPr>
            <w:tcW w:w="2135" w:type="dxa"/>
          </w:tcPr>
          <w:p w14:paraId="6F357E17" w14:textId="77777777" w:rsidR="003A4ACE" w:rsidRPr="00CC3FD3" w:rsidRDefault="003A4ACE" w:rsidP="00575DEC">
            <w:pPr>
              <w:pStyle w:val="NoSpacing"/>
              <w:spacing w:line="360" w:lineRule="auto"/>
              <w:rPr>
                <w:rFonts w:ascii="Calibri" w:hAnsi="Calibri" w:cs="Times New Roman"/>
                <w:iCs/>
                <w:sz w:val="24"/>
                <w:szCs w:val="24"/>
                <w:lang w:val="en-GB"/>
              </w:rPr>
            </w:pPr>
          </w:p>
        </w:tc>
      </w:tr>
      <w:tr w:rsidR="003A4ACE" w:rsidRPr="00CC3FD3" w14:paraId="79AF7191" w14:textId="77777777" w:rsidTr="00575DEC">
        <w:tc>
          <w:tcPr>
            <w:tcW w:w="2265" w:type="dxa"/>
          </w:tcPr>
          <w:p w14:paraId="31052398"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   Vertebral fracture </w:t>
            </w:r>
          </w:p>
        </w:tc>
        <w:tc>
          <w:tcPr>
            <w:tcW w:w="1704" w:type="dxa"/>
          </w:tcPr>
          <w:p w14:paraId="2D335A28"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0</w:t>
            </w:r>
          </w:p>
        </w:tc>
        <w:tc>
          <w:tcPr>
            <w:tcW w:w="2827" w:type="dxa"/>
          </w:tcPr>
          <w:p w14:paraId="26168580"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952 (19%)</w:t>
            </w:r>
          </w:p>
        </w:tc>
        <w:tc>
          <w:tcPr>
            <w:tcW w:w="2135" w:type="dxa"/>
          </w:tcPr>
          <w:p w14:paraId="490C5897"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3</w:t>
            </w:r>
            <w:r>
              <w:rPr>
                <w:rFonts w:ascii="Calibri" w:hAnsi="Calibri" w:cs="Times New Roman"/>
                <w:iCs/>
                <w:sz w:val="24"/>
                <w:szCs w:val="24"/>
                <w:lang w:val="en-GB"/>
              </w:rPr>
              <w:t>95</w:t>
            </w:r>
            <w:r w:rsidRPr="00CC3FD3">
              <w:rPr>
                <w:rFonts w:ascii="Calibri" w:hAnsi="Calibri" w:cs="Times New Roman"/>
                <w:iCs/>
                <w:sz w:val="24"/>
                <w:szCs w:val="24"/>
                <w:lang w:val="en-GB"/>
              </w:rPr>
              <w:t xml:space="preserve"> (</w:t>
            </w:r>
            <w:r>
              <w:rPr>
                <w:rFonts w:ascii="Calibri" w:hAnsi="Calibri" w:cs="Times New Roman"/>
                <w:iCs/>
                <w:sz w:val="24"/>
                <w:szCs w:val="24"/>
                <w:lang w:val="en-GB"/>
              </w:rPr>
              <w:t>21</w:t>
            </w:r>
            <w:r w:rsidRPr="00CC3FD3">
              <w:rPr>
                <w:rFonts w:ascii="Calibri" w:hAnsi="Calibri" w:cs="Times New Roman"/>
                <w:iCs/>
                <w:sz w:val="24"/>
                <w:szCs w:val="24"/>
                <w:lang w:val="en-GB"/>
              </w:rPr>
              <w:t>%)</w:t>
            </w:r>
          </w:p>
        </w:tc>
      </w:tr>
      <w:tr w:rsidR="003A4ACE" w:rsidRPr="00CC3FD3" w14:paraId="49540037" w14:textId="77777777" w:rsidTr="00575DEC">
        <w:tc>
          <w:tcPr>
            <w:tcW w:w="2265" w:type="dxa"/>
          </w:tcPr>
          <w:p w14:paraId="5AA4CA46"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   Hip </w:t>
            </w:r>
          </w:p>
        </w:tc>
        <w:tc>
          <w:tcPr>
            <w:tcW w:w="1704" w:type="dxa"/>
          </w:tcPr>
          <w:p w14:paraId="7EF0D058"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0</w:t>
            </w:r>
          </w:p>
        </w:tc>
        <w:tc>
          <w:tcPr>
            <w:tcW w:w="2827" w:type="dxa"/>
          </w:tcPr>
          <w:p w14:paraId="7775B5E7" w14:textId="77777777" w:rsidR="003A4ACE" w:rsidRPr="00CC3FD3" w:rsidRDefault="003A4ACE" w:rsidP="00575DEC">
            <w:pPr>
              <w:pStyle w:val="NoSpacing"/>
              <w:spacing w:line="360" w:lineRule="auto"/>
              <w:rPr>
                <w:rFonts w:ascii="Calibri" w:hAnsi="Calibri" w:cs="Times New Roman"/>
                <w:iCs/>
                <w:sz w:val="24"/>
                <w:szCs w:val="24"/>
                <w:lang w:val="en-GB"/>
              </w:rPr>
            </w:pPr>
            <w:r>
              <w:rPr>
                <w:rFonts w:ascii="Calibri" w:hAnsi="Calibri" w:cs="Times New Roman"/>
                <w:iCs/>
                <w:sz w:val="24"/>
                <w:szCs w:val="24"/>
                <w:lang w:val="en-GB"/>
              </w:rPr>
              <w:t>1305</w:t>
            </w:r>
            <w:r w:rsidRPr="00CC3FD3">
              <w:rPr>
                <w:rFonts w:ascii="Calibri" w:hAnsi="Calibri" w:cs="Times New Roman"/>
                <w:iCs/>
                <w:sz w:val="24"/>
                <w:szCs w:val="24"/>
                <w:lang w:val="en-GB"/>
              </w:rPr>
              <w:t xml:space="preserve"> (26%)</w:t>
            </w:r>
          </w:p>
        </w:tc>
        <w:tc>
          <w:tcPr>
            <w:tcW w:w="2135" w:type="dxa"/>
          </w:tcPr>
          <w:p w14:paraId="79D05B85"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3</w:t>
            </w:r>
            <w:r>
              <w:rPr>
                <w:rFonts w:ascii="Calibri" w:hAnsi="Calibri" w:cs="Times New Roman"/>
                <w:iCs/>
                <w:sz w:val="24"/>
                <w:szCs w:val="24"/>
                <w:lang w:val="en-GB"/>
              </w:rPr>
              <w:t>36</w:t>
            </w:r>
            <w:r w:rsidRPr="00CC3FD3">
              <w:rPr>
                <w:rFonts w:ascii="Calibri" w:hAnsi="Calibri" w:cs="Times New Roman"/>
                <w:iCs/>
                <w:sz w:val="24"/>
                <w:szCs w:val="24"/>
                <w:lang w:val="en-GB"/>
              </w:rPr>
              <w:t xml:space="preserve"> (</w:t>
            </w:r>
            <w:r>
              <w:rPr>
                <w:rFonts w:ascii="Calibri" w:hAnsi="Calibri" w:cs="Times New Roman"/>
                <w:iCs/>
                <w:sz w:val="24"/>
                <w:szCs w:val="24"/>
                <w:lang w:val="en-GB"/>
              </w:rPr>
              <w:t>18</w:t>
            </w:r>
            <w:r w:rsidRPr="00CC3FD3">
              <w:rPr>
                <w:rFonts w:ascii="Calibri" w:hAnsi="Calibri" w:cs="Times New Roman"/>
                <w:iCs/>
                <w:sz w:val="24"/>
                <w:szCs w:val="24"/>
                <w:lang w:val="en-GB"/>
              </w:rPr>
              <w:t>%)</w:t>
            </w:r>
          </w:p>
        </w:tc>
      </w:tr>
      <w:tr w:rsidR="003A4ACE" w:rsidRPr="00CC3FD3" w14:paraId="38B39523" w14:textId="77777777" w:rsidTr="00575DEC">
        <w:tc>
          <w:tcPr>
            <w:tcW w:w="2265" w:type="dxa"/>
          </w:tcPr>
          <w:p w14:paraId="36992469"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   Distal forearm </w:t>
            </w:r>
          </w:p>
        </w:tc>
        <w:tc>
          <w:tcPr>
            <w:tcW w:w="1704" w:type="dxa"/>
          </w:tcPr>
          <w:p w14:paraId="2C168F3C"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0</w:t>
            </w:r>
          </w:p>
        </w:tc>
        <w:tc>
          <w:tcPr>
            <w:tcW w:w="2827" w:type="dxa"/>
          </w:tcPr>
          <w:p w14:paraId="7881C863"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2053 (41%)</w:t>
            </w:r>
          </w:p>
        </w:tc>
        <w:tc>
          <w:tcPr>
            <w:tcW w:w="2135" w:type="dxa"/>
          </w:tcPr>
          <w:p w14:paraId="25F164C5"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881 (46%)</w:t>
            </w:r>
          </w:p>
        </w:tc>
      </w:tr>
      <w:tr w:rsidR="003A4ACE" w:rsidRPr="00CC3FD3" w14:paraId="6AC7D615" w14:textId="77777777" w:rsidTr="00575DEC">
        <w:tc>
          <w:tcPr>
            <w:tcW w:w="2265" w:type="dxa"/>
          </w:tcPr>
          <w:p w14:paraId="5C6D22B3"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 xml:space="preserve">   Humerus</w:t>
            </w:r>
          </w:p>
        </w:tc>
        <w:tc>
          <w:tcPr>
            <w:tcW w:w="1704" w:type="dxa"/>
          </w:tcPr>
          <w:p w14:paraId="61D915B3"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0</w:t>
            </w:r>
          </w:p>
        </w:tc>
        <w:tc>
          <w:tcPr>
            <w:tcW w:w="2827" w:type="dxa"/>
          </w:tcPr>
          <w:p w14:paraId="60226AB6"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729 (14%)</w:t>
            </w:r>
          </w:p>
        </w:tc>
        <w:tc>
          <w:tcPr>
            <w:tcW w:w="2135" w:type="dxa"/>
          </w:tcPr>
          <w:p w14:paraId="2364BD88" w14:textId="77777777" w:rsidR="003A4ACE" w:rsidRPr="00CC3FD3" w:rsidRDefault="003A4ACE" w:rsidP="00575DEC">
            <w:pPr>
              <w:pStyle w:val="NoSpacing"/>
              <w:spacing w:line="360" w:lineRule="auto"/>
              <w:rPr>
                <w:rFonts w:ascii="Calibri" w:hAnsi="Calibri" w:cs="Times New Roman"/>
                <w:iCs/>
                <w:sz w:val="24"/>
                <w:szCs w:val="24"/>
                <w:lang w:val="en-GB"/>
              </w:rPr>
            </w:pPr>
            <w:r w:rsidRPr="00CC3FD3">
              <w:rPr>
                <w:rFonts w:ascii="Calibri" w:hAnsi="Calibri" w:cs="Times New Roman"/>
                <w:iCs/>
                <w:sz w:val="24"/>
                <w:szCs w:val="24"/>
                <w:lang w:val="en-GB"/>
              </w:rPr>
              <w:t>307 (16%)</w:t>
            </w:r>
          </w:p>
        </w:tc>
      </w:tr>
    </w:tbl>
    <w:p w14:paraId="0F6CCF01" w14:textId="77777777" w:rsidR="003A4ACE" w:rsidRPr="00CC3FD3" w:rsidRDefault="003A4ACE" w:rsidP="003A4ACE">
      <w:pPr>
        <w:pStyle w:val="NoSpacing"/>
        <w:spacing w:line="360" w:lineRule="auto"/>
        <w:rPr>
          <w:rFonts w:cs="Times New Roman"/>
          <w:iCs/>
          <w:sz w:val="20"/>
          <w:szCs w:val="20"/>
          <w:lang w:val="en-GB"/>
        </w:rPr>
      </w:pPr>
      <w:r w:rsidRPr="00CC3FD3">
        <w:rPr>
          <w:rFonts w:cs="Times New Roman"/>
          <w:iCs/>
          <w:sz w:val="20"/>
          <w:szCs w:val="20"/>
          <w:lang w:val="en-GB"/>
        </w:rPr>
        <w:t>BMI, body mass index: MOF, major osteoporotic fracture</w:t>
      </w:r>
    </w:p>
    <w:p w14:paraId="5C4E1814" w14:textId="77777777" w:rsidR="003A4ACE" w:rsidRPr="00E4190D" w:rsidRDefault="003A4ACE" w:rsidP="003A4ACE">
      <w:pPr>
        <w:pStyle w:val="NoSpacing"/>
        <w:spacing w:line="360" w:lineRule="auto"/>
        <w:rPr>
          <w:rFonts w:ascii="Times New Roman" w:hAnsi="Times New Roman" w:cs="Times New Roman"/>
          <w:sz w:val="24"/>
          <w:szCs w:val="24"/>
          <w:lang w:val="en-US"/>
        </w:rPr>
      </w:pPr>
    </w:p>
    <w:p w14:paraId="32648AD9" w14:textId="77777777" w:rsidR="003A4ACE" w:rsidRPr="003A4ACE" w:rsidRDefault="003A4ACE" w:rsidP="003A4ACE">
      <w:pPr>
        <w:pStyle w:val="NoSpacing"/>
        <w:spacing w:line="360" w:lineRule="auto"/>
        <w:rPr>
          <w:rFonts w:cs="Times New Roman"/>
          <w:b/>
          <w:sz w:val="24"/>
          <w:szCs w:val="24"/>
          <w:lang w:val="en-GB"/>
        </w:rPr>
      </w:pPr>
    </w:p>
    <w:p w14:paraId="4BD97ACA" w14:textId="77777777" w:rsidR="003A4ACE" w:rsidRPr="003A4ACE" w:rsidRDefault="003A4ACE" w:rsidP="003A4ACE">
      <w:pPr>
        <w:pStyle w:val="NoSpacing"/>
        <w:rPr>
          <w:b/>
          <w:sz w:val="24"/>
          <w:szCs w:val="24"/>
          <w:lang w:val="en-GB"/>
        </w:rPr>
      </w:pPr>
    </w:p>
    <w:p w14:paraId="714885AD" w14:textId="1979CF57" w:rsidR="003A4ACE" w:rsidRPr="003A4ACE" w:rsidRDefault="003A4ACE" w:rsidP="003A4ACE">
      <w:pPr>
        <w:pStyle w:val="NoSpacing"/>
        <w:spacing w:line="360" w:lineRule="auto"/>
        <w:rPr>
          <w:b/>
          <w:sz w:val="24"/>
          <w:szCs w:val="24"/>
          <w:lang w:val="en-GB"/>
        </w:rPr>
      </w:pPr>
      <w:r w:rsidRPr="003A4ACE">
        <w:rPr>
          <w:b/>
          <w:sz w:val="24"/>
          <w:szCs w:val="24"/>
          <w:lang w:val="en-GB"/>
        </w:rPr>
        <w:lastRenderedPageBreak/>
        <w:t>Table 2.</w:t>
      </w:r>
      <w:r w:rsidRPr="003A4ACE">
        <w:rPr>
          <w:sz w:val="24"/>
          <w:szCs w:val="24"/>
          <w:lang w:val="en-GB"/>
        </w:rPr>
        <w:t xml:space="preserve"> Annual incidence of first major osteoporotic fracture per 100 000 and 95% confidence intervals (CI) for men and women according to age, determined </w:t>
      </w:r>
      <w:r w:rsidR="00D71B21">
        <w:rPr>
          <w:sz w:val="24"/>
          <w:szCs w:val="24"/>
          <w:lang w:val="en-GB"/>
        </w:rPr>
        <w:t>at</w:t>
      </w:r>
      <w:r w:rsidR="00D71B21" w:rsidRPr="003A4ACE">
        <w:rPr>
          <w:sz w:val="24"/>
          <w:szCs w:val="24"/>
          <w:lang w:val="en-GB"/>
        </w:rPr>
        <w:t xml:space="preserve"> </w:t>
      </w:r>
      <w:r w:rsidRPr="003A4ACE">
        <w:rPr>
          <w:sz w:val="24"/>
          <w:szCs w:val="24"/>
          <w:lang w:val="en-GB"/>
        </w:rPr>
        <w:t xml:space="preserve">5 years after baseline assessment.   </w:t>
      </w:r>
      <w:r w:rsidRPr="003A4ACE">
        <w:rPr>
          <w:b/>
          <w:sz w:val="24"/>
          <w:szCs w:val="24"/>
          <w:lang w:val="en-GB"/>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510"/>
        <w:gridCol w:w="1510"/>
        <w:gridCol w:w="285"/>
        <w:gridCol w:w="1417"/>
        <w:gridCol w:w="1843"/>
      </w:tblGrid>
      <w:tr w:rsidR="003A4ACE" w:rsidRPr="003A4ACE" w14:paraId="135A8EFA" w14:textId="77777777" w:rsidTr="00575DEC">
        <w:tc>
          <w:tcPr>
            <w:tcW w:w="1510" w:type="dxa"/>
            <w:tcBorders>
              <w:bottom w:val="nil"/>
            </w:tcBorders>
          </w:tcPr>
          <w:p w14:paraId="063D2614" w14:textId="77777777" w:rsidR="003A4ACE" w:rsidRPr="003A4ACE" w:rsidRDefault="003A4ACE" w:rsidP="003A4ACE">
            <w:pPr>
              <w:pStyle w:val="NoSpacing"/>
              <w:rPr>
                <w:sz w:val="24"/>
                <w:szCs w:val="24"/>
                <w:lang w:val="en-GB"/>
              </w:rPr>
            </w:pPr>
            <w:r w:rsidRPr="003A4ACE">
              <w:rPr>
                <w:sz w:val="24"/>
                <w:szCs w:val="24"/>
                <w:lang w:val="en-GB"/>
              </w:rPr>
              <w:t>Age</w:t>
            </w:r>
          </w:p>
          <w:p w14:paraId="72EA73DA" w14:textId="77777777" w:rsidR="003A4ACE" w:rsidRPr="003A4ACE" w:rsidRDefault="003A4ACE" w:rsidP="003A4ACE">
            <w:pPr>
              <w:pStyle w:val="NoSpacing"/>
              <w:rPr>
                <w:sz w:val="24"/>
                <w:szCs w:val="24"/>
                <w:lang w:val="en-GB"/>
              </w:rPr>
            </w:pPr>
            <w:r w:rsidRPr="003A4ACE">
              <w:rPr>
                <w:sz w:val="24"/>
                <w:szCs w:val="24"/>
                <w:lang w:val="en-GB"/>
              </w:rPr>
              <w:t>(Years)</w:t>
            </w:r>
          </w:p>
        </w:tc>
        <w:tc>
          <w:tcPr>
            <w:tcW w:w="1510" w:type="dxa"/>
            <w:tcBorders>
              <w:bottom w:val="nil"/>
            </w:tcBorders>
          </w:tcPr>
          <w:p w14:paraId="276B60F1" w14:textId="77777777" w:rsidR="003A4ACE" w:rsidRPr="003A4ACE" w:rsidRDefault="003A4ACE" w:rsidP="003A4ACE">
            <w:pPr>
              <w:pStyle w:val="NoSpacing"/>
              <w:rPr>
                <w:sz w:val="24"/>
                <w:szCs w:val="24"/>
                <w:lang w:val="en-GB"/>
              </w:rPr>
            </w:pPr>
            <w:r w:rsidRPr="003A4ACE">
              <w:rPr>
                <w:sz w:val="24"/>
                <w:szCs w:val="24"/>
                <w:lang w:val="en-GB"/>
              </w:rPr>
              <w:t>Men</w:t>
            </w:r>
          </w:p>
        </w:tc>
        <w:tc>
          <w:tcPr>
            <w:tcW w:w="1510" w:type="dxa"/>
            <w:tcBorders>
              <w:bottom w:val="nil"/>
            </w:tcBorders>
          </w:tcPr>
          <w:p w14:paraId="5D72C302" w14:textId="77777777" w:rsidR="003A4ACE" w:rsidRPr="003A4ACE" w:rsidRDefault="003A4ACE" w:rsidP="003A4ACE">
            <w:pPr>
              <w:pStyle w:val="NoSpacing"/>
              <w:rPr>
                <w:sz w:val="24"/>
                <w:szCs w:val="24"/>
                <w:lang w:val="en-GB"/>
              </w:rPr>
            </w:pPr>
          </w:p>
        </w:tc>
        <w:tc>
          <w:tcPr>
            <w:tcW w:w="285" w:type="dxa"/>
            <w:tcBorders>
              <w:bottom w:val="nil"/>
            </w:tcBorders>
          </w:tcPr>
          <w:p w14:paraId="16B00C2E" w14:textId="77777777" w:rsidR="003A4ACE" w:rsidRPr="003A4ACE" w:rsidRDefault="003A4ACE" w:rsidP="003A4ACE">
            <w:pPr>
              <w:pStyle w:val="NoSpacing"/>
              <w:rPr>
                <w:sz w:val="24"/>
                <w:szCs w:val="24"/>
                <w:lang w:val="en-GB"/>
              </w:rPr>
            </w:pPr>
          </w:p>
        </w:tc>
        <w:tc>
          <w:tcPr>
            <w:tcW w:w="1417" w:type="dxa"/>
            <w:tcBorders>
              <w:bottom w:val="nil"/>
            </w:tcBorders>
          </w:tcPr>
          <w:p w14:paraId="7ACFFC20" w14:textId="77777777" w:rsidR="003A4ACE" w:rsidRPr="003A4ACE" w:rsidRDefault="003A4ACE" w:rsidP="003A4ACE">
            <w:pPr>
              <w:pStyle w:val="NoSpacing"/>
              <w:rPr>
                <w:sz w:val="24"/>
                <w:szCs w:val="24"/>
                <w:lang w:val="en-GB"/>
              </w:rPr>
            </w:pPr>
            <w:r w:rsidRPr="003A4ACE">
              <w:rPr>
                <w:sz w:val="24"/>
                <w:szCs w:val="24"/>
                <w:lang w:val="en-GB"/>
              </w:rPr>
              <w:t>Women</w:t>
            </w:r>
          </w:p>
        </w:tc>
        <w:tc>
          <w:tcPr>
            <w:tcW w:w="1843" w:type="dxa"/>
            <w:tcBorders>
              <w:bottom w:val="nil"/>
            </w:tcBorders>
          </w:tcPr>
          <w:p w14:paraId="18085967" w14:textId="77777777" w:rsidR="003A4ACE" w:rsidRPr="003A4ACE" w:rsidRDefault="003A4ACE" w:rsidP="003A4ACE">
            <w:pPr>
              <w:pStyle w:val="NoSpacing"/>
              <w:rPr>
                <w:sz w:val="24"/>
                <w:szCs w:val="24"/>
                <w:lang w:val="en-GB"/>
              </w:rPr>
            </w:pPr>
          </w:p>
        </w:tc>
      </w:tr>
      <w:tr w:rsidR="003A4ACE" w:rsidRPr="003A4ACE" w14:paraId="49B7BA95" w14:textId="77777777" w:rsidTr="00575DEC">
        <w:tc>
          <w:tcPr>
            <w:tcW w:w="1510" w:type="dxa"/>
            <w:tcBorders>
              <w:top w:val="nil"/>
              <w:bottom w:val="single" w:sz="4" w:space="0" w:color="auto"/>
            </w:tcBorders>
          </w:tcPr>
          <w:p w14:paraId="142BB609" w14:textId="77777777" w:rsidR="003A4ACE" w:rsidRPr="003A4ACE" w:rsidRDefault="003A4ACE" w:rsidP="003A4ACE">
            <w:pPr>
              <w:pStyle w:val="NoSpacing"/>
              <w:rPr>
                <w:sz w:val="24"/>
                <w:szCs w:val="24"/>
                <w:lang w:val="en-GB"/>
              </w:rPr>
            </w:pPr>
          </w:p>
        </w:tc>
        <w:tc>
          <w:tcPr>
            <w:tcW w:w="1510" w:type="dxa"/>
            <w:tcBorders>
              <w:top w:val="nil"/>
              <w:bottom w:val="single" w:sz="4" w:space="0" w:color="auto"/>
            </w:tcBorders>
          </w:tcPr>
          <w:p w14:paraId="6BF326FF" w14:textId="77777777" w:rsidR="003A4ACE" w:rsidRPr="003A4ACE" w:rsidRDefault="003A4ACE" w:rsidP="003A4ACE">
            <w:pPr>
              <w:pStyle w:val="NoSpacing"/>
              <w:rPr>
                <w:sz w:val="24"/>
                <w:szCs w:val="24"/>
                <w:lang w:val="en-GB"/>
              </w:rPr>
            </w:pPr>
            <w:r w:rsidRPr="003A4ACE">
              <w:rPr>
                <w:sz w:val="24"/>
                <w:szCs w:val="24"/>
                <w:lang w:val="en-GB"/>
              </w:rPr>
              <w:t>Mean</w:t>
            </w:r>
          </w:p>
        </w:tc>
        <w:tc>
          <w:tcPr>
            <w:tcW w:w="1510" w:type="dxa"/>
            <w:tcBorders>
              <w:top w:val="nil"/>
              <w:bottom w:val="single" w:sz="4" w:space="0" w:color="auto"/>
            </w:tcBorders>
          </w:tcPr>
          <w:p w14:paraId="6A2BF986" w14:textId="77777777" w:rsidR="003A4ACE" w:rsidRPr="003A4ACE" w:rsidRDefault="003A4ACE" w:rsidP="003A4ACE">
            <w:pPr>
              <w:pStyle w:val="NoSpacing"/>
              <w:rPr>
                <w:sz w:val="24"/>
                <w:szCs w:val="24"/>
                <w:lang w:val="en-GB"/>
              </w:rPr>
            </w:pPr>
            <w:r w:rsidRPr="003A4ACE">
              <w:rPr>
                <w:sz w:val="24"/>
                <w:szCs w:val="24"/>
                <w:lang w:val="en-GB"/>
              </w:rPr>
              <w:t>95% CI</w:t>
            </w:r>
          </w:p>
        </w:tc>
        <w:tc>
          <w:tcPr>
            <w:tcW w:w="285" w:type="dxa"/>
            <w:tcBorders>
              <w:top w:val="nil"/>
              <w:bottom w:val="single" w:sz="4" w:space="0" w:color="auto"/>
            </w:tcBorders>
          </w:tcPr>
          <w:p w14:paraId="3410714E" w14:textId="77777777" w:rsidR="003A4ACE" w:rsidRPr="003A4ACE" w:rsidRDefault="003A4ACE" w:rsidP="003A4ACE">
            <w:pPr>
              <w:pStyle w:val="NoSpacing"/>
              <w:rPr>
                <w:sz w:val="24"/>
                <w:szCs w:val="24"/>
                <w:lang w:val="en-GB"/>
              </w:rPr>
            </w:pPr>
          </w:p>
        </w:tc>
        <w:tc>
          <w:tcPr>
            <w:tcW w:w="1417" w:type="dxa"/>
            <w:tcBorders>
              <w:top w:val="nil"/>
              <w:bottom w:val="single" w:sz="4" w:space="0" w:color="auto"/>
            </w:tcBorders>
          </w:tcPr>
          <w:p w14:paraId="75D79F30" w14:textId="77777777" w:rsidR="003A4ACE" w:rsidRPr="003A4ACE" w:rsidRDefault="003A4ACE" w:rsidP="003A4ACE">
            <w:pPr>
              <w:pStyle w:val="NoSpacing"/>
              <w:rPr>
                <w:sz w:val="24"/>
                <w:szCs w:val="24"/>
                <w:lang w:val="en-GB"/>
              </w:rPr>
            </w:pPr>
            <w:r w:rsidRPr="003A4ACE">
              <w:rPr>
                <w:sz w:val="24"/>
                <w:szCs w:val="24"/>
                <w:lang w:val="en-GB"/>
              </w:rPr>
              <w:t>Mean</w:t>
            </w:r>
          </w:p>
        </w:tc>
        <w:tc>
          <w:tcPr>
            <w:tcW w:w="1843" w:type="dxa"/>
            <w:tcBorders>
              <w:top w:val="nil"/>
              <w:bottom w:val="single" w:sz="4" w:space="0" w:color="auto"/>
            </w:tcBorders>
          </w:tcPr>
          <w:p w14:paraId="6C02FD2E" w14:textId="77777777" w:rsidR="003A4ACE" w:rsidRPr="003A4ACE" w:rsidRDefault="003A4ACE" w:rsidP="003A4ACE">
            <w:pPr>
              <w:pStyle w:val="NoSpacing"/>
              <w:rPr>
                <w:sz w:val="24"/>
                <w:szCs w:val="24"/>
                <w:lang w:val="en-GB"/>
              </w:rPr>
            </w:pPr>
            <w:r w:rsidRPr="003A4ACE">
              <w:rPr>
                <w:sz w:val="24"/>
                <w:szCs w:val="24"/>
                <w:lang w:val="en-GB"/>
              </w:rPr>
              <w:t>95% CI</w:t>
            </w:r>
          </w:p>
        </w:tc>
      </w:tr>
      <w:tr w:rsidR="003A4ACE" w:rsidRPr="003A4ACE" w14:paraId="662411CC" w14:textId="77777777" w:rsidTr="00575DEC">
        <w:tc>
          <w:tcPr>
            <w:tcW w:w="1510" w:type="dxa"/>
            <w:tcBorders>
              <w:top w:val="single" w:sz="4" w:space="0" w:color="auto"/>
              <w:bottom w:val="nil"/>
            </w:tcBorders>
          </w:tcPr>
          <w:p w14:paraId="287DBD1F" w14:textId="77777777" w:rsidR="003A4ACE" w:rsidRPr="003A4ACE" w:rsidRDefault="003A4ACE" w:rsidP="003A4ACE">
            <w:pPr>
              <w:pStyle w:val="NoSpacing"/>
              <w:rPr>
                <w:sz w:val="24"/>
                <w:szCs w:val="24"/>
                <w:lang w:val="en-GB"/>
              </w:rPr>
            </w:pPr>
            <w:r w:rsidRPr="003A4ACE">
              <w:rPr>
                <w:sz w:val="24"/>
                <w:szCs w:val="24"/>
                <w:lang w:val="en-GB"/>
              </w:rPr>
              <w:t>40</w:t>
            </w:r>
          </w:p>
        </w:tc>
        <w:tc>
          <w:tcPr>
            <w:tcW w:w="1510" w:type="dxa"/>
            <w:tcBorders>
              <w:top w:val="single" w:sz="4" w:space="0" w:color="auto"/>
              <w:bottom w:val="nil"/>
            </w:tcBorders>
          </w:tcPr>
          <w:p w14:paraId="7ACD23AD" w14:textId="77777777" w:rsidR="003A4ACE" w:rsidRPr="003A4ACE" w:rsidRDefault="003A4ACE" w:rsidP="003A4ACE">
            <w:pPr>
              <w:pStyle w:val="NoSpacing"/>
              <w:rPr>
                <w:sz w:val="24"/>
                <w:szCs w:val="24"/>
                <w:lang w:val="en-GB"/>
              </w:rPr>
            </w:pPr>
            <w:r w:rsidRPr="003A4ACE">
              <w:rPr>
                <w:sz w:val="24"/>
                <w:szCs w:val="24"/>
                <w:lang w:val="en-GB"/>
              </w:rPr>
              <w:t>49</w:t>
            </w:r>
          </w:p>
        </w:tc>
        <w:tc>
          <w:tcPr>
            <w:tcW w:w="1510" w:type="dxa"/>
            <w:tcBorders>
              <w:top w:val="single" w:sz="4" w:space="0" w:color="auto"/>
              <w:bottom w:val="nil"/>
            </w:tcBorders>
          </w:tcPr>
          <w:p w14:paraId="2ADEA6C0" w14:textId="77777777" w:rsidR="003A4ACE" w:rsidRPr="003A4ACE" w:rsidRDefault="003A4ACE" w:rsidP="003A4ACE">
            <w:pPr>
              <w:pStyle w:val="NoSpacing"/>
              <w:rPr>
                <w:sz w:val="24"/>
                <w:szCs w:val="24"/>
                <w:lang w:val="en-GB"/>
              </w:rPr>
            </w:pPr>
            <w:r w:rsidRPr="003A4ACE">
              <w:rPr>
                <w:sz w:val="24"/>
                <w:szCs w:val="24"/>
                <w:lang w:val="en-GB"/>
              </w:rPr>
              <w:t>30-80</w:t>
            </w:r>
          </w:p>
        </w:tc>
        <w:tc>
          <w:tcPr>
            <w:tcW w:w="285" w:type="dxa"/>
            <w:tcBorders>
              <w:top w:val="single" w:sz="4" w:space="0" w:color="auto"/>
              <w:bottom w:val="nil"/>
            </w:tcBorders>
          </w:tcPr>
          <w:p w14:paraId="3AAFD3D0" w14:textId="77777777" w:rsidR="003A4ACE" w:rsidRPr="003A4ACE" w:rsidRDefault="003A4ACE" w:rsidP="003A4ACE">
            <w:pPr>
              <w:pStyle w:val="NoSpacing"/>
              <w:rPr>
                <w:sz w:val="24"/>
                <w:szCs w:val="24"/>
                <w:lang w:val="en-GB"/>
              </w:rPr>
            </w:pPr>
          </w:p>
        </w:tc>
        <w:tc>
          <w:tcPr>
            <w:tcW w:w="1417" w:type="dxa"/>
            <w:tcBorders>
              <w:top w:val="single" w:sz="4" w:space="0" w:color="auto"/>
              <w:bottom w:val="nil"/>
            </w:tcBorders>
          </w:tcPr>
          <w:p w14:paraId="065DB805" w14:textId="77777777" w:rsidR="003A4ACE" w:rsidRPr="003A4ACE" w:rsidRDefault="003A4ACE" w:rsidP="003A4ACE">
            <w:pPr>
              <w:pStyle w:val="NoSpacing"/>
              <w:rPr>
                <w:sz w:val="24"/>
                <w:szCs w:val="24"/>
                <w:lang w:val="en-GB"/>
              </w:rPr>
            </w:pPr>
            <w:r w:rsidRPr="003A4ACE">
              <w:rPr>
                <w:sz w:val="24"/>
                <w:szCs w:val="24"/>
                <w:lang w:val="en-GB"/>
              </w:rPr>
              <w:t>138</w:t>
            </w:r>
          </w:p>
        </w:tc>
        <w:tc>
          <w:tcPr>
            <w:tcW w:w="1843" w:type="dxa"/>
            <w:tcBorders>
              <w:top w:val="single" w:sz="4" w:space="0" w:color="auto"/>
              <w:bottom w:val="nil"/>
            </w:tcBorders>
          </w:tcPr>
          <w:p w14:paraId="5469490B" w14:textId="77777777" w:rsidR="003A4ACE" w:rsidRPr="003A4ACE" w:rsidRDefault="003A4ACE" w:rsidP="003A4ACE">
            <w:pPr>
              <w:pStyle w:val="NoSpacing"/>
              <w:rPr>
                <w:sz w:val="24"/>
                <w:szCs w:val="24"/>
                <w:lang w:val="en-GB"/>
              </w:rPr>
            </w:pPr>
            <w:r w:rsidRPr="003A4ACE">
              <w:rPr>
                <w:sz w:val="24"/>
                <w:szCs w:val="24"/>
                <w:lang w:val="en-GB"/>
              </w:rPr>
              <w:t>85-225</w:t>
            </w:r>
          </w:p>
        </w:tc>
      </w:tr>
      <w:tr w:rsidR="003A4ACE" w:rsidRPr="003A4ACE" w14:paraId="4646C8EF" w14:textId="77777777" w:rsidTr="00575DEC">
        <w:tc>
          <w:tcPr>
            <w:tcW w:w="1510" w:type="dxa"/>
            <w:tcBorders>
              <w:top w:val="nil"/>
            </w:tcBorders>
          </w:tcPr>
          <w:p w14:paraId="10CBA10B" w14:textId="77777777" w:rsidR="003A4ACE" w:rsidRPr="003A4ACE" w:rsidRDefault="003A4ACE" w:rsidP="003A4ACE">
            <w:pPr>
              <w:pStyle w:val="NoSpacing"/>
              <w:rPr>
                <w:sz w:val="24"/>
                <w:szCs w:val="24"/>
                <w:lang w:val="en-GB"/>
              </w:rPr>
            </w:pPr>
            <w:r w:rsidRPr="003A4ACE">
              <w:rPr>
                <w:sz w:val="24"/>
                <w:szCs w:val="24"/>
                <w:lang w:val="en-GB"/>
              </w:rPr>
              <w:t>50</w:t>
            </w:r>
          </w:p>
        </w:tc>
        <w:tc>
          <w:tcPr>
            <w:tcW w:w="1510" w:type="dxa"/>
            <w:tcBorders>
              <w:top w:val="nil"/>
            </w:tcBorders>
          </w:tcPr>
          <w:p w14:paraId="6EEDE5FB" w14:textId="77777777" w:rsidR="003A4ACE" w:rsidRPr="003A4ACE" w:rsidRDefault="003A4ACE" w:rsidP="003A4ACE">
            <w:pPr>
              <w:pStyle w:val="NoSpacing"/>
              <w:rPr>
                <w:sz w:val="24"/>
                <w:szCs w:val="24"/>
                <w:lang w:val="en-GB"/>
              </w:rPr>
            </w:pPr>
            <w:r w:rsidRPr="003A4ACE">
              <w:rPr>
                <w:sz w:val="24"/>
                <w:szCs w:val="24"/>
                <w:lang w:val="en-GB"/>
              </w:rPr>
              <w:t>234</w:t>
            </w:r>
          </w:p>
        </w:tc>
        <w:tc>
          <w:tcPr>
            <w:tcW w:w="1510" w:type="dxa"/>
            <w:tcBorders>
              <w:top w:val="nil"/>
            </w:tcBorders>
          </w:tcPr>
          <w:p w14:paraId="379CB6DC" w14:textId="77777777" w:rsidR="003A4ACE" w:rsidRPr="003A4ACE" w:rsidRDefault="003A4ACE" w:rsidP="003A4ACE">
            <w:pPr>
              <w:pStyle w:val="NoSpacing"/>
              <w:rPr>
                <w:sz w:val="24"/>
                <w:szCs w:val="24"/>
                <w:lang w:val="en-GB"/>
              </w:rPr>
            </w:pPr>
            <w:r w:rsidRPr="003A4ACE">
              <w:rPr>
                <w:sz w:val="24"/>
                <w:szCs w:val="24"/>
                <w:lang w:val="en-GB"/>
              </w:rPr>
              <w:t>209-261</w:t>
            </w:r>
          </w:p>
        </w:tc>
        <w:tc>
          <w:tcPr>
            <w:tcW w:w="285" w:type="dxa"/>
            <w:tcBorders>
              <w:top w:val="nil"/>
            </w:tcBorders>
          </w:tcPr>
          <w:p w14:paraId="121FE653" w14:textId="77777777" w:rsidR="003A4ACE" w:rsidRPr="003A4ACE" w:rsidRDefault="003A4ACE" w:rsidP="003A4ACE">
            <w:pPr>
              <w:pStyle w:val="NoSpacing"/>
              <w:rPr>
                <w:sz w:val="24"/>
                <w:szCs w:val="24"/>
                <w:lang w:val="en-GB"/>
              </w:rPr>
            </w:pPr>
          </w:p>
        </w:tc>
        <w:tc>
          <w:tcPr>
            <w:tcW w:w="1417" w:type="dxa"/>
            <w:tcBorders>
              <w:top w:val="nil"/>
            </w:tcBorders>
          </w:tcPr>
          <w:p w14:paraId="6CD3ADCE" w14:textId="77777777" w:rsidR="003A4ACE" w:rsidRPr="003A4ACE" w:rsidRDefault="003A4ACE" w:rsidP="003A4ACE">
            <w:pPr>
              <w:pStyle w:val="NoSpacing"/>
              <w:rPr>
                <w:sz w:val="24"/>
                <w:szCs w:val="24"/>
                <w:lang w:val="en-GB"/>
              </w:rPr>
            </w:pPr>
            <w:r w:rsidRPr="003A4ACE">
              <w:rPr>
                <w:sz w:val="24"/>
                <w:szCs w:val="24"/>
                <w:lang w:val="en-GB"/>
              </w:rPr>
              <w:t>655</w:t>
            </w:r>
          </w:p>
        </w:tc>
        <w:tc>
          <w:tcPr>
            <w:tcW w:w="1843" w:type="dxa"/>
            <w:tcBorders>
              <w:top w:val="nil"/>
            </w:tcBorders>
          </w:tcPr>
          <w:p w14:paraId="0FBFA5C2" w14:textId="77777777" w:rsidR="003A4ACE" w:rsidRPr="003A4ACE" w:rsidRDefault="003A4ACE" w:rsidP="003A4ACE">
            <w:pPr>
              <w:pStyle w:val="NoSpacing"/>
              <w:rPr>
                <w:sz w:val="24"/>
                <w:szCs w:val="24"/>
                <w:lang w:val="en-GB"/>
              </w:rPr>
            </w:pPr>
            <w:r w:rsidRPr="003A4ACE">
              <w:rPr>
                <w:sz w:val="24"/>
                <w:szCs w:val="24"/>
                <w:lang w:val="en-GB"/>
              </w:rPr>
              <w:t>591-726</w:t>
            </w:r>
          </w:p>
        </w:tc>
      </w:tr>
      <w:tr w:rsidR="003A4ACE" w:rsidRPr="003A4ACE" w14:paraId="5CE498F7" w14:textId="77777777" w:rsidTr="00575DEC">
        <w:tc>
          <w:tcPr>
            <w:tcW w:w="1510" w:type="dxa"/>
          </w:tcPr>
          <w:p w14:paraId="24976147" w14:textId="77777777" w:rsidR="003A4ACE" w:rsidRPr="003A4ACE" w:rsidRDefault="003A4ACE" w:rsidP="003A4ACE">
            <w:pPr>
              <w:pStyle w:val="NoSpacing"/>
              <w:rPr>
                <w:sz w:val="24"/>
                <w:szCs w:val="24"/>
                <w:lang w:val="en-GB"/>
              </w:rPr>
            </w:pPr>
            <w:r w:rsidRPr="003A4ACE">
              <w:rPr>
                <w:sz w:val="24"/>
                <w:szCs w:val="24"/>
                <w:lang w:val="en-GB"/>
              </w:rPr>
              <w:t>60</w:t>
            </w:r>
          </w:p>
        </w:tc>
        <w:tc>
          <w:tcPr>
            <w:tcW w:w="1510" w:type="dxa"/>
          </w:tcPr>
          <w:p w14:paraId="5E7B9C36" w14:textId="77777777" w:rsidR="003A4ACE" w:rsidRPr="003A4ACE" w:rsidRDefault="003A4ACE" w:rsidP="003A4ACE">
            <w:pPr>
              <w:pStyle w:val="NoSpacing"/>
              <w:rPr>
                <w:sz w:val="24"/>
                <w:szCs w:val="24"/>
                <w:lang w:val="en-GB"/>
              </w:rPr>
            </w:pPr>
            <w:r w:rsidRPr="003A4ACE">
              <w:rPr>
                <w:sz w:val="24"/>
                <w:szCs w:val="24"/>
                <w:lang w:val="en-GB"/>
              </w:rPr>
              <w:t>361</w:t>
            </w:r>
          </w:p>
        </w:tc>
        <w:tc>
          <w:tcPr>
            <w:tcW w:w="1510" w:type="dxa"/>
          </w:tcPr>
          <w:p w14:paraId="47249F08" w14:textId="77777777" w:rsidR="003A4ACE" w:rsidRPr="003A4ACE" w:rsidRDefault="003A4ACE" w:rsidP="003A4ACE">
            <w:pPr>
              <w:pStyle w:val="NoSpacing"/>
              <w:rPr>
                <w:sz w:val="24"/>
                <w:szCs w:val="24"/>
                <w:lang w:val="en-GB"/>
              </w:rPr>
            </w:pPr>
            <w:r w:rsidRPr="003A4ACE">
              <w:rPr>
                <w:sz w:val="24"/>
                <w:szCs w:val="24"/>
                <w:lang w:val="en-GB"/>
              </w:rPr>
              <w:t>336-388</w:t>
            </w:r>
          </w:p>
        </w:tc>
        <w:tc>
          <w:tcPr>
            <w:tcW w:w="285" w:type="dxa"/>
          </w:tcPr>
          <w:p w14:paraId="62F5C075" w14:textId="77777777" w:rsidR="003A4ACE" w:rsidRPr="003A4ACE" w:rsidRDefault="003A4ACE" w:rsidP="003A4ACE">
            <w:pPr>
              <w:pStyle w:val="NoSpacing"/>
              <w:rPr>
                <w:sz w:val="24"/>
                <w:szCs w:val="24"/>
                <w:lang w:val="en-GB"/>
              </w:rPr>
            </w:pPr>
          </w:p>
        </w:tc>
        <w:tc>
          <w:tcPr>
            <w:tcW w:w="1417" w:type="dxa"/>
          </w:tcPr>
          <w:p w14:paraId="08E53E72" w14:textId="77777777" w:rsidR="003A4ACE" w:rsidRPr="003A4ACE" w:rsidRDefault="003A4ACE" w:rsidP="003A4ACE">
            <w:pPr>
              <w:pStyle w:val="NoSpacing"/>
              <w:rPr>
                <w:sz w:val="24"/>
                <w:szCs w:val="24"/>
                <w:lang w:val="en-GB"/>
              </w:rPr>
            </w:pPr>
            <w:r w:rsidRPr="003A4ACE">
              <w:rPr>
                <w:sz w:val="24"/>
                <w:szCs w:val="24"/>
                <w:lang w:val="en-GB"/>
              </w:rPr>
              <w:t>1012</w:t>
            </w:r>
          </w:p>
        </w:tc>
        <w:tc>
          <w:tcPr>
            <w:tcW w:w="1843" w:type="dxa"/>
          </w:tcPr>
          <w:p w14:paraId="5D994B24" w14:textId="77777777" w:rsidR="003A4ACE" w:rsidRPr="003A4ACE" w:rsidRDefault="003A4ACE" w:rsidP="003A4ACE">
            <w:pPr>
              <w:pStyle w:val="NoSpacing"/>
              <w:rPr>
                <w:sz w:val="24"/>
                <w:szCs w:val="24"/>
                <w:lang w:val="en-GB"/>
              </w:rPr>
            </w:pPr>
            <w:r w:rsidRPr="003A4ACE">
              <w:rPr>
                <w:sz w:val="24"/>
                <w:szCs w:val="24"/>
                <w:lang w:val="en-GB"/>
              </w:rPr>
              <w:t>957-1070</w:t>
            </w:r>
          </w:p>
        </w:tc>
      </w:tr>
      <w:tr w:rsidR="003A4ACE" w:rsidRPr="003A4ACE" w14:paraId="0C61ADF4" w14:textId="77777777" w:rsidTr="00575DEC">
        <w:tc>
          <w:tcPr>
            <w:tcW w:w="1510" w:type="dxa"/>
          </w:tcPr>
          <w:p w14:paraId="48CD235B" w14:textId="77777777" w:rsidR="003A4ACE" w:rsidRPr="003A4ACE" w:rsidRDefault="003A4ACE" w:rsidP="003A4ACE">
            <w:pPr>
              <w:pStyle w:val="NoSpacing"/>
              <w:rPr>
                <w:sz w:val="24"/>
                <w:szCs w:val="24"/>
                <w:lang w:val="en-GB"/>
              </w:rPr>
            </w:pPr>
            <w:r w:rsidRPr="003A4ACE">
              <w:rPr>
                <w:sz w:val="24"/>
                <w:szCs w:val="24"/>
                <w:lang w:val="en-GB"/>
              </w:rPr>
              <w:t>70</w:t>
            </w:r>
          </w:p>
        </w:tc>
        <w:tc>
          <w:tcPr>
            <w:tcW w:w="1510" w:type="dxa"/>
          </w:tcPr>
          <w:p w14:paraId="00D23BEB" w14:textId="77777777" w:rsidR="003A4ACE" w:rsidRPr="003A4ACE" w:rsidRDefault="003A4ACE" w:rsidP="003A4ACE">
            <w:pPr>
              <w:pStyle w:val="NoSpacing"/>
              <w:rPr>
                <w:sz w:val="24"/>
                <w:szCs w:val="24"/>
                <w:lang w:val="en-GB"/>
              </w:rPr>
            </w:pPr>
            <w:r w:rsidRPr="003A4ACE">
              <w:rPr>
                <w:sz w:val="24"/>
                <w:szCs w:val="24"/>
                <w:lang w:val="en-GB"/>
              </w:rPr>
              <w:t>558</w:t>
            </w:r>
          </w:p>
        </w:tc>
        <w:tc>
          <w:tcPr>
            <w:tcW w:w="1510" w:type="dxa"/>
          </w:tcPr>
          <w:p w14:paraId="1C516264" w14:textId="77777777" w:rsidR="003A4ACE" w:rsidRPr="003A4ACE" w:rsidRDefault="003A4ACE" w:rsidP="003A4ACE">
            <w:pPr>
              <w:pStyle w:val="NoSpacing"/>
              <w:rPr>
                <w:sz w:val="24"/>
                <w:szCs w:val="24"/>
                <w:lang w:val="en-GB"/>
              </w:rPr>
            </w:pPr>
            <w:r w:rsidRPr="003A4ACE">
              <w:rPr>
                <w:sz w:val="24"/>
                <w:szCs w:val="24"/>
                <w:lang w:val="en-GB"/>
              </w:rPr>
              <w:t>509-611</w:t>
            </w:r>
          </w:p>
        </w:tc>
        <w:tc>
          <w:tcPr>
            <w:tcW w:w="285" w:type="dxa"/>
          </w:tcPr>
          <w:p w14:paraId="79385CC2" w14:textId="77777777" w:rsidR="003A4ACE" w:rsidRPr="003A4ACE" w:rsidRDefault="003A4ACE" w:rsidP="003A4ACE">
            <w:pPr>
              <w:pStyle w:val="NoSpacing"/>
              <w:rPr>
                <w:sz w:val="24"/>
                <w:szCs w:val="24"/>
                <w:lang w:val="en-GB"/>
              </w:rPr>
            </w:pPr>
          </w:p>
        </w:tc>
        <w:tc>
          <w:tcPr>
            <w:tcW w:w="1417" w:type="dxa"/>
          </w:tcPr>
          <w:p w14:paraId="024B804B" w14:textId="77777777" w:rsidR="003A4ACE" w:rsidRPr="003A4ACE" w:rsidRDefault="003A4ACE" w:rsidP="003A4ACE">
            <w:pPr>
              <w:pStyle w:val="NoSpacing"/>
              <w:rPr>
                <w:sz w:val="24"/>
                <w:szCs w:val="24"/>
                <w:lang w:val="en-GB"/>
              </w:rPr>
            </w:pPr>
            <w:r w:rsidRPr="003A4ACE">
              <w:rPr>
                <w:sz w:val="24"/>
                <w:szCs w:val="24"/>
                <w:lang w:val="en-GB"/>
              </w:rPr>
              <w:t>1564</w:t>
            </w:r>
          </w:p>
        </w:tc>
        <w:tc>
          <w:tcPr>
            <w:tcW w:w="1843" w:type="dxa"/>
          </w:tcPr>
          <w:p w14:paraId="25857837" w14:textId="77777777" w:rsidR="003A4ACE" w:rsidRPr="003A4ACE" w:rsidRDefault="003A4ACE" w:rsidP="003A4ACE">
            <w:pPr>
              <w:pStyle w:val="NoSpacing"/>
              <w:rPr>
                <w:sz w:val="24"/>
                <w:szCs w:val="24"/>
                <w:lang w:val="en-GB"/>
              </w:rPr>
            </w:pPr>
            <w:r w:rsidRPr="003A4ACE">
              <w:rPr>
                <w:sz w:val="24"/>
                <w:szCs w:val="24"/>
                <w:lang w:val="en-GB"/>
              </w:rPr>
              <w:t>1447-1690</w:t>
            </w:r>
          </w:p>
        </w:tc>
      </w:tr>
      <w:tr w:rsidR="003A4ACE" w:rsidRPr="003A4ACE" w14:paraId="538FF3F9" w14:textId="77777777" w:rsidTr="00575DEC">
        <w:tc>
          <w:tcPr>
            <w:tcW w:w="1510" w:type="dxa"/>
          </w:tcPr>
          <w:p w14:paraId="1A5B1733" w14:textId="77777777" w:rsidR="003A4ACE" w:rsidRPr="003A4ACE" w:rsidRDefault="003A4ACE" w:rsidP="003A4ACE">
            <w:pPr>
              <w:pStyle w:val="NoSpacing"/>
              <w:rPr>
                <w:sz w:val="24"/>
                <w:szCs w:val="24"/>
                <w:lang w:val="en-GB"/>
              </w:rPr>
            </w:pPr>
            <w:r w:rsidRPr="003A4ACE">
              <w:rPr>
                <w:sz w:val="24"/>
                <w:szCs w:val="24"/>
                <w:lang w:val="en-GB"/>
              </w:rPr>
              <w:t>80</w:t>
            </w:r>
          </w:p>
        </w:tc>
        <w:tc>
          <w:tcPr>
            <w:tcW w:w="1510" w:type="dxa"/>
          </w:tcPr>
          <w:p w14:paraId="3395C3CA" w14:textId="77777777" w:rsidR="003A4ACE" w:rsidRPr="003A4ACE" w:rsidRDefault="003A4ACE" w:rsidP="003A4ACE">
            <w:pPr>
              <w:pStyle w:val="NoSpacing"/>
              <w:rPr>
                <w:sz w:val="24"/>
                <w:szCs w:val="24"/>
                <w:lang w:val="en-GB"/>
              </w:rPr>
            </w:pPr>
            <w:r w:rsidRPr="003A4ACE">
              <w:rPr>
                <w:sz w:val="24"/>
                <w:szCs w:val="24"/>
                <w:lang w:val="en-GB"/>
              </w:rPr>
              <w:t>1077</w:t>
            </w:r>
          </w:p>
        </w:tc>
        <w:tc>
          <w:tcPr>
            <w:tcW w:w="1510" w:type="dxa"/>
          </w:tcPr>
          <w:p w14:paraId="1384E212" w14:textId="77777777" w:rsidR="003A4ACE" w:rsidRPr="003A4ACE" w:rsidRDefault="003A4ACE" w:rsidP="003A4ACE">
            <w:pPr>
              <w:pStyle w:val="NoSpacing"/>
              <w:rPr>
                <w:sz w:val="24"/>
                <w:szCs w:val="24"/>
                <w:lang w:val="en-GB"/>
              </w:rPr>
            </w:pPr>
            <w:r w:rsidRPr="003A4ACE">
              <w:rPr>
                <w:sz w:val="24"/>
                <w:szCs w:val="24"/>
                <w:lang w:val="en-GB"/>
              </w:rPr>
              <w:t>966-1201</w:t>
            </w:r>
          </w:p>
        </w:tc>
        <w:tc>
          <w:tcPr>
            <w:tcW w:w="285" w:type="dxa"/>
          </w:tcPr>
          <w:p w14:paraId="6BE17D2A" w14:textId="77777777" w:rsidR="003A4ACE" w:rsidRPr="003A4ACE" w:rsidRDefault="003A4ACE" w:rsidP="003A4ACE">
            <w:pPr>
              <w:pStyle w:val="NoSpacing"/>
              <w:rPr>
                <w:sz w:val="24"/>
                <w:szCs w:val="24"/>
                <w:lang w:val="en-GB"/>
              </w:rPr>
            </w:pPr>
          </w:p>
        </w:tc>
        <w:tc>
          <w:tcPr>
            <w:tcW w:w="1417" w:type="dxa"/>
          </w:tcPr>
          <w:p w14:paraId="448BB00A" w14:textId="77777777" w:rsidR="003A4ACE" w:rsidRPr="003A4ACE" w:rsidRDefault="003A4ACE" w:rsidP="003A4ACE">
            <w:pPr>
              <w:pStyle w:val="NoSpacing"/>
              <w:rPr>
                <w:sz w:val="24"/>
                <w:szCs w:val="24"/>
                <w:lang w:val="en-GB"/>
              </w:rPr>
            </w:pPr>
            <w:r w:rsidRPr="003A4ACE">
              <w:rPr>
                <w:sz w:val="24"/>
                <w:szCs w:val="24"/>
                <w:lang w:val="en-GB"/>
              </w:rPr>
              <w:t>3018</w:t>
            </w:r>
          </w:p>
        </w:tc>
        <w:tc>
          <w:tcPr>
            <w:tcW w:w="1843" w:type="dxa"/>
          </w:tcPr>
          <w:p w14:paraId="3DED4C2B" w14:textId="77777777" w:rsidR="003A4ACE" w:rsidRPr="003A4ACE" w:rsidRDefault="003A4ACE" w:rsidP="003A4ACE">
            <w:pPr>
              <w:pStyle w:val="NoSpacing"/>
              <w:rPr>
                <w:sz w:val="24"/>
                <w:szCs w:val="24"/>
                <w:lang w:val="en-GB"/>
              </w:rPr>
            </w:pPr>
            <w:r w:rsidRPr="003A4ACE">
              <w:rPr>
                <w:sz w:val="24"/>
                <w:szCs w:val="24"/>
                <w:lang w:val="en-GB"/>
              </w:rPr>
              <w:t>2740-3325</w:t>
            </w:r>
          </w:p>
        </w:tc>
      </w:tr>
      <w:tr w:rsidR="003A4ACE" w:rsidRPr="003A4ACE" w14:paraId="3565623F" w14:textId="77777777" w:rsidTr="00575DEC">
        <w:tc>
          <w:tcPr>
            <w:tcW w:w="1510" w:type="dxa"/>
          </w:tcPr>
          <w:p w14:paraId="548F75F1" w14:textId="77777777" w:rsidR="003A4ACE" w:rsidRPr="003A4ACE" w:rsidRDefault="003A4ACE" w:rsidP="003A4ACE">
            <w:pPr>
              <w:pStyle w:val="NoSpacing"/>
              <w:rPr>
                <w:sz w:val="24"/>
                <w:szCs w:val="24"/>
                <w:lang w:val="en-GB"/>
              </w:rPr>
            </w:pPr>
            <w:r w:rsidRPr="003A4ACE">
              <w:rPr>
                <w:sz w:val="24"/>
                <w:szCs w:val="24"/>
                <w:lang w:val="en-GB"/>
              </w:rPr>
              <w:t>90</w:t>
            </w:r>
          </w:p>
        </w:tc>
        <w:tc>
          <w:tcPr>
            <w:tcW w:w="1510" w:type="dxa"/>
          </w:tcPr>
          <w:p w14:paraId="1EAC7A44" w14:textId="77777777" w:rsidR="003A4ACE" w:rsidRPr="003A4ACE" w:rsidRDefault="003A4ACE" w:rsidP="003A4ACE">
            <w:pPr>
              <w:pStyle w:val="NoSpacing"/>
              <w:rPr>
                <w:sz w:val="24"/>
                <w:szCs w:val="24"/>
                <w:lang w:val="en-GB"/>
              </w:rPr>
            </w:pPr>
            <w:r w:rsidRPr="003A4ACE">
              <w:rPr>
                <w:sz w:val="24"/>
                <w:szCs w:val="24"/>
                <w:lang w:val="en-GB"/>
              </w:rPr>
              <w:t>2076</w:t>
            </w:r>
          </w:p>
        </w:tc>
        <w:tc>
          <w:tcPr>
            <w:tcW w:w="1510" w:type="dxa"/>
          </w:tcPr>
          <w:p w14:paraId="59DB42C4" w14:textId="77777777" w:rsidR="003A4ACE" w:rsidRPr="003A4ACE" w:rsidRDefault="003A4ACE" w:rsidP="003A4ACE">
            <w:pPr>
              <w:pStyle w:val="NoSpacing"/>
              <w:rPr>
                <w:sz w:val="24"/>
                <w:szCs w:val="24"/>
                <w:lang w:val="en-GB"/>
              </w:rPr>
            </w:pPr>
            <w:r w:rsidRPr="003A4ACE">
              <w:rPr>
                <w:sz w:val="24"/>
                <w:szCs w:val="24"/>
                <w:lang w:val="en-GB"/>
              </w:rPr>
              <w:t>1819-2369</w:t>
            </w:r>
          </w:p>
        </w:tc>
        <w:tc>
          <w:tcPr>
            <w:tcW w:w="285" w:type="dxa"/>
          </w:tcPr>
          <w:p w14:paraId="4B9D3EA8" w14:textId="77777777" w:rsidR="003A4ACE" w:rsidRPr="003A4ACE" w:rsidRDefault="003A4ACE" w:rsidP="003A4ACE">
            <w:pPr>
              <w:pStyle w:val="NoSpacing"/>
              <w:rPr>
                <w:sz w:val="24"/>
                <w:szCs w:val="24"/>
                <w:lang w:val="en-GB"/>
              </w:rPr>
            </w:pPr>
          </w:p>
        </w:tc>
        <w:tc>
          <w:tcPr>
            <w:tcW w:w="1417" w:type="dxa"/>
          </w:tcPr>
          <w:p w14:paraId="6A798A9F" w14:textId="77777777" w:rsidR="003A4ACE" w:rsidRPr="003A4ACE" w:rsidRDefault="003A4ACE" w:rsidP="003A4ACE">
            <w:pPr>
              <w:pStyle w:val="NoSpacing"/>
              <w:rPr>
                <w:sz w:val="24"/>
                <w:szCs w:val="24"/>
                <w:lang w:val="en-GB"/>
              </w:rPr>
            </w:pPr>
            <w:r w:rsidRPr="003A4ACE">
              <w:rPr>
                <w:sz w:val="24"/>
                <w:szCs w:val="24"/>
                <w:lang w:val="en-GB"/>
              </w:rPr>
              <w:t>5816</w:t>
            </w:r>
          </w:p>
        </w:tc>
        <w:tc>
          <w:tcPr>
            <w:tcW w:w="1843" w:type="dxa"/>
          </w:tcPr>
          <w:p w14:paraId="53C7DC90" w14:textId="77777777" w:rsidR="003A4ACE" w:rsidRPr="003A4ACE" w:rsidRDefault="003A4ACE" w:rsidP="003A4ACE">
            <w:pPr>
              <w:pStyle w:val="NoSpacing"/>
              <w:rPr>
                <w:sz w:val="24"/>
                <w:szCs w:val="24"/>
                <w:lang w:val="en-GB"/>
              </w:rPr>
            </w:pPr>
            <w:r w:rsidRPr="003A4ACE">
              <w:rPr>
                <w:sz w:val="24"/>
                <w:szCs w:val="24"/>
                <w:lang w:val="en-GB"/>
              </w:rPr>
              <w:t>5155-6562</w:t>
            </w:r>
          </w:p>
        </w:tc>
      </w:tr>
    </w:tbl>
    <w:p w14:paraId="0D76CDE0" w14:textId="77777777" w:rsidR="003A4ACE" w:rsidRPr="003A4ACE" w:rsidRDefault="003A4ACE" w:rsidP="003A4ACE">
      <w:pPr>
        <w:pStyle w:val="NoSpacing"/>
        <w:rPr>
          <w:b/>
          <w:sz w:val="24"/>
          <w:szCs w:val="24"/>
          <w:lang w:val="en-GB"/>
        </w:rPr>
      </w:pPr>
    </w:p>
    <w:p w14:paraId="14CEBCE8" w14:textId="77777777" w:rsidR="003A4ACE" w:rsidRDefault="003A4ACE" w:rsidP="00E4190D">
      <w:pPr>
        <w:pStyle w:val="NoSpacing"/>
        <w:spacing w:line="360" w:lineRule="auto"/>
        <w:rPr>
          <w:rFonts w:cs="Times New Roman"/>
          <w:sz w:val="24"/>
          <w:szCs w:val="24"/>
          <w:lang w:val="en-US"/>
        </w:rPr>
      </w:pPr>
    </w:p>
    <w:p w14:paraId="407146E5" w14:textId="2D2D49E6" w:rsidR="00CC3FD3" w:rsidRPr="00CC3FD3" w:rsidRDefault="00061FF6" w:rsidP="00E4190D">
      <w:pPr>
        <w:pStyle w:val="NoSpacing"/>
        <w:spacing w:line="360" w:lineRule="auto"/>
        <w:rPr>
          <w:rFonts w:cs="Times New Roman"/>
          <w:sz w:val="24"/>
          <w:szCs w:val="24"/>
          <w:lang w:val="en-US"/>
        </w:rPr>
      </w:pPr>
      <w:r>
        <w:rPr>
          <w:rFonts w:cs="Times New Roman"/>
          <w:sz w:val="24"/>
          <w:szCs w:val="24"/>
          <w:lang w:val="en-US"/>
        </w:rPr>
        <w:t xml:space="preserve">Of the 5039 </w:t>
      </w:r>
      <w:r w:rsidR="00D71B21">
        <w:rPr>
          <w:rFonts w:cs="Times New Roman"/>
          <w:sz w:val="24"/>
          <w:szCs w:val="24"/>
          <w:lang w:val="en-US"/>
        </w:rPr>
        <w:t xml:space="preserve">men and </w:t>
      </w:r>
      <w:r>
        <w:rPr>
          <w:rFonts w:cs="Times New Roman"/>
          <w:sz w:val="24"/>
          <w:szCs w:val="24"/>
          <w:lang w:val="en-US"/>
        </w:rPr>
        <w:t xml:space="preserve">women sustaining at least one incident </w:t>
      </w:r>
      <w:r w:rsidR="007B0A1F">
        <w:rPr>
          <w:rFonts w:cs="Times New Roman"/>
          <w:sz w:val="24"/>
          <w:szCs w:val="24"/>
          <w:lang w:val="en-US"/>
        </w:rPr>
        <w:t>MOF</w:t>
      </w:r>
      <w:r>
        <w:rPr>
          <w:rFonts w:cs="Times New Roman"/>
          <w:sz w:val="24"/>
          <w:szCs w:val="24"/>
          <w:lang w:val="en-US"/>
        </w:rPr>
        <w:t xml:space="preserve">, </w:t>
      </w:r>
      <w:r w:rsidR="00970CAC">
        <w:rPr>
          <w:rFonts w:cs="Times New Roman"/>
          <w:sz w:val="24"/>
          <w:szCs w:val="24"/>
          <w:lang w:val="en-US"/>
        </w:rPr>
        <w:t>1919</w:t>
      </w:r>
      <w:r w:rsidR="007B0A1F">
        <w:rPr>
          <w:rFonts w:cs="Times New Roman"/>
          <w:sz w:val="24"/>
          <w:szCs w:val="24"/>
          <w:lang w:val="en-US"/>
        </w:rPr>
        <w:t xml:space="preserve"> individuals </w:t>
      </w:r>
      <w:r>
        <w:rPr>
          <w:rFonts w:cs="Times New Roman"/>
          <w:sz w:val="24"/>
          <w:szCs w:val="24"/>
          <w:lang w:val="en-US"/>
        </w:rPr>
        <w:t xml:space="preserve">went on to sustain a second fracture (Table 1).  Women were more likely to sustain </w:t>
      </w:r>
      <w:r w:rsidR="00B74905">
        <w:rPr>
          <w:rFonts w:cs="Times New Roman"/>
          <w:sz w:val="24"/>
          <w:szCs w:val="24"/>
          <w:lang w:val="en-US"/>
        </w:rPr>
        <w:t xml:space="preserve">first and subsequent </w:t>
      </w:r>
      <w:r>
        <w:rPr>
          <w:rFonts w:cs="Times New Roman"/>
          <w:sz w:val="24"/>
          <w:szCs w:val="24"/>
          <w:lang w:val="en-US"/>
        </w:rPr>
        <w:t xml:space="preserve">fractures.  </w:t>
      </w:r>
      <w:r w:rsidR="00B74905" w:rsidRPr="00CC3FD3">
        <w:rPr>
          <w:rFonts w:cs="Times New Roman"/>
          <w:sz w:val="24"/>
          <w:szCs w:val="24"/>
          <w:lang w:val="en-GB"/>
        </w:rPr>
        <w:t>During follow up, the number of individuals who sustained two or more clinical vertebral fracture</w:t>
      </w:r>
      <w:r w:rsidR="00B74905">
        <w:rPr>
          <w:rFonts w:cs="Times New Roman"/>
          <w:sz w:val="24"/>
          <w:szCs w:val="24"/>
          <w:lang w:val="en-GB"/>
        </w:rPr>
        <w:t>s</w:t>
      </w:r>
      <w:r w:rsidR="00B74905" w:rsidRPr="00CC3FD3">
        <w:rPr>
          <w:rFonts w:cs="Times New Roman"/>
          <w:sz w:val="24"/>
          <w:szCs w:val="24"/>
          <w:lang w:val="en-GB"/>
        </w:rPr>
        <w:t xml:space="preserve"> was </w:t>
      </w:r>
      <w:r w:rsidR="00B74905">
        <w:rPr>
          <w:rFonts w:cs="Times New Roman"/>
          <w:sz w:val="24"/>
          <w:szCs w:val="24"/>
          <w:lang w:val="en-GB"/>
        </w:rPr>
        <w:t>289</w:t>
      </w:r>
      <w:r w:rsidR="00B74905" w:rsidRPr="00CC3FD3">
        <w:rPr>
          <w:rFonts w:cs="Times New Roman"/>
          <w:sz w:val="24"/>
          <w:szCs w:val="24"/>
          <w:lang w:val="en-GB"/>
        </w:rPr>
        <w:t>.  For hip, distal forearm and humerus the numbers were 3</w:t>
      </w:r>
      <w:r w:rsidR="00B74905">
        <w:rPr>
          <w:rFonts w:cs="Times New Roman"/>
          <w:sz w:val="24"/>
          <w:szCs w:val="24"/>
          <w:lang w:val="en-GB"/>
        </w:rPr>
        <w:t>52</w:t>
      </w:r>
      <w:r w:rsidR="00B74905" w:rsidRPr="00CC3FD3">
        <w:rPr>
          <w:rFonts w:cs="Times New Roman"/>
          <w:sz w:val="24"/>
          <w:szCs w:val="24"/>
          <w:lang w:val="en-GB"/>
        </w:rPr>
        <w:t xml:space="preserve">, </w:t>
      </w:r>
      <w:r w:rsidR="00B74905">
        <w:rPr>
          <w:rFonts w:cs="Times New Roman"/>
          <w:sz w:val="24"/>
          <w:szCs w:val="24"/>
          <w:lang w:val="en-GB"/>
        </w:rPr>
        <w:t>489</w:t>
      </w:r>
      <w:r w:rsidR="00B74905" w:rsidRPr="00CC3FD3">
        <w:rPr>
          <w:rFonts w:cs="Times New Roman"/>
          <w:sz w:val="24"/>
          <w:szCs w:val="24"/>
          <w:lang w:val="en-GB"/>
        </w:rPr>
        <w:t xml:space="preserve"> and </w:t>
      </w:r>
      <w:r w:rsidR="00B74905">
        <w:rPr>
          <w:rFonts w:cs="Times New Roman"/>
          <w:sz w:val="24"/>
          <w:szCs w:val="24"/>
          <w:lang w:val="en-GB"/>
        </w:rPr>
        <w:t>138</w:t>
      </w:r>
      <w:r w:rsidR="00B74905" w:rsidRPr="00CC3FD3">
        <w:rPr>
          <w:rFonts w:cs="Times New Roman"/>
          <w:sz w:val="24"/>
          <w:szCs w:val="24"/>
          <w:lang w:val="en-GB"/>
        </w:rPr>
        <w:t xml:space="preserve">, respectively. The pattern of major fractures was very similar to the pattern for the first MOF.  For example, clinical vertebral fractures accounted for 19% of fracture cases </w:t>
      </w:r>
      <w:r w:rsidR="00B74905">
        <w:rPr>
          <w:rFonts w:cs="Times New Roman"/>
          <w:sz w:val="24"/>
          <w:szCs w:val="24"/>
          <w:lang w:val="en-GB"/>
        </w:rPr>
        <w:t>in</w:t>
      </w:r>
      <w:r w:rsidR="00B74905" w:rsidRPr="00CC3FD3">
        <w:rPr>
          <w:rFonts w:cs="Times New Roman"/>
          <w:sz w:val="24"/>
          <w:szCs w:val="24"/>
          <w:lang w:val="en-GB"/>
        </w:rPr>
        <w:t xml:space="preserve"> the case of first MOF and </w:t>
      </w:r>
      <w:r w:rsidR="00B74905">
        <w:rPr>
          <w:rFonts w:cs="Times New Roman"/>
          <w:sz w:val="24"/>
          <w:szCs w:val="24"/>
          <w:lang w:val="en-GB"/>
        </w:rPr>
        <w:t>21</w:t>
      </w:r>
      <w:r w:rsidR="00B74905" w:rsidRPr="00CC3FD3">
        <w:rPr>
          <w:rFonts w:cs="Times New Roman"/>
          <w:sz w:val="24"/>
          <w:szCs w:val="24"/>
          <w:lang w:val="en-GB"/>
        </w:rPr>
        <w:t>% in the case of second fr</w:t>
      </w:r>
      <w:r w:rsidR="00136D33">
        <w:rPr>
          <w:rFonts w:cs="Times New Roman"/>
          <w:sz w:val="24"/>
          <w:szCs w:val="24"/>
          <w:lang w:val="en-GB"/>
        </w:rPr>
        <w:t>acture (</w:t>
      </w:r>
      <w:r w:rsidR="00B74905" w:rsidRPr="00CC3FD3">
        <w:rPr>
          <w:rFonts w:cs="Times New Roman"/>
          <w:sz w:val="24"/>
          <w:szCs w:val="24"/>
          <w:lang w:val="en-GB"/>
        </w:rPr>
        <w:t>Table 1</w:t>
      </w:r>
      <w:r w:rsidR="00970CAC">
        <w:rPr>
          <w:rFonts w:cs="Times New Roman"/>
          <w:sz w:val="24"/>
          <w:szCs w:val="24"/>
          <w:lang w:val="en-GB"/>
        </w:rPr>
        <w:t>).</w:t>
      </w:r>
    </w:p>
    <w:p w14:paraId="6E44E42E" w14:textId="77777777" w:rsidR="00CC3FD3" w:rsidRPr="00CC3FD3" w:rsidRDefault="00CC3FD3" w:rsidP="00E4190D">
      <w:pPr>
        <w:pStyle w:val="NoSpacing"/>
        <w:spacing w:line="360" w:lineRule="auto"/>
        <w:rPr>
          <w:rFonts w:cs="Times New Roman"/>
          <w:b/>
          <w:sz w:val="24"/>
          <w:szCs w:val="24"/>
          <w:lang w:val="en-US"/>
        </w:rPr>
      </w:pPr>
    </w:p>
    <w:p w14:paraId="498CECC3" w14:textId="46B32067" w:rsidR="007B0A1F" w:rsidRDefault="00A67E1B" w:rsidP="00083B13">
      <w:pPr>
        <w:pStyle w:val="NoSpacing"/>
        <w:spacing w:line="360" w:lineRule="auto"/>
        <w:rPr>
          <w:rFonts w:cs="Times New Roman"/>
          <w:sz w:val="24"/>
          <w:szCs w:val="24"/>
          <w:lang w:val="en-GB"/>
        </w:rPr>
      </w:pPr>
      <w:r w:rsidRPr="00CC3FD3">
        <w:rPr>
          <w:rFonts w:cs="Times New Roman"/>
          <w:sz w:val="24"/>
          <w:szCs w:val="24"/>
          <w:lang w:val="en-GB"/>
        </w:rPr>
        <w:t xml:space="preserve">The risk of a second MOF after a first increased by 5% for each year of age (95% CI: 2-7%) and was 25% </w:t>
      </w:r>
      <w:r w:rsidR="009959CD">
        <w:rPr>
          <w:rFonts w:cs="Times New Roman"/>
          <w:sz w:val="24"/>
          <w:szCs w:val="24"/>
          <w:lang w:val="en-GB"/>
        </w:rPr>
        <w:t>more likely</w:t>
      </w:r>
      <w:r w:rsidR="009959CD" w:rsidRPr="00CC3FD3">
        <w:rPr>
          <w:rFonts w:cs="Times New Roman"/>
          <w:sz w:val="24"/>
          <w:szCs w:val="24"/>
          <w:lang w:val="en-GB"/>
        </w:rPr>
        <w:t xml:space="preserve"> </w:t>
      </w:r>
      <w:r w:rsidRPr="00CC3FD3">
        <w:rPr>
          <w:rFonts w:cs="Times New Roman"/>
          <w:sz w:val="24"/>
          <w:szCs w:val="24"/>
          <w:lang w:val="en-GB"/>
        </w:rPr>
        <w:t>for women than men (95% CI: 9-44%).</w:t>
      </w:r>
      <w:r w:rsidR="001F1943" w:rsidRPr="00CC3FD3">
        <w:rPr>
          <w:rFonts w:cs="Times New Roman"/>
          <w:sz w:val="24"/>
          <w:szCs w:val="24"/>
          <w:lang w:val="en-GB"/>
        </w:rPr>
        <w:t xml:space="preserve"> </w:t>
      </w:r>
      <w:r w:rsidRPr="00CC3FD3">
        <w:rPr>
          <w:rFonts w:cs="Times New Roman"/>
          <w:sz w:val="24"/>
          <w:szCs w:val="24"/>
          <w:lang w:val="en-GB"/>
        </w:rPr>
        <w:t>The incidence of a second MOF was highest immediately after the first fracture and decreased with time though remained higher than the population risk throughout follow</w:t>
      </w:r>
      <w:r w:rsidR="00E0340C">
        <w:rPr>
          <w:rFonts w:cs="Times New Roman"/>
          <w:sz w:val="24"/>
          <w:szCs w:val="24"/>
          <w:lang w:val="en-GB"/>
        </w:rPr>
        <w:t>-</w:t>
      </w:r>
      <w:r w:rsidRPr="00CC3FD3">
        <w:rPr>
          <w:rFonts w:cs="Times New Roman"/>
          <w:sz w:val="24"/>
          <w:szCs w:val="24"/>
          <w:lang w:val="en-GB"/>
        </w:rPr>
        <w:t>up (Figure 1).</w:t>
      </w:r>
      <w:r w:rsidR="001F1943" w:rsidRPr="00CC3FD3">
        <w:rPr>
          <w:rFonts w:cs="Times New Roman"/>
          <w:sz w:val="24"/>
          <w:szCs w:val="24"/>
          <w:lang w:val="en-GB"/>
        </w:rPr>
        <w:t xml:space="preserve"> </w:t>
      </w:r>
      <w:r w:rsidRPr="00CC3FD3">
        <w:rPr>
          <w:rFonts w:cs="Times New Roman"/>
          <w:sz w:val="24"/>
          <w:szCs w:val="24"/>
          <w:lang w:val="en-GB"/>
        </w:rPr>
        <w:t xml:space="preserve">For example, 1 year after the first MOF the risk of a second fracture was </w:t>
      </w:r>
      <w:r w:rsidR="006856A4" w:rsidRPr="006856A4">
        <w:rPr>
          <w:rFonts w:cs="Times New Roman"/>
          <w:sz w:val="24"/>
          <w:szCs w:val="24"/>
          <w:lang w:val="en-US"/>
        </w:rPr>
        <w:t xml:space="preserve">2.7 (2.4-3.0) </w:t>
      </w:r>
      <w:r w:rsidR="00890CAB">
        <w:rPr>
          <w:rFonts w:cs="Times New Roman"/>
          <w:sz w:val="24"/>
          <w:szCs w:val="24"/>
          <w:lang w:val="en-GB"/>
        </w:rPr>
        <w:t xml:space="preserve">fold </w:t>
      </w:r>
      <w:r w:rsidRPr="00CC3FD3">
        <w:rPr>
          <w:rFonts w:cs="Times New Roman"/>
          <w:sz w:val="24"/>
          <w:szCs w:val="24"/>
          <w:lang w:val="en-GB"/>
        </w:rPr>
        <w:t>higher than the population risk. After 10 years</w:t>
      </w:r>
      <w:r w:rsidR="00970CAC">
        <w:rPr>
          <w:rFonts w:cs="Times New Roman"/>
          <w:sz w:val="24"/>
          <w:szCs w:val="24"/>
          <w:lang w:val="en-GB"/>
        </w:rPr>
        <w:t>,</w:t>
      </w:r>
      <w:r w:rsidRPr="00CC3FD3">
        <w:rPr>
          <w:rFonts w:cs="Times New Roman"/>
          <w:sz w:val="24"/>
          <w:szCs w:val="24"/>
          <w:lang w:val="en-GB"/>
        </w:rPr>
        <w:t xml:space="preserve"> the </w:t>
      </w:r>
      <w:r w:rsidRPr="005260A2">
        <w:rPr>
          <w:rFonts w:cs="Times New Roman"/>
          <w:sz w:val="24"/>
          <w:szCs w:val="24"/>
          <w:lang w:val="en-GB"/>
        </w:rPr>
        <w:t xml:space="preserve">risk ratio was </w:t>
      </w:r>
      <w:r w:rsidR="006856A4" w:rsidRPr="006856A4">
        <w:rPr>
          <w:rFonts w:cs="Times New Roman"/>
          <w:sz w:val="24"/>
          <w:szCs w:val="24"/>
          <w:lang w:val="en-US"/>
        </w:rPr>
        <w:t>1.4 (1.2-1.6</w:t>
      </w:r>
      <w:r w:rsidRPr="005260A2">
        <w:rPr>
          <w:rFonts w:cs="Times New Roman"/>
          <w:sz w:val="24"/>
          <w:szCs w:val="24"/>
          <w:lang w:val="en-GB"/>
        </w:rPr>
        <w:t>)</w:t>
      </w:r>
      <w:r w:rsidR="00CC3FD3" w:rsidRPr="005260A2">
        <w:rPr>
          <w:rFonts w:cs="Times New Roman"/>
          <w:sz w:val="24"/>
          <w:szCs w:val="24"/>
          <w:lang w:val="en-GB"/>
        </w:rPr>
        <w:t xml:space="preserve"> and remained </w:t>
      </w:r>
      <w:r w:rsidR="006856A4">
        <w:rPr>
          <w:rFonts w:cs="Times New Roman"/>
          <w:sz w:val="24"/>
          <w:szCs w:val="24"/>
          <w:lang w:val="en-GB"/>
        </w:rPr>
        <w:t>above</w:t>
      </w:r>
      <w:r w:rsidR="00CC3FD3" w:rsidRPr="005260A2">
        <w:rPr>
          <w:rFonts w:cs="Times New Roman"/>
          <w:sz w:val="24"/>
          <w:szCs w:val="24"/>
          <w:lang w:val="en-GB"/>
        </w:rPr>
        <w:t xml:space="preserve"> </w:t>
      </w:r>
      <w:r w:rsidR="006856A4">
        <w:rPr>
          <w:rFonts w:cs="Times New Roman"/>
          <w:sz w:val="24"/>
          <w:szCs w:val="24"/>
          <w:lang w:val="en-GB"/>
        </w:rPr>
        <w:t>unity</w:t>
      </w:r>
      <w:r w:rsidR="006856A4" w:rsidRPr="005260A2">
        <w:rPr>
          <w:rFonts w:cs="Times New Roman"/>
          <w:sz w:val="24"/>
          <w:szCs w:val="24"/>
          <w:lang w:val="en-GB"/>
        </w:rPr>
        <w:t xml:space="preserve"> </w:t>
      </w:r>
      <w:r w:rsidR="006856A4">
        <w:rPr>
          <w:rFonts w:cs="Times New Roman"/>
          <w:sz w:val="24"/>
          <w:szCs w:val="24"/>
          <w:lang w:val="en-GB"/>
        </w:rPr>
        <w:t xml:space="preserve">for </w:t>
      </w:r>
      <w:r w:rsidR="00CC3FD3" w:rsidRPr="005260A2">
        <w:rPr>
          <w:rFonts w:cs="Times New Roman"/>
          <w:sz w:val="24"/>
          <w:szCs w:val="24"/>
          <w:lang w:val="en-GB"/>
        </w:rPr>
        <w:t>the subsequent 15 years</w:t>
      </w:r>
      <w:r w:rsidRPr="005260A2">
        <w:rPr>
          <w:rFonts w:cs="Times New Roman"/>
          <w:sz w:val="24"/>
          <w:szCs w:val="24"/>
          <w:lang w:val="en-GB"/>
        </w:rPr>
        <w:t xml:space="preserve">. </w:t>
      </w:r>
      <w:r w:rsidR="00CC3FD3" w:rsidRPr="005260A2">
        <w:rPr>
          <w:rFonts w:cs="Times New Roman"/>
          <w:sz w:val="24"/>
          <w:szCs w:val="24"/>
          <w:lang w:val="en-GB"/>
        </w:rPr>
        <w:t xml:space="preserve"> </w:t>
      </w:r>
      <w:r w:rsidR="00890CAB">
        <w:rPr>
          <w:rFonts w:cs="Times New Roman"/>
          <w:sz w:val="24"/>
          <w:szCs w:val="24"/>
          <w:lang w:val="en-GB"/>
        </w:rPr>
        <w:t>In individuals with an incident fracture that were examined o</w:t>
      </w:r>
      <w:r w:rsidR="00CC3FD3" w:rsidRPr="005260A2">
        <w:rPr>
          <w:rFonts w:cs="Times New Roman"/>
          <w:sz w:val="24"/>
          <w:szCs w:val="24"/>
          <w:lang w:val="en-GB"/>
        </w:rPr>
        <w:t xml:space="preserve">ver a </w:t>
      </w:r>
      <w:r w:rsidR="00970CAC" w:rsidRPr="005260A2">
        <w:rPr>
          <w:rFonts w:cs="Times New Roman"/>
          <w:sz w:val="24"/>
          <w:szCs w:val="24"/>
          <w:lang w:val="en-GB"/>
        </w:rPr>
        <w:t>10-year</w:t>
      </w:r>
      <w:r w:rsidR="00CC3FD3" w:rsidRPr="005260A2">
        <w:rPr>
          <w:rFonts w:cs="Times New Roman"/>
          <w:sz w:val="24"/>
          <w:szCs w:val="24"/>
          <w:lang w:val="en-GB"/>
        </w:rPr>
        <w:t xml:space="preserve"> time horizon, </w:t>
      </w:r>
      <w:r w:rsidR="00357214" w:rsidRPr="005260A2">
        <w:rPr>
          <w:rFonts w:cs="Times New Roman"/>
          <w:sz w:val="24"/>
          <w:szCs w:val="24"/>
          <w:lang w:val="en-GB"/>
        </w:rPr>
        <w:t>20</w:t>
      </w:r>
      <w:r w:rsidR="00CC3FD3" w:rsidRPr="005260A2">
        <w:rPr>
          <w:rFonts w:cs="Times New Roman"/>
          <w:sz w:val="24"/>
          <w:szCs w:val="24"/>
          <w:lang w:val="en-GB"/>
        </w:rPr>
        <w:t xml:space="preserve">% of </w:t>
      </w:r>
      <w:r w:rsidR="00357214" w:rsidRPr="005260A2">
        <w:rPr>
          <w:rFonts w:cs="Times New Roman"/>
          <w:sz w:val="24"/>
          <w:szCs w:val="24"/>
          <w:lang w:val="en-GB"/>
        </w:rPr>
        <w:t>1311</w:t>
      </w:r>
      <w:r w:rsidR="00CC3FD3" w:rsidRPr="005260A2">
        <w:rPr>
          <w:rFonts w:cs="Times New Roman"/>
          <w:sz w:val="24"/>
          <w:szCs w:val="24"/>
          <w:lang w:val="en-GB"/>
        </w:rPr>
        <w:t xml:space="preserve"> cases re</w:t>
      </w:r>
      <w:r w:rsidR="007C7E9F">
        <w:rPr>
          <w:rFonts w:cs="Times New Roman"/>
          <w:sz w:val="24"/>
          <w:szCs w:val="24"/>
          <w:lang w:val="en-GB"/>
        </w:rPr>
        <w:t>-</w:t>
      </w:r>
      <w:r w:rsidR="00CC3FD3" w:rsidRPr="005260A2">
        <w:rPr>
          <w:rFonts w:cs="Times New Roman"/>
          <w:sz w:val="24"/>
          <w:szCs w:val="24"/>
          <w:lang w:val="en-GB"/>
        </w:rPr>
        <w:t xml:space="preserve">fractured within 1 year and </w:t>
      </w:r>
      <w:r w:rsidR="00357214" w:rsidRPr="005260A2">
        <w:rPr>
          <w:rFonts w:cs="Times New Roman"/>
          <w:sz w:val="24"/>
          <w:szCs w:val="24"/>
          <w:lang w:val="en-GB"/>
        </w:rPr>
        <w:t>34</w:t>
      </w:r>
      <w:r w:rsidR="00CC3FD3" w:rsidRPr="005260A2">
        <w:rPr>
          <w:rFonts w:cs="Times New Roman"/>
          <w:sz w:val="24"/>
          <w:szCs w:val="24"/>
          <w:lang w:val="en-GB"/>
        </w:rPr>
        <w:t xml:space="preserve">% within 2 years. </w:t>
      </w:r>
    </w:p>
    <w:p w14:paraId="18F0B8DF" w14:textId="77777777" w:rsidR="007B0A1F" w:rsidRDefault="007B0A1F" w:rsidP="00083B13">
      <w:pPr>
        <w:pStyle w:val="NoSpacing"/>
        <w:spacing w:line="360" w:lineRule="auto"/>
        <w:rPr>
          <w:rFonts w:cs="Times New Roman"/>
          <w:sz w:val="24"/>
          <w:szCs w:val="24"/>
          <w:lang w:val="en-GB"/>
        </w:rPr>
      </w:pPr>
    </w:p>
    <w:p w14:paraId="47C317DF" w14:textId="77777777" w:rsidR="009E053F" w:rsidRDefault="00083B13" w:rsidP="00083B13">
      <w:pPr>
        <w:pStyle w:val="NoSpacing"/>
        <w:spacing w:line="360" w:lineRule="auto"/>
        <w:rPr>
          <w:rFonts w:cs="Times New Roman"/>
          <w:sz w:val="24"/>
          <w:szCs w:val="24"/>
          <w:lang w:val="en-US"/>
        </w:rPr>
      </w:pPr>
      <w:r w:rsidRPr="005260A2">
        <w:rPr>
          <w:rFonts w:cs="Times New Roman"/>
          <w:sz w:val="24"/>
          <w:szCs w:val="24"/>
          <w:lang w:val="en-GB"/>
        </w:rPr>
        <w:t>When</w:t>
      </w:r>
      <w:r w:rsidRPr="00CC3FD3">
        <w:rPr>
          <w:rFonts w:cs="Times New Roman"/>
          <w:sz w:val="24"/>
          <w:szCs w:val="24"/>
          <w:lang w:val="en-GB"/>
        </w:rPr>
        <w:t xml:space="preserve"> the</w:t>
      </w:r>
      <w:r w:rsidRPr="00CC3FD3">
        <w:rPr>
          <w:rFonts w:ascii="Calibri" w:hAnsi="Calibri" w:cs="Times New Roman"/>
          <w:sz w:val="24"/>
          <w:szCs w:val="24"/>
          <w:lang w:val="en-GB"/>
        </w:rPr>
        <w:t xml:space="preserve"> second MOF fracture was not allowed to be at the same site as the first MOF the imminent risk was still higher than after 5-10 years, although</w:t>
      </w:r>
      <w:r w:rsidR="00CC3FD3">
        <w:rPr>
          <w:rFonts w:ascii="Calibri" w:hAnsi="Calibri" w:cs="Times New Roman"/>
          <w:sz w:val="24"/>
          <w:szCs w:val="24"/>
          <w:lang w:val="en-GB"/>
        </w:rPr>
        <w:t xml:space="preserve"> as expected,</w:t>
      </w:r>
      <w:r w:rsidRPr="00CC3FD3">
        <w:rPr>
          <w:rFonts w:ascii="Calibri" w:hAnsi="Calibri" w:cs="Times New Roman"/>
          <w:sz w:val="24"/>
          <w:szCs w:val="24"/>
          <w:lang w:val="en-GB"/>
        </w:rPr>
        <w:t xml:space="preserve"> the magnitude of th</w:t>
      </w:r>
      <w:r w:rsidR="00CC3FD3">
        <w:rPr>
          <w:rFonts w:ascii="Calibri" w:hAnsi="Calibri" w:cs="Times New Roman"/>
          <w:sz w:val="24"/>
          <w:szCs w:val="24"/>
          <w:lang w:val="en-GB"/>
        </w:rPr>
        <w:t>e</w:t>
      </w:r>
      <w:r w:rsidRPr="00CC3FD3">
        <w:rPr>
          <w:rFonts w:ascii="Calibri" w:hAnsi="Calibri" w:cs="Times New Roman"/>
          <w:sz w:val="24"/>
          <w:szCs w:val="24"/>
          <w:lang w:val="en-GB"/>
        </w:rPr>
        <w:t xml:space="preserve"> effect was less.</w:t>
      </w:r>
      <w:r w:rsidRPr="00E4190D">
        <w:rPr>
          <w:rFonts w:ascii="Times New Roman" w:hAnsi="Times New Roman" w:cs="Times New Roman"/>
          <w:sz w:val="24"/>
          <w:szCs w:val="24"/>
          <w:lang w:val="en-GB"/>
        </w:rPr>
        <w:t xml:space="preserve"> </w:t>
      </w:r>
      <w:r w:rsidR="00890CAB" w:rsidRPr="00CC3FD3">
        <w:rPr>
          <w:rFonts w:cs="Times New Roman"/>
          <w:sz w:val="24"/>
          <w:szCs w:val="24"/>
          <w:lang w:val="en-US"/>
        </w:rPr>
        <w:t xml:space="preserve">Extending the </w:t>
      </w:r>
      <w:r w:rsidR="00890CAB">
        <w:rPr>
          <w:rFonts w:cs="Times New Roman"/>
          <w:sz w:val="24"/>
          <w:szCs w:val="24"/>
          <w:lang w:val="en-US"/>
        </w:rPr>
        <w:t>30-day window (during which second fractures were excluded)</w:t>
      </w:r>
      <w:r w:rsidR="00890CAB" w:rsidRPr="00CC3FD3">
        <w:rPr>
          <w:rFonts w:cs="Times New Roman"/>
          <w:sz w:val="24"/>
          <w:szCs w:val="24"/>
          <w:lang w:val="en-US"/>
        </w:rPr>
        <w:t xml:space="preserve"> up to 2 years had little effect on the pattern with time (data not shown).</w:t>
      </w:r>
    </w:p>
    <w:p w14:paraId="1D93AA87" w14:textId="7C1BC492" w:rsidR="009E053F" w:rsidRDefault="009E053F" w:rsidP="009E053F">
      <w:pPr>
        <w:pStyle w:val="NoSpacing"/>
        <w:spacing w:line="360" w:lineRule="auto"/>
        <w:jc w:val="center"/>
        <w:rPr>
          <w:rFonts w:cs="Times New Roman"/>
          <w:sz w:val="24"/>
          <w:szCs w:val="24"/>
          <w:lang w:val="en-US"/>
        </w:rPr>
      </w:pPr>
      <w:r w:rsidRPr="009E053F">
        <w:rPr>
          <w:rFonts w:cs="Times New Roman"/>
          <w:noProof/>
          <w:sz w:val="24"/>
          <w:szCs w:val="24"/>
          <w:lang w:val="en-GB" w:eastAsia="en-GB"/>
        </w:rPr>
        <w:lastRenderedPageBreak/>
        <w:drawing>
          <wp:inline distT="0" distB="0" distL="0" distR="0" wp14:anchorId="50510AFA" wp14:editId="501EEF10">
            <wp:extent cx="4572396" cy="34292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396" cy="3429297"/>
                    </a:xfrm>
                    <a:prstGeom prst="rect">
                      <a:avLst/>
                    </a:prstGeom>
                  </pic:spPr>
                </pic:pic>
              </a:graphicData>
            </a:graphic>
          </wp:inline>
        </w:drawing>
      </w:r>
    </w:p>
    <w:p w14:paraId="2811ADFD" w14:textId="77777777" w:rsidR="003A093B" w:rsidRDefault="006856A4" w:rsidP="00CC3FD3">
      <w:pPr>
        <w:pStyle w:val="NoSpacing"/>
        <w:spacing w:line="276" w:lineRule="auto"/>
        <w:rPr>
          <w:rFonts w:cs="Times New Roman"/>
          <w:iCs/>
          <w:sz w:val="24"/>
          <w:szCs w:val="24"/>
          <w:lang w:val="en-GB"/>
        </w:rPr>
      </w:pPr>
      <w:r w:rsidRPr="006856A4">
        <w:rPr>
          <w:rFonts w:cs="Times New Roman"/>
          <w:sz w:val="24"/>
          <w:szCs w:val="24"/>
          <w:lang w:val="en-US"/>
        </w:rPr>
        <w:t xml:space="preserve"> </w:t>
      </w:r>
      <w:r w:rsidRPr="006856A4">
        <w:rPr>
          <w:rFonts w:cs="Times New Roman"/>
          <w:bCs/>
          <w:i/>
          <w:iCs/>
          <w:sz w:val="24"/>
          <w:szCs w:val="24"/>
          <w:lang w:val="en-GB"/>
        </w:rPr>
        <w:t xml:space="preserve"> </w:t>
      </w:r>
      <w:r w:rsidRPr="006856A4">
        <w:rPr>
          <w:rFonts w:cs="Times New Roman"/>
          <w:b/>
          <w:bCs/>
          <w:iCs/>
          <w:sz w:val="24"/>
          <w:szCs w:val="24"/>
          <w:lang w:val="en-GB"/>
        </w:rPr>
        <w:t>Fig. 1.</w:t>
      </w:r>
      <w:r w:rsidRPr="006856A4">
        <w:rPr>
          <w:rFonts w:cs="Times New Roman"/>
          <w:iCs/>
          <w:sz w:val="24"/>
          <w:szCs w:val="24"/>
          <w:lang w:val="en-GB"/>
        </w:rPr>
        <w:t xml:space="preserve"> Risk per 100 000 (95% CI) of a second major osteoporotic fracture (MOF) after a first MOF for a woman at the age of 75 years at her first fracture. Knots for the spline function are set at 0.5, 2.5 and 15 years of follow up after the first fracture. The dashed line is the risk of first MOF in whole population (n=18,872) for a woman 75 years at baseline.</w:t>
      </w:r>
    </w:p>
    <w:p w14:paraId="08545307" w14:textId="6F7CF6B7" w:rsidR="00CC3FD3" w:rsidRPr="00CC3FD3" w:rsidRDefault="006856A4" w:rsidP="00CC3FD3">
      <w:pPr>
        <w:pStyle w:val="NoSpacing"/>
        <w:spacing w:line="276" w:lineRule="auto"/>
        <w:rPr>
          <w:rFonts w:eastAsia="Times New Roman" w:cs="Times New Roman"/>
          <w:sz w:val="24"/>
          <w:szCs w:val="24"/>
          <w:lang w:val="en-US" w:eastAsia="sv-SE"/>
        </w:rPr>
      </w:pPr>
      <w:r w:rsidRPr="006856A4">
        <w:rPr>
          <w:rFonts w:cs="Times New Roman"/>
          <w:iCs/>
          <w:sz w:val="24"/>
          <w:szCs w:val="24"/>
          <w:lang w:val="en-GB"/>
        </w:rPr>
        <w:t xml:space="preserve"> </w:t>
      </w:r>
    </w:p>
    <w:p w14:paraId="2B218D80" w14:textId="09B4B138" w:rsidR="00CC3FD3" w:rsidRDefault="00D357BE" w:rsidP="00E4190D">
      <w:pPr>
        <w:pStyle w:val="NoSpacing"/>
        <w:spacing w:line="360" w:lineRule="auto"/>
        <w:rPr>
          <w:rFonts w:cs="Times New Roman"/>
          <w:sz w:val="24"/>
          <w:szCs w:val="24"/>
          <w:lang w:val="en-GB" w:eastAsia="sv-SE"/>
        </w:rPr>
      </w:pPr>
      <w:r w:rsidRPr="00CC3FD3">
        <w:rPr>
          <w:rFonts w:cs="Times New Roman"/>
          <w:sz w:val="24"/>
          <w:szCs w:val="24"/>
          <w:lang w:val="en-GB" w:eastAsia="sv-SE"/>
        </w:rPr>
        <w:t>There were statistically significant interactions between age and the spline functions for time</w:t>
      </w:r>
      <w:r w:rsidR="00B93099" w:rsidRPr="00CC3FD3">
        <w:rPr>
          <w:rFonts w:cs="Times New Roman"/>
          <w:sz w:val="24"/>
          <w:szCs w:val="24"/>
          <w:lang w:val="en-GB" w:eastAsia="sv-SE"/>
        </w:rPr>
        <w:t xml:space="preserve"> </w:t>
      </w:r>
      <w:r w:rsidRPr="00CC3FD3">
        <w:rPr>
          <w:rFonts w:cs="Times New Roman"/>
          <w:sz w:val="24"/>
          <w:szCs w:val="24"/>
          <w:lang w:val="en-GB" w:eastAsia="sv-SE"/>
        </w:rPr>
        <w:t xml:space="preserve">since first fracture (p&lt;0.004), i.e. the pattern of a second </w:t>
      </w:r>
      <w:r w:rsidR="00E4190D" w:rsidRPr="00CC3FD3">
        <w:rPr>
          <w:rFonts w:cs="Times New Roman"/>
          <w:sz w:val="24"/>
          <w:szCs w:val="24"/>
          <w:lang w:val="en-GB" w:eastAsia="sv-SE"/>
        </w:rPr>
        <w:t xml:space="preserve">MOF </w:t>
      </w:r>
      <w:r w:rsidRPr="00CC3FD3">
        <w:rPr>
          <w:rFonts w:cs="Times New Roman"/>
          <w:sz w:val="24"/>
          <w:szCs w:val="24"/>
          <w:lang w:val="en-GB" w:eastAsia="sv-SE"/>
        </w:rPr>
        <w:t>with time from 1</w:t>
      </w:r>
      <w:r w:rsidR="00B93099" w:rsidRPr="00CC3FD3">
        <w:rPr>
          <w:rFonts w:cs="Times New Roman"/>
          <w:sz w:val="24"/>
          <w:szCs w:val="24"/>
          <w:vertAlign w:val="superscript"/>
          <w:lang w:val="en-GB" w:eastAsia="sv-SE"/>
        </w:rPr>
        <w:t>st</w:t>
      </w:r>
      <w:r w:rsidR="00B93099" w:rsidRPr="00CC3FD3">
        <w:rPr>
          <w:rFonts w:cs="Times New Roman"/>
          <w:sz w:val="24"/>
          <w:szCs w:val="24"/>
          <w:lang w:val="en-GB" w:eastAsia="sv-SE"/>
        </w:rPr>
        <w:t xml:space="preserve"> </w:t>
      </w:r>
      <w:r w:rsidRPr="00CC3FD3">
        <w:rPr>
          <w:rFonts w:cs="Times New Roman"/>
          <w:sz w:val="24"/>
          <w:szCs w:val="24"/>
          <w:lang w:val="en-GB" w:eastAsia="sv-SE"/>
        </w:rPr>
        <w:t>fracture was age dependent. The very high risk of second fracture immediately after the first increased with increasing age</w:t>
      </w:r>
      <w:r w:rsidR="009B00CE">
        <w:rPr>
          <w:rFonts w:cs="Times New Roman"/>
          <w:sz w:val="24"/>
          <w:szCs w:val="24"/>
          <w:lang w:val="en-GB" w:eastAsia="sv-SE"/>
        </w:rPr>
        <w:t xml:space="preserve"> (Fi</w:t>
      </w:r>
      <w:r w:rsidR="00C12939">
        <w:rPr>
          <w:rFonts w:cs="Times New Roman"/>
          <w:sz w:val="24"/>
          <w:szCs w:val="24"/>
          <w:lang w:val="en-GB" w:eastAsia="sv-SE"/>
        </w:rPr>
        <w:t>g. 2)</w:t>
      </w:r>
      <w:r w:rsidRPr="00CC3FD3">
        <w:rPr>
          <w:rFonts w:cs="Times New Roman"/>
          <w:sz w:val="24"/>
          <w:szCs w:val="24"/>
          <w:lang w:val="en-GB" w:eastAsia="sv-SE"/>
        </w:rPr>
        <w:t>.</w:t>
      </w:r>
    </w:p>
    <w:p w14:paraId="0140CFDB" w14:textId="774D1D90" w:rsidR="009B00CE" w:rsidRDefault="009B00CE" w:rsidP="00E4190D">
      <w:pPr>
        <w:pStyle w:val="NoSpacing"/>
        <w:spacing w:line="360" w:lineRule="auto"/>
        <w:rPr>
          <w:rFonts w:cs="Times New Roman"/>
          <w:sz w:val="24"/>
          <w:szCs w:val="24"/>
          <w:lang w:val="en-GB" w:eastAsia="sv-SE"/>
        </w:rPr>
      </w:pPr>
      <w:r>
        <w:rPr>
          <w:rFonts w:cs="Times New Roman"/>
          <w:noProof/>
          <w:sz w:val="24"/>
          <w:szCs w:val="24"/>
          <w:lang w:val="en-GB" w:eastAsia="en-GB"/>
        </w:rPr>
        <w:drawing>
          <wp:inline distT="0" distB="0" distL="0" distR="0" wp14:anchorId="6BB068A8" wp14:editId="730FD1A2">
            <wp:extent cx="4572635" cy="3066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066415"/>
                    </a:xfrm>
                    <a:prstGeom prst="rect">
                      <a:avLst/>
                    </a:prstGeom>
                    <a:noFill/>
                  </pic:spPr>
                </pic:pic>
              </a:graphicData>
            </a:graphic>
          </wp:inline>
        </w:drawing>
      </w:r>
    </w:p>
    <w:p w14:paraId="3EA2248E" w14:textId="6E8AFAEF" w:rsidR="009B00CE" w:rsidRDefault="009B00CE" w:rsidP="001372D4">
      <w:pPr>
        <w:pStyle w:val="NoSpacing"/>
        <w:spacing w:line="276" w:lineRule="auto"/>
        <w:rPr>
          <w:sz w:val="24"/>
          <w:szCs w:val="24"/>
          <w:lang w:val="en-US" w:eastAsia="sv-SE"/>
        </w:rPr>
      </w:pPr>
      <w:r w:rsidRPr="009B00CE">
        <w:rPr>
          <w:b/>
          <w:sz w:val="24"/>
          <w:szCs w:val="24"/>
          <w:lang w:val="en-US" w:eastAsia="sv-SE"/>
        </w:rPr>
        <w:lastRenderedPageBreak/>
        <w:t>Fig. 2.</w:t>
      </w:r>
      <w:r w:rsidRPr="009B00CE">
        <w:rPr>
          <w:sz w:val="24"/>
          <w:szCs w:val="24"/>
          <w:lang w:val="en-US" w:eastAsia="sv-SE"/>
        </w:rPr>
        <w:t xml:space="preserve">  The effect of age on the risk of subsequent major osteoporotic fracture at 6, 24 and 60 months following a first major osteoporotic fracture. The hazard ratio (HR) compares the risk against that of the general population when allowing the population to age with time (e.g. the 80-year-old individual after 60 months is compared with the population age </w:t>
      </w:r>
      <w:r w:rsidR="006856A4">
        <w:rPr>
          <w:sz w:val="24"/>
          <w:szCs w:val="24"/>
          <w:lang w:val="en-US" w:eastAsia="sv-SE"/>
        </w:rPr>
        <w:t>8</w:t>
      </w:r>
      <w:r w:rsidRPr="009B00CE">
        <w:rPr>
          <w:sz w:val="24"/>
          <w:szCs w:val="24"/>
          <w:lang w:val="en-US" w:eastAsia="sv-SE"/>
        </w:rPr>
        <w:t>5 years</w:t>
      </w:r>
      <w:r w:rsidR="00C12939">
        <w:rPr>
          <w:sz w:val="24"/>
          <w:szCs w:val="24"/>
          <w:lang w:val="en-US" w:eastAsia="sv-SE"/>
        </w:rPr>
        <w:t>)</w:t>
      </w:r>
      <w:r>
        <w:rPr>
          <w:sz w:val="24"/>
          <w:szCs w:val="24"/>
          <w:lang w:val="en-US" w:eastAsia="sv-SE"/>
        </w:rPr>
        <w:t>.</w:t>
      </w:r>
      <w:r w:rsidRPr="009B00CE">
        <w:rPr>
          <w:sz w:val="24"/>
          <w:szCs w:val="24"/>
          <w:lang w:val="en-US" w:eastAsia="sv-SE"/>
        </w:rPr>
        <w:t xml:space="preserve"> </w:t>
      </w:r>
    </w:p>
    <w:p w14:paraId="7B0C70B8" w14:textId="3B33DECF" w:rsidR="00C12939" w:rsidRDefault="00C12939" w:rsidP="009B00CE">
      <w:pPr>
        <w:pStyle w:val="NoSpacing"/>
        <w:spacing w:line="360" w:lineRule="auto"/>
        <w:rPr>
          <w:sz w:val="24"/>
          <w:szCs w:val="24"/>
          <w:lang w:val="en-US" w:eastAsia="sv-SE"/>
        </w:rPr>
      </w:pPr>
    </w:p>
    <w:p w14:paraId="4FF78317" w14:textId="73DFC60E" w:rsidR="00C12939" w:rsidRPr="009B00CE" w:rsidRDefault="00C12939" w:rsidP="009B00CE">
      <w:pPr>
        <w:pStyle w:val="NoSpacing"/>
        <w:spacing w:line="360" w:lineRule="auto"/>
        <w:rPr>
          <w:sz w:val="24"/>
          <w:szCs w:val="24"/>
          <w:lang w:val="en-US" w:eastAsia="sv-SE"/>
        </w:rPr>
      </w:pPr>
      <w:r w:rsidRPr="00C12939">
        <w:rPr>
          <w:sz w:val="24"/>
          <w:szCs w:val="24"/>
          <w:lang w:val="en-US" w:eastAsia="sv-SE"/>
        </w:rPr>
        <w:t>The time</w:t>
      </w:r>
      <w:r w:rsidR="00764995">
        <w:rPr>
          <w:sz w:val="24"/>
          <w:szCs w:val="24"/>
          <w:lang w:val="en-US" w:eastAsia="sv-SE"/>
        </w:rPr>
        <w:t>-</w:t>
      </w:r>
      <w:r w:rsidRPr="00C12939">
        <w:rPr>
          <w:sz w:val="24"/>
          <w:szCs w:val="24"/>
          <w:lang w:val="en-US" w:eastAsia="sv-SE"/>
        </w:rPr>
        <w:t>dependent shape of the curve was similar when only counting second fractures if they occurred at a separate skeletal site than the first fracture.  The interaction, however, fell short of statistical significance (p=0.11), likely related to the lower number of fractures in the secondary analysis (1381 vs 1919) and the associated loss of power.</w:t>
      </w:r>
    </w:p>
    <w:p w14:paraId="15266292" w14:textId="77777777" w:rsidR="003A093B" w:rsidRDefault="003A093B" w:rsidP="003A093B">
      <w:pPr>
        <w:pStyle w:val="NoSpacing"/>
        <w:spacing w:line="360" w:lineRule="auto"/>
        <w:rPr>
          <w:rFonts w:cs="Times New Roman"/>
          <w:sz w:val="24"/>
          <w:szCs w:val="24"/>
          <w:lang w:val="en-GB" w:eastAsia="sv-SE"/>
        </w:rPr>
      </w:pPr>
    </w:p>
    <w:p w14:paraId="3FD901EC" w14:textId="61BFC646" w:rsidR="006E303B" w:rsidRPr="00CC3FD3" w:rsidRDefault="00D357BE" w:rsidP="003A093B">
      <w:pPr>
        <w:pStyle w:val="NoSpacing"/>
        <w:spacing w:line="360" w:lineRule="auto"/>
        <w:rPr>
          <w:sz w:val="24"/>
          <w:szCs w:val="24"/>
          <w:lang w:val="en-GB"/>
        </w:rPr>
      </w:pPr>
      <w:r w:rsidRPr="00CC3FD3">
        <w:rPr>
          <w:rFonts w:cs="Times New Roman"/>
          <w:sz w:val="24"/>
          <w:szCs w:val="24"/>
          <w:lang w:val="en-GB" w:eastAsia="sv-SE"/>
        </w:rPr>
        <w:t xml:space="preserve">There were no statistically significant interactions between sex and the spline functions for time since first </w:t>
      </w:r>
      <w:r w:rsidR="00CC3FD3" w:rsidRPr="00CC3FD3">
        <w:rPr>
          <w:rFonts w:cs="Times New Roman"/>
          <w:sz w:val="24"/>
          <w:szCs w:val="24"/>
          <w:lang w:val="en-GB" w:eastAsia="sv-SE"/>
        </w:rPr>
        <w:t>MOF</w:t>
      </w:r>
      <w:r w:rsidRPr="00CC3FD3">
        <w:rPr>
          <w:rFonts w:cs="Times New Roman"/>
          <w:sz w:val="24"/>
          <w:szCs w:val="24"/>
          <w:lang w:val="en-GB" w:eastAsia="sv-SE"/>
        </w:rPr>
        <w:t xml:space="preserve"> (p&gt;0.30), i.e. the pattern of a </w:t>
      </w:r>
      <w:r w:rsidR="00B93099" w:rsidRPr="00CC3FD3">
        <w:rPr>
          <w:rFonts w:cs="Times New Roman"/>
          <w:sz w:val="24"/>
          <w:szCs w:val="24"/>
          <w:lang w:val="en-GB" w:eastAsia="sv-SE"/>
        </w:rPr>
        <w:t xml:space="preserve">second </w:t>
      </w:r>
      <w:r w:rsidR="00CC3FD3" w:rsidRPr="00CC3FD3">
        <w:rPr>
          <w:rFonts w:cs="Times New Roman"/>
          <w:sz w:val="24"/>
          <w:szCs w:val="24"/>
          <w:lang w:val="en-GB" w:eastAsia="sv-SE"/>
        </w:rPr>
        <w:t>MOF</w:t>
      </w:r>
      <w:r w:rsidR="00B93099" w:rsidRPr="00CC3FD3">
        <w:rPr>
          <w:rFonts w:cs="Times New Roman"/>
          <w:sz w:val="24"/>
          <w:szCs w:val="24"/>
          <w:lang w:val="en-GB" w:eastAsia="sv-SE"/>
        </w:rPr>
        <w:t xml:space="preserve"> with time </w:t>
      </w:r>
      <w:r w:rsidR="00CC3FD3" w:rsidRPr="00CC3FD3">
        <w:rPr>
          <w:rFonts w:cs="Times New Roman"/>
          <w:sz w:val="24"/>
          <w:szCs w:val="24"/>
          <w:lang w:val="en-GB" w:eastAsia="sv-SE"/>
        </w:rPr>
        <w:t>was the same in men as in women</w:t>
      </w:r>
      <w:r w:rsidR="006E303B" w:rsidRPr="00CC3FD3">
        <w:rPr>
          <w:sz w:val="24"/>
          <w:szCs w:val="24"/>
          <w:lang w:val="en-GB"/>
        </w:rPr>
        <w:t xml:space="preserve">. </w:t>
      </w:r>
      <w:r w:rsidR="00640996">
        <w:rPr>
          <w:sz w:val="24"/>
          <w:szCs w:val="24"/>
          <w:lang w:val="en-GB"/>
        </w:rPr>
        <w:t xml:space="preserve"> </w:t>
      </w:r>
    </w:p>
    <w:p w14:paraId="45801A1A" w14:textId="77777777" w:rsidR="00D357BE" w:rsidRPr="00CC3FD3" w:rsidRDefault="00D357BE" w:rsidP="00E4190D">
      <w:pPr>
        <w:pStyle w:val="NoSpacing"/>
        <w:spacing w:line="360" w:lineRule="auto"/>
        <w:rPr>
          <w:rFonts w:cs="Times New Roman"/>
          <w:sz w:val="24"/>
          <w:szCs w:val="24"/>
          <w:lang w:val="en-US"/>
        </w:rPr>
      </w:pPr>
    </w:p>
    <w:p w14:paraId="5E762179" w14:textId="77777777" w:rsidR="00B770B7" w:rsidRDefault="00B770B7" w:rsidP="00E4190D">
      <w:pPr>
        <w:pStyle w:val="NoSpacing"/>
        <w:spacing w:line="360" w:lineRule="auto"/>
        <w:rPr>
          <w:rFonts w:cs="Times New Roman"/>
          <w:b/>
          <w:sz w:val="24"/>
          <w:szCs w:val="24"/>
          <w:lang w:val="en-US"/>
        </w:rPr>
      </w:pPr>
      <w:r w:rsidRPr="00CC3FD3">
        <w:rPr>
          <w:rFonts w:cs="Times New Roman"/>
          <w:b/>
          <w:sz w:val="24"/>
          <w:szCs w:val="24"/>
          <w:lang w:val="en-US"/>
        </w:rPr>
        <w:t>Discussion</w:t>
      </w:r>
    </w:p>
    <w:p w14:paraId="4F76E12E" w14:textId="7562C892" w:rsidR="00CC3FD3" w:rsidRDefault="00CC3FD3" w:rsidP="00CC3FD3">
      <w:pPr>
        <w:pStyle w:val="NoSpacing"/>
        <w:spacing w:line="360" w:lineRule="auto"/>
        <w:rPr>
          <w:sz w:val="24"/>
          <w:szCs w:val="24"/>
          <w:lang w:val="en-GB"/>
        </w:rPr>
      </w:pPr>
      <w:r w:rsidRPr="00CC3FD3">
        <w:rPr>
          <w:rFonts w:cs="Times New Roman"/>
          <w:sz w:val="24"/>
          <w:szCs w:val="24"/>
          <w:lang w:val="en-US"/>
        </w:rPr>
        <w:t>The present study confirms many observations</w:t>
      </w:r>
      <w:r>
        <w:rPr>
          <w:rFonts w:cs="Times New Roman"/>
          <w:sz w:val="24"/>
          <w:szCs w:val="24"/>
          <w:lang w:val="en-US"/>
        </w:rPr>
        <w:t>, summarized in meta-an</w:t>
      </w:r>
      <w:r w:rsidR="00607377">
        <w:rPr>
          <w:rFonts w:cs="Times New Roman"/>
          <w:sz w:val="24"/>
          <w:szCs w:val="24"/>
          <w:lang w:val="en-US"/>
        </w:rPr>
        <w:t>a</w:t>
      </w:r>
      <w:r>
        <w:rPr>
          <w:rFonts w:cs="Times New Roman"/>
          <w:sz w:val="24"/>
          <w:szCs w:val="24"/>
          <w:lang w:val="en-US"/>
        </w:rPr>
        <w:t>lyses,</w:t>
      </w:r>
      <w:r w:rsidRPr="00CC3FD3">
        <w:rPr>
          <w:rFonts w:cs="Times New Roman"/>
          <w:sz w:val="24"/>
          <w:szCs w:val="24"/>
          <w:lang w:val="en-US"/>
        </w:rPr>
        <w:t xml:space="preserve"> that the risk of fracture is approximately doubled after a first </w:t>
      </w:r>
      <w:r w:rsidRPr="00261052">
        <w:rPr>
          <w:rFonts w:cs="Times New Roman"/>
          <w:sz w:val="24"/>
          <w:szCs w:val="24"/>
          <w:lang w:val="en-US"/>
        </w:rPr>
        <w:t>fracture [</w:t>
      </w:r>
      <w:r w:rsidR="004B2B62" w:rsidRPr="00261052">
        <w:rPr>
          <w:rFonts w:cs="Times New Roman"/>
          <w:sz w:val="24"/>
          <w:szCs w:val="24"/>
          <w:lang w:val="en-GB"/>
        </w:rPr>
        <w:t>3</w:t>
      </w:r>
      <w:r w:rsidRPr="00261052">
        <w:rPr>
          <w:rFonts w:cs="Times New Roman"/>
          <w:sz w:val="24"/>
          <w:szCs w:val="24"/>
          <w:lang w:val="en-GB"/>
        </w:rPr>
        <w:t>,</w:t>
      </w:r>
      <w:r w:rsidRPr="00261052">
        <w:rPr>
          <w:rFonts w:ascii="Calibri" w:eastAsia="Calibri" w:hAnsi="Calibri" w:cs="Times New Roman"/>
          <w:sz w:val="24"/>
          <w:szCs w:val="24"/>
          <w:lang w:val="en-GB"/>
        </w:rPr>
        <w:t xml:space="preserve"> </w:t>
      </w:r>
      <w:r w:rsidR="004B2B62" w:rsidRPr="00261052">
        <w:rPr>
          <w:rFonts w:cs="Times New Roman"/>
          <w:sz w:val="24"/>
          <w:szCs w:val="24"/>
          <w:lang w:val="en-GB"/>
        </w:rPr>
        <w:t>5</w:t>
      </w:r>
      <w:r w:rsidRPr="00261052">
        <w:rPr>
          <w:rFonts w:cs="Times New Roman"/>
          <w:sz w:val="24"/>
          <w:szCs w:val="24"/>
          <w:lang w:val="en-US"/>
        </w:rPr>
        <w:t xml:space="preserve">]. </w:t>
      </w:r>
      <w:r w:rsidRPr="00261052">
        <w:rPr>
          <w:rFonts w:cs="Times New Roman"/>
          <w:sz w:val="24"/>
          <w:szCs w:val="24"/>
          <w:lang w:val="en-GB"/>
        </w:rPr>
        <w:t>For</w:t>
      </w:r>
      <w:r>
        <w:rPr>
          <w:rFonts w:cs="Times New Roman"/>
          <w:sz w:val="24"/>
          <w:szCs w:val="24"/>
          <w:lang w:val="en-GB"/>
        </w:rPr>
        <w:t xml:space="preserve"> all prior fractures combined the relative risk of any subsequent fracture was </w:t>
      </w:r>
      <w:r w:rsidRPr="00CC3FD3">
        <w:rPr>
          <w:rFonts w:cs="Times New Roman"/>
          <w:sz w:val="24"/>
          <w:szCs w:val="24"/>
          <w:lang w:val="en-GB"/>
        </w:rPr>
        <w:t>2.2 (</w:t>
      </w:r>
      <w:r>
        <w:rPr>
          <w:rFonts w:cs="Times New Roman"/>
          <w:sz w:val="24"/>
          <w:szCs w:val="24"/>
          <w:lang w:val="en-GB"/>
        </w:rPr>
        <w:t>95%</w:t>
      </w:r>
      <w:r w:rsidR="00F808BD">
        <w:rPr>
          <w:rFonts w:cs="Times New Roman"/>
          <w:sz w:val="24"/>
          <w:szCs w:val="24"/>
          <w:lang w:val="en-GB"/>
        </w:rPr>
        <w:t xml:space="preserve"> CI: </w:t>
      </w:r>
      <w:r w:rsidRPr="00CC3FD3">
        <w:rPr>
          <w:rFonts w:cs="Times New Roman"/>
          <w:sz w:val="24"/>
          <w:szCs w:val="24"/>
          <w:lang w:val="en-GB"/>
        </w:rPr>
        <w:t>1.9</w:t>
      </w:r>
      <w:r>
        <w:rPr>
          <w:rFonts w:cs="Times New Roman"/>
          <w:sz w:val="24"/>
          <w:szCs w:val="24"/>
          <w:lang w:val="en-GB"/>
        </w:rPr>
        <w:t>-</w:t>
      </w:r>
      <w:r w:rsidRPr="00CC3FD3">
        <w:rPr>
          <w:rFonts w:cs="Times New Roman"/>
          <w:sz w:val="24"/>
          <w:szCs w:val="24"/>
          <w:lang w:val="en-GB"/>
        </w:rPr>
        <w:t>2.6)</w:t>
      </w:r>
      <w:r>
        <w:rPr>
          <w:rFonts w:cs="Times New Roman"/>
          <w:sz w:val="24"/>
          <w:szCs w:val="24"/>
          <w:lang w:val="en-GB"/>
        </w:rPr>
        <w:t xml:space="preserve"> in the meta-analysis of </w:t>
      </w:r>
      <w:r w:rsidRPr="00261052">
        <w:rPr>
          <w:rFonts w:cs="Times New Roman"/>
          <w:sz w:val="24"/>
          <w:szCs w:val="24"/>
          <w:lang w:val="en-GB"/>
        </w:rPr>
        <w:t>Klotzbeucher [</w:t>
      </w:r>
      <w:r w:rsidR="004B2B62" w:rsidRPr="00261052">
        <w:rPr>
          <w:rFonts w:cs="Times New Roman"/>
          <w:sz w:val="24"/>
          <w:szCs w:val="24"/>
          <w:lang w:val="en-GB"/>
        </w:rPr>
        <w:t>5</w:t>
      </w:r>
      <w:r w:rsidRPr="00261052">
        <w:rPr>
          <w:rFonts w:cs="Times New Roman"/>
          <w:sz w:val="24"/>
          <w:szCs w:val="24"/>
          <w:lang w:val="en-GB"/>
        </w:rPr>
        <w:t>].  This</w:t>
      </w:r>
      <w:r>
        <w:rPr>
          <w:rFonts w:cs="Times New Roman"/>
          <w:sz w:val="24"/>
          <w:szCs w:val="24"/>
          <w:lang w:val="en-GB"/>
        </w:rPr>
        <w:t xml:space="preserve"> estimate is very </w:t>
      </w:r>
      <w:r w:rsidRPr="00CC3FD3">
        <w:rPr>
          <w:sz w:val="24"/>
          <w:szCs w:val="24"/>
          <w:lang w:val="en-GB"/>
        </w:rPr>
        <w:t xml:space="preserve">consistent with </w:t>
      </w:r>
      <w:r>
        <w:rPr>
          <w:sz w:val="24"/>
          <w:szCs w:val="24"/>
          <w:lang w:val="en-GB"/>
        </w:rPr>
        <w:t>the long-term observations in the present study.</w:t>
      </w:r>
    </w:p>
    <w:p w14:paraId="6C2E9725" w14:textId="1EA97363" w:rsidR="00CC3FD3" w:rsidRDefault="00CC3FD3" w:rsidP="00CC3FD3">
      <w:pPr>
        <w:pStyle w:val="NoSpacing"/>
        <w:spacing w:line="360" w:lineRule="auto"/>
        <w:rPr>
          <w:sz w:val="24"/>
          <w:szCs w:val="24"/>
          <w:lang w:val="en-GB"/>
        </w:rPr>
      </w:pPr>
      <w:r>
        <w:rPr>
          <w:sz w:val="24"/>
          <w:szCs w:val="24"/>
          <w:lang w:val="en-GB"/>
        </w:rPr>
        <w:t xml:space="preserve"> </w:t>
      </w:r>
    </w:p>
    <w:p w14:paraId="791BD7B0" w14:textId="3035DE4B" w:rsidR="000471ED" w:rsidRDefault="00CC3FD3" w:rsidP="00CC3FD3">
      <w:pPr>
        <w:pStyle w:val="NoSpacing"/>
        <w:spacing w:line="360" w:lineRule="auto"/>
        <w:rPr>
          <w:sz w:val="24"/>
          <w:szCs w:val="24"/>
          <w:lang w:val="en-GB"/>
        </w:rPr>
      </w:pPr>
      <w:r w:rsidRPr="00CC3FD3">
        <w:rPr>
          <w:sz w:val="24"/>
          <w:szCs w:val="24"/>
          <w:lang w:val="en-GB"/>
        </w:rPr>
        <w:t xml:space="preserve">The </w:t>
      </w:r>
      <w:r>
        <w:rPr>
          <w:sz w:val="24"/>
          <w:szCs w:val="24"/>
          <w:lang w:val="en-GB"/>
        </w:rPr>
        <w:t xml:space="preserve">principal aim of the present study was to document the change in risk after MOF with time.  </w:t>
      </w:r>
      <w:r w:rsidRPr="00CC3FD3">
        <w:rPr>
          <w:sz w:val="24"/>
          <w:szCs w:val="24"/>
          <w:lang w:val="en-GB"/>
        </w:rPr>
        <w:t>Our findings suggest that</w:t>
      </w:r>
      <w:r w:rsidRPr="00CC3FD3">
        <w:rPr>
          <w:rFonts w:ascii="Calibri" w:eastAsia="Calibri" w:hAnsi="Calibri" w:cs="Times New Roman"/>
          <w:sz w:val="24"/>
          <w:szCs w:val="24"/>
          <w:lang w:val="en-GB"/>
        </w:rPr>
        <w:t xml:space="preserve"> </w:t>
      </w:r>
      <w:r w:rsidRPr="00CC3FD3">
        <w:rPr>
          <w:sz w:val="24"/>
          <w:szCs w:val="24"/>
          <w:lang w:val="en-GB"/>
        </w:rPr>
        <w:t>the risk is initially high and declines thereafter, though not to the levels of the general population</w:t>
      </w:r>
      <w:r>
        <w:rPr>
          <w:sz w:val="24"/>
          <w:szCs w:val="24"/>
          <w:lang w:val="en-GB"/>
        </w:rPr>
        <w:t xml:space="preserve"> with a follow up of up to 25 years</w:t>
      </w:r>
      <w:r w:rsidRPr="00CC3FD3">
        <w:rPr>
          <w:sz w:val="24"/>
          <w:szCs w:val="24"/>
          <w:lang w:val="en-GB"/>
        </w:rPr>
        <w:t xml:space="preserve">. </w:t>
      </w:r>
      <w:r>
        <w:rPr>
          <w:sz w:val="24"/>
          <w:szCs w:val="24"/>
          <w:lang w:val="en-GB"/>
        </w:rPr>
        <w:t>The same relative risks were found in men and women, though the absolute risk was higher in women.</w:t>
      </w:r>
      <w:r w:rsidRPr="00CC3FD3">
        <w:rPr>
          <w:sz w:val="24"/>
          <w:szCs w:val="24"/>
          <w:lang w:val="en-GB"/>
        </w:rPr>
        <w:t xml:space="preserve"> This transient phenomenon will be missed in </w:t>
      </w:r>
      <w:r w:rsidR="00F808BD" w:rsidRPr="00CC3FD3">
        <w:rPr>
          <w:sz w:val="24"/>
          <w:szCs w:val="24"/>
          <w:lang w:val="en-GB"/>
        </w:rPr>
        <w:t>long-term</w:t>
      </w:r>
      <w:r w:rsidRPr="00CC3FD3">
        <w:rPr>
          <w:sz w:val="24"/>
          <w:szCs w:val="24"/>
          <w:lang w:val="en-GB"/>
        </w:rPr>
        <w:t xml:space="preserve"> follow-up studies where the pattern of risk with time is not </w:t>
      </w:r>
      <w:r w:rsidRPr="00E0340C">
        <w:rPr>
          <w:sz w:val="24"/>
          <w:szCs w:val="24"/>
          <w:lang w:val="en-GB"/>
        </w:rPr>
        <w:t>studied [</w:t>
      </w:r>
      <w:r w:rsidR="00286C59" w:rsidRPr="00E0340C">
        <w:rPr>
          <w:sz w:val="24"/>
          <w:szCs w:val="24"/>
          <w:lang w:val="en-GB"/>
        </w:rPr>
        <w:t xml:space="preserve">2, </w:t>
      </w:r>
      <w:r w:rsidR="006667E9">
        <w:rPr>
          <w:sz w:val="24"/>
          <w:szCs w:val="24"/>
          <w:lang w:val="en-GB"/>
        </w:rPr>
        <w:t>19</w:t>
      </w:r>
      <w:r w:rsidR="003319E8" w:rsidRPr="00E0340C">
        <w:rPr>
          <w:sz w:val="24"/>
          <w:szCs w:val="24"/>
          <w:lang w:val="en-GB"/>
        </w:rPr>
        <w:t>-2</w:t>
      </w:r>
      <w:r w:rsidR="006667E9">
        <w:rPr>
          <w:sz w:val="24"/>
          <w:szCs w:val="24"/>
          <w:lang w:val="en-GB"/>
        </w:rPr>
        <w:t>1</w:t>
      </w:r>
      <w:r w:rsidR="00286C59" w:rsidRPr="00E0340C">
        <w:rPr>
          <w:sz w:val="24"/>
          <w:szCs w:val="24"/>
          <w:lang w:val="en-GB"/>
        </w:rPr>
        <w:t>]</w:t>
      </w:r>
      <w:r w:rsidRPr="00E0340C">
        <w:rPr>
          <w:sz w:val="24"/>
          <w:szCs w:val="24"/>
          <w:lang w:val="en-GB"/>
        </w:rPr>
        <w:t>.</w:t>
      </w:r>
      <w:r w:rsidRPr="008A2084">
        <w:rPr>
          <w:sz w:val="24"/>
          <w:szCs w:val="24"/>
          <w:lang w:val="en-GB"/>
        </w:rPr>
        <w:t xml:space="preserve"> Several previous studies have found that a recent </w:t>
      </w:r>
      <w:r w:rsidR="00607377" w:rsidRPr="008A2084">
        <w:rPr>
          <w:sz w:val="24"/>
          <w:szCs w:val="24"/>
          <w:lang w:val="en-GB"/>
        </w:rPr>
        <w:t xml:space="preserve">occurrence </w:t>
      </w:r>
      <w:r w:rsidRPr="008A2084">
        <w:rPr>
          <w:sz w:val="24"/>
          <w:szCs w:val="24"/>
          <w:lang w:val="en-GB"/>
        </w:rPr>
        <w:t xml:space="preserve">of </w:t>
      </w:r>
      <w:r w:rsidRPr="001372D4">
        <w:rPr>
          <w:sz w:val="24"/>
          <w:szCs w:val="24"/>
          <w:lang w:val="en-GB"/>
        </w:rPr>
        <w:t xml:space="preserve">fracture was a greater risk factor for subsequent fracture than a </w:t>
      </w:r>
      <w:r w:rsidR="00607377" w:rsidRPr="001372D4">
        <w:rPr>
          <w:sz w:val="24"/>
          <w:szCs w:val="24"/>
          <w:lang w:val="en-GB"/>
        </w:rPr>
        <w:t xml:space="preserve">history of earlier </w:t>
      </w:r>
      <w:r w:rsidRPr="001372D4">
        <w:rPr>
          <w:sz w:val="24"/>
          <w:szCs w:val="24"/>
          <w:lang w:val="en-GB"/>
        </w:rPr>
        <w:t>fracture</w:t>
      </w:r>
      <w:r w:rsidR="00F808BD" w:rsidRPr="001372D4">
        <w:rPr>
          <w:sz w:val="24"/>
          <w:szCs w:val="24"/>
          <w:lang w:val="en-GB"/>
        </w:rPr>
        <w:t>, demonstrated for</w:t>
      </w:r>
      <w:r w:rsidRPr="001372D4">
        <w:rPr>
          <w:sz w:val="24"/>
          <w:szCs w:val="24"/>
          <w:lang w:val="en-GB"/>
        </w:rPr>
        <w:t xml:space="preserve"> vertebral fracture [</w:t>
      </w:r>
      <w:r w:rsidR="008851A0" w:rsidRPr="001372D4">
        <w:rPr>
          <w:sz w:val="24"/>
          <w:szCs w:val="24"/>
          <w:lang w:val="en-GB"/>
        </w:rPr>
        <w:t>6</w:t>
      </w:r>
      <w:r w:rsidR="00286C59" w:rsidRPr="001372D4">
        <w:rPr>
          <w:sz w:val="24"/>
          <w:szCs w:val="24"/>
          <w:lang w:val="en-GB"/>
        </w:rPr>
        <w:t xml:space="preserve">, </w:t>
      </w:r>
      <w:r w:rsidR="008851A0" w:rsidRPr="001372D4">
        <w:rPr>
          <w:sz w:val="24"/>
          <w:szCs w:val="24"/>
          <w:lang w:val="en-GB"/>
        </w:rPr>
        <w:t>11</w:t>
      </w:r>
      <w:r w:rsidR="00286C59" w:rsidRPr="001372D4">
        <w:rPr>
          <w:sz w:val="24"/>
          <w:szCs w:val="24"/>
          <w:lang w:val="en-GB"/>
        </w:rPr>
        <w:t>]</w:t>
      </w:r>
      <w:r w:rsidRPr="001372D4">
        <w:rPr>
          <w:sz w:val="24"/>
          <w:szCs w:val="24"/>
          <w:lang w:val="en-GB"/>
        </w:rPr>
        <w:t>, hip, humeral and forearm</w:t>
      </w:r>
      <w:r w:rsidRPr="008A2084">
        <w:rPr>
          <w:sz w:val="24"/>
          <w:szCs w:val="24"/>
          <w:lang w:val="en-GB"/>
        </w:rPr>
        <w:t xml:space="preserve"> </w:t>
      </w:r>
      <w:r w:rsidRPr="00E0340C">
        <w:rPr>
          <w:sz w:val="24"/>
          <w:szCs w:val="24"/>
          <w:lang w:val="en-GB"/>
        </w:rPr>
        <w:t>fractures [</w:t>
      </w:r>
      <w:r w:rsidR="00286C59" w:rsidRPr="00E0340C">
        <w:rPr>
          <w:sz w:val="24"/>
          <w:szCs w:val="24"/>
          <w:lang w:val="en-GB"/>
        </w:rPr>
        <w:t>3, 6]</w:t>
      </w:r>
      <w:r w:rsidRPr="00E0340C">
        <w:rPr>
          <w:sz w:val="24"/>
          <w:szCs w:val="24"/>
          <w:lang w:val="en-GB"/>
        </w:rPr>
        <w:t xml:space="preserve"> and all fractures combined [</w:t>
      </w:r>
      <w:r w:rsidR="00286C59" w:rsidRPr="00E0340C">
        <w:rPr>
          <w:sz w:val="24"/>
          <w:szCs w:val="24"/>
          <w:lang w:val="en-GB"/>
        </w:rPr>
        <w:t>1</w:t>
      </w:r>
      <w:r w:rsidR="003319E8" w:rsidRPr="00E0340C">
        <w:rPr>
          <w:sz w:val="24"/>
          <w:szCs w:val="24"/>
          <w:lang w:val="en-GB"/>
        </w:rPr>
        <w:t>2</w:t>
      </w:r>
      <w:r w:rsidR="00286C59" w:rsidRPr="00E0340C">
        <w:rPr>
          <w:sz w:val="24"/>
          <w:szCs w:val="24"/>
          <w:lang w:val="en-GB"/>
        </w:rPr>
        <w:t>]</w:t>
      </w:r>
      <w:r w:rsidRPr="00E0340C">
        <w:rPr>
          <w:sz w:val="24"/>
          <w:szCs w:val="24"/>
          <w:lang w:val="en-GB"/>
        </w:rPr>
        <w:t>.</w:t>
      </w:r>
    </w:p>
    <w:p w14:paraId="75A94675" w14:textId="77777777" w:rsidR="006F4AAD" w:rsidRDefault="006F4AAD" w:rsidP="00CC3FD3">
      <w:pPr>
        <w:pStyle w:val="NoSpacing"/>
        <w:spacing w:line="360" w:lineRule="auto"/>
        <w:rPr>
          <w:sz w:val="24"/>
          <w:szCs w:val="24"/>
          <w:lang w:val="en-GB"/>
        </w:rPr>
      </w:pPr>
    </w:p>
    <w:p w14:paraId="56A66448" w14:textId="44D6705E" w:rsidR="000471ED" w:rsidRDefault="000471ED" w:rsidP="00CC3FD3">
      <w:pPr>
        <w:pStyle w:val="NoSpacing"/>
        <w:spacing w:line="360" w:lineRule="auto"/>
        <w:rPr>
          <w:sz w:val="24"/>
          <w:szCs w:val="24"/>
          <w:lang w:val="en-GB"/>
        </w:rPr>
      </w:pPr>
      <w:r>
        <w:rPr>
          <w:sz w:val="24"/>
          <w:szCs w:val="24"/>
          <w:lang w:val="en-GB"/>
        </w:rPr>
        <w:lastRenderedPageBreak/>
        <w:t xml:space="preserve">A novel finding was that the high risk in the immediate post-fracture interval was age-dependent in that the marked transient increase in risk was not </w:t>
      </w:r>
      <w:r w:rsidR="006F4AAD">
        <w:rPr>
          <w:sz w:val="24"/>
          <w:szCs w:val="24"/>
          <w:lang w:val="en-GB"/>
        </w:rPr>
        <w:t>found</w:t>
      </w:r>
      <w:r>
        <w:rPr>
          <w:sz w:val="24"/>
          <w:szCs w:val="24"/>
          <w:lang w:val="en-GB"/>
        </w:rPr>
        <w:t xml:space="preserve"> at the age of 60 years and</w:t>
      </w:r>
      <w:r w:rsidR="006F4AAD">
        <w:rPr>
          <w:sz w:val="24"/>
          <w:szCs w:val="24"/>
          <w:lang w:val="en-GB"/>
        </w:rPr>
        <w:t xml:space="preserve"> became progressively evident with advancing age.  </w:t>
      </w:r>
      <w:r>
        <w:rPr>
          <w:sz w:val="24"/>
          <w:szCs w:val="24"/>
          <w:lang w:val="en-GB"/>
        </w:rPr>
        <w:t xml:space="preserve"> </w:t>
      </w:r>
      <w:r w:rsidR="006F4AAD" w:rsidRPr="006F4AAD">
        <w:rPr>
          <w:sz w:val="24"/>
          <w:szCs w:val="24"/>
          <w:lang w:val="en-GB"/>
        </w:rPr>
        <w:t xml:space="preserve">Many randomised studies have shown the early onset of effectiveness of pharmaceutical intervention for spine fractures and in some cases for appendicular </w:t>
      </w:r>
      <w:r w:rsidR="006F4AAD" w:rsidRPr="00E0340C">
        <w:rPr>
          <w:sz w:val="24"/>
          <w:szCs w:val="24"/>
          <w:lang w:val="en-GB"/>
        </w:rPr>
        <w:t>fractures [</w:t>
      </w:r>
      <w:r w:rsidR="00286C59" w:rsidRPr="00E0340C">
        <w:rPr>
          <w:sz w:val="24"/>
          <w:szCs w:val="24"/>
          <w:lang w:val="en-GB"/>
        </w:rPr>
        <w:t>2</w:t>
      </w:r>
      <w:r w:rsidR="001372D4">
        <w:rPr>
          <w:sz w:val="24"/>
          <w:szCs w:val="24"/>
          <w:lang w:val="en-GB"/>
        </w:rPr>
        <w:t>2</w:t>
      </w:r>
      <w:r w:rsidR="00286C59" w:rsidRPr="00E0340C">
        <w:rPr>
          <w:sz w:val="24"/>
          <w:szCs w:val="24"/>
          <w:lang w:val="en-GB"/>
        </w:rPr>
        <w:t>]</w:t>
      </w:r>
      <w:r w:rsidR="006F4AAD" w:rsidRPr="00E0340C">
        <w:rPr>
          <w:sz w:val="24"/>
          <w:szCs w:val="24"/>
          <w:lang w:val="en-GB"/>
        </w:rPr>
        <w:t>. These</w:t>
      </w:r>
      <w:r w:rsidR="006F4AAD" w:rsidRPr="006F4AAD">
        <w:rPr>
          <w:sz w:val="24"/>
          <w:szCs w:val="24"/>
          <w:lang w:val="en-GB"/>
        </w:rPr>
        <w:t xml:space="preserve"> benefits are particularly well documented in individuals with one or more prior vertebral fracture. If the same holds true for appendicular fractures, then our findings suggest that treatment should be commenced immediately after </w:t>
      </w:r>
      <w:r w:rsidR="00415691" w:rsidRPr="00415691">
        <w:rPr>
          <w:sz w:val="24"/>
          <w:szCs w:val="24"/>
          <w:lang w:val="en-US"/>
        </w:rPr>
        <w:t>the occurrence of a fracture, in order</w:t>
      </w:r>
      <w:r w:rsidR="00415691" w:rsidRPr="00415691">
        <w:rPr>
          <w:sz w:val="24"/>
          <w:szCs w:val="24"/>
          <w:lang w:val="en-GB"/>
        </w:rPr>
        <w:t xml:space="preserve"> </w:t>
      </w:r>
      <w:r w:rsidR="00415691">
        <w:rPr>
          <w:sz w:val="24"/>
          <w:szCs w:val="24"/>
          <w:lang w:val="en-GB"/>
        </w:rPr>
        <w:t xml:space="preserve">to reduce the </w:t>
      </w:r>
      <w:r w:rsidR="006F4AAD" w:rsidRPr="006F4AAD">
        <w:rPr>
          <w:sz w:val="24"/>
          <w:szCs w:val="24"/>
          <w:lang w:val="en-GB"/>
        </w:rPr>
        <w:t xml:space="preserve">high immediate risk of further fracture.  </w:t>
      </w:r>
      <w:r w:rsidR="006F4AAD">
        <w:rPr>
          <w:sz w:val="24"/>
          <w:szCs w:val="24"/>
          <w:lang w:val="en-GB"/>
        </w:rPr>
        <w:t>Moreover, the dividends of early intervention are particularly marked in the elderly, so that physicians should be encouraged</w:t>
      </w:r>
      <w:r w:rsidR="006F4AAD" w:rsidRPr="006F4AAD">
        <w:rPr>
          <w:sz w:val="24"/>
          <w:szCs w:val="24"/>
          <w:lang w:val="en-US"/>
        </w:rPr>
        <w:t xml:space="preserve"> to treat the very old with fracture prevention medication immediately after a fracture</w:t>
      </w:r>
      <w:r w:rsidR="006F4AAD">
        <w:rPr>
          <w:sz w:val="24"/>
          <w:szCs w:val="24"/>
          <w:lang w:val="en-US"/>
        </w:rPr>
        <w:t>.</w:t>
      </w:r>
    </w:p>
    <w:p w14:paraId="3B705BD0" w14:textId="03F7DB58" w:rsidR="00CC3FD3" w:rsidRPr="008A2084" w:rsidRDefault="00F808BD" w:rsidP="00CC3FD3">
      <w:pPr>
        <w:pStyle w:val="NoSpacing"/>
        <w:spacing w:line="360" w:lineRule="auto"/>
        <w:rPr>
          <w:sz w:val="24"/>
          <w:szCs w:val="24"/>
          <w:lang w:val="en-GB"/>
        </w:rPr>
      </w:pPr>
      <w:r w:rsidRPr="008A2084">
        <w:rPr>
          <w:sz w:val="24"/>
          <w:szCs w:val="24"/>
          <w:lang w:val="en-GB"/>
        </w:rPr>
        <w:t xml:space="preserve"> </w:t>
      </w:r>
    </w:p>
    <w:p w14:paraId="09359FA1" w14:textId="4B64B0E8" w:rsidR="00415691" w:rsidRPr="00415691" w:rsidRDefault="00CC3FD3" w:rsidP="00415691">
      <w:pPr>
        <w:pStyle w:val="NoSpacing"/>
        <w:spacing w:line="360" w:lineRule="auto"/>
        <w:rPr>
          <w:rFonts w:cs="Times New Roman"/>
          <w:sz w:val="24"/>
          <w:szCs w:val="24"/>
          <w:lang w:val="en-GB"/>
        </w:rPr>
      </w:pPr>
      <w:r w:rsidRPr="008A2084">
        <w:rPr>
          <w:sz w:val="24"/>
          <w:szCs w:val="24"/>
          <w:lang w:val="en-GB"/>
        </w:rPr>
        <w:t xml:space="preserve">The reason for the transient marked increase in risk is not known, but immobilisation and </w:t>
      </w:r>
      <w:r w:rsidR="00F71767" w:rsidRPr="008A2084">
        <w:rPr>
          <w:sz w:val="24"/>
          <w:szCs w:val="24"/>
          <w:lang w:val="en-GB"/>
        </w:rPr>
        <w:t xml:space="preserve">impaired </w:t>
      </w:r>
      <w:r w:rsidRPr="008A2084">
        <w:rPr>
          <w:sz w:val="24"/>
          <w:szCs w:val="24"/>
          <w:lang w:val="en-GB"/>
        </w:rPr>
        <w:t xml:space="preserve">coordination are potential </w:t>
      </w:r>
      <w:r w:rsidRPr="00E0340C">
        <w:rPr>
          <w:rFonts w:cs="Times New Roman"/>
          <w:sz w:val="24"/>
          <w:szCs w:val="24"/>
          <w:lang w:val="en-GB"/>
        </w:rPr>
        <w:t>factors [</w:t>
      </w:r>
      <w:r w:rsidR="00286C59" w:rsidRPr="00E0340C">
        <w:rPr>
          <w:rFonts w:cs="Times New Roman"/>
          <w:sz w:val="24"/>
          <w:szCs w:val="24"/>
          <w:lang w:val="en-GB"/>
        </w:rPr>
        <w:t>2</w:t>
      </w:r>
      <w:r w:rsidR="003319E8" w:rsidRPr="00E0340C">
        <w:rPr>
          <w:rFonts w:cs="Times New Roman"/>
          <w:sz w:val="24"/>
          <w:szCs w:val="24"/>
          <w:lang w:val="en-GB"/>
        </w:rPr>
        <w:t>3</w:t>
      </w:r>
      <w:r w:rsidR="001372D4">
        <w:rPr>
          <w:rFonts w:cs="Times New Roman"/>
          <w:sz w:val="24"/>
          <w:szCs w:val="24"/>
          <w:lang w:val="en-GB"/>
        </w:rPr>
        <w:t>-</w:t>
      </w:r>
      <w:r w:rsidR="00286C59" w:rsidRPr="00E0340C">
        <w:rPr>
          <w:rFonts w:cs="Times New Roman"/>
          <w:sz w:val="24"/>
          <w:szCs w:val="24"/>
          <w:lang w:val="en-GB"/>
        </w:rPr>
        <w:t>2</w:t>
      </w:r>
      <w:r w:rsidR="003319E8" w:rsidRPr="00E0340C">
        <w:rPr>
          <w:rFonts w:cs="Times New Roman"/>
          <w:sz w:val="24"/>
          <w:szCs w:val="24"/>
          <w:lang w:val="en-GB"/>
        </w:rPr>
        <w:t>5</w:t>
      </w:r>
      <w:r w:rsidR="00286C59" w:rsidRPr="00E0340C">
        <w:rPr>
          <w:rFonts w:cs="Times New Roman"/>
          <w:sz w:val="24"/>
          <w:szCs w:val="24"/>
          <w:lang w:val="en-GB"/>
        </w:rPr>
        <w:t>]</w:t>
      </w:r>
      <w:r w:rsidR="006F4AAD" w:rsidRPr="00E0340C">
        <w:rPr>
          <w:rFonts w:cs="Times New Roman"/>
          <w:sz w:val="24"/>
          <w:szCs w:val="24"/>
          <w:lang w:val="en-GB"/>
        </w:rPr>
        <w:t>.</w:t>
      </w:r>
      <w:r w:rsidR="00415691" w:rsidRPr="00E0340C">
        <w:rPr>
          <w:rFonts w:cs="Times New Roman"/>
          <w:sz w:val="24"/>
          <w:szCs w:val="24"/>
          <w:lang w:val="en-GB"/>
        </w:rPr>
        <w:t xml:space="preserve">  Indeed</w:t>
      </w:r>
      <w:r w:rsidR="00415691" w:rsidRPr="00415691">
        <w:rPr>
          <w:rFonts w:cs="Times New Roman"/>
          <w:sz w:val="24"/>
          <w:szCs w:val="24"/>
          <w:lang w:val="en-GB"/>
        </w:rPr>
        <w:t>, a recent study of US claims databases identified falls related factors such as age, poor mobility, neurological comorbidity and psychoactive medication use as associated with increased risk of first fracture over 12-24 months [</w:t>
      </w:r>
      <w:r w:rsidR="001372D4">
        <w:rPr>
          <w:rFonts w:cs="Times New Roman"/>
          <w:sz w:val="24"/>
          <w:szCs w:val="24"/>
          <w:lang w:val="en-GB"/>
        </w:rPr>
        <w:t>25</w:t>
      </w:r>
      <w:r w:rsidR="00286C59">
        <w:rPr>
          <w:rFonts w:cs="Times New Roman"/>
          <w:sz w:val="24"/>
          <w:szCs w:val="24"/>
          <w:lang w:val="en-GB"/>
        </w:rPr>
        <w:t>]</w:t>
      </w:r>
      <w:r w:rsidR="00415691" w:rsidRPr="00415691">
        <w:rPr>
          <w:rFonts w:cs="Times New Roman"/>
          <w:sz w:val="24"/>
          <w:szCs w:val="24"/>
          <w:lang w:val="en-GB"/>
        </w:rPr>
        <w:t xml:space="preserve">. Since the study did not examine relationships over longer timescales (or from first to second fracture), it is impossible to evaluate whether the short term relationships were of greater magnitude than they would have been long-term associations, or whether the associations documented over 1-2 years simply demonstrated markers of generally increased fracture risk. A further complication of such analyses is that many risk factors will persist over time, example the propensity to fall is usually a long-term attribute. Whilst dissecting out true risk factors for imminent as opposed to long-term risk presents an investigative challenge, our demonstration of an increased fracture risk in the first year after an index fracture suggests a relatively straightforward </w:t>
      </w:r>
      <w:r w:rsidR="006856A4">
        <w:rPr>
          <w:rFonts w:cs="Times New Roman"/>
          <w:sz w:val="24"/>
          <w:szCs w:val="24"/>
          <w:lang w:val="en-GB"/>
        </w:rPr>
        <w:t>requirement for</w:t>
      </w:r>
      <w:r w:rsidR="00415691" w:rsidRPr="00415691">
        <w:rPr>
          <w:rFonts w:cs="Times New Roman"/>
          <w:sz w:val="24"/>
          <w:szCs w:val="24"/>
          <w:lang w:val="en-GB"/>
        </w:rPr>
        <w:t xml:space="preserve"> the targeting of assessment and therapy immediately following such an event.</w:t>
      </w:r>
    </w:p>
    <w:p w14:paraId="1E7359DC" w14:textId="61146FDD" w:rsidR="00CC3FD3" w:rsidRDefault="00CC3FD3" w:rsidP="00CC3FD3">
      <w:pPr>
        <w:pStyle w:val="NoSpacing"/>
        <w:spacing w:line="360" w:lineRule="auto"/>
        <w:rPr>
          <w:rFonts w:cs="Times New Roman"/>
          <w:sz w:val="24"/>
          <w:szCs w:val="24"/>
          <w:lang w:val="en-GB"/>
        </w:rPr>
      </w:pPr>
    </w:p>
    <w:p w14:paraId="59558385" w14:textId="77777777" w:rsidR="00CC3FD3" w:rsidRDefault="00CC3FD3" w:rsidP="00CC3FD3">
      <w:pPr>
        <w:pStyle w:val="NoSpacing"/>
        <w:spacing w:line="360" w:lineRule="auto"/>
        <w:rPr>
          <w:rFonts w:cs="Times New Roman"/>
          <w:sz w:val="24"/>
          <w:szCs w:val="24"/>
          <w:lang w:val="en-GB"/>
        </w:rPr>
      </w:pPr>
    </w:p>
    <w:p w14:paraId="22A33576" w14:textId="52E7B12E" w:rsidR="00CC3FD3" w:rsidRDefault="00CC3FD3" w:rsidP="00CC3FD3">
      <w:pPr>
        <w:pStyle w:val="NoSpacing"/>
        <w:spacing w:line="360" w:lineRule="auto"/>
        <w:rPr>
          <w:rFonts w:cs="Times New Roman"/>
          <w:sz w:val="24"/>
          <w:szCs w:val="24"/>
          <w:lang w:val="en-GB"/>
        </w:rPr>
      </w:pPr>
      <w:r w:rsidRPr="00CC3FD3">
        <w:rPr>
          <w:sz w:val="24"/>
          <w:szCs w:val="24"/>
          <w:lang w:val="en-GB"/>
        </w:rPr>
        <w:t xml:space="preserve">One of the strengths in this study was the </w:t>
      </w:r>
      <w:r>
        <w:rPr>
          <w:sz w:val="24"/>
          <w:szCs w:val="24"/>
          <w:lang w:val="en-GB"/>
        </w:rPr>
        <w:t>random sampling of a large population and the detail placed on fracture ascertainment and the long duration of observation</w:t>
      </w:r>
      <w:r w:rsidRPr="00CC3FD3">
        <w:rPr>
          <w:sz w:val="24"/>
          <w:szCs w:val="24"/>
          <w:lang w:val="en-GB"/>
        </w:rPr>
        <w:t xml:space="preserve">. As </w:t>
      </w:r>
      <w:r w:rsidR="00544C47">
        <w:rPr>
          <w:sz w:val="24"/>
          <w:szCs w:val="24"/>
          <w:lang w:val="en-GB"/>
        </w:rPr>
        <w:t>participants</w:t>
      </w:r>
      <w:r w:rsidRPr="00CC3FD3">
        <w:rPr>
          <w:sz w:val="24"/>
          <w:szCs w:val="24"/>
          <w:lang w:val="en-GB"/>
        </w:rPr>
        <w:t xml:space="preserve"> were </w:t>
      </w:r>
      <w:r w:rsidR="00544C47">
        <w:rPr>
          <w:sz w:val="24"/>
          <w:szCs w:val="24"/>
          <w:lang w:val="en-GB"/>
        </w:rPr>
        <w:t>identified</w:t>
      </w:r>
      <w:r w:rsidRPr="00CC3FD3">
        <w:rPr>
          <w:sz w:val="24"/>
          <w:szCs w:val="24"/>
          <w:lang w:val="en-GB"/>
        </w:rPr>
        <w:t xml:space="preserve"> from</w:t>
      </w:r>
      <w:r>
        <w:rPr>
          <w:sz w:val="24"/>
          <w:szCs w:val="24"/>
          <w:lang w:val="en-GB"/>
        </w:rPr>
        <w:t xml:space="preserve"> </w:t>
      </w:r>
      <w:r w:rsidR="00F71767">
        <w:rPr>
          <w:sz w:val="24"/>
          <w:szCs w:val="24"/>
          <w:lang w:val="en-GB"/>
        </w:rPr>
        <w:t>n</w:t>
      </w:r>
      <w:r w:rsidRPr="00CC3FD3">
        <w:rPr>
          <w:sz w:val="24"/>
          <w:szCs w:val="24"/>
          <w:lang w:val="en-GB"/>
        </w:rPr>
        <w:t>ation-wide registers</w:t>
      </w:r>
      <w:r w:rsidR="00710294" w:rsidRPr="00710294">
        <w:rPr>
          <w:rFonts w:cs="Times New Roman"/>
          <w:sz w:val="24"/>
          <w:szCs w:val="24"/>
          <w:lang w:val="en-GB"/>
        </w:rPr>
        <w:t xml:space="preserve"> </w:t>
      </w:r>
      <w:r w:rsidR="00710294" w:rsidRPr="00710294">
        <w:rPr>
          <w:sz w:val="24"/>
          <w:szCs w:val="24"/>
          <w:lang w:val="en-GB"/>
        </w:rPr>
        <w:t xml:space="preserve">representing 34% of the mid-life Icelandic population born between 1907 and </w:t>
      </w:r>
      <w:r w:rsidR="00710294" w:rsidRPr="00E0340C">
        <w:rPr>
          <w:sz w:val="24"/>
          <w:szCs w:val="24"/>
          <w:lang w:val="en-GB"/>
        </w:rPr>
        <w:t>1935 [</w:t>
      </w:r>
      <w:r w:rsidR="001372D4">
        <w:rPr>
          <w:sz w:val="24"/>
          <w:szCs w:val="24"/>
          <w:lang w:val="en-GB"/>
        </w:rPr>
        <w:t>15,16</w:t>
      </w:r>
      <w:r w:rsidR="00286C59" w:rsidRPr="00E0340C">
        <w:rPr>
          <w:sz w:val="24"/>
          <w:szCs w:val="24"/>
          <w:lang w:val="en-GB"/>
        </w:rPr>
        <w:t>]</w:t>
      </w:r>
      <w:r w:rsidR="00544C47" w:rsidRPr="00E0340C">
        <w:rPr>
          <w:sz w:val="24"/>
          <w:szCs w:val="24"/>
          <w:lang w:val="en-GB"/>
        </w:rPr>
        <w:t>,</w:t>
      </w:r>
      <w:r w:rsidRPr="00E0340C">
        <w:rPr>
          <w:sz w:val="24"/>
          <w:szCs w:val="24"/>
          <w:lang w:val="en-GB"/>
        </w:rPr>
        <w:t xml:space="preserve"> selection</w:t>
      </w:r>
      <w:r w:rsidRPr="00CC3FD3">
        <w:rPr>
          <w:sz w:val="24"/>
          <w:szCs w:val="24"/>
          <w:lang w:val="en-GB"/>
        </w:rPr>
        <w:t xml:space="preserve"> bias seems</w:t>
      </w:r>
      <w:r>
        <w:rPr>
          <w:sz w:val="24"/>
          <w:szCs w:val="24"/>
          <w:lang w:val="en-GB"/>
        </w:rPr>
        <w:t xml:space="preserve"> </w:t>
      </w:r>
      <w:r w:rsidRPr="00CC3FD3">
        <w:rPr>
          <w:rFonts w:cs="Times New Roman"/>
          <w:sz w:val="24"/>
          <w:szCs w:val="24"/>
          <w:lang w:val="en-GB"/>
        </w:rPr>
        <w:t xml:space="preserve">unlikely. However, </w:t>
      </w:r>
      <w:r w:rsidRPr="00CC3FD3">
        <w:rPr>
          <w:rFonts w:cs="Times New Roman"/>
          <w:sz w:val="24"/>
          <w:szCs w:val="24"/>
          <w:lang w:val="en-GB"/>
        </w:rPr>
        <w:lastRenderedPageBreak/>
        <w:t>there were also some limitations to this study</w:t>
      </w:r>
      <w:r w:rsidR="00F71767">
        <w:rPr>
          <w:rFonts w:cs="Times New Roman"/>
          <w:sz w:val="24"/>
          <w:szCs w:val="24"/>
          <w:lang w:val="en-GB"/>
        </w:rPr>
        <w:t xml:space="preserve">.  </w:t>
      </w:r>
      <w:r w:rsidR="00710294">
        <w:rPr>
          <w:rFonts w:cs="Times New Roman"/>
          <w:sz w:val="24"/>
          <w:szCs w:val="24"/>
          <w:lang w:val="en-GB"/>
        </w:rPr>
        <w:t>First, t</w:t>
      </w:r>
      <w:r w:rsidR="00710294" w:rsidRPr="00710294">
        <w:rPr>
          <w:rFonts w:cs="Times New Roman"/>
          <w:sz w:val="24"/>
          <w:szCs w:val="24"/>
          <w:lang w:val="en-GB"/>
        </w:rPr>
        <w:t xml:space="preserve">he fracture ascertainment was collected retrospectively but </w:t>
      </w:r>
      <w:r w:rsidR="00710294">
        <w:rPr>
          <w:rFonts w:cs="Times New Roman"/>
          <w:sz w:val="24"/>
          <w:szCs w:val="24"/>
          <w:lang w:val="en-GB"/>
        </w:rPr>
        <w:t xml:space="preserve">was </w:t>
      </w:r>
      <w:r w:rsidR="00710294" w:rsidRPr="00710294">
        <w:rPr>
          <w:rFonts w:cs="Times New Roman"/>
          <w:sz w:val="24"/>
          <w:szCs w:val="24"/>
          <w:lang w:val="en-GB"/>
        </w:rPr>
        <w:t xml:space="preserve">based on all available records and x rays from the main hospitals in Iceland. </w:t>
      </w:r>
      <w:r w:rsidR="00710294">
        <w:rPr>
          <w:rFonts w:cs="Times New Roman"/>
          <w:sz w:val="24"/>
          <w:szCs w:val="24"/>
          <w:lang w:val="en-GB"/>
        </w:rPr>
        <w:t xml:space="preserve"> Second</w:t>
      </w:r>
      <w:r w:rsidR="00F24BD6">
        <w:rPr>
          <w:rFonts w:cs="Times New Roman"/>
          <w:sz w:val="24"/>
          <w:szCs w:val="24"/>
          <w:lang w:val="en-GB"/>
        </w:rPr>
        <w:t xml:space="preserve">, there are known to be substantial differences in age- and sex-specific fracture incidence across Europe, with </w:t>
      </w:r>
      <w:r w:rsidR="00A34A7C">
        <w:rPr>
          <w:rFonts w:cs="Times New Roman"/>
          <w:sz w:val="24"/>
          <w:szCs w:val="24"/>
          <w:lang w:val="en-GB"/>
        </w:rPr>
        <w:t>rates in n</w:t>
      </w:r>
      <w:r w:rsidR="00F24BD6">
        <w:rPr>
          <w:rFonts w:cs="Times New Roman"/>
          <w:sz w:val="24"/>
          <w:szCs w:val="24"/>
          <w:lang w:val="en-GB"/>
        </w:rPr>
        <w:t xml:space="preserve">orthern Europe greater than those in the south. </w:t>
      </w:r>
      <w:r w:rsidR="00F71767">
        <w:rPr>
          <w:rFonts w:cs="Times New Roman"/>
          <w:sz w:val="24"/>
          <w:szCs w:val="24"/>
          <w:lang w:val="en-GB"/>
        </w:rPr>
        <w:t xml:space="preserve"> </w:t>
      </w:r>
      <w:r w:rsidR="00F24BD6">
        <w:rPr>
          <w:rFonts w:cs="Times New Roman"/>
          <w:sz w:val="24"/>
          <w:szCs w:val="24"/>
          <w:lang w:val="en-GB"/>
        </w:rPr>
        <w:t>Although the absolute incidence values we observed may not be representative of other populations</w:t>
      </w:r>
      <w:r w:rsidR="00A34A7C">
        <w:rPr>
          <w:rFonts w:cs="Times New Roman"/>
          <w:sz w:val="24"/>
          <w:szCs w:val="24"/>
          <w:lang w:val="en-GB"/>
        </w:rPr>
        <w:t xml:space="preserve">, </w:t>
      </w:r>
      <w:r w:rsidR="00F24BD6">
        <w:rPr>
          <w:rFonts w:cs="Times New Roman"/>
          <w:sz w:val="24"/>
          <w:szCs w:val="24"/>
          <w:lang w:val="en-GB"/>
        </w:rPr>
        <w:t xml:space="preserve">there is no reason to suppose that there would be any difference in the age and temporal relationships. </w:t>
      </w:r>
      <w:r w:rsidR="00710294">
        <w:rPr>
          <w:rFonts w:cs="Times New Roman"/>
          <w:sz w:val="24"/>
          <w:szCs w:val="24"/>
          <w:lang w:val="en-GB"/>
        </w:rPr>
        <w:t>Third</w:t>
      </w:r>
      <w:r w:rsidR="00F24BD6">
        <w:rPr>
          <w:rFonts w:cs="Times New Roman"/>
          <w:sz w:val="24"/>
          <w:szCs w:val="24"/>
          <w:lang w:val="en-GB"/>
        </w:rPr>
        <w:t xml:space="preserve">, we were not able to include radiographically defined vertebral fractures. This would have increased the rates, but we </w:t>
      </w:r>
      <w:r w:rsidR="00A34A7C">
        <w:rPr>
          <w:rFonts w:cs="Times New Roman"/>
          <w:sz w:val="24"/>
          <w:szCs w:val="24"/>
          <w:lang w:val="en-GB"/>
        </w:rPr>
        <w:t>aimed to assess</w:t>
      </w:r>
      <w:r w:rsidR="00F24BD6">
        <w:rPr>
          <w:rFonts w:cs="Times New Roman"/>
          <w:sz w:val="24"/>
          <w:szCs w:val="24"/>
          <w:lang w:val="en-GB"/>
        </w:rPr>
        <w:t xml:space="preserve"> clinical fractures, and temporal </w:t>
      </w:r>
      <w:r w:rsidR="00A34A7C">
        <w:rPr>
          <w:rFonts w:cs="Times New Roman"/>
          <w:sz w:val="24"/>
          <w:szCs w:val="24"/>
          <w:lang w:val="en-GB"/>
        </w:rPr>
        <w:t>evaluation</w:t>
      </w:r>
      <w:r w:rsidR="00F24BD6">
        <w:rPr>
          <w:rFonts w:cs="Times New Roman"/>
          <w:sz w:val="24"/>
          <w:szCs w:val="24"/>
          <w:lang w:val="en-GB"/>
        </w:rPr>
        <w:t xml:space="preserve"> of radiographic vertebral fractures would have required multiple sequential radiographs.</w:t>
      </w:r>
      <w:r w:rsidR="00A34A7C">
        <w:rPr>
          <w:rFonts w:cs="Times New Roman"/>
          <w:sz w:val="24"/>
          <w:szCs w:val="24"/>
          <w:lang w:val="en-GB"/>
        </w:rPr>
        <w:t xml:space="preserve"> </w:t>
      </w:r>
      <w:r w:rsidR="00710294">
        <w:rPr>
          <w:rFonts w:cs="Times New Roman"/>
          <w:sz w:val="24"/>
          <w:szCs w:val="24"/>
          <w:lang w:val="en-GB"/>
        </w:rPr>
        <w:t>Fourth</w:t>
      </w:r>
      <w:r w:rsidR="00A34A7C">
        <w:rPr>
          <w:rFonts w:cs="Times New Roman"/>
          <w:sz w:val="24"/>
          <w:szCs w:val="24"/>
          <w:lang w:val="en-GB"/>
        </w:rPr>
        <w:t>,</w:t>
      </w:r>
      <w:r w:rsidR="00F71767">
        <w:rPr>
          <w:rFonts w:cs="Times New Roman"/>
          <w:sz w:val="24"/>
          <w:szCs w:val="24"/>
          <w:lang w:val="en-GB"/>
        </w:rPr>
        <w:t xml:space="preserve"> </w:t>
      </w:r>
      <w:r w:rsidR="00A34A7C">
        <w:rPr>
          <w:rFonts w:cs="Times New Roman"/>
          <w:sz w:val="24"/>
          <w:szCs w:val="24"/>
          <w:lang w:val="en-GB"/>
        </w:rPr>
        <w:t>as with all such studies, the possibility of under-ascertainment and misclassification exists, but as both capture and classification of fractures has been shown to be highly reliable in this cohort</w:t>
      </w:r>
      <w:r w:rsidR="001372D4">
        <w:rPr>
          <w:rFonts w:cs="Times New Roman"/>
          <w:sz w:val="24"/>
          <w:szCs w:val="24"/>
          <w:lang w:val="en-GB"/>
        </w:rPr>
        <w:t xml:space="preserve"> [17]</w:t>
      </w:r>
      <w:r w:rsidR="00A34A7C">
        <w:rPr>
          <w:rFonts w:cs="Times New Roman"/>
          <w:sz w:val="24"/>
          <w:szCs w:val="24"/>
          <w:lang w:val="en-GB"/>
        </w:rPr>
        <w:t xml:space="preserve">, it is unlikely that this would alter the results materially. </w:t>
      </w:r>
      <w:r w:rsidR="00F24BD6">
        <w:rPr>
          <w:rFonts w:cs="Times New Roman"/>
          <w:sz w:val="24"/>
          <w:szCs w:val="24"/>
          <w:lang w:val="en-GB"/>
        </w:rPr>
        <w:t xml:space="preserve"> </w:t>
      </w:r>
    </w:p>
    <w:p w14:paraId="1D5434BF" w14:textId="77777777" w:rsidR="00CC3FD3" w:rsidRDefault="00CC3FD3" w:rsidP="00CC3FD3">
      <w:pPr>
        <w:pStyle w:val="NoSpacing"/>
        <w:spacing w:line="360" w:lineRule="auto"/>
        <w:rPr>
          <w:rFonts w:cs="Times New Roman"/>
          <w:sz w:val="24"/>
          <w:szCs w:val="24"/>
          <w:lang w:val="en-US"/>
        </w:rPr>
      </w:pPr>
    </w:p>
    <w:p w14:paraId="3E828214" w14:textId="0D0CB102" w:rsidR="00CC3FD3" w:rsidRDefault="00CC3FD3" w:rsidP="00E4190D">
      <w:pPr>
        <w:pStyle w:val="NoSpacing"/>
        <w:spacing w:line="360" w:lineRule="auto"/>
        <w:rPr>
          <w:rFonts w:cs="Times New Roman"/>
          <w:sz w:val="24"/>
          <w:szCs w:val="24"/>
          <w:lang w:val="en-US"/>
        </w:rPr>
      </w:pPr>
      <w:r w:rsidRPr="00CC3FD3">
        <w:rPr>
          <w:rFonts w:cs="Times New Roman"/>
          <w:sz w:val="24"/>
          <w:szCs w:val="24"/>
          <w:lang w:val="en-US"/>
        </w:rPr>
        <w:t xml:space="preserve">A problem that potentially confounds </w:t>
      </w:r>
      <w:r w:rsidR="00F71767">
        <w:rPr>
          <w:rFonts w:cs="Times New Roman"/>
          <w:sz w:val="24"/>
          <w:szCs w:val="24"/>
          <w:lang w:val="en-US"/>
        </w:rPr>
        <w:t>most</w:t>
      </w:r>
      <w:r w:rsidR="00F71767" w:rsidRPr="00CC3FD3">
        <w:rPr>
          <w:rFonts w:cs="Times New Roman"/>
          <w:sz w:val="24"/>
          <w:szCs w:val="24"/>
          <w:lang w:val="en-US"/>
        </w:rPr>
        <w:t xml:space="preserve"> </w:t>
      </w:r>
      <w:r w:rsidRPr="00CC3FD3">
        <w:rPr>
          <w:rFonts w:cs="Times New Roman"/>
          <w:sz w:val="24"/>
          <w:szCs w:val="24"/>
          <w:lang w:val="en-US"/>
        </w:rPr>
        <w:t xml:space="preserve">studies of </w:t>
      </w:r>
      <w:r w:rsidR="00F71767">
        <w:rPr>
          <w:rFonts w:cs="Times New Roman"/>
          <w:sz w:val="24"/>
          <w:szCs w:val="24"/>
          <w:lang w:val="en-US"/>
        </w:rPr>
        <w:t xml:space="preserve">incident fractures </w:t>
      </w:r>
      <w:r w:rsidRPr="00CC3FD3">
        <w:rPr>
          <w:rFonts w:cs="Times New Roman"/>
          <w:sz w:val="24"/>
          <w:szCs w:val="24"/>
          <w:lang w:val="en-US"/>
        </w:rPr>
        <w:t>is the risk of double counting</w:t>
      </w:r>
      <w:r w:rsidR="00F71767">
        <w:rPr>
          <w:rFonts w:cs="Times New Roman"/>
          <w:sz w:val="24"/>
          <w:szCs w:val="24"/>
          <w:lang w:val="en-US"/>
        </w:rPr>
        <w:t>, and this can be of major relevance in studies examining rates of re-fracture within short timeframes</w:t>
      </w:r>
      <w:r w:rsidRPr="00CC3FD3">
        <w:rPr>
          <w:rFonts w:cs="Times New Roman"/>
          <w:sz w:val="24"/>
          <w:szCs w:val="24"/>
          <w:lang w:val="en-US"/>
        </w:rPr>
        <w:t>.  This is particularly problematic for vertebral fractures since the diagnosis is confirmed by radiography and the deformities are persistent over time, at least in adults. In the present study, we</w:t>
      </w:r>
      <w:r w:rsidR="00B770B7" w:rsidRPr="00CC3FD3">
        <w:rPr>
          <w:rFonts w:cs="Times New Roman"/>
          <w:sz w:val="24"/>
          <w:szCs w:val="24"/>
          <w:lang w:val="en-US"/>
        </w:rPr>
        <w:t xml:space="preserve"> used a </w:t>
      </w:r>
      <w:r w:rsidR="00710294" w:rsidRPr="00CC3FD3">
        <w:rPr>
          <w:rFonts w:cs="Times New Roman"/>
          <w:sz w:val="24"/>
          <w:szCs w:val="24"/>
          <w:lang w:val="en-US"/>
        </w:rPr>
        <w:t>30-day</w:t>
      </w:r>
      <w:r w:rsidR="00B770B7" w:rsidRPr="00CC3FD3">
        <w:rPr>
          <w:rFonts w:cs="Times New Roman"/>
          <w:sz w:val="24"/>
          <w:szCs w:val="24"/>
          <w:lang w:val="en-US"/>
        </w:rPr>
        <w:t xml:space="preserve"> window </w:t>
      </w:r>
      <w:r w:rsidRPr="00CC3FD3">
        <w:rPr>
          <w:rFonts w:cs="Times New Roman"/>
          <w:sz w:val="24"/>
          <w:szCs w:val="24"/>
          <w:lang w:val="en-US"/>
        </w:rPr>
        <w:t>before counting a second fracture at the same site which would diminish but not eliminate</w:t>
      </w:r>
      <w:r w:rsidR="00B770B7" w:rsidRPr="00CC3FD3">
        <w:rPr>
          <w:rFonts w:cs="Times New Roman"/>
          <w:sz w:val="24"/>
          <w:szCs w:val="24"/>
          <w:lang w:val="en-US"/>
        </w:rPr>
        <w:t xml:space="preserve"> the risk that it was the same fracture. </w:t>
      </w:r>
      <w:r w:rsidRPr="00CC3FD3">
        <w:rPr>
          <w:rFonts w:cs="Times New Roman"/>
          <w:sz w:val="24"/>
          <w:szCs w:val="24"/>
          <w:lang w:val="en-US"/>
        </w:rPr>
        <w:t>Extending the wi</w:t>
      </w:r>
      <w:r w:rsidR="00215CFC">
        <w:rPr>
          <w:rFonts w:cs="Times New Roman"/>
          <w:sz w:val="24"/>
          <w:szCs w:val="24"/>
          <w:lang w:val="en-US"/>
        </w:rPr>
        <w:t>n</w:t>
      </w:r>
      <w:r w:rsidRPr="00CC3FD3">
        <w:rPr>
          <w:rFonts w:cs="Times New Roman"/>
          <w:sz w:val="24"/>
          <w:szCs w:val="24"/>
          <w:lang w:val="en-US"/>
        </w:rPr>
        <w:t>dow further up to 2 years had little effect on the pattern with time.  The most robust sensitivity analysis was to only count</w:t>
      </w:r>
      <w:r w:rsidR="00B770B7" w:rsidRPr="00CC3FD3">
        <w:rPr>
          <w:rFonts w:cs="Times New Roman"/>
          <w:sz w:val="24"/>
          <w:szCs w:val="24"/>
          <w:lang w:val="en-US"/>
        </w:rPr>
        <w:t xml:space="preserve"> the </w:t>
      </w:r>
      <w:r w:rsidRPr="00CC3FD3">
        <w:rPr>
          <w:rFonts w:cs="Times New Roman"/>
          <w:sz w:val="24"/>
          <w:szCs w:val="24"/>
          <w:lang w:val="en-US"/>
        </w:rPr>
        <w:t>second MOF</w:t>
      </w:r>
      <w:r w:rsidR="00B770B7" w:rsidRPr="00CC3FD3">
        <w:rPr>
          <w:rFonts w:cs="Times New Roman"/>
          <w:sz w:val="24"/>
          <w:szCs w:val="24"/>
          <w:lang w:val="en-US"/>
        </w:rPr>
        <w:t xml:space="preserve"> when </w:t>
      </w:r>
      <w:r w:rsidRPr="00CC3FD3">
        <w:rPr>
          <w:rFonts w:cs="Times New Roman"/>
          <w:sz w:val="24"/>
          <w:szCs w:val="24"/>
          <w:lang w:val="en-US"/>
        </w:rPr>
        <w:t>the site of the second fracture</w:t>
      </w:r>
      <w:r w:rsidR="00B770B7" w:rsidRPr="00CC3FD3">
        <w:rPr>
          <w:rFonts w:cs="Times New Roman"/>
          <w:sz w:val="24"/>
          <w:szCs w:val="24"/>
          <w:lang w:val="en-US"/>
        </w:rPr>
        <w:t xml:space="preserve"> </w:t>
      </w:r>
      <w:r w:rsidRPr="00CC3FD3">
        <w:rPr>
          <w:rFonts w:cs="Times New Roman"/>
          <w:sz w:val="24"/>
          <w:szCs w:val="24"/>
          <w:lang w:val="en-US"/>
        </w:rPr>
        <w:t>differed from the site of the first</w:t>
      </w:r>
      <w:r w:rsidR="00B770B7" w:rsidRPr="00CC3FD3">
        <w:rPr>
          <w:rFonts w:cs="Times New Roman"/>
          <w:sz w:val="24"/>
          <w:szCs w:val="24"/>
          <w:lang w:val="en-US"/>
        </w:rPr>
        <w:t xml:space="preserve"> MOF</w:t>
      </w:r>
      <w:r w:rsidRPr="00CC3FD3">
        <w:rPr>
          <w:rFonts w:cs="Times New Roman"/>
          <w:sz w:val="24"/>
          <w:szCs w:val="24"/>
          <w:lang w:val="en-US"/>
        </w:rPr>
        <w:t>.</w:t>
      </w:r>
      <w:r w:rsidR="00B770B7" w:rsidRPr="00CC3FD3">
        <w:rPr>
          <w:rFonts w:cs="Times New Roman"/>
          <w:sz w:val="24"/>
          <w:szCs w:val="24"/>
          <w:lang w:val="en-US"/>
        </w:rPr>
        <w:t xml:space="preserve"> The </w:t>
      </w:r>
      <w:r w:rsidR="003F450D" w:rsidRPr="00CC3FD3">
        <w:rPr>
          <w:rFonts w:cs="Times New Roman"/>
          <w:sz w:val="24"/>
          <w:szCs w:val="24"/>
          <w:lang w:val="en-US"/>
        </w:rPr>
        <w:t>i</w:t>
      </w:r>
      <w:r w:rsidR="00B770B7" w:rsidRPr="00CC3FD3">
        <w:rPr>
          <w:rFonts w:cs="Times New Roman"/>
          <w:sz w:val="24"/>
          <w:szCs w:val="24"/>
          <w:lang w:val="en-US"/>
        </w:rPr>
        <w:t>mminent risk was still higher than after 5-10 years</w:t>
      </w:r>
      <w:r w:rsidRPr="00CC3FD3">
        <w:rPr>
          <w:rFonts w:cs="Times New Roman"/>
          <w:sz w:val="24"/>
          <w:szCs w:val="24"/>
          <w:lang w:val="en-US"/>
        </w:rPr>
        <w:t>.</w:t>
      </w:r>
      <w:r w:rsidR="00B770B7" w:rsidRPr="00CC3FD3">
        <w:rPr>
          <w:rFonts w:cs="Times New Roman"/>
          <w:sz w:val="24"/>
          <w:szCs w:val="24"/>
          <w:lang w:val="en-US"/>
        </w:rPr>
        <w:t xml:space="preserve"> </w:t>
      </w:r>
      <w:r>
        <w:rPr>
          <w:rFonts w:cs="Times New Roman"/>
          <w:sz w:val="24"/>
          <w:szCs w:val="24"/>
          <w:lang w:val="en-US"/>
        </w:rPr>
        <w:t xml:space="preserve">These findings </w:t>
      </w:r>
      <w:r w:rsidR="007325B7">
        <w:rPr>
          <w:rFonts w:cs="Times New Roman"/>
          <w:sz w:val="24"/>
          <w:szCs w:val="24"/>
          <w:lang w:val="en-US"/>
        </w:rPr>
        <w:t>indicate</w:t>
      </w:r>
      <w:r>
        <w:rPr>
          <w:rFonts w:cs="Times New Roman"/>
          <w:sz w:val="24"/>
          <w:szCs w:val="24"/>
          <w:lang w:val="en-US"/>
        </w:rPr>
        <w:t xml:space="preserve"> that the concept of imminent risk is a reality rather than an artifact of double counting.</w:t>
      </w:r>
    </w:p>
    <w:p w14:paraId="0A140D73" w14:textId="77777777" w:rsidR="00CC3FD3" w:rsidRPr="00CC3FD3" w:rsidRDefault="00CC3FD3" w:rsidP="00E4190D">
      <w:pPr>
        <w:pStyle w:val="NoSpacing"/>
        <w:spacing w:line="360" w:lineRule="auto"/>
        <w:rPr>
          <w:rFonts w:cs="Times New Roman"/>
          <w:sz w:val="24"/>
          <w:szCs w:val="24"/>
          <w:lang w:val="en-US"/>
        </w:rPr>
      </w:pPr>
    </w:p>
    <w:p w14:paraId="164DAEC2" w14:textId="2F7CB200" w:rsidR="00CC3FD3" w:rsidRPr="00CC3FD3" w:rsidRDefault="00EE2EAE" w:rsidP="00CC3FD3">
      <w:pPr>
        <w:pStyle w:val="NoSpacing"/>
        <w:spacing w:line="360" w:lineRule="auto"/>
        <w:rPr>
          <w:rFonts w:cs="Times New Roman"/>
          <w:sz w:val="24"/>
          <w:szCs w:val="24"/>
          <w:lang w:val="en-US"/>
        </w:rPr>
      </w:pPr>
      <w:r w:rsidRPr="00EE2EAE">
        <w:rPr>
          <w:sz w:val="24"/>
          <w:szCs w:val="24"/>
          <w:lang w:val="en-US"/>
        </w:rPr>
        <w:t>The risk of MOF after a first MOF is increased over the whole follow up but the imminent risk is even higher.</w:t>
      </w:r>
      <w:r>
        <w:rPr>
          <w:sz w:val="24"/>
          <w:szCs w:val="24"/>
          <w:lang w:val="en-US"/>
        </w:rPr>
        <w:t xml:space="preserve"> </w:t>
      </w:r>
      <w:r w:rsidR="00CC3FD3" w:rsidRPr="00CC3FD3">
        <w:rPr>
          <w:sz w:val="24"/>
          <w:szCs w:val="24"/>
          <w:lang w:val="en-GB"/>
        </w:rPr>
        <w:t xml:space="preserve">Many randomised studies have shown the </w:t>
      </w:r>
      <w:r w:rsidR="00D036CA">
        <w:rPr>
          <w:sz w:val="24"/>
          <w:szCs w:val="24"/>
          <w:lang w:val="en-GB"/>
        </w:rPr>
        <w:t xml:space="preserve">early onset of </w:t>
      </w:r>
      <w:r w:rsidR="00CC3FD3" w:rsidRPr="00CC3FD3">
        <w:rPr>
          <w:sz w:val="24"/>
          <w:szCs w:val="24"/>
          <w:lang w:val="en-GB"/>
        </w:rPr>
        <w:t xml:space="preserve">effectiveness of pharmaceutical intervention for spine fractures and in some cases for appendicular fractures </w:t>
      </w:r>
      <w:r w:rsidR="00CC3FD3" w:rsidRPr="00E0340C">
        <w:rPr>
          <w:sz w:val="24"/>
          <w:szCs w:val="24"/>
          <w:lang w:val="en-GB"/>
        </w:rPr>
        <w:t>[</w:t>
      </w:r>
      <w:r w:rsidR="00286C59" w:rsidRPr="00E0340C">
        <w:rPr>
          <w:sz w:val="24"/>
          <w:szCs w:val="24"/>
          <w:lang w:val="en-GB"/>
        </w:rPr>
        <w:t>2</w:t>
      </w:r>
      <w:r w:rsidR="001372D4">
        <w:rPr>
          <w:sz w:val="24"/>
          <w:szCs w:val="24"/>
          <w:lang w:val="en-GB"/>
        </w:rPr>
        <w:t>2</w:t>
      </w:r>
      <w:r w:rsidR="00286C59" w:rsidRPr="00E0340C">
        <w:rPr>
          <w:sz w:val="24"/>
          <w:szCs w:val="24"/>
          <w:lang w:val="en-GB"/>
        </w:rPr>
        <w:t>]</w:t>
      </w:r>
      <w:r w:rsidR="00CC3FD3" w:rsidRPr="00E0340C">
        <w:rPr>
          <w:sz w:val="24"/>
          <w:szCs w:val="24"/>
          <w:lang w:val="en-GB"/>
        </w:rPr>
        <w:t>. The</w:t>
      </w:r>
      <w:r w:rsidR="00D036CA" w:rsidRPr="00E0340C">
        <w:rPr>
          <w:sz w:val="24"/>
          <w:szCs w:val="24"/>
          <w:lang w:val="en-GB"/>
        </w:rPr>
        <w:t>se</w:t>
      </w:r>
      <w:r w:rsidR="00D036CA">
        <w:rPr>
          <w:sz w:val="24"/>
          <w:szCs w:val="24"/>
          <w:lang w:val="en-GB"/>
        </w:rPr>
        <w:t xml:space="preserve"> benefits are </w:t>
      </w:r>
      <w:r w:rsidR="00CC3FD3" w:rsidRPr="00CC3FD3">
        <w:rPr>
          <w:sz w:val="24"/>
          <w:szCs w:val="24"/>
          <w:lang w:val="en-GB"/>
        </w:rPr>
        <w:t xml:space="preserve">particularly well </w:t>
      </w:r>
      <w:r w:rsidR="00D036CA">
        <w:rPr>
          <w:sz w:val="24"/>
          <w:szCs w:val="24"/>
          <w:lang w:val="en-GB"/>
        </w:rPr>
        <w:t>documented</w:t>
      </w:r>
      <w:r w:rsidR="00D036CA" w:rsidRPr="00CC3FD3">
        <w:rPr>
          <w:sz w:val="24"/>
          <w:szCs w:val="24"/>
          <w:lang w:val="en-GB"/>
        </w:rPr>
        <w:t xml:space="preserve"> </w:t>
      </w:r>
      <w:r w:rsidR="00CC3FD3" w:rsidRPr="00CC3FD3">
        <w:rPr>
          <w:sz w:val="24"/>
          <w:szCs w:val="24"/>
          <w:lang w:val="en-GB"/>
        </w:rPr>
        <w:t xml:space="preserve">in individuals with </w:t>
      </w:r>
      <w:r w:rsidR="00D036CA">
        <w:rPr>
          <w:sz w:val="24"/>
          <w:szCs w:val="24"/>
          <w:lang w:val="en-GB"/>
        </w:rPr>
        <w:t>one or more</w:t>
      </w:r>
      <w:r w:rsidR="00D036CA" w:rsidRPr="00CC3FD3">
        <w:rPr>
          <w:sz w:val="24"/>
          <w:szCs w:val="24"/>
          <w:lang w:val="en-GB"/>
        </w:rPr>
        <w:t xml:space="preserve"> </w:t>
      </w:r>
      <w:r w:rsidR="00CC3FD3" w:rsidRPr="00CC3FD3">
        <w:rPr>
          <w:sz w:val="24"/>
          <w:szCs w:val="24"/>
          <w:lang w:val="en-GB"/>
        </w:rPr>
        <w:t xml:space="preserve">prior vertebral fracture. If the same holds true for appendicular fractures, then our findings suggest that treatment should be </w:t>
      </w:r>
      <w:r w:rsidR="00D036CA">
        <w:rPr>
          <w:sz w:val="24"/>
          <w:szCs w:val="24"/>
          <w:lang w:val="en-GB"/>
        </w:rPr>
        <w:t>commenced</w:t>
      </w:r>
      <w:r w:rsidR="00D036CA" w:rsidRPr="00CC3FD3">
        <w:rPr>
          <w:sz w:val="24"/>
          <w:szCs w:val="24"/>
          <w:lang w:val="en-GB"/>
        </w:rPr>
        <w:t xml:space="preserve"> </w:t>
      </w:r>
      <w:r w:rsidR="00CC3FD3" w:rsidRPr="00CC3FD3">
        <w:rPr>
          <w:sz w:val="24"/>
          <w:szCs w:val="24"/>
          <w:lang w:val="en-GB"/>
        </w:rPr>
        <w:t xml:space="preserve">immediately after fractures </w:t>
      </w:r>
      <w:r w:rsidR="00D036CA">
        <w:rPr>
          <w:sz w:val="24"/>
          <w:szCs w:val="24"/>
          <w:lang w:val="en-GB"/>
        </w:rPr>
        <w:t>to</w:t>
      </w:r>
      <w:r w:rsidR="00CC3FD3" w:rsidRPr="00CC3FD3">
        <w:rPr>
          <w:sz w:val="24"/>
          <w:szCs w:val="24"/>
          <w:lang w:val="en-GB"/>
        </w:rPr>
        <w:t xml:space="preserve"> reduce </w:t>
      </w:r>
      <w:r w:rsidR="00CC3FD3" w:rsidRPr="00CC3FD3">
        <w:rPr>
          <w:rFonts w:cs="Times New Roman"/>
          <w:sz w:val="24"/>
          <w:szCs w:val="24"/>
          <w:lang w:val="en-GB"/>
        </w:rPr>
        <w:t xml:space="preserve">the </w:t>
      </w:r>
      <w:r w:rsidR="00CC3FD3" w:rsidRPr="00CC3FD3">
        <w:rPr>
          <w:rFonts w:cs="Times New Roman"/>
          <w:sz w:val="24"/>
          <w:szCs w:val="24"/>
          <w:lang w:val="en-GB"/>
        </w:rPr>
        <w:lastRenderedPageBreak/>
        <w:t xml:space="preserve">high </w:t>
      </w:r>
      <w:r w:rsidR="00D036CA" w:rsidRPr="00CC3FD3">
        <w:rPr>
          <w:rFonts w:cs="Times New Roman"/>
          <w:sz w:val="24"/>
          <w:szCs w:val="24"/>
          <w:lang w:val="en-GB"/>
        </w:rPr>
        <w:t xml:space="preserve">immediate </w:t>
      </w:r>
      <w:r w:rsidR="00CC3FD3" w:rsidRPr="00CC3FD3">
        <w:rPr>
          <w:rFonts w:cs="Times New Roman"/>
          <w:sz w:val="24"/>
          <w:szCs w:val="24"/>
          <w:lang w:val="en-GB"/>
        </w:rPr>
        <w:t xml:space="preserve">risk </w:t>
      </w:r>
      <w:r w:rsidR="00D036CA">
        <w:rPr>
          <w:rFonts w:cs="Times New Roman"/>
          <w:sz w:val="24"/>
          <w:szCs w:val="24"/>
          <w:lang w:val="en-GB"/>
        </w:rPr>
        <w:t>of further</w:t>
      </w:r>
      <w:r w:rsidR="00CC3FD3" w:rsidRPr="00CC3FD3">
        <w:rPr>
          <w:rFonts w:cs="Times New Roman"/>
          <w:sz w:val="24"/>
          <w:szCs w:val="24"/>
          <w:lang w:val="en-GB"/>
        </w:rPr>
        <w:t xml:space="preserve"> fracture.</w:t>
      </w:r>
      <w:r w:rsidR="00CC3FD3">
        <w:rPr>
          <w:rFonts w:cs="Times New Roman"/>
          <w:sz w:val="24"/>
          <w:szCs w:val="24"/>
          <w:lang w:val="en-GB"/>
        </w:rPr>
        <w:t xml:space="preserve">  </w:t>
      </w:r>
      <w:r w:rsidR="006068D8">
        <w:rPr>
          <w:rFonts w:cs="Times New Roman"/>
          <w:sz w:val="24"/>
          <w:szCs w:val="24"/>
          <w:lang w:val="en-GB"/>
        </w:rPr>
        <w:t xml:space="preserve">Moreover, the finding that the imminent risk increases with age has several important implications in developing treatment strategies. </w:t>
      </w:r>
      <w:r w:rsidR="00CC3FD3">
        <w:rPr>
          <w:rFonts w:cs="Times New Roman"/>
          <w:sz w:val="24"/>
          <w:szCs w:val="24"/>
          <w:lang w:val="en-GB"/>
        </w:rPr>
        <w:t>In this regard</w:t>
      </w:r>
      <w:r w:rsidR="006068D8">
        <w:rPr>
          <w:rFonts w:cs="Times New Roman"/>
          <w:sz w:val="24"/>
          <w:szCs w:val="24"/>
          <w:lang w:val="en-GB"/>
        </w:rPr>
        <w:t>,</w:t>
      </w:r>
      <w:r w:rsidR="00CC3FD3">
        <w:rPr>
          <w:rFonts w:cs="Times New Roman"/>
          <w:sz w:val="24"/>
          <w:szCs w:val="24"/>
          <w:lang w:val="en-GB"/>
        </w:rPr>
        <w:t xml:space="preserve"> it will be of value to determine the pattern of fracture events with time following a sentinel fracture at the hip, spine, forearm or humerus to determine the potential gains in fractures avoided and cost-effectiveness of early treatment. </w:t>
      </w:r>
    </w:p>
    <w:p w14:paraId="361EC89F" w14:textId="77777777" w:rsidR="00CC3FD3" w:rsidRDefault="00CC3FD3" w:rsidP="00E4190D">
      <w:pPr>
        <w:pStyle w:val="NoSpacing"/>
        <w:spacing w:line="360" w:lineRule="auto"/>
        <w:rPr>
          <w:rFonts w:ascii="Times New Roman" w:hAnsi="Times New Roman" w:cs="Times New Roman"/>
          <w:sz w:val="24"/>
          <w:szCs w:val="24"/>
          <w:lang w:val="en-US"/>
        </w:rPr>
      </w:pPr>
    </w:p>
    <w:p w14:paraId="0DF6BF41" w14:textId="77777777" w:rsidR="00CC3FD3" w:rsidRDefault="00CC3FD3" w:rsidP="00CC3FD3">
      <w:pPr>
        <w:pStyle w:val="NoSpacing"/>
        <w:spacing w:line="360" w:lineRule="auto"/>
        <w:rPr>
          <w:rFonts w:eastAsia="MS Mincho" w:cs="AdvTimes"/>
          <w:sz w:val="24"/>
          <w:szCs w:val="24"/>
          <w:lang w:val="en-GB"/>
        </w:rPr>
      </w:pPr>
    </w:p>
    <w:p w14:paraId="6EE977DF" w14:textId="1F98045E" w:rsidR="00CC3FD3" w:rsidRDefault="00CC3FD3" w:rsidP="00CC3FD3">
      <w:pPr>
        <w:pStyle w:val="NoSpacing"/>
        <w:spacing w:line="360" w:lineRule="auto"/>
        <w:rPr>
          <w:rFonts w:cs="Times New Roman"/>
          <w:b/>
          <w:sz w:val="24"/>
          <w:szCs w:val="24"/>
          <w:lang w:val="en-US"/>
        </w:rPr>
      </w:pPr>
      <w:r w:rsidRPr="00CC3FD3">
        <w:rPr>
          <w:rFonts w:cs="Times New Roman"/>
          <w:b/>
          <w:sz w:val="24"/>
          <w:szCs w:val="24"/>
          <w:lang w:val="en-US"/>
        </w:rPr>
        <w:t>Competing Interests</w:t>
      </w:r>
    </w:p>
    <w:p w14:paraId="25EC4E8F" w14:textId="5F9874AF" w:rsidR="007325B7" w:rsidRDefault="007325B7" w:rsidP="00CC3FD3">
      <w:pPr>
        <w:pStyle w:val="NoSpacing"/>
        <w:spacing w:line="360" w:lineRule="auto"/>
        <w:rPr>
          <w:rFonts w:cs="Times New Roman"/>
          <w:b/>
          <w:sz w:val="24"/>
          <w:szCs w:val="24"/>
          <w:lang w:val="en-US"/>
        </w:rPr>
      </w:pPr>
      <w:r w:rsidRPr="00594FDB">
        <w:rPr>
          <w:sz w:val="24"/>
          <w:szCs w:val="24"/>
          <w:lang w:val="en-US"/>
        </w:rPr>
        <w:t>H</w:t>
      </w:r>
      <w:r>
        <w:rPr>
          <w:sz w:val="24"/>
          <w:szCs w:val="24"/>
          <w:lang w:val="en-US"/>
        </w:rPr>
        <w:t xml:space="preserve"> </w:t>
      </w:r>
      <w:r w:rsidRPr="00594FDB">
        <w:rPr>
          <w:sz w:val="24"/>
          <w:szCs w:val="24"/>
          <w:lang w:val="en-US"/>
        </w:rPr>
        <w:t>Johansson, K</w:t>
      </w:r>
      <w:r>
        <w:rPr>
          <w:sz w:val="24"/>
          <w:szCs w:val="24"/>
          <w:lang w:val="en-US"/>
        </w:rPr>
        <w:t xml:space="preserve"> </w:t>
      </w:r>
      <w:r w:rsidRPr="00594FDB">
        <w:rPr>
          <w:sz w:val="24"/>
          <w:szCs w:val="24"/>
          <w:lang w:val="en-US"/>
        </w:rPr>
        <w:t xml:space="preserve">Siggeirsdóttir, </w:t>
      </w:r>
      <w:r>
        <w:rPr>
          <w:sz w:val="24"/>
          <w:szCs w:val="24"/>
          <w:lang w:val="en-US"/>
        </w:rPr>
        <w:t xml:space="preserve">NC </w:t>
      </w:r>
      <w:r w:rsidRPr="00594FDB">
        <w:rPr>
          <w:sz w:val="24"/>
          <w:szCs w:val="24"/>
          <w:lang w:val="en-US"/>
        </w:rPr>
        <w:t xml:space="preserve">Harvey, </w:t>
      </w:r>
      <w:r>
        <w:rPr>
          <w:sz w:val="24"/>
          <w:szCs w:val="24"/>
          <w:lang w:val="en-US"/>
        </w:rPr>
        <w:t xml:space="preserve">A </w:t>
      </w:r>
      <w:r w:rsidRPr="00594FDB">
        <w:rPr>
          <w:sz w:val="24"/>
          <w:szCs w:val="24"/>
          <w:lang w:val="en-US"/>
        </w:rPr>
        <w:t xml:space="preserve">Odén, </w:t>
      </w:r>
      <w:r>
        <w:rPr>
          <w:sz w:val="24"/>
          <w:szCs w:val="24"/>
          <w:lang w:val="en-US"/>
        </w:rPr>
        <w:t xml:space="preserve">V </w:t>
      </w:r>
      <w:r w:rsidRPr="00594FDB">
        <w:rPr>
          <w:sz w:val="24"/>
          <w:szCs w:val="24"/>
          <w:lang w:val="en-US"/>
        </w:rPr>
        <w:t xml:space="preserve">Gudnason, </w:t>
      </w:r>
      <w:r>
        <w:rPr>
          <w:sz w:val="24"/>
          <w:szCs w:val="24"/>
          <w:lang w:val="en-US"/>
        </w:rPr>
        <w:t xml:space="preserve"> E </w:t>
      </w:r>
      <w:r w:rsidRPr="00594FDB">
        <w:rPr>
          <w:sz w:val="24"/>
          <w:szCs w:val="24"/>
          <w:lang w:val="en-US"/>
        </w:rPr>
        <w:t>McCloskey, G Sigurdsson</w:t>
      </w:r>
      <w:r>
        <w:rPr>
          <w:sz w:val="24"/>
          <w:szCs w:val="24"/>
          <w:vertAlign w:val="superscript"/>
          <w:lang w:val="en-US"/>
        </w:rPr>
        <w:t xml:space="preserve"> </w:t>
      </w:r>
      <w:r>
        <w:rPr>
          <w:sz w:val="24"/>
          <w:szCs w:val="24"/>
          <w:lang w:val="en-US"/>
        </w:rPr>
        <w:t>and JA</w:t>
      </w:r>
      <w:r w:rsidRPr="00594FDB">
        <w:rPr>
          <w:sz w:val="24"/>
          <w:szCs w:val="24"/>
          <w:lang w:val="en-US"/>
        </w:rPr>
        <w:t xml:space="preserve"> Kanis</w:t>
      </w:r>
      <w:r>
        <w:rPr>
          <w:sz w:val="24"/>
          <w:szCs w:val="24"/>
          <w:lang w:val="en-US"/>
        </w:rPr>
        <w:t xml:space="preserve"> declare no competing interests with regard to the present study.</w:t>
      </w:r>
    </w:p>
    <w:p w14:paraId="40D854D0" w14:textId="77777777" w:rsidR="00CC3FD3" w:rsidRDefault="00CC3FD3" w:rsidP="00CC3FD3">
      <w:pPr>
        <w:pStyle w:val="NoSpacing"/>
        <w:spacing w:line="360" w:lineRule="auto"/>
        <w:rPr>
          <w:rFonts w:cs="Times New Roman"/>
          <w:b/>
          <w:sz w:val="24"/>
          <w:szCs w:val="24"/>
          <w:lang w:val="en-US"/>
        </w:rPr>
      </w:pPr>
    </w:p>
    <w:p w14:paraId="463A95EA" w14:textId="1C6B2BF8" w:rsidR="00CC3FD3" w:rsidRPr="00CC3FD3" w:rsidRDefault="00CC3FD3" w:rsidP="00CC3FD3">
      <w:pPr>
        <w:pStyle w:val="NoSpacing"/>
        <w:spacing w:line="360" w:lineRule="auto"/>
        <w:rPr>
          <w:rFonts w:cs="Times New Roman"/>
          <w:b/>
          <w:sz w:val="24"/>
          <w:szCs w:val="24"/>
          <w:lang w:val="en-US"/>
        </w:rPr>
      </w:pPr>
      <w:r>
        <w:rPr>
          <w:rFonts w:cs="Times New Roman"/>
          <w:b/>
          <w:sz w:val="24"/>
          <w:szCs w:val="24"/>
          <w:lang w:val="en-US"/>
        </w:rPr>
        <w:t>Acknowledgements</w:t>
      </w:r>
    </w:p>
    <w:p w14:paraId="15D00DD7" w14:textId="29089FD1" w:rsidR="00CC3FD3" w:rsidRDefault="00CC3FD3" w:rsidP="00CC3FD3">
      <w:pPr>
        <w:pStyle w:val="NoSpacing"/>
        <w:spacing w:line="360" w:lineRule="auto"/>
        <w:rPr>
          <w:rFonts w:cs="Times New Roman"/>
          <w:sz w:val="24"/>
          <w:szCs w:val="24"/>
          <w:lang w:val="en-GB"/>
        </w:rPr>
      </w:pPr>
      <w:r w:rsidRPr="00CC3FD3">
        <w:rPr>
          <w:sz w:val="24"/>
          <w:szCs w:val="24"/>
          <w:lang w:val="en-GB"/>
        </w:rPr>
        <w:t xml:space="preserve">We thank the participants in the Reykjavik Study </w:t>
      </w:r>
      <w:r w:rsidRPr="00CC3FD3">
        <w:rPr>
          <w:rFonts w:cs="Times New Roman"/>
          <w:sz w:val="24"/>
          <w:szCs w:val="24"/>
          <w:lang w:val="en-GB"/>
        </w:rPr>
        <w:t>for their valuable contribution.</w:t>
      </w:r>
    </w:p>
    <w:p w14:paraId="1DF8D17B" w14:textId="77777777" w:rsidR="00CC3FD3" w:rsidRDefault="00CC3FD3" w:rsidP="00CC3FD3">
      <w:pPr>
        <w:pStyle w:val="NoSpacing"/>
        <w:spacing w:line="360" w:lineRule="auto"/>
        <w:rPr>
          <w:rFonts w:cs="Times New Roman"/>
          <w:sz w:val="24"/>
          <w:szCs w:val="24"/>
          <w:lang w:val="en-GB"/>
        </w:rPr>
      </w:pPr>
    </w:p>
    <w:p w14:paraId="6D892DA7" w14:textId="42A954EE" w:rsidR="00CC3FD3" w:rsidRPr="00CC3FD3" w:rsidRDefault="00CC3FD3" w:rsidP="00CC3FD3">
      <w:pPr>
        <w:pStyle w:val="NoSpacing"/>
        <w:spacing w:line="360" w:lineRule="auto"/>
        <w:rPr>
          <w:rFonts w:cs="Times New Roman"/>
          <w:b/>
          <w:sz w:val="24"/>
          <w:szCs w:val="24"/>
          <w:lang w:val="en-US"/>
        </w:rPr>
      </w:pPr>
      <w:r w:rsidRPr="00CC3FD3">
        <w:rPr>
          <w:rFonts w:cs="Times New Roman"/>
          <w:b/>
          <w:sz w:val="24"/>
          <w:szCs w:val="24"/>
          <w:lang w:val="en-GB"/>
        </w:rPr>
        <w:t>References</w:t>
      </w:r>
    </w:p>
    <w:p w14:paraId="12EAFA1C" w14:textId="77777777" w:rsidR="00A84FC4" w:rsidRPr="004B2B62" w:rsidRDefault="00A84FC4" w:rsidP="004B2B62">
      <w:pPr>
        <w:spacing w:line="240" w:lineRule="auto"/>
        <w:ind w:left="567" w:hanging="567"/>
        <w:rPr>
          <w:sz w:val="20"/>
          <w:szCs w:val="20"/>
          <w:lang w:val="en-GB"/>
        </w:rPr>
      </w:pPr>
      <w:r w:rsidRPr="004B2B62">
        <w:rPr>
          <w:sz w:val="20"/>
          <w:szCs w:val="20"/>
          <w:lang w:val="en-GB"/>
        </w:rPr>
        <w:t>1.</w:t>
      </w:r>
      <w:r>
        <w:rPr>
          <w:lang w:val="en-GB"/>
        </w:rPr>
        <w:tab/>
      </w:r>
      <w:r w:rsidRPr="004B2B62">
        <w:rPr>
          <w:sz w:val="20"/>
          <w:szCs w:val="20"/>
          <w:lang w:val="en-GB"/>
        </w:rPr>
        <w:t>Johnell O, Kanis JA, Oden A et al (2004) Fracture risk following an osteoporotic fracture. Osteoporos Int 15: 175-179.</w:t>
      </w:r>
    </w:p>
    <w:p w14:paraId="5B89B852" w14:textId="77777777" w:rsidR="00A84FC4" w:rsidRDefault="00A84FC4" w:rsidP="00CC3FD3">
      <w:pPr>
        <w:spacing w:line="240" w:lineRule="auto"/>
        <w:ind w:left="567" w:hanging="567"/>
        <w:rPr>
          <w:sz w:val="20"/>
          <w:szCs w:val="20"/>
          <w:lang w:val="en-GB"/>
        </w:rPr>
      </w:pPr>
      <w:r>
        <w:rPr>
          <w:sz w:val="20"/>
          <w:szCs w:val="20"/>
          <w:lang w:val="en-GB"/>
        </w:rPr>
        <w:t>2.</w:t>
      </w:r>
      <w:r>
        <w:rPr>
          <w:sz w:val="20"/>
          <w:szCs w:val="20"/>
          <w:lang w:val="en-GB"/>
        </w:rPr>
        <w:tab/>
      </w:r>
      <w:r w:rsidRPr="00CC3FD3">
        <w:rPr>
          <w:sz w:val="20"/>
          <w:szCs w:val="20"/>
          <w:lang w:val="en-GB"/>
        </w:rPr>
        <w:t>Hansen L, Petersen KD, Eriksen SA</w:t>
      </w:r>
      <w:r>
        <w:rPr>
          <w:sz w:val="20"/>
          <w:szCs w:val="20"/>
          <w:lang w:val="en-GB"/>
        </w:rPr>
        <w:t xml:space="preserve"> et al (2015)</w:t>
      </w:r>
      <w:r w:rsidRPr="00CC3FD3">
        <w:rPr>
          <w:sz w:val="20"/>
          <w:szCs w:val="20"/>
          <w:lang w:val="en-GB"/>
        </w:rPr>
        <w:t xml:space="preserve"> Subsequent fracture rates in a nationwide population-based cohort study with a 10-year perspective. Osteoporos Int</w:t>
      </w:r>
      <w:r>
        <w:rPr>
          <w:sz w:val="20"/>
          <w:szCs w:val="20"/>
          <w:lang w:val="en-GB"/>
        </w:rPr>
        <w:t xml:space="preserve"> </w:t>
      </w:r>
      <w:r w:rsidRPr="00CC3FD3">
        <w:rPr>
          <w:sz w:val="20"/>
          <w:szCs w:val="20"/>
          <w:lang w:val="en-GB"/>
        </w:rPr>
        <w:t>26</w:t>
      </w:r>
      <w:r>
        <w:rPr>
          <w:sz w:val="20"/>
          <w:szCs w:val="20"/>
          <w:lang w:val="en-GB"/>
        </w:rPr>
        <w:t xml:space="preserve">: </w:t>
      </w:r>
      <w:r w:rsidRPr="00CC3FD3">
        <w:rPr>
          <w:sz w:val="20"/>
          <w:szCs w:val="20"/>
          <w:lang w:val="en-GB"/>
        </w:rPr>
        <w:t>513-9</w:t>
      </w:r>
    </w:p>
    <w:p w14:paraId="4D710BD0" w14:textId="77777777" w:rsidR="00A84FC4" w:rsidRDefault="00A84FC4" w:rsidP="00CC3FD3">
      <w:pPr>
        <w:spacing w:line="240" w:lineRule="auto"/>
        <w:ind w:left="567" w:hanging="567"/>
        <w:rPr>
          <w:sz w:val="20"/>
          <w:szCs w:val="20"/>
          <w:lang w:val="en-GB"/>
        </w:rPr>
      </w:pPr>
      <w:r>
        <w:rPr>
          <w:sz w:val="20"/>
          <w:szCs w:val="20"/>
          <w:lang w:val="en-GB"/>
        </w:rPr>
        <w:t>3.</w:t>
      </w:r>
      <w:r>
        <w:rPr>
          <w:sz w:val="20"/>
          <w:szCs w:val="20"/>
          <w:lang w:val="en-GB"/>
        </w:rPr>
        <w:tab/>
      </w:r>
      <w:r w:rsidRPr="003C1122">
        <w:rPr>
          <w:sz w:val="20"/>
          <w:szCs w:val="20"/>
          <w:lang w:val="en-GB"/>
        </w:rPr>
        <w:t>Kanis JA, Johnell O, De Laet C</w:t>
      </w:r>
      <w:r>
        <w:rPr>
          <w:sz w:val="20"/>
          <w:szCs w:val="20"/>
          <w:lang w:val="en-GB"/>
        </w:rPr>
        <w:t xml:space="preserve"> et al</w:t>
      </w:r>
      <w:r w:rsidRPr="003C1122">
        <w:rPr>
          <w:sz w:val="20"/>
          <w:szCs w:val="20"/>
          <w:lang w:val="en-GB"/>
        </w:rPr>
        <w:t xml:space="preserve"> (2004) A meta-analysis of previous fracture and subsequent fracture risk. Bone; 35: 375-382</w:t>
      </w:r>
    </w:p>
    <w:p w14:paraId="04DF053B" w14:textId="77777777" w:rsidR="00A84FC4" w:rsidRDefault="00A84FC4" w:rsidP="00CC3FD3">
      <w:pPr>
        <w:spacing w:line="240" w:lineRule="auto"/>
        <w:ind w:left="567" w:hanging="567"/>
        <w:rPr>
          <w:sz w:val="20"/>
          <w:szCs w:val="20"/>
          <w:lang w:val="en-GB"/>
        </w:rPr>
      </w:pPr>
      <w:r>
        <w:rPr>
          <w:sz w:val="20"/>
          <w:szCs w:val="20"/>
          <w:lang w:val="en-GB"/>
        </w:rPr>
        <w:t>4.</w:t>
      </w:r>
      <w:r>
        <w:rPr>
          <w:sz w:val="20"/>
          <w:szCs w:val="20"/>
          <w:lang w:val="en-GB"/>
        </w:rPr>
        <w:tab/>
      </w:r>
      <w:r w:rsidRPr="004B5ADF">
        <w:rPr>
          <w:sz w:val="20"/>
          <w:szCs w:val="20"/>
          <w:lang w:val="en-GB"/>
        </w:rPr>
        <w:t>Haentjens P, Johnell O, Kanis JA</w:t>
      </w:r>
      <w:r>
        <w:rPr>
          <w:sz w:val="20"/>
          <w:szCs w:val="20"/>
          <w:lang w:val="en-GB"/>
        </w:rPr>
        <w:t xml:space="preserve"> et al</w:t>
      </w:r>
      <w:r w:rsidRPr="004B5ADF">
        <w:rPr>
          <w:sz w:val="20"/>
          <w:szCs w:val="20"/>
          <w:lang w:val="en-GB"/>
        </w:rPr>
        <w:t xml:space="preserve"> (2004) Gender-related differences in short and long-term absolute risk of hip fracture after Colles’ or spine fracture: Colles’ fracture as an early and sensitive marker of skeletal fragility in men. J Bone Miner Res 19: 1933-1944</w:t>
      </w:r>
    </w:p>
    <w:p w14:paraId="1F701832" w14:textId="77777777" w:rsidR="005E2B05" w:rsidRDefault="00A84FC4" w:rsidP="00CC3FD3">
      <w:pPr>
        <w:spacing w:line="240" w:lineRule="auto"/>
        <w:ind w:left="567" w:hanging="567"/>
        <w:rPr>
          <w:sz w:val="20"/>
          <w:szCs w:val="20"/>
          <w:lang w:val="en-GB"/>
        </w:rPr>
      </w:pPr>
      <w:r>
        <w:rPr>
          <w:sz w:val="20"/>
          <w:szCs w:val="20"/>
          <w:lang w:val="en-GB"/>
        </w:rPr>
        <w:t>5.</w:t>
      </w:r>
      <w:r>
        <w:rPr>
          <w:sz w:val="20"/>
          <w:szCs w:val="20"/>
          <w:lang w:val="en-GB"/>
        </w:rPr>
        <w:tab/>
      </w:r>
      <w:r w:rsidRPr="004B5ADF">
        <w:rPr>
          <w:sz w:val="20"/>
          <w:szCs w:val="20"/>
          <w:lang w:val="en-GB"/>
        </w:rPr>
        <w:t>Klotzbuecher CM, Ross PD, Landsman PB, Abbott TA, 3rd, Berger M (2000) Patients with prior fractures have an increased risk of future fractures: a summary of the literature and statistical synthesis. J Bone Miner Res 15:</w:t>
      </w:r>
      <w:r>
        <w:rPr>
          <w:sz w:val="20"/>
          <w:szCs w:val="20"/>
          <w:lang w:val="en-GB"/>
        </w:rPr>
        <w:t xml:space="preserve"> </w:t>
      </w:r>
      <w:r w:rsidRPr="004B5ADF">
        <w:rPr>
          <w:sz w:val="20"/>
          <w:szCs w:val="20"/>
          <w:lang w:val="en-GB"/>
        </w:rPr>
        <w:t>721-739.</w:t>
      </w:r>
    </w:p>
    <w:p w14:paraId="171DB495" w14:textId="4C6BE3D7" w:rsidR="005E2B05" w:rsidRDefault="00286C59" w:rsidP="005E2B05">
      <w:pPr>
        <w:spacing w:line="240" w:lineRule="auto"/>
        <w:ind w:left="567" w:hanging="567"/>
        <w:rPr>
          <w:sz w:val="20"/>
          <w:szCs w:val="20"/>
          <w:lang w:val="en-GB"/>
        </w:rPr>
      </w:pPr>
      <w:r>
        <w:rPr>
          <w:sz w:val="20"/>
          <w:szCs w:val="20"/>
          <w:lang w:val="en-GB"/>
        </w:rPr>
        <w:t>6</w:t>
      </w:r>
      <w:r w:rsidR="005E2B05" w:rsidRPr="005E2B05">
        <w:rPr>
          <w:sz w:val="20"/>
          <w:szCs w:val="20"/>
          <w:lang w:val="en-GB"/>
        </w:rPr>
        <w:t>.</w:t>
      </w:r>
      <w:r w:rsidR="005E2B05" w:rsidRPr="005E2B05">
        <w:rPr>
          <w:sz w:val="20"/>
          <w:szCs w:val="20"/>
          <w:lang w:val="en-GB"/>
        </w:rPr>
        <w:tab/>
        <w:t>Johnell O, Oden A, Caulin F, Kanis JA (2001) Acute and long term increase in fracture risk after hospitalization for vertebral fracture. Osteoporos Int 12:207–214</w:t>
      </w:r>
    </w:p>
    <w:p w14:paraId="0657B871" w14:textId="0CCA5FCF" w:rsidR="005E2B05" w:rsidRPr="005E2B05" w:rsidRDefault="00286C59" w:rsidP="005E2B05">
      <w:pPr>
        <w:spacing w:line="240" w:lineRule="auto"/>
        <w:ind w:left="567" w:hanging="567"/>
        <w:rPr>
          <w:sz w:val="20"/>
          <w:szCs w:val="20"/>
          <w:lang w:val="en-GB"/>
        </w:rPr>
      </w:pPr>
      <w:r>
        <w:rPr>
          <w:sz w:val="20"/>
          <w:szCs w:val="20"/>
          <w:lang w:val="en-GB"/>
        </w:rPr>
        <w:t>7.</w:t>
      </w:r>
      <w:r>
        <w:rPr>
          <w:sz w:val="20"/>
          <w:szCs w:val="20"/>
          <w:lang w:val="en-GB"/>
        </w:rPr>
        <w:tab/>
      </w:r>
      <w:r w:rsidR="005E2B05" w:rsidRPr="005E2B05">
        <w:rPr>
          <w:sz w:val="20"/>
          <w:szCs w:val="20"/>
          <w:lang w:val="en-GB"/>
        </w:rPr>
        <w:t>Johnell O, Kanis JA, Oden A, et al (2004) Fracture risk following an osteoporotic fracture. Osteoporos Int. 15:175–179.</w:t>
      </w:r>
    </w:p>
    <w:p w14:paraId="49066CF2" w14:textId="499C8828" w:rsidR="005E2B05" w:rsidRPr="005E2B05" w:rsidRDefault="00286C59" w:rsidP="005E2B05">
      <w:pPr>
        <w:spacing w:line="240" w:lineRule="auto"/>
        <w:ind w:left="567" w:hanging="567"/>
        <w:rPr>
          <w:sz w:val="20"/>
          <w:szCs w:val="20"/>
          <w:lang w:val="en-GB"/>
        </w:rPr>
      </w:pPr>
      <w:r>
        <w:rPr>
          <w:sz w:val="20"/>
          <w:szCs w:val="20"/>
          <w:lang w:val="en-US"/>
        </w:rPr>
        <w:t>8.</w:t>
      </w:r>
      <w:r>
        <w:rPr>
          <w:sz w:val="20"/>
          <w:szCs w:val="20"/>
          <w:lang w:val="en-US"/>
        </w:rPr>
        <w:tab/>
      </w:r>
      <w:r w:rsidR="005E2B05" w:rsidRPr="005E2B05">
        <w:rPr>
          <w:sz w:val="20"/>
          <w:szCs w:val="20"/>
          <w:lang w:val="en-US"/>
        </w:rPr>
        <w:t>Giangregorio LM, Leslie WD (2010) Manitoba Bone Density Program. Time since prior fracture is a risk modifier for 10-year osteoporotic fractures. J Bone Miner Res 25:1400-5.</w:t>
      </w:r>
    </w:p>
    <w:p w14:paraId="16FFFBDF" w14:textId="0ACC3D66" w:rsidR="005E2B05" w:rsidRPr="005E2B05" w:rsidRDefault="00286C59" w:rsidP="005E2B05">
      <w:pPr>
        <w:spacing w:line="240" w:lineRule="auto"/>
        <w:ind w:left="567" w:hanging="567"/>
        <w:rPr>
          <w:sz w:val="20"/>
          <w:szCs w:val="20"/>
          <w:lang w:val="en-GB"/>
        </w:rPr>
      </w:pPr>
      <w:r>
        <w:rPr>
          <w:sz w:val="20"/>
          <w:szCs w:val="20"/>
          <w:lang w:val="en-GB"/>
        </w:rPr>
        <w:t>9.</w:t>
      </w:r>
      <w:r>
        <w:rPr>
          <w:sz w:val="20"/>
          <w:szCs w:val="20"/>
          <w:lang w:val="en-GB"/>
        </w:rPr>
        <w:tab/>
      </w:r>
      <w:r w:rsidR="005E2B05" w:rsidRPr="005E2B05">
        <w:rPr>
          <w:sz w:val="20"/>
          <w:szCs w:val="20"/>
          <w:lang w:val="en-GB"/>
        </w:rPr>
        <w:t>Dretakis KE, Dretakis EK, Papakitsou EF, Psarakis S, Steriopoulos K (1998) Possible predisposing factors for the second hip fracture. Calcif Tissue Int 62:366–369.</w:t>
      </w:r>
    </w:p>
    <w:p w14:paraId="2418496C" w14:textId="45C49783" w:rsidR="005E2B05" w:rsidRDefault="00286C59" w:rsidP="005E2B05">
      <w:pPr>
        <w:spacing w:line="240" w:lineRule="auto"/>
        <w:ind w:left="567" w:hanging="567"/>
        <w:rPr>
          <w:sz w:val="20"/>
          <w:szCs w:val="20"/>
          <w:lang w:val="en-GB"/>
        </w:rPr>
      </w:pPr>
      <w:r>
        <w:rPr>
          <w:sz w:val="20"/>
          <w:szCs w:val="20"/>
          <w:lang w:val="en-GB"/>
        </w:rPr>
        <w:t>10.</w:t>
      </w:r>
      <w:r>
        <w:rPr>
          <w:sz w:val="20"/>
          <w:szCs w:val="20"/>
          <w:lang w:val="en-GB"/>
        </w:rPr>
        <w:tab/>
      </w:r>
      <w:r w:rsidR="005E2B05" w:rsidRPr="005E2B05">
        <w:rPr>
          <w:sz w:val="20"/>
          <w:szCs w:val="20"/>
          <w:lang w:val="en-GB"/>
        </w:rPr>
        <w:t>Nymark T, Lauritsen JM, Ovesen O, Rock ND, Jeune B (2006) Short timeframe from first to second hip fracture in the Funen County Hip Fracture Study. Osteoporos Int 17:1353–1357.</w:t>
      </w:r>
    </w:p>
    <w:p w14:paraId="27DFDDAC" w14:textId="411F2DB9" w:rsidR="00290D87" w:rsidRPr="00290D87" w:rsidRDefault="00290D87" w:rsidP="00290D87">
      <w:pPr>
        <w:spacing w:line="240" w:lineRule="auto"/>
        <w:ind w:left="567" w:hanging="567"/>
        <w:rPr>
          <w:sz w:val="20"/>
          <w:szCs w:val="20"/>
          <w:lang w:val="en-US"/>
        </w:rPr>
      </w:pPr>
      <w:r w:rsidRPr="00290D87">
        <w:rPr>
          <w:sz w:val="20"/>
          <w:szCs w:val="20"/>
          <w:lang w:val="en-GB"/>
        </w:rPr>
        <w:lastRenderedPageBreak/>
        <w:t>1</w:t>
      </w:r>
      <w:r w:rsidR="00286C59">
        <w:rPr>
          <w:sz w:val="20"/>
          <w:szCs w:val="20"/>
          <w:lang w:val="en-GB"/>
        </w:rPr>
        <w:t>1</w:t>
      </w:r>
      <w:r w:rsidRPr="00290D87">
        <w:rPr>
          <w:sz w:val="20"/>
          <w:szCs w:val="20"/>
          <w:lang w:val="en-GB"/>
        </w:rPr>
        <w:t>.</w:t>
      </w:r>
      <w:r w:rsidRPr="00290D87">
        <w:rPr>
          <w:sz w:val="20"/>
          <w:szCs w:val="20"/>
          <w:lang w:val="en-GB"/>
        </w:rPr>
        <w:tab/>
        <w:t>Lindsay R, Silverman SL, Cooper C et al (2001) Risk for new vertebral fracture in the year following a fracture. JAMA 285:320–323</w:t>
      </w:r>
    </w:p>
    <w:p w14:paraId="1F929A75" w14:textId="2FDC684F" w:rsidR="00290D87" w:rsidRPr="00290D87" w:rsidRDefault="00290D87" w:rsidP="00290D87">
      <w:pPr>
        <w:spacing w:line="240" w:lineRule="auto"/>
        <w:ind w:left="567" w:hanging="567"/>
        <w:rPr>
          <w:sz w:val="20"/>
          <w:szCs w:val="20"/>
          <w:lang w:val="en-GB"/>
        </w:rPr>
      </w:pPr>
      <w:r w:rsidRPr="00290D87">
        <w:rPr>
          <w:sz w:val="20"/>
          <w:szCs w:val="20"/>
          <w:lang w:val="en-GB"/>
        </w:rPr>
        <w:t>1</w:t>
      </w:r>
      <w:r w:rsidR="003319E8">
        <w:rPr>
          <w:sz w:val="20"/>
          <w:szCs w:val="20"/>
          <w:lang w:val="en-GB"/>
        </w:rPr>
        <w:t>2</w:t>
      </w:r>
      <w:r w:rsidRPr="00290D87">
        <w:rPr>
          <w:sz w:val="20"/>
          <w:szCs w:val="20"/>
          <w:lang w:val="en-GB"/>
        </w:rPr>
        <w:t>.</w:t>
      </w:r>
      <w:r w:rsidRPr="00290D87">
        <w:rPr>
          <w:sz w:val="20"/>
          <w:szCs w:val="20"/>
          <w:lang w:val="en-GB"/>
        </w:rPr>
        <w:tab/>
        <w:t>van Geel TA, van Helden S, Geusens PP, Winkens B, Dinant GJ (2009) Clinical subsequent fractures cluster in time after first fractures. Ann Rheum Dis 68: 99-102.</w:t>
      </w:r>
    </w:p>
    <w:p w14:paraId="580E998B" w14:textId="0EDBC49E" w:rsidR="00A84FC4" w:rsidRDefault="003319E8" w:rsidP="00CC3FD3">
      <w:pPr>
        <w:spacing w:line="240" w:lineRule="auto"/>
        <w:ind w:left="567" w:hanging="567"/>
        <w:rPr>
          <w:sz w:val="20"/>
          <w:szCs w:val="20"/>
          <w:lang w:val="en-GB"/>
        </w:rPr>
      </w:pPr>
      <w:r>
        <w:rPr>
          <w:sz w:val="20"/>
          <w:szCs w:val="20"/>
          <w:lang w:val="en-GB"/>
        </w:rPr>
        <w:t>13</w:t>
      </w:r>
      <w:r w:rsidR="00A84FC4">
        <w:rPr>
          <w:sz w:val="20"/>
          <w:szCs w:val="20"/>
          <w:lang w:val="en-GB"/>
        </w:rPr>
        <w:t>.</w:t>
      </w:r>
      <w:r w:rsidR="00A84FC4">
        <w:rPr>
          <w:sz w:val="20"/>
          <w:szCs w:val="20"/>
          <w:lang w:val="en-GB"/>
        </w:rPr>
        <w:tab/>
      </w:r>
      <w:r w:rsidR="00A84FC4" w:rsidRPr="00CC3FD3">
        <w:rPr>
          <w:sz w:val="20"/>
          <w:szCs w:val="20"/>
          <w:lang w:val="en-GB"/>
        </w:rPr>
        <w:t>Kanis JA, Oden A, Johnell O, Jonsson B, de Laet C, Dawson A (2001) The burden of osteoporotic fractures: a method for setting</w:t>
      </w:r>
      <w:r w:rsidR="00A84FC4">
        <w:rPr>
          <w:sz w:val="20"/>
          <w:szCs w:val="20"/>
          <w:lang w:val="en-GB"/>
        </w:rPr>
        <w:t xml:space="preserve"> </w:t>
      </w:r>
      <w:r w:rsidR="00A84FC4" w:rsidRPr="00CC3FD3">
        <w:rPr>
          <w:sz w:val="20"/>
          <w:szCs w:val="20"/>
          <w:lang w:val="en-GB"/>
        </w:rPr>
        <w:t>intervention thresholds. Osteoporos Int 12:417–427</w:t>
      </w:r>
    </w:p>
    <w:p w14:paraId="43253BD8" w14:textId="0BA7E15C" w:rsidR="00A84FC4" w:rsidRDefault="003319E8" w:rsidP="00CC3FD3">
      <w:pPr>
        <w:spacing w:line="240" w:lineRule="auto"/>
        <w:ind w:left="567" w:hanging="567"/>
        <w:rPr>
          <w:sz w:val="20"/>
          <w:szCs w:val="20"/>
          <w:lang w:val="en-GB"/>
        </w:rPr>
      </w:pPr>
      <w:r>
        <w:rPr>
          <w:sz w:val="20"/>
          <w:szCs w:val="20"/>
          <w:lang w:val="en-GB"/>
        </w:rPr>
        <w:t>14</w:t>
      </w:r>
      <w:r w:rsidR="00A84FC4">
        <w:rPr>
          <w:sz w:val="20"/>
          <w:szCs w:val="20"/>
          <w:lang w:val="en-GB"/>
        </w:rPr>
        <w:t>.</w:t>
      </w:r>
      <w:r w:rsidR="00A84FC4">
        <w:rPr>
          <w:sz w:val="20"/>
          <w:szCs w:val="20"/>
          <w:lang w:val="en-GB"/>
        </w:rPr>
        <w:tab/>
      </w:r>
      <w:r w:rsidR="00A84FC4" w:rsidRPr="005D05AA">
        <w:rPr>
          <w:sz w:val="20"/>
          <w:szCs w:val="20"/>
          <w:lang w:val="en-GB"/>
        </w:rPr>
        <w:t xml:space="preserve">Hernlund E, Svedbom A, Ivergård </w:t>
      </w:r>
      <w:r w:rsidR="00A84FC4">
        <w:rPr>
          <w:sz w:val="20"/>
          <w:szCs w:val="20"/>
          <w:lang w:val="en-GB"/>
        </w:rPr>
        <w:t xml:space="preserve">et al </w:t>
      </w:r>
      <w:r w:rsidR="00A84FC4" w:rsidRPr="005D05AA">
        <w:rPr>
          <w:sz w:val="20"/>
          <w:szCs w:val="20"/>
          <w:lang w:val="en-GB"/>
        </w:rPr>
        <w:t>(2013) Osteoporosis in the European Union: Medical Management, Epidemiology and Economic Burden. A report prepared in collaboration with the International Osteoporosis Foundation (IOF) and the European Federation of Pharmaceutical Industry Associations (EFPIA). Arch Osteoporos 8:136.</w:t>
      </w:r>
    </w:p>
    <w:p w14:paraId="067598DA" w14:textId="306465A3" w:rsidR="00A84FC4" w:rsidRDefault="003319E8" w:rsidP="00CC3FD3">
      <w:pPr>
        <w:spacing w:line="240" w:lineRule="auto"/>
        <w:ind w:left="567" w:hanging="567"/>
        <w:rPr>
          <w:sz w:val="20"/>
          <w:szCs w:val="20"/>
        </w:rPr>
      </w:pPr>
      <w:r>
        <w:rPr>
          <w:sz w:val="20"/>
          <w:szCs w:val="20"/>
        </w:rPr>
        <w:t>15</w:t>
      </w:r>
      <w:r w:rsidR="00A84FC4">
        <w:rPr>
          <w:sz w:val="20"/>
          <w:szCs w:val="20"/>
        </w:rPr>
        <w:t>.</w:t>
      </w:r>
      <w:r w:rsidR="00A84FC4">
        <w:rPr>
          <w:sz w:val="20"/>
          <w:szCs w:val="20"/>
        </w:rPr>
        <w:tab/>
      </w:r>
      <w:r w:rsidR="00A84FC4" w:rsidRPr="00710294">
        <w:rPr>
          <w:sz w:val="20"/>
          <w:szCs w:val="20"/>
        </w:rPr>
        <w:t>Bjornsson G, Bjornsson OJ, Davidsson D</w:t>
      </w:r>
      <w:r w:rsidR="00A84FC4" w:rsidRPr="00710294">
        <w:rPr>
          <w:sz w:val="20"/>
          <w:szCs w:val="20"/>
          <w:lang w:val="en-GB"/>
        </w:rPr>
        <w:t xml:space="preserve"> </w:t>
      </w:r>
      <w:r w:rsidR="00A84FC4">
        <w:rPr>
          <w:sz w:val="20"/>
          <w:szCs w:val="20"/>
          <w:lang w:val="en-GB"/>
        </w:rPr>
        <w:t>et al</w:t>
      </w:r>
      <w:r w:rsidR="00A84FC4" w:rsidRPr="00CC3FD3">
        <w:rPr>
          <w:sz w:val="20"/>
          <w:szCs w:val="20"/>
          <w:lang w:val="en-GB"/>
        </w:rPr>
        <w:t xml:space="preserve"> (1982) </w:t>
      </w:r>
      <w:r w:rsidR="00A84FC4" w:rsidRPr="00710294">
        <w:rPr>
          <w:sz w:val="20"/>
          <w:szCs w:val="20"/>
        </w:rPr>
        <w:t xml:space="preserve">Report abc XXIV. Health Survey in the Reykjavik Area. – Women. Stages I-III, 1968–1969, 1971-1972 and 1976-1978. Participants, Invitation, Response etc. The Icelandic Heart Association, Reykjavík </w:t>
      </w:r>
    </w:p>
    <w:p w14:paraId="68758C54" w14:textId="4356702D" w:rsidR="00A84FC4" w:rsidRPr="00CC3FD3" w:rsidRDefault="003319E8" w:rsidP="00CC3FD3">
      <w:pPr>
        <w:spacing w:line="240" w:lineRule="auto"/>
        <w:ind w:left="567" w:hanging="567"/>
        <w:rPr>
          <w:sz w:val="20"/>
          <w:szCs w:val="20"/>
          <w:lang w:val="en-GB"/>
        </w:rPr>
      </w:pPr>
      <w:r>
        <w:rPr>
          <w:sz w:val="20"/>
          <w:szCs w:val="20"/>
          <w:lang w:val="en-GB"/>
        </w:rPr>
        <w:t>16</w:t>
      </w:r>
      <w:r w:rsidR="00A84FC4">
        <w:rPr>
          <w:sz w:val="20"/>
          <w:szCs w:val="20"/>
          <w:lang w:val="en-GB"/>
        </w:rPr>
        <w:t>.</w:t>
      </w:r>
      <w:r w:rsidR="00A84FC4">
        <w:rPr>
          <w:sz w:val="20"/>
          <w:szCs w:val="20"/>
          <w:lang w:val="en-GB"/>
        </w:rPr>
        <w:tab/>
      </w:r>
      <w:r w:rsidR="00A84FC4" w:rsidRPr="00CC3FD3">
        <w:rPr>
          <w:sz w:val="20"/>
          <w:szCs w:val="20"/>
          <w:lang w:val="en-GB"/>
        </w:rPr>
        <w:t>Bjornsson OJ, Davidsson. D., Olafsson H</w:t>
      </w:r>
      <w:r w:rsidR="00A84FC4">
        <w:rPr>
          <w:sz w:val="20"/>
          <w:szCs w:val="20"/>
          <w:lang w:val="en-GB"/>
        </w:rPr>
        <w:t xml:space="preserve"> et al</w:t>
      </w:r>
      <w:r w:rsidR="00A84FC4" w:rsidRPr="00CC3FD3">
        <w:rPr>
          <w:sz w:val="20"/>
          <w:szCs w:val="20"/>
          <w:lang w:val="en-GB"/>
        </w:rPr>
        <w:t xml:space="preserve"> (1979) Report XVIII. Health Survey in the</w:t>
      </w:r>
      <w:r w:rsidR="00A84FC4">
        <w:rPr>
          <w:sz w:val="20"/>
          <w:szCs w:val="20"/>
          <w:lang w:val="en-GB"/>
        </w:rPr>
        <w:t xml:space="preserve"> </w:t>
      </w:r>
      <w:r w:rsidR="00A84FC4" w:rsidRPr="00CC3FD3">
        <w:rPr>
          <w:sz w:val="20"/>
          <w:szCs w:val="20"/>
          <w:lang w:val="en-GB"/>
        </w:rPr>
        <w:t>Reykjavik Area. — Men. Stages I–III, 1967–1968, 1970–1971 and</w:t>
      </w:r>
      <w:r w:rsidR="00A84FC4">
        <w:rPr>
          <w:sz w:val="20"/>
          <w:szCs w:val="20"/>
          <w:lang w:val="en-GB"/>
        </w:rPr>
        <w:t xml:space="preserve"> </w:t>
      </w:r>
      <w:r w:rsidR="00A84FC4" w:rsidRPr="00CC3FD3">
        <w:rPr>
          <w:sz w:val="20"/>
          <w:szCs w:val="20"/>
          <w:lang w:val="en-GB"/>
        </w:rPr>
        <w:t>1974–1975. Participants, Invitation, Response etc.</w:t>
      </w:r>
      <w:r w:rsidR="00A84FC4">
        <w:rPr>
          <w:sz w:val="20"/>
          <w:szCs w:val="20"/>
          <w:lang w:val="en-GB"/>
        </w:rPr>
        <w:t xml:space="preserve"> </w:t>
      </w:r>
      <w:r w:rsidR="00A84FC4" w:rsidRPr="00195DF2">
        <w:rPr>
          <w:sz w:val="20"/>
          <w:szCs w:val="20"/>
        </w:rPr>
        <w:t>The Icelandic Heart Association, Reykjavík</w:t>
      </w:r>
    </w:p>
    <w:p w14:paraId="00956802" w14:textId="604943B6" w:rsidR="00A84FC4" w:rsidRPr="00CC3FD3" w:rsidRDefault="00A84FC4" w:rsidP="00CC3FD3">
      <w:pPr>
        <w:spacing w:line="240" w:lineRule="auto"/>
        <w:ind w:left="567" w:hanging="567"/>
        <w:rPr>
          <w:sz w:val="20"/>
          <w:szCs w:val="20"/>
          <w:lang w:val="en-GB"/>
        </w:rPr>
      </w:pPr>
      <w:r>
        <w:rPr>
          <w:sz w:val="20"/>
          <w:szCs w:val="20"/>
          <w:lang w:val="en-GB"/>
        </w:rPr>
        <w:t>1</w:t>
      </w:r>
      <w:r w:rsidR="003319E8">
        <w:rPr>
          <w:sz w:val="20"/>
          <w:szCs w:val="20"/>
          <w:lang w:val="en-GB"/>
        </w:rPr>
        <w:t>7</w:t>
      </w:r>
      <w:r>
        <w:rPr>
          <w:sz w:val="20"/>
          <w:szCs w:val="20"/>
          <w:lang w:val="en-GB"/>
        </w:rPr>
        <w:t>.</w:t>
      </w:r>
      <w:r>
        <w:rPr>
          <w:sz w:val="20"/>
          <w:szCs w:val="20"/>
          <w:lang w:val="en-GB"/>
        </w:rPr>
        <w:tab/>
      </w:r>
      <w:r w:rsidRPr="004B5ADF">
        <w:rPr>
          <w:sz w:val="20"/>
          <w:szCs w:val="20"/>
          <w:lang w:val="en-GB"/>
        </w:rPr>
        <w:t>Siggeirsdottir K, Aspelund T, Sigurdsson G</w:t>
      </w:r>
      <w:r>
        <w:rPr>
          <w:sz w:val="20"/>
          <w:szCs w:val="20"/>
          <w:lang w:val="en-GB"/>
        </w:rPr>
        <w:t xml:space="preserve"> et al</w:t>
      </w:r>
      <w:r w:rsidRPr="004B5ADF">
        <w:rPr>
          <w:sz w:val="20"/>
          <w:szCs w:val="20"/>
          <w:lang w:val="en-GB"/>
        </w:rPr>
        <w:t xml:space="preserve"> (2007) Inaccuracy in self-report of fractures may underestimate association with health outcomes when compared with medical record based fracture registry. </w:t>
      </w:r>
      <w:r w:rsidRPr="00CC3FD3">
        <w:rPr>
          <w:sz w:val="20"/>
          <w:szCs w:val="20"/>
          <w:lang w:val="en-GB"/>
        </w:rPr>
        <w:t xml:space="preserve">Eur J Epidemiol 22: 631-639. </w:t>
      </w:r>
    </w:p>
    <w:p w14:paraId="7EC3C101" w14:textId="55257F8C" w:rsidR="00A84FC4" w:rsidRDefault="00A84FC4" w:rsidP="00CC3FD3">
      <w:pPr>
        <w:spacing w:line="240" w:lineRule="auto"/>
        <w:ind w:left="567" w:hanging="567"/>
        <w:rPr>
          <w:sz w:val="20"/>
          <w:szCs w:val="20"/>
          <w:lang w:val="en-GB"/>
        </w:rPr>
      </w:pPr>
      <w:r>
        <w:rPr>
          <w:sz w:val="20"/>
          <w:szCs w:val="20"/>
          <w:lang w:val="en-GB"/>
        </w:rPr>
        <w:t>1</w:t>
      </w:r>
      <w:r w:rsidR="003319E8">
        <w:rPr>
          <w:sz w:val="20"/>
          <w:szCs w:val="20"/>
          <w:lang w:val="en-GB"/>
        </w:rPr>
        <w:t>8</w:t>
      </w:r>
      <w:r>
        <w:rPr>
          <w:sz w:val="20"/>
          <w:szCs w:val="20"/>
          <w:lang w:val="en-GB"/>
        </w:rPr>
        <w:t>.</w:t>
      </w:r>
      <w:r>
        <w:rPr>
          <w:sz w:val="20"/>
          <w:szCs w:val="20"/>
          <w:lang w:val="en-GB"/>
        </w:rPr>
        <w:tab/>
      </w:r>
      <w:r w:rsidRPr="003C1122">
        <w:rPr>
          <w:sz w:val="20"/>
          <w:szCs w:val="20"/>
          <w:lang w:val="en-GB"/>
        </w:rPr>
        <w:t>Breslow NE, Day NE (1987) Statistical Methods in Cancer Research. IARC Scientific Publications No 32 Volume II:p 131-135</w:t>
      </w:r>
    </w:p>
    <w:p w14:paraId="36D050FB" w14:textId="59659E94" w:rsidR="00A84FC4" w:rsidRDefault="00A84FC4" w:rsidP="00CC3FD3">
      <w:pPr>
        <w:spacing w:line="240" w:lineRule="auto"/>
        <w:ind w:left="567" w:hanging="567"/>
        <w:rPr>
          <w:sz w:val="20"/>
          <w:szCs w:val="20"/>
          <w:lang w:val="en-GB"/>
        </w:rPr>
      </w:pPr>
      <w:r>
        <w:rPr>
          <w:sz w:val="20"/>
          <w:szCs w:val="20"/>
          <w:lang w:val="en-GB"/>
        </w:rPr>
        <w:t>1</w:t>
      </w:r>
      <w:r w:rsidR="003319E8">
        <w:rPr>
          <w:sz w:val="20"/>
          <w:szCs w:val="20"/>
          <w:lang w:val="en-GB"/>
        </w:rPr>
        <w:t>9</w:t>
      </w:r>
      <w:r>
        <w:rPr>
          <w:sz w:val="20"/>
          <w:szCs w:val="20"/>
          <w:lang w:val="en-GB"/>
        </w:rPr>
        <w:t>.</w:t>
      </w:r>
      <w:r>
        <w:rPr>
          <w:sz w:val="20"/>
          <w:szCs w:val="20"/>
          <w:lang w:val="en-GB"/>
        </w:rPr>
        <w:tab/>
      </w:r>
      <w:r w:rsidRPr="00CC3FD3">
        <w:rPr>
          <w:sz w:val="20"/>
          <w:szCs w:val="20"/>
          <w:lang w:val="en-GB"/>
        </w:rPr>
        <w:t>Ismail AA, Cockerill W, Cooper</w:t>
      </w:r>
      <w:r>
        <w:rPr>
          <w:sz w:val="20"/>
          <w:szCs w:val="20"/>
          <w:lang w:val="en-GB"/>
        </w:rPr>
        <w:t xml:space="preserve"> </w:t>
      </w:r>
      <w:r w:rsidRPr="00CC3FD3">
        <w:rPr>
          <w:sz w:val="20"/>
          <w:szCs w:val="20"/>
          <w:lang w:val="en-GB"/>
        </w:rPr>
        <w:t>C</w:t>
      </w:r>
      <w:r>
        <w:rPr>
          <w:sz w:val="20"/>
          <w:szCs w:val="20"/>
          <w:lang w:val="en-GB"/>
        </w:rPr>
        <w:t xml:space="preserve"> et al (2001)</w:t>
      </w:r>
      <w:r w:rsidRPr="00CC3FD3">
        <w:rPr>
          <w:sz w:val="20"/>
          <w:szCs w:val="20"/>
          <w:lang w:val="en-GB"/>
        </w:rPr>
        <w:t xml:space="preserve"> Prevalent vertebral deformity predicts incident hip though not distal forearm fracture: results from the European Prospective Osteoporosis Study. Osteoporos Int</w:t>
      </w:r>
      <w:r>
        <w:rPr>
          <w:sz w:val="20"/>
          <w:szCs w:val="20"/>
          <w:lang w:val="en-GB"/>
        </w:rPr>
        <w:t xml:space="preserve"> </w:t>
      </w:r>
      <w:r w:rsidRPr="00CC3FD3">
        <w:rPr>
          <w:sz w:val="20"/>
          <w:szCs w:val="20"/>
          <w:lang w:val="en-GB"/>
        </w:rPr>
        <w:t>12</w:t>
      </w:r>
      <w:r>
        <w:rPr>
          <w:sz w:val="20"/>
          <w:szCs w:val="20"/>
          <w:lang w:val="en-GB"/>
        </w:rPr>
        <w:t xml:space="preserve">: </w:t>
      </w:r>
      <w:r w:rsidRPr="00CC3FD3">
        <w:rPr>
          <w:sz w:val="20"/>
          <w:szCs w:val="20"/>
          <w:lang w:val="en-GB"/>
        </w:rPr>
        <w:t>85-90</w:t>
      </w:r>
    </w:p>
    <w:p w14:paraId="35B02991" w14:textId="4211D0B2" w:rsidR="00290D87" w:rsidRPr="00290D87" w:rsidRDefault="003319E8" w:rsidP="00290D87">
      <w:pPr>
        <w:spacing w:line="240" w:lineRule="auto"/>
        <w:ind w:left="567" w:hanging="567"/>
        <w:rPr>
          <w:sz w:val="20"/>
          <w:szCs w:val="20"/>
          <w:lang w:val="en-GB"/>
        </w:rPr>
      </w:pPr>
      <w:r>
        <w:rPr>
          <w:sz w:val="20"/>
          <w:szCs w:val="20"/>
          <w:lang w:val="en-GB"/>
        </w:rPr>
        <w:t>20</w:t>
      </w:r>
      <w:r w:rsidR="00290D87" w:rsidRPr="00290D87">
        <w:rPr>
          <w:sz w:val="20"/>
          <w:szCs w:val="20"/>
          <w:lang w:val="en-GB"/>
        </w:rPr>
        <w:t>.</w:t>
      </w:r>
      <w:r w:rsidR="00290D87" w:rsidRPr="00290D87">
        <w:rPr>
          <w:sz w:val="20"/>
          <w:szCs w:val="20"/>
          <w:lang w:val="en-GB"/>
        </w:rPr>
        <w:tab/>
        <w:t>Ryg J, Rejnmark L, Overgaard S, Brixen K, Vestergaard P (2009) Hip fracture patients at risk of second hip fracture: a nationwide population-based cohort study of 169,145 cases during 1977-2001. J Bone Miner Res 24: 1299-307</w:t>
      </w:r>
    </w:p>
    <w:p w14:paraId="3FAEF74E" w14:textId="2B103E29" w:rsidR="00290D87" w:rsidRDefault="003319E8" w:rsidP="00CC3FD3">
      <w:pPr>
        <w:spacing w:line="240" w:lineRule="auto"/>
        <w:ind w:left="567" w:hanging="567"/>
        <w:rPr>
          <w:sz w:val="20"/>
          <w:szCs w:val="20"/>
          <w:lang w:val="en-GB"/>
        </w:rPr>
      </w:pPr>
      <w:r>
        <w:rPr>
          <w:sz w:val="20"/>
          <w:szCs w:val="20"/>
          <w:lang w:val="en-GB"/>
        </w:rPr>
        <w:t>2</w:t>
      </w:r>
      <w:r w:rsidR="006667E9">
        <w:rPr>
          <w:sz w:val="20"/>
          <w:szCs w:val="20"/>
          <w:lang w:val="en-GB"/>
        </w:rPr>
        <w:t>1</w:t>
      </w:r>
      <w:r>
        <w:rPr>
          <w:sz w:val="20"/>
          <w:szCs w:val="20"/>
          <w:lang w:val="en-GB"/>
        </w:rPr>
        <w:t>.</w:t>
      </w:r>
      <w:r>
        <w:rPr>
          <w:sz w:val="20"/>
          <w:szCs w:val="20"/>
          <w:lang w:val="en-GB"/>
        </w:rPr>
        <w:tab/>
      </w:r>
      <w:r w:rsidR="00BA4517" w:rsidRPr="00BA4517">
        <w:rPr>
          <w:sz w:val="20"/>
          <w:szCs w:val="20"/>
          <w:lang w:val="en-GB"/>
        </w:rPr>
        <w:t xml:space="preserve">Center JR, Bliuc D, Nguyen TV, Eisman JA (2007) Risk of subsequent fracture after low-trauma fracture in men and women. </w:t>
      </w:r>
      <w:r w:rsidR="00BA4517" w:rsidRPr="00BA4517">
        <w:rPr>
          <w:iCs/>
          <w:sz w:val="20"/>
          <w:szCs w:val="20"/>
          <w:lang w:val="en-GB"/>
        </w:rPr>
        <w:t>JAMA</w:t>
      </w:r>
      <w:r w:rsidR="00BA4517" w:rsidRPr="00BA4517">
        <w:rPr>
          <w:sz w:val="20"/>
          <w:szCs w:val="20"/>
          <w:lang w:val="en-GB"/>
        </w:rPr>
        <w:t xml:space="preserve"> 297:387-394</w:t>
      </w:r>
    </w:p>
    <w:p w14:paraId="6CA0C352" w14:textId="56373C25" w:rsidR="00BA4517" w:rsidRPr="00BA4517" w:rsidRDefault="00BA4517" w:rsidP="00BA4517">
      <w:pPr>
        <w:spacing w:line="240" w:lineRule="auto"/>
        <w:ind w:left="567" w:hanging="567"/>
        <w:rPr>
          <w:bCs/>
          <w:sz w:val="20"/>
          <w:szCs w:val="20"/>
          <w:lang w:val="en-GB"/>
        </w:rPr>
      </w:pPr>
      <w:r w:rsidRPr="00BA4517">
        <w:rPr>
          <w:sz w:val="20"/>
          <w:szCs w:val="20"/>
          <w:lang w:val="en-GB"/>
        </w:rPr>
        <w:t>2</w:t>
      </w:r>
      <w:r w:rsidR="006667E9">
        <w:rPr>
          <w:sz w:val="20"/>
          <w:szCs w:val="20"/>
          <w:lang w:val="en-GB"/>
        </w:rPr>
        <w:t>2</w:t>
      </w:r>
      <w:r w:rsidRPr="00BA4517">
        <w:rPr>
          <w:sz w:val="20"/>
          <w:szCs w:val="20"/>
          <w:lang w:val="en-GB"/>
        </w:rPr>
        <w:t>.</w:t>
      </w:r>
      <w:r w:rsidRPr="00BA4517">
        <w:rPr>
          <w:sz w:val="20"/>
          <w:szCs w:val="20"/>
          <w:lang w:val="en-GB"/>
        </w:rPr>
        <w:tab/>
        <w:t>Kanis JA,</w:t>
      </w:r>
      <w:r w:rsidRPr="00BA4517">
        <w:rPr>
          <w:bCs/>
          <w:sz w:val="20"/>
          <w:szCs w:val="20"/>
          <w:lang w:val="en-GB"/>
        </w:rPr>
        <w:t xml:space="preserve"> McCloskey EV, Johansson H, Cooper C, Rizzoli R,</w:t>
      </w:r>
      <w:r w:rsidRPr="00BA4517">
        <w:rPr>
          <w:bCs/>
          <w:sz w:val="20"/>
          <w:szCs w:val="20"/>
          <w:vertAlign w:val="superscript"/>
          <w:lang w:val="en-GB"/>
        </w:rPr>
        <w:t xml:space="preserve"> </w:t>
      </w:r>
      <w:r w:rsidRPr="00BA4517">
        <w:rPr>
          <w:bCs/>
          <w:sz w:val="20"/>
          <w:szCs w:val="20"/>
          <w:lang w:val="en-GB"/>
        </w:rPr>
        <w:t>Reginster J-Y   on behalf of the Scientific Advisory Board of the European Society for Clinical and Economic Aspects of Osteoporosis and Osteoarthritis (ESCEO)  and the Committee of Scientific Advisors of the International Osteoporosis Foundation ( IOF) (2013) European guidance for the diagnosis and management of osteoporosis in postmenopausal women.  Osteoporos Int 24: 23-57.</w:t>
      </w:r>
    </w:p>
    <w:p w14:paraId="442908F9" w14:textId="4CA51415" w:rsidR="00A84FC4" w:rsidRPr="00CC3FD3" w:rsidRDefault="003319E8" w:rsidP="00CC3FD3">
      <w:pPr>
        <w:spacing w:line="240" w:lineRule="auto"/>
        <w:ind w:left="567" w:hanging="567"/>
        <w:rPr>
          <w:sz w:val="20"/>
          <w:szCs w:val="20"/>
        </w:rPr>
      </w:pPr>
      <w:r>
        <w:rPr>
          <w:sz w:val="20"/>
          <w:szCs w:val="20"/>
          <w:lang w:val="en-GB"/>
        </w:rPr>
        <w:t>2</w:t>
      </w:r>
      <w:r w:rsidR="006667E9">
        <w:rPr>
          <w:sz w:val="20"/>
          <w:szCs w:val="20"/>
          <w:lang w:val="en-GB"/>
        </w:rPr>
        <w:t>3</w:t>
      </w:r>
      <w:r w:rsidR="00A84FC4">
        <w:rPr>
          <w:sz w:val="20"/>
          <w:szCs w:val="20"/>
          <w:lang w:val="en-GB"/>
        </w:rPr>
        <w:t>.</w:t>
      </w:r>
      <w:r w:rsidR="00A84FC4">
        <w:rPr>
          <w:sz w:val="20"/>
          <w:szCs w:val="20"/>
          <w:lang w:val="en-GB"/>
        </w:rPr>
        <w:tab/>
      </w:r>
      <w:r w:rsidR="00A84FC4" w:rsidRPr="00CC3FD3">
        <w:rPr>
          <w:sz w:val="20"/>
          <w:szCs w:val="20"/>
          <w:lang w:val="en-GB"/>
        </w:rPr>
        <w:t>Bischoff Ferrari HA, Dawson Hughes B, Willett WC et a</w:t>
      </w:r>
      <w:r w:rsidR="00A84FC4">
        <w:rPr>
          <w:sz w:val="20"/>
          <w:szCs w:val="20"/>
          <w:lang w:val="en-GB"/>
        </w:rPr>
        <w:t>l (2004)</w:t>
      </w:r>
      <w:r w:rsidR="00A84FC4" w:rsidRPr="00CC3FD3">
        <w:rPr>
          <w:sz w:val="20"/>
          <w:szCs w:val="20"/>
          <w:lang w:val="en-GB"/>
        </w:rPr>
        <w:t xml:space="preserve"> Effect of vitamin D on falls: a meta-analysis. JAMA 291:</w:t>
      </w:r>
      <w:r w:rsidR="00A84FC4">
        <w:rPr>
          <w:sz w:val="20"/>
          <w:szCs w:val="20"/>
          <w:lang w:val="en-GB"/>
        </w:rPr>
        <w:t xml:space="preserve"> </w:t>
      </w:r>
      <w:r w:rsidR="00A84FC4" w:rsidRPr="00CC3FD3">
        <w:rPr>
          <w:sz w:val="20"/>
          <w:szCs w:val="20"/>
          <w:lang w:val="en-GB"/>
        </w:rPr>
        <w:t>1999–2006.</w:t>
      </w:r>
    </w:p>
    <w:p w14:paraId="754A16F0" w14:textId="3FF075A3" w:rsidR="00A84FC4" w:rsidRDefault="003319E8" w:rsidP="00CC3FD3">
      <w:pPr>
        <w:spacing w:line="240" w:lineRule="auto"/>
        <w:ind w:left="567" w:hanging="567"/>
        <w:rPr>
          <w:sz w:val="20"/>
          <w:szCs w:val="20"/>
          <w:lang w:val="en-GB"/>
        </w:rPr>
      </w:pPr>
      <w:r>
        <w:rPr>
          <w:sz w:val="20"/>
          <w:szCs w:val="20"/>
          <w:lang w:val="en-GB"/>
        </w:rPr>
        <w:t>2</w:t>
      </w:r>
      <w:r w:rsidR="006667E9">
        <w:rPr>
          <w:sz w:val="20"/>
          <w:szCs w:val="20"/>
          <w:lang w:val="en-GB"/>
        </w:rPr>
        <w:t>4</w:t>
      </w:r>
      <w:r w:rsidR="00A84FC4">
        <w:rPr>
          <w:sz w:val="20"/>
          <w:szCs w:val="20"/>
          <w:lang w:val="en-GB"/>
        </w:rPr>
        <w:t>.</w:t>
      </w:r>
      <w:r w:rsidR="00A84FC4">
        <w:rPr>
          <w:sz w:val="20"/>
          <w:szCs w:val="20"/>
          <w:lang w:val="en-GB"/>
        </w:rPr>
        <w:tab/>
      </w:r>
      <w:r w:rsidR="00A84FC4" w:rsidRPr="00CC3FD3">
        <w:rPr>
          <w:sz w:val="20"/>
          <w:szCs w:val="20"/>
          <w:lang w:val="en-GB"/>
        </w:rPr>
        <w:t>Helden van S, Wyers CE, Dagnelie PC</w:t>
      </w:r>
      <w:r w:rsidR="00A84FC4">
        <w:rPr>
          <w:sz w:val="20"/>
          <w:szCs w:val="20"/>
          <w:lang w:val="en-GB"/>
        </w:rPr>
        <w:t xml:space="preserve"> </w:t>
      </w:r>
      <w:r w:rsidR="00A84FC4" w:rsidRPr="00CC3FD3">
        <w:rPr>
          <w:sz w:val="20"/>
          <w:szCs w:val="20"/>
          <w:lang w:val="en-GB"/>
        </w:rPr>
        <w:t>et al</w:t>
      </w:r>
      <w:r w:rsidR="00A84FC4">
        <w:rPr>
          <w:sz w:val="20"/>
          <w:szCs w:val="20"/>
          <w:lang w:val="en-GB"/>
        </w:rPr>
        <w:t xml:space="preserve"> (2007) </w:t>
      </w:r>
      <w:r w:rsidR="00A84FC4" w:rsidRPr="00CC3FD3">
        <w:rPr>
          <w:sz w:val="20"/>
          <w:szCs w:val="20"/>
          <w:lang w:val="en-GB"/>
        </w:rPr>
        <w:t>Risk of falling in patients with a recent fracture. BMC Musculoskelet Disord</w:t>
      </w:r>
      <w:r w:rsidR="00A84FC4">
        <w:rPr>
          <w:sz w:val="20"/>
          <w:szCs w:val="20"/>
          <w:lang w:val="en-GB"/>
        </w:rPr>
        <w:t xml:space="preserve"> 8:55</w:t>
      </w:r>
      <w:r w:rsidR="00A84FC4" w:rsidRPr="00CC3FD3">
        <w:rPr>
          <w:sz w:val="20"/>
          <w:szCs w:val="20"/>
          <w:lang w:val="en-GB"/>
        </w:rPr>
        <w:t>.</w:t>
      </w:r>
    </w:p>
    <w:p w14:paraId="7395F866" w14:textId="33777FF2" w:rsidR="007A7D71" w:rsidRPr="007A7D71" w:rsidRDefault="003319E8" w:rsidP="007A7D71">
      <w:pPr>
        <w:spacing w:line="240" w:lineRule="auto"/>
        <w:ind w:left="567" w:hanging="567"/>
        <w:rPr>
          <w:sz w:val="20"/>
          <w:szCs w:val="20"/>
        </w:rPr>
      </w:pPr>
      <w:r>
        <w:rPr>
          <w:sz w:val="20"/>
          <w:szCs w:val="20"/>
          <w:lang w:val="en-GB"/>
        </w:rPr>
        <w:t>2</w:t>
      </w:r>
      <w:r w:rsidR="006667E9">
        <w:rPr>
          <w:sz w:val="20"/>
          <w:szCs w:val="20"/>
          <w:lang w:val="en-GB"/>
        </w:rPr>
        <w:t>5</w:t>
      </w:r>
      <w:r>
        <w:rPr>
          <w:sz w:val="20"/>
          <w:szCs w:val="20"/>
          <w:lang w:val="en-GB"/>
        </w:rPr>
        <w:t>.</w:t>
      </w:r>
      <w:r>
        <w:rPr>
          <w:sz w:val="20"/>
          <w:szCs w:val="20"/>
          <w:lang w:val="en-GB"/>
        </w:rPr>
        <w:tab/>
      </w:r>
      <w:r w:rsidR="007A7D71" w:rsidRPr="007A7D71">
        <w:rPr>
          <w:sz w:val="20"/>
          <w:szCs w:val="20"/>
        </w:rPr>
        <w:t xml:space="preserve">Bonafede M, Shi N, Barron R, Li X, Crittenden DB, Chandler D (2016) Predicting imminent risk for fracture in patients aged 50 or older with osteoporosis using US claims data. Arch Osteoporos 11:26. doi: 10.1007/s11657-016-0280-5. </w:t>
      </w:r>
    </w:p>
    <w:p w14:paraId="0A688437" w14:textId="77777777" w:rsidR="007A7D71" w:rsidRPr="00CC3FD3" w:rsidRDefault="007A7D71" w:rsidP="00CC3FD3">
      <w:pPr>
        <w:spacing w:line="240" w:lineRule="auto"/>
        <w:ind w:left="567" w:hanging="567"/>
        <w:rPr>
          <w:sz w:val="20"/>
          <w:szCs w:val="20"/>
          <w:lang w:val="en-GB"/>
        </w:rPr>
      </w:pPr>
    </w:p>
    <w:p w14:paraId="7F9CEF1C" w14:textId="4BBA30B6" w:rsidR="004479F9" w:rsidRPr="004479F9" w:rsidRDefault="004479F9" w:rsidP="00155636">
      <w:pPr>
        <w:ind w:left="567" w:hanging="567"/>
        <w:rPr>
          <w:sz w:val="20"/>
          <w:szCs w:val="20"/>
          <w:lang w:val="en-GB"/>
        </w:rPr>
      </w:pPr>
      <w:r w:rsidRPr="004479F9">
        <w:t/>
      </w:r>
    </w:p>
    <w:sectPr w:rsidR="004479F9" w:rsidRPr="004479F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F8CCF" w14:textId="77777777" w:rsidR="00462320" w:rsidRDefault="00462320" w:rsidP="00C114A4">
      <w:pPr>
        <w:spacing w:after="0" w:line="240" w:lineRule="auto"/>
      </w:pPr>
      <w:r>
        <w:separator/>
      </w:r>
    </w:p>
  </w:endnote>
  <w:endnote w:type="continuationSeparator" w:id="0">
    <w:p w14:paraId="62E670FC" w14:textId="77777777" w:rsidR="00462320" w:rsidRDefault="00462320" w:rsidP="00C1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dvTT46dcae81">
    <w:altName w:val="Arial Unicode MS"/>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04351"/>
      <w:docPartObj>
        <w:docPartGallery w:val="Page Numbers (Bottom of Page)"/>
        <w:docPartUnique/>
      </w:docPartObj>
    </w:sdtPr>
    <w:sdtEndPr>
      <w:rPr>
        <w:noProof/>
      </w:rPr>
    </w:sdtEndPr>
    <w:sdtContent>
      <w:p w14:paraId="662A2B64" w14:textId="56B355EF" w:rsidR="00594FDB" w:rsidRDefault="00594FDB">
        <w:pPr>
          <w:pStyle w:val="Footer"/>
          <w:jc w:val="right"/>
        </w:pPr>
        <w:r>
          <w:fldChar w:fldCharType="begin"/>
        </w:r>
        <w:r>
          <w:instrText xml:space="preserve"> PAGE   \* MERGEFORMAT </w:instrText>
        </w:r>
        <w:r>
          <w:fldChar w:fldCharType="separate"/>
        </w:r>
        <w:r w:rsidR="00432C87">
          <w:rPr>
            <w:noProof/>
          </w:rPr>
          <w:t>1</w:t>
        </w:r>
        <w:r>
          <w:rPr>
            <w:noProof/>
          </w:rPr>
          <w:fldChar w:fldCharType="end"/>
        </w:r>
      </w:p>
    </w:sdtContent>
  </w:sdt>
  <w:p w14:paraId="14DD0EFA" w14:textId="77777777" w:rsidR="00594FDB" w:rsidRDefault="00594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FFB5B" w14:textId="77777777" w:rsidR="00462320" w:rsidRDefault="00462320" w:rsidP="00C114A4">
      <w:pPr>
        <w:spacing w:after="0" w:line="240" w:lineRule="auto"/>
      </w:pPr>
      <w:r>
        <w:separator/>
      </w:r>
    </w:p>
  </w:footnote>
  <w:footnote w:type="continuationSeparator" w:id="0">
    <w:p w14:paraId="75BBB909" w14:textId="77777777" w:rsidR="00462320" w:rsidRDefault="00462320" w:rsidP="00C11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881EE" w14:textId="2D929294" w:rsidR="00C114A4" w:rsidRPr="009D34FD" w:rsidRDefault="00594FDB">
    <w:pPr>
      <w:pStyle w:val="Header"/>
      <w:rPr>
        <w:lang w:val="en-US"/>
      </w:rPr>
    </w:pPr>
    <w:r>
      <w:rPr>
        <w:lang w:val="en-US"/>
      </w:rPr>
      <w:t>Fx after fx.doc</w:t>
    </w:r>
    <w:r w:rsidR="00C114A4" w:rsidRPr="009D34FD">
      <w:rPr>
        <w:lang w:val="en-US"/>
      </w:rPr>
      <w:tab/>
    </w:r>
  </w:p>
  <w:p w14:paraId="191D6679" w14:textId="77777777" w:rsidR="00C114A4" w:rsidRPr="009D34FD" w:rsidRDefault="00C114A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24A0F"/>
    <w:multiLevelType w:val="hybridMultilevel"/>
    <w:tmpl w:val="89004D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106BCC"/>
    <w:multiLevelType w:val="hybridMultilevel"/>
    <w:tmpl w:val="D3B69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BE"/>
    <w:rsid w:val="00003FD8"/>
    <w:rsid w:val="000330D7"/>
    <w:rsid w:val="000471ED"/>
    <w:rsid w:val="00053917"/>
    <w:rsid w:val="0005793E"/>
    <w:rsid w:val="00061FF6"/>
    <w:rsid w:val="00071619"/>
    <w:rsid w:val="00077AA9"/>
    <w:rsid w:val="00083B13"/>
    <w:rsid w:val="0009412A"/>
    <w:rsid w:val="000B1E4A"/>
    <w:rsid w:val="000B33AC"/>
    <w:rsid w:val="000B56AC"/>
    <w:rsid w:val="000E2698"/>
    <w:rsid w:val="000E3FFF"/>
    <w:rsid w:val="000F5121"/>
    <w:rsid w:val="000F7A56"/>
    <w:rsid w:val="00104A54"/>
    <w:rsid w:val="00104C25"/>
    <w:rsid w:val="00111930"/>
    <w:rsid w:val="00114BC4"/>
    <w:rsid w:val="001275DC"/>
    <w:rsid w:val="00136D33"/>
    <w:rsid w:val="001372D4"/>
    <w:rsid w:val="00147CEA"/>
    <w:rsid w:val="00155636"/>
    <w:rsid w:val="0016755E"/>
    <w:rsid w:val="00195DF2"/>
    <w:rsid w:val="001C08FB"/>
    <w:rsid w:val="001F1943"/>
    <w:rsid w:val="00200CB0"/>
    <w:rsid w:val="00203C03"/>
    <w:rsid w:val="002053F7"/>
    <w:rsid w:val="00207F0F"/>
    <w:rsid w:val="00211BE6"/>
    <w:rsid w:val="00215CFC"/>
    <w:rsid w:val="00217496"/>
    <w:rsid w:val="00246893"/>
    <w:rsid w:val="00247828"/>
    <w:rsid w:val="00261052"/>
    <w:rsid w:val="00264566"/>
    <w:rsid w:val="00267AFD"/>
    <w:rsid w:val="00272909"/>
    <w:rsid w:val="0027589A"/>
    <w:rsid w:val="00284696"/>
    <w:rsid w:val="00286C59"/>
    <w:rsid w:val="00290D87"/>
    <w:rsid w:val="002A4B05"/>
    <w:rsid w:val="002D537C"/>
    <w:rsid w:val="002D7695"/>
    <w:rsid w:val="003319E8"/>
    <w:rsid w:val="003351C4"/>
    <w:rsid w:val="00357214"/>
    <w:rsid w:val="00357FEF"/>
    <w:rsid w:val="00360DF9"/>
    <w:rsid w:val="0036170D"/>
    <w:rsid w:val="003808CA"/>
    <w:rsid w:val="00392F55"/>
    <w:rsid w:val="003A093B"/>
    <w:rsid w:val="003A4ACE"/>
    <w:rsid w:val="003A4F1B"/>
    <w:rsid w:val="003C3EA1"/>
    <w:rsid w:val="003C550B"/>
    <w:rsid w:val="003D5B90"/>
    <w:rsid w:val="003F450D"/>
    <w:rsid w:val="00400D5F"/>
    <w:rsid w:val="00415691"/>
    <w:rsid w:val="00424977"/>
    <w:rsid w:val="00432C87"/>
    <w:rsid w:val="004479F9"/>
    <w:rsid w:val="00460140"/>
    <w:rsid w:val="00462320"/>
    <w:rsid w:val="0046494D"/>
    <w:rsid w:val="004652B1"/>
    <w:rsid w:val="00473480"/>
    <w:rsid w:val="004B2B62"/>
    <w:rsid w:val="004D4DF2"/>
    <w:rsid w:val="004D728D"/>
    <w:rsid w:val="004E35D5"/>
    <w:rsid w:val="004E69B7"/>
    <w:rsid w:val="005260A2"/>
    <w:rsid w:val="005320CF"/>
    <w:rsid w:val="0054348B"/>
    <w:rsid w:val="00544C47"/>
    <w:rsid w:val="0055501E"/>
    <w:rsid w:val="005639BD"/>
    <w:rsid w:val="00565005"/>
    <w:rsid w:val="00594FDB"/>
    <w:rsid w:val="005A1B69"/>
    <w:rsid w:val="005A3E67"/>
    <w:rsid w:val="005A423C"/>
    <w:rsid w:val="005B4904"/>
    <w:rsid w:val="005C2FE8"/>
    <w:rsid w:val="005D05AA"/>
    <w:rsid w:val="005E2B05"/>
    <w:rsid w:val="005E739B"/>
    <w:rsid w:val="0060061F"/>
    <w:rsid w:val="00606623"/>
    <w:rsid w:val="006068D8"/>
    <w:rsid w:val="00607377"/>
    <w:rsid w:val="00607859"/>
    <w:rsid w:val="00640996"/>
    <w:rsid w:val="00656011"/>
    <w:rsid w:val="00665B6D"/>
    <w:rsid w:val="006667E9"/>
    <w:rsid w:val="006856A4"/>
    <w:rsid w:val="006A2429"/>
    <w:rsid w:val="006A7A66"/>
    <w:rsid w:val="006B2CD8"/>
    <w:rsid w:val="006C1979"/>
    <w:rsid w:val="006C50B2"/>
    <w:rsid w:val="006D76E3"/>
    <w:rsid w:val="006E1700"/>
    <w:rsid w:val="006E303B"/>
    <w:rsid w:val="006F4AAD"/>
    <w:rsid w:val="00703642"/>
    <w:rsid w:val="00710294"/>
    <w:rsid w:val="00723292"/>
    <w:rsid w:val="00723F02"/>
    <w:rsid w:val="0072528F"/>
    <w:rsid w:val="007312D8"/>
    <w:rsid w:val="007325B7"/>
    <w:rsid w:val="00764995"/>
    <w:rsid w:val="0078008C"/>
    <w:rsid w:val="00790792"/>
    <w:rsid w:val="007A09DF"/>
    <w:rsid w:val="007A7D71"/>
    <w:rsid w:val="007B0A1F"/>
    <w:rsid w:val="007C0F4F"/>
    <w:rsid w:val="007C7E9F"/>
    <w:rsid w:val="007E733C"/>
    <w:rsid w:val="00842891"/>
    <w:rsid w:val="0085615B"/>
    <w:rsid w:val="0086725B"/>
    <w:rsid w:val="00867F23"/>
    <w:rsid w:val="0087065D"/>
    <w:rsid w:val="008851A0"/>
    <w:rsid w:val="00890CAB"/>
    <w:rsid w:val="00893B2A"/>
    <w:rsid w:val="008A2084"/>
    <w:rsid w:val="008B0508"/>
    <w:rsid w:val="008C1A09"/>
    <w:rsid w:val="00911A45"/>
    <w:rsid w:val="00963C07"/>
    <w:rsid w:val="00966B5F"/>
    <w:rsid w:val="00970CAC"/>
    <w:rsid w:val="009815C9"/>
    <w:rsid w:val="00984921"/>
    <w:rsid w:val="009959CD"/>
    <w:rsid w:val="00996FC1"/>
    <w:rsid w:val="009A561F"/>
    <w:rsid w:val="009B00CE"/>
    <w:rsid w:val="009B7D2B"/>
    <w:rsid w:val="009C070C"/>
    <w:rsid w:val="009C0B6C"/>
    <w:rsid w:val="009D34FD"/>
    <w:rsid w:val="009E053F"/>
    <w:rsid w:val="009E0A8A"/>
    <w:rsid w:val="009E7FC2"/>
    <w:rsid w:val="009F1B81"/>
    <w:rsid w:val="009F33E0"/>
    <w:rsid w:val="00A00260"/>
    <w:rsid w:val="00A23CDC"/>
    <w:rsid w:val="00A34A7C"/>
    <w:rsid w:val="00A41D44"/>
    <w:rsid w:val="00A432A1"/>
    <w:rsid w:val="00A67E1B"/>
    <w:rsid w:val="00A70C73"/>
    <w:rsid w:val="00A76C6E"/>
    <w:rsid w:val="00A806BD"/>
    <w:rsid w:val="00A84FC4"/>
    <w:rsid w:val="00A8730E"/>
    <w:rsid w:val="00AA627A"/>
    <w:rsid w:val="00AB4255"/>
    <w:rsid w:val="00AC199E"/>
    <w:rsid w:val="00AC421D"/>
    <w:rsid w:val="00B00D26"/>
    <w:rsid w:val="00B016C5"/>
    <w:rsid w:val="00B16637"/>
    <w:rsid w:val="00B442E4"/>
    <w:rsid w:val="00B47306"/>
    <w:rsid w:val="00B5271A"/>
    <w:rsid w:val="00B74905"/>
    <w:rsid w:val="00B770B7"/>
    <w:rsid w:val="00B93099"/>
    <w:rsid w:val="00B94219"/>
    <w:rsid w:val="00BA150A"/>
    <w:rsid w:val="00BA4517"/>
    <w:rsid w:val="00BB227A"/>
    <w:rsid w:val="00BB7DE0"/>
    <w:rsid w:val="00BC31FE"/>
    <w:rsid w:val="00BD331D"/>
    <w:rsid w:val="00C05EFC"/>
    <w:rsid w:val="00C114A4"/>
    <w:rsid w:val="00C12939"/>
    <w:rsid w:val="00C47072"/>
    <w:rsid w:val="00C718A4"/>
    <w:rsid w:val="00C9528B"/>
    <w:rsid w:val="00C95686"/>
    <w:rsid w:val="00CA0159"/>
    <w:rsid w:val="00CB3AA0"/>
    <w:rsid w:val="00CC3FD3"/>
    <w:rsid w:val="00CD1ED2"/>
    <w:rsid w:val="00CD2569"/>
    <w:rsid w:val="00CE518D"/>
    <w:rsid w:val="00CF7A93"/>
    <w:rsid w:val="00D036CA"/>
    <w:rsid w:val="00D07A41"/>
    <w:rsid w:val="00D113E4"/>
    <w:rsid w:val="00D16363"/>
    <w:rsid w:val="00D33145"/>
    <w:rsid w:val="00D3508E"/>
    <w:rsid w:val="00D357BE"/>
    <w:rsid w:val="00D53C36"/>
    <w:rsid w:val="00D71B21"/>
    <w:rsid w:val="00D776D0"/>
    <w:rsid w:val="00DA3FB0"/>
    <w:rsid w:val="00DA55E9"/>
    <w:rsid w:val="00DB1608"/>
    <w:rsid w:val="00DD5E83"/>
    <w:rsid w:val="00DD6FBE"/>
    <w:rsid w:val="00DE29EC"/>
    <w:rsid w:val="00DE4131"/>
    <w:rsid w:val="00DE7781"/>
    <w:rsid w:val="00E0340C"/>
    <w:rsid w:val="00E03AB1"/>
    <w:rsid w:val="00E100D0"/>
    <w:rsid w:val="00E11D43"/>
    <w:rsid w:val="00E16678"/>
    <w:rsid w:val="00E36BC3"/>
    <w:rsid w:val="00E4190D"/>
    <w:rsid w:val="00E4769A"/>
    <w:rsid w:val="00E56DC6"/>
    <w:rsid w:val="00E6518F"/>
    <w:rsid w:val="00E65B50"/>
    <w:rsid w:val="00E84EC1"/>
    <w:rsid w:val="00E9076A"/>
    <w:rsid w:val="00E9180F"/>
    <w:rsid w:val="00E9190A"/>
    <w:rsid w:val="00EA28D4"/>
    <w:rsid w:val="00EC2CD5"/>
    <w:rsid w:val="00ED1340"/>
    <w:rsid w:val="00ED5344"/>
    <w:rsid w:val="00EE0BFC"/>
    <w:rsid w:val="00EE2EAE"/>
    <w:rsid w:val="00EE6385"/>
    <w:rsid w:val="00EF4E99"/>
    <w:rsid w:val="00F13C65"/>
    <w:rsid w:val="00F21DA2"/>
    <w:rsid w:val="00F22A65"/>
    <w:rsid w:val="00F24BD6"/>
    <w:rsid w:val="00F443AD"/>
    <w:rsid w:val="00F472C3"/>
    <w:rsid w:val="00F50595"/>
    <w:rsid w:val="00F51EF1"/>
    <w:rsid w:val="00F53A07"/>
    <w:rsid w:val="00F56E6F"/>
    <w:rsid w:val="00F56EE5"/>
    <w:rsid w:val="00F65225"/>
    <w:rsid w:val="00F66148"/>
    <w:rsid w:val="00F666EF"/>
    <w:rsid w:val="00F71767"/>
    <w:rsid w:val="00F808BD"/>
    <w:rsid w:val="00FA0486"/>
    <w:rsid w:val="00FA5AF8"/>
    <w:rsid w:val="00FA788E"/>
    <w:rsid w:val="00FB385B"/>
    <w:rsid w:val="00FC04F1"/>
    <w:rsid w:val="00FD3804"/>
    <w:rsid w:val="00FD7B4B"/>
    <w:rsid w:val="00FF1E8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0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7BE"/>
    <w:pPr>
      <w:spacing w:before="100" w:beforeAutospacing="1" w:after="100" w:afterAutospacing="1" w:line="240" w:lineRule="auto"/>
    </w:pPr>
    <w:rPr>
      <w:rFonts w:ascii="Times New Roman" w:eastAsia="Times New Roman" w:hAnsi="Times New Roman"/>
      <w:sz w:val="24"/>
      <w:szCs w:val="24"/>
      <w:lang w:eastAsia="sv-SE"/>
    </w:rPr>
  </w:style>
  <w:style w:type="paragraph" w:styleId="BalloonText">
    <w:name w:val="Balloon Text"/>
    <w:basedOn w:val="Normal"/>
    <w:link w:val="BalloonTextChar"/>
    <w:uiPriority w:val="99"/>
    <w:semiHidden/>
    <w:unhideWhenUsed/>
    <w:rsid w:val="00D357B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357BE"/>
    <w:rPr>
      <w:rFonts w:ascii="Tahoma" w:hAnsi="Tahoma" w:cs="Tahoma"/>
      <w:sz w:val="16"/>
      <w:szCs w:val="16"/>
    </w:rPr>
  </w:style>
  <w:style w:type="paragraph" w:styleId="NoSpacing">
    <w:name w:val="No Spacing"/>
    <w:uiPriority w:val="1"/>
    <w:qFormat/>
    <w:rsid w:val="00665B6D"/>
    <w:pPr>
      <w:spacing w:after="0" w:line="240" w:lineRule="auto"/>
    </w:pPr>
  </w:style>
  <w:style w:type="character" w:styleId="Hyperlink">
    <w:name w:val="Hyperlink"/>
    <w:basedOn w:val="DefaultParagraphFont"/>
    <w:uiPriority w:val="99"/>
    <w:unhideWhenUsed/>
    <w:rsid w:val="00C114A4"/>
    <w:rPr>
      <w:color w:val="0000FF" w:themeColor="hyperlink"/>
      <w:u w:val="single"/>
    </w:rPr>
  </w:style>
  <w:style w:type="paragraph" w:styleId="Header">
    <w:name w:val="header"/>
    <w:basedOn w:val="Normal"/>
    <w:link w:val="HeaderChar"/>
    <w:uiPriority w:val="99"/>
    <w:unhideWhenUsed/>
    <w:rsid w:val="00C114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14A4"/>
    <w:rPr>
      <w:rFonts w:ascii="Calibri" w:eastAsia="Calibri" w:hAnsi="Calibri" w:cs="Times New Roman"/>
    </w:rPr>
  </w:style>
  <w:style w:type="paragraph" w:styleId="Footer">
    <w:name w:val="footer"/>
    <w:basedOn w:val="Normal"/>
    <w:link w:val="FooterChar"/>
    <w:uiPriority w:val="99"/>
    <w:unhideWhenUsed/>
    <w:rsid w:val="00C114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14A4"/>
    <w:rPr>
      <w:rFonts w:ascii="Calibri" w:eastAsia="Calibri" w:hAnsi="Calibri" w:cs="Times New Roman"/>
    </w:rPr>
  </w:style>
  <w:style w:type="paragraph" w:styleId="BodyText">
    <w:name w:val="Body Text"/>
    <w:basedOn w:val="Normal"/>
    <w:link w:val="BodyTextChar"/>
    <w:uiPriority w:val="99"/>
    <w:rsid w:val="001275DC"/>
    <w:pPr>
      <w:spacing w:after="0" w:line="240" w:lineRule="auto"/>
    </w:pPr>
    <w:rPr>
      <w:rFonts w:ascii="Times New Roman" w:eastAsia="MS Mincho" w:hAnsi="Times New Roman"/>
      <w:sz w:val="24"/>
      <w:szCs w:val="20"/>
      <w:lang w:val="en-GB"/>
    </w:rPr>
  </w:style>
  <w:style w:type="character" w:customStyle="1" w:styleId="BodyTextChar">
    <w:name w:val="Body Text Char"/>
    <w:basedOn w:val="DefaultParagraphFont"/>
    <w:link w:val="BodyText"/>
    <w:uiPriority w:val="99"/>
    <w:rsid w:val="001275DC"/>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247828"/>
    <w:rPr>
      <w:sz w:val="16"/>
      <w:szCs w:val="16"/>
    </w:rPr>
  </w:style>
  <w:style w:type="paragraph" w:styleId="CommentText">
    <w:name w:val="annotation text"/>
    <w:basedOn w:val="Normal"/>
    <w:link w:val="CommentTextChar"/>
    <w:uiPriority w:val="99"/>
    <w:semiHidden/>
    <w:unhideWhenUsed/>
    <w:rsid w:val="00247828"/>
    <w:pPr>
      <w:spacing w:line="240" w:lineRule="auto"/>
    </w:pPr>
    <w:rPr>
      <w:sz w:val="20"/>
      <w:szCs w:val="20"/>
    </w:rPr>
  </w:style>
  <w:style w:type="character" w:customStyle="1" w:styleId="CommentTextChar">
    <w:name w:val="Comment Text Char"/>
    <w:basedOn w:val="DefaultParagraphFont"/>
    <w:link w:val="CommentText"/>
    <w:uiPriority w:val="99"/>
    <w:semiHidden/>
    <w:rsid w:val="002478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7828"/>
    <w:rPr>
      <w:b/>
      <w:bCs/>
    </w:rPr>
  </w:style>
  <w:style w:type="character" w:customStyle="1" w:styleId="CommentSubjectChar">
    <w:name w:val="Comment Subject Char"/>
    <w:basedOn w:val="CommentTextChar"/>
    <w:link w:val="CommentSubject"/>
    <w:uiPriority w:val="99"/>
    <w:semiHidden/>
    <w:rsid w:val="00247828"/>
    <w:rPr>
      <w:rFonts w:ascii="Calibri" w:eastAsia="Calibri" w:hAnsi="Calibri" w:cs="Times New Roman"/>
      <w:b/>
      <w:bCs/>
      <w:sz w:val="20"/>
      <w:szCs w:val="20"/>
    </w:rPr>
  </w:style>
  <w:style w:type="table" w:styleId="TableGrid">
    <w:name w:val="Table Grid"/>
    <w:basedOn w:val="TableNormal"/>
    <w:uiPriority w:val="59"/>
    <w:rsid w:val="00DE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B62"/>
    <w:pPr>
      <w:ind w:left="720"/>
      <w:contextualSpacing/>
    </w:pPr>
  </w:style>
  <w:style w:type="paragraph" w:styleId="PlainText">
    <w:name w:val="Plain Text"/>
    <w:basedOn w:val="Normal"/>
    <w:link w:val="PlainTextChar"/>
    <w:uiPriority w:val="99"/>
    <w:semiHidden/>
    <w:unhideWhenUsed/>
    <w:rsid w:val="003808C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808CA"/>
    <w:rPr>
      <w:rFonts w:ascii="Consolas" w:eastAsia="Calibr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4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7BE"/>
    <w:pPr>
      <w:spacing w:before="100" w:beforeAutospacing="1" w:after="100" w:afterAutospacing="1" w:line="240" w:lineRule="auto"/>
    </w:pPr>
    <w:rPr>
      <w:rFonts w:ascii="Times New Roman" w:eastAsia="Times New Roman" w:hAnsi="Times New Roman"/>
      <w:sz w:val="24"/>
      <w:szCs w:val="24"/>
      <w:lang w:eastAsia="sv-SE"/>
    </w:rPr>
  </w:style>
  <w:style w:type="paragraph" w:styleId="BalloonText">
    <w:name w:val="Balloon Text"/>
    <w:basedOn w:val="Normal"/>
    <w:link w:val="BalloonTextChar"/>
    <w:uiPriority w:val="99"/>
    <w:semiHidden/>
    <w:unhideWhenUsed/>
    <w:rsid w:val="00D357B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357BE"/>
    <w:rPr>
      <w:rFonts w:ascii="Tahoma" w:hAnsi="Tahoma" w:cs="Tahoma"/>
      <w:sz w:val="16"/>
      <w:szCs w:val="16"/>
    </w:rPr>
  </w:style>
  <w:style w:type="paragraph" w:styleId="NoSpacing">
    <w:name w:val="No Spacing"/>
    <w:uiPriority w:val="1"/>
    <w:qFormat/>
    <w:rsid w:val="00665B6D"/>
    <w:pPr>
      <w:spacing w:after="0" w:line="240" w:lineRule="auto"/>
    </w:pPr>
  </w:style>
  <w:style w:type="character" w:styleId="Hyperlink">
    <w:name w:val="Hyperlink"/>
    <w:basedOn w:val="DefaultParagraphFont"/>
    <w:uiPriority w:val="99"/>
    <w:unhideWhenUsed/>
    <w:rsid w:val="00C114A4"/>
    <w:rPr>
      <w:color w:val="0000FF" w:themeColor="hyperlink"/>
      <w:u w:val="single"/>
    </w:rPr>
  </w:style>
  <w:style w:type="paragraph" w:styleId="Header">
    <w:name w:val="header"/>
    <w:basedOn w:val="Normal"/>
    <w:link w:val="HeaderChar"/>
    <w:uiPriority w:val="99"/>
    <w:unhideWhenUsed/>
    <w:rsid w:val="00C114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14A4"/>
    <w:rPr>
      <w:rFonts w:ascii="Calibri" w:eastAsia="Calibri" w:hAnsi="Calibri" w:cs="Times New Roman"/>
    </w:rPr>
  </w:style>
  <w:style w:type="paragraph" w:styleId="Footer">
    <w:name w:val="footer"/>
    <w:basedOn w:val="Normal"/>
    <w:link w:val="FooterChar"/>
    <w:uiPriority w:val="99"/>
    <w:unhideWhenUsed/>
    <w:rsid w:val="00C114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14A4"/>
    <w:rPr>
      <w:rFonts w:ascii="Calibri" w:eastAsia="Calibri" w:hAnsi="Calibri" w:cs="Times New Roman"/>
    </w:rPr>
  </w:style>
  <w:style w:type="paragraph" w:styleId="BodyText">
    <w:name w:val="Body Text"/>
    <w:basedOn w:val="Normal"/>
    <w:link w:val="BodyTextChar"/>
    <w:uiPriority w:val="99"/>
    <w:rsid w:val="001275DC"/>
    <w:pPr>
      <w:spacing w:after="0" w:line="240" w:lineRule="auto"/>
    </w:pPr>
    <w:rPr>
      <w:rFonts w:ascii="Times New Roman" w:eastAsia="MS Mincho" w:hAnsi="Times New Roman"/>
      <w:sz w:val="24"/>
      <w:szCs w:val="20"/>
      <w:lang w:val="en-GB"/>
    </w:rPr>
  </w:style>
  <w:style w:type="character" w:customStyle="1" w:styleId="BodyTextChar">
    <w:name w:val="Body Text Char"/>
    <w:basedOn w:val="DefaultParagraphFont"/>
    <w:link w:val="BodyText"/>
    <w:uiPriority w:val="99"/>
    <w:rsid w:val="001275DC"/>
    <w:rPr>
      <w:rFonts w:ascii="Times New Roman" w:eastAsia="MS Mincho" w:hAnsi="Times New Roman" w:cs="Times New Roman"/>
      <w:sz w:val="24"/>
      <w:szCs w:val="20"/>
      <w:lang w:val="en-GB"/>
    </w:rPr>
  </w:style>
  <w:style w:type="character" w:styleId="CommentReference">
    <w:name w:val="annotation reference"/>
    <w:basedOn w:val="DefaultParagraphFont"/>
    <w:uiPriority w:val="99"/>
    <w:semiHidden/>
    <w:unhideWhenUsed/>
    <w:rsid w:val="00247828"/>
    <w:rPr>
      <w:sz w:val="16"/>
      <w:szCs w:val="16"/>
    </w:rPr>
  </w:style>
  <w:style w:type="paragraph" w:styleId="CommentText">
    <w:name w:val="annotation text"/>
    <w:basedOn w:val="Normal"/>
    <w:link w:val="CommentTextChar"/>
    <w:uiPriority w:val="99"/>
    <w:semiHidden/>
    <w:unhideWhenUsed/>
    <w:rsid w:val="00247828"/>
    <w:pPr>
      <w:spacing w:line="240" w:lineRule="auto"/>
    </w:pPr>
    <w:rPr>
      <w:sz w:val="20"/>
      <w:szCs w:val="20"/>
    </w:rPr>
  </w:style>
  <w:style w:type="character" w:customStyle="1" w:styleId="CommentTextChar">
    <w:name w:val="Comment Text Char"/>
    <w:basedOn w:val="DefaultParagraphFont"/>
    <w:link w:val="CommentText"/>
    <w:uiPriority w:val="99"/>
    <w:semiHidden/>
    <w:rsid w:val="002478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7828"/>
    <w:rPr>
      <w:b/>
      <w:bCs/>
    </w:rPr>
  </w:style>
  <w:style w:type="character" w:customStyle="1" w:styleId="CommentSubjectChar">
    <w:name w:val="Comment Subject Char"/>
    <w:basedOn w:val="CommentTextChar"/>
    <w:link w:val="CommentSubject"/>
    <w:uiPriority w:val="99"/>
    <w:semiHidden/>
    <w:rsid w:val="00247828"/>
    <w:rPr>
      <w:rFonts w:ascii="Calibri" w:eastAsia="Calibri" w:hAnsi="Calibri" w:cs="Times New Roman"/>
      <w:b/>
      <w:bCs/>
      <w:sz w:val="20"/>
      <w:szCs w:val="20"/>
    </w:rPr>
  </w:style>
  <w:style w:type="table" w:styleId="TableGrid">
    <w:name w:val="Table Grid"/>
    <w:basedOn w:val="TableNormal"/>
    <w:uiPriority w:val="59"/>
    <w:rsid w:val="00DE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B62"/>
    <w:pPr>
      <w:ind w:left="720"/>
      <w:contextualSpacing/>
    </w:pPr>
  </w:style>
  <w:style w:type="paragraph" w:styleId="PlainText">
    <w:name w:val="Plain Text"/>
    <w:basedOn w:val="Normal"/>
    <w:link w:val="PlainTextChar"/>
    <w:uiPriority w:val="99"/>
    <w:semiHidden/>
    <w:unhideWhenUsed/>
    <w:rsid w:val="003808C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808CA"/>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9003">
      <w:bodyDiv w:val="1"/>
      <w:marLeft w:val="0"/>
      <w:marRight w:val="0"/>
      <w:marTop w:val="0"/>
      <w:marBottom w:val="0"/>
      <w:divBdr>
        <w:top w:val="none" w:sz="0" w:space="0" w:color="auto"/>
        <w:left w:val="none" w:sz="0" w:space="0" w:color="auto"/>
        <w:bottom w:val="none" w:sz="0" w:space="0" w:color="auto"/>
        <w:right w:val="none" w:sz="0" w:space="0" w:color="auto"/>
      </w:divBdr>
    </w:div>
    <w:div w:id="242225386">
      <w:bodyDiv w:val="1"/>
      <w:marLeft w:val="0"/>
      <w:marRight w:val="0"/>
      <w:marTop w:val="0"/>
      <w:marBottom w:val="0"/>
      <w:divBdr>
        <w:top w:val="none" w:sz="0" w:space="0" w:color="auto"/>
        <w:left w:val="none" w:sz="0" w:space="0" w:color="auto"/>
        <w:bottom w:val="none" w:sz="0" w:space="0" w:color="auto"/>
        <w:right w:val="none" w:sz="0" w:space="0" w:color="auto"/>
      </w:divBdr>
    </w:div>
    <w:div w:id="424501783">
      <w:bodyDiv w:val="1"/>
      <w:marLeft w:val="0"/>
      <w:marRight w:val="0"/>
      <w:marTop w:val="0"/>
      <w:marBottom w:val="0"/>
      <w:divBdr>
        <w:top w:val="none" w:sz="0" w:space="0" w:color="auto"/>
        <w:left w:val="none" w:sz="0" w:space="0" w:color="auto"/>
        <w:bottom w:val="none" w:sz="0" w:space="0" w:color="auto"/>
        <w:right w:val="none" w:sz="0" w:space="0" w:color="auto"/>
      </w:divBdr>
      <w:divsChild>
        <w:div w:id="574898404">
          <w:marLeft w:val="0"/>
          <w:marRight w:val="0"/>
          <w:marTop w:val="34"/>
          <w:marBottom w:val="34"/>
          <w:divBdr>
            <w:top w:val="none" w:sz="0" w:space="0" w:color="auto"/>
            <w:left w:val="none" w:sz="0" w:space="0" w:color="auto"/>
            <w:bottom w:val="none" w:sz="0" w:space="0" w:color="auto"/>
            <w:right w:val="none" w:sz="0" w:space="0" w:color="auto"/>
          </w:divBdr>
        </w:div>
      </w:divsChild>
    </w:div>
    <w:div w:id="1244529922">
      <w:bodyDiv w:val="1"/>
      <w:marLeft w:val="0"/>
      <w:marRight w:val="0"/>
      <w:marTop w:val="0"/>
      <w:marBottom w:val="0"/>
      <w:divBdr>
        <w:top w:val="none" w:sz="0" w:space="0" w:color="auto"/>
        <w:left w:val="none" w:sz="0" w:space="0" w:color="auto"/>
        <w:bottom w:val="none" w:sz="0" w:space="0" w:color="auto"/>
        <w:right w:val="none" w:sz="0" w:space="0" w:color="auto"/>
      </w:divBdr>
    </w:div>
    <w:div w:id="1447504863">
      <w:bodyDiv w:val="1"/>
      <w:marLeft w:val="0"/>
      <w:marRight w:val="0"/>
      <w:marTop w:val="0"/>
      <w:marBottom w:val="0"/>
      <w:divBdr>
        <w:top w:val="none" w:sz="0" w:space="0" w:color="auto"/>
        <w:left w:val="none" w:sz="0" w:space="0" w:color="auto"/>
        <w:bottom w:val="none" w:sz="0" w:space="0" w:color="auto"/>
        <w:right w:val="none" w:sz="0" w:space="0" w:color="auto"/>
      </w:divBdr>
    </w:div>
    <w:div w:id="1517693322">
      <w:bodyDiv w:val="1"/>
      <w:marLeft w:val="0"/>
      <w:marRight w:val="0"/>
      <w:marTop w:val="0"/>
      <w:marBottom w:val="0"/>
      <w:divBdr>
        <w:top w:val="none" w:sz="0" w:space="0" w:color="auto"/>
        <w:left w:val="none" w:sz="0" w:space="0" w:color="auto"/>
        <w:bottom w:val="none" w:sz="0" w:space="0" w:color="auto"/>
        <w:right w:val="none" w:sz="0" w:space="0" w:color="auto"/>
      </w:divBdr>
    </w:div>
    <w:div w:id="1677803998">
      <w:bodyDiv w:val="1"/>
      <w:marLeft w:val="0"/>
      <w:marRight w:val="0"/>
      <w:marTop w:val="0"/>
      <w:marBottom w:val="0"/>
      <w:divBdr>
        <w:top w:val="none" w:sz="0" w:space="0" w:color="auto"/>
        <w:left w:val="none" w:sz="0" w:space="0" w:color="auto"/>
        <w:bottom w:val="none" w:sz="0" w:space="0" w:color="auto"/>
        <w:right w:val="none" w:sz="0" w:space="0" w:color="auto"/>
      </w:divBdr>
    </w:div>
    <w:div w:id="1866597379">
      <w:bodyDiv w:val="1"/>
      <w:marLeft w:val="0"/>
      <w:marRight w:val="0"/>
      <w:marTop w:val="0"/>
      <w:marBottom w:val="0"/>
      <w:divBdr>
        <w:top w:val="none" w:sz="0" w:space="0" w:color="auto"/>
        <w:left w:val="none" w:sz="0" w:space="0" w:color="auto"/>
        <w:bottom w:val="none" w:sz="0" w:space="0" w:color="auto"/>
        <w:right w:val="none" w:sz="0" w:space="0" w:color="auto"/>
      </w:divBdr>
    </w:div>
    <w:div w:id="19919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w.j.pontefract@sheffield.ac.u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0123-6D6D-4F36-8281-D1CCD0AA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4121</Words>
  <Characters>23496</Characters>
  <Application>Microsoft Office Word</Application>
  <DocSecurity>4</DocSecurity>
  <Lines>195</Lines>
  <Paragraphs>55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Karen Drake</cp:lastModifiedBy>
  <cp:revision>2</cp:revision>
  <cp:lastPrinted>2016-02-19T01:48:00Z</cp:lastPrinted>
  <dcterms:created xsi:type="dcterms:W3CDTF">2017-02-09T09:23:00Z</dcterms:created>
  <dcterms:modified xsi:type="dcterms:W3CDTF">2017-02-09T09:23:00Z</dcterms:modified>
</cp:coreProperties>
</file>