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1F06" w14:textId="77777777" w:rsidR="00661045" w:rsidRDefault="00B42F12" w:rsidP="00212C7F">
      <w:pPr>
        <w:pStyle w:val="Articletitle"/>
        <w:jc w:val="both"/>
      </w:pPr>
      <w:bookmarkStart w:id="0" w:name="_GoBack"/>
      <w:bookmarkEnd w:id="0"/>
      <w:r w:rsidRPr="00B42F12">
        <w:t xml:space="preserve">An ‘undeliberate determinacy’? </w:t>
      </w:r>
      <w:r>
        <w:t>C</w:t>
      </w:r>
      <w:r w:rsidRPr="00B42F12">
        <w:t>hanging migration strategies of Polish migrants in the UK</w:t>
      </w:r>
      <w:r>
        <w:t xml:space="preserve"> in times of Brexit</w:t>
      </w:r>
    </w:p>
    <w:p w14:paraId="1EC01F07" w14:textId="77777777" w:rsidR="00442B9C" w:rsidRDefault="00B42F12" w:rsidP="00212C7F">
      <w:pPr>
        <w:pStyle w:val="Authornames"/>
        <w:jc w:val="both"/>
      </w:pPr>
      <w:r>
        <w:t>Derek McGhee, Chris Moreh and Athina Vlachantoni</w:t>
      </w:r>
    </w:p>
    <w:p w14:paraId="1EC01F08" w14:textId="77777777" w:rsidR="00997B0F" w:rsidRDefault="00997B0F" w:rsidP="00212C7F">
      <w:pPr>
        <w:pStyle w:val="Affiliation"/>
        <w:jc w:val="both"/>
      </w:pPr>
      <w:r>
        <w:t>Department</w:t>
      </w:r>
      <w:r w:rsidR="00B42F12">
        <w:t xml:space="preserve"> of Social Sciences</w:t>
      </w:r>
      <w:r>
        <w:t>, University</w:t>
      </w:r>
      <w:r w:rsidR="00B42F12">
        <w:t xml:space="preserve"> of Southampton</w:t>
      </w:r>
      <w:r>
        <w:t xml:space="preserve">, </w:t>
      </w:r>
      <w:r w:rsidR="00B42F12">
        <w:t>Southampton, United Kingdom</w:t>
      </w:r>
    </w:p>
    <w:p w14:paraId="1EC01F0B" w14:textId="77777777" w:rsidR="00AD060D" w:rsidRPr="000521C9" w:rsidRDefault="00AD060D" w:rsidP="00212C7F">
      <w:pPr>
        <w:spacing w:line="240" w:lineRule="auto"/>
        <w:jc w:val="both"/>
        <w:rPr>
          <w:color w:val="FF0000"/>
        </w:rPr>
      </w:pPr>
    </w:p>
    <w:p w14:paraId="1EC01F27" w14:textId="4C67BD5C" w:rsidR="00ED380E" w:rsidRDefault="00ED380E" w:rsidP="00212C7F">
      <w:pPr>
        <w:pStyle w:val="Articletitle"/>
        <w:spacing w:after="0" w:line="240" w:lineRule="auto"/>
        <w:jc w:val="both"/>
        <w:rPr>
          <w:b w:val="0"/>
          <w:sz w:val="22"/>
        </w:rPr>
      </w:pPr>
    </w:p>
    <w:p w14:paraId="1EC01F28" w14:textId="2BC9C920" w:rsidR="00C246C5" w:rsidRDefault="00C14585" w:rsidP="00212C7F">
      <w:pPr>
        <w:pStyle w:val="Articletitle"/>
        <w:spacing w:after="0" w:line="240" w:lineRule="auto"/>
        <w:jc w:val="both"/>
      </w:pPr>
      <w:r>
        <w:br w:type="page"/>
      </w:r>
      <w:r w:rsidR="00B42F12" w:rsidRPr="00B42F12">
        <w:lastRenderedPageBreak/>
        <w:t xml:space="preserve">An ‘undeliberate determinacy’? </w:t>
      </w:r>
      <w:r w:rsidR="00ED380E">
        <w:t>The c</w:t>
      </w:r>
      <w:r w:rsidR="00B42F12" w:rsidRPr="00B42F12">
        <w:t>hanging migration strategies of Polish migrants in the UK in times of Brexit</w:t>
      </w:r>
    </w:p>
    <w:p w14:paraId="1EC01F29" w14:textId="00A07ED8" w:rsidR="00266354" w:rsidRPr="00AA6984" w:rsidRDefault="004F08AF" w:rsidP="00212C7F">
      <w:pPr>
        <w:pStyle w:val="Abstract"/>
        <w:jc w:val="both"/>
      </w:pPr>
      <w:r w:rsidRPr="00AA6984">
        <w:t xml:space="preserve">In this paper we investigate the changes in Polish migrants’ so-called habitus of ‘deliberate indeterminacy’ as consequence of the United Kingdom’s vote to leave the European Union. </w:t>
      </w:r>
      <w:r w:rsidR="00AA6984" w:rsidRPr="00AA6984">
        <w:t xml:space="preserve">The paper reformulates classical questions regarding migrants’ plans to remain in the host country or to leave, in a ‘rights-based’ framework, where we consider migrants attitudes towards ‘civic integration’ measures such as permanent residence and naturalisation. </w:t>
      </w:r>
      <w:r w:rsidRPr="00AA6984">
        <w:t>Based on the quantitative analysis of original survey data we investigate the factors behind Polish migrants’ migration strategies, and we argue that basic socioeconomic and demographic factors are inadequate, on their own terms, to explain future migration and civic integration plans. Instead, we find that aspects such as interest in and awareness of one’s rights, as well as anxieties about the future are stronger determinants.</w:t>
      </w:r>
    </w:p>
    <w:p w14:paraId="1EC01F2A" w14:textId="033281D1" w:rsidR="0020415E" w:rsidRPr="004F08AF" w:rsidRDefault="00997B0F" w:rsidP="00212C7F">
      <w:pPr>
        <w:pStyle w:val="Keywords"/>
        <w:jc w:val="both"/>
      </w:pPr>
      <w:r w:rsidRPr="004F08AF">
        <w:t xml:space="preserve">Keywords: </w:t>
      </w:r>
      <w:r w:rsidR="004F08AF">
        <w:t>Polish migrants, strategies, Brexit, United Kingdom</w:t>
      </w:r>
    </w:p>
    <w:p w14:paraId="1EC01F2B" w14:textId="77777777" w:rsidR="00997B0F" w:rsidRDefault="004A1E42" w:rsidP="00212C7F">
      <w:pPr>
        <w:pStyle w:val="Heading1"/>
        <w:jc w:val="both"/>
      </w:pPr>
      <w:r>
        <w:t>Introduction</w:t>
      </w:r>
    </w:p>
    <w:p w14:paraId="7E68DAAB" w14:textId="39AC5D0D" w:rsidR="00E41CF3" w:rsidRDefault="004A1E42" w:rsidP="000521C9">
      <w:pPr>
        <w:pStyle w:val="Paragraph"/>
        <w:jc w:val="both"/>
      </w:pPr>
      <w:r w:rsidRPr="004A1E42">
        <w:t>The United Kingdom’s decision to leave the European Union – or ‘Brexit’, as it became colloquially known –</w:t>
      </w:r>
      <w:r w:rsidR="000521C9">
        <w:t xml:space="preserve"> </w:t>
      </w:r>
      <w:r w:rsidRPr="004A1E42">
        <w:t xml:space="preserve">raises various theoretical and empirical questions for migration scholars studying what less than a decade ago was still an emerging ‘new European migration system’ </w:t>
      </w:r>
      <w:r w:rsidRPr="004A1E42">
        <w:fldChar w:fldCharType="begin"/>
      </w:r>
      <w:r w:rsidR="00F25485">
        <w:instrText xml:space="preserve"> ADDIN EN.CITE &lt;EndNote&gt;&lt;Cite&gt;&lt;Author&gt;Favell&lt;/Author&gt;&lt;Year&gt;2008&lt;/Year&gt;&lt;RecNum&gt;213&lt;/RecNum&gt;&lt;DisplayText&gt;(Favell 2008)&lt;/DisplayText&gt;&lt;record&gt;&lt;rec-number&gt;213&lt;/rec-number&gt;&lt;foreign-keys&gt;&lt;key app="EN" db-id="0rx2xdvdhwtp2aefffjv5pzta0eztvftzd0a"&gt;213&lt;/key&gt;&lt;/foreign-keys&gt;&lt;ref-type name="Journal Article"&gt;17&lt;/ref-type&gt;&lt;contributors&gt;&lt;authors&gt;&lt;author&gt;Favell, Adrian&lt;/author&gt;&lt;/authors&gt;&lt;/contributors&gt;&lt;titles&gt;&lt;title&gt;The New Face of East–West Migration in Europe&lt;/title&gt;&lt;secondary-title&gt;Journal of Ethnic and Migration Studies&lt;/secondary-title&gt;&lt;/titles&gt;&lt;periodical&gt;&lt;full-title&gt;Journal of Ethnic and Migration Studies&lt;/full-title&gt;&lt;/periodical&gt;&lt;pages&gt;701-716&lt;/pages&gt;&lt;volume&gt;34&lt;/volume&gt;&lt;number&gt;5&lt;/number&gt;&lt;dates&gt;&lt;year&gt;2008&lt;/year&gt;&lt;pub-dates&gt;&lt;date&gt;2008/07/01&lt;/date&gt;&lt;/pub-dates&gt;&lt;/dates&gt;&lt;publisher&gt;Routledge&lt;/publisher&gt;&lt;isbn&gt;1369-183X&lt;/isbn&gt;&lt;urls&gt;&lt;related-urls&gt;&lt;url&gt;http://dx.doi.org/10.1080/13691830802105947&lt;/url&gt;&lt;/related-urls&gt;&lt;/urls&gt;&lt;electronic-resource-num&gt;10.1080/13691830802105947&lt;/electronic-resource-num&gt;&lt;/record&gt;&lt;/Cite&gt;&lt;/EndNote&gt;</w:instrText>
      </w:r>
      <w:r w:rsidRPr="004A1E42">
        <w:fldChar w:fldCharType="separate"/>
      </w:r>
      <w:r w:rsidR="00265929">
        <w:rPr>
          <w:noProof/>
        </w:rPr>
        <w:t>(Favell 2008)</w:t>
      </w:r>
      <w:r w:rsidRPr="004A1E42">
        <w:fldChar w:fldCharType="end"/>
      </w:r>
      <w:r w:rsidRPr="004A1E42">
        <w:t xml:space="preserve">, in which the ‘free movement of people’ served as the main driving force behind ‘horizontal Europeanisation’ </w:t>
      </w:r>
      <w:r w:rsidRPr="004A1E42">
        <w:fldChar w:fldCharType="begin"/>
      </w:r>
      <w:r w:rsidR="00F25485">
        <w:instrText xml:space="preserve"> ADDIN EN.CITE &lt;EndNote&gt;&lt;Cite&gt;&lt;Author&gt;Mau&lt;/Author&gt;&lt;Year&gt;2014&lt;/Year&gt;&lt;RecNum&gt;214&lt;/RecNum&gt;&lt;DisplayText&gt;(Mau and Verwiebe 2014)&lt;/DisplayText&gt;&lt;record&gt;&lt;rec-number&gt;214&lt;/rec-number&gt;&lt;foreign-keys&gt;&lt;key app="EN" db-id="0rx2xdvdhwtp2aefffjv5pzta0eztvftzd0a"&gt;214&lt;/key&gt;&lt;/foreign-keys&gt;&lt;ref-type name="Book"&gt;6&lt;/ref-type&gt;&lt;contributors&gt;&lt;authors&gt;&lt;author&gt;Mau, Steffen&lt;/author&gt;&lt;author&gt;Verwiebe, Roland&lt;/author&gt;&lt;/authors&gt;&lt;/contributors&gt;&lt;titles&gt;&lt;title&gt;European societies: Mapping structure and change&lt;/title&gt;&lt;/titles&gt;&lt;dates&gt;&lt;year&gt;2014&lt;/year&gt;&lt;/dates&gt;&lt;pub-location&gt;Bristol&lt;/pub-location&gt;&lt;publisher&gt;Policy Press&lt;/publisher&gt;&lt;isbn&gt;9781447317784&lt;/isbn&gt;&lt;urls&gt;&lt;related-urls&gt;&lt;url&gt;https://books.google.co.uk/books?id=bprhAwAAQBAJ&lt;/url&gt;&lt;/related-urls&gt;&lt;/urls&gt;&lt;/record&gt;&lt;/Cite&gt;&lt;/EndNote&gt;</w:instrText>
      </w:r>
      <w:r w:rsidRPr="004A1E42">
        <w:fldChar w:fldCharType="separate"/>
      </w:r>
      <w:r w:rsidR="00265929">
        <w:rPr>
          <w:noProof/>
        </w:rPr>
        <w:t>(Mau and Verwiebe 2014)</w:t>
      </w:r>
      <w:r w:rsidRPr="004A1E42">
        <w:fldChar w:fldCharType="end"/>
      </w:r>
      <w:r w:rsidRPr="004A1E42">
        <w:t xml:space="preserve">. </w:t>
      </w:r>
      <w:r w:rsidR="000521C9">
        <w:t xml:space="preserve">In the UK the </w:t>
      </w:r>
      <w:r w:rsidR="000521C9" w:rsidRPr="00AD060D">
        <w:t xml:space="preserve">largest </w:t>
      </w:r>
      <w:r w:rsidR="000521C9">
        <w:t xml:space="preserve">single national </w:t>
      </w:r>
      <w:r w:rsidR="000521C9" w:rsidRPr="00AD060D">
        <w:t>group</w:t>
      </w:r>
      <w:r w:rsidR="000521C9">
        <w:t xml:space="preserve"> among the </w:t>
      </w:r>
      <w:r w:rsidR="00212C7F" w:rsidRPr="00AD060D">
        <w:t xml:space="preserve">new arrivals </w:t>
      </w:r>
      <w:r w:rsidR="000521C9">
        <w:t xml:space="preserve">were </w:t>
      </w:r>
      <w:r w:rsidR="00212C7F" w:rsidRPr="004D50E2">
        <w:t xml:space="preserve">Polish citizens </w:t>
      </w:r>
      <w:r w:rsidR="00212C7F" w:rsidRPr="004D50E2">
        <w:fldChar w:fldCharType="begin">
          <w:fldData xml:space="preserve">PEVuZE5vdGU+PENpdGU+PEF1dGhvcj5XaGl0ZTwvQXV0aG9yPjxZZWFyPjIwMTE8L1llYXI+PFJl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</w:fldData>
        </w:fldChar>
      </w:r>
      <w:r w:rsidR="00F25485">
        <w:instrText xml:space="preserve"> ADDIN EN.CITE </w:instrText>
      </w:r>
      <w:r w:rsidR="00F25485">
        <w:fldChar w:fldCharType="begin">
          <w:fldData xml:space="preserve">PEVuZE5vdGU+PENpdGU+PEF1dGhvcj5XaGl0ZTwvQXV0aG9yPjxZZWFyPjIwMTE8L1llYXI+PFJl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</w:fldData>
        </w:fldChar>
      </w:r>
      <w:r w:rsidR="00F25485">
        <w:instrText xml:space="preserve"> ADDIN EN.CITE.DATA </w:instrText>
      </w:r>
      <w:r w:rsidR="00F25485">
        <w:fldChar w:fldCharType="end"/>
      </w:r>
      <w:r w:rsidR="00212C7F" w:rsidRPr="004D50E2">
        <w:fldChar w:fldCharType="separate"/>
      </w:r>
      <w:r w:rsidR="00E41CF3">
        <w:rPr>
          <w:noProof/>
        </w:rPr>
        <w:t>(White 2011; Burrell 2009)</w:t>
      </w:r>
      <w:r w:rsidR="00212C7F" w:rsidRPr="004D50E2">
        <w:fldChar w:fldCharType="end"/>
      </w:r>
      <w:r w:rsidR="004D50E2">
        <w:t xml:space="preserve">, and early research into this new migratory phenomenon has identified transience and flexibility as one of its main characteristics </w:t>
      </w:r>
      <w:r w:rsidR="00212C7F" w:rsidRPr="00AD060D">
        <w:fldChar w:fldCharType="begin"/>
      </w:r>
      <w:r w:rsidR="00F25485">
        <w:instrText xml:space="preserve"> ADDIN EN.CITE &lt;EndNote&gt;&lt;Cite&gt;&lt;Author&gt;Eade&lt;/Author&gt;&lt;Year&gt;2007&lt;/Year&gt;&lt;RecNum&gt;310&lt;/RecNum&gt;&lt;DisplayText&gt;(Eade, Drinkwater, and Garapich 2007)&lt;/DisplayText&gt;&lt;record&gt;&lt;rec-number&gt;310&lt;/rec-number&gt;&lt;foreign-keys&gt;&lt;key app="EN" db-id="0rx2xdvdhwtp2aefffjv5pzta0eztvftzd0a"&gt;310&lt;/key&gt;&lt;/foreign-keys&gt;&lt;ref-type name="Report"&gt;27&lt;/ref-type&gt;&lt;contributors&gt;&lt;authors&gt;&lt;author&gt;Eade, John&lt;/author&gt;&lt;author&gt;Drinkwater, Stephen&lt;/author&gt;&lt;author&gt;Garapich, Michal&lt;/author&gt;&lt;/authors&gt;&lt;/contributors&gt;&lt;titles&gt;&lt;title&gt;Class and Ethnicity - Polish Migrants in London&lt;/title&gt;&lt;secondary-title&gt;Research Report for the RES-000-22-1294 ESRC project&lt;/secondary-title&gt;&lt;/titles&gt;&lt;dates&gt;&lt;year&gt;2007&lt;/year&gt;&lt;/dates&gt;&lt;publisher&gt;University of Surrey, Centre for Research on Nationalism, Ethnicity and Multiculturalism&lt;/publisher&gt;&lt;urls&gt;&lt;/urls&gt;&lt;/record&gt;&lt;/Cite&gt;&lt;/EndNote&gt;</w:instrText>
      </w:r>
      <w:r w:rsidR="00212C7F" w:rsidRPr="00AD060D">
        <w:fldChar w:fldCharType="separate"/>
      </w:r>
      <w:r w:rsidR="00212C7F">
        <w:rPr>
          <w:noProof/>
        </w:rPr>
        <w:t>(Eade, Drinkwater, and Garapich 2007)</w:t>
      </w:r>
      <w:r w:rsidR="00212C7F" w:rsidRPr="00AD060D">
        <w:fldChar w:fldCharType="end"/>
      </w:r>
      <w:r w:rsidR="004D50E2">
        <w:t xml:space="preserve">. </w:t>
      </w:r>
      <w:r w:rsidR="00E41CF3">
        <w:t xml:space="preserve">However, </w:t>
      </w:r>
      <w:r w:rsidR="00212C7F" w:rsidRPr="00AD060D">
        <w:t>concomitantly with the</w:t>
      </w:r>
      <w:r w:rsidR="00E41CF3">
        <w:t xml:space="preserve">ir settlement in the UK, </w:t>
      </w:r>
      <w:r w:rsidR="00212C7F" w:rsidRPr="00AD060D">
        <w:t xml:space="preserve">research on Polish migrants over the past decade has increasingly </w:t>
      </w:r>
      <w:r w:rsidR="00E41CF3">
        <w:t>emphasized</w:t>
      </w:r>
      <w:r w:rsidR="00212C7F" w:rsidRPr="00AD060D">
        <w:t xml:space="preserve"> </w:t>
      </w:r>
      <w:r w:rsidR="00E41CF3">
        <w:t xml:space="preserve">the </w:t>
      </w:r>
      <w:r w:rsidR="00212C7F" w:rsidRPr="00AD060D">
        <w:t>ideals and desires of a</w:t>
      </w:r>
      <w:r w:rsidR="00E41CF3">
        <w:t>chieving a settled,</w:t>
      </w:r>
      <w:r w:rsidR="00212C7F" w:rsidRPr="00AD060D">
        <w:t xml:space="preserve"> ‘normal’ life </w:t>
      </w:r>
      <w:r w:rsidR="00212C7F" w:rsidRPr="00AD060D">
        <w:fldChar w:fldCharType="begin">
          <w:fldData xml:space="preserve">PEVuZE5vdGU+PENpdGU+PEF1dGhvcj5HYWxhc2nFhHNrYTwvQXV0aG9yPjxZZWFyPjIwMDk8L1ll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</w:fldData>
        </w:fldChar>
      </w:r>
      <w:r w:rsidR="00F25485">
        <w:instrText xml:space="preserve"> ADDIN EN.CITE </w:instrText>
      </w:r>
      <w:r w:rsidR="00F25485">
        <w:fldChar w:fldCharType="begin">
          <w:fldData xml:space="preserve">PEVuZE5vdGU+PENpdGU+PEF1dGhvcj5HYWxhc2nFhHNrYTwvQXV0aG9yPjxZZWFyPjIwMDk8L1ll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</w:fldData>
        </w:fldChar>
      </w:r>
      <w:r w:rsidR="00F25485">
        <w:instrText xml:space="preserve"> ADDIN EN.CITE.DATA </w:instrText>
      </w:r>
      <w:r w:rsidR="00F25485">
        <w:fldChar w:fldCharType="end"/>
      </w:r>
      <w:r w:rsidR="00212C7F" w:rsidRPr="00AD060D">
        <w:fldChar w:fldCharType="separate"/>
      </w:r>
      <w:r w:rsidR="00212C7F">
        <w:rPr>
          <w:noProof/>
        </w:rPr>
        <w:t>(Galasińska and Kozłowska 2009; Lopez Rodriguez 2010; McGhee, Heath, and Trevena 2012)</w:t>
      </w:r>
      <w:r w:rsidR="00212C7F" w:rsidRPr="00AD060D">
        <w:fldChar w:fldCharType="end"/>
      </w:r>
      <w:r w:rsidR="00212C7F" w:rsidRPr="00AD060D">
        <w:t xml:space="preserve">. The </w:t>
      </w:r>
      <w:r w:rsidR="00404588">
        <w:t>UK</w:t>
      </w:r>
      <w:r w:rsidR="00212C7F" w:rsidRPr="00AD060D">
        <w:t xml:space="preserve">’s departure from the European Union and the inevitable change in the legal status of resident </w:t>
      </w:r>
      <w:r w:rsidR="00E41CF3">
        <w:t>Polish</w:t>
      </w:r>
      <w:r w:rsidR="00212C7F" w:rsidRPr="00AD060D">
        <w:t xml:space="preserve"> nationals </w:t>
      </w:r>
      <w:r w:rsidR="00212C7F" w:rsidRPr="00AD060D">
        <w:lastRenderedPageBreak/>
        <w:t>– whatever particular shape that will take – will unavoidabl</w:t>
      </w:r>
      <w:r w:rsidR="00E41CF3">
        <w:t>y</w:t>
      </w:r>
      <w:r w:rsidR="00212C7F" w:rsidRPr="00AD060D">
        <w:t xml:space="preserve"> impact on the two contrasting trends of ‘</w:t>
      </w:r>
      <w:r w:rsidR="00E41CF3">
        <w:t xml:space="preserve">transience’ and ‘settlement’. </w:t>
      </w:r>
    </w:p>
    <w:p w14:paraId="1EC01F2F" w14:textId="4E23CBE2" w:rsidR="00212C7F" w:rsidRPr="00AD060D" w:rsidRDefault="00212C7F" w:rsidP="0054606D">
      <w:pPr>
        <w:pStyle w:val="Newparagraph"/>
        <w:jc w:val="both"/>
      </w:pPr>
      <w:r w:rsidRPr="00AD060D">
        <w:t xml:space="preserve">In this paper we provide an early assessment of how ‘Brexit’ affects Polish migrants in the </w:t>
      </w:r>
      <w:r w:rsidR="00404588">
        <w:t>UK</w:t>
      </w:r>
      <w:r w:rsidRPr="00AD060D">
        <w:t xml:space="preserve">, focusing specifically on the question of migration plans and strategies, which has been a core theme in the research literature from the very early post-Accession studies to the present </w:t>
      </w:r>
      <w:r w:rsidRPr="00AD060D">
        <w:fldChar w:fldCharType="begin">
          <w:fldData xml:space="preserve">PEVuZE5vdGU+PENpdGU+PEF1dGhvcj5Ecmlua3dhdGVyPC9BdXRob3I+PFllYXI+MjAxNTwvWWVh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</w:fldData>
        </w:fldChar>
      </w:r>
      <w:r w:rsidR="00F25485">
        <w:instrText xml:space="preserve"> ADDIN EN.CITE </w:instrText>
      </w:r>
      <w:r w:rsidR="00F25485">
        <w:fldChar w:fldCharType="begin">
          <w:fldData xml:space="preserve">PEVuZE5vdGU+PENpdGU+PEF1dGhvcj5Ecmlua3dhdGVyPC9BdXRob3I+PFllYXI+MjAxNTwvWWVh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</w:fldData>
        </w:fldChar>
      </w:r>
      <w:r w:rsidR="00F25485">
        <w:instrText xml:space="preserve"> ADDIN EN.CITE.DATA </w:instrText>
      </w:r>
      <w:r w:rsidR="00F25485">
        <w:fldChar w:fldCharType="end"/>
      </w:r>
      <w:r w:rsidRPr="00AD060D">
        <w:fldChar w:fldCharType="separate"/>
      </w:r>
      <w:r>
        <w:rPr>
          <w:noProof/>
        </w:rPr>
        <w:t>(Drinkwater and Garapich 2015; Eade, Drinkwater, and Garapich 2007; Burrell 2010)</w:t>
      </w:r>
      <w:r w:rsidRPr="00AD060D">
        <w:fldChar w:fldCharType="end"/>
      </w:r>
      <w:r w:rsidRPr="00AD060D">
        <w:t xml:space="preserve">. As Burrell </w:t>
      </w:r>
      <w:r w:rsidR="0054606D" w:rsidRPr="00AD060D">
        <w:fldChar w:fldCharType="begin"/>
      </w:r>
      <w:r w:rsidR="00F25485">
        <w:instrText xml:space="preserve"> ADDIN EN.CITE &lt;EndNote&gt;&lt;Cite ExcludeAuth="1"&gt;&lt;Author&gt;Burrell&lt;/Author&gt;&lt;Year&gt;2010&lt;/Year&gt;&lt;RecNum&gt;219&lt;/RecNum&gt;&lt;Pages&gt;299&lt;/Pages&gt;&lt;DisplayText&gt;(2010, 299)&lt;/DisplayText&gt;&lt;record&gt;&lt;rec-number&gt;219&lt;/rec-number&gt;&lt;foreign-keys&gt;&lt;key app="EN" db-id="0rx2xdvdhwtp2aefffjv5pzta0eztvftzd0a"&gt;219&lt;/key&gt;&lt;/foreign-keys&gt;&lt;ref-type name="Journal Article"&gt;17&lt;/ref-type&gt;&lt;contributors&gt;&lt;authors&gt;&lt;author&gt;Burrell, Kathy&lt;/author&gt;&lt;/authors&gt;&lt;/contributors&gt;&lt;titles&gt;&lt;title&gt;Staying, returning, working and living: key themes in current academic research undertaken in the UK on migration movements from Eastern Europe&lt;/title&gt;&lt;secondary-title&gt;Social Identities&lt;/secondary-title&gt;&lt;/titles&gt;&lt;periodical&gt;&lt;full-title&gt;Social Identities&lt;/full-title&gt;&lt;/periodical&gt;&lt;pages&gt;297-308&lt;/pages&gt;&lt;volume&gt;16&lt;/volume&gt;&lt;number&gt;3&lt;/number&gt;&lt;dates&gt;&lt;year&gt;2010&lt;/year&gt;&lt;pub-dates&gt;&lt;date&gt;2010/05/01&lt;/date&gt;&lt;/pub-dates&gt;&lt;/dates&gt;&lt;publisher&gt;Routledge&lt;/publisher&gt;&lt;isbn&gt;1350-4630&lt;/isbn&gt;&lt;urls&gt;&lt;related-urls&gt;&lt;url&gt;http://dx.doi.org/10.1080/13504630.2010.482401&lt;/url&gt;&lt;/related-urls&gt;&lt;/urls&gt;&lt;electronic-resource-num&gt;10.1080/13504630.2010.482401&lt;/electronic-resource-num&gt;&lt;access-date&gt;2011/12/01&lt;/access-date&gt;&lt;/record&gt;&lt;/Cite&gt;&lt;/EndNote&gt;</w:instrText>
      </w:r>
      <w:r w:rsidR="0054606D" w:rsidRPr="00AD060D">
        <w:fldChar w:fldCharType="separate"/>
      </w:r>
      <w:r w:rsidR="0054606D">
        <w:rPr>
          <w:noProof/>
        </w:rPr>
        <w:t>(2010, 299)</w:t>
      </w:r>
      <w:r w:rsidR="0054606D" w:rsidRPr="00AD060D">
        <w:fldChar w:fldCharType="end"/>
      </w:r>
      <w:r w:rsidR="0054606D" w:rsidRPr="00AD060D">
        <w:t xml:space="preserve"> </w:t>
      </w:r>
      <w:r w:rsidRPr="00AD060D">
        <w:t xml:space="preserve"> noted, </w:t>
      </w:r>
      <w:r w:rsidR="0054606D">
        <w:t>Polish migrants have long constituted ‘</w:t>
      </w:r>
      <w:r w:rsidRPr="00AD060D">
        <w:t>a diverse, not entirely predictable, population, all existing within the same economic framework but formulating different str</w:t>
      </w:r>
      <w:r w:rsidR="0054606D">
        <w:t xml:space="preserve">ategies of migration and return’ which will most likely ‘change over time’. </w:t>
      </w:r>
      <w:r w:rsidRPr="00AD060D">
        <w:t xml:space="preserve">The Brexit vote has introduced an additional element of uncertainty to the complexity of </w:t>
      </w:r>
      <w:r w:rsidR="0054606D">
        <w:t xml:space="preserve">Polish migrants’ </w:t>
      </w:r>
      <w:r w:rsidRPr="00AD060D">
        <w:t xml:space="preserve">active and passive plans and strategies, and the aim of this paper is primarily to </w:t>
      </w:r>
      <w:r w:rsidR="00F71C26">
        <w:t>further explore such strategies</w:t>
      </w:r>
      <w:r w:rsidR="00AA6984">
        <w:t xml:space="preserve"> in the context of Brexit</w:t>
      </w:r>
      <w:r w:rsidRPr="00AD060D">
        <w:t>. To this end</w:t>
      </w:r>
      <w:r w:rsidR="00F71C26">
        <w:t>,</w:t>
      </w:r>
      <w:r w:rsidRPr="00AD060D">
        <w:t xml:space="preserve"> we </w:t>
      </w:r>
      <w:r w:rsidR="0054606D">
        <w:t xml:space="preserve">present results from </w:t>
      </w:r>
      <w:r w:rsidRPr="00AD060D">
        <w:t>a quantitative analysis o</w:t>
      </w:r>
      <w:r w:rsidR="0054606D">
        <w:t>f</w:t>
      </w:r>
      <w:r w:rsidRPr="00AD060D">
        <w:t xml:space="preserve"> data obtained from a purposefully</w:t>
      </w:r>
      <w:r w:rsidR="00F71C26">
        <w:t>-</w:t>
      </w:r>
      <w:r w:rsidRPr="00AD060D">
        <w:t xml:space="preserve">designed </w:t>
      </w:r>
      <w:r w:rsidR="00AA6984">
        <w:t>and ‘</w:t>
      </w:r>
      <w:r w:rsidRPr="00AD060D">
        <w:t>targeted</w:t>
      </w:r>
      <w:r w:rsidR="00AA6984">
        <w:t>’</w:t>
      </w:r>
      <w:r w:rsidRPr="00AD060D">
        <w:t xml:space="preserve"> online survey carried out in the months leading up to the EU Referendum. The survey </w:t>
      </w:r>
      <w:r w:rsidR="00D04EBF">
        <w:t>had</w:t>
      </w:r>
      <w:r w:rsidRPr="00AD060D">
        <w:t xml:space="preserve"> the </w:t>
      </w:r>
      <w:r w:rsidR="00D04EBF">
        <w:t xml:space="preserve">broader </w:t>
      </w:r>
      <w:r w:rsidRPr="00AD060D">
        <w:t xml:space="preserve">goal of assessing </w:t>
      </w:r>
      <w:r w:rsidR="00D04EBF">
        <w:t>different EU migrants’</w:t>
      </w:r>
      <w:r w:rsidRPr="00AD060D">
        <w:t xml:space="preserve"> opinions on the Referendum, </w:t>
      </w:r>
      <w:r w:rsidR="00D04EBF">
        <w:t xml:space="preserve">their </w:t>
      </w:r>
      <w:r w:rsidRPr="00AD060D">
        <w:t xml:space="preserve">future plans and coping strategies </w:t>
      </w:r>
      <w:r w:rsidR="00D04EBF">
        <w:t>in the event of a potential</w:t>
      </w:r>
      <w:r w:rsidRPr="00AD060D">
        <w:t xml:space="preserve"> Brexit vote, as well as their attitudes towards British citizenship. The focus on the latter was driven by </w:t>
      </w:r>
      <w:r w:rsidR="00D04EBF">
        <w:t xml:space="preserve">the already noticeable surge </w:t>
      </w:r>
      <w:r w:rsidRPr="00AD060D">
        <w:t>in applications for British citizenship by EU nationals</w:t>
      </w:r>
      <w:r w:rsidR="002006A1">
        <w:t>,</w:t>
      </w:r>
      <w:r w:rsidRPr="00AD060D">
        <w:t xml:space="preserve"> stirred by fears regarding the UK’s</w:t>
      </w:r>
      <w:r w:rsidR="00D04EBF">
        <w:t xml:space="preserve"> uncertain future EU membership</w:t>
      </w:r>
      <w:r w:rsidRPr="00AD060D">
        <w:t xml:space="preserve"> </w:t>
      </w:r>
      <w:r w:rsidRPr="00AD060D">
        <w:fldChar w:fldCharType="begin">
          <w:fldData xml:space="preserve">PEVuZE5vdGU+PENpdGU+PEF1dGhvcj5NY0doZWU8L0F1dGhvcj48WWVhcj4yMDE2PC9ZZWFyPjxS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</w:fldData>
        </w:fldChar>
      </w:r>
      <w:r w:rsidR="00F25485">
        <w:instrText xml:space="preserve"> ADDIN EN.CITE </w:instrText>
      </w:r>
      <w:r w:rsidR="00F25485">
        <w:fldChar w:fldCharType="begin">
          <w:fldData xml:space="preserve">PEVuZE5vdGU+PENpdGU+PEF1dGhvcj5NY0doZWU8L0F1dGhvcj48WWVhcj4yMDE2PC9ZZWFyPjxS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</w:fldData>
        </w:fldChar>
      </w:r>
      <w:r w:rsidR="00F25485">
        <w:instrText xml:space="preserve"> ADDIN EN.CITE.DATA </w:instrText>
      </w:r>
      <w:r w:rsidR="00F25485">
        <w:fldChar w:fldCharType="end"/>
      </w:r>
      <w:r w:rsidRPr="00AD060D">
        <w:fldChar w:fldCharType="separate"/>
      </w:r>
      <w:r w:rsidR="00906836">
        <w:rPr>
          <w:noProof/>
        </w:rPr>
        <w:t>(McGhee and Piętka-Nykaza 2016; Ryan 2015)</w:t>
      </w:r>
      <w:r w:rsidRPr="00AD060D">
        <w:fldChar w:fldCharType="end"/>
      </w:r>
      <w:r w:rsidRPr="00AD060D">
        <w:t xml:space="preserve">. </w:t>
      </w:r>
      <w:r w:rsidR="00D04EBF">
        <w:t>I</w:t>
      </w:r>
      <w:r w:rsidRPr="00AD060D">
        <w:t>n this paper we focus on a sample of 894 Polish</w:t>
      </w:r>
      <w:r w:rsidR="00D04EBF">
        <w:t xml:space="preserve"> respondents</w:t>
      </w:r>
      <w:r w:rsidRPr="00AD060D">
        <w:t xml:space="preserve">. This allows </w:t>
      </w:r>
      <w:r w:rsidR="00210245">
        <w:t>us to draw</w:t>
      </w:r>
      <w:r w:rsidRPr="00AD060D">
        <w:t xml:space="preserve"> closer parallels with the existing literature, and provides more reliable grounds for extrapolation to a Polish migrant community which is currently the largest non-British national group in the </w:t>
      </w:r>
      <w:r w:rsidR="00404588">
        <w:t>UK</w:t>
      </w:r>
      <w:r w:rsidRPr="00AD060D">
        <w:t>, estimated at 916,000</w:t>
      </w:r>
      <w:r w:rsidR="002006A1">
        <w:t xml:space="preserve"> individuals</w:t>
      </w:r>
      <w:r w:rsidRPr="00AD060D">
        <w:t xml:space="preserve">, and making up 29% of all EU nationals living in the </w:t>
      </w:r>
      <w:r w:rsidR="00404588">
        <w:t>country</w:t>
      </w:r>
      <w:r w:rsidRPr="00AD060D">
        <w:t xml:space="preserve"> </w:t>
      </w:r>
      <w:r w:rsidRPr="00AD060D">
        <w:fldChar w:fldCharType="begin"/>
      </w:r>
      <w:r w:rsidR="00F25485">
        <w:instrText xml:space="preserve"> ADDIN EN.CITE &lt;EndNote&gt;&lt;Cite&gt;&lt;Author&gt;ONS&lt;/Author&gt;&lt;Year&gt;2016&lt;/Year&gt;&lt;RecNum&gt;284&lt;/RecNum&gt;&lt;DisplayText&gt;(ONS 2016)&lt;/DisplayText&gt;&lt;record&gt;&lt;rec-number&gt;284&lt;/rec-number&gt;&lt;foreign-keys&gt;&lt;key app="EN" db-id="0rx2xdvdhwtp2aefffjv5pzta0eztvftzd0a"&gt;284&lt;/key&gt;&lt;/foreign-keys&gt;&lt;ref-type name="Dataset"&gt;59&lt;/ref-type&gt;&lt;contributors&gt;&lt;authors&gt;&lt;author&gt;ONS&lt;/author&gt;&lt;/authors&gt;&lt;secondary-authors&gt;&lt;author&gt;Office for National Statistics&lt;/author&gt;&lt;/secondary-authors&gt;&lt;/contributors&gt;&lt;titles&gt;&lt;title&gt;Population by Country of Birth and Nationality, 2015&lt;/title&gt;&lt;/titles&gt;&lt;dates&gt;&lt;year&gt;2016&lt;/year&gt;&lt;pub-dates&gt;&lt;date&gt;27 August&lt;/date&gt;&lt;/pub-dates&gt;&lt;/dates&gt;&lt;urls&gt;&lt;related-urls&gt;&lt;url&gt;http://www.ons.gov.uk&lt;/url&gt;&lt;/related-urls&gt;&lt;/urls&gt;&lt;/record&gt;&lt;/Cite&gt;&lt;/EndNote&gt;</w:instrText>
      </w:r>
      <w:r w:rsidRPr="00AD060D">
        <w:fldChar w:fldCharType="separate"/>
      </w:r>
      <w:r>
        <w:rPr>
          <w:noProof/>
        </w:rPr>
        <w:t>(ONS 2016)</w:t>
      </w:r>
      <w:r w:rsidRPr="00AD060D">
        <w:fldChar w:fldCharType="end"/>
      </w:r>
      <w:r w:rsidRPr="00AD060D">
        <w:t>.</w:t>
      </w:r>
    </w:p>
    <w:p w14:paraId="1EC01F30" w14:textId="20B61318" w:rsidR="00212C7F" w:rsidRDefault="00212C7F" w:rsidP="00212C7F">
      <w:pPr>
        <w:pStyle w:val="Newparagraph"/>
        <w:jc w:val="both"/>
      </w:pPr>
      <w:r w:rsidRPr="00AD060D">
        <w:lastRenderedPageBreak/>
        <w:t>This paper, therefore, makes a contribution to the literature on migra</w:t>
      </w:r>
      <w:r w:rsidR="002006A1">
        <w:t>nts’</w:t>
      </w:r>
      <w:r w:rsidRPr="00AD060D">
        <w:t xml:space="preserve"> intentions and strategies, while breaking new ground in </w:t>
      </w:r>
      <w:r w:rsidR="002006A1">
        <w:t>our</w:t>
      </w:r>
      <w:r w:rsidR="002006A1" w:rsidRPr="00AD060D">
        <w:t xml:space="preserve"> </w:t>
      </w:r>
      <w:r w:rsidRPr="00AD060D">
        <w:t xml:space="preserve">understanding of the effects of Brexit </w:t>
      </w:r>
      <w:r w:rsidR="002006A1">
        <w:t xml:space="preserve">as perceived by </w:t>
      </w:r>
      <w:r w:rsidRPr="00AD060D">
        <w:t>the UK</w:t>
      </w:r>
      <w:r w:rsidR="00382ECC">
        <w:t>’s</w:t>
      </w:r>
      <w:r w:rsidRPr="00AD060D">
        <w:t xml:space="preserve"> Polish migrant community. First, we examine more closely the literature on migration intentions, with a particular focus on the concept of ‘intentional unpredictability’, or ‘deliberate indeterminacy’, which </w:t>
      </w:r>
      <w:r w:rsidR="00382ECC">
        <w:t>has been repeatedly</w:t>
      </w:r>
      <w:r w:rsidRPr="00AD060D">
        <w:t xml:space="preserve"> highlighted as one of the most distinguishing characteristics</w:t>
      </w:r>
      <w:r w:rsidR="00382ECC">
        <w:t xml:space="preserve"> of mobility</w:t>
      </w:r>
      <w:r w:rsidRPr="00AD060D">
        <w:t xml:space="preserve"> </w:t>
      </w:r>
      <w:r w:rsidR="00382ECC">
        <w:t xml:space="preserve">throughout the first decade </w:t>
      </w:r>
      <w:r w:rsidRPr="00AD060D">
        <w:t xml:space="preserve">of post-Enlargement </w:t>
      </w:r>
      <w:r w:rsidR="00382ECC">
        <w:t>Polish migration</w:t>
      </w:r>
      <w:r w:rsidRPr="00AD060D">
        <w:t xml:space="preserve"> </w:t>
      </w:r>
      <w:r w:rsidRPr="00AD060D">
        <w:fldChar w:fldCharType="begin"/>
      </w:r>
      <w:r w:rsidR="00F25485">
        <w:instrText xml:space="preserve"> ADDIN EN.CITE &lt;EndNote&gt;&lt;Cite&gt;&lt;Author&gt;Eade&lt;/Author&gt;&lt;Year&gt;2007&lt;/Year&gt;&lt;RecNum&gt;235&lt;/RecNum&gt;&lt;DisplayText&gt;(Eade 2007; McGhee, Travena, and Heath 2015)&lt;/DisplayText&gt;&lt;record&gt;&lt;rec-number&gt;235&lt;/rec-number&gt;&lt;foreign-keys&gt;&lt;key app="EN" db-id="0rx2xdvdhwtp2aefffjv5pzta0eztvftzd0a"&gt;235&lt;/key&gt;&lt;/foreign-keys&gt;&lt;ref-type name="Report"&gt;27&lt;/ref-type&gt;&lt;contributors&gt;&lt;authors&gt;&lt;author&gt;Eade, John&lt;/author&gt;&lt;/authors&gt;&lt;/contributors&gt;&lt;titles&gt;&lt;title&gt;Class and Ethnicity: Polish Migrant Workers in London: Full Research Report.&lt;/title&gt;&lt;secondary-title&gt;ESRC End of Award Report, RES-000-22-1294&lt;/secondary-title&gt;&lt;/titles&gt;&lt;number&gt;Study number 6056&lt;/number&gt;&lt;dates&gt;&lt;year&gt;2007&lt;/year&gt;&lt;/dates&gt;&lt;pub-location&gt;Swindon&lt;/pub-location&gt;&lt;publisher&gt;ESRC&lt;/publisher&gt;&lt;urls&gt;&lt;/urls&gt;&lt;/record&gt;&lt;/Cite&gt;&lt;Cite&gt;&lt;Author&gt;McGhee&lt;/Author&gt;&lt;Year&gt;2015&lt;/Year&gt;&lt;RecNum&gt;53&lt;/RecNum&gt;&lt;record&gt;&lt;rec-number&gt;53&lt;/rec-number&gt;&lt;foreign-keys&gt;&lt;key app="EN" db-id="0rx2xdvdhwtp2aefffjv5pzta0eztvftzd0a"&gt;53&lt;/key&gt;&lt;/foreign-keys&gt;&lt;ref-type name="Journal Article"&gt;17&lt;/ref-type&gt;&lt;contributors&gt;&lt;authors&gt;&lt;author&gt;McGhee, Derek&lt;/author&gt;&lt;author&gt;Travena, Paulina&lt;/author&gt;&lt;author&gt;Heath, Sue&lt;/author&gt;&lt;/authors&gt;&lt;/contributors&gt;&lt;titles&gt;&lt;title&gt;Social Relationships and Relationships in Context: Post-Accession Poles in Southampton&lt;/title&gt;&lt;secondary-title&gt;Population, Space and Place&lt;/secondary-title&gt;&lt;/titles&gt;&lt;periodical&gt;&lt;full-title&gt;Population, Space and Place&lt;/full-title&gt;&lt;/periodical&gt;&lt;pages&gt;433-445&lt;/pages&gt;&lt;volume&gt;21&lt;/volume&gt;&lt;number&gt;5&lt;/number&gt;&lt;keywords&gt;&lt;keyword&gt;social capital&lt;/keyword&gt;&lt;keyword&gt;linguistic capabilities&lt;/keyword&gt;&lt;keyword&gt;Polish migrants&lt;/keyword&gt;&lt;keyword&gt;social networks&lt;/keyword&gt;&lt;/keywords&gt;&lt;dates&gt;&lt;year&gt;2015&lt;/year&gt;&lt;/dates&gt;&lt;isbn&gt;1544-8452&lt;/isbn&gt;&lt;urls&gt;&lt;related-urls&gt;&lt;url&gt;http://dx.doi.org/10.1002/psp.1922&lt;/url&gt;&lt;/related-urls&gt;&lt;/urls&gt;&lt;electronic-resource-num&gt;10.1002/psp.1922&lt;/electronic-resource-num&gt;&lt;modified-date&gt;Psp-14-0171&lt;/modified-date&gt;&lt;/record&gt;&lt;/Cite&gt;&lt;/EndNote&gt;</w:instrText>
      </w:r>
      <w:r w:rsidRPr="00AD060D">
        <w:fldChar w:fldCharType="separate"/>
      </w:r>
      <w:r w:rsidR="00382ECC">
        <w:rPr>
          <w:noProof/>
        </w:rPr>
        <w:t>(Eade 2007; McGhee, Travena, and Heath 2015)</w:t>
      </w:r>
      <w:r w:rsidRPr="00AD060D">
        <w:fldChar w:fldCharType="end"/>
      </w:r>
      <w:r w:rsidRPr="00AD060D">
        <w:t xml:space="preserve">. We then discuss our data and methods before moving on to our analysis and </w:t>
      </w:r>
      <w:r w:rsidR="00382ECC">
        <w:t>findings</w:t>
      </w:r>
      <w:r w:rsidR="002006A1">
        <w:t>, and contextualising the latter in the existing scholarship</w:t>
      </w:r>
      <w:r w:rsidR="00382ECC">
        <w:t>.</w:t>
      </w:r>
    </w:p>
    <w:p w14:paraId="1EC01F31" w14:textId="0DC36F7D" w:rsidR="00212C7F" w:rsidRDefault="00382ECC" w:rsidP="00212C7F">
      <w:pPr>
        <w:pStyle w:val="Heading1"/>
        <w:jc w:val="both"/>
      </w:pPr>
      <w:r>
        <w:t>Polish migration and the habitus of ‘</w:t>
      </w:r>
      <w:r w:rsidR="00212C7F" w:rsidRPr="00AD060D">
        <w:t>indeterminacy</w:t>
      </w:r>
      <w:r>
        <w:t>’</w:t>
      </w:r>
    </w:p>
    <w:p w14:paraId="1EC01F33" w14:textId="4F10B6E0" w:rsidR="00212C7F" w:rsidRPr="00AD060D" w:rsidRDefault="00AD5755" w:rsidP="00AD5755">
      <w:pPr>
        <w:pStyle w:val="Paragraph"/>
        <w:jc w:val="both"/>
      </w:pPr>
      <w:r>
        <w:t>A key theme</w:t>
      </w:r>
      <w:r w:rsidRPr="00AD5755">
        <w:t xml:space="preserve"> in the literature on post-Accession migration to the </w:t>
      </w:r>
      <w:r w:rsidR="00404588">
        <w:t>UK</w:t>
      </w:r>
      <w:r w:rsidRPr="00AD5755">
        <w:t xml:space="preserve"> </w:t>
      </w:r>
      <w:r w:rsidR="00210245">
        <w:t xml:space="preserve">is </w:t>
      </w:r>
      <w:r w:rsidRPr="00AD5755">
        <w:t>concerned</w:t>
      </w:r>
      <w:r w:rsidR="00210245">
        <w:t xml:space="preserve"> with</w:t>
      </w:r>
      <w:r w:rsidRPr="00AD5755">
        <w:t xml:space="preserve"> the new migrants’ intended length of stay and their plans </w:t>
      </w:r>
      <w:r w:rsidR="00210245">
        <w:t xml:space="preserve">with regard to either returning to their ‘home’ country </w:t>
      </w:r>
      <w:r w:rsidRPr="00AD5755">
        <w:t>or settlement</w:t>
      </w:r>
      <w:r w:rsidR="00210245">
        <w:t xml:space="preserve"> in the country of destination</w:t>
      </w:r>
      <w:r w:rsidRPr="00AD5755">
        <w:t xml:space="preserve"> </w:t>
      </w:r>
      <w:r w:rsidRPr="00AD5755">
        <w:fldChar w:fldCharType="begin"/>
      </w:r>
      <w:r w:rsidR="00F25485">
        <w:instrText xml:space="preserve"> ADDIN EN.CITE &lt;EndNote&gt;&lt;Cite&gt;&lt;Author&gt;Burrell&lt;/Author&gt;&lt;Year&gt;2010&lt;/Year&gt;&lt;RecNum&gt;219&lt;/RecNum&gt;&lt;DisplayText&gt;(Burrell 2010)&lt;/DisplayText&gt;&lt;record&gt;&lt;rec-number&gt;219&lt;/rec-number&gt;&lt;foreign-keys&gt;&lt;key app="EN" db-id="0rx2xdvdhwtp2aefffjv5pzta0eztvftzd0a"&gt;219&lt;/key&gt;&lt;/foreign-keys&gt;&lt;ref-type name="Journal Article"&gt;17&lt;/ref-type&gt;&lt;contributors&gt;&lt;authors&gt;&lt;author&gt;Burrell, Kathy&lt;/author&gt;&lt;/authors&gt;&lt;/contributors&gt;&lt;titles&gt;&lt;title&gt;Staying, returning, working and living: key themes in current academic research undertaken in the UK on migration movements from Eastern Europe&lt;/title&gt;&lt;secondary-title&gt;Social Identities&lt;/secondary-title&gt;&lt;/titles&gt;&lt;periodical&gt;&lt;full-title&gt;Social Identities&lt;/full-title&gt;&lt;/periodical&gt;&lt;pages&gt;297-308&lt;/pages&gt;&lt;volume&gt;16&lt;/volume&gt;&lt;number&gt;3&lt;/number&gt;&lt;dates&gt;&lt;year&gt;2010&lt;/year&gt;&lt;pub-dates&gt;&lt;date&gt;2010/05/01&lt;/date&gt;&lt;/pub-dates&gt;&lt;/dates&gt;&lt;publisher&gt;Routledge&lt;/publisher&gt;&lt;isbn&gt;1350-4630&lt;/isbn&gt;&lt;urls&gt;&lt;related-urls&gt;&lt;url&gt;http://dx.doi.org/10.1080/13504630.2010.482401&lt;/url&gt;&lt;/related-urls&gt;&lt;/urls&gt;&lt;electronic-resource-num&gt;10.1080/13504630.2010.482401&lt;/electronic-resource-num&gt;&lt;access-date&gt;2011/12/01&lt;/access-date&gt;&lt;/record&gt;&lt;/Cite&gt;&lt;/EndNote&gt;</w:instrText>
      </w:r>
      <w:r w:rsidRPr="00AD5755">
        <w:fldChar w:fldCharType="separate"/>
      </w:r>
      <w:r w:rsidRPr="00AD5755">
        <w:rPr>
          <w:noProof/>
        </w:rPr>
        <w:t>(Burrell 2010)</w:t>
      </w:r>
      <w:r w:rsidRPr="00AD5755">
        <w:fldChar w:fldCharType="end"/>
      </w:r>
      <w:r w:rsidRPr="00AD5755">
        <w:t>. Th</w:t>
      </w:r>
      <w:r w:rsidR="00210245">
        <w:t>e</w:t>
      </w:r>
      <w:r w:rsidRPr="00AD5755">
        <w:t xml:space="preserve"> interest in ‘return migration’ appeared mainly as part of wider sets of research questions, and has gained significant complexity over the years not least due to the proliferation of interest in different modalities of transnational belonging </w:t>
      </w:r>
      <w:r w:rsidRPr="00AD5755">
        <w:fldChar w:fldCharType="begin">
          <w:fldData xml:space="preserve">PEVuZE5vdGU+PENpdGU+PEF1dGhvcj5MZXZpdHQ8L0F1dGhvcj48WWVhcj4yMDA0PC9ZZWFyPjxS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</w:fldData>
        </w:fldChar>
      </w:r>
      <w:r w:rsidR="00F25485">
        <w:instrText xml:space="preserve"> ADDIN EN.CITE </w:instrText>
      </w:r>
      <w:r w:rsidR="00F25485">
        <w:fldChar w:fldCharType="begin">
          <w:fldData xml:space="preserve">PEVuZE5vdGU+PENpdGU+PEF1dGhvcj5MZXZpdHQ8L0F1dGhvcj48WWVhcj4yMDA0PC9ZZWFyPjxS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</w:fldData>
        </w:fldChar>
      </w:r>
      <w:r w:rsidR="00F25485">
        <w:instrText xml:space="preserve"> ADDIN EN.CITE.DATA </w:instrText>
      </w:r>
      <w:r w:rsidR="00F25485">
        <w:fldChar w:fldCharType="end"/>
      </w:r>
      <w:r w:rsidRPr="00AD5755">
        <w:fldChar w:fldCharType="separate"/>
      </w:r>
      <w:r w:rsidR="00906836">
        <w:rPr>
          <w:noProof/>
        </w:rPr>
        <w:t>(Levitt and Glick Schiller 2004; Ryan 2011; Heath, McGhee, and Trevena 2011)</w:t>
      </w:r>
      <w:r w:rsidRPr="00AD5755">
        <w:fldChar w:fldCharType="end"/>
      </w:r>
      <w:r w:rsidRPr="00AD5755">
        <w:t>.</w:t>
      </w:r>
      <w:r>
        <w:t xml:space="preserve"> T</w:t>
      </w:r>
      <w:r w:rsidR="00212C7F" w:rsidRPr="00AD060D">
        <w:t xml:space="preserve">he ease of travel and communication afforded by the so-called ‘time-space compression’ </w:t>
      </w:r>
      <w:r w:rsidR="00212C7F" w:rsidRPr="00AD060D">
        <w:fldChar w:fldCharType="begin"/>
      </w:r>
      <w:r w:rsidR="00F25485">
        <w:instrText xml:space="preserve"> ADDIN EN.CITE &lt;EndNote&gt;&lt;Cite&gt;&lt;Author&gt;Harvey&lt;/Author&gt;&lt;Year&gt;1989&lt;/Year&gt;&lt;RecNum&gt;308&lt;/RecNum&gt;&lt;DisplayText&gt;(Harvey 1989)&lt;/DisplayText&gt;&lt;record&gt;&lt;rec-number&gt;308&lt;/rec-number&gt;&lt;foreign-keys&gt;&lt;key app="EN" db-id="0rx2xdvdhwtp2aefffjv5pzta0eztvftzd0a"&gt;308&lt;/key&gt;&lt;/foreign-keys&gt;&lt;ref-type name="Book"&gt;6&lt;/ref-type&gt;&lt;contributors&gt;&lt;authors&gt;&lt;author&gt;Harvey, David&lt;/author&gt;&lt;/authors&gt;&lt;/contributors&gt;&lt;titles&gt;&lt;title&gt;The condition of postmodernity: an enquiry into the origins of cultural change&lt;/title&gt;&lt;/titles&gt;&lt;keywords&gt;&lt;keyword&gt;Civilization, Modern 1950-&lt;/keyword&gt;&lt;keyword&gt;Capitalism.&lt;/keyword&gt;&lt;keyword&gt;Space and time.&lt;/keyword&gt;&lt;keyword&gt;Postmodernism.&lt;/keyword&gt;&lt;/keywords&gt;&lt;dates&gt;&lt;year&gt;1989&lt;/year&gt;&lt;/dates&gt;&lt;pub-location&gt;Oxford&lt;/pub-location&gt;&lt;publisher&gt;Basil Blackwell&lt;/publisher&gt;&lt;isbn&gt;0631162941 (pbk) : ¹9.95&amp;#xD;0631162925 (cased) : ¹29.95&lt;/isbn&gt;&lt;accession-num&gt;b8913878&lt;/accession-num&gt;&lt;call-num&gt;306 19&amp;#xD;British Library HMNTS YH.1989.b.832&lt;/call-num&gt;&lt;urls&gt;&lt;/urls&gt;&lt;/record&gt;&lt;/Cite&gt;&lt;/EndNote&gt;</w:instrText>
      </w:r>
      <w:r w:rsidR="00212C7F" w:rsidRPr="00AD060D">
        <w:fldChar w:fldCharType="separate"/>
      </w:r>
      <w:r w:rsidR="00212C7F">
        <w:rPr>
          <w:noProof/>
        </w:rPr>
        <w:t>(Harvey 1989)</w:t>
      </w:r>
      <w:r w:rsidR="00212C7F" w:rsidRPr="00AD060D">
        <w:fldChar w:fldCharType="end"/>
      </w:r>
      <w:r w:rsidR="00212C7F" w:rsidRPr="00AD060D">
        <w:t>, complemented in Europe by the policy regime of free movement and equal treatment</w:t>
      </w:r>
      <w:r>
        <w:t xml:space="preserve"> of EU citizens</w:t>
      </w:r>
      <w:r w:rsidR="00212C7F" w:rsidRPr="00AD060D">
        <w:t xml:space="preserve">, allows for more opportunities not only for travelling but also for ‘living transnationally’, and </w:t>
      </w:r>
      <w:r>
        <w:t>this</w:t>
      </w:r>
      <w:r w:rsidR="00212C7F" w:rsidRPr="00AD060D">
        <w:t xml:space="preserve"> necessarily engenders novel mobility habita </w:t>
      </w:r>
      <w:r w:rsidR="00212C7F" w:rsidRPr="00AD060D">
        <w:fldChar w:fldCharType="begin"/>
      </w:r>
      <w:r w:rsidR="00F25485">
        <w:instrText xml:space="preserve"> ADDIN EN.CITE &lt;EndNote&gt;&lt;Cite&gt;&lt;Author&gt;Viry&lt;/Author&gt;&lt;Year&gt;2015&lt;/Year&gt;&lt;RecNum&gt;309&lt;/RecNum&gt;&lt;DisplayText&gt;(Viry and Kaufmann 2015; Levitt and Glick Schiller 2004)&lt;/DisplayText&gt;&lt;record&gt;&lt;rec-number&gt;309&lt;/rec-number&gt;&lt;foreign-keys&gt;&lt;key app="EN" db-id="0rx2xdvdhwtp2aefffjv5pzta0eztvftzd0a"&gt;309&lt;/key&gt;&lt;/foreign-keys&gt;&lt;ref-type name="Edited Book"&gt;28&lt;/ref-type&gt;&lt;contributors&gt;&lt;authors&gt;&lt;author&gt;Viry, Gil&lt;/author&gt;&lt;author&gt;Kaufmann, Vincent&lt;/author&gt;&lt;/authors&gt;&lt;/contributors&gt;&lt;titles&gt;&lt;title&gt;High Mobility in Europe: Work and Personal Life&lt;/title&gt;&lt;/titles&gt;&lt;dates&gt;&lt;year&gt;2015&lt;/year&gt;&lt;/dates&gt;&lt;pub-location&gt;London&lt;/pub-location&gt;&lt;publisher&gt;Palgrave Macmilllan&lt;/publisher&gt;&lt;isbn&gt;9781137447395 EPUB&amp;#xD;1137447397 EPUB&lt;/isbn&gt;&lt;call-num&gt;British Library HMNTS DRT ELD.DS.38282&lt;/call-num&gt;&lt;urls&gt;&lt;/urls&gt;&lt;/record&gt;&lt;/Cite&gt;&lt;Cite&gt;&lt;Author&gt;Levitt&lt;/Author&gt;&lt;Year&gt;2004&lt;/Year&gt;&lt;RecNum&gt;295&lt;/RecNum&gt;&lt;record&gt;&lt;rec-number&gt;295&lt;/rec-number&gt;&lt;foreign-keys&gt;&lt;key app="EN" db-id="0rx2xdvdhwtp2aefffjv5pzta0eztvftzd0a"&gt;295&lt;/key&gt;&lt;/foreign-keys&gt;&lt;ref-type name="Journal Article"&gt;17&lt;/ref-type&gt;&lt;contributors&gt;&lt;authors&gt;&lt;author&gt;Levitt, Peggy&lt;/author&gt;&lt;author&gt;Glick Schiller, Nina&lt;/author&gt;&lt;/authors&gt;&lt;/contributors&gt;&lt;titles&gt;&lt;title&gt;Conceptualizing Simultaneity: A Transnational Social Field Perspective on Society&lt;/title&gt;&lt;secondary-title&gt;International Migration Review&lt;/secondary-title&gt;&lt;/titles&gt;&lt;periodical&gt;&lt;full-title&gt;International Migration Review&lt;/full-title&gt;&lt;/periodical&gt;&lt;pages&gt;1002-1039&lt;/pages&gt;&lt;volume&gt;38&lt;/volume&gt;&lt;number&gt;3&lt;/number&gt;&lt;dates&gt;&lt;year&gt;2004&lt;/year&gt;&lt;/dates&gt;&lt;publisher&gt;Blackwell Publishing Ltd&lt;/publisher&gt;&lt;isbn&gt;1747-7379&lt;/isbn&gt;&lt;urls&gt;&lt;related-urls&gt;&lt;url&gt;http://dx.doi.org/10.1111/j.1747-7379.2004.tb00227.x&lt;/url&gt;&lt;/related-urls&gt;&lt;/urls&gt;&lt;electronic-resource-num&gt;10.1111/j.1747-7379.2004.tb00227.x&lt;/electronic-resource-num&gt;&lt;/record&gt;&lt;/Cite&gt;&lt;/EndNote&gt;</w:instrText>
      </w:r>
      <w:r w:rsidR="00212C7F" w:rsidRPr="00AD060D">
        <w:fldChar w:fldCharType="separate"/>
      </w:r>
      <w:r w:rsidR="00212C7F">
        <w:rPr>
          <w:noProof/>
        </w:rPr>
        <w:t>(Viry and Kaufmann 2015; Levitt and Glick Schiller 2004)</w:t>
      </w:r>
      <w:r w:rsidR="00212C7F" w:rsidRPr="00AD060D">
        <w:fldChar w:fldCharType="end"/>
      </w:r>
      <w:r w:rsidR="00212C7F" w:rsidRPr="00AD060D">
        <w:t>.</w:t>
      </w:r>
    </w:p>
    <w:p w14:paraId="1EC01F36" w14:textId="03081086" w:rsidR="00212C7F" w:rsidRPr="00AD060D" w:rsidRDefault="00212C7F" w:rsidP="007F30A2">
      <w:pPr>
        <w:pStyle w:val="Newparagraph"/>
        <w:jc w:val="both"/>
      </w:pPr>
      <w:r w:rsidRPr="00AD060D">
        <w:t xml:space="preserve">One such ‘mobility habitus’, in the context of post-Enlargement Polish migration to the UK, is the ‘intentional unpredictability’ of many </w:t>
      </w:r>
      <w:r w:rsidR="00AA6984">
        <w:t>recent</w:t>
      </w:r>
      <w:r w:rsidRPr="00AD060D">
        <w:t xml:space="preserve"> migrants </w:t>
      </w:r>
      <w:r w:rsidR="00210245">
        <w:t>with regard to</w:t>
      </w:r>
      <w:r w:rsidRPr="00AD060D">
        <w:t xml:space="preserve"> </w:t>
      </w:r>
      <w:r w:rsidRPr="00AD060D">
        <w:lastRenderedPageBreak/>
        <w:t>their f</w:t>
      </w:r>
      <w:r w:rsidR="00210245">
        <w:t>uture plans and</w:t>
      </w:r>
      <w:r w:rsidR="00AD5755">
        <w:t xml:space="preserve"> their tendency to ‘</w:t>
      </w:r>
      <w:r w:rsidRPr="00AD060D">
        <w:t>keep their options d</w:t>
      </w:r>
      <w:r w:rsidR="00AD5755">
        <w:t>eliberately open’</w:t>
      </w:r>
      <w:r w:rsidRPr="00AD060D">
        <w:t xml:space="preserve"> </w:t>
      </w:r>
      <w:r w:rsidRPr="00AD060D">
        <w:fldChar w:fldCharType="begin"/>
      </w:r>
      <w:r w:rsidR="00F25485">
        <w:instrText xml:space="preserve"> ADDIN EN.CITE &lt;EndNote&gt;&lt;Cite&gt;&lt;Author&gt;Eade&lt;/Author&gt;&lt;Year&gt;2007&lt;/Year&gt;&lt;RecNum&gt;235&lt;/RecNum&gt;&lt;Pages&gt;34&lt;/Pages&gt;&lt;DisplayText&gt;(Eade 2007, 34)&lt;/DisplayText&gt;&lt;record&gt;&lt;rec-number&gt;235&lt;/rec-number&gt;&lt;foreign-keys&gt;&lt;key app="EN" db-id="0rx2xdvdhwtp2aefffjv5pzta0eztvftzd0a"&gt;235&lt;/key&gt;&lt;/foreign-keys&gt;&lt;ref-type name="Report"&gt;27&lt;/ref-type&gt;&lt;contributors&gt;&lt;authors&gt;&lt;author&gt;Eade, John&lt;/author&gt;&lt;/authors&gt;&lt;/contributors&gt;&lt;titles&gt;&lt;title&gt;Class and Ethnicity: Polish Migrant Workers in London: Full Research Report.&lt;/title&gt;&lt;secondary-title&gt;ESRC End of Award Report, RES-000-22-1294&lt;/secondary-title&gt;&lt;/titles&gt;&lt;number&gt;Study number 6056&lt;/number&gt;&lt;dates&gt;&lt;year&gt;2007&lt;/year&gt;&lt;/dates&gt;&lt;pub-location&gt;Swindon&lt;/pub-location&gt;&lt;publisher&gt;ESRC&lt;/publisher&gt;&lt;urls&gt;&lt;/urls&gt;&lt;/record&gt;&lt;/Cite&gt;&lt;/EndNote&gt;</w:instrText>
      </w:r>
      <w:r w:rsidRPr="00AD060D">
        <w:fldChar w:fldCharType="separate"/>
      </w:r>
      <w:r>
        <w:rPr>
          <w:noProof/>
        </w:rPr>
        <w:t>(Eade 2007, 34)</w:t>
      </w:r>
      <w:r w:rsidRPr="00AD060D">
        <w:fldChar w:fldCharType="end"/>
      </w:r>
      <w:r w:rsidRPr="00AD060D">
        <w:t>. Whether referred to as ‘intentional unpredictability’, ‘liquid migration’ or ‘deliberate indeterminacy’, t</w:t>
      </w:r>
      <w:r w:rsidR="003B226B">
        <w:t xml:space="preserve">his disposition was </w:t>
      </w:r>
      <w:r w:rsidR="00210245">
        <w:t xml:space="preserve">evidence that </w:t>
      </w:r>
      <w:r w:rsidRPr="00AD060D">
        <w:t>rather than</w:t>
      </w:r>
      <w:r w:rsidR="00210245">
        <w:t xml:space="preserve"> being </w:t>
      </w:r>
      <w:r w:rsidRPr="00AD060D">
        <w:t xml:space="preserve"> </w:t>
      </w:r>
      <w:r w:rsidR="00210245">
        <w:t>‘</w:t>
      </w:r>
      <w:r w:rsidRPr="00AD060D">
        <w:t>immigrants</w:t>
      </w:r>
      <w:r w:rsidR="00210245">
        <w:t>’</w:t>
      </w:r>
      <w:r w:rsidRPr="00AD060D">
        <w:t xml:space="preserve">, </w:t>
      </w:r>
      <w:r w:rsidR="00210245">
        <w:t>Central Eastern European</w:t>
      </w:r>
      <w:r w:rsidR="00AA6984">
        <w:t xml:space="preserve"> </w:t>
      </w:r>
      <w:r w:rsidRPr="00AD060D">
        <w:t>labour migr</w:t>
      </w:r>
      <w:r w:rsidR="003B226B">
        <w:t xml:space="preserve">ants </w:t>
      </w:r>
      <w:r w:rsidR="00210245">
        <w:t>can be more accurately described as ‘regional free movers</w:t>
      </w:r>
      <w:r w:rsidR="003B226B">
        <w:t>’</w:t>
      </w:r>
      <w:r w:rsidRPr="00AD060D">
        <w:t xml:space="preserve"> </w:t>
      </w:r>
      <w:r w:rsidRPr="00AD060D">
        <w:fldChar w:fldCharType="begin">
          <w:fldData xml:space="preserve">PEVuZE5vdGU+PENpdGU+PEF1dGhvcj5TbmVsPC9BdXRob3I+PFllYXI+MjAxNTwvWWVhcj48UmVj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</w:fldData>
        </w:fldChar>
      </w:r>
      <w:r w:rsidR="00F25485">
        <w:instrText xml:space="preserve"> ADDIN EN.CITE </w:instrText>
      </w:r>
      <w:r w:rsidR="00F25485">
        <w:fldChar w:fldCharType="begin">
          <w:fldData xml:space="preserve">PEVuZE5vdGU+PENpdGU+PEF1dGhvcj5TbmVsPC9BdXRob3I+PFllYXI+MjAxNTwvWWVhcj48UmVj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</w:fldData>
        </w:fldChar>
      </w:r>
      <w:r w:rsidR="00F25485">
        <w:instrText xml:space="preserve"> ADDIN EN.CITE.DATA </w:instrText>
      </w:r>
      <w:r w:rsidR="00F25485">
        <w:fldChar w:fldCharType="end"/>
      </w:r>
      <w:r w:rsidRPr="00AD060D">
        <w:fldChar w:fldCharType="separate"/>
      </w:r>
      <w:r>
        <w:rPr>
          <w:noProof/>
        </w:rPr>
        <w:t>(Snel, Faber, and Engbersen 2015, 6; cf. Favell 2008)</w:t>
      </w:r>
      <w:r w:rsidRPr="00AD060D">
        <w:fldChar w:fldCharType="end"/>
      </w:r>
      <w:r w:rsidRPr="00AD060D">
        <w:t xml:space="preserve">. It is not least owing to the mobility habitus of indeterminacy that the study of return migration, particularly in the case of intra-EU mobility, </w:t>
      </w:r>
      <w:r w:rsidR="007F30A2">
        <w:t>has remained somewhat</w:t>
      </w:r>
      <w:r w:rsidRPr="00AD060D">
        <w:t xml:space="preserve"> ‘problematic’ </w:t>
      </w:r>
      <w:r w:rsidRPr="00AD060D">
        <w:fldChar w:fldCharType="begin"/>
      </w:r>
      <w:r w:rsidR="00F25485">
        <w:instrText xml:space="preserve"> ADDIN EN.CITE &lt;EndNote&gt;&lt;Cite&gt;&lt;Author&gt;Parutis&lt;/Author&gt;&lt;Year&gt;2014&lt;/Year&gt;&lt;RecNum&gt;320&lt;/RecNum&gt;&lt;Pages&gt;159&lt;/Pages&gt;&lt;DisplayText&gt;(Parutis 2014, 159)&lt;/DisplayText&gt;&lt;record&gt;&lt;rec-number&gt;320&lt;/rec-number&gt;&lt;foreign-keys&gt;&lt;key app="EN" db-id="0rx2xdvdhwtp2aefffjv5pzta0eztvftzd0a"&gt;320&lt;/key&gt;&lt;/foreign-keys&gt;&lt;ref-type name="Journal Article"&gt;17&lt;/ref-type&gt;&lt;contributors&gt;&lt;authors&gt;&lt;author&gt;Parutis, Violetta&lt;/author&gt;&lt;/authors&gt;&lt;/contributors&gt;&lt;titles&gt;&lt;title&gt;Returning “Home”: East European Migrants&amp;apos; Discourses of Return&lt;/title&gt;&lt;secondary-title&gt;International Migration&lt;/secondary-title&gt;&lt;/titles&gt;&lt;periodical&gt;&lt;full-title&gt;International Migration&lt;/full-title&gt;&lt;/periodical&gt;&lt;pages&gt;159-177&lt;/pages&gt;&lt;volume&gt;52&lt;/volume&gt;&lt;number&gt;5&lt;/number&gt;&lt;dates&gt;&lt;year&gt;2014&lt;/year&gt;&lt;/dates&gt;&lt;isbn&gt;1468-2435&lt;/isbn&gt;&lt;urls&gt;&lt;related-urls&gt;&lt;url&gt;http://dx.doi.org/10.1111/imig.12037&lt;/url&gt;&lt;/related-urls&gt;&lt;/urls&gt;&lt;electronic-resource-num&gt;10.1111/imig.12037&lt;/electronic-resource-num&gt;&lt;/record&gt;&lt;/Cite&gt;&lt;/EndNote&gt;</w:instrText>
      </w:r>
      <w:r w:rsidRPr="00AD060D">
        <w:fldChar w:fldCharType="separate"/>
      </w:r>
      <w:r>
        <w:rPr>
          <w:noProof/>
        </w:rPr>
        <w:t>(Parutis 2014, 159)</w:t>
      </w:r>
      <w:r w:rsidRPr="00AD060D">
        <w:fldChar w:fldCharType="end"/>
      </w:r>
      <w:r w:rsidRPr="00AD060D">
        <w:t xml:space="preserve">. The discrepancy between planned and actual return has become a truism in migration research, and it is also true of Polish migrants </w:t>
      </w:r>
      <w:r w:rsidRPr="00AD060D">
        <w:fldChar w:fldCharType="begin"/>
      </w:r>
      <w:r w:rsidR="00F25485">
        <w:instrText xml:space="preserve"> ADDIN EN.CITE &lt;EndNote&gt;&lt;Cite&gt;&lt;Author&gt;Anwar&lt;/Author&gt;&lt;Year&gt;1979&lt;/Year&gt;&lt;RecNum&gt;321&lt;/RecNum&gt;&lt;DisplayText&gt;(Anwar 1979; Ryan 2015)&lt;/DisplayText&gt;&lt;record&gt;&lt;rec-number&gt;321&lt;/rec-number&gt;&lt;foreign-keys&gt;&lt;key app="EN" db-id="0rx2xdvdhwtp2aefffjv5pzta0eztvftzd0a"&gt;321&lt;/key&gt;&lt;/foreign-keys&gt;&lt;ref-type name="Book"&gt;6&lt;/ref-type&gt;&lt;contributors&gt;&lt;authors&gt;&lt;author&gt;Anwar, Muhammad&lt;/author&gt;&lt;/authors&gt;&lt;/contributors&gt;&lt;titles&gt;&lt;title&gt;The myth of return: Pakistanis in Britain&lt;/title&gt;&lt;/titles&gt;&lt;keywords&gt;&lt;keyword&gt;Pakistanis Great Britain.&lt;/keyword&gt;&lt;keyword&gt;Acculturation Great Britain.&lt;/keyword&gt;&lt;/keywords&gt;&lt;dates&gt;&lt;year&gt;1979&lt;/year&gt;&lt;/dates&gt;&lt;pub-location&gt;London&lt;/pub-location&gt;&lt;publisher&gt;Heinemann Educational&lt;/publisher&gt;&lt;isbn&gt;0435820222 : ¹8.50&lt;/isbn&gt;&lt;accession-num&gt;B7915829&lt;/accession-num&gt;&lt;call-num&gt;301.45/19/14120427392 18&amp;#xD;British Library HMNTS X.529/34006&amp;#xD;British Library OC T 34187&amp;#xD;British Library DSC 79/24520&lt;/call-num&gt;&lt;urls&gt;&lt;/urls&gt;&lt;/record&gt;&lt;/Cite&gt;&lt;Cite&gt;&lt;Author&gt;Ryan&lt;/Author&gt;&lt;Year&gt;2015&lt;/Year&gt;&lt;RecNum&gt;274&lt;/RecNum&gt;&lt;record&gt;&lt;rec-number&gt;274&lt;/rec-number&gt;&lt;foreign-keys&gt;&lt;key app="EN" db-id="0rx2xdvdhwtp2aefffjv5pzta0eztvftzd0a"&gt;274&lt;/key&gt;&lt;/foreign-keys&gt;&lt;ref-type name="Report"&gt;27&lt;/ref-type&gt;&lt;contributors&gt;&lt;authors&gt;&lt;author&gt;Ryan, Louise&lt;/author&gt;&lt;/authors&gt;&lt;/contributors&gt;&lt;titles&gt;&lt;title&gt;‘Another year and another year’: Polish migrants in London extending the stay over time&lt;/title&gt;&lt;/titles&gt;&lt;number&gt;Research report&lt;/number&gt;&lt;num-vols&gt;Research Report&lt;/num-vols&gt;&lt;dates&gt;&lt;year&gt;2015&lt;/year&gt;&lt;pub-dates&gt;&lt;date&gt;17 September 2015&lt;/date&gt;&lt;/pub-dates&gt;&lt;/dates&gt;&lt;pub-location&gt;London&lt;/pub-location&gt;&lt;publisher&gt;Middlesex University, Social Policy Research Centre&lt;/publisher&gt;&lt;isbn&gt;Research report&lt;/isbn&gt;&lt;work-type&gt;Research report&lt;/work-type&gt;&lt;urls&gt;&lt;related-urls&gt;&lt;url&gt;http://sprc.info/wp-content/uploads/2012/07/Polish-Migrants-in-London-extending-the-stay.pdf&lt;/url&gt;&lt;/related-urls&gt;&lt;/urls&gt;&lt;/record&gt;&lt;/Cite&gt;&lt;/EndNote&gt;</w:instrText>
      </w:r>
      <w:r w:rsidRPr="00AD060D">
        <w:fldChar w:fldCharType="separate"/>
      </w:r>
      <w:r w:rsidR="00906836">
        <w:rPr>
          <w:noProof/>
        </w:rPr>
        <w:t>(Anwar 1979; Ryan 2015)</w:t>
      </w:r>
      <w:r w:rsidRPr="00AD060D">
        <w:fldChar w:fldCharType="end"/>
      </w:r>
      <w:r w:rsidRPr="00AD060D">
        <w:t>. Qualitative studies were successful in identifying some of the main factors which have an influence on migrants</w:t>
      </w:r>
      <w:r w:rsidR="007F30A2">
        <w:t>’ strategies. The role of familial obligations with regard to children, grand-children, elderly parents and other relatives</w:t>
      </w:r>
      <w:r w:rsidRPr="00AD060D">
        <w:t xml:space="preserve"> </w:t>
      </w:r>
      <w:r w:rsidR="007F30A2">
        <w:t xml:space="preserve">in the host and home countries </w:t>
      </w:r>
      <w:r w:rsidRPr="00AD060D">
        <w:fldChar w:fldCharType="begin">
          <w:fldData xml:space="preserve">PEVuZE5vdGU+PENpdGU+PEF1dGhvcj5NY0doZWU8L0F1dGhvcj48WWVhcj4yMDEzPC9ZZWFyPjxS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</w:fldData>
        </w:fldChar>
      </w:r>
      <w:r w:rsidR="00F25485">
        <w:instrText xml:space="preserve"> ADDIN EN.CITE </w:instrText>
      </w:r>
      <w:r w:rsidR="00F25485">
        <w:fldChar w:fldCharType="begin">
          <w:fldData xml:space="preserve">PEVuZE5vdGU+PENpdGU+PEF1dGhvcj5NY0doZWU8L0F1dGhvcj48WWVhcj4yMDEzPC9ZZWFyPjxS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</w:fldData>
        </w:fldChar>
      </w:r>
      <w:r w:rsidR="00F25485">
        <w:instrText xml:space="preserve"> ADDIN EN.CITE.DATA </w:instrText>
      </w:r>
      <w:r w:rsidR="00F25485">
        <w:fldChar w:fldCharType="end"/>
      </w:r>
      <w:r w:rsidRPr="00AD060D">
        <w:fldChar w:fldCharType="separate"/>
      </w:r>
      <w:r>
        <w:rPr>
          <w:noProof/>
        </w:rPr>
        <w:t>(McGhee, Heath, and Trevena 2013; White 2011; White and Ryan 2008)</w:t>
      </w:r>
      <w:r w:rsidRPr="00AD060D">
        <w:fldChar w:fldCharType="end"/>
      </w:r>
      <w:r w:rsidRPr="00AD060D">
        <w:t xml:space="preserve">, </w:t>
      </w:r>
      <w:r w:rsidR="00AA6984">
        <w:t xml:space="preserve">of </w:t>
      </w:r>
      <w:r w:rsidR="00260F87" w:rsidRPr="00260F87">
        <w:t>childbearing decisions</w:t>
      </w:r>
      <w:r w:rsidR="00260F87">
        <w:t xml:space="preserve"> </w:t>
      </w:r>
      <w:r w:rsidR="007850FC">
        <w:fldChar w:fldCharType="begin"/>
      </w:r>
      <w:r w:rsidR="00F25485">
        <w:instrText xml:space="preserve"> ADDIN EN.CITE &lt;EndNote&gt;&lt;Cite&gt;&lt;Author&gt;Janta&lt;/Author&gt;&lt;Year&gt;2013&lt;/Year&gt;&lt;RecNum&gt;336&lt;/RecNum&gt;&lt;DisplayText&gt;(Janta 2013)&lt;/DisplayText&gt;&lt;record&gt;&lt;rec-number&gt;336&lt;/rec-number&gt;&lt;foreign-keys&gt;&lt;key app="EN" db-id="0rx2xdvdhwtp2aefffjv5pzta0eztvftzd0a"&gt;336&lt;/key&gt;&lt;/foreign-keys&gt;&lt;ref-type name="Journal Article"&gt;17&lt;/ref-type&gt;&lt;contributors&gt;&lt;authors&gt;&lt;author&gt;Barbara Janta&lt;/author&gt;&lt;/authors&gt;&lt;/contributors&gt;&lt;titles&gt;&lt;title&gt;Polish Migrants’ Reproductive Behaviour in the United Kingdom&lt;/title&gt;&lt;secondary-title&gt;Studia Migracyjne - Przeglad Polonijny&lt;/secondary-title&gt;&lt;/titles&gt;&lt;periodical&gt;&lt;full-title&gt;Studia Migracyjne - Przeglad Polonijny&lt;/full-title&gt;&lt;/periodical&gt;&lt;pages&gt;63-96&lt;/pages&gt;&lt;volume&gt;39&lt;/volume&gt;&lt;number&gt;3(149)&lt;/number&gt;&lt;dates&gt;&lt;year&gt;2013&lt;/year&gt;&lt;/dates&gt;&lt;urls&gt;&lt;/urls&gt;&lt;/record&gt;&lt;/Cite&gt;&lt;/EndNote&gt;</w:instrText>
      </w:r>
      <w:r w:rsidR="007850FC">
        <w:fldChar w:fldCharType="separate"/>
      </w:r>
      <w:r w:rsidR="007850FC">
        <w:rPr>
          <w:noProof/>
        </w:rPr>
        <w:t>(Janta 2013)</w:t>
      </w:r>
      <w:r w:rsidR="007850FC">
        <w:fldChar w:fldCharType="end"/>
      </w:r>
      <w:r w:rsidR="007850FC">
        <w:t xml:space="preserve">, </w:t>
      </w:r>
      <w:r w:rsidR="00722BE7">
        <w:t xml:space="preserve">the length of stay in the destination country </w:t>
      </w:r>
      <w:r w:rsidR="00722BE7">
        <w:fldChar w:fldCharType="begin"/>
      </w:r>
      <w:r w:rsidR="00F25485">
        <w:instrText xml:space="preserve"> ADDIN EN.CITE &lt;EndNote&gt;&lt;Cite&gt;&lt;Author&gt;Ryan&lt;/Author&gt;&lt;Year&gt;2015&lt;/Year&gt;&lt;RecNum&gt;274&lt;/RecNum&gt;&lt;DisplayText&gt;(Ryan 2015)&lt;/DisplayText&gt;&lt;record&gt;&lt;rec-number&gt;274&lt;/rec-number&gt;&lt;foreign-keys&gt;&lt;key app="EN" db-id="0rx2xdvdhwtp2aefffjv5pzta0eztvftzd0a"&gt;274&lt;/key&gt;&lt;/foreign-keys&gt;&lt;ref-type name="Report"&gt;27&lt;/ref-type&gt;&lt;contributors&gt;&lt;authors&gt;&lt;author&gt;Ryan, Louise&lt;/author&gt;&lt;/authors&gt;&lt;/contributors&gt;&lt;titles&gt;&lt;title&gt;‘Another year and another year’: Polish migrants in London extending the stay over time&lt;/title&gt;&lt;/titles&gt;&lt;number&gt;Research report&lt;/number&gt;&lt;num-vols&gt;Research Report&lt;/num-vols&gt;&lt;dates&gt;&lt;year&gt;2015&lt;/year&gt;&lt;pub-dates&gt;&lt;date&gt;17 September 2015&lt;/date&gt;&lt;/pub-dates&gt;&lt;/dates&gt;&lt;pub-location&gt;London&lt;/pub-location&gt;&lt;publisher&gt;Middlesex University, Social Policy Research Centre&lt;/publisher&gt;&lt;isbn&gt;Research report&lt;/isbn&gt;&lt;work-type&gt;Research report&lt;/work-type&gt;&lt;urls&gt;&lt;related-urls&gt;&lt;url&gt;http://sprc.info/wp-content/uploads/2012/07/Polish-Migrants-in-London-extending-the-stay.pdf&lt;/url&gt;&lt;/related-urls&gt;&lt;/urls&gt;&lt;/record&gt;&lt;/Cite&gt;&lt;/EndNote&gt;</w:instrText>
      </w:r>
      <w:r w:rsidR="00722BE7">
        <w:fldChar w:fldCharType="separate"/>
      </w:r>
      <w:r w:rsidR="00906836">
        <w:rPr>
          <w:noProof/>
        </w:rPr>
        <w:t>(Ryan 2015)</w:t>
      </w:r>
      <w:r w:rsidR="00722BE7">
        <w:fldChar w:fldCharType="end"/>
      </w:r>
      <w:r w:rsidR="0025789B">
        <w:t xml:space="preserve"> and </w:t>
      </w:r>
      <w:r w:rsidRPr="00AD060D">
        <w:t xml:space="preserve">the level of social integration and transnationalism </w:t>
      </w:r>
      <w:r w:rsidRPr="00AD060D">
        <w:fldChar w:fldCharType="begin"/>
      </w:r>
      <w:r w:rsidR="00F25485">
        <w:instrText xml:space="preserve"> ADDIN EN.CITE &lt;EndNote&gt;&lt;Cite&gt;&lt;Author&gt;Haas&lt;/Author&gt;&lt;Year&gt;2011&lt;/Year&gt;&lt;RecNum&gt;147&lt;/RecNum&gt;&lt;DisplayText&gt;(Haas and Fokkema 2011)&lt;/DisplayText&gt;&lt;record&gt;&lt;rec-number&gt;147&lt;/rec-number&gt;&lt;foreign-keys&gt;&lt;key app="EN" db-id="0rx2xdvdhwtp2aefffjv5pzta0eztvftzd0a"&gt;147&lt;/key&gt;&lt;/foreign-keys&gt;&lt;ref-type name="Journal Article"&gt;17&lt;/ref-type&gt;&lt;contributors&gt;&lt;authors&gt;&lt;author&gt;Haas, H.&lt;/author&gt;&lt;author&gt;Fokkema, T.&lt;/author&gt;&lt;/authors&gt;&lt;/contributors&gt;&lt;titles&gt;&lt;title&gt;The effects of integration and transnational ties on international return migration intensions&lt;/title&gt;&lt;secondary-title&gt;Demographic Research&lt;/secondary-title&gt;&lt;/titles&gt;&lt;periodical&gt;&lt;full-title&gt;Demographic Research&lt;/full-title&gt;&lt;/periodical&gt;&lt;volume&gt;25&lt;/volume&gt;&lt;dates&gt;&lt;year&gt;2011&lt;/year&gt;&lt;/dates&gt;&lt;label&gt;Haas2011&lt;/label&gt;&lt;urls&gt;&lt;related-urls&gt;&lt;url&gt;http://dx.doi.org/10.4054/DemRes.2011.25.24&lt;/url&gt;&lt;/related-urls&gt;&lt;/urls&gt;&lt;electronic-resource-num&gt;10.4054/DemRes.2011.25.24&lt;/electronic-resource-num&gt;&lt;/record&gt;&lt;/Cite&gt;&lt;/EndNote&gt;</w:instrText>
      </w:r>
      <w:r w:rsidRPr="00AD060D">
        <w:fldChar w:fldCharType="separate"/>
      </w:r>
      <w:r>
        <w:rPr>
          <w:noProof/>
        </w:rPr>
        <w:t>(Haas and Fokkema 2011)</w:t>
      </w:r>
      <w:r w:rsidRPr="00AD060D">
        <w:fldChar w:fldCharType="end"/>
      </w:r>
      <w:r w:rsidRPr="00AD060D">
        <w:t xml:space="preserve"> in particular have been shown to strongly influence migrants’ decisions to settle or re-migrate. A few studies have recently attempted to examine these various factors based on primary quantitative data, and </w:t>
      </w:r>
      <w:r w:rsidR="0025789B">
        <w:t xml:space="preserve">to </w:t>
      </w:r>
      <w:r w:rsidRPr="00AD060D">
        <w:t xml:space="preserve">disentangle the relationships between migration strategies and migrants’ indeterminacy habitus. </w:t>
      </w:r>
      <w:r w:rsidR="00884EA8">
        <w:fldChar w:fldCharType="begin"/>
      </w:r>
      <w:r w:rsidR="00F25485">
        <w:instrText xml:space="preserve"> ADDIN EN.CITE &lt;EndNote&gt;&lt;Cite AuthorYear="1"&gt;&lt;Author&gt;Snel&lt;/Author&gt;&lt;Year&gt;2015&lt;/Year&gt;&lt;RecNum&gt;55&lt;/RecNum&gt;&lt;DisplayText&gt;Snel, Faber, and Engbersen (2015)&lt;/DisplayText&gt;&lt;record&gt;&lt;rec-number&gt;55&lt;/rec-number&gt;&lt;foreign-keys&gt;&lt;key app="EN" db-id="0rx2xdvdhwtp2aefffjv5pzta0eztvftzd0a"&gt;55&lt;/key&gt;&lt;/foreign-keys&gt;&lt;ref-type name="Journal Article"&gt;17&lt;/ref-type&gt;&lt;contributors&gt;&lt;authors&gt;&lt;author&gt;Snel, Erik&lt;/author&gt;&lt;author&gt;Faber, Marije&lt;/author&gt;&lt;author&gt;Engbersen, Godfried&lt;/author&gt;&lt;/authors&gt;&lt;/contributors&gt;&lt;titles&gt;&lt;title&gt;To Stay or Return? Explaining Return Intentions of Central and Eastern European Labour Migrants&lt;/title&gt;&lt;secondary-title&gt;Central and Eastern European Migration Review&lt;/secondary-title&gt;&lt;/titles&gt;&lt;periodical&gt;&lt;full-title&gt;Central and Eastern European Migration Review&lt;/full-title&gt;&lt;/periodical&gt;&lt;pages&gt;5-24&lt;/pages&gt;&lt;volume&gt;4&lt;/volume&gt;&lt;number&gt;2&lt;/number&gt;&lt;section&gt;5&lt;/section&gt;&lt;keywords&gt;&lt;keyword&gt;return migration&lt;/keyword&gt;&lt;keyword&gt;labour migrants&lt;/keyword&gt;&lt;keyword&gt;Central and Eastern Europe&lt;/keyword&gt;&lt;keyword&gt;the Netherlands&lt;/keyword&gt;&lt;/keywords&gt;&lt;dates&gt;&lt;year&gt;2015&lt;/year&gt;&lt;/dates&gt;&lt;urls&gt;&lt;related-urls&gt;&lt;url&gt;http://ceemr.uw.edu.pl/vol-4-no-2-december-2015/articles/stay-or-return-explaining-return-intentions-central-and-eastern&lt;/url&gt;&lt;/related-urls&gt;&lt;/urls&gt;&lt;custom1&gt;&amp;lt;p&amp;gt;24&amp;lt;/p&amp;gt;&lt;/custom1&gt;&lt;language&gt;eng&lt;/language&gt;&lt;/record&gt;&lt;/Cite&gt;&lt;/EndNote&gt;</w:instrText>
      </w:r>
      <w:r w:rsidR="00884EA8">
        <w:fldChar w:fldCharType="separate"/>
      </w:r>
      <w:r w:rsidR="00884EA8">
        <w:rPr>
          <w:noProof/>
        </w:rPr>
        <w:t>Snel, Faber, and Engbersen (2015)</w:t>
      </w:r>
      <w:r w:rsidR="00884EA8">
        <w:fldChar w:fldCharType="end"/>
      </w:r>
      <w:r w:rsidRPr="00AD060D">
        <w:t xml:space="preserve">, for instance, </w:t>
      </w:r>
      <w:r w:rsidR="00F56767">
        <w:t>examined</w:t>
      </w:r>
      <w:r w:rsidRPr="00AD060D">
        <w:t xml:space="preserve"> </w:t>
      </w:r>
      <w:r w:rsidR="00F56767">
        <w:t xml:space="preserve">the </w:t>
      </w:r>
      <w:r w:rsidRPr="00AD060D">
        <w:t>return intentions of three EU national groups (Polish, Romanian and Bulgarian) in the Netherlands</w:t>
      </w:r>
      <w:r w:rsidR="00F56767">
        <w:t xml:space="preserve"> using survey data (N=654). They</w:t>
      </w:r>
      <w:r w:rsidRPr="00AD060D">
        <w:t xml:space="preserve"> focus</w:t>
      </w:r>
      <w:r w:rsidR="00F56767">
        <w:t xml:space="preserve">ed </w:t>
      </w:r>
      <w:r w:rsidRPr="00AD060D">
        <w:t xml:space="preserve">on disclosing the factors which determine </w:t>
      </w:r>
      <w:r w:rsidR="00F56767">
        <w:t xml:space="preserve">the self-declared planned length of stay in the Netherlands. The authors treat </w:t>
      </w:r>
      <w:r w:rsidR="00210245">
        <w:t xml:space="preserve">migrants’ answers that they ‘do not know’ for how much longer they </w:t>
      </w:r>
      <w:r w:rsidR="00F56767">
        <w:t xml:space="preserve">plan to remain in the host country </w:t>
      </w:r>
      <w:r w:rsidR="0025789B">
        <w:t>as a manifestation of intentional unpredictability</w:t>
      </w:r>
      <w:r w:rsidRPr="00AD060D">
        <w:t>. In their findings</w:t>
      </w:r>
      <w:r w:rsidR="002006A1">
        <w:t>,</w:t>
      </w:r>
      <w:r w:rsidRPr="00AD060D">
        <w:t xml:space="preserve"> </w:t>
      </w:r>
      <w:r w:rsidR="002006A1">
        <w:t xml:space="preserve">one’s </w:t>
      </w:r>
      <w:r w:rsidRPr="00AD060D">
        <w:t>involvement in transnational activities significantly reduce</w:t>
      </w:r>
      <w:r w:rsidR="00AA6984">
        <w:t>d</w:t>
      </w:r>
      <w:r w:rsidRPr="00AD060D">
        <w:t xml:space="preserve"> the chances of migrants </w:t>
      </w:r>
      <w:r w:rsidRPr="00AD060D">
        <w:lastRenderedPageBreak/>
        <w:t>wanting to settle permanently, while their level of socio-cultural int</w:t>
      </w:r>
      <w:r w:rsidR="00F56767">
        <w:t>egration significantly increased their intention to settle</w:t>
      </w:r>
      <w:r w:rsidRPr="00AD060D">
        <w:t xml:space="preserve">. Age was also a factor increasing the likelihood of settlement, while the influence of gender, education and socio-economic status produced mixed results: males </w:t>
      </w:r>
      <w:r w:rsidR="00254853">
        <w:t>were</w:t>
      </w:r>
      <w:r w:rsidRPr="00AD060D">
        <w:t xml:space="preserve"> more likely to plan shorter stays of up to two years; those with medium or high educational levels were more likely than those with lower qualifications to stay up to ten years only; and labour market participation seemed not to have any influence on migrants’ plans.</w:t>
      </w:r>
    </w:p>
    <w:p w14:paraId="1EC01F37" w14:textId="633E1FE9" w:rsidR="00212C7F" w:rsidRPr="00AD060D" w:rsidRDefault="00801F2A" w:rsidP="00212C7F">
      <w:pPr>
        <w:pStyle w:val="Newparagraph"/>
        <w:jc w:val="both"/>
      </w:pPr>
      <w:r>
        <w:fldChar w:fldCharType="begin"/>
      </w:r>
      <w:r w:rsidR="00F25485">
        <w:instrText xml:space="preserve"> ADDIN EN.CITE &lt;EndNote&gt;&lt;Cite AuthorYear="1"&gt;&lt;Author&gt;Drinkwater&lt;/Author&gt;&lt;Year&gt;2015&lt;/Year&gt;&lt;RecNum&gt;208&lt;/RecNum&gt;&lt;DisplayText&gt;Drinkwater and Garapich (2015)&lt;/DisplayText&gt;&lt;record&gt;&lt;rec-number&gt;208&lt;/rec-number&gt;&lt;foreign-keys&gt;&lt;key app="EN" db-id="0rx2xdvdhwtp2aefffjv5pzta0eztvftzd0a"&gt;208&lt;/key&gt;&lt;/foreign-keys&gt;&lt;ref-type name="Journal Article"&gt;17&lt;/ref-type&gt;&lt;contributors&gt;&lt;authors&gt;&lt;author&gt;Drinkwater, Stephen&lt;/author&gt;&lt;author&gt;Garapich, Michał P.&lt;/author&gt;&lt;/authors&gt;&lt;/contributors&gt;&lt;titles&gt;&lt;title&gt;Migration Strategies of Polish Migrants: Do They Have Any at All?&lt;/title&gt;&lt;secondary-title&gt;Journal of Ethnic and Migration Studies&lt;/secondary-title&gt;&lt;/titles&gt;&lt;periodical&gt;&lt;full-title&gt;Journal of Ethnic and Migration Studies&lt;/full-title&gt;&lt;/periodical&gt;&lt;pages&gt;1909-1931&lt;/pages&gt;&lt;volume&gt;41&lt;/volume&gt;&lt;number&gt;12&lt;/number&gt;&lt;dates&gt;&lt;year&gt;2015&lt;/year&gt;&lt;pub-dates&gt;&lt;date&gt;2015/10/15&lt;/date&gt;&lt;/pub-dates&gt;&lt;/dates&gt;&lt;publisher&gt;Routledge&lt;/publisher&gt;&lt;isbn&gt;1369-183X&lt;/isbn&gt;&lt;urls&gt;&lt;related-urls&gt;&lt;url&gt;http://dx.doi.org/10.1080/1369183X.2015.1027180&lt;/url&gt;&lt;/related-urls&gt;&lt;/urls&gt;&lt;electronic-resource-num&gt;10.1080/1369183X.2015.1027180&lt;/electronic-resource-num&gt;&lt;/record&gt;&lt;/Cite&gt;&lt;/EndNote&gt;</w:instrText>
      </w:r>
      <w:r>
        <w:fldChar w:fldCharType="separate"/>
      </w:r>
      <w:r w:rsidR="00884EA8">
        <w:rPr>
          <w:noProof/>
        </w:rPr>
        <w:t>Drinkwater and Garapich (2015)</w:t>
      </w:r>
      <w:r>
        <w:fldChar w:fldCharType="end"/>
      </w:r>
      <w:r w:rsidR="00212C7F" w:rsidRPr="00AD060D">
        <w:t xml:space="preserve"> adopt a similar study design to investigate the migration strategies of Poles in the UK (N=700). Building on their earlier research on ‘intentional unpredictability’</w:t>
      </w:r>
      <w:r w:rsidR="00601DC0">
        <w:t xml:space="preserve"> </w:t>
      </w:r>
      <w:r w:rsidR="00601DC0">
        <w:fldChar w:fldCharType="begin"/>
      </w:r>
      <w:r w:rsidR="00F25485">
        <w:instrText xml:space="preserve"> ADDIN EN.CITE &lt;EndNote&gt;&lt;Cite&gt;&lt;Author&gt;Eade&lt;/Author&gt;&lt;Year&gt;2007&lt;/Year&gt;&lt;RecNum&gt;310&lt;/RecNum&gt;&lt;DisplayText&gt;(Eade, Drinkwater, and Garapich 2007)&lt;/DisplayText&gt;&lt;record&gt;&lt;rec-number&gt;310&lt;/rec-number&gt;&lt;foreign-keys&gt;&lt;key app="EN" db-id="0rx2xdvdhwtp2aefffjv5pzta0eztvftzd0a"&gt;310&lt;/key&gt;&lt;/foreign-keys&gt;&lt;ref-type name="Report"&gt;27&lt;/ref-type&gt;&lt;contributors&gt;&lt;authors&gt;&lt;author&gt;Eade, John&lt;/author&gt;&lt;author&gt;Drinkwater, Stephen&lt;/author&gt;&lt;author&gt;Garapich, Michal&lt;/author&gt;&lt;/authors&gt;&lt;/contributors&gt;&lt;titles&gt;&lt;title&gt;Class and Ethnicity - Polish Migrants in London&lt;/title&gt;&lt;secondary-title&gt;Research Report for the RES-000-22-1294 ESRC project&lt;/secondary-title&gt;&lt;/titles&gt;&lt;dates&gt;&lt;year&gt;2007&lt;/year&gt;&lt;/dates&gt;&lt;publisher&gt;University of Surrey, Centre for Research on Nationalism, Ethnicity and Multiculturalism&lt;/publisher&gt;&lt;urls&gt;&lt;/urls&gt;&lt;/record&gt;&lt;/Cite&gt;&lt;/EndNote&gt;</w:instrText>
      </w:r>
      <w:r w:rsidR="00601DC0">
        <w:fldChar w:fldCharType="separate"/>
      </w:r>
      <w:r w:rsidR="00601DC0">
        <w:rPr>
          <w:noProof/>
        </w:rPr>
        <w:t>(Eade, Drinkwater, and Garapich 2007)</w:t>
      </w:r>
      <w:r w:rsidR="00601DC0">
        <w:fldChar w:fldCharType="end"/>
      </w:r>
      <w:r w:rsidR="00212C7F" w:rsidRPr="00AD060D">
        <w:t xml:space="preserve">, their specific aim </w:t>
      </w:r>
      <w:r w:rsidR="00F56767">
        <w:t>was</w:t>
      </w:r>
      <w:r w:rsidR="00212C7F" w:rsidRPr="00AD060D">
        <w:t xml:space="preserve"> to develop a new typology of Polish migrants in </w:t>
      </w:r>
      <w:r w:rsidR="00F56767">
        <w:t>light of</w:t>
      </w:r>
      <w:r w:rsidR="00212C7F" w:rsidRPr="00AD060D">
        <w:t xml:space="preserve"> their planned stay in the </w:t>
      </w:r>
      <w:r w:rsidR="00404588">
        <w:t>UK</w:t>
      </w:r>
      <w:r w:rsidR="00212C7F" w:rsidRPr="00AD060D">
        <w:t xml:space="preserve">, factoring in changes in </w:t>
      </w:r>
      <w:r w:rsidR="002006A1">
        <w:t xml:space="preserve">their </w:t>
      </w:r>
      <w:r w:rsidR="00212C7F" w:rsidRPr="00AD060D">
        <w:t xml:space="preserve">intentions </w:t>
      </w:r>
      <w:r w:rsidR="00D57574">
        <w:t>over</w:t>
      </w:r>
      <w:r w:rsidR="00212C7F" w:rsidRPr="00AD060D">
        <w:t xml:space="preserve"> time. </w:t>
      </w:r>
      <w:r w:rsidR="00F56767">
        <w:t>The</w:t>
      </w:r>
      <w:r w:rsidR="002006A1">
        <w:t xml:space="preserve"> authors</w:t>
      </w:r>
      <w:r w:rsidR="00F56767">
        <w:t xml:space="preserve"> also treated</w:t>
      </w:r>
      <w:r w:rsidR="00212C7F" w:rsidRPr="00AD060D">
        <w:t xml:space="preserve"> those who did not know for how long they were planning to stay</w:t>
      </w:r>
      <w:r w:rsidR="00D57574">
        <w:t>,</w:t>
      </w:r>
      <w:r w:rsidR="00212C7F" w:rsidRPr="00AD060D">
        <w:t xml:space="preserve"> </w:t>
      </w:r>
      <w:r w:rsidR="00F56767">
        <w:t xml:space="preserve">as </w:t>
      </w:r>
      <w:r w:rsidR="00D57574">
        <w:t>exponents of</w:t>
      </w:r>
      <w:r w:rsidR="00212C7F" w:rsidRPr="00AD060D">
        <w:t xml:space="preserve"> the habitus of deliberate indeterminacy. Overall, of the respondents in their sample, 11% intended to stay in the UK permanently upon arrival, and 18% </w:t>
      </w:r>
      <w:r w:rsidR="002006A1">
        <w:t xml:space="preserve">felt the same </w:t>
      </w:r>
      <w:r w:rsidR="00212C7F" w:rsidRPr="00AD060D">
        <w:t xml:space="preserve">at the time of the interview, while 32% </w:t>
      </w:r>
      <w:r w:rsidR="002006A1" w:rsidRPr="00AD060D">
        <w:t xml:space="preserve">and 44% </w:t>
      </w:r>
      <w:r w:rsidR="00212C7F" w:rsidRPr="00AD060D">
        <w:t>were indeterminate at the time of arrival</w:t>
      </w:r>
      <w:r w:rsidR="002006A1">
        <w:t xml:space="preserve"> and</w:t>
      </w:r>
      <w:r w:rsidR="00212C7F" w:rsidRPr="00AD060D">
        <w:t xml:space="preserve"> at the time of the interview</w:t>
      </w:r>
      <w:r w:rsidR="002006A1">
        <w:t>, respectively</w:t>
      </w:r>
      <w:r w:rsidR="00212C7F" w:rsidRPr="00AD060D">
        <w:t>. Their analysis shows that the length of stay in the UK determines whether mig</w:t>
      </w:r>
      <w:r w:rsidR="00D57574">
        <w:t>rants change their intentions.</w:t>
      </w:r>
    </w:p>
    <w:p w14:paraId="6607D2C5" w14:textId="4869189C" w:rsidR="00C35BEF" w:rsidRDefault="00212C7F" w:rsidP="00C35BEF">
      <w:pPr>
        <w:pStyle w:val="Newparagraph"/>
        <w:jc w:val="both"/>
      </w:pPr>
      <w:r w:rsidRPr="00AD060D">
        <w:t xml:space="preserve">These two studies are significant in that they attempt to operationalise the concept of ‘deliberate indeterminacy’, and examine it in relation to other strategies and changes in plans over time. </w:t>
      </w:r>
      <w:r w:rsidR="00D57574">
        <w:t xml:space="preserve">However, </w:t>
      </w:r>
      <w:r w:rsidR="00B77AAB">
        <w:t xml:space="preserve">they remain </w:t>
      </w:r>
      <w:r w:rsidR="00254853">
        <w:t>constrained by</w:t>
      </w:r>
      <w:r w:rsidR="00B77AAB">
        <w:t xml:space="preserve"> </w:t>
      </w:r>
      <w:r w:rsidR="00254853">
        <w:t>self-</w:t>
      </w:r>
      <w:r w:rsidR="00B77AAB">
        <w:t xml:space="preserve">declared migration intentions at </w:t>
      </w:r>
      <w:r w:rsidR="00254853">
        <w:t>a specific point</w:t>
      </w:r>
      <w:r w:rsidR="00B77AAB">
        <w:t xml:space="preserve"> in </w:t>
      </w:r>
      <w:r w:rsidR="00E149CE">
        <w:t>time,</w:t>
      </w:r>
      <w:r w:rsidR="00B77AAB">
        <w:t xml:space="preserve"> and the different contributions of each paper are yet to be </w:t>
      </w:r>
      <w:r w:rsidR="00733C7C">
        <w:t>integrated within</w:t>
      </w:r>
      <w:r w:rsidR="00E149CE">
        <w:t xml:space="preserve"> a unifying framework</w:t>
      </w:r>
      <w:r w:rsidR="00254853">
        <w:t>. As a consequence,</w:t>
      </w:r>
      <w:r w:rsidR="00E149CE">
        <w:t xml:space="preserve"> our knowledge of how migration plans change over time and what factors determine this change remain</w:t>
      </w:r>
      <w:r w:rsidR="00601DC0">
        <w:t>s</w:t>
      </w:r>
      <w:r w:rsidR="00E149CE">
        <w:t xml:space="preserve"> to be synthesised with the rather inconclusive findings regarding the determinants of particular plans and strategies at given points in time. Furthermore, there is a lack of consideration in the broader literature o</w:t>
      </w:r>
      <w:r w:rsidR="00601DC0">
        <w:t>f</w:t>
      </w:r>
      <w:r w:rsidR="00E149CE">
        <w:t xml:space="preserve"> the relationship between migrants’ self-declared preferences and the constellation of rights and options available to them. </w:t>
      </w:r>
      <w:r w:rsidR="00C35BEF" w:rsidRPr="00AD060D">
        <w:t xml:space="preserve">At the same time, we </w:t>
      </w:r>
      <w:r w:rsidR="00C35BEF">
        <w:t xml:space="preserve">now </w:t>
      </w:r>
      <w:r w:rsidR="00C35BEF" w:rsidRPr="00AD060D">
        <w:t xml:space="preserve">must consider ‘Brexit’ as a new factor which potentially affects migrants’ plans and strategies. </w:t>
      </w:r>
      <w:r w:rsidR="00C35BEF">
        <w:t xml:space="preserve">Based on the sporadic </w:t>
      </w:r>
      <w:r w:rsidR="00C35BEF" w:rsidRPr="00AD060D">
        <w:t>evidence in this respect in the recent literature</w:t>
      </w:r>
      <w:r w:rsidR="00C35BEF">
        <w:t xml:space="preserve"> </w:t>
      </w:r>
      <w:r w:rsidR="00C35BEF" w:rsidRPr="00AD060D">
        <w:fldChar w:fldCharType="begin">
          <w:fldData xml:space="preserve">PEVuZE5vdGU+PENpdGU+PEF1dGhvcj5SeWFuPC9BdXRob3I+PFllYXI+MjAxNTwvWWVhcj48UmVj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</w:fldData>
        </w:fldChar>
      </w:r>
      <w:r w:rsidR="00F25485">
        <w:instrText xml:space="preserve"> ADDIN EN.CITE </w:instrText>
      </w:r>
      <w:r w:rsidR="00F25485">
        <w:fldChar w:fldCharType="begin">
          <w:fldData xml:space="preserve">PEVuZE5vdGU+PENpdGU+PEF1dGhvcj5SeWFuPC9BdXRob3I+PFllYXI+MjAxNTwvWWVhcj48UmVj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</w:fldData>
        </w:fldChar>
      </w:r>
      <w:r w:rsidR="00F25485">
        <w:instrText xml:space="preserve"> ADDIN EN.CITE.DATA </w:instrText>
      </w:r>
      <w:r w:rsidR="00F25485">
        <w:fldChar w:fldCharType="end"/>
      </w:r>
      <w:r w:rsidR="00C35BEF" w:rsidRPr="00AD060D">
        <w:fldChar w:fldCharType="separate"/>
      </w:r>
      <w:r w:rsidR="00906836">
        <w:rPr>
          <w:noProof/>
        </w:rPr>
        <w:t>(Ryan 2015; McGhee and Piętka-Nykaza 2016)</w:t>
      </w:r>
      <w:r w:rsidR="00C35BEF" w:rsidRPr="00AD060D">
        <w:fldChar w:fldCharType="end"/>
      </w:r>
      <w:r w:rsidR="00C35BEF">
        <w:t xml:space="preserve"> we can</w:t>
      </w:r>
      <w:r w:rsidR="00C35BEF" w:rsidRPr="00AD060D">
        <w:t xml:space="preserve"> assume that the outcome of the referendum on EU membership is likel</w:t>
      </w:r>
      <w:r w:rsidR="00601DC0">
        <w:t>y to disrupt Polish migrants’ reported habitus of ‘deliberate indeterminacy’</w:t>
      </w:r>
      <w:r w:rsidR="00C35BEF">
        <w:t xml:space="preserve">. </w:t>
      </w:r>
    </w:p>
    <w:p w14:paraId="4FEA4E9B" w14:textId="33F3E117" w:rsidR="008E7E31" w:rsidRPr="000F1C4D" w:rsidRDefault="004530D9" w:rsidP="000F1C4D">
      <w:pPr>
        <w:pStyle w:val="Newparagraph"/>
        <w:jc w:val="both"/>
      </w:pPr>
      <w:r w:rsidRPr="004530D9">
        <w:t xml:space="preserve">In response to the gaps in current knowledge identified in the literature review, our aim in this paper is to reframe questions regarding migration strategies and their determinants within a more focused ‘rights-based’ approach, while also addressing the latest political development that potentially affects the lives and future plans of Polish migrants in the UK. Such an approach acknowledges that long-term plans are changeable and hard to determine </w:t>
      </w:r>
      <w:r w:rsidRPr="004530D9">
        <w:fldChar w:fldCharType="begin"/>
      </w:r>
      <w:r w:rsidR="00F25485">
        <w:instrText xml:space="preserve"> ADDIN EN.CITE &lt;EndNote&gt;&lt;Cite&gt;&lt;Author&gt;Burrell&lt;/Author&gt;&lt;Year&gt;2010&lt;/Year&gt;&lt;RecNum&gt;219&lt;/RecNum&gt;&lt;DisplayText&gt;(Burrell 2010; Parutis 2014)&lt;/DisplayText&gt;&lt;record&gt;&lt;rec-number&gt;219&lt;/rec-number&gt;&lt;foreign-keys&gt;&lt;key app="EN" db-id="0rx2xdvdhwtp2aefffjv5pzta0eztvftzd0a"&gt;219&lt;/key&gt;&lt;/foreign-keys&gt;&lt;ref-type name="Journal Article"&gt;17&lt;/ref-type&gt;&lt;contributors&gt;&lt;authors&gt;&lt;author&gt;Burrell, Kathy&lt;/author&gt;&lt;/authors&gt;&lt;/contributors&gt;&lt;titles&gt;&lt;title&gt;Staying, returning, working and living: key themes in current academic research undertaken in the UK on migration movements from Eastern Europe&lt;/title&gt;&lt;secondary-title&gt;Social Identities&lt;/secondary-title&gt;&lt;/titles&gt;&lt;periodical&gt;&lt;full-title&gt;Social Identities&lt;/full-title&gt;&lt;/periodical&gt;&lt;pages&gt;297-308&lt;/pages&gt;&lt;volume&gt;16&lt;/volume&gt;&lt;number&gt;3&lt;/number&gt;&lt;dates&gt;&lt;year&gt;2010&lt;/year&gt;&lt;pub-dates&gt;&lt;date&gt;2010/05/01&lt;/date&gt;&lt;/pub-dates&gt;&lt;/dates&gt;&lt;publisher&gt;Routledge&lt;/publisher&gt;&lt;isbn&gt;1350-4630&lt;/isbn&gt;&lt;urls&gt;&lt;related-urls&gt;&lt;url&gt;http://dx.doi.org/10.1080/13504630.2010.482401&lt;/url&gt;&lt;/related-urls&gt;&lt;/urls&gt;&lt;electronic-resource-num&gt;10.1080/13504630.2010.482401&lt;/electronic-resource-num&gt;&lt;access-date&gt;2011/12/01&lt;/access-date&gt;&lt;/record&gt;&lt;/Cite&gt;&lt;Cite&gt;&lt;Author&gt;Parutis&lt;/Author&gt;&lt;Year&gt;2014&lt;/Year&gt;&lt;RecNum&gt;320&lt;/RecNum&gt;&lt;record&gt;&lt;rec-number&gt;320&lt;/rec-number&gt;&lt;foreign-keys&gt;&lt;key app="EN" db-id="0rx2xdvdhwtp2aefffjv5pzta0eztvftzd0a"&gt;320&lt;/key&gt;&lt;/foreign-keys&gt;&lt;ref-type name="Journal Article"&gt;17&lt;/ref-type&gt;&lt;contributors&gt;&lt;authors&gt;&lt;author&gt;Parutis, Violetta&lt;/author&gt;&lt;/authors&gt;&lt;/contributors&gt;&lt;titles&gt;&lt;title&gt;Returning “Home”: East European Migrants&amp;apos; Discourses of Return&lt;/title&gt;&lt;secondary-title&gt;International Migration&lt;/secondary-title&gt;&lt;/titles&gt;&lt;periodical&gt;&lt;full-title&gt;International Migration&lt;/full-title&gt;&lt;/periodical&gt;&lt;pages&gt;159-177&lt;/pages&gt;&lt;volume&gt;52&lt;/volume&gt;&lt;number&gt;5&lt;/number&gt;&lt;dates&gt;&lt;year&gt;2014&lt;/year&gt;&lt;/dates&gt;&lt;isbn&gt;1468-2435&lt;/isbn&gt;&lt;urls&gt;&lt;related-urls&gt;&lt;url&gt;http://dx.doi.org/10.1111/imig.12037&lt;/url&gt;&lt;/related-urls&gt;&lt;/urls&gt;&lt;electronic-resource-num&gt;10.1111/imig.12037&lt;/electronic-resource-num&gt;&lt;/record&gt;&lt;/Cite&gt;&lt;/EndNote&gt;</w:instrText>
      </w:r>
      <w:r w:rsidRPr="004530D9">
        <w:fldChar w:fldCharType="separate"/>
      </w:r>
      <w:r w:rsidRPr="004530D9">
        <w:rPr>
          <w:noProof/>
        </w:rPr>
        <w:t>(Burrell 2010; Parutis 2014)</w:t>
      </w:r>
      <w:r w:rsidRPr="004530D9">
        <w:fldChar w:fldCharType="end"/>
      </w:r>
      <w:r w:rsidRPr="004530D9">
        <w:t xml:space="preserve">, and also that ‘indeterminacy’ and settlement can both be manifestations of different forms of transnational living </w:t>
      </w:r>
      <w:r w:rsidRPr="004530D9">
        <w:fldChar w:fldCharType="begin">
          <w:fldData xml:space="preserve">PEVuZE5vdGU+PENpdGU+PEF1dGhvcj5MZXZpdHQ8L0F1dGhvcj48WWVhcj4yMDA0PC9ZZWFyPjxS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</w:fldData>
        </w:fldChar>
      </w:r>
      <w:r w:rsidR="00F25485">
        <w:instrText xml:space="preserve"> ADDIN EN.CITE </w:instrText>
      </w:r>
      <w:r w:rsidR="00F25485">
        <w:fldChar w:fldCharType="begin">
          <w:fldData xml:space="preserve">PEVuZE5vdGU+PENpdGU+PEF1dGhvcj5MZXZpdHQ8L0F1dGhvcj48WWVhcj4yMDA0PC9ZZWFyPjxS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</w:fldData>
        </w:fldChar>
      </w:r>
      <w:r w:rsidR="00F25485">
        <w:instrText xml:space="preserve"> ADDIN EN.CITE.DATA </w:instrText>
      </w:r>
      <w:r w:rsidR="00F25485">
        <w:fldChar w:fldCharType="end"/>
      </w:r>
      <w:r w:rsidRPr="004530D9">
        <w:fldChar w:fldCharType="separate"/>
      </w:r>
      <w:r w:rsidRPr="004530D9">
        <w:rPr>
          <w:noProof/>
        </w:rPr>
        <w:t>(Levitt and Glick Schiller 2004; Ryan 2011; White and Ryan 2008)</w:t>
      </w:r>
      <w:r w:rsidRPr="004530D9">
        <w:fldChar w:fldCharType="end"/>
      </w:r>
      <w:r w:rsidRPr="004530D9">
        <w:t xml:space="preserve">. Consequently, we propose to examine the various plans and strategies in respect to a medium-term timeframe and </w:t>
      </w:r>
      <w:r w:rsidR="00254853">
        <w:t>we consider</w:t>
      </w:r>
      <w:r w:rsidRPr="004530D9">
        <w:t xml:space="preserve"> possible actions </w:t>
      </w:r>
      <w:r w:rsidR="00254853">
        <w:t xml:space="preserve">(e.g. applying for permanent residence or British citizenship) </w:t>
      </w:r>
      <w:r w:rsidRPr="004530D9">
        <w:t xml:space="preserve">that would expand migrants’ constellation of civic rights. Given the legal framework which applies to EU citizens residing in the </w:t>
      </w:r>
      <w:r w:rsidR="00404588">
        <w:t>UK</w:t>
      </w:r>
      <w:r w:rsidRPr="004530D9">
        <w:t xml:space="preserve">, civic-integration-related strategies (i.e. acquiring the official status of permanent resident or British citizen) over a period of 5 years </w:t>
      </w:r>
      <w:r w:rsidR="000F1C4D">
        <w:t>satisfy such criteria.</w:t>
      </w:r>
      <w:r w:rsidR="008E7E31">
        <w:rPr>
          <w:rStyle w:val="EndnoteReference"/>
        </w:rPr>
        <w:endnoteReference w:id="1"/>
      </w:r>
      <w:r w:rsidR="008E7E31">
        <w:t xml:space="preserve"> Our aim here is therefore </w:t>
      </w:r>
      <w:r w:rsidR="008E7E31" w:rsidRPr="000F1C4D">
        <w:t xml:space="preserve">to find out what factors contribute towards determining the migration and </w:t>
      </w:r>
      <w:r w:rsidR="008E7E31">
        <w:t>‘</w:t>
      </w:r>
      <w:r w:rsidR="008E7E31" w:rsidRPr="000F1C4D">
        <w:t>civic integration</w:t>
      </w:r>
      <w:r w:rsidR="008E7E31">
        <w:t>’</w:t>
      </w:r>
      <w:r w:rsidR="008E7E31" w:rsidRPr="000F1C4D">
        <w:t xml:space="preserve"> strategies of Polish migrants in the UK (1) over the medium-term and (2) under the conditions created by the UK’s vote to leave the European Union. </w:t>
      </w:r>
    </w:p>
    <w:p w14:paraId="1EC01F3B" w14:textId="77777777" w:rsidR="008E7E31" w:rsidRPr="00AD060D" w:rsidRDefault="008E7E31" w:rsidP="00212C7F">
      <w:pPr>
        <w:pStyle w:val="Heading1"/>
        <w:jc w:val="both"/>
      </w:pPr>
      <w:r w:rsidRPr="00AD060D">
        <w:t>Data and Methods</w:t>
      </w:r>
    </w:p>
    <w:p w14:paraId="1EC01F3C" w14:textId="77777777" w:rsidR="008E7E31" w:rsidRDefault="008E7E31" w:rsidP="00212C7F">
      <w:pPr>
        <w:pStyle w:val="Heading2"/>
        <w:jc w:val="both"/>
      </w:pPr>
      <w:r w:rsidRPr="00AD060D">
        <w:t>Study design and data structure</w:t>
      </w:r>
    </w:p>
    <w:p w14:paraId="1EC01F3D" w14:textId="13EE8673" w:rsidR="008E7E31" w:rsidRDefault="008E7E31" w:rsidP="00897D66">
      <w:pPr>
        <w:pStyle w:val="Paragraph"/>
        <w:jc w:val="both"/>
      </w:pPr>
      <w:r>
        <w:t>To</w:t>
      </w:r>
      <w:r w:rsidRPr="00AD060D">
        <w:t xml:space="preserve"> answer </w:t>
      </w:r>
      <w:r>
        <w:t>our</w:t>
      </w:r>
      <w:r w:rsidRPr="00AD060D">
        <w:t xml:space="preserve"> research questions, we analyse data originating from a purposefully designed </w:t>
      </w:r>
      <w:r>
        <w:t>‘</w:t>
      </w:r>
      <w:r w:rsidRPr="00AD060D">
        <w:t>targeted</w:t>
      </w:r>
      <w:r>
        <w:t>’</w:t>
      </w:r>
      <w:r w:rsidRPr="00AD060D">
        <w:t xml:space="preserve"> online survey (</w:t>
      </w:r>
      <w:r>
        <w:t xml:space="preserve">Polish-only sample N=894). </w:t>
      </w:r>
      <w:r w:rsidRPr="00AD060D">
        <w:t>The purpose of the survey was to assess the attitudes of EU migrants towards the Referendum on EU membership</w:t>
      </w:r>
      <w:r>
        <w:t>, its effect on their lives</w:t>
      </w:r>
      <w:r w:rsidRPr="00AD060D">
        <w:t xml:space="preserve"> and their strategi</w:t>
      </w:r>
      <w:r>
        <w:t xml:space="preserve">es in case of a vote for Brexit, and thus contribute to the public debate on the issue. The online survey data collection method was chosen with the aim to obtain a geographically dispersed large sample under strict time constraints </w:t>
      </w:r>
      <w:r>
        <w:fldChar w:fldCharType="begin"/>
      </w:r>
      <w:r w:rsidR="00F25485">
        <w:instrText xml:space="preserve"> ADDIN EN.CITE &lt;EndNote&gt;&lt;Cite&gt;&lt;Author&gt;Sue&lt;/Author&gt;&lt;Year&gt;2012&lt;/Year&gt;&lt;RecNum&gt;331&lt;/RecNum&gt;&lt;Prefix&gt;see &lt;/Prefix&gt;&lt;Pages&gt;10-11&lt;/Pages&gt;&lt;DisplayText&gt;(see Sue and Ritter 2012, 10-1)&lt;/DisplayText&gt;&lt;record&gt;&lt;rec-number&gt;331&lt;/rec-number&gt;&lt;foreign-keys&gt;&lt;key app="EN" db-id="0rx2xdvdhwtp2aefffjv5pzta0eztvftzd0a"&gt;331&lt;/key&gt;&lt;/foreign-keys&gt;&lt;ref-type name="Book"&gt;6&lt;/ref-type&gt;&lt;contributors&gt;&lt;authors&gt;&lt;author&gt;Sue, Valerie M.&lt;/author&gt;&lt;author&gt;Ritter, Lois A.&lt;/author&gt;&lt;/authors&gt;&lt;/contributors&gt;&lt;titles&gt;&lt;title&gt;Conducting online surveys&lt;/title&gt;&lt;/titles&gt;&lt;pages&gt;xix, 242 p.&lt;/pages&gt;&lt;edition&gt;2nd&lt;/edition&gt;&lt;keywords&gt;&lt;keyword&gt;Social surveys Methodology.&lt;/keyword&gt;&lt;keyword&gt;Internet surveys.&lt;/keyword&gt;&lt;/keywords&gt;&lt;dates&gt;&lt;year&gt;2012&lt;/year&gt;&lt;/dates&gt;&lt;pub-location&gt;Thousand Oaks, Calif.&lt;/pub-location&gt;&lt;publisher&gt;Sage&lt;/publisher&gt;&lt;isbn&gt;9781412992251 (pbk. alk. paper)&amp;#xD;1412992257 (pbk. alk. paper)&lt;/isbn&gt;&lt;accession-num&gt;16971835&lt;/accession-num&gt;&lt;call-num&gt;HM538 .S84 2012&lt;/call-num&gt;&lt;urls&gt;&lt;/urls&gt;&lt;/record&gt;&lt;/Cite&gt;&lt;/EndNote&gt;</w:instrText>
      </w:r>
      <w:r>
        <w:fldChar w:fldCharType="separate"/>
      </w:r>
      <w:r>
        <w:rPr>
          <w:noProof/>
        </w:rPr>
        <w:t>(see Sue and Ritter 2012, 10-1)</w:t>
      </w:r>
      <w:r>
        <w:fldChar w:fldCharType="end"/>
      </w:r>
      <w:r>
        <w:t>.</w:t>
      </w:r>
    </w:p>
    <w:p w14:paraId="1EC01F3E" w14:textId="70E1738D" w:rsidR="008E7E31" w:rsidRDefault="008E7E31" w:rsidP="00254853">
      <w:pPr>
        <w:pStyle w:val="Newparagraph"/>
        <w:jc w:val="both"/>
      </w:pPr>
      <w:r w:rsidRPr="00AD060D">
        <w:t>The survey was created using software designed by [</w:t>
      </w:r>
      <w:r w:rsidRPr="00B57E44">
        <w:rPr>
          <w:color w:val="FF0000"/>
        </w:rPr>
        <w:t>information withheld</w:t>
      </w:r>
      <w:r w:rsidRPr="00AD060D">
        <w:t>]. In order to achieve greater representativeness among the respondents</w:t>
      </w:r>
      <w:r>
        <w:t>,</w:t>
      </w:r>
      <w:r w:rsidRPr="00AD060D">
        <w:t xml:space="preserve"> the survey was translated into Polish.</w:t>
      </w:r>
      <w:r w:rsidRPr="00AD060D">
        <w:rPr>
          <w:vertAlign w:val="superscript"/>
        </w:rPr>
        <w:endnoteReference w:id="2"/>
      </w:r>
      <w:r>
        <w:t xml:space="preserve"> Data collection was undertaken in the four months leading up to the EU Referendum; the questionnaire</w:t>
      </w:r>
      <w:r w:rsidRPr="00AD060D">
        <w:t xml:space="preserve"> </w:t>
      </w:r>
      <w:r>
        <w:t>was</w:t>
      </w:r>
      <w:r w:rsidRPr="00AD060D">
        <w:t xml:space="preserve"> launched </w:t>
      </w:r>
      <w:r>
        <w:t xml:space="preserve">on </w:t>
      </w:r>
      <w:r w:rsidRPr="00AD060D">
        <w:t>11 March 2016 and closed at midnight on 23</w:t>
      </w:r>
      <w:r w:rsidRPr="00AD060D">
        <w:rPr>
          <w:vertAlign w:val="superscript"/>
        </w:rPr>
        <w:t>rd</w:t>
      </w:r>
      <w:r w:rsidRPr="00AD060D">
        <w:t xml:space="preserve"> June 2016 (i.e. the date of the EU Referendum). The main body of the questionnaire contained a total of 194 items, and it took respondents 25 minutes on average to complete (min=6, max=111, standard deviation=13.9).</w:t>
      </w:r>
    </w:p>
    <w:p w14:paraId="1EC01F3F" w14:textId="2B1E5F82" w:rsidR="008E7E31" w:rsidRDefault="008E7E31" w:rsidP="00254853">
      <w:pPr>
        <w:pStyle w:val="Newparagraph"/>
        <w:jc w:val="both"/>
      </w:pPr>
      <w:r w:rsidRPr="00AD060D">
        <w:t>To avoid the respondent</w:t>
      </w:r>
      <w:r>
        <w:t>- and coverage</w:t>
      </w:r>
      <w:r w:rsidRPr="00AD060D">
        <w:t xml:space="preserve"> bias</w:t>
      </w:r>
      <w:r>
        <w:t xml:space="preserve">es often considered as ‘innate’ to </w:t>
      </w:r>
      <w:r w:rsidR="00794385" w:rsidRPr="00794385">
        <w:t>online surveys (C</w:t>
      </w:r>
      <w:r w:rsidR="0021059C">
        <w:t>ouper 2000;</w:t>
      </w:r>
      <w:r w:rsidR="00794385" w:rsidRPr="00794385">
        <w:t xml:space="preserve"> Sue and Ritter 2012),</w:t>
      </w:r>
      <w:r w:rsidRPr="00AD060D">
        <w:t xml:space="preserve"> we used a</w:t>
      </w:r>
      <w:r>
        <w:t>n active data collection method,</w:t>
      </w:r>
      <w:r w:rsidRPr="00AD060D">
        <w:t xml:space="preserve"> directly targeting members of Polish online communities and readers of UK-based Polish language online media portals. The social networking site Facebook served as the largest participant recruitment platform, where we advertised </w:t>
      </w:r>
      <w:r>
        <w:t>the survey in twenty-one Polish-</w:t>
      </w:r>
      <w:r w:rsidRPr="00AD060D">
        <w:t xml:space="preserve">language </w:t>
      </w:r>
      <w:r>
        <w:t>‘</w:t>
      </w:r>
      <w:r w:rsidRPr="00AD060D">
        <w:t>groups</w:t>
      </w:r>
      <w:r>
        <w:t>’</w:t>
      </w:r>
      <w:r w:rsidRPr="00AD060D">
        <w:t>. Two large UK-based Polish online newspapers have also helped to distribute the survey through their website</w:t>
      </w:r>
      <w:r>
        <w:t xml:space="preserve">s and official Facebook groups. Such strategies of ‘appropriate targeting’ have been proven particularly successful in research with hard-to-reach populations, and generally recommended as good practice for online data collection </w:t>
      </w:r>
      <w:r>
        <w:fldChar w:fldCharType="begin">
          <w:fldData xml:space="preserve">PEVuZE5vdGU+PENpdGU+PEF1dGhvcj5NaWxsZXI8L0F1dGhvcj48WWVhcj4yMDEwPC9ZZWFyPjxS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</w:fldData>
        </w:fldChar>
      </w:r>
      <w:r w:rsidR="00F25485">
        <w:instrText xml:space="preserve"> ADDIN EN.CITE </w:instrText>
      </w:r>
      <w:r w:rsidR="00F25485">
        <w:fldChar w:fldCharType="begin">
          <w:fldData xml:space="preserve">PEVuZE5vdGU+PENpdGU+PEF1dGhvcj5NaWxsZXI8L0F1dGhvcj48WWVhcj4yMDEwPC9ZZWFyPjxS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</w:fldData>
        </w:fldChar>
      </w:r>
      <w:r w:rsidR="00F25485">
        <w:instrText xml:space="preserve"> ADDIN EN.CITE.DATA </w:instrText>
      </w:r>
      <w:r w:rsidR="00F25485">
        <w:fldChar w:fldCharType="end"/>
      </w:r>
      <w:r>
        <w:fldChar w:fldCharType="separate"/>
      </w:r>
      <w:r>
        <w:rPr>
          <w:noProof/>
        </w:rPr>
        <w:t>(Miller and Sønderlund 2010; Temple and Brown 2011)</w:t>
      </w:r>
      <w:r>
        <w:fldChar w:fldCharType="end"/>
      </w:r>
      <w:r>
        <w:t xml:space="preserve">. Furthermore, recent migration research has shown that migrants are increasingly less affected by ‘coverage bias’, as access to internet is broadening while their involvement with the so-called ‘online migration industry’ is extensive </w:t>
      </w:r>
      <w:r>
        <w:fldChar w:fldCharType="begin">
          <w:fldData xml:space="preserve">PEVuZE5vdGU+PENpdGU+PEF1dGhvcj5EZWtrZXI8L0F1dGhvcj48WWVhcj4yMDE0PC9ZZWFyPjxS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</w:fldData>
        </w:fldChar>
      </w:r>
      <w:r w:rsidR="00F25485">
        <w:instrText xml:space="preserve"> ADDIN EN.CITE </w:instrText>
      </w:r>
      <w:r w:rsidR="00F25485">
        <w:fldChar w:fldCharType="begin">
          <w:fldData xml:space="preserve">PEVuZE5vdGU+PENpdGU+PEF1dGhvcj5EZWtrZXI8L0F1dGhvcj48WWVhcj4yMDE0PC9ZZWFyPjxS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</w:fldData>
        </w:fldChar>
      </w:r>
      <w:r w:rsidR="00F25485">
        <w:instrText xml:space="preserve"> ADDIN EN.CITE.DATA </w:instrText>
      </w:r>
      <w:r w:rsidR="00F25485">
        <w:fldChar w:fldCharType="end"/>
      </w:r>
      <w:r>
        <w:fldChar w:fldCharType="separate"/>
      </w:r>
      <w:r>
        <w:rPr>
          <w:noProof/>
        </w:rPr>
        <w:t>(Dekker and Engbersen 2014; Moreh 2014)</w:t>
      </w:r>
      <w:r>
        <w:fldChar w:fldCharType="end"/>
      </w:r>
      <w:r>
        <w:t>.</w:t>
      </w:r>
    </w:p>
    <w:p w14:paraId="1EC01F40" w14:textId="11BBE2FB" w:rsidR="008E7E31" w:rsidRPr="00AD060D" w:rsidRDefault="008E7E31" w:rsidP="00212C7F">
      <w:pPr>
        <w:pStyle w:val="Newparagraph"/>
        <w:jc w:val="both"/>
      </w:pPr>
      <w:r w:rsidRPr="00AD060D">
        <w:t xml:space="preserve">In order to assess the representativeness of our collected data, </w:t>
      </w:r>
      <w:r w:rsidRPr="00AD060D">
        <w:rPr>
          <w:i/>
        </w:rPr>
        <w:t>Table 1</w:t>
      </w:r>
      <w:r w:rsidRPr="00AD060D">
        <w:t xml:space="preserve"> compares the personal characteristics of our sample with </w:t>
      </w:r>
      <w:r>
        <w:t>those</w:t>
      </w:r>
      <w:r w:rsidRPr="00AD060D">
        <w:t xml:space="preserve"> of the 2015–2016 Annual Population Survey (APS), which is itself based on the Labour Force Survey, and is the main source of information regarding the number and attribute</w:t>
      </w:r>
      <w:r>
        <w:t>s</w:t>
      </w:r>
      <w:r w:rsidRPr="00AD060D">
        <w:t xml:space="preserve"> of migrants in the </w:t>
      </w:r>
      <w:r>
        <w:t>UK</w:t>
      </w:r>
      <w:r w:rsidRPr="00AD060D">
        <w:t xml:space="preserve">. </w:t>
      </w:r>
    </w:p>
    <w:p w14:paraId="1EC01F41" w14:textId="77777777" w:rsidR="008E7E31" w:rsidRPr="00231D4A" w:rsidRDefault="008E7E31" w:rsidP="00231D4A">
      <w:pPr>
        <w:pStyle w:val="Heading3"/>
        <w:rPr>
          <w:color w:val="FF0000"/>
        </w:rPr>
      </w:pPr>
      <w:r w:rsidRPr="00231D4A">
        <w:rPr>
          <w:color w:val="FF0000"/>
        </w:rPr>
        <w:t>Table 1 around here</w:t>
      </w:r>
    </w:p>
    <w:p w14:paraId="1EC01F42" w14:textId="6B4BE11C" w:rsidR="008E7E31" w:rsidRPr="00AD060D" w:rsidRDefault="008E7E31" w:rsidP="00212C7F">
      <w:pPr>
        <w:pStyle w:val="Newparagraph"/>
        <w:jc w:val="both"/>
      </w:pPr>
      <w:r w:rsidRPr="00AD060D">
        <w:t xml:space="preserve">As detailed in </w:t>
      </w:r>
      <w:r w:rsidRPr="00AD060D">
        <w:rPr>
          <w:i/>
        </w:rPr>
        <w:t>Table 1</w:t>
      </w:r>
      <w:r w:rsidRPr="00AD060D">
        <w:t xml:space="preserve">, females are clearly overrepresented in our sample (66%) compared to the APS, as are migrants in the 40–49 age group, those who had been living in the UK for less than 5 years, and those with secondary and postgraduate educational </w:t>
      </w:r>
      <w:r>
        <w:t>qualifications</w:t>
      </w:r>
      <w:r w:rsidRPr="00AD060D">
        <w:t xml:space="preserve">. However, in respect to educational qualifications and length of residence in the </w:t>
      </w:r>
      <w:r>
        <w:t xml:space="preserve">UK the APS itself is </w:t>
      </w:r>
      <w:r w:rsidRPr="00AD060D">
        <w:t>unrepresentative of</w:t>
      </w:r>
      <w:r>
        <w:t xml:space="preserve"> the Polish migrant population, often failing to record foreign qualifications adequately and not accounting for migrants with less than one year of residence.</w:t>
      </w:r>
    </w:p>
    <w:p w14:paraId="1EC01F43" w14:textId="21F09CBA" w:rsidR="008E7E31" w:rsidRPr="00AD060D" w:rsidRDefault="008E7E31" w:rsidP="00212C7F">
      <w:pPr>
        <w:pStyle w:val="Newparagraph"/>
        <w:jc w:val="both"/>
      </w:pPr>
      <w:r w:rsidRPr="00AD060D">
        <w:t xml:space="preserve">In respect to the core personal and socio-economic characteristics of the respondents in our sample we can further see that the average age is 38, and the average time spent in the UK is 7 years and 2 months, with 47% of our participants having been in the UK for 5 to 10 years. Those living in England constitute 80% of the sample, with a very broad distribution by counties and those in London making up less than 6.5 per cent of the entire sample (not displayed in </w:t>
      </w:r>
      <w:r w:rsidRPr="00AD060D">
        <w:rPr>
          <w:i/>
        </w:rPr>
        <w:t>Table 1</w:t>
      </w:r>
      <w:r w:rsidRPr="00AD060D">
        <w:t xml:space="preserve">). Concerning their relationship status, 52% of the respondents were married or in </w:t>
      </w:r>
      <w:r>
        <w:t xml:space="preserve">a </w:t>
      </w:r>
      <w:r w:rsidRPr="00AD060D">
        <w:t xml:space="preserve">civil partnership, and 16% </w:t>
      </w:r>
      <w:r>
        <w:t xml:space="preserve">were </w:t>
      </w:r>
      <w:r w:rsidRPr="00AD060D">
        <w:t xml:space="preserve">in unofficial long-term relationships and cohabitating. </w:t>
      </w:r>
      <w:r>
        <w:t xml:space="preserve">About </w:t>
      </w:r>
      <w:r w:rsidRPr="00AD060D">
        <w:t>40% ha</w:t>
      </w:r>
      <w:r>
        <w:t>d</w:t>
      </w:r>
      <w:r w:rsidRPr="00AD060D">
        <w:t xml:space="preserve"> a secondary degree and 42% some post-secondary degree. Regarding respondents’ economic activity and socio-economic status, 61% </w:t>
      </w:r>
      <w:r>
        <w:t>were</w:t>
      </w:r>
      <w:r w:rsidRPr="00AD060D">
        <w:t xml:space="preserve"> employed full-time, 17% part-time, 9% </w:t>
      </w:r>
      <w:r>
        <w:t>were</w:t>
      </w:r>
      <w:r w:rsidRPr="00AD060D">
        <w:t xml:space="preserve"> self-employed, and 13% </w:t>
      </w:r>
      <w:r>
        <w:t>were</w:t>
      </w:r>
      <w:r w:rsidRPr="00AD060D">
        <w:t xml:space="preserve"> inactive; of those in employment, 18% work</w:t>
      </w:r>
      <w:r>
        <w:t>ed</w:t>
      </w:r>
      <w:r w:rsidRPr="00AD060D">
        <w:t xml:space="preserve"> in professional occupations in the highest two groups of the National</w:t>
      </w:r>
      <w:r>
        <w:t xml:space="preserve"> </w:t>
      </w:r>
      <w:r w:rsidRPr="00AD060D">
        <w:t>Statistics Socio-</w:t>
      </w:r>
      <w:r>
        <w:t>E</w:t>
      </w:r>
      <w:r w:rsidRPr="00AD060D">
        <w:t xml:space="preserve">conomic Classification, 34% in technical and semi-routine occupations, and 33% in routine occupations </w:t>
      </w:r>
      <w:r>
        <w:t>reflecting</w:t>
      </w:r>
      <w:r w:rsidRPr="00AD060D">
        <w:t xml:space="preserve"> low</w:t>
      </w:r>
      <w:r>
        <w:t>er</w:t>
      </w:r>
      <w:r w:rsidRPr="00AD060D">
        <w:t xml:space="preserve"> socio-economic status.</w:t>
      </w:r>
      <w:r>
        <w:t xml:space="preserve"> As seen in </w:t>
      </w:r>
      <w:r w:rsidRPr="00B93236">
        <w:rPr>
          <w:i/>
        </w:rPr>
        <w:t>Table</w:t>
      </w:r>
      <w:r>
        <w:rPr>
          <w:i/>
        </w:rPr>
        <w:t xml:space="preserve"> </w:t>
      </w:r>
      <w:r w:rsidRPr="00B93236">
        <w:rPr>
          <w:i/>
        </w:rPr>
        <w:t>1</w:t>
      </w:r>
      <w:r>
        <w:t>, the major differences compared to the APS sample are in respect to those inactive (19% in the APS), presumably due to the higher proportion of elderly respondents, and those in h</w:t>
      </w:r>
      <w:r w:rsidRPr="007B530F">
        <w:t>igher managerial, administrative and professional</w:t>
      </w:r>
      <w:r>
        <w:t xml:space="preserve"> occupations (</w:t>
      </w:r>
      <w:r w:rsidRPr="007B530F">
        <w:t>8%</w:t>
      </w:r>
      <w:r>
        <w:t xml:space="preserve"> in our sample compared to </w:t>
      </w:r>
      <w:r w:rsidRPr="007B530F">
        <w:t>3%</w:t>
      </w:r>
      <w:r>
        <w:t xml:space="preserve"> in the APS), which parallels the already mentioned difference in the share of those with postgraduate qualifications.</w:t>
      </w:r>
    </w:p>
    <w:p w14:paraId="1EC01F44" w14:textId="77777777" w:rsidR="008E7E31" w:rsidRDefault="008E7E31" w:rsidP="00212C7F">
      <w:pPr>
        <w:pStyle w:val="Heading2"/>
        <w:jc w:val="both"/>
      </w:pPr>
      <w:r>
        <w:t>Methods</w:t>
      </w:r>
    </w:p>
    <w:p w14:paraId="1EC01F45" w14:textId="48FED603" w:rsidR="008E7E31" w:rsidRDefault="00237A35" w:rsidP="00212C7F">
      <w:pPr>
        <w:pStyle w:val="Paragraph"/>
        <w:jc w:val="both"/>
      </w:pPr>
      <w:r>
        <w:t>W</w:t>
      </w:r>
      <w:r w:rsidR="008E7E31" w:rsidRPr="00AD060D">
        <w:t>e undertake a combination of bivariate and multivariate statistical analyses on the survey data described above. Our aim is to identify and explain the factors which potentially determine the migration and civic integration plans of Polish m</w:t>
      </w:r>
      <w:r w:rsidR="008E7E31">
        <w:t>igrants in the medium-term, and as a</w:t>
      </w:r>
      <w:r w:rsidR="008E7E31" w:rsidRPr="00AD060D">
        <w:t xml:space="preserve"> short-term reaction to the Brexit vote.</w:t>
      </w:r>
    </w:p>
    <w:p w14:paraId="1EC01F46" w14:textId="2886604F" w:rsidR="008E7E31" w:rsidRDefault="008E7E31" w:rsidP="00831815">
      <w:pPr>
        <w:pStyle w:val="Newparagraph"/>
        <w:jc w:val="both"/>
      </w:pPr>
      <w:r>
        <w:t>W</w:t>
      </w:r>
      <w:r w:rsidRPr="00AD060D">
        <w:t>e first examine bivariate associations between migrants’ plans for the next 5 years (5-year plans) and various demographic, socio-economic, interpersonal, migration- and civic status-related</w:t>
      </w:r>
      <w:r>
        <w:t>,</w:t>
      </w:r>
      <w:r w:rsidRPr="00AD060D">
        <w:t xml:space="preserve"> and attitudinal variables. Given the nature of our variables, we employ</w:t>
      </w:r>
      <w:r>
        <w:t>ed</w:t>
      </w:r>
      <w:r w:rsidRPr="00AD060D">
        <w:t xml:space="preserve"> Chi-square tests of independence as a general measure of association, followed up by measures of associational strength and directionality</w:t>
      </w:r>
      <w:r>
        <w:t xml:space="preserve"> (employing Cramer’s V, and Goodman and Kruskal tau tests)</w:t>
      </w:r>
      <w:r w:rsidRPr="00AD060D">
        <w:t xml:space="preserve">. Some relevant results of this analysis are included in </w:t>
      </w:r>
      <w:r w:rsidRPr="00AD060D">
        <w:rPr>
          <w:i/>
        </w:rPr>
        <w:t>Table A1</w:t>
      </w:r>
      <w:r w:rsidRPr="00AD060D">
        <w:t xml:space="preserve"> in the Appendix. T</w:t>
      </w:r>
      <w:r>
        <w:t>his preliminary analysis enabled</w:t>
      </w:r>
      <w:r w:rsidRPr="00AD060D">
        <w:t xml:space="preserve"> us to identify the </w:t>
      </w:r>
      <w:r>
        <w:t xml:space="preserve">potentially </w:t>
      </w:r>
      <w:r w:rsidRPr="00AD060D">
        <w:t xml:space="preserve">most relevant predictor variables and the internal structure of associations. Based on this, we undertake a multinomial logistic regression analysis on a polytomous variable describing </w:t>
      </w:r>
      <w:r>
        <w:t xml:space="preserve">our participants’ </w:t>
      </w:r>
      <w:r w:rsidRPr="00AD060D">
        <w:t xml:space="preserve">5-year plans. As a next step, we also run the multinomial regression model on a variable describing </w:t>
      </w:r>
      <w:r>
        <w:t xml:space="preserve">the respondents’ </w:t>
      </w:r>
      <w:r w:rsidRPr="00AD060D">
        <w:t xml:space="preserve">planned actions in case of a Brexit outcome (Brexit action). This analysis examines the factors determining plans not in a time-frame confined to 5-years, but as an indication of how </w:t>
      </w:r>
      <w:r>
        <w:t>Polish migrants confront their ‘immediate context of action’</w:t>
      </w:r>
      <w:r w:rsidRPr="00AD060D">
        <w:t xml:space="preserve"> </w:t>
      </w:r>
      <w:r>
        <w:fldChar w:fldCharType="begin"/>
      </w:r>
      <w:r w:rsidR="00F25485">
        <w:instrText xml:space="preserve"> ADDIN EN.CITE &lt;EndNote&gt;&lt;Cite&gt;&lt;Author&gt;Stones&lt;/Author&gt;&lt;Year&gt;2005&lt;/Year&gt;&lt;RecNum&gt;319&lt;/RecNum&gt;&lt;Pages&gt;166&lt;/Pages&gt;&lt;DisplayText&gt;(Stones 2005, 166)&lt;/DisplayText&gt;&lt;record&gt;&lt;rec-number&gt;319&lt;/rec-number&gt;&lt;foreign-keys&gt;&lt;key app="EN" db-id="0rx2xdvdhwtp2aefffjv5pzta0eztvftzd0a"&gt;319&lt;/key&gt;&lt;/foreign-keys&gt;&lt;ref-type name="Book"&gt;6&lt;/ref-type&gt;&lt;contributors&gt;&lt;authors&gt;&lt;author&gt;Stones, Rob&lt;/author&gt;&lt;/authors&gt;&lt;/contributors&gt;&lt;titles&gt;&lt;title&gt;Structuration theory&lt;/title&gt;&lt;/titles&gt;&lt;keywords&gt;&lt;keyword&gt;Sociology Philosophy.&lt;/keyword&gt;&lt;keyword&gt;Social structure.&lt;/keyword&gt;&lt;/keywords&gt;&lt;dates&gt;&lt;year&gt;2005&lt;/year&gt;&lt;/dates&gt;&lt;pub-location&gt;Basingstoke&lt;/pub-location&gt;&lt;publisher&gt;Palgrave Macmillan&lt;/publisher&gt;&lt;isbn&gt;0333793773 (cased) : ¹52.50&amp;#xD;0333793781 (pbk.) : ¹17.99&lt;/isbn&gt;&lt;call-num&gt;301.01 22&amp;#xD;British Library HMNTS YC.2009.a.9730&amp;#xD;British Library DSC m05/.18538&amp;#xD;British Library HMNTS SPIS301.01&lt;/call-num&gt;&lt;urls&gt;&lt;/urls&gt;&lt;/record&gt;&lt;/Cite&gt;&lt;/EndNote&gt;</w:instrText>
      </w:r>
      <w:r>
        <w:fldChar w:fldCharType="separate"/>
      </w:r>
      <w:r>
        <w:rPr>
          <w:noProof/>
        </w:rPr>
        <w:t>(Stones 2005, 166)</w:t>
      </w:r>
      <w:r>
        <w:fldChar w:fldCharType="end"/>
      </w:r>
      <w:r w:rsidRPr="00AD060D">
        <w:t xml:space="preserve">. This will also provide an initial estimation of what we </w:t>
      </w:r>
      <w:r w:rsidRPr="00CE6BDD">
        <w:t xml:space="preserve">conceptualise as the ‘Brexit effect’ and discuss elsewhere </w:t>
      </w:r>
      <w:r>
        <w:rPr>
          <w:color w:val="FF0000"/>
        </w:rPr>
        <w:t xml:space="preserve">[reference withheld]. </w:t>
      </w:r>
      <w:r>
        <w:t>The statistical analysis was performed using the IBM SPSS 23 software package.</w:t>
      </w:r>
    </w:p>
    <w:p w14:paraId="1EC01F47" w14:textId="141AE0A3" w:rsidR="008E7E31" w:rsidRDefault="008E7E31" w:rsidP="00A747AF">
      <w:pPr>
        <w:pStyle w:val="Newparagraph"/>
        <w:jc w:val="both"/>
      </w:pPr>
      <w:r w:rsidRPr="00AD060D">
        <w:t>Decisions regarding the variables to be included and the comparative structure of the regression model were made on the basis of both theoretical and data-driven considerations. Thus, some basic demographic and socio-economic variables were included even though they did not significantly correlate with our dependent variable or contributed to the model, yet they needed to be accounted for in relation to other variables (e.g. gender, due to the overrepresentation of women in our data). Some variables were excluded or recoded due to low counts in certain cat</w:t>
      </w:r>
      <w:r>
        <w:t xml:space="preserve">egories, and </w:t>
      </w:r>
      <w:r>
        <w:softHyphen/>
        <w:t>–</w:t>
      </w:r>
      <w:r w:rsidRPr="00AD060D">
        <w:t xml:space="preserve"> </w:t>
      </w:r>
      <w:r>
        <w:t>where it also aided explanation –</w:t>
      </w:r>
      <w:r w:rsidRPr="00AD060D">
        <w:t xml:space="preserve"> initial variables were recoded based on the internal structure of the adjusted standardised residuals in their association with the dependent variable (see </w:t>
      </w:r>
      <w:r w:rsidRPr="00AD060D">
        <w:rPr>
          <w:i/>
        </w:rPr>
        <w:t>Table A1</w:t>
      </w:r>
      <w:r w:rsidRPr="00AD060D">
        <w:t xml:space="preserve"> in Appendix). For our theoretical aims, since we were most</w:t>
      </w:r>
      <w:r>
        <w:t>ly</w:t>
      </w:r>
      <w:r w:rsidRPr="00AD060D">
        <w:t xml:space="preserve"> interested in understanding how migrants formulate their actions in respect to their current status and their options within a rights-based framework, we chose as the reference category of our dependent variable the one which can be most closely associated with the habitus of ‘indeterminacy’</w:t>
      </w:r>
      <w:r>
        <w:t xml:space="preserve">, as we detail in the following section describing </w:t>
      </w:r>
      <w:r w:rsidRPr="00AD060D">
        <w:t>the structure of our measurement variables.</w:t>
      </w:r>
    </w:p>
    <w:p w14:paraId="1EC01F48" w14:textId="77777777" w:rsidR="008E7E31" w:rsidRDefault="008E7E31" w:rsidP="00212C7F">
      <w:pPr>
        <w:pStyle w:val="Heading2"/>
        <w:jc w:val="both"/>
      </w:pPr>
      <w:r>
        <w:t>Measurement variables</w:t>
      </w:r>
    </w:p>
    <w:p w14:paraId="1EC01F49" w14:textId="7280475B" w:rsidR="008E7E31" w:rsidRPr="00AD060D" w:rsidRDefault="008E7E31" w:rsidP="00212C7F">
      <w:pPr>
        <w:pStyle w:val="Paragraph"/>
        <w:jc w:val="both"/>
      </w:pPr>
      <w:r w:rsidRPr="00AD060D">
        <w:t xml:space="preserve">The two main survey questions that organise our analysis in this paper relate to the respondents’ future plans in respect to migration and civic integration: (1) “if the UK votes to leave the EU, what will your most likely action be?” (Brexit action) and (2) “Regardless of the EU referendum, what is your most likely plan for the next 5 years?” (5-year plan). The two questions shared the same six answer options: “Move to a non-EU country (not your country of origin/citizenship)”, “Move to another EU country (not your country of origin/citizenship)”, “Move to your country of origin/citizenship”, “Remain in the UK and apply for a permanent residence certificate (for yourself and your family, if applicable)”, “Remain in the UK and apply for British citizenship (for yourself and your family, if applicable)”, and “Remain in the UK </w:t>
      </w:r>
      <w:r>
        <w:t>without any concrete plan/</w:t>
      </w:r>
      <w:r w:rsidRPr="00AD060D">
        <w:t xml:space="preserve">take no action”. In our analyses, several of these answer options </w:t>
      </w:r>
      <w:r>
        <w:t>were</w:t>
      </w:r>
      <w:r w:rsidRPr="00AD060D">
        <w:t xml:space="preserve"> combined in order to increase counts or to enhance explanation. For instance, the two options relating to moving to a third country are combined in the category ‘re-migration’ (as in </w:t>
      </w:r>
      <w:r w:rsidRPr="00AD060D">
        <w:rPr>
          <w:i/>
        </w:rPr>
        <w:t>Figure 1</w:t>
      </w:r>
      <w:r w:rsidRPr="00AD060D">
        <w:t>). In other analyses</w:t>
      </w:r>
      <w:r>
        <w:t>,</w:t>
      </w:r>
      <w:r w:rsidRPr="00AD060D">
        <w:t xml:space="preserve"> the answer option of return to Poland is </w:t>
      </w:r>
      <w:r>
        <w:t xml:space="preserve">also </w:t>
      </w:r>
      <w:r w:rsidRPr="00AD060D">
        <w:t>added to form the category ‘</w:t>
      </w:r>
      <w:r>
        <w:t>Leave the UK</w:t>
      </w:r>
      <w:r w:rsidRPr="00AD060D">
        <w:t xml:space="preserve">’. </w:t>
      </w:r>
      <w:r w:rsidRPr="002F4856">
        <w:t xml:space="preserve">Similarly, plans to remain and apply for </w:t>
      </w:r>
      <w:r>
        <w:t>the P</w:t>
      </w:r>
      <w:r w:rsidRPr="002F4856">
        <w:t xml:space="preserve">ermanent </w:t>
      </w:r>
      <w:r>
        <w:t>R</w:t>
      </w:r>
      <w:r w:rsidRPr="002F4856">
        <w:t xml:space="preserve">esidence </w:t>
      </w:r>
      <w:r>
        <w:t>C</w:t>
      </w:r>
      <w:r w:rsidRPr="002F4856">
        <w:t xml:space="preserve">ertificate (PRC) or </w:t>
      </w:r>
      <w:r>
        <w:t xml:space="preserve">for </w:t>
      </w:r>
      <w:r w:rsidRPr="002F4856">
        <w:t>citizenship can be combined to describe more broadly int</w:t>
      </w:r>
      <w:r>
        <w:t xml:space="preserve">entions of </w:t>
      </w:r>
      <w:r w:rsidRPr="002F4856">
        <w:t>civic integration.</w:t>
      </w:r>
    </w:p>
    <w:p w14:paraId="1EC01F4A" w14:textId="2DCCFCF8" w:rsidR="008E7E31" w:rsidRPr="00AD060D" w:rsidRDefault="008E7E31" w:rsidP="00212C7F">
      <w:pPr>
        <w:pStyle w:val="Newparagraph"/>
        <w:jc w:val="both"/>
      </w:pPr>
      <w:r w:rsidRPr="00AD060D">
        <w:t xml:space="preserve">Confining the approach taken by </w:t>
      </w:r>
      <w:r>
        <w:fldChar w:fldCharType="begin"/>
      </w:r>
      <w:r w:rsidR="00F25485">
        <w:instrText xml:space="preserve"> ADDIN EN.CITE &lt;EndNote&gt;&lt;Cite AuthorYear="1"&gt;&lt;Author&gt;Snel&lt;/Author&gt;&lt;Year&gt;2015&lt;/Year&gt;&lt;RecNum&gt;55&lt;/RecNum&gt;&lt;DisplayText&gt;Snel, Faber, and Engbersen (2015)&lt;/DisplayText&gt;&lt;record&gt;&lt;rec-number&gt;55&lt;/rec-number&gt;&lt;foreign-keys&gt;&lt;key app="EN" db-id="0rx2xdvdhwtp2aefffjv5pzta0eztvftzd0a"&gt;55&lt;/key&gt;&lt;/foreign-keys&gt;&lt;ref-type name="Journal Article"&gt;17&lt;/ref-type&gt;&lt;contributors&gt;&lt;authors&gt;&lt;author&gt;Snel, Erik&lt;/author&gt;&lt;author&gt;Faber, Marije&lt;/author&gt;&lt;author&gt;Engbersen, Godfried&lt;/author&gt;&lt;/authors&gt;&lt;/contributors&gt;&lt;titles&gt;&lt;title&gt;To Stay or Return? Explaining Return Intentions of Central and Eastern European Labour Migrants&lt;/title&gt;&lt;secondary-title&gt;Central and Eastern European Migration Review&lt;/secondary-title&gt;&lt;/titles&gt;&lt;periodical&gt;&lt;full-title&gt;Central and Eastern European Migration Review&lt;/full-title&gt;&lt;/periodical&gt;&lt;pages&gt;5-24&lt;/pages&gt;&lt;volume&gt;4&lt;/volume&gt;&lt;number&gt;2&lt;/number&gt;&lt;section&gt;5&lt;/section&gt;&lt;keywords&gt;&lt;keyword&gt;return migration&lt;/keyword&gt;&lt;keyword&gt;labour migrants&lt;/keyword&gt;&lt;keyword&gt;Central and Eastern Europe&lt;/keyword&gt;&lt;keyword&gt;the Netherlands&lt;/keyword&gt;&lt;/keywords&gt;&lt;dates&gt;&lt;year&gt;2015&lt;/year&gt;&lt;/dates&gt;&lt;urls&gt;&lt;related-urls&gt;&lt;url&gt;http://ceemr.uw.edu.pl/vol-4-no-2-december-2015/articles/stay-or-return-explaining-return-intentions-central-and-eastern&lt;/url&gt;&lt;/related-urls&gt;&lt;/urls&gt;&lt;custom1&gt;&amp;lt;p&amp;gt;24&amp;lt;/p&amp;gt;&lt;/custom1&gt;&lt;language&gt;eng&lt;/language&gt;&lt;/record&gt;&lt;/Cite&gt;&lt;/EndNote&gt;</w:instrText>
      </w:r>
      <w:r>
        <w:fldChar w:fldCharType="separate"/>
      </w:r>
      <w:r>
        <w:rPr>
          <w:noProof/>
        </w:rPr>
        <w:t>Snel, Faber, and Engbersen (2015)</w:t>
      </w:r>
      <w:r>
        <w:fldChar w:fldCharType="end"/>
      </w:r>
      <w:r w:rsidRPr="00AD060D">
        <w:t xml:space="preserve"> and </w:t>
      </w:r>
      <w:r>
        <w:fldChar w:fldCharType="begin"/>
      </w:r>
      <w:r w:rsidR="00F25485">
        <w:instrText xml:space="preserve"> ADDIN EN.CITE &lt;EndNote&gt;&lt;Cite AuthorYear="1"&gt;&lt;Author&gt;Drinkwater&lt;/Author&gt;&lt;Year&gt;2015&lt;/Year&gt;&lt;RecNum&gt;208&lt;/RecNum&gt;&lt;DisplayText&gt;Drinkwater and Garapich (2015)&lt;/DisplayText&gt;&lt;record&gt;&lt;rec-number&gt;208&lt;/rec-number&gt;&lt;foreign-keys&gt;&lt;key app="EN" db-id="0rx2xdvdhwtp2aefffjv5pzta0eztvftzd0a"&gt;208&lt;/key&gt;&lt;/foreign-keys&gt;&lt;ref-type name="Journal Article"&gt;17&lt;/ref-type&gt;&lt;contributors&gt;&lt;authors&gt;&lt;author&gt;Drinkwater, Stephen&lt;/author&gt;&lt;author&gt;Garapich, Michał P.&lt;/author&gt;&lt;/authors&gt;&lt;/contributors&gt;&lt;titles&gt;&lt;title&gt;Migration Strategies of Polish Migrants: Do They Have Any at All?&lt;/title&gt;&lt;secondary-title&gt;Journal of Ethnic and Migration Studies&lt;/secondary-title&gt;&lt;/titles&gt;&lt;periodical&gt;&lt;full-title&gt;Journal of Ethnic and Migration Studies&lt;/full-title&gt;&lt;/periodical&gt;&lt;pages&gt;1909-1931&lt;/pages&gt;&lt;volume&gt;41&lt;/volume&gt;&lt;number&gt;12&lt;/number&gt;&lt;dates&gt;&lt;year&gt;2015&lt;/year&gt;&lt;pub-dates&gt;&lt;date&gt;2015/10/15&lt;/date&gt;&lt;/pub-dates&gt;&lt;/dates&gt;&lt;publisher&gt;Routledge&lt;/publisher&gt;&lt;isbn&gt;1369-183X&lt;/isbn&gt;&lt;urls&gt;&lt;related-urls&gt;&lt;url&gt;http://dx.doi.org/10.1080/1369183X.2015.1027180&lt;/url&gt;&lt;/related-urls&gt;&lt;/urls&gt;&lt;electronic-resource-num&gt;10.1080/1369183X.2015.1027180&lt;/electronic-resource-num&gt;&lt;/record&gt;&lt;/Cite&gt;&lt;/EndNote&gt;</w:instrText>
      </w:r>
      <w:r>
        <w:fldChar w:fldCharType="separate"/>
      </w:r>
      <w:r>
        <w:rPr>
          <w:noProof/>
        </w:rPr>
        <w:t>Drinkwater and Garapich (2015)</w:t>
      </w:r>
      <w:r>
        <w:fldChar w:fldCharType="end"/>
      </w:r>
      <w:r w:rsidRPr="00AD060D">
        <w:t xml:space="preserve"> to a more time-restricted and rights-based framework, we consider those who choose to </w:t>
      </w:r>
      <w:r>
        <w:t>‘</w:t>
      </w:r>
      <w:r w:rsidRPr="00AD060D">
        <w:t xml:space="preserve">remain in the UK </w:t>
      </w:r>
      <w:r>
        <w:t>without any concrete plan’</w:t>
      </w:r>
      <w:r w:rsidRPr="00AD060D">
        <w:t xml:space="preserve"> to represent the habitus of ‘deliberate indeterminacy’. However, the focus of this paper required that those in the sample who already hold a </w:t>
      </w:r>
      <w:r>
        <w:t>PRC</w:t>
      </w:r>
      <w:r w:rsidRPr="00AD060D">
        <w:t xml:space="preserve"> be distinguished from those who do not, given that a PRC guarantees one’s rights of residence and work in the </w:t>
      </w:r>
      <w:r>
        <w:t>UK</w:t>
      </w:r>
      <w:r w:rsidRPr="00AD060D">
        <w:t xml:space="preserve"> and is </w:t>
      </w:r>
      <w:r>
        <w:t xml:space="preserve">largely </w:t>
      </w:r>
      <w:r w:rsidRPr="00AD060D">
        <w:t xml:space="preserve">equivalent to the </w:t>
      </w:r>
      <w:r>
        <w:t>I</w:t>
      </w:r>
      <w:r w:rsidRPr="00AD060D">
        <w:t xml:space="preserve">ndefinite </w:t>
      </w:r>
      <w:r>
        <w:t>L</w:t>
      </w:r>
      <w:r w:rsidRPr="00AD060D">
        <w:t xml:space="preserve">eave </w:t>
      </w:r>
      <w:r>
        <w:t>t</w:t>
      </w:r>
      <w:r w:rsidRPr="00AD060D">
        <w:t xml:space="preserve">o </w:t>
      </w:r>
      <w:r>
        <w:t>R</w:t>
      </w:r>
      <w:r w:rsidRPr="00AD060D">
        <w:t xml:space="preserve">emain obtainable by non-EU migrants. Those who already hold or have applied for a PRC may still select applying for PRC or taking no action as options for either a 5-year timeframe or in case of Brexit, yet their ‘indeterminacy’ has a different interpretation in respect to the rights and </w:t>
      </w:r>
      <w:r>
        <w:t>privileges</w:t>
      </w:r>
      <w:r w:rsidRPr="00AD060D">
        <w:t xml:space="preserve"> they already hold, and the freedoms that these confer upon them. To highlight this latter case</w:t>
      </w:r>
      <w:r>
        <w:t>,</w:t>
      </w:r>
      <w:r w:rsidRPr="00AD060D">
        <w:t xml:space="preserve"> a new category called ‘No plan/action (with PRC)’ was created and is presented in </w:t>
      </w:r>
      <w:r w:rsidRPr="00231D4A">
        <w:rPr>
          <w:i/>
        </w:rPr>
        <w:t>Figure 1</w:t>
      </w:r>
      <w:r w:rsidRPr="00AD060D">
        <w:t>, but was excluded from all bivariate and multivariate analyses, reducing the valid sample size by 61.</w:t>
      </w:r>
    </w:p>
    <w:p w14:paraId="1EC01F4B" w14:textId="65D722D4" w:rsidR="008E7E31" w:rsidRPr="00AD060D" w:rsidRDefault="008E7E31" w:rsidP="007413F2">
      <w:pPr>
        <w:pStyle w:val="Newparagraph"/>
        <w:jc w:val="both"/>
      </w:pPr>
      <w:r>
        <w:t>The</w:t>
      </w:r>
      <w:r w:rsidRPr="00AD060D">
        <w:t xml:space="preserve"> two variables ‘5</w:t>
      </w:r>
      <w:r>
        <w:t>-year plan’ and ‘Brexit action’</w:t>
      </w:r>
      <w:r w:rsidRPr="00AD060D">
        <w:t xml:space="preserve"> will serve as </w:t>
      </w:r>
      <w:r>
        <w:t xml:space="preserve">our </w:t>
      </w:r>
      <w:r w:rsidRPr="00AD060D">
        <w:t>dependent variables.</w:t>
      </w:r>
      <w:r>
        <w:t xml:space="preserve"> </w:t>
      </w:r>
      <w:r w:rsidRPr="00AD060D">
        <w:t xml:space="preserve">The independent predictor variables are a combination of core socio-demographic characteristics that have been singled out in the literature as influencing some aspects of migrant behaviour related to our </w:t>
      </w:r>
      <w:r>
        <w:t>focus</w:t>
      </w:r>
      <w:r w:rsidRPr="00AD060D">
        <w:t xml:space="preserve"> in this paper, and other characteristics concerning family relationships, perceptions on civic rights and opinions related to the context of Brexit that were specific to our survey. Some of the main socio-demographic characteristics were already presented in </w:t>
      </w:r>
      <w:r w:rsidRPr="00AD060D">
        <w:rPr>
          <w:i/>
        </w:rPr>
        <w:t>Table 1</w:t>
      </w:r>
      <w:r w:rsidRPr="00AD060D">
        <w:t xml:space="preserve">, </w:t>
      </w:r>
      <w:r>
        <w:t>and other</w:t>
      </w:r>
      <w:r w:rsidRPr="00AD060D">
        <w:t xml:space="preserve"> survey-specific variables </w:t>
      </w:r>
      <w:r>
        <w:t>excluded from</w:t>
      </w:r>
      <w:r w:rsidRPr="00AD060D">
        <w:t xml:space="preserve"> </w:t>
      </w:r>
      <w:r w:rsidRPr="00AD060D">
        <w:rPr>
          <w:i/>
        </w:rPr>
        <w:t>Table 1</w:t>
      </w:r>
      <w:r w:rsidRPr="00AD060D">
        <w:t xml:space="preserve"> </w:t>
      </w:r>
      <w:r>
        <w:t xml:space="preserve">due to a lack of comparability with the APS </w:t>
      </w:r>
      <w:r w:rsidRPr="00AD060D">
        <w:t xml:space="preserve">are: children (in the UK), partner’s economic activity (if not single); </w:t>
      </w:r>
      <w:r>
        <w:t>the language spoken in a work-place environment (English or other)</w:t>
      </w:r>
      <w:r w:rsidRPr="00AD060D">
        <w:t xml:space="preserve">; whether </w:t>
      </w:r>
      <w:r>
        <w:t xml:space="preserve">the </w:t>
      </w:r>
      <w:r w:rsidRPr="00AD060D">
        <w:t xml:space="preserve">respondent is planning to apply for British citizenship </w:t>
      </w:r>
      <w:r>
        <w:t>‘</w:t>
      </w:r>
      <w:r w:rsidRPr="00AD060D">
        <w:t>at any time in the future</w:t>
      </w:r>
      <w:r>
        <w:t>’</w:t>
      </w:r>
      <w:r w:rsidRPr="00AD060D">
        <w:t xml:space="preserve">, and whether they were eligible to do so at the time of the survey </w:t>
      </w:r>
      <w:r>
        <w:t>(</w:t>
      </w:r>
      <w:r w:rsidRPr="00AD060D">
        <w:t>or within one year</w:t>
      </w:r>
      <w:r>
        <w:t>)</w:t>
      </w:r>
      <w:r w:rsidRPr="00AD060D">
        <w:t xml:space="preserve">; whether they have close relatives who are eligible for a </w:t>
      </w:r>
      <w:r>
        <w:t>PRC</w:t>
      </w:r>
      <w:r w:rsidRPr="00AD060D">
        <w:t xml:space="preserve"> within one year; whether they feel ‘</w:t>
      </w:r>
      <w:r>
        <w:t>anxious’</w:t>
      </w:r>
      <w:r w:rsidRPr="00AD060D">
        <w:t xml:space="preserve"> </w:t>
      </w:r>
      <w:r>
        <w:t>about</w:t>
      </w:r>
      <w:r w:rsidRPr="00AD060D">
        <w:t xml:space="preserve"> the possibility of Brexit; and their preference for the outcome of the EU Referendum.</w:t>
      </w:r>
    </w:p>
    <w:p w14:paraId="1EC01F4C" w14:textId="4EFD51A6" w:rsidR="008E7E31" w:rsidRDefault="008E7E31" w:rsidP="00212C7F">
      <w:pPr>
        <w:pStyle w:val="Newparagraph"/>
        <w:jc w:val="both"/>
      </w:pPr>
      <w:r w:rsidRPr="00AD060D">
        <w:t xml:space="preserve">These above variables were all considered in the bivariate analysis (see </w:t>
      </w:r>
      <w:r w:rsidRPr="00AD060D">
        <w:rPr>
          <w:i/>
        </w:rPr>
        <w:t>Table A1</w:t>
      </w:r>
      <w:r w:rsidRPr="00AD060D">
        <w:t xml:space="preserve">), but some were changed for the multivariate analyses. The variables relating to relationship status and children were excluded due to a lack of statistically significant influence, but the category of ‘single’ was included within the variable coding the ‘partner’s economic activity’, while a dichotomous variable describing having ‘close relatives in the UK’ was created to include those who were not single and/or had children and/or parents in the </w:t>
      </w:r>
      <w:r>
        <w:t>UK</w:t>
      </w:r>
      <w:r w:rsidRPr="00AD060D">
        <w:t xml:space="preserve">. The variable considering the partner’s economic activity status was deemed important due to the overrepresentation of women in the sample and </w:t>
      </w:r>
      <w:r>
        <w:t>the significant correlation between gender and economic activity</w:t>
      </w:r>
      <w:r w:rsidR="0021059C">
        <w:t xml:space="preserve"> (</w:t>
      </w:r>
      <w:r w:rsidR="0021059C" w:rsidRPr="0021059C">
        <w:t xml:space="preserve">coded </w:t>
      </w:r>
      <w:r w:rsidR="0021059C">
        <w:t xml:space="preserve">as </w:t>
      </w:r>
      <w:r w:rsidR="0021059C" w:rsidRPr="0021059C">
        <w:t xml:space="preserve">in </w:t>
      </w:r>
      <w:r w:rsidR="0021059C" w:rsidRPr="0021059C">
        <w:rPr>
          <w:i/>
        </w:rPr>
        <w:t>Table 1</w:t>
      </w:r>
      <w:r w:rsidR="0021059C" w:rsidRPr="0021059C">
        <w:t xml:space="preserve"> χ</w:t>
      </w:r>
      <w:r w:rsidR="0021059C" w:rsidRPr="0021059C">
        <w:rPr>
          <w:vertAlign w:val="superscript"/>
        </w:rPr>
        <w:t>2</w:t>
      </w:r>
      <w:r w:rsidR="0021059C" w:rsidRPr="0021059C">
        <w:t>=106.22 (3, N</w:t>
      </w:r>
      <w:r w:rsidR="0021059C">
        <w:t>=838), p=0.000; Cramer’s V=.356;</w:t>
      </w:r>
      <w:r w:rsidR="0021059C" w:rsidRPr="0021059C">
        <w:t xml:space="preserve"> 3.8% of the men in the sample were ‘inactive</w:t>
      </w:r>
      <w:r w:rsidR="0021059C">
        <w:t>’, compared to 18% of the women)</w:t>
      </w:r>
      <w:r w:rsidRPr="00AD060D">
        <w:t>. By also controlling for the partner’s economic status, we hope to further reduce any bias caused by the underrepresentation o</w:t>
      </w:r>
      <w:r>
        <w:t>f</w:t>
      </w:r>
      <w:r w:rsidRPr="00AD060D">
        <w:t xml:space="preserve"> men in our sample. </w:t>
      </w:r>
      <w:r>
        <w:t>Considering</w:t>
      </w:r>
      <w:r w:rsidRPr="00AD060D">
        <w:t xml:space="preserve"> intentions to naturalise as a British citizen ‘at any time in the future’ enables us to grasp the relationship between subjective intentions and the rights-based framework we </w:t>
      </w:r>
      <w:r>
        <w:t>have introduced</w:t>
      </w:r>
      <w:r w:rsidRPr="00AD060D">
        <w:t xml:space="preserve">. It can indicate, for instance, what migrants’ general disposition is towards acquiring British citizenship, and whether their attitudes translate into concrete actions in a 5-year timeframe or as a reaction to </w:t>
      </w:r>
      <w:r>
        <w:t>the vote for Brexit</w:t>
      </w:r>
      <w:r w:rsidRPr="00AD060D">
        <w:t xml:space="preserve">. The variable measuring self-reported eligibility for British citizenship not only indicates the respondents’ status, but also their awareness of the legal requirements for naturalisation, by </w:t>
      </w:r>
      <w:r>
        <w:t>distinguishing the answer option ‘Do</w:t>
      </w:r>
      <w:r w:rsidRPr="00AD060D">
        <w:t xml:space="preserve"> not know (</w:t>
      </w:r>
      <w:r w:rsidR="0021059C">
        <w:t>the eligibility requirements)’.</w:t>
      </w:r>
    </w:p>
    <w:p w14:paraId="1EC01F4D" w14:textId="3698A202" w:rsidR="008E7E31" w:rsidRDefault="008E7E31" w:rsidP="00212C7F">
      <w:pPr>
        <w:pStyle w:val="Newparagraph"/>
        <w:jc w:val="both"/>
      </w:pPr>
      <w:r w:rsidRPr="00AD060D">
        <w:t xml:space="preserve">Finally, the two variables referring to attitudes towards the EU Referendum and the possibility of Brexit were included </w:t>
      </w:r>
      <w:r>
        <w:t>for</w:t>
      </w:r>
      <w:r w:rsidRPr="00AD060D">
        <w:t xml:space="preserve"> the purpose </w:t>
      </w:r>
      <w:r>
        <w:t xml:space="preserve">of assessing the influence of the respondents’ state of mind and outcome favourability on their planned actions. </w:t>
      </w:r>
      <w:r w:rsidRPr="00AD060D">
        <w:t>Feeling ‘</w:t>
      </w:r>
      <w:r>
        <w:t>anxious’ about</w:t>
      </w:r>
      <w:r w:rsidRPr="00AD060D">
        <w:t xml:space="preserve"> Brexit is a variable derived from two different survey questions: “How likely do you think it is that the UK will leave the EU after the Referendum?” and “What effect would it have on your (and your family’s) life if the UK chose to leave the EU?”, both measured on a 5-point scale ranging from ‘very unlikely’ to ‘very likely’ and from ‘very negative’ to ‘very positive’ accordingly. The derived dichotomous variable codes as ‘</w:t>
      </w:r>
      <w:r>
        <w:t>anxious</w:t>
      </w:r>
      <w:r w:rsidRPr="00AD060D">
        <w:t>’ those who felt that there is at least an equal likelihood that Brexit may occur</w:t>
      </w:r>
      <w:r>
        <w:t xml:space="preserve"> (point 3 and above)</w:t>
      </w:r>
      <w:r w:rsidRPr="00AD060D">
        <w:t xml:space="preserve"> </w:t>
      </w:r>
      <w:r w:rsidRPr="00AD060D">
        <w:rPr>
          <w:i/>
        </w:rPr>
        <w:t>and</w:t>
      </w:r>
      <w:r w:rsidRPr="00AD060D">
        <w:t xml:space="preserve"> that they would be affected by it negatively or very negatively</w:t>
      </w:r>
      <w:r>
        <w:t xml:space="preserve"> (point 4 and 5)</w:t>
      </w:r>
      <w:r w:rsidRPr="00AD060D">
        <w:t>. The variable referring to the preferred outcome for the EU Referendum is based on the survey question asking “Which one of the options below would you prefer?” and providing four answer options: ‘The UK to leave the EU’, ‘The UK to stay in the EU only if it gains more freedom to make its own laws’, ‘The UK to stay in the EU under the current conditions’, and ‘The UK to stay and become even more integrated in the EU’. The dichotomous variable used in analyses combines the first two options as ‘Leave (or conditional stay)’, and the latter two as ‘Remain (and integrate further)’.</w:t>
      </w:r>
    </w:p>
    <w:p w14:paraId="1EC01F4E" w14:textId="3C5C9F92" w:rsidR="008E7E31" w:rsidRDefault="008E7E31" w:rsidP="00212C7F">
      <w:pPr>
        <w:pStyle w:val="Heading1"/>
        <w:jc w:val="both"/>
      </w:pPr>
      <w:r w:rsidRPr="0029421B">
        <w:t xml:space="preserve">Analysis and </w:t>
      </w:r>
      <w:r w:rsidR="004E3FB0">
        <w:t>findings</w:t>
      </w:r>
    </w:p>
    <w:p w14:paraId="1EC01F4F" w14:textId="3E17FA2C" w:rsidR="008E7E31" w:rsidRDefault="008E7E31" w:rsidP="00212C7F">
      <w:pPr>
        <w:pStyle w:val="Paragraph"/>
        <w:jc w:val="both"/>
      </w:pPr>
      <w:r>
        <w:t>We first examine</w:t>
      </w:r>
      <w:r w:rsidRPr="0029421B">
        <w:t xml:space="preserve"> the distribution of responses to the two main survey questions that we explore in this paper, namely medium-term migrat</w:t>
      </w:r>
      <w:r>
        <w:t>ion plans in a 5-year timeframe, and actions in case of Brexit</w:t>
      </w:r>
      <w:r w:rsidRPr="0029421B">
        <w:t xml:space="preserve"> measuring immediate reactions to changing external policy structures within the rights-based framework available to Polish migrants in the UK. As shown in </w:t>
      </w:r>
      <w:r w:rsidRPr="0029421B">
        <w:rPr>
          <w:i/>
        </w:rPr>
        <w:t>Figure 1</w:t>
      </w:r>
      <w:r w:rsidRPr="0029421B">
        <w:t xml:space="preserve">, in the next five years 40% of the respondents were planning to apply for </w:t>
      </w:r>
      <w:r>
        <w:t>a PRC</w:t>
      </w:r>
      <w:r w:rsidRPr="0029421B">
        <w:t>, 32% for citizenship, 5% were planning to return to Poland while merely 1% wished to move to a third country, and 22% were ‘indeterminate’, choosing to remain in the UK without any concrete plan. However, 7% were ‘indeterminate’ while already h</w:t>
      </w:r>
      <w:r>
        <w:t>o</w:t>
      </w:r>
      <w:r w:rsidRPr="0029421B">
        <w:t>ld</w:t>
      </w:r>
      <w:r>
        <w:t>ing</w:t>
      </w:r>
      <w:r w:rsidRPr="0029421B">
        <w:t xml:space="preserve"> a </w:t>
      </w:r>
      <w:r>
        <w:t>PRC</w:t>
      </w:r>
      <w:r w:rsidRPr="0029421B">
        <w:t>, and only 15% cho</w:t>
      </w:r>
      <w:r>
        <w:t>se to remain as a non-permanent-</w:t>
      </w:r>
      <w:r w:rsidRPr="0029421B">
        <w:t xml:space="preserve">resident EU citizen without </w:t>
      </w:r>
      <w:r>
        <w:t>planning any other action.</w:t>
      </w:r>
      <w:r>
        <w:rPr>
          <w:rStyle w:val="EndnoteReference"/>
        </w:rPr>
        <w:endnoteReference w:id="3"/>
      </w:r>
    </w:p>
    <w:p w14:paraId="2746CFBE" w14:textId="27CEB7D6" w:rsidR="008E7E31" w:rsidRPr="00231D4A" w:rsidRDefault="008E7E31" w:rsidP="00231D4A">
      <w:pPr>
        <w:pStyle w:val="Heading3"/>
        <w:rPr>
          <w:color w:val="FF0000"/>
        </w:rPr>
      </w:pPr>
      <w:r w:rsidRPr="00231D4A">
        <w:rPr>
          <w:color w:val="FF0000"/>
        </w:rPr>
        <w:t>Figure 1 around here</w:t>
      </w:r>
    </w:p>
    <w:p w14:paraId="1EC01F50" w14:textId="1A80D7EB" w:rsidR="008E7E31" w:rsidRDefault="008E7E31" w:rsidP="00212C7F">
      <w:pPr>
        <w:pStyle w:val="Newparagraph"/>
        <w:jc w:val="both"/>
      </w:pPr>
      <w:r w:rsidRPr="0029421B">
        <w:t>We</w:t>
      </w:r>
      <w:r>
        <w:t xml:space="preserve"> can also see that in the case of </w:t>
      </w:r>
      <w:r w:rsidRPr="0029421B">
        <w:t>Brexit a much higher proportion of the respondents would apply for permanent residence (51%), while in the share of those who are planning to naturalise we observe a decrease of a comparable magnitude (down to 21%)</w:t>
      </w:r>
      <w:r>
        <w:t xml:space="preserve">. As we discuss elsewhere, this change is primarily attributable to those who would not qualify for naturalisation immediately after Brexit, and would therefore apply for PRC instead, which is nevertheless a required step before a potential future application for British citizenship </w:t>
      </w:r>
      <w:r w:rsidRPr="00231D4A">
        <w:rPr>
          <w:color w:val="FF0000"/>
        </w:rPr>
        <w:t>[</w:t>
      </w:r>
      <w:r w:rsidRPr="00A039C5">
        <w:rPr>
          <w:color w:val="FF0000"/>
        </w:rPr>
        <w:t>reference withheld</w:t>
      </w:r>
      <w:r w:rsidRPr="00231D4A">
        <w:rPr>
          <w:color w:val="FF0000"/>
        </w:rPr>
        <w:t>]</w:t>
      </w:r>
      <w:r>
        <w:t>. T</w:t>
      </w:r>
      <w:r w:rsidRPr="0029421B">
        <w:t xml:space="preserve">he number of those planning to stay in the </w:t>
      </w:r>
      <w:r>
        <w:t>UK</w:t>
      </w:r>
      <w:r w:rsidRPr="0029421B">
        <w:t xml:space="preserve"> without taking any further action also decreases to 11%, while more </w:t>
      </w:r>
      <w:r>
        <w:t>respondents</w:t>
      </w:r>
      <w:r w:rsidRPr="0029421B">
        <w:t xml:space="preserve"> would choose to migrate to a third country (6%). There is only a negligible difference in the percentage of those who would return to Poland. In broad terms, we find that in case of a vote for Brexit 10% of the Poles in the </w:t>
      </w:r>
      <w:r>
        <w:t>UK</w:t>
      </w:r>
      <w:r w:rsidRPr="0029421B">
        <w:t xml:space="preserve"> would leave the country (compared to 6% otherwise), an overwhelming majority (72%) wishe</w:t>
      </w:r>
      <w:r>
        <w:t>d</w:t>
      </w:r>
      <w:r w:rsidRPr="0029421B">
        <w:t xml:space="preserve"> to remain and formalise their residence through civic integration measures regardless of the referendum result, and Brexit does seem to somewhat reduce the level of ‘indeterminacy’, giving support to a hypothesis that Brexit pushes Polish migrants towards having to formulate more</w:t>
      </w:r>
      <w:r>
        <w:t xml:space="preserve"> concrete plans for the future.</w:t>
      </w:r>
    </w:p>
    <w:p w14:paraId="0862F5E3" w14:textId="401DCA17" w:rsidR="008E7E31" w:rsidRDefault="008E7E31" w:rsidP="00AD4043">
      <w:pPr>
        <w:pStyle w:val="Newparagraph"/>
        <w:jc w:val="both"/>
      </w:pPr>
      <w:r>
        <w:t>The bivariate analysis examining the association between different variables and 5-year plans discloses that age, education, socio-economic status, the language spoken in a workplace environment, wanting to apply for British citizenship ‘at any time in the future’ and eligibility to do so within one year, having close relatives eligible for PRC, and the respondent’s preference as to the outcome of the EU Referendum are all significantly correlated (at p&lt;.05 level) with stated 5-year plans (</w:t>
      </w:r>
      <w:r w:rsidRPr="00C515D5">
        <w:rPr>
          <w:i/>
        </w:rPr>
        <w:t>Table A1</w:t>
      </w:r>
      <w:r>
        <w:t xml:space="preserve"> in Appendix, which also includes descriptive statistics for the discussed variables). On the other hand, key socio-demographic and migration-related variables such as sex, economic activity, time spent in the UK, relationship status or having children do not seem to be on their own significantly related to migration plans. Apart from having future naturalisation intentions, however, the strength of the significant associations is small (the Cramer’s V statistic is below .2</w:t>
      </w:r>
      <w:r w:rsidRPr="00142F48">
        <w:t xml:space="preserve"> </w:t>
      </w:r>
      <w:r>
        <w:t>in all cases) and the examined factors each explain less than 2% of the variance in 5-year plans (based on</w:t>
      </w:r>
      <w:r w:rsidRPr="00320C08">
        <w:t xml:space="preserve"> </w:t>
      </w:r>
      <w:r>
        <w:t xml:space="preserve">the Goodman and Kruskal tau test). As we might expect, having plans to apply for British citizenship ‘at any time in the future’ is very strongly associated with medium-term plans (Cramer’s V=.542, </w:t>
      </w:r>
      <w:r w:rsidRPr="00C467D8">
        <w:t>p=0.000</w:t>
      </w:r>
      <w:r>
        <w:t xml:space="preserve">) </w:t>
      </w:r>
      <w:r>
        <w:softHyphen/>
        <w:t xml:space="preserve">– which includes plans to apply for citizenship in the next five years </w:t>
      </w:r>
      <w:r>
        <w:softHyphen/>
        <w:t xml:space="preserve">– and explains 11% of the variance in migration strategies (Goodman and Kruskal tau=.109, </w:t>
      </w:r>
      <w:r w:rsidRPr="00C467D8">
        <w:t>p=0.000</w:t>
      </w:r>
      <w:r>
        <w:t xml:space="preserve">). From the distribution of </w:t>
      </w:r>
      <w:r w:rsidRPr="00C467D8">
        <w:t>adjusted standardised residuals</w:t>
      </w:r>
      <w:r>
        <w:t xml:space="preserve"> we also find that those open to naturalisation in general were significantly more likely than expected to be planning to apply for British citizenship in the next five years (z=13.8), and significantly less likely to consider leaving the UK, applying for PRC only, or taking no action (z=–6.6, –3.4 and –9 respectively). </w:t>
      </w:r>
    </w:p>
    <w:p w14:paraId="1EC01F51" w14:textId="01094ABF" w:rsidR="008E7E31" w:rsidRDefault="008E7E31" w:rsidP="00C0784A">
      <w:pPr>
        <w:pStyle w:val="Newparagraph"/>
        <w:jc w:val="both"/>
      </w:pPr>
      <w:r>
        <w:t xml:space="preserve">Some other highly significant associations worth highlighting here are: speaking English in a workplace environment, which significantly increases the likelihood of naturalisation planning (z=4.2) and decreases ‘indeterminacy’ (z=–4.7); perceived eligibility to apply for British citizenship within one year has a similar effect, with those eligible significantly more likely to be planning naturalisation within the next five years (z=5.2) – notably, however, </w:t>
      </w:r>
      <w:r w:rsidRPr="00FC5845">
        <w:rPr>
          <w:i/>
        </w:rPr>
        <w:t>not</w:t>
      </w:r>
      <w:r>
        <w:t xml:space="preserve"> being eligible does not have a significant effect in the opposite direction, but ‘not knowing the requirements’ for naturalisation does (z=–4.6) and it also significantly increases the likelihood of having no concrete plans (z=3.6); the same pattern of effects applies in respect to having close relatives who are eligible to apply for PRC, which increases the likelihood of naturalisation plans (z=3) and decreases both intentions to leave (z=–3.1) and of being ‘indeterminate’ (z=–3) – again, not knowing the requirements for permanent residence increases the likelihood of remaining in the UK without any concrete plans (z=4.3) (for other results see </w:t>
      </w:r>
      <w:r w:rsidRPr="00C515D5">
        <w:rPr>
          <w:i/>
        </w:rPr>
        <w:t>Table A1</w:t>
      </w:r>
      <w:r>
        <w:t>, in Appendix).</w:t>
      </w:r>
    </w:p>
    <w:p w14:paraId="167AE591" w14:textId="6ABA12AE" w:rsidR="008E7E31" w:rsidRDefault="008E7E31" w:rsidP="00212C7F">
      <w:pPr>
        <w:pStyle w:val="Newparagraph"/>
        <w:jc w:val="both"/>
      </w:pPr>
      <w:r>
        <w:t xml:space="preserve">To account for the effect of all these variables, however, we also examine their interaction in a logistic regression model. </w:t>
      </w:r>
      <w:r w:rsidRPr="008C7609">
        <w:rPr>
          <w:i/>
        </w:rPr>
        <w:t>Table 2</w:t>
      </w:r>
      <w:r>
        <w:t xml:space="preserve"> reports results from two separately run models, one only accounting for six core socio-demographic variables, namely sex, age, education, employment status, time spent in the UK and having close relatives in the UK (Model I, N=746, Nagelkerke R</w:t>
      </w:r>
      <w:r>
        <w:rPr>
          <w:vertAlign w:val="superscript"/>
        </w:rPr>
        <w:t>2</w:t>
      </w:r>
      <w:r>
        <w:t>=.105), and one also including the survey-specific variables (Model II, N=683, Nagelkerke R</w:t>
      </w:r>
      <w:r>
        <w:rPr>
          <w:vertAlign w:val="superscript"/>
        </w:rPr>
        <w:t>2</w:t>
      </w:r>
      <w:r>
        <w:t>=.468). The purpose of Model I is primarily to highlight the change in some of the effects following the inclusion of more specific variables. For example, gender has a very marginal significance in respect to plans to ‘leave the UK’ (p=.092) when only controlling for core socio-</w:t>
      </w:r>
      <w:r w:rsidRPr="00132493">
        <w:t xml:space="preserve">demographic variables, </w:t>
      </w:r>
      <w:r>
        <w:t>and t</w:t>
      </w:r>
      <w:r w:rsidRPr="00132493">
        <w:t xml:space="preserve">his </w:t>
      </w:r>
      <w:r>
        <w:t>marginal effect disappears altogether when keeping all the examined variables constant, while in respect to planning citizenship it gains a very marginal significance (Model II</w:t>
      </w:r>
      <w:r w:rsidRPr="00132493">
        <w:t xml:space="preserve">, p=.094). </w:t>
      </w:r>
      <w:r>
        <w:t>Overall, as also shown in the bivariate analysis, gender does not significantly determine migration plans.</w:t>
      </w:r>
    </w:p>
    <w:p w14:paraId="44483FBC" w14:textId="04AC4ECC" w:rsidR="008E7E31" w:rsidRPr="009125B6" w:rsidRDefault="008E7E31" w:rsidP="009125B6">
      <w:pPr>
        <w:pStyle w:val="Heading3"/>
        <w:rPr>
          <w:color w:val="FF0000"/>
        </w:rPr>
      </w:pPr>
      <w:r w:rsidRPr="00231D4A">
        <w:rPr>
          <w:color w:val="FF0000"/>
        </w:rPr>
        <w:t>Table 2 around here</w:t>
      </w:r>
    </w:p>
    <w:p w14:paraId="1EC01F52" w14:textId="2E33F360" w:rsidR="008E7E31" w:rsidRDefault="008E7E31" w:rsidP="000F0537">
      <w:pPr>
        <w:pStyle w:val="Newparagraph"/>
        <w:jc w:val="both"/>
      </w:pPr>
      <w:r>
        <w:t>By contrast, the effects of age and education proved more significant. Compared to those under 30, migrants aged 40 and over are twice to three times more likely to be planning civic integration (PRC or citizenship) as opposed to not having concrete plans, and less likely to leave the UK. Those in their thirties are also twice more likely than those in the younger age-group to be planning permanent residence or citizenship (in Model II). Those whose highest achieved educational qualification is at secondary school level have proven significantly less likely to be planning either to leave or to become British citizens, than those holding post-secondary educational qualifications. Highly qualified individuals are four times more likely than those educated at the secondary level to be planning to leave the UK in the next five years, while at the same time twice more likely to apply for citizenship than those with secondary education, and 2.6 times more likely than those with vocational qualifications. Employment status, the length of time spent in the UK and having close relatives in the UK present more complex effects. For instance, employment status is not at all significant when accounting only for core socio-demographic characteristics (Model I), but it gains significance when also holding constant other attitudinal and interpersonal variables (Model II). Interestingly – and somewhat counterintuitively – having any kind of employment (compared to being economically inactive) appears to very significantly reduce the odds of planning citizenship as opposed to not having concrete plans. Apparently, those economically inactive are six to eleven times more likely to be planning to apply for citizenship than those in any form of employment, and also three times more likely to apply for PRC than those employed part-time. However, these effects gain significance only when controlling for the language spoken at the workplace. As we can see from Table 2, being exposed to English language in a workplace environment very significantly increases the odds of planning to apply for citizenship as opposed to having no concrete plans (those speaking English at work are in fact seven times more likely to have such plans). What this shows is that it is not the fact of being in employment per se, but rather having a job in which they do not speak English which significantly decreases the likelihood of civic integration plans.</w:t>
      </w:r>
    </w:p>
    <w:p w14:paraId="64AC14B4" w14:textId="7E7D9E21" w:rsidR="008E7E31" w:rsidRPr="00404588" w:rsidRDefault="008E7E31" w:rsidP="00B92C73">
      <w:pPr>
        <w:pStyle w:val="Newparagraph"/>
        <w:jc w:val="both"/>
        <w:rPr>
          <w:color w:val="FF0000"/>
        </w:rPr>
      </w:pPr>
      <w:r>
        <w:t xml:space="preserve">The length of time spent in the UK, on the other hand, correlates with one’s eligibility for naturalisation, and we can see how it gains statistical significance when controlling for the latter in Model II: those who had been in the UK for more than 10 years are significantly less likely to leave than those with shorter residence, but only when knowledge about one’s civic status is also considered; simultaneously, those who are aware that they are not eligible for British citizenship within one year are more likely to have plans to leave the UK within five years than those who are either eligible or who do not know whether they qualify for naturalisation or not. On the other hand, being unaware of one’s eligibility significantly increases the odds of ‘indeterminacy’ as opposed to having plans of naturalisation for the next five years, compared to </w:t>
      </w:r>
      <w:r w:rsidRPr="00821EA2">
        <w:rPr>
          <w:i/>
        </w:rPr>
        <w:t>knowing</w:t>
      </w:r>
      <w:r>
        <w:t xml:space="preserve"> that one is </w:t>
      </w:r>
      <w:r w:rsidRPr="00AA41DE">
        <w:rPr>
          <w:i/>
        </w:rPr>
        <w:t>not</w:t>
      </w:r>
      <w:r>
        <w:t xml:space="preserve"> eligible (Exp(B)=.425); put differently, those </w:t>
      </w:r>
      <w:r w:rsidRPr="00AA41DE">
        <w:rPr>
          <w:i/>
        </w:rPr>
        <w:t>aware</w:t>
      </w:r>
      <w:r>
        <w:t xml:space="preserve"> of their short-term ineligibility are 2.4 times more likely to still intend to apply for citizenship within a 5-year timeframe than those who had not shown interest in acquiring this knowledge about the requirements for naturalisation. In conjunction with the finding that awareness of having close family members who are eligible for PRC makes one three times more likely to be planning PRC oneself, and 2.5 times more likely to be planning naturalisation (while having close relatives in the UK, in itself, is not significant, see </w:t>
      </w:r>
      <w:r w:rsidRPr="00917BFC">
        <w:rPr>
          <w:i/>
        </w:rPr>
        <w:t>Table 2</w:t>
      </w:r>
      <w:r>
        <w:t xml:space="preserve">), the conclusion to be drawn is that prior interest in and awareness of one’s rights and those of other close family members, are what most determine civic integration decisions, rather than simply the length of residence in the UK. </w:t>
      </w:r>
    </w:p>
    <w:p w14:paraId="52319B0B" w14:textId="253A8D26" w:rsidR="00CA7FD3" w:rsidRDefault="008E7E31" w:rsidP="00CA7FD3">
      <w:pPr>
        <w:pStyle w:val="Newparagraph"/>
        <w:jc w:val="both"/>
      </w:pPr>
      <w:r>
        <w:t xml:space="preserve">The strong statistical significance of having general future naturalisation intentions in determining medium-term plans is not the least surprising, yet the odds ratios that it generates are noteworthy; as we can see in Table 2, planning to apply for British citizenship at any time in the future understandably decreases the odds of planning to leave the UK in the next five years as opposed to planning to remain without any concrete plans of civic integration in the medium-term, while increasing the odds of applying for permanent residence. We can also see that those with a general intention to naturalise are 101 times more likely to apply for British citizenship </w:t>
      </w:r>
      <w:r w:rsidRPr="00CA7FD3">
        <w:rPr>
          <w:i/>
        </w:rPr>
        <w:t>in the next five years</w:t>
      </w:r>
      <w:r>
        <w:t xml:space="preserve"> rather than in the more distant future.</w:t>
      </w:r>
      <w:r>
        <w:rPr>
          <w:rStyle w:val="EndnoteReference"/>
        </w:rPr>
        <w:endnoteReference w:id="4"/>
      </w:r>
      <w:r>
        <w:t xml:space="preserve"> </w:t>
      </w:r>
      <w:r w:rsidR="001D2545">
        <w:t xml:space="preserve">This finding may have considerable policy implications, especially since in our overall sample 66% of the Polish respondents </w:t>
      </w:r>
      <w:r w:rsidR="00EE5A99">
        <w:t xml:space="preserve">have </w:t>
      </w:r>
      <w:r w:rsidR="001D2545">
        <w:t xml:space="preserve">expressed </w:t>
      </w:r>
      <w:r w:rsidR="00EE5A99">
        <w:t xml:space="preserve">their intentions to apply for British citizenship </w:t>
      </w:r>
      <w:r w:rsidR="00F449AA">
        <w:t xml:space="preserve">‘at any time </w:t>
      </w:r>
      <w:r w:rsidR="00EE5A99">
        <w:t>in the future</w:t>
      </w:r>
      <w:r w:rsidR="00F449AA">
        <w:t>’</w:t>
      </w:r>
      <w:r w:rsidR="00EE5A99">
        <w:t>.</w:t>
      </w:r>
    </w:p>
    <w:p w14:paraId="1B7A5976" w14:textId="2C693ECF" w:rsidR="00AD39DD" w:rsidRPr="00404588" w:rsidRDefault="00EE5A99" w:rsidP="00CA7FD3">
      <w:pPr>
        <w:pStyle w:val="Newparagraph"/>
        <w:jc w:val="both"/>
        <w:rPr>
          <w:color w:val="FF0000"/>
        </w:rPr>
      </w:pPr>
      <w:r>
        <w:t>In respect to the three remaining independent variables that we have not yet discussed, we find that being single – in contrast to having a partner who is either ‘employed’ or ‘inactive’ – generally increases the odds of being ‘indeterminate’ compared to all other optional future plans</w:t>
      </w:r>
      <w:r w:rsidR="00E865D3">
        <w:t xml:space="preserve"> (although there is no statistically significant difference in respect to planning citizenship when the partner is in employment). As mentioned in the previous section, </w:t>
      </w:r>
      <w:r w:rsidR="00D9036D">
        <w:t>the variable regarding the partner’s</w:t>
      </w:r>
      <w:r w:rsidR="00E865D3">
        <w:t xml:space="preserve"> </w:t>
      </w:r>
      <w:r w:rsidR="00D9036D">
        <w:t xml:space="preserve">economic status </w:t>
      </w:r>
      <w:r w:rsidR="00E865D3">
        <w:t xml:space="preserve">was mainly included as a control due to the overrepresentation of women in the sample, who </w:t>
      </w:r>
      <w:r w:rsidR="00D9036D">
        <w:t>were</w:t>
      </w:r>
      <w:r w:rsidR="00E865D3">
        <w:t xml:space="preserve"> themselves </w:t>
      </w:r>
      <w:r w:rsidR="00D9036D">
        <w:t xml:space="preserve">significantly </w:t>
      </w:r>
      <w:r w:rsidR="00E865D3">
        <w:t xml:space="preserve">overrepresented among </w:t>
      </w:r>
      <w:r w:rsidR="00D9036D">
        <w:t xml:space="preserve">those in part-time employment and </w:t>
      </w:r>
      <w:r w:rsidR="00E865D3">
        <w:t>the econ</w:t>
      </w:r>
      <w:r w:rsidR="00D9036D">
        <w:t>omically inactive. Feeling ‘</w:t>
      </w:r>
      <w:r w:rsidR="000F0537">
        <w:t>anxious</w:t>
      </w:r>
      <w:r w:rsidR="00D9036D">
        <w:t xml:space="preserve">’ </w:t>
      </w:r>
      <w:r w:rsidR="000F0537">
        <w:t>about</w:t>
      </w:r>
      <w:r w:rsidR="00D9036D">
        <w:t xml:space="preserve"> a possible ‘Brexit’ was not significant in determining Polish migrants’ </w:t>
      </w:r>
      <w:r w:rsidR="00D9036D" w:rsidRPr="00D9036D">
        <w:t>most likely plan for the next 5 years</w:t>
      </w:r>
      <w:r w:rsidR="00D9036D">
        <w:t xml:space="preserve"> ‘r</w:t>
      </w:r>
      <w:r w:rsidR="00D9036D" w:rsidRPr="00D9036D">
        <w:t>egardless of the EU referendum</w:t>
      </w:r>
      <w:r w:rsidR="00D9036D">
        <w:t xml:space="preserve">’, but respondents’ preference in respect to the outcome of the Referendum </w:t>
      </w:r>
      <w:r w:rsidR="00D9036D" w:rsidRPr="00672B30">
        <w:rPr>
          <w:i/>
        </w:rPr>
        <w:t>was</w:t>
      </w:r>
      <w:r w:rsidR="00D9036D">
        <w:t>: those who preferred that the UK left the European Union or re</w:t>
      </w:r>
      <w:r w:rsidR="00672B30">
        <w:t>mained a member only conditionally (‘if it gained</w:t>
      </w:r>
      <w:r w:rsidR="00D9036D" w:rsidRPr="00AD060D">
        <w:t xml:space="preserve"> more freedom to make its own laws</w:t>
      </w:r>
      <w:r w:rsidR="00672B30">
        <w:t>’) have significantly higher odds of being among those with a concrete plan for the future, be they plans to leave, to apply for permanent residence or to naturalise as British citizens</w:t>
      </w:r>
      <w:r w:rsidR="00672B30" w:rsidRPr="00404588">
        <w:rPr>
          <w:color w:val="FF0000"/>
        </w:rPr>
        <w:t xml:space="preserve">. </w:t>
      </w:r>
    </w:p>
    <w:p w14:paraId="615788C7" w14:textId="76271B9F" w:rsidR="009125B6" w:rsidRPr="009125B6" w:rsidRDefault="009125B6" w:rsidP="009125B6">
      <w:pPr>
        <w:pStyle w:val="Heading3"/>
        <w:rPr>
          <w:color w:val="FF0000"/>
        </w:rPr>
      </w:pPr>
      <w:r w:rsidRPr="009125B6">
        <w:rPr>
          <w:color w:val="FF0000"/>
        </w:rPr>
        <w:t>Table 3 around here</w:t>
      </w:r>
    </w:p>
    <w:p w14:paraId="75756F35" w14:textId="5BE9F4E4" w:rsidR="00262559" w:rsidRDefault="00C13EBE" w:rsidP="00CA7FD3">
      <w:pPr>
        <w:pStyle w:val="Newparagraph"/>
        <w:jc w:val="both"/>
      </w:pPr>
      <w:r>
        <w:t xml:space="preserve">We also ran the full model on another dependent variable referring to planned actions in case of a Brexit vote. The results are shown in </w:t>
      </w:r>
      <w:r w:rsidRPr="00C13EBE">
        <w:rPr>
          <w:i/>
        </w:rPr>
        <w:t>Table 3</w:t>
      </w:r>
      <w:r>
        <w:t xml:space="preserve">, and we will highlight here some of the main differences compared </w:t>
      </w:r>
      <w:r w:rsidR="00E97C82">
        <w:t xml:space="preserve">to the results discussed above. </w:t>
      </w:r>
      <w:r w:rsidR="003937F2">
        <w:t xml:space="preserve">Generally, the determinants of planned actions in case of Brexit are more difficult to reduce to any socio-economic or demographic factors; while the independent variables selected for analysis explained 46.8% of the variance in ‘5-year plans’, they only </w:t>
      </w:r>
      <w:r w:rsidR="0040139B">
        <w:t>explain</w:t>
      </w:r>
      <w:r w:rsidR="003937F2">
        <w:t xml:space="preserve"> 32.5% of the variance in ‘Brexit actions’ (</w:t>
      </w:r>
      <w:r w:rsidR="003937F2" w:rsidRPr="003937F2">
        <w:t>Nagelkerke R</w:t>
      </w:r>
      <w:r w:rsidR="003937F2" w:rsidRPr="003937F2">
        <w:rPr>
          <w:vertAlign w:val="superscript"/>
        </w:rPr>
        <w:t>2</w:t>
      </w:r>
      <w:r w:rsidR="0040139B">
        <w:t>). As we can see, age loses its significance in respect to plans of leaving the UK or applying for PRC; education is no longer significant either, and nor is the partner’s economic activity status. Length of residence in the UK also loses its significance in respect to plans to leave, but gains significance in respect to permanent residence: those who had been in the UK for less than 5 years are 2.6 times more likely to apply for PRC rather than</w:t>
      </w:r>
      <w:r w:rsidR="005654D0">
        <w:t xml:space="preserve"> to</w:t>
      </w:r>
      <w:r w:rsidR="0040139B">
        <w:t xml:space="preserve"> take no action compared to those who had lived in the UK for over 10 years. </w:t>
      </w:r>
    </w:p>
    <w:p w14:paraId="3662B944" w14:textId="337ECE54" w:rsidR="000B56EE" w:rsidRDefault="00C05BD3" w:rsidP="00B92C73">
      <w:pPr>
        <w:pStyle w:val="Newparagraph"/>
        <w:jc w:val="both"/>
      </w:pPr>
      <w:r>
        <w:t xml:space="preserve">General intent to apply for British citizenship </w:t>
      </w:r>
      <w:r w:rsidR="00F449AA">
        <w:t>‘at any time</w:t>
      </w:r>
      <w:r>
        <w:t xml:space="preserve"> in the future</w:t>
      </w:r>
      <w:r w:rsidR="00F449AA">
        <w:t>’</w:t>
      </w:r>
      <w:r>
        <w:t xml:space="preserve"> also loses its significance in respect to plans to leave following Brexit, and the odds by which it explains plans to apply for citizenship in the ‘</w:t>
      </w:r>
      <w:r w:rsidRPr="00C05BD3">
        <w:t>immediate context of action’</w:t>
      </w:r>
      <w:r>
        <w:t xml:space="preserve"> created by Brexit is also reduced to a nevertheless </w:t>
      </w:r>
      <w:r w:rsidR="00626882">
        <w:t xml:space="preserve">still </w:t>
      </w:r>
      <w:r>
        <w:t>considerable level</w:t>
      </w:r>
      <w:r w:rsidR="00626882">
        <w:t xml:space="preserve"> (Exp(B)=42.797). The changes in the explanatory power of eligibility for citizenship are, however, more </w:t>
      </w:r>
      <w:r w:rsidR="00CF3533">
        <w:t>interesting</w:t>
      </w:r>
      <w:r w:rsidR="00626882">
        <w:t>. While in case of Brexit it no longer explains plans to leave</w:t>
      </w:r>
      <w:r w:rsidR="00CF3533">
        <w:t>, it gains significance in respect to post-Brexit plans to naturalise. Following a Brexit vote, those eligible for British citizenship are almost seven times more likely to apply for citizenship than not to take any action, compared to those who are not eligible; furthermore, while unawareness of one’s eligibility acted to reduce one’s likelihood to contemplate naturalisation as a 5-year plan</w:t>
      </w:r>
      <w:r w:rsidR="000E3467">
        <w:t>, following Brexit</w:t>
      </w:r>
      <w:r w:rsidR="00CF3533">
        <w:t xml:space="preserve"> </w:t>
      </w:r>
      <w:r w:rsidR="000E3467">
        <w:t>those not knowing whether they are eligible</w:t>
      </w:r>
      <w:r w:rsidR="00CF3533">
        <w:t xml:space="preserve"> are 3.3 times more likely to want to apply for citizenship – as opposed to not taking any action – than those aware of their immediate ineligibility for citizenship. Again, </w:t>
      </w:r>
      <w:r w:rsidR="00392985">
        <w:t>these</w:t>
      </w:r>
      <w:r w:rsidR="00CF3533">
        <w:t xml:space="preserve"> result</w:t>
      </w:r>
      <w:r w:rsidR="00392985">
        <w:t>s highlight</w:t>
      </w:r>
      <w:r w:rsidR="00CF3533">
        <w:t xml:space="preserve"> the </w:t>
      </w:r>
      <w:r w:rsidR="00392985">
        <w:t>relevance</w:t>
      </w:r>
      <w:r w:rsidR="00CF3533">
        <w:t xml:space="preserve"> of rights-awareness</w:t>
      </w:r>
      <w:r w:rsidR="00392985">
        <w:t>, and at the same time reveal one of the central effects of Brexit on Polish migrants’ strategies, namely its emotionally ‘mobilising’ effect.</w:t>
      </w:r>
    </w:p>
    <w:p w14:paraId="4ABA5F2A" w14:textId="6390E72E" w:rsidR="00392985" w:rsidRDefault="000E3467" w:rsidP="00B92C73">
      <w:pPr>
        <w:pStyle w:val="Newparagraph"/>
        <w:jc w:val="both"/>
      </w:pPr>
      <w:r>
        <w:t xml:space="preserve">In a Brexit scenario, having close relatives eligible for permanent residence and the outcome favourability of the EU Referendum still significantly </w:t>
      </w:r>
      <w:r w:rsidR="00A538B9">
        <w:t xml:space="preserve">– albeit more weakly – </w:t>
      </w:r>
      <w:r>
        <w:t xml:space="preserve">determine plans to apply for PRC, </w:t>
      </w:r>
      <w:r w:rsidR="00A538B9">
        <w:t xml:space="preserve">but not other planned actions. </w:t>
      </w:r>
      <w:r w:rsidR="00231D4A">
        <w:t>Lastly</w:t>
      </w:r>
      <w:r w:rsidR="000F0537">
        <w:t>, feeling ‘anxious’ about</w:t>
      </w:r>
      <w:r w:rsidR="00392985">
        <w:t xml:space="preserve"> Brexit emerges as a </w:t>
      </w:r>
      <w:r w:rsidR="00A538B9">
        <w:t xml:space="preserve">highly </w:t>
      </w:r>
      <w:r w:rsidR="00392985">
        <w:t xml:space="preserve">significant determinant of post-Brexit migration strategies. As mentioned in the previous section, this derived variable combines opinions regarding the likelihood of a Brexit vote </w:t>
      </w:r>
      <w:r w:rsidR="00975D72">
        <w:t xml:space="preserve">with opinions on what the personal effects of a Brexit would be. We can therefore assume that those who had not only thought that Brexit would have a negative effect on their lives, but also that it was something likely to occur (i.e. they felt </w:t>
      </w:r>
      <w:r w:rsidR="000F0537">
        <w:t>‘anxious’ about</w:t>
      </w:r>
      <w:r w:rsidR="00975D72">
        <w:t xml:space="preserve"> it) would have given more consideration to their options and planned actions following Brexit. As shown in </w:t>
      </w:r>
      <w:r w:rsidR="00975D72" w:rsidRPr="00975D72">
        <w:rPr>
          <w:i/>
        </w:rPr>
        <w:t>Table 3</w:t>
      </w:r>
      <w:r w:rsidR="00975D72">
        <w:t>, those ‘</w:t>
      </w:r>
      <w:r w:rsidR="000F0537">
        <w:t>anxious’ about</w:t>
      </w:r>
      <w:r w:rsidR="00975D72">
        <w:t xml:space="preserve"> Brexit were 3.5 times more likely to plan to leave the UK than to stay without taking any action, 2.6 times more likely to want to apply for PRC, and 2.7 times more likely to plan applying for British citizenship following a Brexit vote. </w:t>
      </w:r>
      <w:r w:rsidR="00FB0DD6">
        <w:t xml:space="preserve">It seems, therefore, that it is the combination of rights-awareness, </w:t>
      </w:r>
      <w:r w:rsidR="00680799">
        <w:t xml:space="preserve">active consideration of one’s options, and the emotional stress caused by the EU Referendum </w:t>
      </w:r>
      <w:r w:rsidR="009125B6">
        <w:t>that most powerfully determines</w:t>
      </w:r>
      <w:r w:rsidR="00680799">
        <w:t xml:space="preserve"> the migration strategies of Polish migrants in the </w:t>
      </w:r>
      <w:r w:rsidR="00C82D41">
        <w:t>UK</w:t>
      </w:r>
      <w:r w:rsidR="00680799">
        <w:t xml:space="preserve"> following the Brexit vote.</w:t>
      </w:r>
    </w:p>
    <w:p w14:paraId="1EC01F5B" w14:textId="3E2C30CF" w:rsidR="0029421B" w:rsidRDefault="00561861" w:rsidP="00212C7F">
      <w:pPr>
        <w:pStyle w:val="Heading1"/>
        <w:jc w:val="both"/>
      </w:pPr>
      <w:r>
        <w:t>Discussion and c</w:t>
      </w:r>
      <w:r w:rsidR="005A15A6">
        <w:t>onclusions</w:t>
      </w:r>
    </w:p>
    <w:p w14:paraId="243F80BF" w14:textId="77777777" w:rsidR="008F374B" w:rsidRDefault="00561861" w:rsidP="00E473B6">
      <w:pPr>
        <w:pStyle w:val="Paragraph"/>
        <w:jc w:val="both"/>
      </w:pPr>
      <w:r>
        <w:t>The above analysis allows us to draw several conclusions regarding the medium-term plans and migration strategies of Po</w:t>
      </w:r>
      <w:r w:rsidR="00FE38BA">
        <w:t xml:space="preserve">lish nationals living in the UK, within the framework of civic and mobility rights available to them and in relation to the UK’s prospective departure from the EU. As the descriptive results have shown, the overwhelming majority of our respondents </w:t>
      </w:r>
      <w:r w:rsidR="006775BB">
        <w:t>(72%) were aiming for civic integration over the next five years</w:t>
      </w:r>
      <w:r w:rsidR="008F374B">
        <w:t xml:space="preserve">, thus tying their legal status to UK law rather than relying solely on the constellation of rights provided by EU citizenship. We could also see that </w:t>
      </w:r>
      <w:r w:rsidR="006775BB">
        <w:t xml:space="preserve">Brexit has little effect on this outcome on the ‘aggregate’ level </w:t>
      </w:r>
      <w:r w:rsidR="006775BB" w:rsidRPr="006775BB">
        <w:rPr>
          <w:color w:val="FF0000"/>
        </w:rPr>
        <w:t>[</w:t>
      </w:r>
      <w:r w:rsidR="008F374B">
        <w:rPr>
          <w:color w:val="FF0000"/>
        </w:rPr>
        <w:t xml:space="preserve">cf. </w:t>
      </w:r>
      <w:r w:rsidR="006775BB" w:rsidRPr="006775BB">
        <w:rPr>
          <w:color w:val="FF0000"/>
        </w:rPr>
        <w:t>reference withheld]</w:t>
      </w:r>
      <w:r w:rsidR="006775BB">
        <w:t xml:space="preserve">. </w:t>
      </w:r>
    </w:p>
    <w:p w14:paraId="2FE8F3F7" w14:textId="7DE66048" w:rsidR="004E3FB0" w:rsidRDefault="006775BB" w:rsidP="008F374B">
      <w:pPr>
        <w:pStyle w:val="Newparagraph"/>
        <w:jc w:val="both"/>
      </w:pPr>
      <w:r>
        <w:t xml:space="preserve">The results from the bivariate analysis </w:t>
      </w:r>
      <w:r w:rsidR="004E3FB0" w:rsidRPr="00404588">
        <w:t xml:space="preserve">broadly indicate that Polish migrants in the </w:t>
      </w:r>
      <w:r w:rsidR="004E3FB0">
        <w:t>UK</w:t>
      </w:r>
      <w:r w:rsidR="004E3FB0" w:rsidRPr="00404588">
        <w:t xml:space="preserve"> are not only a very diverse population in respect to socio-economic and demographic characteristics </w:t>
      </w:r>
      <w:r w:rsidR="004E3FB0" w:rsidRPr="00404588">
        <w:fldChar w:fldCharType="begin"/>
      </w:r>
      <w:r w:rsidR="00F25485">
        <w:instrText xml:space="preserve"> ADDIN EN.CITE &lt;EndNote&gt;&lt;Cite&gt;&lt;Author&gt;Burrell&lt;/Author&gt;&lt;Year&gt;2010&lt;/Year&gt;&lt;RecNum&gt;219&lt;/RecNum&gt;&lt;Prefix&gt;see &lt;/Prefix&gt;&lt;Pages&gt;299&lt;/Pages&gt;&lt;DisplayText&gt;(see Burrell 2010, 299)&lt;/DisplayText&gt;&lt;record&gt;&lt;rec-number&gt;219&lt;/rec-number&gt;&lt;foreign-keys&gt;&lt;key app="EN" db-id="0rx2xdvdhwtp2aefffjv5pzta0eztvftzd0a"&gt;219&lt;/key&gt;&lt;/foreign-keys&gt;&lt;ref-type name="Journal Article"&gt;17&lt;/ref-type&gt;&lt;contributors&gt;&lt;authors&gt;&lt;author&gt;Burrell, Kathy&lt;/author&gt;&lt;/authors&gt;&lt;/contributors&gt;&lt;titles&gt;&lt;title&gt;Staying, returning, working and living: key themes in current academic research undertaken in the UK on migration movements from Eastern Europe&lt;/title&gt;&lt;secondary-title&gt;Social Identities&lt;/secondary-title&gt;&lt;/titles&gt;&lt;periodical&gt;&lt;full-title&gt;Social Identities&lt;/full-title&gt;&lt;/periodical&gt;&lt;pages&gt;297-308&lt;/pages&gt;&lt;volume&gt;16&lt;/volume&gt;&lt;number&gt;3&lt;/number&gt;&lt;dates&gt;&lt;year&gt;2010&lt;/year&gt;&lt;pub-dates&gt;&lt;date&gt;2010/05/01&lt;/date&gt;&lt;/pub-dates&gt;&lt;/dates&gt;&lt;publisher&gt;Routledge&lt;/publisher&gt;&lt;isbn&gt;1350-4630&lt;/isbn&gt;&lt;urls&gt;&lt;related-urls&gt;&lt;url&gt;http://dx.doi.org/10.1080/13504630.2010.482401&lt;/url&gt;&lt;/related-urls&gt;&lt;/urls&gt;&lt;electronic-resource-num&gt;10.1080/13504630.2010.482401&lt;/electronic-resource-num&gt;&lt;access-date&gt;2011/12/01&lt;/access-date&gt;&lt;/record&gt;&lt;/Cite&gt;&lt;/EndNote&gt;</w:instrText>
      </w:r>
      <w:r w:rsidR="004E3FB0" w:rsidRPr="00404588">
        <w:fldChar w:fldCharType="separate"/>
      </w:r>
      <w:r w:rsidR="004E3FB0" w:rsidRPr="00404588">
        <w:rPr>
          <w:noProof/>
        </w:rPr>
        <w:t>(see Burrell 2010, 299)</w:t>
      </w:r>
      <w:r w:rsidR="004E3FB0" w:rsidRPr="00404588">
        <w:fldChar w:fldCharType="end"/>
      </w:r>
      <w:r w:rsidR="004E3FB0" w:rsidRPr="00404588">
        <w:t xml:space="preserve">, but that these characteristics play a less important role in determining their future migration strategies under the terms discussed here. More meaningful is their general attitude towards British citizenship and the </w:t>
      </w:r>
      <w:r w:rsidR="004E3FB0">
        <w:t>UK</w:t>
      </w:r>
      <w:r w:rsidR="004E3FB0" w:rsidRPr="00404588">
        <w:t>, their configuration of rights and knowledge thereof, and their exposure to the local cultural environment (as partially and indirectly measured by the use of English at work).</w:t>
      </w:r>
      <w:r w:rsidR="00E473B6">
        <w:t xml:space="preserve"> This finding is also supp</w:t>
      </w:r>
      <w:r w:rsidR="008F374B">
        <w:t>orted by the regression results:</w:t>
      </w:r>
      <w:r w:rsidR="00E473B6">
        <w:t xml:space="preserve"> we could see that neither the length of residence nor having close family members in the UK significantly determined one’s plans, but awareness of one’s civic rights (</w:t>
      </w:r>
      <w:r w:rsidR="008F374B">
        <w:t>which largely depend</w:t>
      </w:r>
      <w:r w:rsidR="00E473B6">
        <w:t xml:space="preserve"> on residence) or the rights of family members do have a significant influence. </w:t>
      </w:r>
      <w:r w:rsidR="004E3FB0" w:rsidRPr="00404588">
        <w:t xml:space="preserve">To some extent, this finding corresponds with that of </w:t>
      </w:r>
      <w:r w:rsidR="004E3FB0" w:rsidRPr="00404588">
        <w:fldChar w:fldCharType="begin"/>
      </w:r>
      <w:r w:rsidR="00F25485">
        <w:instrText xml:space="preserve"> ADDIN EN.CITE &lt;EndNote&gt;&lt;Cite AuthorYear="1"&gt;&lt;Author&gt;Snel&lt;/Author&gt;&lt;Year&gt;2015&lt;/Year&gt;&lt;RecNum&gt;55&lt;/RecNum&gt;&lt;Pages&gt;17&lt;/Pages&gt;&lt;DisplayText&gt;Snel, Faber, and Engbersen (2015, 17)&lt;/DisplayText&gt;&lt;record&gt;&lt;rec-number&gt;55&lt;/rec-number&gt;&lt;foreign-keys&gt;&lt;key app="EN" db-id="0rx2xdvdhwtp2aefffjv5pzta0eztvftzd0a"&gt;55&lt;/key&gt;&lt;/foreign-keys&gt;&lt;ref-type name="Journal Article"&gt;17&lt;/ref-type&gt;&lt;contributors&gt;&lt;authors&gt;&lt;author&gt;Snel, Erik&lt;/author&gt;&lt;author&gt;Faber, Marije&lt;/author&gt;&lt;author&gt;Engbersen, Godfried&lt;/author&gt;&lt;/authors&gt;&lt;/contributors&gt;&lt;titles&gt;&lt;title&gt;To Stay or Return? Explaining Return Intentions of Central and Eastern European Labour Migrants&lt;/title&gt;&lt;secondary-title&gt;Central and Eastern European Migration Review&lt;/secondary-title&gt;&lt;/titles&gt;&lt;periodical&gt;&lt;full-title&gt;Central and Eastern European Migration Review&lt;/full-title&gt;&lt;/periodical&gt;&lt;pages&gt;5-24&lt;/pages&gt;&lt;volume&gt;4&lt;/volume&gt;&lt;number&gt;2&lt;/number&gt;&lt;section&gt;5&lt;/section&gt;&lt;keywords&gt;&lt;keyword&gt;return migration&lt;/keyword&gt;&lt;keyword&gt;labour migrants&lt;/keyword&gt;&lt;keyword&gt;Central and Eastern Europe&lt;/keyword&gt;&lt;keyword&gt;the Netherlands&lt;/keyword&gt;&lt;/keywords&gt;&lt;dates&gt;&lt;year&gt;2015&lt;/year&gt;&lt;/dates&gt;&lt;urls&gt;&lt;related-urls&gt;&lt;url&gt;http://ceemr.uw.edu.pl/vol-4-no-2-december-2015/articles/stay-or-return-explaining-return-intentions-central-and-eastern&lt;/url&gt;&lt;/related-urls&gt;&lt;/urls&gt;&lt;custom1&gt;&amp;lt;p&amp;gt;24&amp;lt;/p&amp;gt;&lt;/custom1&gt;&lt;language&gt;eng&lt;/language&gt;&lt;/record&gt;&lt;/Cite&gt;&lt;/EndNote&gt;</w:instrText>
      </w:r>
      <w:r w:rsidR="004E3FB0" w:rsidRPr="00404588">
        <w:fldChar w:fldCharType="separate"/>
      </w:r>
      <w:r w:rsidR="004E3FB0" w:rsidRPr="00404588">
        <w:rPr>
          <w:noProof/>
        </w:rPr>
        <w:t>Snel, Faber, and Engbersen (2015, 17)</w:t>
      </w:r>
      <w:r w:rsidR="004E3FB0" w:rsidRPr="00404588">
        <w:fldChar w:fldCharType="end"/>
      </w:r>
      <w:r w:rsidR="004E3FB0" w:rsidRPr="00404588">
        <w:t>, who find that ‘it is not so much the duration of their stay as such that affects migrants’ return intentions as their level of socio-cultural integration’. While we do not have comparable measurements of ‘integration’ to include in our model, and we have reframed our analysis in terms of ‘rights’ rather than the intended length of stay in the destination country, the underlying message behind our findings shares obvious similarities.</w:t>
      </w:r>
    </w:p>
    <w:p w14:paraId="6512AA28" w14:textId="77777777" w:rsidR="00475E84" w:rsidRPr="00E5743E" w:rsidRDefault="005F2B75" w:rsidP="00475E84">
      <w:pPr>
        <w:pStyle w:val="Newparagraph"/>
        <w:jc w:val="both"/>
      </w:pPr>
      <w:r>
        <w:t xml:space="preserve">The fact that those with a declared preference for the UK to leave the EU, or remain a member only conditionally, were also more likely to </w:t>
      </w:r>
      <w:r w:rsidR="00475E84">
        <w:t xml:space="preserve">have formulated clear plans for the </w:t>
      </w:r>
      <w:r w:rsidR="00475E84" w:rsidRPr="00E5743E">
        <w:t xml:space="preserve">medium-term future rather than being ‘indeterminate’, was another interesting finding which opens up to various interpretations. </w:t>
      </w:r>
      <w:r w:rsidR="004E3FB0" w:rsidRPr="00E5743E">
        <w:t>To understand the mechanisms behind this association would require further qualitative research, but we can think of several plausible hypotheses: one would be that already conceived plans of civic integration are the ones that determine attitudes towards the UK’s EU membership, which may be shaped by an assimilation of mainstream majority attitudes, fears and insecurities about future immigration, or other factors that played a role in determining the result of the Referendum overall. This, however, would not explain mobility plans. Another possibility is the influence of general Euro-sceptic sentiments, and a further one could be, on the contrary, disillusionment with life in the UK and support for Britain’s exit from the European Union as a vindictive attitude coupled with intensions to leave the UK within five years. Examining these hypotheses, however, falls outside the scope of the present study.</w:t>
      </w:r>
    </w:p>
    <w:p w14:paraId="081E49B5" w14:textId="08C18B51" w:rsidR="00BE69ED" w:rsidRPr="00E5743E" w:rsidRDefault="00BE69ED" w:rsidP="00475E84">
      <w:pPr>
        <w:pStyle w:val="Newparagraph"/>
        <w:jc w:val="both"/>
      </w:pPr>
      <w:r w:rsidRPr="00E5743E">
        <w:t xml:space="preserve">In this paper we were particularly interested in assessing the continued validity of Polish migrants’ ‘deliberate indeterminacy’ </w:t>
      </w:r>
      <w:r w:rsidRPr="00E5743E">
        <w:fldChar w:fldCharType="begin">
          <w:fldData xml:space="preserve">PEVuZE5vdGU+PENpdGU+PEF1dGhvcj5TbmVsPC9BdXRob3I+PFllYXI+MjAxNTwvWWVhcj48UmVj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</w:fldData>
        </w:fldChar>
      </w:r>
      <w:r w:rsidR="00F25485" w:rsidRPr="00E5743E">
        <w:instrText xml:space="preserve"> ADDIN EN.CITE </w:instrText>
      </w:r>
      <w:r w:rsidR="00F25485" w:rsidRPr="00E5743E">
        <w:fldChar w:fldCharType="begin">
          <w:fldData xml:space="preserve">PEVuZE5vdGU+PENpdGU+PEF1dGhvcj5TbmVsPC9BdXRob3I+PFllYXI+MjAxNTwvWWVhcj48UmVj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</w:fldData>
        </w:fldChar>
      </w:r>
      <w:r w:rsidR="00F25485" w:rsidRPr="00E5743E">
        <w:instrText xml:space="preserve"> ADDIN EN.CITE.DATA </w:instrText>
      </w:r>
      <w:r w:rsidR="00F25485" w:rsidRPr="00E5743E">
        <w:fldChar w:fldCharType="end"/>
      </w:r>
      <w:r w:rsidRPr="00E5743E">
        <w:fldChar w:fldCharType="separate"/>
      </w:r>
      <w:r w:rsidRPr="00E5743E">
        <w:rPr>
          <w:noProof/>
        </w:rPr>
        <w:t>(Snel, Faber, and Engbersen 2015; Drinkwater and Garapich 2015; Eade, Drinkwater, and Garapich 2007)</w:t>
      </w:r>
      <w:r w:rsidRPr="00E5743E">
        <w:fldChar w:fldCharType="end"/>
      </w:r>
      <w:r w:rsidRPr="00E5743E">
        <w:t xml:space="preserve">. Within the rights-based framework that we adopted, the habitus of ‘deliberate indeterminacy’ is still relevant, yet it is this opportunity to keep one’s ‘options deliberately open’ as EU citizens </w:t>
      </w:r>
      <w:r w:rsidRPr="00E5743E">
        <w:fldChar w:fldCharType="begin"/>
      </w:r>
      <w:r w:rsidR="00F25485" w:rsidRPr="00E5743E">
        <w:instrText xml:space="preserve"> ADDIN EN.CITE &lt;EndNote&gt;&lt;Cite&gt;&lt;Author&gt;Eade&lt;/Author&gt;&lt;Year&gt;2007&lt;/Year&gt;&lt;RecNum&gt;235&lt;/RecNum&gt;&lt;Pages&gt;34&lt;/Pages&gt;&lt;DisplayText&gt;(Eade 2007, 34)&lt;/DisplayText&gt;&lt;record&gt;&lt;rec-number&gt;235&lt;/rec-number&gt;&lt;foreign-keys&gt;&lt;key app="EN" db-id="0rx2xdvdhwtp2aefffjv5pzta0eztvftzd0a"&gt;235&lt;/key&gt;&lt;/foreign-keys&gt;&lt;ref-type name="Report"&gt;27&lt;/ref-type&gt;&lt;contributors&gt;&lt;authors&gt;&lt;author&gt;Eade, John&lt;/author&gt;&lt;/authors&gt;&lt;/contributors&gt;&lt;titles&gt;&lt;title&gt;Class and Ethnicity: Polish Migrant Workers in London: Full Research Report.&lt;/title&gt;&lt;secondary-title&gt;ESRC End of Award Report, RES-000-22-1294&lt;/secondary-title&gt;&lt;/titles&gt;&lt;number&gt;Study number 6056&lt;/number&gt;&lt;dates&gt;&lt;year&gt;2007&lt;/year&gt;&lt;/dates&gt;&lt;pub-location&gt;Swindon&lt;/pub-location&gt;&lt;publisher&gt;ESRC&lt;/publisher&gt;&lt;urls&gt;&lt;/urls&gt;&lt;/record&gt;&lt;/Cite&gt;&lt;/EndNote&gt;</w:instrText>
      </w:r>
      <w:r w:rsidRPr="00E5743E">
        <w:fldChar w:fldCharType="separate"/>
      </w:r>
      <w:r w:rsidRPr="00E5743E">
        <w:rPr>
          <w:noProof/>
        </w:rPr>
        <w:t>(Eade 2007, 34)</w:t>
      </w:r>
      <w:r w:rsidRPr="00E5743E">
        <w:fldChar w:fldCharType="end"/>
      </w:r>
      <w:r w:rsidRPr="00E5743E">
        <w:t xml:space="preserve"> – which, in a rights-based approach, would most closely be described by a lack of plans to leave in the medium-term coupled with a lack of intentions of civic integration – that is most jeopardised as a consequence of Brexit. As our analysis has highlighted, Brexit ‘anxiety’ was the main factor pushing Polish migrants away from ‘indeterminacy’ and towards having to formulate more concrete plans for the future, whereas the simple fact of having access to rights of civic integration is the strongest factor explaining preferences for civic integration. </w:t>
      </w:r>
      <w:r w:rsidR="00475E84" w:rsidRPr="00E5743E">
        <w:t xml:space="preserve">We have also seen that in case of Brexit those </w:t>
      </w:r>
      <w:r w:rsidR="00E10EBE" w:rsidRPr="00E5743E">
        <w:t>who had been in the UK for less than 5 years were more likely to apply for PRC than those who had been resident for longer than 10 years (while no other dimensions of length of stay proved significant in respect to ‘Brexit actions’). This may reflect that those who have arrived to the UK more recently and may not yet qualify for naturalisation, but at the same time would prefer to remain in the UK for at least another 5 years, are drawn to permanent residence in greater numbers than some of those who migrated more than a decade ago and, who in case of Brexit, would rather opt for British citizenship or conclude that the time to leave Britain has come. Based on our findings, therefore, i</w:t>
      </w:r>
      <w:r w:rsidRPr="00E5743E">
        <w:t>t may be legitimate to ask whether one important effect of Brexit is to engender an antithetical habitus of ‘undeliberate determinacy’.</w:t>
      </w:r>
    </w:p>
    <w:p w14:paraId="475861A3" w14:textId="2B3F2651" w:rsidR="00E95C0D" w:rsidRDefault="00E10EBE" w:rsidP="00E10EBE">
      <w:pPr>
        <w:pStyle w:val="Newparagraph"/>
        <w:jc w:val="both"/>
      </w:pPr>
      <w:r>
        <w:t xml:space="preserve">Following from the above discussion, the main argument that we put forward in this paper is that </w:t>
      </w:r>
      <w:r w:rsidR="00A538B9">
        <w:t xml:space="preserve">the socio-economic and demographic variables which have emerged in qualitative research as significant in determining settlement or re-migration plans – such as </w:t>
      </w:r>
      <w:r w:rsidR="0025789B">
        <w:t>relationship</w:t>
      </w:r>
      <w:r w:rsidR="00A538B9">
        <w:t xml:space="preserve"> status, </w:t>
      </w:r>
      <w:r w:rsidR="0025789B">
        <w:t>children, length of stay or</w:t>
      </w:r>
      <w:r w:rsidR="00722BE7">
        <w:t xml:space="preserve"> employment</w:t>
      </w:r>
      <w:r w:rsidR="0025789B">
        <w:t xml:space="preserve"> among others </w:t>
      </w:r>
      <w:r w:rsidR="00BF7D4A">
        <w:fldChar w:fldCharType="begin">
          <w:fldData xml:space="preserve">PEVuZE5vdGU+PENpdGU+PEF1dGhvcj5SeWFuPC9BdXRob3I+PFllYXI+MjAxNTwvWWVhcj48UmVj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</w:fldData>
        </w:fldChar>
      </w:r>
      <w:r w:rsidR="00F25485">
        <w:instrText xml:space="preserve"> ADDIN EN.CITE </w:instrText>
      </w:r>
      <w:r w:rsidR="00F25485">
        <w:fldChar w:fldCharType="begin">
          <w:fldData xml:space="preserve">PEVuZE5vdGU+PENpdGU+PEF1dGhvcj5SeWFuPC9BdXRob3I+PFllYXI+MjAxNTwvWWVhcj48UmVj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</w:fldData>
        </w:fldChar>
      </w:r>
      <w:r w:rsidR="00F25485">
        <w:instrText xml:space="preserve"> ADDIN EN.CITE.DATA </w:instrText>
      </w:r>
      <w:r w:rsidR="00F25485">
        <w:fldChar w:fldCharType="end"/>
      </w:r>
      <w:r w:rsidR="00BF7D4A">
        <w:fldChar w:fldCharType="separate"/>
      </w:r>
      <w:r w:rsidR="00906836">
        <w:rPr>
          <w:noProof/>
        </w:rPr>
        <w:t>(Ryan 2015; White 2011; Janta 2013; McGhee, Travena, and Heath 2015)</w:t>
      </w:r>
      <w:r w:rsidR="00BF7D4A">
        <w:fldChar w:fldCharType="end"/>
      </w:r>
      <w:r w:rsidR="00E95C0D">
        <w:t xml:space="preserve"> – are not on their own</w:t>
      </w:r>
      <w:r w:rsidR="00BF7D4A">
        <w:t xml:space="preserve"> significant in determining the plans and strategies in respect to rights and options of civic integration and </w:t>
      </w:r>
      <w:r w:rsidR="00BF7D4A" w:rsidRPr="00E10EBE">
        <w:t xml:space="preserve">mobility in the case of as diverse a migrant group as that of Polish nationals in the UK. </w:t>
      </w:r>
      <w:r w:rsidR="00BF7D4A">
        <w:t xml:space="preserve">Rather, we argue, it is the additional element of </w:t>
      </w:r>
      <w:r w:rsidR="001602FF">
        <w:t xml:space="preserve">rights-awareness, interest and social proximity to the </w:t>
      </w:r>
      <w:r w:rsidR="001602FF" w:rsidRPr="008E08A1">
        <w:t xml:space="preserve">available options of civic integration which carry </w:t>
      </w:r>
      <w:r w:rsidR="00AB1647" w:rsidRPr="008E08A1">
        <w:t xml:space="preserve">more </w:t>
      </w:r>
      <w:r w:rsidR="001602FF" w:rsidRPr="008E08A1">
        <w:t>weight</w:t>
      </w:r>
      <w:r w:rsidR="00AB1647" w:rsidRPr="008E08A1">
        <w:t xml:space="preserve"> in explaining both medium-term plans and actions under the circumstances created by the </w:t>
      </w:r>
      <w:r w:rsidR="00C82D41">
        <w:t>UK</w:t>
      </w:r>
      <w:r w:rsidR="00AB1647" w:rsidRPr="008E08A1">
        <w:t xml:space="preserve">’s vote to exit the European Union. </w:t>
      </w:r>
    </w:p>
    <w:p w14:paraId="2F35102D" w14:textId="6C7F41BC" w:rsidR="0068283E" w:rsidRPr="0068283E" w:rsidRDefault="00152E88" w:rsidP="00152E88">
      <w:pPr>
        <w:pStyle w:val="Newparagraph"/>
        <w:jc w:val="both"/>
      </w:pPr>
      <w:r>
        <w:t xml:space="preserve">This paper, nevertheless, opens up a series of questions that require separate in-depth treatment and need further research. For one, by reconceptualising ‘deliberate indeterminacy’ within a temporally constrained rights-based approach, the need to (re)theorise it became more evident. </w:t>
      </w:r>
      <w:r w:rsidR="00CA6EA3">
        <w:t>It would be a legitimate objection to our present treatment of the concept to note that civic integration could very well be employed as a strategy to expand one’s options for remaining ‘indeterminate’ in the future. In other words, permanent residence and Bri</w:t>
      </w:r>
      <w:r w:rsidR="00726201">
        <w:t xml:space="preserve">tish citizenship may not be signalling </w:t>
      </w:r>
      <w:r w:rsidR="00661241">
        <w:t>the ‘</w:t>
      </w:r>
      <w:r w:rsidR="00906836">
        <w:t>settlement’</w:t>
      </w:r>
      <w:r w:rsidR="00661241">
        <w:t xml:space="preserve"> of Polish migrants, but rather </w:t>
      </w:r>
      <w:r w:rsidR="001E7B8E">
        <w:t xml:space="preserve">new legal-structural moorings for transnational living. Understanding such processes will require a focused qualitative treatment, but recent research seems to indicate that more ‘settled’ lifestyles are compatible with transnationalism </w:t>
      </w:r>
      <w:r w:rsidR="001E7B8E">
        <w:fldChar w:fldCharType="begin"/>
      </w:r>
      <w:r w:rsidR="00F25485">
        <w:instrText xml:space="preserve"> ADDIN EN.CITE &lt;EndNote&gt;&lt;Cite&gt;&lt;Author&gt;Ryan&lt;/Author&gt;&lt;Year&gt;2015&lt;/Year&gt;&lt;RecNum&gt;274&lt;/RecNum&gt;&lt;Prefix&gt;cf. &lt;/Prefix&gt;&lt;DisplayText&gt;(cf. Ryan 2015)&lt;/DisplayText&gt;&lt;record&gt;&lt;rec-number&gt;274&lt;/rec-number&gt;&lt;foreign-keys&gt;&lt;key app="EN" db-id="0rx2xdvdhwtp2aefffjv5pzta0eztvftzd0a"&gt;274&lt;/key&gt;&lt;/foreign-keys&gt;&lt;ref-type name="Report"&gt;27&lt;/ref-type&gt;&lt;contributors&gt;&lt;authors&gt;&lt;author&gt;Ryan, Louise&lt;/author&gt;&lt;/authors&gt;&lt;/contributors&gt;&lt;titles&gt;&lt;title&gt;‘Another year and another year’: Polish migrants in London extending the stay over time&lt;/title&gt;&lt;/titles&gt;&lt;number&gt;Research report&lt;/number&gt;&lt;num-vols&gt;Research Report&lt;/num-vols&gt;&lt;dates&gt;&lt;year&gt;2015&lt;/year&gt;&lt;pub-dates&gt;&lt;date&gt;17 September 2015&lt;/date&gt;&lt;/pub-dates&gt;&lt;/dates&gt;&lt;pub-location&gt;London&lt;/pub-location&gt;&lt;publisher&gt;Middlesex University, Social Policy Research Centre&lt;/publisher&gt;&lt;isbn&gt;Research report&lt;/isbn&gt;&lt;work-type&gt;Research report&lt;/work-type&gt;&lt;urls&gt;&lt;related-urls&gt;&lt;url&gt;http://sprc.info/wp-content/uploads/2012/07/Polish-Migrants-in-London-extending-the-stay.pdf&lt;/url&gt;&lt;/related-urls&gt;&lt;/urls&gt;&lt;/record&gt;&lt;/Cite&gt;&lt;/EndNote&gt;</w:instrText>
      </w:r>
      <w:r w:rsidR="001E7B8E">
        <w:fldChar w:fldCharType="separate"/>
      </w:r>
      <w:r w:rsidR="00906836">
        <w:rPr>
          <w:noProof/>
        </w:rPr>
        <w:t>(cf. Ryan 2015)</w:t>
      </w:r>
      <w:r w:rsidR="001E7B8E">
        <w:fldChar w:fldCharType="end"/>
      </w:r>
      <w:r w:rsidR="001E7B8E">
        <w:t xml:space="preserve">. More research will also be required in order to understand the complexities involved in the changing meaning of ‘citizenship’ following Brexit, and how other EU migrant groups compare </w:t>
      </w:r>
      <w:r w:rsidR="002E23DC">
        <w:t xml:space="preserve">to Poles – questions that we also engage with elsewhere </w:t>
      </w:r>
      <w:r w:rsidR="002E23DC" w:rsidRPr="002E23DC">
        <w:rPr>
          <w:color w:val="FF0000"/>
        </w:rPr>
        <w:t>[reference withheld]</w:t>
      </w:r>
      <w:r w:rsidR="002E23DC">
        <w:t xml:space="preserve">. </w:t>
      </w:r>
      <w:r w:rsidR="001E7B8E">
        <w:t xml:space="preserve"> </w:t>
      </w:r>
    </w:p>
    <w:p w14:paraId="52E5F8C8" w14:textId="77777777" w:rsidR="008E7E31" w:rsidRDefault="008E7E31" w:rsidP="00222719">
      <w:pPr>
        <w:pStyle w:val="Newparagraph"/>
        <w:ind w:firstLine="0"/>
        <w:jc w:val="both"/>
        <w:sectPr w:rsidR="008E7E31" w:rsidSect="00074B81">
          <w:footerReference w:type="default" r:id="rId8"/>
          <w:endnotePr>
            <w:numFmt w:val="decimal"/>
          </w:endnotePr>
          <w:pgSz w:w="11901" w:h="16840" w:code="9"/>
          <w:pgMar w:top="1418" w:right="1701" w:bottom="1418" w:left="1701" w:header="709" w:footer="709" w:gutter="0"/>
          <w:cols w:space="708"/>
          <w:docGrid w:linePitch="360"/>
        </w:sectPr>
      </w:pPr>
    </w:p>
    <w:p w14:paraId="1EC01F61" w14:textId="2EA389B0" w:rsidR="00265929" w:rsidRDefault="00265929" w:rsidP="00222719">
      <w:pPr>
        <w:pStyle w:val="Newparagraph"/>
        <w:ind w:firstLine="0"/>
        <w:jc w:val="both"/>
      </w:pPr>
    </w:p>
    <w:p w14:paraId="1EC01F66" w14:textId="6E4CF929" w:rsidR="00997B0F" w:rsidRDefault="00997B0F" w:rsidP="00212C7F">
      <w:pPr>
        <w:pStyle w:val="Acknowledgements"/>
        <w:jc w:val="both"/>
      </w:pPr>
      <w:r>
        <w:t>Acknowledgements</w:t>
      </w:r>
      <w:r w:rsidR="004A1E42">
        <w:t>:</w:t>
      </w:r>
      <w:r w:rsidR="00161344">
        <w:t xml:space="preserve"> </w:t>
      </w:r>
      <w:r w:rsidR="004A1E42">
        <w:t>This work was supported by the</w:t>
      </w:r>
      <w:r w:rsidR="009125B6">
        <w:t xml:space="preserve"> </w:t>
      </w:r>
      <w:r w:rsidR="004A1E42" w:rsidRPr="009125B6">
        <w:rPr>
          <w:color w:val="FF0000"/>
        </w:rPr>
        <w:t>[</w:t>
      </w:r>
      <w:r w:rsidR="009125B6" w:rsidRPr="009125B6">
        <w:rPr>
          <w:color w:val="FF0000"/>
        </w:rPr>
        <w:t>information withheld</w:t>
      </w:r>
      <w:r w:rsidR="004A1E42" w:rsidRPr="009125B6">
        <w:rPr>
          <w:color w:val="FF0000"/>
        </w:rPr>
        <w:t xml:space="preserve">] </w:t>
      </w:r>
      <w:r w:rsidR="004A1E42">
        <w:t xml:space="preserve">under Grant </w:t>
      </w:r>
      <w:r w:rsidR="004A1E42" w:rsidRPr="009125B6">
        <w:rPr>
          <w:color w:val="FF0000"/>
        </w:rPr>
        <w:t>[</w:t>
      </w:r>
      <w:r w:rsidR="009125B6" w:rsidRPr="009125B6">
        <w:rPr>
          <w:color w:val="FF0000"/>
        </w:rPr>
        <w:t>information withheld</w:t>
      </w:r>
      <w:r w:rsidR="004A1E42" w:rsidRPr="009125B6">
        <w:rPr>
          <w:color w:val="FF0000"/>
        </w:rPr>
        <w:t>]</w:t>
      </w:r>
      <w:r w:rsidR="004A1E42">
        <w:t>.</w:t>
      </w:r>
    </w:p>
    <w:p w14:paraId="1EC01F67" w14:textId="77777777" w:rsidR="00212C7F" w:rsidRDefault="00212C7F" w:rsidP="00801F2A"/>
    <w:p w14:paraId="649A3AD8" w14:textId="77777777" w:rsidR="00F25485" w:rsidRPr="00F25485" w:rsidRDefault="00F25485" w:rsidP="00F25485">
      <w:pPr>
        <w:pStyle w:val="Tabletitle"/>
        <w:rPr>
          <w:rFonts w:cs="Arial"/>
          <w:b/>
          <w:bCs/>
          <w:kern w:val="32"/>
          <w:szCs w:val="32"/>
        </w:rPr>
      </w:pPr>
      <w:bookmarkStart w:id="1" w:name="_Ref459286489"/>
      <w:r w:rsidRPr="00F25485">
        <w:rPr>
          <w:rFonts w:cs="Arial"/>
          <w:b/>
          <w:bCs/>
          <w:kern w:val="32"/>
          <w:szCs w:val="32"/>
        </w:rPr>
        <w:t>References</w:t>
      </w:r>
    </w:p>
    <w:p w14:paraId="0BD06F7A" w14:textId="77777777" w:rsidR="00F25485" w:rsidRPr="00F25485" w:rsidRDefault="00F25485" w:rsidP="00F25485">
      <w:pPr>
        <w:pStyle w:val="References"/>
      </w:pPr>
      <w:r w:rsidRPr="00F25485">
        <w:t xml:space="preserve">Anwar, Muhammad. 1979. </w:t>
      </w:r>
      <w:r w:rsidRPr="00BE47DA">
        <w:rPr>
          <w:i/>
        </w:rPr>
        <w:t>The myth of return: Pakistanis in Britain</w:t>
      </w:r>
      <w:r w:rsidRPr="00F25485">
        <w:t>. London: Heinemann Educational.</w:t>
      </w:r>
    </w:p>
    <w:p w14:paraId="56514A39" w14:textId="191D58C4" w:rsidR="00F25485" w:rsidRPr="00F25485" w:rsidRDefault="00BE47DA" w:rsidP="00F25485">
      <w:pPr>
        <w:pStyle w:val="References"/>
      </w:pPr>
      <w:r>
        <w:t xml:space="preserve">Burrell, Kathy. 2009. </w:t>
      </w:r>
      <w:r w:rsidR="00F25485" w:rsidRPr="00BE47DA">
        <w:rPr>
          <w:i/>
        </w:rPr>
        <w:t>Polish migration to the UK in the 'ne</w:t>
      </w:r>
      <w:r w:rsidRPr="00BE47DA">
        <w:rPr>
          <w:i/>
        </w:rPr>
        <w:t>w' European Union: after 2004</w:t>
      </w:r>
      <w:r>
        <w:t xml:space="preserve">. </w:t>
      </w:r>
      <w:r w:rsidR="00F25485" w:rsidRPr="00F25485">
        <w:t>Farnham and Burlington: Ashgate.</w:t>
      </w:r>
    </w:p>
    <w:p w14:paraId="079961AD" w14:textId="53B58287" w:rsidR="00F25485" w:rsidRPr="00F25485" w:rsidRDefault="00F25485" w:rsidP="00F25485">
      <w:pPr>
        <w:pStyle w:val="References"/>
      </w:pPr>
      <w:r w:rsidRPr="00F25485">
        <w:t xml:space="preserve">———. 2010. "Staying, returning, working and living: key themes in current academic research undertaken in the UK on migration movements from Eastern Europe."  </w:t>
      </w:r>
      <w:r w:rsidRPr="00BE47DA">
        <w:rPr>
          <w:i/>
        </w:rPr>
        <w:t>So</w:t>
      </w:r>
      <w:r w:rsidR="002F53B2" w:rsidRPr="00BE47DA">
        <w:rPr>
          <w:i/>
        </w:rPr>
        <w:t>cial Identities</w:t>
      </w:r>
      <w:r w:rsidR="002F53B2">
        <w:t xml:space="preserve"> 16 (3):297-308.</w:t>
      </w:r>
    </w:p>
    <w:p w14:paraId="2244CBB8" w14:textId="146B67C9" w:rsidR="00F25485" w:rsidRPr="00F25485" w:rsidRDefault="00F25485" w:rsidP="00F25485">
      <w:pPr>
        <w:pStyle w:val="References"/>
      </w:pPr>
      <w:r w:rsidRPr="00F25485">
        <w:t xml:space="preserve">Couper, Mick. 2000. "Review: Web Surveys: A Review of Issues and Approaches."  </w:t>
      </w:r>
      <w:r w:rsidRPr="002F53B2">
        <w:rPr>
          <w:i/>
        </w:rPr>
        <w:t>Public O</w:t>
      </w:r>
      <w:r w:rsidR="002F53B2" w:rsidRPr="002F53B2">
        <w:rPr>
          <w:i/>
        </w:rPr>
        <w:t>pinion Quarterly</w:t>
      </w:r>
      <w:r w:rsidR="002F53B2">
        <w:t xml:space="preserve"> 64 (4):464-94.</w:t>
      </w:r>
    </w:p>
    <w:p w14:paraId="44480937" w14:textId="2E0773CE" w:rsidR="00F25485" w:rsidRPr="00F25485" w:rsidRDefault="00F25485" w:rsidP="00F25485">
      <w:pPr>
        <w:pStyle w:val="References"/>
      </w:pPr>
      <w:r w:rsidRPr="00F25485">
        <w:t xml:space="preserve">Dekker, Rianne, and Godfried Engbersen. 2014. "How social media transform migrant networks and facilitate migration." </w:t>
      </w:r>
      <w:r w:rsidR="002F53B2">
        <w:t xml:space="preserve"> </w:t>
      </w:r>
      <w:r w:rsidR="002F53B2" w:rsidRPr="002F53B2">
        <w:rPr>
          <w:i/>
        </w:rPr>
        <w:t>Global Networks</w:t>
      </w:r>
      <w:r w:rsidR="002F53B2">
        <w:t xml:space="preserve"> 14 (4):401-18.</w:t>
      </w:r>
    </w:p>
    <w:p w14:paraId="1A9665BD" w14:textId="6508CC42" w:rsidR="00F25485" w:rsidRPr="00F25485" w:rsidRDefault="00F25485" w:rsidP="00F25485">
      <w:pPr>
        <w:pStyle w:val="References"/>
      </w:pPr>
      <w:r w:rsidRPr="00F25485">
        <w:t xml:space="preserve">Drinkwater, Stephen, and Michał P. Garapich. 2015. "Migration Strategies of Polish Migrants: Do They Have Any at All?"  </w:t>
      </w:r>
      <w:r w:rsidRPr="002F53B2">
        <w:rPr>
          <w:i/>
        </w:rPr>
        <w:t>Journal of Ethnic and Mig</w:t>
      </w:r>
      <w:r w:rsidR="002F53B2" w:rsidRPr="002F53B2">
        <w:rPr>
          <w:i/>
        </w:rPr>
        <w:t>ration Studies</w:t>
      </w:r>
      <w:r w:rsidR="002F53B2">
        <w:t xml:space="preserve"> 41 (12):1909-31.</w:t>
      </w:r>
    </w:p>
    <w:p w14:paraId="16C9C693" w14:textId="4D6FBAAE" w:rsidR="00F25485" w:rsidRPr="00F25485" w:rsidRDefault="00F25485" w:rsidP="00F25485">
      <w:pPr>
        <w:pStyle w:val="References"/>
      </w:pPr>
      <w:r w:rsidRPr="00F25485">
        <w:t>Eade, John. 2007. "Class and Ethnicity: Polish Migrant Workers in London: Full Research Report." ESRC End of Award Report, RES-000-22-1294. Swindon: ESRC.</w:t>
      </w:r>
    </w:p>
    <w:p w14:paraId="55D3B0BF" w14:textId="0DBE026D" w:rsidR="00F25485" w:rsidRPr="00F25485" w:rsidRDefault="00F25485" w:rsidP="00F25485">
      <w:pPr>
        <w:pStyle w:val="References"/>
      </w:pPr>
      <w:r w:rsidRPr="00F25485">
        <w:t>Eade, John, Stephen Drinkwater, and Michal Garapich. 2007. "Class and Ethnicity - Polish Migrants in London." Research Report for the RES-000-22-1294 ESRC p</w:t>
      </w:r>
      <w:r w:rsidR="002F53B2">
        <w:t>roject. University of Surrey, CRNEM</w:t>
      </w:r>
      <w:r w:rsidRPr="00F25485">
        <w:t>.</w:t>
      </w:r>
    </w:p>
    <w:p w14:paraId="353063D5" w14:textId="4AA13B17" w:rsidR="00F25485" w:rsidRPr="00F25485" w:rsidRDefault="00F25485" w:rsidP="00F25485">
      <w:pPr>
        <w:pStyle w:val="References"/>
      </w:pPr>
      <w:r w:rsidRPr="00F25485">
        <w:t xml:space="preserve">Favell, Adrian. 2008. "The New Face of East–West Migration in Europe."  </w:t>
      </w:r>
      <w:r w:rsidRPr="002F53B2">
        <w:rPr>
          <w:i/>
        </w:rPr>
        <w:t>Journal of Ethnic and M</w:t>
      </w:r>
      <w:r w:rsidR="002F53B2" w:rsidRPr="002F53B2">
        <w:rPr>
          <w:i/>
        </w:rPr>
        <w:t>igration Studies</w:t>
      </w:r>
      <w:r w:rsidR="002F53B2">
        <w:t xml:space="preserve"> 34 (5):701-16.</w:t>
      </w:r>
    </w:p>
    <w:p w14:paraId="1C72B10E" w14:textId="77777777" w:rsidR="00F25485" w:rsidRPr="00F25485" w:rsidRDefault="00F25485" w:rsidP="00F25485">
      <w:pPr>
        <w:pStyle w:val="References"/>
      </w:pPr>
      <w:r w:rsidRPr="00F25485">
        <w:t xml:space="preserve">Galasińska, Aleksandra, and Olga Kozłowska. 2009. "Discourses of a ‘Normal Life’ among Post-Accession Migrants from Poland to Britain." In </w:t>
      </w:r>
      <w:r w:rsidRPr="002F53B2">
        <w:rPr>
          <w:i/>
        </w:rPr>
        <w:t>Polish migration to the UK in the 'new' European Union: after 2004</w:t>
      </w:r>
      <w:r w:rsidRPr="00F25485">
        <w:t>, edited by Kathy Burrell, 87-106. Farnham and Burlington: Ashgate.</w:t>
      </w:r>
    </w:p>
    <w:p w14:paraId="37AC0B22" w14:textId="5A532734" w:rsidR="00F25485" w:rsidRPr="00F25485" w:rsidRDefault="00F25485" w:rsidP="00F25485">
      <w:pPr>
        <w:pStyle w:val="References"/>
      </w:pPr>
      <w:r w:rsidRPr="00F25485">
        <w:t xml:space="preserve">Haas, H., and T. Fokkema. 2011. "The effects of integration and transnational ties on international return migration intensions."  </w:t>
      </w:r>
      <w:r w:rsidRPr="0021059C">
        <w:rPr>
          <w:i/>
        </w:rPr>
        <w:t>Demographic Research</w:t>
      </w:r>
      <w:r w:rsidRPr="00F25485">
        <w:t xml:space="preserve"> 25</w:t>
      </w:r>
      <w:r w:rsidR="002F53B2">
        <w:t xml:space="preserve"> (24):</w:t>
      </w:r>
      <w:r w:rsidR="002F53B2" w:rsidRPr="002F53B2">
        <w:t xml:space="preserve"> </w:t>
      </w:r>
      <w:r w:rsidR="002F53B2">
        <w:t>755-</w:t>
      </w:r>
      <w:r w:rsidR="002F53B2" w:rsidRPr="002F53B2">
        <w:t>82</w:t>
      </w:r>
      <w:r w:rsidR="002F53B2">
        <w:t>.</w:t>
      </w:r>
    </w:p>
    <w:p w14:paraId="5E33FA7B" w14:textId="77777777" w:rsidR="00F25485" w:rsidRPr="00F25485" w:rsidRDefault="00F25485" w:rsidP="00F25485">
      <w:pPr>
        <w:pStyle w:val="References"/>
      </w:pPr>
      <w:r w:rsidRPr="00F25485">
        <w:t xml:space="preserve">Harvey, David. 1989. </w:t>
      </w:r>
      <w:r w:rsidRPr="002F53B2">
        <w:rPr>
          <w:i/>
        </w:rPr>
        <w:t>The condition of postmodernity: an enquiry into the origins of cultural change.</w:t>
      </w:r>
      <w:r w:rsidRPr="00F25485">
        <w:t xml:space="preserve"> Oxford: Basil Blackwell.</w:t>
      </w:r>
    </w:p>
    <w:p w14:paraId="0B1D2671" w14:textId="77777777" w:rsidR="00F25485" w:rsidRPr="00F25485" w:rsidRDefault="00F25485" w:rsidP="00F25485">
      <w:pPr>
        <w:pStyle w:val="References"/>
      </w:pPr>
      <w:r w:rsidRPr="00F25485">
        <w:t xml:space="preserve">Heath, Sue, Derek McGhee, and Paulina Trevena. 2011. "Lost in Transnationalism: Unraveling the Conceptualisation of Families and Personal Life Through a Transnational Gaze."  </w:t>
      </w:r>
      <w:r w:rsidRPr="002F53B2">
        <w:rPr>
          <w:i/>
        </w:rPr>
        <w:t>Sociological Research Online</w:t>
      </w:r>
      <w:r w:rsidRPr="00F25485">
        <w:t xml:space="preserve"> 16 (4):12.</w:t>
      </w:r>
    </w:p>
    <w:p w14:paraId="785863C9" w14:textId="77777777" w:rsidR="00F25485" w:rsidRPr="00F25485" w:rsidRDefault="00F25485" w:rsidP="00F25485">
      <w:pPr>
        <w:pStyle w:val="References"/>
      </w:pPr>
      <w:r w:rsidRPr="00F25485">
        <w:t>Janta, Barbara. 2013. "Polish Migrants’ Reproductive Behaviour in the United Kingdom</w:t>
      </w:r>
      <w:r w:rsidRPr="002F53B2">
        <w:rPr>
          <w:i/>
        </w:rPr>
        <w:t>."  Studia Migracyjne - Przeglad Polonijny</w:t>
      </w:r>
      <w:r w:rsidRPr="00F25485">
        <w:t xml:space="preserve"> 39 (3(149)):63-96.</w:t>
      </w:r>
    </w:p>
    <w:p w14:paraId="71F912B3" w14:textId="246462F1" w:rsidR="00F25485" w:rsidRPr="00F25485" w:rsidRDefault="00F25485" w:rsidP="00F25485">
      <w:pPr>
        <w:pStyle w:val="References"/>
      </w:pPr>
      <w:r w:rsidRPr="00F25485">
        <w:t xml:space="preserve">Levitt, Peggy, and Nina Glick Schiller. 2004. "Conceptualizing Simultaneity: A Transnational Social Field Perspective on Society."  </w:t>
      </w:r>
      <w:r w:rsidRPr="002F53B2">
        <w:rPr>
          <w:i/>
        </w:rPr>
        <w:t>International M</w:t>
      </w:r>
      <w:r w:rsidR="002F53B2" w:rsidRPr="002F53B2">
        <w:rPr>
          <w:i/>
        </w:rPr>
        <w:t>igration Review</w:t>
      </w:r>
      <w:r w:rsidR="002F53B2">
        <w:t xml:space="preserve"> 38 (3):1002-39.</w:t>
      </w:r>
    </w:p>
    <w:p w14:paraId="7B4F4074" w14:textId="12990FD2" w:rsidR="00F25485" w:rsidRPr="00F25485" w:rsidRDefault="00F25485" w:rsidP="00F25485">
      <w:pPr>
        <w:pStyle w:val="References"/>
      </w:pPr>
      <w:r w:rsidRPr="00F25485">
        <w:t xml:space="preserve">Lopez Rodriguez, Magdalena. 2010. "Migration and a quest for ‘normalcy’. Polish migrant mothers and the capitalization of meritocratic opportunities in the UK."  </w:t>
      </w:r>
      <w:r w:rsidRPr="002F53B2">
        <w:rPr>
          <w:i/>
        </w:rPr>
        <w:t>S</w:t>
      </w:r>
      <w:r w:rsidR="002F53B2" w:rsidRPr="002F53B2">
        <w:rPr>
          <w:i/>
        </w:rPr>
        <w:t>ocial Identities</w:t>
      </w:r>
      <w:r w:rsidR="002F53B2">
        <w:t xml:space="preserve"> 16 (3):339-58.</w:t>
      </w:r>
    </w:p>
    <w:p w14:paraId="2A68A3D8" w14:textId="77777777" w:rsidR="00F25485" w:rsidRPr="00F25485" w:rsidRDefault="00F25485" w:rsidP="00F25485">
      <w:pPr>
        <w:pStyle w:val="References"/>
      </w:pPr>
      <w:r w:rsidRPr="00F25485">
        <w:t xml:space="preserve">Mau, Steffen, and Roland Verwiebe. 2014. </w:t>
      </w:r>
      <w:r w:rsidRPr="002F53B2">
        <w:rPr>
          <w:i/>
        </w:rPr>
        <w:t>European societies: Mapping structure and change</w:t>
      </w:r>
      <w:r w:rsidRPr="00F25485">
        <w:t>. Bristol: Policy Press.</w:t>
      </w:r>
    </w:p>
    <w:p w14:paraId="0B625922" w14:textId="4938B142" w:rsidR="00F25485" w:rsidRPr="00F25485" w:rsidRDefault="00F25485" w:rsidP="00F25485">
      <w:pPr>
        <w:pStyle w:val="References"/>
      </w:pPr>
      <w:r w:rsidRPr="00F25485">
        <w:t xml:space="preserve">McGhee, Derek, Sue Heath, and Paulina Trevena. 2012. "Dignity, happiness and being able to live a ‘normal life’ in the UK – an examination of post-accession Polish migrants' transnational autobiographical fields."  </w:t>
      </w:r>
      <w:r w:rsidRPr="002F53B2">
        <w:rPr>
          <w:i/>
        </w:rPr>
        <w:t>S</w:t>
      </w:r>
      <w:r w:rsidR="002F53B2" w:rsidRPr="002F53B2">
        <w:rPr>
          <w:i/>
        </w:rPr>
        <w:t>ocial Identities</w:t>
      </w:r>
      <w:r w:rsidR="002F53B2">
        <w:t xml:space="preserve"> 18 (6):711-27.</w:t>
      </w:r>
    </w:p>
    <w:p w14:paraId="570221A7" w14:textId="5222DF66" w:rsidR="00F25485" w:rsidRPr="00F25485" w:rsidRDefault="00F25485" w:rsidP="00F25485">
      <w:pPr>
        <w:pStyle w:val="References"/>
      </w:pPr>
      <w:r w:rsidRPr="00F25485">
        <w:t xml:space="preserve">———. 2013. "Competing obligations and the maintenance of physical co-presence: the impact of migration and structural constraints on post-accession Polish families in the UK."  </w:t>
      </w:r>
      <w:r w:rsidRPr="002F53B2">
        <w:rPr>
          <w:i/>
        </w:rPr>
        <w:t>Families, Relationships and Societies</w:t>
      </w:r>
      <w:r w:rsidRPr="00F25485">
        <w:t xml:space="preserve"> 2 (2):229-45</w:t>
      </w:r>
      <w:r w:rsidR="002F53B2">
        <w:t>.</w:t>
      </w:r>
    </w:p>
    <w:p w14:paraId="07D1D545" w14:textId="12F09D52" w:rsidR="00F25485" w:rsidRPr="00F25485" w:rsidRDefault="00F25485" w:rsidP="00F25485">
      <w:pPr>
        <w:pStyle w:val="References"/>
      </w:pPr>
      <w:r w:rsidRPr="00F25485">
        <w:t xml:space="preserve">McGhee, Derek, and Emilia Piętka-Nykaza. 2016. "From privileged to thwarted stakeholders – Polish migrants’ perceptions of the Scottish Independence Referendum 2014 and the UK General Election in 2015."  </w:t>
      </w:r>
      <w:r w:rsidRPr="002F53B2">
        <w:rPr>
          <w:i/>
        </w:rPr>
        <w:t>Citizenship Studies</w:t>
      </w:r>
      <w:r w:rsidR="002F53B2">
        <w:t xml:space="preserve"> 20 (6-7):899-913.</w:t>
      </w:r>
    </w:p>
    <w:p w14:paraId="17EF6421" w14:textId="2B2E6B48" w:rsidR="00F25485" w:rsidRPr="00F25485" w:rsidRDefault="00F25485" w:rsidP="00F25485">
      <w:pPr>
        <w:pStyle w:val="References"/>
      </w:pPr>
      <w:r w:rsidRPr="00F25485">
        <w:t xml:space="preserve">McGhee, Derek, Paulina Travena, and Sue Heath. 2015. "Social Relationships and Relationships in Context: Post-Accession Poles in Southampton."  </w:t>
      </w:r>
      <w:r w:rsidRPr="002F53B2">
        <w:rPr>
          <w:i/>
        </w:rPr>
        <w:t>Population,</w:t>
      </w:r>
      <w:r w:rsidR="002F53B2" w:rsidRPr="002F53B2">
        <w:rPr>
          <w:i/>
        </w:rPr>
        <w:t xml:space="preserve"> Space and Place</w:t>
      </w:r>
      <w:r w:rsidR="002F53B2">
        <w:t xml:space="preserve"> 21 (5):433-45.</w:t>
      </w:r>
    </w:p>
    <w:p w14:paraId="7E8016BB" w14:textId="77777777" w:rsidR="002F53B2" w:rsidRDefault="00F25485" w:rsidP="00F25485">
      <w:pPr>
        <w:pStyle w:val="References"/>
      </w:pPr>
      <w:r w:rsidRPr="00F25485">
        <w:t xml:space="preserve">Miller, Peter G., and Anders L. Sønderlund. 2010. "Using the internet to research hidden populations of illicit drug users: a review."  </w:t>
      </w:r>
      <w:r w:rsidRPr="002F53B2">
        <w:rPr>
          <w:i/>
        </w:rPr>
        <w:t>Addiction</w:t>
      </w:r>
      <w:r w:rsidR="002F53B2">
        <w:t xml:space="preserve"> 105 (9):1557-67.</w:t>
      </w:r>
    </w:p>
    <w:p w14:paraId="31AFA8D6" w14:textId="12F50197" w:rsidR="00F25485" w:rsidRPr="00F25485" w:rsidRDefault="00F25485" w:rsidP="00F25485">
      <w:pPr>
        <w:pStyle w:val="References"/>
      </w:pPr>
      <w:r w:rsidRPr="00F25485">
        <w:t xml:space="preserve">Moreh, Chris. 2014. "A Decade of Membership: Hungarian Post-Accession Mobility to the United Kingdom."  </w:t>
      </w:r>
      <w:r w:rsidRPr="002F53B2">
        <w:rPr>
          <w:i/>
        </w:rPr>
        <w:t>Central and Eastern European Migration Review</w:t>
      </w:r>
      <w:r w:rsidRPr="00F25485">
        <w:t xml:space="preserve"> 3 (2):79-104.</w:t>
      </w:r>
    </w:p>
    <w:p w14:paraId="3AECE93E" w14:textId="7968D1B2" w:rsidR="00F25485" w:rsidRPr="00F25485" w:rsidRDefault="002F53B2" w:rsidP="00F25485">
      <w:pPr>
        <w:pStyle w:val="References"/>
      </w:pPr>
      <w:r>
        <w:t xml:space="preserve">ONS. 2016. </w:t>
      </w:r>
      <w:r w:rsidR="00F25485" w:rsidRPr="002F53B2">
        <w:rPr>
          <w:i/>
        </w:rPr>
        <w:t xml:space="preserve">Population by Country </w:t>
      </w:r>
      <w:r w:rsidRPr="002F53B2">
        <w:rPr>
          <w:i/>
        </w:rPr>
        <w:t>of Birth and Nationality, 2015</w:t>
      </w:r>
      <w:r>
        <w:t>.</w:t>
      </w:r>
      <w:r w:rsidR="00F25485" w:rsidRPr="00F25485">
        <w:t xml:space="preserve"> </w:t>
      </w:r>
      <w:r>
        <w:t xml:space="preserve">London: </w:t>
      </w:r>
      <w:r w:rsidR="00F25485" w:rsidRPr="00F25485">
        <w:t>Office for National Statistics.</w:t>
      </w:r>
    </w:p>
    <w:p w14:paraId="2DBCBEA6" w14:textId="4F2BB596" w:rsidR="00F25485" w:rsidRPr="00F25485" w:rsidRDefault="00F25485" w:rsidP="00F25485">
      <w:pPr>
        <w:pStyle w:val="References"/>
      </w:pPr>
      <w:r w:rsidRPr="00F25485">
        <w:t xml:space="preserve">Parutis, Violetta. 2014. "Returning “Home”: East European Migrants' Discourses of Return."  </w:t>
      </w:r>
      <w:r w:rsidRPr="002F53B2">
        <w:rPr>
          <w:i/>
        </w:rPr>
        <w:t>International Migration</w:t>
      </w:r>
      <w:r w:rsidR="002F53B2">
        <w:t xml:space="preserve"> 52 (5):159-77.</w:t>
      </w:r>
    </w:p>
    <w:p w14:paraId="3CEAB8F3" w14:textId="77777777" w:rsidR="00F25485" w:rsidRPr="00F25485" w:rsidRDefault="00F25485" w:rsidP="00F25485">
      <w:pPr>
        <w:pStyle w:val="References"/>
      </w:pPr>
      <w:r w:rsidRPr="00F25485">
        <w:t xml:space="preserve">Ryan, Louise. 2011. "Transnational Relations: Family Migration among Recent Polish Migrants in London."  </w:t>
      </w:r>
      <w:r w:rsidRPr="002F53B2">
        <w:rPr>
          <w:i/>
        </w:rPr>
        <w:t>International Migration</w:t>
      </w:r>
      <w:r w:rsidRPr="00F25485">
        <w:t xml:space="preserve"> 49 (2):80-103.</w:t>
      </w:r>
    </w:p>
    <w:p w14:paraId="13C62988" w14:textId="5B18BC49" w:rsidR="00F25485" w:rsidRPr="00F25485" w:rsidRDefault="002F53B2" w:rsidP="00F25485">
      <w:pPr>
        <w:pStyle w:val="References"/>
      </w:pPr>
      <w:r>
        <w:t xml:space="preserve">———. 2015. </w:t>
      </w:r>
      <w:r w:rsidR="00F25485" w:rsidRPr="002F53B2">
        <w:rPr>
          <w:i/>
        </w:rPr>
        <w:t>‘Another year and another year’: Polish migrants in London ext</w:t>
      </w:r>
      <w:r w:rsidRPr="002F53B2">
        <w:rPr>
          <w:i/>
        </w:rPr>
        <w:t>ending the stay over time.</w:t>
      </w:r>
      <w:r>
        <w:t xml:space="preserve"> </w:t>
      </w:r>
      <w:r w:rsidR="00F25485" w:rsidRPr="00F25485">
        <w:t>Londo</w:t>
      </w:r>
      <w:r>
        <w:t>n: Middlesex University</w:t>
      </w:r>
      <w:r w:rsidR="00F25485" w:rsidRPr="00F25485">
        <w:t>.</w:t>
      </w:r>
    </w:p>
    <w:p w14:paraId="3434056C" w14:textId="77777777" w:rsidR="00F25485" w:rsidRPr="00F25485" w:rsidRDefault="00F25485" w:rsidP="00F25485">
      <w:pPr>
        <w:pStyle w:val="References"/>
      </w:pPr>
      <w:r w:rsidRPr="00F25485">
        <w:t xml:space="preserve">Snel, Erik, Marije Faber, and Godfried Engbersen. 2015. "To Stay or Return? Explaining Return Intentions of Central and Eastern European Labour Migrants."  </w:t>
      </w:r>
      <w:r w:rsidRPr="002F53B2">
        <w:rPr>
          <w:i/>
        </w:rPr>
        <w:t>Central and Eastern European Migration Review</w:t>
      </w:r>
      <w:r w:rsidRPr="00F25485">
        <w:t xml:space="preserve"> 4 (2):5-24.</w:t>
      </w:r>
    </w:p>
    <w:p w14:paraId="4AC0D0DB" w14:textId="77777777" w:rsidR="00F25485" w:rsidRPr="00F25485" w:rsidRDefault="00F25485" w:rsidP="00F25485">
      <w:pPr>
        <w:pStyle w:val="References"/>
      </w:pPr>
      <w:r w:rsidRPr="00F25485">
        <w:t xml:space="preserve">Stones, Rob. 2005. </w:t>
      </w:r>
      <w:r w:rsidRPr="002F53B2">
        <w:rPr>
          <w:i/>
        </w:rPr>
        <w:t>Structuration theory</w:t>
      </w:r>
      <w:r w:rsidRPr="00F25485">
        <w:t>. Basingstoke: Palgrave Macmillan.</w:t>
      </w:r>
    </w:p>
    <w:p w14:paraId="62194C7B" w14:textId="4E28B41E" w:rsidR="00F25485" w:rsidRPr="00F25485" w:rsidRDefault="00F25485" w:rsidP="00F25485">
      <w:pPr>
        <w:pStyle w:val="References"/>
      </w:pPr>
      <w:r w:rsidRPr="00F25485">
        <w:t xml:space="preserve">Sue, Valerie M., and Lois A. Ritter. 2012. </w:t>
      </w:r>
      <w:r w:rsidRPr="002F53B2">
        <w:rPr>
          <w:i/>
        </w:rPr>
        <w:t>Conducting online surveys</w:t>
      </w:r>
      <w:r w:rsidRPr="00F25485">
        <w:t xml:space="preserve">. </w:t>
      </w:r>
      <w:r w:rsidR="002F53B2">
        <w:t>Thousand Oaks</w:t>
      </w:r>
      <w:r w:rsidRPr="00F25485">
        <w:t>: Sage.</w:t>
      </w:r>
    </w:p>
    <w:p w14:paraId="7F97EC3D" w14:textId="2B788A0F" w:rsidR="00F25485" w:rsidRPr="00F25485" w:rsidRDefault="00F25485" w:rsidP="00F25485">
      <w:pPr>
        <w:pStyle w:val="References"/>
      </w:pPr>
      <w:r w:rsidRPr="00F25485">
        <w:t xml:space="preserve">Temple, Elizabeth C., and Rhonda F. Brown. 2011. "A Comparison of Internet-Based Participant Recruitment Methods: Engaging the Hidden Population of Cannabis Users in Research." </w:t>
      </w:r>
      <w:r w:rsidRPr="002F53B2">
        <w:rPr>
          <w:i/>
        </w:rPr>
        <w:t>Journal of Research Practice</w:t>
      </w:r>
      <w:r w:rsidRPr="00F25485">
        <w:t xml:space="preserve"> 7 (2):</w:t>
      </w:r>
      <w:r w:rsidR="002F53B2">
        <w:t xml:space="preserve"> </w:t>
      </w:r>
      <w:r w:rsidRPr="00F25485">
        <w:t>Article D2.</w:t>
      </w:r>
    </w:p>
    <w:p w14:paraId="024ECD09" w14:textId="73F71FBC" w:rsidR="00F25485" w:rsidRPr="00F25485" w:rsidRDefault="00F25485" w:rsidP="00F25485">
      <w:pPr>
        <w:pStyle w:val="References"/>
      </w:pPr>
      <w:r w:rsidRPr="00F25485">
        <w:t>Viry, Gi</w:t>
      </w:r>
      <w:r>
        <w:t xml:space="preserve">l, and Vincent Kaufmann. 2015. </w:t>
      </w:r>
      <w:r w:rsidRPr="002F53B2">
        <w:rPr>
          <w:i/>
        </w:rPr>
        <w:t>High Mobility in Europe: Work and Personal Life</w:t>
      </w:r>
      <w:r>
        <w:t>.</w:t>
      </w:r>
      <w:r w:rsidRPr="00F25485">
        <w:t xml:space="preserve"> London: Palgrave Macm</w:t>
      </w:r>
      <w:r>
        <w:t>il</w:t>
      </w:r>
      <w:r w:rsidRPr="00F25485">
        <w:t>lan.</w:t>
      </w:r>
    </w:p>
    <w:p w14:paraId="241C82E6" w14:textId="77777777" w:rsidR="00F25485" w:rsidRPr="00F25485" w:rsidRDefault="00F25485" w:rsidP="00F25485">
      <w:pPr>
        <w:pStyle w:val="References"/>
      </w:pPr>
      <w:r w:rsidRPr="00F25485">
        <w:t xml:space="preserve">White, Anne. 2011. </w:t>
      </w:r>
      <w:r w:rsidRPr="002F53B2">
        <w:rPr>
          <w:i/>
        </w:rPr>
        <w:t>Polish families and migration since EU accession.</w:t>
      </w:r>
      <w:r w:rsidRPr="00F25485">
        <w:t xml:space="preserve"> Bristol: Policy Press.</w:t>
      </w:r>
    </w:p>
    <w:p w14:paraId="74D686F9" w14:textId="3AC0E576" w:rsidR="00F25485" w:rsidRPr="00F25485" w:rsidRDefault="00F25485" w:rsidP="00F25485">
      <w:pPr>
        <w:pStyle w:val="References"/>
      </w:pPr>
      <w:r w:rsidRPr="00F25485">
        <w:t xml:space="preserve">White, Anne, and Louise Ryan. 2008. "Polish 'Temporary' Migration: The Formation and Significance of Social Networks."  </w:t>
      </w:r>
      <w:r w:rsidRPr="002F53B2">
        <w:rPr>
          <w:i/>
        </w:rPr>
        <w:t>Europe-Asia Studies</w:t>
      </w:r>
      <w:r w:rsidRPr="00F25485">
        <w:t xml:space="preserve"> 60 (9):1467-502.</w:t>
      </w:r>
    </w:p>
    <w:p w14:paraId="4F0A95D8" w14:textId="77777777" w:rsidR="00F46CC4" w:rsidRDefault="00F25485" w:rsidP="00F25485">
      <w:pPr>
        <w:pStyle w:val="Tabletitle"/>
        <w:rPr>
          <w:rFonts w:cs="Arial"/>
          <w:b/>
          <w:bCs/>
          <w:kern w:val="32"/>
          <w:szCs w:val="32"/>
        </w:rPr>
      </w:pPr>
      <w:r w:rsidRPr="00F25485">
        <w:rPr>
          <w:rFonts w:cs="Arial"/>
          <w:b/>
          <w:bCs/>
          <w:kern w:val="32"/>
          <w:szCs w:val="32"/>
        </w:rPr>
        <w:t xml:space="preserve">  </w:t>
      </w:r>
    </w:p>
    <w:p w14:paraId="3CAA0BEA" w14:textId="77777777" w:rsidR="00F46CC4" w:rsidRDefault="00F46CC4" w:rsidP="00F46CC4">
      <w:r>
        <w:br w:type="page"/>
      </w:r>
    </w:p>
    <w:p w14:paraId="1EC01FB1" w14:textId="6423636C" w:rsidR="004C541E" w:rsidRPr="004C541E" w:rsidRDefault="004C541E" w:rsidP="00F25485">
      <w:pPr>
        <w:pStyle w:val="Tabletitle"/>
        <w:rPr>
          <w:rStyle w:val="SubtleEmphasis"/>
          <w:i w:val="0"/>
          <w:iCs w:val="0"/>
          <w:color w:val="auto"/>
        </w:rPr>
      </w:pPr>
      <w:r w:rsidRPr="004C541E">
        <w:rPr>
          <w:rStyle w:val="SubtleEmphasis"/>
          <w:i w:val="0"/>
          <w:iCs w:val="0"/>
          <w:color w:val="auto"/>
        </w:rPr>
        <w:t xml:space="preserve">Table </w:t>
      </w:r>
      <w:r w:rsidRPr="004C541E">
        <w:rPr>
          <w:rStyle w:val="SubtleEmphasis"/>
          <w:i w:val="0"/>
          <w:iCs w:val="0"/>
          <w:color w:val="auto"/>
        </w:rPr>
        <w:fldChar w:fldCharType="begin"/>
      </w:r>
      <w:r w:rsidRPr="004C541E">
        <w:rPr>
          <w:rStyle w:val="SubtleEmphasis"/>
          <w:i w:val="0"/>
          <w:iCs w:val="0"/>
          <w:color w:val="auto"/>
        </w:rPr>
        <w:instrText xml:space="preserve"> SEQ Table \* ARABIC </w:instrText>
      </w:r>
      <w:r w:rsidRPr="004C541E">
        <w:rPr>
          <w:rStyle w:val="SubtleEmphasis"/>
          <w:i w:val="0"/>
          <w:iCs w:val="0"/>
          <w:color w:val="auto"/>
        </w:rPr>
        <w:fldChar w:fldCharType="separate"/>
      </w:r>
      <w:r w:rsidRPr="004C541E">
        <w:rPr>
          <w:rStyle w:val="SubtleEmphasis"/>
          <w:i w:val="0"/>
          <w:iCs w:val="0"/>
          <w:color w:val="auto"/>
        </w:rPr>
        <w:t>1</w:t>
      </w:r>
      <w:r w:rsidRPr="004C541E">
        <w:rPr>
          <w:rStyle w:val="SubtleEmphasis"/>
          <w:i w:val="0"/>
          <w:iCs w:val="0"/>
          <w:color w:val="auto"/>
        </w:rPr>
        <w:fldChar w:fldCharType="end"/>
      </w:r>
      <w:r w:rsidRPr="004C541E">
        <w:rPr>
          <w:rStyle w:val="SubtleEmphasis"/>
          <w:i w:val="0"/>
          <w:iCs w:val="0"/>
          <w:color w:val="auto"/>
        </w:rPr>
        <w:t>. Personal characteristics of the survey sample</w:t>
      </w:r>
      <w:bookmarkEnd w:id="1"/>
      <w:r w:rsidRPr="004C541E">
        <w:rPr>
          <w:rStyle w:val="SubtleEmphasis"/>
          <w:i w:val="0"/>
          <w:iCs w:val="0"/>
          <w:color w:val="auto"/>
        </w:rPr>
        <w:t xml:space="preserve"> and comparison with the APS</w:t>
      </w:r>
    </w:p>
    <w:tbl>
      <w:tblPr>
        <w:tblW w:w="5000" w:type="pct"/>
        <w:tblLayout w:type="fixed"/>
        <w:tblLook w:val="04A0" w:firstRow="1" w:lastRow="0" w:firstColumn="1" w:lastColumn="0" w:noHBand="0" w:noVBand="1"/>
      </w:tblPr>
      <w:tblGrid>
        <w:gridCol w:w="1776"/>
        <w:gridCol w:w="3276"/>
        <w:gridCol w:w="391"/>
        <w:gridCol w:w="763"/>
        <w:gridCol w:w="765"/>
        <w:gridCol w:w="763"/>
        <w:gridCol w:w="765"/>
      </w:tblGrid>
      <w:tr w:rsidR="004C541E" w:rsidRPr="004C541E" w14:paraId="1EC01FB6" w14:textId="77777777" w:rsidTr="004C541E">
        <w:trPr>
          <w:trHeight w:val="20"/>
        </w:trPr>
        <w:tc>
          <w:tcPr>
            <w:tcW w:w="1045" w:type="pct"/>
            <w:tcBorders>
              <w:top w:val="nil"/>
              <w:left w:val="nil"/>
              <w:bottom w:val="nil"/>
              <w:right w:val="nil"/>
            </w:tcBorders>
            <w:shd w:val="clear" w:color="auto" w:fill="auto"/>
            <w:vAlign w:val="center"/>
            <w:hideMark/>
          </w:tcPr>
          <w:p w14:paraId="1EC01FB2" w14:textId="77777777" w:rsidR="004C541E" w:rsidRPr="004C541E" w:rsidRDefault="004C541E" w:rsidP="004C541E">
            <w:pPr>
              <w:spacing w:line="240" w:lineRule="auto"/>
              <w:rPr>
                <w:sz w:val="22"/>
                <w:szCs w:val="22"/>
                <w:lang w:eastAsia="ja-JP"/>
              </w:rPr>
            </w:pPr>
          </w:p>
        </w:tc>
        <w:tc>
          <w:tcPr>
            <w:tcW w:w="2157" w:type="pct"/>
            <w:gridSpan w:val="2"/>
            <w:tcBorders>
              <w:top w:val="nil"/>
              <w:left w:val="nil"/>
              <w:bottom w:val="nil"/>
              <w:right w:val="nil"/>
            </w:tcBorders>
            <w:shd w:val="clear" w:color="auto" w:fill="auto"/>
            <w:vAlign w:val="center"/>
            <w:hideMark/>
          </w:tcPr>
          <w:p w14:paraId="1EC01FB3" w14:textId="77777777" w:rsidR="004C541E" w:rsidRPr="004C541E" w:rsidRDefault="004C541E" w:rsidP="004C541E">
            <w:pPr>
              <w:spacing w:line="240" w:lineRule="auto"/>
              <w:rPr>
                <w:sz w:val="22"/>
                <w:szCs w:val="22"/>
                <w:lang w:eastAsia="ja-JP"/>
              </w:rPr>
            </w:pPr>
          </w:p>
        </w:tc>
        <w:tc>
          <w:tcPr>
            <w:tcW w:w="899" w:type="pct"/>
            <w:gridSpan w:val="2"/>
            <w:tcBorders>
              <w:top w:val="single" w:sz="4" w:space="0" w:color="000000"/>
              <w:left w:val="nil"/>
              <w:bottom w:val="single" w:sz="4" w:space="0" w:color="000000"/>
              <w:right w:val="single" w:sz="4" w:space="0" w:color="auto"/>
            </w:tcBorders>
            <w:shd w:val="clear" w:color="auto" w:fill="auto"/>
            <w:vAlign w:val="center"/>
            <w:hideMark/>
          </w:tcPr>
          <w:p w14:paraId="1EC01FB4"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EU-Ref survey</w:t>
            </w:r>
          </w:p>
        </w:tc>
        <w:tc>
          <w:tcPr>
            <w:tcW w:w="899" w:type="pct"/>
            <w:gridSpan w:val="2"/>
            <w:tcBorders>
              <w:top w:val="single" w:sz="4" w:space="0" w:color="000000"/>
              <w:left w:val="single" w:sz="4" w:space="0" w:color="auto"/>
              <w:bottom w:val="single" w:sz="4" w:space="0" w:color="000000"/>
            </w:tcBorders>
            <w:shd w:val="clear" w:color="auto" w:fill="auto"/>
            <w:vAlign w:val="center"/>
          </w:tcPr>
          <w:p w14:paraId="33E8F28D" w14:textId="77777777" w:rsidR="00881477" w:rsidRDefault="004C541E" w:rsidP="004C541E">
            <w:pPr>
              <w:spacing w:line="240" w:lineRule="auto"/>
              <w:jc w:val="center"/>
              <w:rPr>
                <w:b/>
                <w:color w:val="000000"/>
                <w:sz w:val="22"/>
                <w:szCs w:val="22"/>
                <w:lang w:eastAsia="ja-JP"/>
              </w:rPr>
            </w:pPr>
            <w:r w:rsidRPr="004C541E">
              <w:rPr>
                <w:b/>
                <w:color w:val="000000"/>
                <w:sz w:val="22"/>
                <w:szCs w:val="22"/>
                <w:lang w:eastAsia="ja-JP"/>
              </w:rPr>
              <w:t xml:space="preserve">APS </w:t>
            </w:r>
          </w:p>
          <w:p w14:paraId="1EC01FB5" w14:textId="0AADC85E"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2015–2016</w:t>
            </w:r>
          </w:p>
        </w:tc>
      </w:tr>
      <w:tr w:rsidR="004C541E" w:rsidRPr="004C541E" w14:paraId="1EC01FBD" w14:textId="77777777" w:rsidTr="004C541E">
        <w:trPr>
          <w:trHeight w:val="20"/>
        </w:trPr>
        <w:tc>
          <w:tcPr>
            <w:tcW w:w="1045" w:type="pct"/>
            <w:tcBorders>
              <w:top w:val="nil"/>
              <w:left w:val="nil"/>
              <w:bottom w:val="single" w:sz="12" w:space="0" w:color="000000"/>
              <w:right w:val="nil"/>
            </w:tcBorders>
            <w:shd w:val="clear" w:color="auto" w:fill="auto"/>
            <w:vAlign w:val="center"/>
            <w:hideMark/>
          </w:tcPr>
          <w:p w14:paraId="1EC01FB7"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12" w:space="0" w:color="000000"/>
              <w:right w:val="nil"/>
            </w:tcBorders>
            <w:shd w:val="clear" w:color="auto" w:fill="auto"/>
            <w:vAlign w:val="center"/>
            <w:hideMark/>
          </w:tcPr>
          <w:p w14:paraId="1EC01FB8" w14:textId="77777777" w:rsidR="004C541E" w:rsidRPr="004C541E" w:rsidRDefault="004C541E" w:rsidP="004C541E">
            <w:pPr>
              <w:spacing w:line="240" w:lineRule="auto"/>
              <w:rPr>
                <w:color w:val="000000"/>
                <w:sz w:val="22"/>
                <w:szCs w:val="22"/>
                <w:lang w:eastAsia="ja-JP"/>
              </w:rPr>
            </w:pPr>
          </w:p>
        </w:tc>
        <w:tc>
          <w:tcPr>
            <w:tcW w:w="449" w:type="pct"/>
            <w:tcBorders>
              <w:top w:val="nil"/>
              <w:left w:val="nil"/>
              <w:bottom w:val="single" w:sz="12" w:space="0" w:color="000000"/>
              <w:right w:val="nil"/>
            </w:tcBorders>
            <w:shd w:val="clear" w:color="auto" w:fill="auto"/>
            <w:vAlign w:val="center"/>
            <w:hideMark/>
          </w:tcPr>
          <w:p w14:paraId="1EC01FB9"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N</w:t>
            </w:r>
          </w:p>
        </w:tc>
        <w:tc>
          <w:tcPr>
            <w:tcW w:w="450" w:type="pct"/>
            <w:tcBorders>
              <w:top w:val="nil"/>
              <w:left w:val="nil"/>
              <w:bottom w:val="single" w:sz="12" w:space="0" w:color="000000"/>
              <w:right w:val="single" w:sz="4" w:space="0" w:color="auto"/>
            </w:tcBorders>
            <w:shd w:val="clear" w:color="auto" w:fill="auto"/>
            <w:vAlign w:val="center"/>
            <w:hideMark/>
          </w:tcPr>
          <w:p w14:paraId="1EC01FBA"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w:t>
            </w:r>
          </w:p>
        </w:tc>
        <w:tc>
          <w:tcPr>
            <w:tcW w:w="449" w:type="pct"/>
            <w:tcBorders>
              <w:top w:val="nil"/>
              <w:left w:val="single" w:sz="4" w:space="0" w:color="auto"/>
              <w:bottom w:val="single" w:sz="12" w:space="0" w:color="000000"/>
              <w:right w:val="nil"/>
            </w:tcBorders>
            <w:shd w:val="clear" w:color="auto" w:fill="auto"/>
            <w:vAlign w:val="center"/>
          </w:tcPr>
          <w:p w14:paraId="1EC01FBB"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N</w:t>
            </w:r>
          </w:p>
        </w:tc>
        <w:tc>
          <w:tcPr>
            <w:tcW w:w="449" w:type="pct"/>
            <w:tcBorders>
              <w:top w:val="nil"/>
              <w:left w:val="nil"/>
              <w:bottom w:val="single" w:sz="12" w:space="0" w:color="000000"/>
            </w:tcBorders>
            <w:shd w:val="clear" w:color="auto" w:fill="auto"/>
            <w:vAlign w:val="center"/>
          </w:tcPr>
          <w:p w14:paraId="1EC01FBC"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w:t>
            </w:r>
          </w:p>
        </w:tc>
      </w:tr>
      <w:tr w:rsidR="004C541E" w:rsidRPr="004C541E" w14:paraId="1EC01FC4" w14:textId="77777777" w:rsidTr="004C541E">
        <w:trPr>
          <w:trHeight w:val="20"/>
        </w:trPr>
        <w:tc>
          <w:tcPr>
            <w:tcW w:w="1045" w:type="pct"/>
            <w:tcBorders>
              <w:top w:val="nil"/>
              <w:left w:val="nil"/>
              <w:bottom w:val="single" w:sz="12" w:space="0" w:color="000000"/>
              <w:right w:val="nil"/>
            </w:tcBorders>
            <w:shd w:val="clear" w:color="auto" w:fill="auto"/>
            <w:vAlign w:val="center"/>
          </w:tcPr>
          <w:p w14:paraId="1EC01FBE"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Sample</w:t>
            </w:r>
          </w:p>
        </w:tc>
        <w:tc>
          <w:tcPr>
            <w:tcW w:w="2157" w:type="pct"/>
            <w:gridSpan w:val="2"/>
            <w:tcBorders>
              <w:top w:val="nil"/>
              <w:left w:val="nil"/>
              <w:bottom w:val="single" w:sz="12" w:space="0" w:color="000000"/>
              <w:right w:val="nil"/>
            </w:tcBorders>
            <w:shd w:val="clear" w:color="auto" w:fill="auto"/>
            <w:vAlign w:val="center"/>
          </w:tcPr>
          <w:p w14:paraId="1EC01FBF"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Polish, over 16yo</w:t>
            </w:r>
            <w:r w:rsidRPr="004C541E">
              <w:rPr>
                <w:color w:val="000000"/>
                <w:sz w:val="22"/>
                <w:szCs w:val="22"/>
                <w:vertAlign w:val="superscript"/>
                <w:lang w:eastAsia="ja-JP"/>
              </w:rPr>
              <w:t>1</w:t>
            </w:r>
          </w:p>
        </w:tc>
        <w:tc>
          <w:tcPr>
            <w:tcW w:w="449" w:type="pct"/>
            <w:tcBorders>
              <w:top w:val="nil"/>
              <w:left w:val="nil"/>
              <w:bottom w:val="single" w:sz="12" w:space="0" w:color="000000"/>
              <w:right w:val="nil"/>
            </w:tcBorders>
            <w:shd w:val="clear" w:color="auto" w:fill="auto"/>
            <w:vAlign w:val="center"/>
          </w:tcPr>
          <w:p w14:paraId="1EC01FC0"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894</w:t>
            </w:r>
          </w:p>
        </w:tc>
        <w:tc>
          <w:tcPr>
            <w:tcW w:w="450" w:type="pct"/>
            <w:tcBorders>
              <w:top w:val="nil"/>
              <w:left w:val="nil"/>
              <w:bottom w:val="single" w:sz="12" w:space="0" w:color="000000"/>
              <w:right w:val="single" w:sz="4" w:space="0" w:color="auto"/>
            </w:tcBorders>
            <w:shd w:val="clear" w:color="auto" w:fill="auto"/>
            <w:vAlign w:val="center"/>
          </w:tcPr>
          <w:p w14:paraId="1EC01FC1"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100</w:t>
            </w:r>
          </w:p>
        </w:tc>
        <w:tc>
          <w:tcPr>
            <w:tcW w:w="449" w:type="pct"/>
            <w:tcBorders>
              <w:top w:val="nil"/>
              <w:left w:val="single" w:sz="4" w:space="0" w:color="auto"/>
              <w:bottom w:val="single" w:sz="12" w:space="0" w:color="000000"/>
              <w:right w:val="nil"/>
            </w:tcBorders>
            <w:shd w:val="clear" w:color="auto" w:fill="auto"/>
            <w:vAlign w:val="center"/>
          </w:tcPr>
          <w:p w14:paraId="1EC01FC2"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2453</w:t>
            </w:r>
          </w:p>
        </w:tc>
        <w:tc>
          <w:tcPr>
            <w:tcW w:w="449" w:type="pct"/>
            <w:tcBorders>
              <w:top w:val="nil"/>
              <w:left w:val="nil"/>
              <w:bottom w:val="single" w:sz="12" w:space="0" w:color="000000"/>
            </w:tcBorders>
            <w:shd w:val="clear" w:color="auto" w:fill="auto"/>
            <w:vAlign w:val="center"/>
          </w:tcPr>
          <w:p w14:paraId="1EC01FC3" w14:textId="77777777" w:rsidR="004C541E" w:rsidRPr="004C541E" w:rsidRDefault="004C541E" w:rsidP="004C541E">
            <w:pPr>
              <w:spacing w:line="240" w:lineRule="auto"/>
              <w:jc w:val="center"/>
              <w:rPr>
                <w:b/>
                <w:color w:val="000000"/>
                <w:sz w:val="22"/>
                <w:szCs w:val="22"/>
                <w:lang w:eastAsia="ja-JP"/>
              </w:rPr>
            </w:pPr>
            <w:r w:rsidRPr="004C541E">
              <w:rPr>
                <w:b/>
                <w:color w:val="000000"/>
                <w:sz w:val="22"/>
                <w:szCs w:val="22"/>
                <w:lang w:eastAsia="ja-JP"/>
              </w:rPr>
              <w:t>100</w:t>
            </w:r>
          </w:p>
        </w:tc>
      </w:tr>
      <w:tr w:rsidR="004C541E" w:rsidRPr="004C541E" w14:paraId="1EC01FCB" w14:textId="77777777" w:rsidTr="004C541E">
        <w:trPr>
          <w:trHeight w:val="20"/>
        </w:trPr>
        <w:tc>
          <w:tcPr>
            <w:tcW w:w="1045" w:type="pct"/>
            <w:tcBorders>
              <w:top w:val="nil"/>
              <w:left w:val="nil"/>
              <w:bottom w:val="single" w:sz="4" w:space="0" w:color="auto"/>
              <w:right w:val="nil"/>
            </w:tcBorders>
            <w:shd w:val="clear" w:color="auto" w:fill="auto"/>
            <w:vAlign w:val="center"/>
            <w:hideMark/>
          </w:tcPr>
          <w:p w14:paraId="1EC01FC5"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Sex</w:t>
            </w:r>
          </w:p>
        </w:tc>
        <w:tc>
          <w:tcPr>
            <w:tcW w:w="2157" w:type="pct"/>
            <w:gridSpan w:val="2"/>
            <w:tcBorders>
              <w:top w:val="nil"/>
              <w:left w:val="nil"/>
              <w:bottom w:val="single" w:sz="4" w:space="0" w:color="auto"/>
              <w:right w:val="nil"/>
            </w:tcBorders>
            <w:shd w:val="clear" w:color="auto" w:fill="auto"/>
            <w:vAlign w:val="center"/>
            <w:hideMark/>
          </w:tcPr>
          <w:p w14:paraId="1EC01FC6"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Female</w:t>
            </w:r>
          </w:p>
        </w:tc>
        <w:tc>
          <w:tcPr>
            <w:tcW w:w="449" w:type="pct"/>
            <w:tcBorders>
              <w:top w:val="nil"/>
              <w:left w:val="nil"/>
              <w:bottom w:val="single" w:sz="4" w:space="0" w:color="auto"/>
              <w:right w:val="nil"/>
            </w:tcBorders>
            <w:shd w:val="clear" w:color="auto" w:fill="auto"/>
            <w:noWrap/>
            <w:vAlign w:val="center"/>
            <w:hideMark/>
          </w:tcPr>
          <w:p w14:paraId="1EC01FC7"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583</w:t>
            </w:r>
          </w:p>
        </w:tc>
        <w:tc>
          <w:tcPr>
            <w:tcW w:w="450" w:type="pct"/>
            <w:tcBorders>
              <w:top w:val="nil"/>
              <w:left w:val="nil"/>
              <w:bottom w:val="single" w:sz="4" w:space="0" w:color="auto"/>
              <w:right w:val="single" w:sz="4" w:space="0" w:color="auto"/>
            </w:tcBorders>
            <w:shd w:val="clear" w:color="auto" w:fill="auto"/>
            <w:noWrap/>
            <w:vAlign w:val="center"/>
            <w:hideMark/>
          </w:tcPr>
          <w:p w14:paraId="1EC01FC8"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66%</w:t>
            </w:r>
          </w:p>
        </w:tc>
        <w:tc>
          <w:tcPr>
            <w:tcW w:w="449" w:type="pct"/>
            <w:tcBorders>
              <w:top w:val="nil"/>
              <w:left w:val="single" w:sz="4" w:space="0" w:color="auto"/>
              <w:bottom w:val="single" w:sz="4" w:space="0" w:color="auto"/>
              <w:right w:val="nil"/>
            </w:tcBorders>
            <w:shd w:val="clear" w:color="auto" w:fill="auto"/>
            <w:noWrap/>
          </w:tcPr>
          <w:p w14:paraId="1EC01FC9" w14:textId="77777777" w:rsidR="004C541E" w:rsidRPr="004C541E" w:rsidRDefault="004C541E" w:rsidP="004C541E">
            <w:pPr>
              <w:spacing w:line="240" w:lineRule="auto"/>
              <w:jc w:val="center"/>
              <w:rPr>
                <w:color w:val="000000"/>
                <w:sz w:val="22"/>
                <w:szCs w:val="22"/>
                <w:lang w:eastAsia="ja-JP"/>
              </w:rPr>
            </w:pPr>
            <w:r w:rsidRPr="004C541E">
              <w:rPr>
                <w:sz w:val="22"/>
                <w:szCs w:val="22"/>
              </w:rPr>
              <w:t>1324</w:t>
            </w:r>
          </w:p>
        </w:tc>
        <w:tc>
          <w:tcPr>
            <w:tcW w:w="449" w:type="pct"/>
            <w:tcBorders>
              <w:top w:val="nil"/>
              <w:left w:val="nil"/>
              <w:bottom w:val="single" w:sz="4" w:space="0" w:color="auto"/>
            </w:tcBorders>
            <w:shd w:val="clear" w:color="auto" w:fill="auto"/>
            <w:noWrap/>
          </w:tcPr>
          <w:p w14:paraId="1EC01FCA" w14:textId="77777777" w:rsidR="004C541E" w:rsidRPr="004C541E" w:rsidRDefault="004C541E" w:rsidP="004C541E">
            <w:pPr>
              <w:spacing w:line="240" w:lineRule="auto"/>
              <w:jc w:val="center"/>
              <w:rPr>
                <w:color w:val="000000"/>
                <w:sz w:val="22"/>
                <w:szCs w:val="22"/>
                <w:lang w:eastAsia="ja-JP"/>
              </w:rPr>
            </w:pPr>
            <w:r w:rsidRPr="004C541E">
              <w:rPr>
                <w:sz w:val="22"/>
                <w:szCs w:val="22"/>
              </w:rPr>
              <w:t>54%</w:t>
            </w:r>
          </w:p>
        </w:tc>
      </w:tr>
      <w:tr w:rsidR="004C541E" w:rsidRPr="004C541E" w14:paraId="1EC01FD2" w14:textId="77777777" w:rsidTr="004C541E">
        <w:trPr>
          <w:trHeight w:val="20"/>
        </w:trPr>
        <w:tc>
          <w:tcPr>
            <w:tcW w:w="1045" w:type="pct"/>
            <w:tcBorders>
              <w:top w:val="single" w:sz="4" w:space="0" w:color="auto"/>
              <w:left w:val="nil"/>
              <w:bottom w:val="nil"/>
              <w:right w:val="nil"/>
            </w:tcBorders>
            <w:shd w:val="clear" w:color="auto" w:fill="auto"/>
            <w:vAlign w:val="center"/>
          </w:tcPr>
          <w:p w14:paraId="1EC01FCC"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Age</w:t>
            </w:r>
          </w:p>
        </w:tc>
        <w:tc>
          <w:tcPr>
            <w:tcW w:w="2157" w:type="pct"/>
            <w:gridSpan w:val="2"/>
            <w:tcBorders>
              <w:top w:val="single" w:sz="4" w:space="0" w:color="auto"/>
              <w:left w:val="nil"/>
              <w:bottom w:val="single" w:sz="4" w:space="0" w:color="auto"/>
              <w:right w:val="nil"/>
            </w:tcBorders>
            <w:shd w:val="clear" w:color="auto" w:fill="auto"/>
            <w:vAlign w:val="center"/>
          </w:tcPr>
          <w:p w14:paraId="1EC01FCD"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Mean (min–max; SD)</w:t>
            </w:r>
          </w:p>
        </w:tc>
        <w:tc>
          <w:tcPr>
            <w:tcW w:w="899" w:type="pct"/>
            <w:gridSpan w:val="2"/>
            <w:tcBorders>
              <w:top w:val="single" w:sz="4" w:space="0" w:color="auto"/>
              <w:left w:val="nil"/>
              <w:bottom w:val="single" w:sz="4" w:space="0" w:color="auto"/>
              <w:right w:val="single" w:sz="4" w:space="0" w:color="auto"/>
            </w:tcBorders>
            <w:shd w:val="clear" w:color="auto" w:fill="auto"/>
            <w:noWrap/>
            <w:vAlign w:val="center"/>
          </w:tcPr>
          <w:p w14:paraId="1EC01FC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38</w:t>
            </w:r>
          </w:p>
          <w:p w14:paraId="1EC01FCF"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(19–65; 9)</w:t>
            </w:r>
          </w:p>
        </w:tc>
        <w:tc>
          <w:tcPr>
            <w:tcW w:w="899" w:type="pct"/>
            <w:gridSpan w:val="2"/>
            <w:tcBorders>
              <w:top w:val="single" w:sz="4" w:space="0" w:color="auto"/>
              <w:left w:val="single" w:sz="4" w:space="0" w:color="auto"/>
              <w:bottom w:val="single" w:sz="4" w:space="0" w:color="auto"/>
            </w:tcBorders>
            <w:shd w:val="clear" w:color="auto" w:fill="auto"/>
            <w:noWrap/>
            <w:vAlign w:val="center"/>
          </w:tcPr>
          <w:p w14:paraId="1EC01FD0"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 xml:space="preserve">35 </w:t>
            </w:r>
          </w:p>
          <w:p w14:paraId="1EC01FD1"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(16–93; 10.4)</w:t>
            </w:r>
          </w:p>
        </w:tc>
      </w:tr>
      <w:tr w:rsidR="004C541E" w:rsidRPr="004C541E" w14:paraId="1EC01FD9" w14:textId="77777777" w:rsidTr="004C541E">
        <w:trPr>
          <w:trHeight w:val="20"/>
        </w:trPr>
        <w:tc>
          <w:tcPr>
            <w:tcW w:w="1045" w:type="pct"/>
            <w:vMerge w:val="restart"/>
            <w:tcBorders>
              <w:top w:val="single" w:sz="4" w:space="0" w:color="auto"/>
              <w:left w:val="nil"/>
              <w:right w:val="nil"/>
            </w:tcBorders>
            <w:shd w:val="clear" w:color="auto" w:fill="auto"/>
            <w:vAlign w:val="center"/>
          </w:tcPr>
          <w:p w14:paraId="1EC01FD3"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Age (groups)</w:t>
            </w:r>
          </w:p>
        </w:tc>
        <w:tc>
          <w:tcPr>
            <w:tcW w:w="2157" w:type="pct"/>
            <w:gridSpan w:val="2"/>
            <w:tcBorders>
              <w:top w:val="single" w:sz="4" w:space="0" w:color="auto"/>
              <w:left w:val="nil"/>
            </w:tcBorders>
            <w:shd w:val="clear" w:color="auto" w:fill="auto"/>
          </w:tcPr>
          <w:p w14:paraId="1EC01FD4" w14:textId="77777777" w:rsidR="004C541E" w:rsidRPr="004C541E" w:rsidRDefault="004C541E" w:rsidP="004C541E">
            <w:pPr>
              <w:spacing w:line="240" w:lineRule="auto"/>
              <w:rPr>
                <w:color w:val="000000"/>
                <w:sz w:val="22"/>
                <w:szCs w:val="22"/>
                <w:lang w:eastAsia="ja-JP"/>
              </w:rPr>
            </w:pPr>
            <w:r w:rsidRPr="004C541E">
              <w:rPr>
                <w:sz w:val="22"/>
                <w:szCs w:val="22"/>
              </w:rPr>
              <w:t>Under 30</w:t>
            </w:r>
          </w:p>
        </w:tc>
        <w:tc>
          <w:tcPr>
            <w:tcW w:w="449" w:type="pct"/>
            <w:tcBorders>
              <w:top w:val="single" w:sz="4" w:space="0" w:color="auto"/>
            </w:tcBorders>
            <w:shd w:val="clear" w:color="auto" w:fill="auto"/>
            <w:noWrap/>
          </w:tcPr>
          <w:p w14:paraId="1EC01FD5" w14:textId="77777777" w:rsidR="004C541E" w:rsidRPr="004C541E" w:rsidRDefault="004C541E" w:rsidP="004C541E">
            <w:pPr>
              <w:spacing w:line="240" w:lineRule="auto"/>
              <w:jc w:val="center"/>
              <w:rPr>
                <w:color w:val="000000"/>
                <w:sz w:val="22"/>
                <w:szCs w:val="22"/>
                <w:lang w:eastAsia="ja-JP"/>
              </w:rPr>
            </w:pPr>
            <w:r w:rsidRPr="004C541E">
              <w:rPr>
                <w:sz w:val="22"/>
                <w:szCs w:val="22"/>
              </w:rPr>
              <w:t>145</w:t>
            </w:r>
          </w:p>
        </w:tc>
        <w:tc>
          <w:tcPr>
            <w:tcW w:w="450" w:type="pct"/>
            <w:tcBorders>
              <w:top w:val="single" w:sz="4" w:space="0" w:color="auto"/>
              <w:right w:val="single" w:sz="4" w:space="0" w:color="auto"/>
            </w:tcBorders>
            <w:shd w:val="clear" w:color="auto" w:fill="auto"/>
          </w:tcPr>
          <w:p w14:paraId="1EC01FD6" w14:textId="77777777" w:rsidR="004C541E" w:rsidRPr="004C541E" w:rsidRDefault="004C541E" w:rsidP="004C541E">
            <w:pPr>
              <w:spacing w:line="240" w:lineRule="auto"/>
              <w:jc w:val="center"/>
              <w:rPr>
                <w:color w:val="000000"/>
                <w:sz w:val="22"/>
                <w:szCs w:val="22"/>
                <w:lang w:eastAsia="ja-JP"/>
              </w:rPr>
            </w:pPr>
            <w:r w:rsidRPr="004C541E">
              <w:rPr>
                <w:sz w:val="22"/>
                <w:szCs w:val="22"/>
              </w:rPr>
              <w:t>16%</w:t>
            </w:r>
          </w:p>
        </w:tc>
        <w:tc>
          <w:tcPr>
            <w:tcW w:w="449" w:type="pct"/>
            <w:tcBorders>
              <w:top w:val="single" w:sz="4" w:space="0" w:color="auto"/>
              <w:left w:val="single" w:sz="4" w:space="0" w:color="auto"/>
            </w:tcBorders>
            <w:shd w:val="clear" w:color="auto" w:fill="auto"/>
            <w:noWrap/>
          </w:tcPr>
          <w:p w14:paraId="1EC01FD7" w14:textId="77777777" w:rsidR="004C541E" w:rsidRPr="004C541E" w:rsidRDefault="004C541E" w:rsidP="004C541E">
            <w:pPr>
              <w:spacing w:line="240" w:lineRule="auto"/>
              <w:jc w:val="center"/>
              <w:rPr>
                <w:color w:val="000000"/>
                <w:sz w:val="22"/>
                <w:szCs w:val="22"/>
                <w:lang w:eastAsia="ja-JP"/>
              </w:rPr>
            </w:pPr>
            <w:r w:rsidRPr="004C541E">
              <w:rPr>
                <w:sz w:val="22"/>
                <w:szCs w:val="22"/>
              </w:rPr>
              <w:t>667</w:t>
            </w:r>
          </w:p>
        </w:tc>
        <w:tc>
          <w:tcPr>
            <w:tcW w:w="449" w:type="pct"/>
            <w:tcBorders>
              <w:top w:val="single" w:sz="4" w:space="0" w:color="auto"/>
            </w:tcBorders>
            <w:shd w:val="clear" w:color="auto" w:fill="auto"/>
          </w:tcPr>
          <w:p w14:paraId="1EC01FD8" w14:textId="77777777" w:rsidR="004C541E" w:rsidRPr="004C541E" w:rsidRDefault="004C541E" w:rsidP="004C541E">
            <w:pPr>
              <w:spacing w:line="240" w:lineRule="auto"/>
              <w:jc w:val="center"/>
              <w:rPr>
                <w:color w:val="000000"/>
                <w:sz w:val="22"/>
                <w:szCs w:val="22"/>
                <w:lang w:eastAsia="ja-JP"/>
              </w:rPr>
            </w:pPr>
            <w:r w:rsidRPr="004C541E">
              <w:rPr>
                <w:sz w:val="22"/>
                <w:szCs w:val="22"/>
              </w:rPr>
              <w:t>27%</w:t>
            </w:r>
          </w:p>
        </w:tc>
      </w:tr>
      <w:tr w:rsidR="004C541E" w:rsidRPr="004C541E" w14:paraId="1EC01FE0" w14:textId="77777777" w:rsidTr="004C541E">
        <w:trPr>
          <w:trHeight w:val="20"/>
        </w:trPr>
        <w:tc>
          <w:tcPr>
            <w:tcW w:w="1045" w:type="pct"/>
            <w:vMerge/>
            <w:tcBorders>
              <w:left w:val="nil"/>
              <w:right w:val="nil"/>
            </w:tcBorders>
            <w:shd w:val="clear" w:color="auto" w:fill="auto"/>
            <w:vAlign w:val="center"/>
          </w:tcPr>
          <w:p w14:paraId="1EC01FDA" w14:textId="77777777" w:rsidR="004C541E" w:rsidRPr="004C541E" w:rsidRDefault="004C541E" w:rsidP="004C541E">
            <w:pPr>
              <w:spacing w:line="240" w:lineRule="auto"/>
              <w:rPr>
                <w:color w:val="000000"/>
                <w:sz w:val="22"/>
                <w:szCs w:val="22"/>
                <w:lang w:eastAsia="ja-JP"/>
              </w:rPr>
            </w:pPr>
          </w:p>
        </w:tc>
        <w:tc>
          <w:tcPr>
            <w:tcW w:w="2157" w:type="pct"/>
            <w:gridSpan w:val="2"/>
            <w:tcBorders>
              <w:left w:val="nil"/>
            </w:tcBorders>
            <w:shd w:val="clear" w:color="auto" w:fill="auto"/>
          </w:tcPr>
          <w:p w14:paraId="1EC01FDB" w14:textId="77777777" w:rsidR="004C541E" w:rsidRPr="004C541E" w:rsidRDefault="004C541E" w:rsidP="004C541E">
            <w:pPr>
              <w:spacing w:line="240" w:lineRule="auto"/>
              <w:rPr>
                <w:color w:val="000000"/>
                <w:sz w:val="22"/>
                <w:szCs w:val="22"/>
                <w:lang w:eastAsia="ja-JP"/>
              </w:rPr>
            </w:pPr>
            <w:r w:rsidRPr="004C541E">
              <w:rPr>
                <w:sz w:val="22"/>
                <w:szCs w:val="22"/>
              </w:rPr>
              <w:t>30 - 39</w:t>
            </w:r>
          </w:p>
        </w:tc>
        <w:tc>
          <w:tcPr>
            <w:tcW w:w="449" w:type="pct"/>
            <w:shd w:val="clear" w:color="auto" w:fill="auto"/>
            <w:noWrap/>
          </w:tcPr>
          <w:p w14:paraId="1EC01FDC" w14:textId="77777777" w:rsidR="004C541E" w:rsidRPr="004C541E" w:rsidRDefault="004C541E" w:rsidP="004C541E">
            <w:pPr>
              <w:spacing w:line="240" w:lineRule="auto"/>
              <w:jc w:val="center"/>
              <w:rPr>
                <w:color w:val="000000"/>
                <w:sz w:val="22"/>
                <w:szCs w:val="22"/>
                <w:lang w:eastAsia="ja-JP"/>
              </w:rPr>
            </w:pPr>
            <w:r w:rsidRPr="004C541E">
              <w:rPr>
                <w:sz w:val="22"/>
                <w:szCs w:val="22"/>
              </w:rPr>
              <w:t>402</w:t>
            </w:r>
          </w:p>
        </w:tc>
        <w:tc>
          <w:tcPr>
            <w:tcW w:w="450" w:type="pct"/>
            <w:tcBorders>
              <w:right w:val="single" w:sz="4" w:space="0" w:color="auto"/>
            </w:tcBorders>
            <w:shd w:val="clear" w:color="auto" w:fill="auto"/>
          </w:tcPr>
          <w:p w14:paraId="1EC01FDD" w14:textId="77777777" w:rsidR="004C541E" w:rsidRPr="004C541E" w:rsidRDefault="004C541E" w:rsidP="004C541E">
            <w:pPr>
              <w:spacing w:line="240" w:lineRule="auto"/>
              <w:jc w:val="center"/>
              <w:rPr>
                <w:color w:val="000000"/>
                <w:sz w:val="22"/>
                <w:szCs w:val="22"/>
                <w:lang w:eastAsia="ja-JP"/>
              </w:rPr>
            </w:pPr>
            <w:r w:rsidRPr="004C541E">
              <w:rPr>
                <w:sz w:val="22"/>
                <w:szCs w:val="22"/>
              </w:rPr>
              <w:t>45%</w:t>
            </w:r>
          </w:p>
        </w:tc>
        <w:tc>
          <w:tcPr>
            <w:tcW w:w="449" w:type="pct"/>
            <w:tcBorders>
              <w:left w:val="single" w:sz="4" w:space="0" w:color="auto"/>
            </w:tcBorders>
            <w:shd w:val="clear" w:color="auto" w:fill="auto"/>
            <w:noWrap/>
          </w:tcPr>
          <w:p w14:paraId="1EC01FDE" w14:textId="77777777" w:rsidR="004C541E" w:rsidRPr="004C541E" w:rsidRDefault="004C541E" w:rsidP="004C541E">
            <w:pPr>
              <w:spacing w:line="240" w:lineRule="auto"/>
              <w:jc w:val="center"/>
              <w:rPr>
                <w:color w:val="000000"/>
                <w:sz w:val="22"/>
                <w:szCs w:val="22"/>
                <w:lang w:eastAsia="ja-JP"/>
              </w:rPr>
            </w:pPr>
            <w:r w:rsidRPr="004C541E">
              <w:rPr>
                <w:sz w:val="22"/>
                <w:szCs w:val="22"/>
              </w:rPr>
              <w:t>1182</w:t>
            </w:r>
          </w:p>
        </w:tc>
        <w:tc>
          <w:tcPr>
            <w:tcW w:w="449" w:type="pct"/>
            <w:shd w:val="clear" w:color="auto" w:fill="auto"/>
          </w:tcPr>
          <w:p w14:paraId="1EC01FDF" w14:textId="77777777" w:rsidR="004C541E" w:rsidRPr="004C541E" w:rsidRDefault="004C541E" w:rsidP="004C541E">
            <w:pPr>
              <w:spacing w:line="240" w:lineRule="auto"/>
              <w:jc w:val="center"/>
              <w:rPr>
                <w:color w:val="000000"/>
                <w:sz w:val="22"/>
                <w:szCs w:val="22"/>
                <w:lang w:eastAsia="ja-JP"/>
              </w:rPr>
            </w:pPr>
            <w:r w:rsidRPr="004C541E">
              <w:rPr>
                <w:sz w:val="22"/>
                <w:szCs w:val="22"/>
              </w:rPr>
              <w:t>48%</w:t>
            </w:r>
          </w:p>
        </w:tc>
      </w:tr>
      <w:tr w:rsidR="004C541E" w:rsidRPr="004C541E" w14:paraId="1EC01FE7" w14:textId="77777777" w:rsidTr="004C541E">
        <w:trPr>
          <w:trHeight w:val="20"/>
        </w:trPr>
        <w:tc>
          <w:tcPr>
            <w:tcW w:w="1045" w:type="pct"/>
            <w:vMerge/>
            <w:tcBorders>
              <w:left w:val="nil"/>
              <w:right w:val="nil"/>
            </w:tcBorders>
            <w:shd w:val="clear" w:color="auto" w:fill="auto"/>
            <w:vAlign w:val="center"/>
          </w:tcPr>
          <w:p w14:paraId="1EC01FE1" w14:textId="77777777" w:rsidR="004C541E" w:rsidRPr="004C541E" w:rsidRDefault="004C541E" w:rsidP="004C541E">
            <w:pPr>
              <w:spacing w:line="240" w:lineRule="auto"/>
              <w:rPr>
                <w:color w:val="000000"/>
                <w:sz w:val="22"/>
                <w:szCs w:val="22"/>
                <w:lang w:eastAsia="ja-JP"/>
              </w:rPr>
            </w:pPr>
          </w:p>
        </w:tc>
        <w:tc>
          <w:tcPr>
            <w:tcW w:w="2157" w:type="pct"/>
            <w:gridSpan w:val="2"/>
            <w:tcBorders>
              <w:left w:val="nil"/>
            </w:tcBorders>
            <w:shd w:val="clear" w:color="auto" w:fill="auto"/>
          </w:tcPr>
          <w:p w14:paraId="1EC01FE2" w14:textId="77777777" w:rsidR="004C541E" w:rsidRPr="004C541E" w:rsidRDefault="004C541E" w:rsidP="004C541E">
            <w:pPr>
              <w:spacing w:line="240" w:lineRule="auto"/>
              <w:rPr>
                <w:color w:val="000000"/>
                <w:sz w:val="22"/>
                <w:szCs w:val="22"/>
                <w:lang w:eastAsia="ja-JP"/>
              </w:rPr>
            </w:pPr>
            <w:r w:rsidRPr="004C541E">
              <w:rPr>
                <w:sz w:val="22"/>
                <w:szCs w:val="22"/>
              </w:rPr>
              <w:t>40 - 49</w:t>
            </w:r>
          </w:p>
        </w:tc>
        <w:tc>
          <w:tcPr>
            <w:tcW w:w="449" w:type="pct"/>
            <w:shd w:val="clear" w:color="auto" w:fill="auto"/>
            <w:noWrap/>
          </w:tcPr>
          <w:p w14:paraId="1EC01FE3" w14:textId="77777777" w:rsidR="004C541E" w:rsidRPr="004C541E" w:rsidRDefault="004C541E" w:rsidP="004C541E">
            <w:pPr>
              <w:spacing w:line="240" w:lineRule="auto"/>
              <w:jc w:val="center"/>
              <w:rPr>
                <w:color w:val="000000"/>
                <w:sz w:val="22"/>
                <w:szCs w:val="22"/>
                <w:lang w:eastAsia="ja-JP"/>
              </w:rPr>
            </w:pPr>
            <w:r w:rsidRPr="004C541E">
              <w:rPr>
                <w:sz w:val="22"/>
                <w:szCs w:val="22"/>
              </w:rPr>
              <w:t>234</w:t>
            </w:r>
          </w:p>
        </w:tc>
        <w:tc>
          <w:tcPr>
            <w:tcW w:w="450" w:type="pct"/>
            <w:tcBorders>
              <w:right w:val="single" w:sz="4" w:space="0" w:color="auto"/>
            </w:tcBorders>
            <w:shd w:val="clear" w:color="auto" w:fill="auto"/>
          </w:tcPr>
          <w:p w14:paraId="1EC01FE4" w14:textId="77777777" w:rsidR="004C541E" w:rsidRPr="004C541E" w:rsidRDefault="004C541E" w:rsidP="004C541E">
            <w:pPr>
              <w:spacing w:line="240" w:lineRule="auto"/>
              <w:jc w:val="center"/>
              <w:rPr>
                <w:color w:val="000000"/>
                <w:sz w:val="22"/>
                <w:szCs w:val="22"/>
                <w:lang w:eastAsia="ja-JP"/>
              </w:rPr>
            </w:pPr>
            <w:r w:rsidRPr="004C541E">
              <w:rPr>
                <w:sz w:val="22"/>
                <w:szCs w:val="22"/>
              </w:rPr>
              <w:t>26%</w:t>
            </w:r>
          </w:p>
        </w:tc>
        <w:tc>
          <w:tcPr>
            <w:tcW w:w="449" w:type="pct"/>
            <w:tcBorders>
              <w:left w:val="single" w:sz="4" w:space="0" w:color="auto"/>
            </w:tcBorders>
            <w:shd w:val="clear" w:color="auto" w:fill="auto"/>
            <w:noWrap/>
          </w:tcPr>
          <w:p w14:paraId="1EC01FE5" w14:textId="77777777" w:rsidR="004C541E" w:rsidRPr="004C541E" w:rsidRDefault="004C541E" w:rsidP="004C541E">
            <w:pPr>
              <w:spacing w:line="240" w:lineRule="auto"/>
              <w:jc w:val="center"/>
              <w:rPr>
                <w:color w:val="000000"/>
                <w:sz w:val="22"/>
                <w:szCs w:val="22"/>
                <w:lang w:eastAsia="ja-JP"/>
              </w:rPr>
            </w:pPr>
            <w:r w:rsidRPr="004C541E">
              <w:rPr>
                <w:sz w:val="22"/>
                <w:szCs w:val="22"/>
              </w:rPr>
              <w:t>379</w:t>
            </w:r>
          </w:p>
        </w:tc>
        <w:tc>
          <w:tcPr>
            <w:tcW w:w="449" w:type="pct"/>
            <w:shd w:val="clear" w:color="auto" w:fill="auto"/>
          </w:tcPr>
          <w:p w14:paraId="1EC01FE6" w14:textId="77777777" w:rsidR="004C541E" w:rsidRPr="004C541E" w:rsidRDefault="004C541E" w:rsidP="004C541E">
            <w:pPr>
              <w:spacing w:line="240" w:lineRule="auto"/>
              <w:jc w:val="center"/>
              <w:rPr>
                <w:color w:val="000000"/>
                <w:sz w:val="22"/>
                <w:szCs w:val="22"/>
                <w:lang w:eastAsia="ja-JP"/>
              </w:rPr>
            </w:pPr>
            <w:r w:rsidRPr="004C541E">
              <w:rPr>
                <w:sz w:val="22"/>
                <w:szCs w:val="22"/>
              </w:rPr>
              <w:t>16%</w:t>
            </w:r>
          </w:p>
        </w:tc>
      </w:tr>
      <w:tr w:rsidR="004C541E" w:rsidRPr="004C541E" w14:paraId="1EC01FEE" w14:textId="77777777" w:rsidTr="004C541E">
        <w:trPr>
          <w:trHeight w:val="20"/>
        </w:trPr>
        <w:tc>
          <w:tcPr>
            <w:tcW w:w="1045" w:type="pct"/>
            <w:vMerge/>
            <w:tcBorders>
              <w:left w:val="nil"/>
              <w:bottom w:val="nil"/>
              <w:right w:val="nil"/>
            </w:tcBorders>
            <w:shd w:val="clear" w:color="auto" w:fill="auto"/>
            <w:vAlign w:val="center"/>
          </w:tcPr>
          <w:p w14:paraId="1EC01FE8" w14:textId="77777777" w:rsidR="004C541E" w:rsidRPr="004C541E" w:rsidRDefault="004C541E" w:rsidP="004C541E">
            <w:pPr>
              <w:spacing w:line="240" w:lineRule="auto"/>
              <w:rPr>
                <w:color w:val="000000"/>
                <w:sz w:val="22"/>
                <w:szCs w:val="22"/>
                <w:lang w:eastAsia="ja-JP"/>
              </w:rPr>
            </w:pPr>
          </w:p>
        </w:tc>
        <w:tc>
          <w:tcPr>
            <w:tcW w:w="2157" w:type="pct"/>
            <w:gridSpan w:val="2"/>
            <w:tcBorders>
              <w:left w:val="nil"/>
              <w:bottom w:val="nil"/>
            </w:tcBorders>
            <w:shd w:val="clear" w:color="auto" w:fill="auto"/>
          </w:tcPr>
          <w:p w14:paraId="1EC01FE9" w14:textId="77777777" w:rsidR="004C541E" w:rsidRPr="004C541E" w:rsidRDefault="004C541E" w:rsidP="004C541E">
            <w:pPr>
              <w:spacing w:line="240" w:lineRule="auto"/>
              <w:rPr>
                <w:color w:val="000000"/>
                <w:sz w:val="22"/>
                <w:szCs w:val="22"/>
                <w:lang w:eastAsia="ja-JP"/>
              </w:rPr>
            </w:pPr>
            <w:r w:rsidRPr="004C541E">
              <w:rPr>
                <w:sz w:val="22"/>
                <w:szCs w:val="22"/>
              </w:rPr>
              <w:t>50 and over</w:t>
            </w:r>
          </w:p>
        </w:tc>
        <w:tc>
          <w:tcPr>
            <w:tcW w:w="449" w:type="pct"/>
            <w:tcBorders>
              <w:bottom w:val="nil"/>
            </w:tcBorders>
            <w:shd w:val="clear" w:color="auto" w:fill="auto"/>
            <w:noWrap/>
          </w:tcPr>
          <w:p w14:paraId="1EC01FEA" w14:textId="77777777" w:rsidR="004C541E" w:rsidRPr="004C541E" w:rsidRDefault="004C541E" w:rsidP="004C541E">
            <w:pPr>
              <w:spacing w:line="240" w:lineRule="auto"/>
              <w:jc w:val="center"/>
              <w:rPr>
                <w:color w:val="000000"/>
                <w:sz w:val="22"/>
                <w:szCs w:val="22"/>
                <w:lang w:eastAsia="ja-JP"/>
              </w:rPr>
            </w:pPr>
            <w:r w:rsidRPr="004C541E">
              <w:rPr>
                <w:sz w:val="22"/>
                <w:szCs w:val="22"/>
              </w:rPr>
              <w:t>106</w:t>
            </w:r>
          </w:p>
        </w:tc>
        <w:tc>
          <w:tcPr>
            <w:tcW w:w="450" w:type="pct"/>
            <w:tcBorders>
              <w:bottom w:val="nil"/>
              <w:right w:val="single" w:sz="4" w:space="0" w:color="auto"/>
            </w:tcBorders>
            <w:shd w:val="clear" w:color="auto" w:fill="auto"/>
          </w:tcPr>
          <w:p w14:paraId="1EC01FEB" w14:textId="77777777" w:rsidR="004C541E" w:rsidRPr="004C541E" w:rsidRDefault="004C541E" w:rsidP="004C541E">
            <w:pPr>
              <w:spacing w:line="240" w:lineRule="auto"/>
              <w:jc w:val="center"/>
              <w:rPr>
                <w:color w:val="000000"/>
                <w:sz w:val="22"/>
                <w:szCs w:val="22"/>
                <w:lang w:eastAsia="ja-JP"/>
              </w:rPr>
            </w:pPr>
            <w:r w:rsidRPr="004C541E">
              <w:rPr>
                <w:sz w:val="22"/>
                <w:szCs w:val="22"/>
              </w:rPr>
              <w:t>12%</w:t>
            </w:r>
          </w:p>
        </w:tc>
        <w:tc>
          <w:tcPr>
            <w:tcW w:w="449" w:type="pct"/>
            <w:tcBorders>
              <w:left w:val="single" w:sz="4" w:space="0" w:color="auto"/>
              <w:bottom w:val="nil"/>
            </w:tcBorders>
            <w:shd w:val="clear" w:color="auto" w:fill="auto"/>
            <w:noWrap/>
          </w:tcPr>
          <w:p w14:paraId="1EC01FEC" w14:textId="77777777" w:rsidR="004C541E" w:rsidRPr="004C541E" w:rsidRDefault="004C541E" w:rsidP="004C541E">
            <w:pPr>
              <w:spacing w:line="240" w:lineRule="auto"/>
              <w:jc w:val="center"/>
              <w:rPr>
                <w:color w:val="000000"/>
                <w:sz w:val="22"/>
                <w:szCs w:val="22"/>
                <w:lang w:eastAsia="ja-JP"/>
              </w:rPr>
            </w:pPr>
            <w:r w:rsidRPr="004C541E">
              <w:rPr>
                <w:sz w:val="22"/>
                <w:szCs w:val="22"/>
              </w:rPr>
              <w:t>225</w:t>
            </w:r>
          </w:p>
        </w:tc>
        <w:tc>
          <w:tcPr>
            <w:tcW w:w="449" w:type="pct"/>
            <w:tcBorders>
              <w:bottom w:val="nil"/>
            </w:tcBorders>
            <w:shd w:val="clear" w:color="auto" w:fill="auto"/>
          </w:tcPr>
          <w:p w14:paraId="1EC01FED" w14:textId="77777777" w:rsidR="004C541E" w:rsidRPr="004C541E" w:rsidRDefault="004C541E" w:rsidP="004C541E">
            <w:pPr>
              <w:spacing w:line="240" w:lineRule="auto"/>
              <w:jc w:val="center"/>
              <w:rPr>
                <w:color w:val="000000"/>
                <w:sz w:val="22"/>
                <w:szCs w:val="22"/>
                <w:lang w:eastAsia="ja-JP"/>
              </w:rPr>
            </w:pPr>
            <w:r w:rsidRPr="004C541E">
              <w:rPr>
                <w:sz w:val="22"/>
                <w:szCs w:val="22"/>
              </w:rPr>
              <w:t>9%</w:t>
            </w:r>
          </w:p>
        </w:tc>
      </w:tr>
      <w:tr w:rsidR="004C541E" w:rsidRPr="004C541E" w14:paraId="1EC01FF5" w14:textId="77777777" w:rsidTr="004C541E">
        <w:trPr>
          <w:trHeight w:val="20"/>
        </w:trPr>
        <w:tc>
          <w:tcPr>
            <w:tcW w:w="1045" w:type="pct"/>
            <w:tcBorders>
              <w:top w:val="single" w:sz="4" w:space="0" w:color="auto"/>
              <w:left w:val="nil"/>
              <w:bottom w:val="nil"/>
              <w:right w:val="nil"/>
            </w:tcBorders>
            <w:shd w:val="clear" w:color="auto" w:fill="auto"/>
            <w:vAlign w:val="center"/>
          </w:tcPr>
          <w:p w14:paraId="1EC01FEF"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Years in UK</w:t>
            </w:r>
          </w:p>
        </w:tc>
        <w:tc>
          <w:tcPr>
            <w:tcW w:w="1927" w:type="pct"/>
            <w:tcBorders>
              <w:top w:val="single" w:sz="4" w:space="0" w:color="auto"/>
              <w:left w:val="nil"/>
              <w:bottom w:val="nil"/>
              <w:right w:val="nil"/>
            </w:tcBorders>
            <w:shd w:val="clear" w:color="auto" w:fill="auto"/>
            <w:vAlign w:val="center"/>
          </w:tcPr>
          <w:p w14:paraId="1EC01FF0"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Mean (min–max; SD)</w:t>
            </w:r>
          </w:p>
        </w:tc>
        <w:tc>
          <w:tcPr>
            <w:tcW w:w="1129" w:type="pct"/>
            <w:gridSpan w:val="3"/>
            <w:tcBorders>
              <w:top w:val="single" w:sz="4" w:space="0" w:color="auto"/>
              <w:left w:val="nil"/>
              <w:bottom w:val="nil"/>
              <w:right w:val="single" w:sz="4" w:space="0" w:color="auto"/>
            </w:tcBorders>
            <w:shd w:val="clear" w:color="auto" w:fill="auto"/>
            <w:noWrap/>
            <w:vAlign w:val="center"/>
          </w:tcPr>
          <w:p w14:paraId="1EC01FF1" w14:textId="77777777" w:rsidR="004C541E" w:rsidRPr="004C541E" w:rsidRDefault="004C541E" w:rsidP="004C541E">
            <w:pPr>
              <w:spacing w:line="240" w:lineRule="auto"/>
              <w:ind w:right="-289"/>
              <w:jc w:val="center"/>
              <w:rPr>
                <w:color w:val="000000"/>
                <w:sz w:val="22"/>
                <w:szCs w:val="22"/>
                <w:lang w:eastAsia="ja-JP"/>
              </w:rPr>
            </w:pPr>
            <w:r w:rsidRPr="004C541E">
              <w:rPr>
                <w:color w:val="000000"/>
                <w:sz w:val="22"/>
                <w:szCs w:val="22"/>
                <w:lang w:eastAsia="ja-JP"/>
              </w:rPr>
              <w:t xml:space="preserve">7y2m </w:t>
            </w:r>
          </w:p>
          <w:p w14:paraId="1EC01FF2" w14:textId="77777777" w:rsidR="004C541E" w:rsidRPr="004C541E" w:rsidRDefault="004C541E" w:rsidP="004C541E">
            <w:pPr>
              <w:spacing w:line="240" w:lineRule="auto"/>
              <w:ind w:right="-289"/>
              <w:jc w:val="center"/>
              <w:rPr>
                <w:color w:val="000000"/>
                <w:sz w:val="22"/>
                <w:szCs w:val="22"/>
                <w:lang w:eastAsia="ja-JP"/>
              </w:rPr>
            </w:pPr>
            <w:r w:rsidRPr="004C541E">
              <w:rPr>
                <w:color w:val="000000"/>
                <w:sz w:val="22"/>
                <w:szCs w:val="22"/>
                <w:lang w:eastAsia="ja-JP"/>
              </w:rPr>
              <w:t>(1m–18y3m; 3y4m)</w:t>
            </w:r>
          </w:p>
        </w:tc>
        <w:tc>
          <w:tcPr>
            <w:tcW w:w="899" w:type="pct"/>
            <w:gridSpan w:val="2"/>
            <w:tcBorders>
              <w:top w:val="single" w:sz="4" w:space="0" w:color="auto"/>
              <w:left w:val="single" w:sz="4" w:space="0" w:color="auto"/>
              <w:bottom w:val="nil"/>
            </w:tcBorders>
            <w:shd w:val="clear" w:color="auto" w:fill="auto"/>
            <w:noWrap/>
            <w:vAlign w:val="center"/>
          </w:tcPr>
          <w:p w14:paraId="1EC01FF3" w14:textId="77777777" w:rsidR="004C541E" w:rsidRPr="004C541E" w:rsidRDefault="004C541E" w:rsidP="004C541E">
            <w:pPr>
              <w:spacing w:line="240" w:lineRule="auto"/>
              <w:jc w:val="center"/>
              <w:rPr>
                <w:sz w:val="22"/>
                <w:szCs w:val="22"/>
                <w:lang w:eastAsia="ja-JP"/>
              </w:rPr>
            </w:pPr>
            <w:r w:rsidRPr="004C541E">
              <w:rPr>
                <w:sz w:val="22"/>
                <w:szCs w:val="22"/>
                <w:lang w:eastAsia="ja-JP"/>
              </w:rPr>
              <w:t xml:space="preserve">8.78 </w:t>
            </w:r>
          </w:p>
          <w:p w14:paraId="1EC01FF4" w14:textId="77777777" w:rsidR="004C541E" w:rsidRPr="004C541E" w:rsidRDefault="004C541E" w:rsidP="004C541E">
            <w:pPr>
              <w:spacing w:line="240" w:lineRule="auto"/>
              <w:jc w:val="center"/>
              <w:rPr>
                <w:color w:val="000000"/>
                <w:sz w:val="22"/>
                <w:szCs w:val="22"/>
                <w:lang w:eastAsia="ja-JP"/>
              </w:rPr>
            </w:pPr>
            <w:r w:rsidRPr="004C541E">
              <w:rPr>
                <w:sz w:val="22"/>
                <w:szCs w:val="22"/>
                <w:lang w:eastAsia="ja-JP"/>
              </w:rPr>
              <w:t>(0–71; 5.626)</w:t>
            </w:r>
          </w:p>
        </w:tc>
      </w:tr>
      <w:tr w:rsidR="004C541E" w:rsidRPr="004C541E" w14:paraId="1EC01FFC" w14:textId="77777777" w:rsidTr="004C541E">
        <w:trPr>
          <w:trHeight w:val="20"/>
        </w:trPr>
        <w:tc>
          <w:tcPr>
            <w:tcW w:w="1045" w:type="pct"/>
            <w:vMerge w:val="restart"/>
            <w:tcBorders>
              <w:top w:val="single" w:sz="4" w:space="0" w:color="auto"/>
              <w:left w:val="nil"/>
              <w:bottom w:val="nil"/>
              <w:right w:val="nil"/>
            </w:tcBorders>
            <w:shd w:val="clear" w:color="auto" w:fill="auto"/>
            <w:vAlign w:val="center"/>
            <w:hideMark/>
          </w:tcPr>
          <w:p w14:paraId="1EC01FF6"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Years in UK (groups)</w:t>
            </w:r>
          </w:p>
        </w:tc>
        <w:tc>
          <w:tcPr>
            <w:tcW w:w="2157" w:type="pct"/>
            <w:gridSpan w:val="2"/>
            <w:tcBorders>
              <w:top w:val="single" w:sz="4" w:space="0" w:color="auto"/>
              <w:left w:val="nil"/>
              <w:bottom w:val="nil"/>
              <w:right w:val="nil"/>
            </w:tcBorders>
            <w:shd w:val="clear" w:color="auto" w:fill="auto"/>
            <w:vAlign w:val="center"/>
            <w:hideMark/>
          </w:tcPr>
          <w:p w14:paraId="1EC01FF7"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Less than 5</w:t>
            </w:r>
          </w:p>
        </w:tc>
        <w:tc>
          <w:tcPr>
            <w:tcW w:w="449" w:type="pct"/>
            <w:tcBorders>
              <w:top w:val="single" w:sz="4" w:space="0" w:color="auto"/>
              <w:left w:val="nil"/>
              <w:bottom w:val="nil"/>
              <w:right w:val="nil"/>
            </w:tcBorders>
            <w:shd w:val="clear" w:color="auto" w:fill="auto"/>
            <w:noWrap/>
            <w:vAlign w:val="center"/>
            <w:hideMark/>
          </w:tcPr>
          <w:p w14:paraId="1EC01FF8"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267</w:t>
            </w:r>
          </w:p>
        </w:tc>
        <w:tc>
          <w:tcPr>
            <w:tcW w:w="450" w:type="pct"/>
            <w:tcBorders>
              <w:top w:val="single" w:sz="4" w:space="0" w:color="auto"/>
              <w:left w:val="nil"/>
              <w:bottom w:val="nil"/>
              <w:right w:val="single" w:sz="4" w:space="0" w:color="auto"/>
            </w:tcBorders>
            <w:shd w:val="clear" w:color="auto" w:fill="auto"/>
            <w:noWrap/>
            <w:vAlign w:val="center"/>
            <w:hideMark/>
          </w:tcPr>
          <w:p w14:paraId="1EC01FF9"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30%</w:t>
            </w:r>
          </w:p>
        </w:tc>
        <w:tc>
          <w:tcPr>
            <w:tcW w:w="449" w:type="pct"/>
            <w:tcBorders>
              <w:top w:val="single" w:sz="4" w:space="0" w:color="auto"/>
              <w:left w:val="single" w:sz="4" w:space="0" w:color="auto"/>
              <w:bottom w:val="nil"/>
              <w:right w:val="nil"/>
            </w:tcBorders>
            <w:shd w:val="clear" w:color="auto" w:fill="auto"/>
            <w:noWrap/>
          </w:tcPr>
          <w:p w14:paraId="1EC01FFA" w14:textId="77777777" w:rsidR="004C541E" w:rsidRPr="004C541E" w:rsidRDefault="004C541E" w:rsidP="004C541E">
            <w:pPr>
              <w:spacing w:line="240" w:lineRule="auto"/>
              <w:jc w:val="center"/>
              <w:rPr>
                <w:color w:val="000000"/>
                <w:sz w:val="22"/>
                <w:szCs w:val="22"/>
                <w:lang w:eastAsia="ja-JP"/>
              </w:rPr>
            </w:pPr>
            <w:r w:rsidRPr="004C541E">
              <w:rPr>
                <w:sz w:val="22"/>
                <w:szCs w:val="22"/>
              </w:rPr>
              <w:t>464</w:t>
            </w:r>
          </w:p>
        </w:tc>
        <w:tc>
          <w:tcPr>
            <w:tcW w:w="449" w:type="pct"/>
            <w:tcBorders>
              <w:top w:val="single" w:sz="4" w:space="0" w:color="auto"/>
              <w:left w:val="nil"/>
              <w:bottom w:val="nil"/>
            </w:tcBorders>
            <w:shd w:val="clear" w:color="auto" w:fill="auto"/>
            <w:noWrap/>
          </w:tcPr>
          <w:p w14:paraId="1EC01FFB" w14:textId="77777777" w:rsidR="004C541E" w:rsidRPr="004C541E" w:rsidRDefault="004C541E" w:rsidP="004C541E">
            <w:pPr>
              <w:spacing w:line="240" w:lineRule="auto"/>
              <w:jc w:val="center"/>
              <w:rPr>
                <w:color w:val="000000"/>
                <w:sz w:val="22"/>
                <w:szCs w:val="22"/>
                <w:lang w:eastAsia="ja-JP"/>
              </w:rPr>
            </w:pPr>
            <w:r w:rsidRPr="004C541E">
              <w:rPr>
                <w:sz w:val="22"/>
                <w:szCs w:val="22"/>
              </w:rPr>
              <w:t>19%</w:t>
            </w:r>
          </w:p>
        </w:tc>
      </w:tr>
      <w:tr w:rsidR="004C541E" w:rsidRPr="004C541E" w14:paraId="1EC02003" w14:textId="77777777" w:rsidTr="004C541E">
        <w:trPr>
          <w:trHeight w:val="20"/>
        </w:trPr>
        <w:tc>
          <w:tcPr>
            <w:tcW w:w="1045" w:type="pct"/>
            <w:vMerge/>
            <w:tcBorders>
              <w:top w:val="nil"/>
              <w:left w:val="nil"/>
              <w:bottom w:val="nil"/>
              <w:right w:val="nil"/>
            </w:tcBorders>
            <w:vAlign w:val="center"/>
            <w:hideMark/>
          </w:tcPr>
          <w:p w14:paraId="1EC01FFD"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1FFE"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5 - 10</w:t>
            </w:r>
          </w:p>
        </w:tc>
        <w:tc>
          <w:tcPr>
            <w:tcW w:w="449" w:type="pct"/>
            <w:tcBorders>
              <w:top w:val="nil"/>
              <w:left w:val="nil"/>
              <w:bottom w:val="nil"/>
              <w:right w:val="nil"/>
            </w:tcBorders>
            <w:shd w:val="clear" w:color="auto" w:fill="auto"/>
            <w:noWrap/>
            <w:vAlign w:val="center"/>
            <w:hideMark/>
          </w:tcPr>
          <w:p w14:paraId="1EC01FFF"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417</w:t>
            </w:r>
          </w:p>
        </w:tc>
        <w:tc>
          <w:tcPr>
            <w:tcW w:w="450" w:type="pct"/>
            <w:tcBorders>
              <w:top w:val="nil"/>
              <w:left w:val="nil"/>
              <w:bottom w:val="nil"/>
              <w:right w:val="single" w:sz="4" w:space="0" w:color="auto"/>
            </w:tcBorders>
            <w:shd w:val="clear" w:color="auto" w:fill="auto"/>
            <w:noWrap/>
            <w:vAlign w:val="center"/>
            <w:hideMark/>
          </w:tcPr>
          <w:p w14:paraId="1EC02000"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47%</w:t>
            </w:r>
          </w:p>
        </w:tc>
        <w:tc>
          <w:tcPr>
            <w:tcW w:w="449" w:type="pct"/>
            <w:tcBorders>
              <w:top w:val="nil"/>
              <w:left w:val="single" w:sz="4" w:space="0" w:color="auto"/>
              <w:bottom w:val="nil"/>
              <w:right w:val="nil"/>
            </w:tcBorders>
            <w:shd w:val="clear" w:color="auto" w:fill="auto"/>
            <w:noWrap/>
          </w:tcPr>
          <w:p w14:paraId="1EC02001" w14:textId="77777777" w:rsidR="004C541E" w:rsidRPr="004C541E" w:rsidRDefault="004C541E" w:rsidP="004C541E">
            <w:pPr>
              <w:spacing w:line="240" w:lineRule="auto"/>
              <w:jc w:val="center"/>
              <w:rPr>
                <w:color w:val="000000"/>
                <w:sz w:val="22"/>
                <w:szCs w:val="22"/>
                <w:lang w:eastAsia="ja-JP"/>
              </w:rPr>
            </w:pPr>
            <w:r w:rsidRPr="004C541E">
              <w:rPr>
                <w:sz w:val="22"/>
                <w:szCs w:val="22"/>
              </w:rPr>
              <w:t>1276</w:t>
            </w:r>
          </w:p>
        </w:tc>
        <w:tc>
          <w:tcPr>
            <w:tcW w:w="449" w:type="pct"/>
            <w:tcBorders>
              <w:top w:val="nil"/>
              <w:left w:val="nil"/>
              <w:bottom w:val="nil"/>
            </w:tcBorders>
            <w:shd w:val="clear" w:color="auto" w:fill="auto"/>
            <w:noWrap/>
          </w:tcPr>
          <w:p w14:paraId="1EC02002" w14:textId="77777777" w:rsidR="004C541E" w:rsidRPr="004C541E" w:rsidRDefault="004C541E" w:rsidP="004C541E">
            <w:pPr>
              <w:spacing w:line="240" w:lineRule="auto"/>
              <w:jc w:val="center"/>
              <w:rPr>
                <w:color w:val="000000"/>
                <w:sz w:val="22"/>
                <w:szCs w:val="22"/>
                <w:lang w:eastAsia="ja-JP"/>
              </w:rPr>
            </w:pPr>
            <w:r w:rsidRPr="004C541E">
              <w:rPr>
                <w:sz w:val="22"/>
                <w:szCs w:val="22"/>
              </w:rPr>
              <w:t>52%</w:t>
            </w:r>
          </w:p>
        </w:tc>
      </w:tr>
      <w:tr w:rsidR="004C541E" w:rsidRPr="004C541E" w14:paraId="1EC0200A" w14:textId="77777777" w:rsidTr="004C541E">
        <w:trPr>
          <w:trHeight w:val="20"/>
        </w:trPr>
        <w:tc>
          <w:tcPr>
            <w:tcW w:w="1045" w:type="pct"/>
            <w:vMerge/>
            <w:tcBorders>
              <w:top w:val="nil"/>
              <w:left w:val="nil"/>
              <w:bottom w:val="single" w:sz="4" w:space="0" w:color="auto"/>
              <w:right w:val="nil"/>
            </w:tcBorders>
            <w:vAlign w:val="center"/>
            <w:hideMark/>
          </w:tcPr>
          <w:p w14:paraId="1EC02004"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4" w:space="0" w:color="auto"/>
              <w:right w:val="nil"/>
            </w:tcBorders>
            <w:shd w:val="clear" w:color="auto" w:fill="auto"/>
            <w:vAlign w:val="center"/>
            <w:hideMark/>
          </w:tcPr>
          <w:p w14:paraId="1EC02005"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More than 10</w:t>
            </w:r>
          </w:p>
        </w:tc>
        <w:tc>
          <w:tcPr>
            <w:tcW w:w="449" w:type="pct"/>
            <w:tcBorders>
              <w:top w:val="nil"/>
              <w:left w:val="nil"/>
              <w:bottom w:val="single" w:sz="4" w:space="0" w:color="auto"/>
              <w:right w:val="nil"/>
            </w:tcBorders>
            <w:shd w:val="clear" w:color="auto" w:fill="auto"/>
            <w:noWrap/>
            <w:vAlign w:val="center"/>
            <w:hideMark/>
          </w:tcPr>
          <w:p w14:paraId="1EC02006"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203</w:t>
            </w:r>
          </w:p>
        </w:tc>
        <w:tc>
          <w:tcPr>
            <w:tcW w:w="450" w:type="pct"/>
            <w:tcBorders>
              <w:top w:val="nil"/>
              <w:left w:val="nil"/>
              <w:bottom w:val="single" w:sz="4" w:space="0" w:color="auto"/>
              <w:right w:val="single" w:sz="4" w:space="0" w:color="auto"/>
            </w:tcBorders>
            <w:shd w:val="clear" w:color="auto" w:fill="auto"/>
            <w:noWrap/>
            <w:vAlign w:val="center"/>
            <w:hideMark/>
          </w:tcPr>
          <w:p w14:paraId="1EC02007"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23%</w:t>
            </w:r>
          </w:p>
        </w:tc>
        <w:tc>
          <w:tcPr>
            <w:tcW w:w="449" w:type="pct"/>
            <w:tcBorders>
              <w:top w:val="nil"/>
              <w:left w:val="single" w:sz="4" w:space="0" w:color="auto"/>
              <w:bottom w:val="single" w:sz="4" w:space="0" w:color="auto"/>
              <w:right w:val="nil"/>
            </w:tcBorders>
            <w:shd w:val="clear" w:color="auto" w:fill="auto"/>
            <w:noWrap/>
          </w:tcPr>
          <w:p w14:paraId="1EC02008" w14:textId="77777777" w:rsidR="004C541E" w:rsidRPr="004C541E" w:rsidRDefault="004C541E" w:rsidP="004C541E">
            <w:pPr>
              <w:spacing w:line="240" w:lineRule="auto"/>
              <w:jc w:val="center"/>
              <w:rPr>
                <w:color w:val="000000"/>
                <w:sz w:val="22"/>
                <w:szCs w:val="22"/>
                <w:lang w:eastAsia="ja-JP"/>
              </w:rPr>
            </w:pPr>
            <w:r w:rsidRPr="004C541E">
              <w:rPr>
                <w:sz w:val="22"/>
                <w:szCs w:val="22"/>
              </w:rPr>
              <w:t>701</w:t>
            </w:r>
          </w:p>
        </w:tc>
        <w:tc>
          <w:tcPr>
            <w:tcW w:w="449" w:type="pct"/>
            <w:tcBorders>
              <w:top w:val="nil"/>
              <w:left w:val="nil"/>
              <w:bottom w:val="single" w:sz="4" w:space="0" w:color="auto"/>
            </w:tcBorders>
            <w:shd w:val="clear" w:color="auto" w:fill="auto"/>
            <w:noWrap/>
          </w:tcPr>
          <w:p w14:paraId="1EC02009" w14:textId="77777777" w:rsidR="004C541E" w:rsidRPr="004C541E" w:rsidRDefault="004C541E" w:rsidP="004C541E">
            <w:pPr>
              <w:spacing w:line="240" w:lineRule="auto"/>
              <w:jc w:val="center"/>
              <w:rPr>
                <w:color w:val="000000"/>
                <w:sz w:val="22"/>
                <w:szCs w:val="22"/>
                <w:lang w:eastAsia="ja-JP"/>
              </w:rPr>
            </w:pPr>
            <w:r w:rsidRPr="004C541E">
              <w:rPr>
                <w:sz w:val="22"/>
                <w:szCs w:val="22"/>
              </w:rPr>
              <w:t>29%</w:t>
            </w:r>
          </w:p>
        </w:tc>
      </w:tr>
      <w:tr w:rsidR="004C541E" w:rsidRPr="004C541E" w14:paraId="1EC02011" w14:textId="77777777" w:rsidTr="004C541E">
        <w:trPr>
          <w:trHeight w:val="20"/>
        </w:trPr>
        <w:tc>
          <w:tcPr>
            <w:tcW w:w="1045" w:type="pct"/>
            <w:vMerge w:val="restart"/>
            <w:tcBorders>
              <w:top w:val="single" w:sz="4" w:space="0" w:color="auto"/>
              <w:left w:val="nil"/>
              <w:bottom w:val="nil"/>
              <w:right w:val="nil"/>
            </w:tcBorders>
            <w:shd w:val="clear" w:color="auto" w:fill="auto"/>
            <w:vAlign w:val="center"/>
            <w:hideMark/>
          </w:tcPr>
          <w:p w14:paraId="1EC0200B"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UK Country</w:t>
            </w:r>
          </w:p>
        </w:tc>
        <w:tc>
          <w:tcPr>
            <w:tcW w:w="2157" w:type="pct"/>
            <w:gridSpan w:val="2"/>
            <w:tcBorders>
              <w:top w:val="single" w:sz="4" w:space="0" w:color="auto"/>
              <w:left w:val="nil"/>
              <w:bottom w:val="nil"/>
              <w:right w:val="nil"/>
            </w:tcBorders>
            <w:shd w:val="clear" w:color="auto" w:fill="auto"/>
            <w:vAlign w:val="center"/>
            <w:hideMark/>
          </w:tcPr>
          <w:p w14:paraId="1EC0200C"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England</w:t>
            </w:r>
          </w:p>
        </w:tc>
        <w:tc>
          <w:tcPr>
            <w:tcW w:w="449" w:type="pct"/>
            <w:tcBorders>
              <w:top w:val="single" w:sz="4" w:space="0" w:color="auto"/>
              <w:left w:val="nil"/>
              <w:bottom w:val="nil"/>
              <w:right w:val="nil"/>
            </w:tcBorders>
            <w:shd w:val="clear" w:color="auto" w:fill="auto"/>
            <w:noWrap/>
            <w:vAlign w:val="center"/>
            <w:hideMark/>
          </w:tcPr>
          <w:p w14:paraId="1EC0200D"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715</w:t>
            </w:r>
          </w:p>
        </w:tc>
        <w:tc>
          <w:tcPr>
            <w:tcW w:w="450" w:type="pct"/>
            <w:tcBorders>
              <w:top w:val="single" w:sz="4" w:space="0" w:color="auto"/>
              <w:left w:val="nil"/>
              <w:bottom w:val="nil"/>
              <w:right w:val="single" w:sz="4" w:space="0" w:color="auto"/>
            </w:tcBorders>
            <w:shd w:val="clear" w:color="auto" w:fill="auto"/>
            <w:noWrap/>
            <w:vAlign w:val="center"/>
            <w:hideMark/>
          </w:tcPr>
          <w:p w14:paraId="1EC0200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80%</w:t>
            </w:r>
          </w:p>
        </w:tc>
        <w:tc>
          <w:tcPr>
            <w:tcW w:w="449" w:type="pct"/>
            <w:tcBorders>
              <w:top w:val="single" w:sz="4" w:space="0" w:color="auto"/>
              <w:left w:val="single" w:sz="4" w:space="0" w:color="auto"/>
              <w:bottom w:val="nil"/>
              <w:right w:val="nil"/>
            </w:tcBorders>
            <w:shd w:val="clear" w:color="auto" w:fill="auto"/>
            <w:noWrap/>
          </w:tcPr>
          <w:p w14:paraId="1EC0200F" w14:textId="77777777" w:rsidR="004C541E" w:rsidRPr="004C541E" w:rsidRDefault="004C541E" w:rsidP="004C541E">
            <w:pPr>
              <w:spacing w:line="240" w:lineRule="auto"/>
              <w:jc w:val="center"/>
              <w:rPr>
                <w:color w:val="000000"/>
                <w:sz w:val="22"/>
                <w:szCs w:val="22"/>
                <w:lang w:eastAsia="ja-JP"/>
              </w:rPr>
            </w:pPr>
            <w:r w:rsidRPr="004C541E">
              <w:rPr>
                <w:sz w:val="22"/>
                <w:szCs w:val="22"/>
              </w:rPr>
              <w:t>2014</w:t>
            </w:r>
          </w:p>
        </w:tc>
        <w:tc>
          <w:tcPr>
            <w:tcW w:w="449" w:type="pct"/>
            <w:tcBorders>
              <w:top w:val="single" w:sz="4" w:space="0" w:color="auto"/>
              <w:left w:val="nil"/>
              <w:bottom w:val="nil"/>
            </w:tcBorders>
            <w:shd w:val="clear" w:color="auto" w:fill="auto"/>
            <w:noWrap/>
          </w:tcPr>
          <w:p w14:paraId="1EC02010" w14:textId="77777777" w:rsidR="004C541E" w:rsidRPr="004C541E" w:rsidRDefault="004C541E" w:rsidP="004C541E">
            <w:pPr>
              <w:spacing w:line="240" w:lineRule="auto"/>
              <w:jc w:val="center"/>
              <w:rPr>
                <w:color w:val="000000"/>
                <w:sz w:val="22"/>
                <w:szCs w:val="22"/>
                <w:lang w:eastAsia="ja-JP"/>
              </w:rPr>
            </w:pPr>
            <w:r w:rsidRPr="004C541E">
              <w:rPr>
                <w:sz w:val="22"/>
                <w:szCs w:val="22"/>
              </w:rPr>
              <w:t>82%</w:t>
            </w:r>
          </w:p>
        </w:tc>
      </w:tr>
      <w:tr w:rsidR="004C541E" w:rsidRPr="004C541E" w14:paraId="1EC02018" w14:textId="77777777" w:rsidTr="004C541E">
        <w:trPr>
          <w:trHeight w:val="20"/>
        </w:trPr>
        <w:tc>
          <w:tcPr>
            <w:tcW w:w="1045" w:type="pct"/>
            <w:vMerge/>
            <w:tcBorders>
              <w:top w:val="nil"/>
              <w:left w:val="nil"/>
              <w:bottom w:val="nil"/>
              <w:right w:val="nil"/>
            </w:tcBorders>
            <w:vAlign w:val="center"/>
            <w:hideMark/>
          </w:tcPr>
          <w:p w14:paraId="1EC02012"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13"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Wales</w:t>
            </w:r>
          </w:p>
        </w:tc>
        <w:tc>
          <w:tcPr>
            <w:tcW w:w="449" w:type="pct"/>
            <w:tcBorders>
              <w:top w:val="nil"/>
              <w:left w:val="nil"/>
              <w:bottom w:val="nil"/>
              <w:right w:val="nil"/>
            </w:tcBorders>
            <w:shd w:val="clear" w:color="auto" w:fill="auto"/>
            <w:noWrap/>
            <w:vAlign w:val="center"/>
            <w:hideMark/>
          </w:tcPr>
          <w:p w14:paraId="1EC02014"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36</w:t>
            </w:r>
          </w:p>
        </w:tc>
        <w:tc>
          <w:tcPr>
            <w:tcW w:w="450" w:type="pct"/>
            <w:tcBorders>
              <w:top w:val="nil"/>
              <w:left w:val="nil"/>
              <w:bottom w:val="nil"/>
              <w:right w:val="single" w:sz="4" w:space="0" w:color="auto"/>
            </w:tcBorders>
            <w:shd w:val="clear" w:color="auto" w:fill="auto"/>
            <w:noWrap/>
            <w:vAlign w:val="center"/>
            <w:hideMark/>
          </w:tcPr>
          <w:p w14:paraId="1EC02015"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w:t>
            </w:r>
          </w:p>
        </w:tc>
        <w:tc>
          <w:tcPr>
            <w:tcW w:w="449" w:type="pct"/>
            <w:tcBorders>
              <w:top w:val="nil"/>
              <w:left w:val="single" w:sz="4" w:space="0" w:color="auto"/>
              <w:bottom w:val="nil"/>
              <w:right w:val="nil"/>
            </w:tcBorders>
            <w:shd w:val="clear" w:color="auto" w:fill="auto"/>
            <w:noWrap/>
          </w:tcPr>
          <w:p w14:paraId="1EC02016" w14:textId="77777777" w:rsidR="004C541E" w:rsidRPr="004C541E" w:rsidRDefault="004C541E" w:rsidP="004C541E">
            <w:pPr>
              <w:spacing w:line="240" w:lineRule="auto"/>
              <w:jc w:val="center"/>
              <w:rPr>
                <w:color w:val="000000"/>
                <w:sz w:val="22"/>
                <w:szCs w:val="22"/>
                <w:lang w:eastAsia="ja-JP"/>
              </w:rPr>
            </w:pPr>
            <w:r w:rsidRPr="004C541E">
              <w:rPr>
                <w:sz w:val="22"/>
                <w:szCs w:val="22"/>
              </w:rPr>
              <w:t>139</w:t>
            </w:r>
          </w:p>
        </w:tc>
        <w:tc>
          <w:tcPr>
            <w:tcW w:w="449" w:type="pct"/>
            <w:tcBorders>
              <w:top w:val="nil"/>
              <w:left w:val="nil"/>
              <w:bottom w:val="nil"/>
            </w:tcBorders>
            <w:shd w:val="clear" w:color="auto" w:fill="auto"/>
            <w:noWrap/>
          </w:tcPr>
          <w:p w14:paraId="1EC02017" w14:textId="77777777" w:rsidR="004C541E" w:rsidRPr="004C541E" w:rsidRDefault="004C541E" w:rsidP="004C541E">
            <w:pPr>
              <w:spacing w:line="240" w:lineRule="auto"/>
              <w:jc w:val="center"/>
              <w:rPr>
                <w:color w:val="000000"/>
                <w:sz w:val="22"/>
                <w:szCs w:val="22"/>
                <w:lang w:eastAsia="ja-JP"/>
              </w:rPr>
            </w:pPr>
            <w:r w:rsidRPr="004C541E">
              <w:rPr>
                <w:sz w:val="22"/>
                <w:szCs w:val="22"/>
              </w:rPr>
              <w:t>6%</w:t>
            </w:r>
          </w:p>
        </w:tc>
      </w:tr>
      <w:tr w:rsidR="004C541E" w:rsidRPr="004C541E" w14:paraId="1EC0201F" w14:textId="77777777" w:rsidTr="004C541E">
        <w:trPr>
          <w:trHeight w:val="20"/>
        </w:trPr>
        <w:tc>
          <w:tcPr>
            <w:tcW w:w="1045" w:type="pct"/>
            <w:vMerge/>
            <w:tcBorders>
              <w:top w:val="nil"/>
              <w:left w:val="nil"/>
              <w:bottom w:val="nil"/>
              <w:right w:val="nil"/>
            </w:tcBorders>
            <w:vAlign w:val="center"/>
            <w:hideMark/>
          </w:tcPr>
          <w:p w14:paraId="1EC02019"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1A"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Scotland</w:t>
            </w:r>
          </w:p>
        </w:tc>
        <w:tc>
          <w:tcPr>
            <w:tcW w:w="449" w:type="pct"/>
            <w:tcBorders>
              <w:top w:val="nil"/>
              <w:left w:val="nil"/>
              <w:bottom w:val="nil"/>
              <w:right w:val="nil"/>
            </w:tcBorders>
            <w:shd w:val="clear" w:color="auto" w:fill="auto"/>
            <w:noWrap/>
            <w:vAlign w:val="center"/>
            <w:hideMark/>
          </w:tcPr>
          <w:p w14:paraId="1EC0201B"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122</w:t>
            </w:r>
          </w:p>
        </w:tc>
        <w:tc>
          <w:tcPr>
            <w:tcW w:w="450" w:type="pct"/>
            <w:tcBorders>
              <w:top w:val="nil"/>
              <w:left w:val="nil"/>
              <w:bottom w:val="nil"/>
              <w:right w:val="single" w:sz="4" w:space="0" w:color="auto"/>
            </w:tcBorders>
            <w:shd w:val="clear" w:color="auto" w:fill="auto"/>
            <w:noWrap/>
            <w:vAlign w:val="center"/>
            <w:hideMark/>
          </w:tcPr>
          <w:p w14:paraId="1EC0201C"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14%</w:t>
            </w:r>
          </w:p>
        </w:tc>
        <w:tc>
          <w:tcPr>
            <w:tcW w:w="449" w:type="pct"/>
            <w:tcBorders>
              <w:top w:val="nil"/>
              <w:left w:val="single" w:sz="4" w:space="0" w:color="auto"/>
              <w:bottom w:val="nil"/>
              <w:right w:val="nil"/>
            </w:tcBorders>
            <w:shd w:val="clear" w:color="auto" w:fill="auto"/>
            <w:noWrap/>
            <w:vAlign w:val="center"/>
          </w:tcPr>
          <w:p w14:paraId="1EC0201D"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252</w:t>
            </w:r>
          </w:p>
        </w:tc>
        <w:tc>
          <w:tcPr>
            <w:tcW w:w="449" w:type="pct"/>
            <w:tcBorders>
              <w:top w:val="nil"/>
              <w:left w:val="nil"/>
              <w:bottom w:val="nil"/>
            </w:tcBorders>
            <w:shd w:val="clear" w:color="auto" w:fill="auto"/>
            <w:noWrap/>
            <w:vAlign w:val="center"/>
          </w:tcPr>
          <w:p w14:paraId="1EC0201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10%</w:t>
            </w:r>
          </w:p>
        </w:tc>
      </w:tr>
      <w:tr w:rsidR="004C541E" w:rsidRPr="004C541E" w14:paraId="1EC02026" w14:textId="77777777" w:rsidTr="004C541E">
        <w:trPr>
          <w:trHeight w:val="20"/>
        </w:trPr>
        <w:tc>
          <w:tcPr>
            <w:tcW w:w="1045" w:type="pct"/>
            <w:vMerge/>
            <w:tcBorders>
              <w:top w:val="nil"/>
              <w:left w:val="nil"/>
              <w:bottom w:val="single" w:sz="4" w:space="0" w:color="auto"/>
              <w:right w:val="nil"/>
            </w:tcBorders>
            <w:vAlign w:val="center"/>
            <w:hideMark/>
          </w:tcPr>
          <w:p w14:paraId="1EC02020"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4" w:space="0" w:color="auto"/>
              <w:right w:val="nil"/>
            </w:tcBorders>
            <w:shd w:val="clear" w:color="auto" w:fill="auto"/>
            <w:vAlign w:val="center"/>
            <w:hideMark/>
          </w:tcPr>
          <w:p w14:paraId="1EC02021"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Northern Ireland</w:t>
            </w:r>
          </w:p>
        </w:tc>
        <w:tc>
          <w:tcPr>
            <w:tcW w:w="449" w:type="pct"/>
            <w:tcBorders>
              <w:top w:val="nil"/>
              <w:left w:val="nil"/>
              <w:bottom w:val="single" w:sz="4" w:space="0" w:color="auto"/>
              <w:right w:val="nil"/>
            </w:tcBorders>
            <w:shd w:val="clear" w:color="auto" w:fill="auto"/>
            <w:noWrap/>
            <w:vAlign w:val="center"/>
            <w:hideMark/>
          </w:tcPr>
          <w:p w14:paraId="1EC02022"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18</w:t>
            </w:r>
          </w:p>
        </w:tc>
        <w:tc>
          <w:tcPr>
            <w:tcW w:w="450" w:type="pct"/>
            <w:tcBorders>
              <w:top w:val="nil"/>
              <w:left w:val="nil"/>
              <w:bottom w:val="single" w:sz="4" w:space="0" w:color="auto"/>
              <w:right w:val="single" w:sz="4" w:space="0" w:color="auto"/>
            </w:tcBorders>
            <w:shd w:val="clear" w:color="auto" w:fill="auto"/>
            <w:noWrap/>
            <w:vAlign w:val="center"/>
            <w:hideMark/>
          </w:tcPr>
          <w:p w14:paraId="1EC02023"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w:t>
            </w:r>
          </w:p>
        </w:tc>
        <w:tc>
          <w:tcPr>
            <w:tcW w:w="449" w:type="pct"/>
            <w:tcBorders>
              <w:top w:val="nil"/>
              <w:left w:val="single" w:sz="4" w:space="0" w:color="auto"/>
              <w:bottom w:val="single" w:sz="4" w:space="0" w:color="auto"/>
              <w:right w:val="nil"/>
            </w:tcBorders>
            <w:shd w:val="clear" w:color="auto" w:fill="auto"/>
            <w:vAlign w:val="center"/>
          </w:tcPr>
          <w:p w14:paraId="1EC02024"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48</w:t>
            </w:r>
          </w:p>
        </w:tc>
        <w:tc>
          <w:tcPr>
            <w:tcW w:w="449" w:type="pct"/>
            <w:tcBorders>
              <w:top w:val="nil"/>
              <w:left w:val="nil"/>
              <w:bottom w:val="single" w:sz="4" w:space="0" w:color="auto"/>
            </w:tcBorders>
            <w:shd w:val="clear" w:color="auto" w:fill="auto"/>
            <w:vAlign w:val="center"/>
          </w:tcPr>
          <w:p w14:paraId="1EC02025" w14:textId="77777777" w:rsidR="004C541E" w:rsidRPr="004C541E" w:rsidRDefault="004C541E" w:rsidP="004C541E">
            <w:pPr>
              <w:spacing w:line="240" w:lineRule="auto"/>
              <w:jc w:val="center"/>
              <w:rPr>
                <w:sz w:val="22"/>
                <w:szCs w:val="22"/>
                <w:lang w:eastAsia="ja-JP"/>
              </w:rPr>
            </w:pPr>
            <w:r w:rsidRPr="004C541E">
              <w:rPr>
                <w:sz w:val="22"/>
                <w:szCs w:val="22"/>
                <w:lang w:eastAsia="ja-JP"/>
              </w:rPr>
              <w:t>2%</w:t>
            </w:r>
          </w:p>
        </w:tc>
      </w:tr>
      <w:tr w:rsidR="004C541E" w:rsidRPr="004C541E" w14:paraId="1EC0202D" w14:textId="77777777" w:rsidTr="004C541E">
        <w:trPr>
          <w:trHeight w:val="20"/>
        </w:trPr>
        <w:tc>
          <w:tcPr>
            <w:tcW w:w="1045" w:type="pct"/>
            <w:vMerge w:val="restart"/>
            <w:tcBorders>
              <w:top w:val="single" w:sz="4" w:space="0" w:color="auto"/>
              <w:left w:val="nil"/>
              <w:right w:val="nil"/>
            </w:tcBorders>
            <w:shd w:val="clear" w:color="auto" w:fill="auto"/>
            <w:vAlign w:val="center"/>
            <w:hideMark/>
          </w:tcPr>
          <w:p w14:paraId="1EC02027"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Relationship status</w:t>
            </w:r>
          </w:p>
        </w:tc>
        <w:tc>
          <w:tcPr>
            <w:tcW w:w="2157" w:type="pct"/>
            <w:gridSpan w:val="2"/>
            <w:tcBorders>
              <w:top w:val="single" w:sz="4" w:space="0" w:color="auto"/>
              <w:left w:val="nil"/>
            </w:tcBorders>
            <w:shd w:val="clear" w:color="auto" w:fill="auto"/>
            <w:vAlign w:val="center"/>
            <w:hideMark/>
          </w:tcPr>
          <w:p w14:paraId="1EC02028"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Married or in civil partnership</w:t>
            </w:r>
          </w:p>
        </w:tc>
        <w:tc>
          <w:tcPr>
            <w:tcW w:w="449" w:type="pct"/>
            <w:tcBorders>
              <w:top w:val="single" w:sz="4" w:space="0" w:color="auto"/>
            </w:tcBorders>
            <w:shd w:val="clear" w:color="auto" w:fill="auto"/>
            <w:noWrap/>
            <w:vAlign w:val="center"/>
            <w:hideMark/>
          </w:tcPr>
          <w:p w14:paraId="1EC02029"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450</w:t>
            </w:r>
          </w:p>
        </w:tc>
        <w:tc>
          <w:tcPr>
            <w:tcW w:w="450" w:type="pct"/>
            <w:tcBorders>
              <w:top w:val="single" w:sz="4" w:space="0" w:color="auto"/>
              <w:right w:val="single" w:sz="4" w:space="0" w:color="auto"/>
            </w:tcBorders>
            <w:shd w:val="clear" w:color="auto" w:fill="auto"/>
            <w:noWrap/>
            <w:vAlign w:val="center"/>
            <w:hideMark/>
          </w:tcPr>
          <w:p w14:paraId="1EC0202A"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52%</w:t>
            </w:r>
          </w:p>
        </w:tc>
        <w:tc>
          <w:tcPr>
            <w:tcW w:w="449" w:type="pct"/>
            <w:tcBorders>
              <w:top w:val="single" w:sz="4" w:space="0" w:color="auto"/>
              <w:left w:val="single" w:sz="4" w:space="0" w:color="auto"/>
            </w:tcBorders>
            <w:shd w:val="clear" w:color="auto" w:fill="auto"/>
            <w:noWrap/>
            <w:vAlign w:val="center"/>
          </w:tcPr>
          <w:p w14:paraId="1EC0202B" w14:textId="77777777" w:rsidR="004C541E" w:rsidRPr="004C541E" w:rsidRDefault="004C541E" w:rsidP="004C541E">
            <w:pPr>
              <w:spacing w:line="240" w:lineRule="auto"/>
              <w:jc w:val="center"/>
              <w:rPr>
                <w:color w:val="000000"/>
                <w:sz w:val="22"/>
                <w:szCs w:val="22"/>
                <w:lang w:eastAsia="ja-JP"/>
              </w:rPr>
            </w:pPr>
            <w:r w:rsidRPr="004C541E">
              <w:rPr>
                <w:sz w:val="22"/>
                <w:szCs w:val="22"/>
              </w:rPr>
              <w:t>1226</w:t>
            </w:r>
          </w:p>
        </w:tc>
        <w:tc>
          <w:tcPr>
            <w:tcW w:w="449" w:type="pct"/>
            <w:tcBorders>
              <w:top w:val="single" w:sz="4" w:space="0" w:color="auto"/>
            </w:tcBorders>
            <w:shd w:val="clear" w:color="auto" w:fill="auto"/>
            <w:noWrap/>
            <w:vAlign w:val="center"/>
          </w:tcPr>
          <w:p w14:paraId="1EC0202C" w14:textId="77777777" w:rsidR="004C541E" w:rsidRPr="004C541E" w:rsidRDefault="004C541E" w:rsidP="004C541E">
            <w:pPr>
              <w:spacing w:line="240" w:lineRule="auto"/>
              <w:jc w:val="center"/>
              <w:rPr>
                <w:color w:val="000000"/>
                <w:sz w:val="22"/>
                <w:szCs w:val="22"/>
                <w:lang w:eastAsia="ja-JP"/>
              </w:rPr>
            </w:pPr>
            <w:r w:rsidRPr="004C541E">
              <w:rPr>
                <w:sz w:val="22"/>
                <w:szCs w:val="22"/>
              </w:rPr>
              <w:t>50%</w:t>
            </w:r>
          </w:p>
        </w:tc>
      </w:tr>
      <w:tr w:rsidR="004C541E" w:rsidRPr="004C541E" w14:paraId="1EC02034" w14:textId="77777777" w:rsidTr="004C541E">
        <w:trPr>
          <w:trHeight w:val="20"/>
        </w:trPr>
        <w:tc>
          <w:tcPr>
            <w:tcW w:w="1045" w:type="pct"/>
            <w:vMerge/>
            <w:tcBorders>
              <w:top w:val="single" w:sz="4" w:space="0" w:color="auto"/>
              <w:left w:val="nil"/>
              <w:right w:val="nil"/>
            </w:tcBorders>
            <w:shd w:val="clear" w:color="auto" w:fill="auto"/>
            <w:vAlign w:val="center"/>
          </w:tcPr>
          <w:p w14:paraId="1EC0202E" w14:textId="77777777" w:rsidR="004C541E" w:rsidRPr="004C541E" w:rsidRDefault="004C541E" w:rsidP="004C541E">
            <w:pPr>
              <w:spacing w:line="240" w:lineRule="auto"/>
              <w:rPr>
                <w:color w:val="000000"/>
                <w:sz w:val="22"/>
                <w:szCs w:val="22"/>
                <w:lang w:eastAsia="ja-JP"/>
              </w:rPr>
            </w:pPr>
          </w:p>
        </w:tc>
        <w:tc>
          <w:tcPr>
            <w:tcW w:w="2157" w:type="pct"/>
            <w:gridSpan w:val="2"/>
            <w:tcBorders>
              <w:left w:val="nil"/>
            </w:tcBorders>
            <w:shd w:val="clear" w:color="auto" w:fill="auto"/>
            <w:vAlign w:val="center"/>
          </w:tcPr>
          <w:p w14:paraId="1EC0202F"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Not married (cohabiting)</w:t>
            </w:r>
          </w:p>
        </w:tc>
        <w:tc>
          <w:tcPr>
            <w:tcW w:w="449" w:type="pct"/>
            <w:shd w:val="clear" w:color="auto" w:fill="auto"/>
            <w:noWrap/>
            <w:vAlign w:val="center"/>
          </w:tcPr>
          <w:p w14:paraId="1EC02030"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140</w:t>
            </w:r>
          </w:p>
        </w:tc>
        <w:tc>
          <w:tcPr>
            <w:tcW w:w="450" w:type="pct"/>
            <w:tcBorders>
              <w:right w:val="single" w:sz="4" w:space="0" w:color="auto"/>
            </w:tcBorders>
            <w:shd w:val="clear" w:color="auto" w:fill="auto"/>
            <w:noWrap/>
            <w:vAlign w:val="center"/>
          </w:tcPr>
          <w:p w14:paraId="1EC02031"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16%</w:t>
            </w:r>
          </w:p>
        </w:tc>
        <w:tc>
          <w:tcPr>
            <w:tcW w:w="449" w:type="pct"/>
            <w:tcBorders>
              <w:left w:val="single" w:sz="4" w:space="0" w:color="auto"/>
            </w:tcBorders>
            <w:shd w:val="clear" w:color="auto" w:fill="auto"/>
            <w:noWrap/>
            <w:vAlign w:val="center"/>
          </w:tcPr>
          <w:p w14:paraId="1EC02032" w14:textId="77777777" w:rsidR="004C541E" w:rsidRPr="004C541E" w:rsidRDefault="004C541E" w:rsidP="004C541E">
            <w:pPr>
              <w:spacing w:line="240" w:lineRule="auto"/>
              <w:jc w:val="center"/>
              <w:rPr>
                <w:sz w:val="22"/>
                <w:szCs w:val="22"/>
              </w:rPr>
            </w:pPr>
            <w:r w:rsidRPr="004C541E">
              <w:rPr>
                <w:sz w:val="22"/>
                <w:szCs w:val="22"/>
              </w:rPr>
              <w:t>504</w:t>
            </w:r>
          </w:p>
        </w:tc>
        <w:tc>
          <w:tcPr>
            <w:tcW w:w="449" w:type="pct"/>
            <w:shd w:val="clear" w:color="auto" w:fill="auto"/>
            <w:noWrap/>
            <w:vAlign w:val="center"/>
          </w:tcPr>
          <w:p w14:paraId="1EC02033" w14:textId="77777777" w:rsidR="004C541E" w:rsidRPr="004C541E" w:rsidRDefault="004C541E" w:rsidP="004C541E">
            <w:pPr>
              <w:spacing w:line="240" w:lineRule="auto"/>
              <w:jc w:val="center"/>
              <w:rPr>
                <w:sz w:val="22"/>
                <w:szCs w:val="22"/>
              </w:rPr>
            </w:pPr>
            <w:r w:rsidRPr="004C541E">
              <w:rPr>
                <w:sz w:val="22"/>
                <w:szCs w:val="22"/>
              </w:rPr>
              <w:t>21%</w:t>
            </w:r>
          </w:p>
        </w:tc>
      </w:tr>
      <w:tr w:rsidR="004C541E" w:rsidRPr="004C541E" w14:paraId="1EC0203B" w14:textId="77777777" w:rsidTr="004C541E">
        <w:trPr>
          <w:trHeight w:val="20"/>
        </w:trPr>
        <w:tc>
          <w:tcPr>
            <w:tcW w:w="1045" w:type="pct"/>
            <w:vMerge/>
            <w:tcBorders>
              <w:left w:val="nil"/>
              <w:bottom w:val="single" w:sz="4" w:space="0" w:color="auto"/>
              <w:right w:val="nil"/>
            </w:tcBorders>
            <w:shd w:val="clear" w:color="auto" w:fill="auto"/>
            <w:vAlign w:val="center"/>
          </w:tcPr>
          <w:p w14:paraId="1EC02035" w14:textId="77777777" w:rsidR="004C541E" w:rsidRPr="004C541E" w:rsidRDefault="004C541E" w:rsidP="004C541E">
            <w:pPr>
              <w:spacing w:line="240" w:lineRule="auto"/>
              <w:rPr>
                <w:color w:val="000000"/>
                <w:sz w:val="22"/>
                <w:szCs w:val="22"/>
                <w:lang w:eastAsia="ja-JP"/>
              </w:rPr>
            </w:pPr>
          </w:p>
        </w:tc>
        <w:tc>
          <w:tcPr>
            <w:tcW w:w="2157" w:type="pct"/>
            <w:gridSpan w:val="2"/>
            <w:tcBorders>
              <w:left w:val="nil"/>
              <w:bottom w:val="single" w:sz="4" w:space="0" w:color="auto"/>
            </w:tcBorders>
            <w:shd w:val="clear" w:color="auto" w:fill="auto"/>
            <w:vAlign w:val="center"/>
          </w:tcPr>
          <w:p w14:paraId="1EC02036"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Not married</w:t>
            </w:r>
          </w:p>
        </w:tc>
        <w:tc>
          <w:tcPr>
            <w:tcW w:w="449" w:type="pct"/>
            <w:tcBorders>
              <w:bottom w:val="single" w:sz="4" w:space="0" w:color="auto"/>
            </w:tcBorders>
            <w:shd w:val="clear" w:color="auto" w:fill="auto"/>
            <w:noWrap/>
            <w:vAlign w:val="center"/>
          </w:tcPr>
          <w:p w14:paraId="1EC02037"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276</w:t>
            </w:r>
          </w:p>
        </w:tc>
        <w:tc>
          <w:tcPr>
            <w:tcW w:w="450" w:type="pct"/>
            <w:tcBorders>
              <w:bottom w:val="single" w:sz="4" w:space="0" w:color="auto"/>
              <w:right w:val="single" w:sz="4" w:space="0" w:color="auto"/>
            </w:tcBorders>
            <w:shd w:val="clear" w:color="auto" w:fill="auto"/>
            <w:noWrap/>
            <w:vAlign w:val="center"/>
          </w:tcPr>
          <w:p w14:paraId="1EC02038"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32%</w:t>
            </w:r>
          </w:p>
        </w:tc>
        <w:tc>
          <w:tcPr>
            <w:tcW w:w="449" w:type="pct"/>
            <w:tcBorders>
              <w:left w:val="single" w:sz="4" w:space="0" w:color="auto"/>
              <w:bottom w:val="single" w:sz="4" w:space="0" w:color="auto"/>
            </w:tcBorders>
            <w:shd w:val="clear" w:color="auto" w:fill="auto"/>
            <w:noWrap/>
            <w:vAlign w:val="center"/>
          </w:tcPr>
          <w:p w14:paraId="1EC02039" w14:textId="77777777" w:rsidR="004C541E" w:rsidRPr="004C541E" w:rsidRDefault="004C541E" w:rsidP="004C541E">
            <w:pPr>
              <w:spacing w:line="240" w:lineRule="auto"/>
              <w:jc w:val="center"/>
              <w:rPr>
                <w:sz w:val="22"/>
                <w:szCs w:val="22"/>
              </w:rPr>
            </w:pPr>
            <w:r w:rsidRPr="004C541E">
              <w:rPr>
                <w:sz w:val="22"/>
                <w:szCs w:val="22"/>
              </w:rPr>
              <w:t>723</w:t>
            </w:r>
          </w:p>
        </w:tc>
        <w:tc>
          <w:tcPr>
            <w:tcW w:w="449" w:type="pct"/>
            <w:tcBorders>
              <w:bottom w:val="single" w:sz="4" w:space="0" w:color="auto"/>
            </w:tcBorders>
            <w:shd w:val="clear" w:color="auto" w:fill="auto"/>
            <w:noWrap/>
            <w:vAlign w:val="center"/>
          </w:tcPr>
          <w:p w14:paraId="1EC0203A" w14:textId="77777777" w:rsidR="004C541E" w:rsidRPr="004C541E" w:rsidRDefault="004C541E" w:rsidP="004C541E">
            <w:pPr>
              <w:spacing w:line="240" w:lineRule="auto"/>
              <w:jc w:val="center"/>
              <w:rPr>
                <w:sz w:val="22"/>
                <w:szCs w:val="22"/>
              </w:rPr>
            </w:pPr>
            <w:r w:rsidRPr="004C541E">
              <w:rPr>
                <w:sz w:val="22"/>
                <w:szCs w:val="22"/>
              </w:rPr>
              <w:t>30%</w:t>
            </w:r>
          </w:p>
        </w:tc>
      </w:tr>
      <w:tr w:rsidR="004C541E" w:rsidRPr="004C541E" w14:paraId="1EC02042" w14:textId="77777777" w:rsidTr="004C541E">
        <w:trPr>
          <w:trHeight w:val="20"/>
        </w:trPr>
        <w:tc>
          <w:tcPr>
            <w:tcW w:w="1045" w:type="pct"/>
            <w:vMerge w:val="restart"/>
            <w:tcBorders>
              <w:top w:val="single" w:sz="4" w:space="0" w:color="auto"/>
              <w:left w:val="nil"/>
              <w:bottom w:val="nil"/>
              <w:right w:val="nil"/>
            </w:tcBorders>
            <w:shd w:val="clear" w:color="auto" w:fill="auto"/>
            <w:vAlign w:val="center"/>
            <w:hideMark/>
          </w:tcPr>
          <w:p w14:paraId="1EC0203C"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Economic activity status</w:t>
            </w:r>
          </w:p>
        </w:tc>
        <w:tc>
          <w:tcPr>
            <w:tcW w:w="2157" w:type="pct"/>
            <w:gridSpan w:val="2"/>
            <w:tcBorders>
              <w:top w:val="single" w:sz="4" w:space="0" w:color="auto"/>
              <w:left w:val="nil"/>
              <w:bottom w:val="nil"/>
              <w:right w:val="nil"/>
            </w:tcBorders>
            <w:shd w:val="clear" w:color="auto" w:fill="auto"/>
            <w:vAlign w:val="center"/>
            <w:hideMark/>
          </w:tcPr>
          <w:p w14:paraId="1EC0203D"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Employed (full-time)</w:t>
            </w:r>
          </w:p>
        </w:tc>
        <w:tc>
          <w:tcPr>
            <w:tcW w:w="449" w:type="pct"/>
            <w:tcBorders>
              <w:top w:val="single" w:sz="4" w:space="0" w:color="auto"/>
              <w:left w:val="nil"/>
              <w:bottom w:val="nil"/>
              <w:right w:val="nil"/>
            </w:tcBorders>
            <w:shd w:val="clear" w:color="auto" w:fill="auto"/>
            <w:noWrap/>
            <w:vAlign w:val="center"/>
            <w:hideMark/>
          </w:tcPr>
          <w:p w14:paraId="1EC0203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512</w:t>
            </w:r>
          </w:p>
        </w:tc>
        <w:tc>
          <w:tcPr>
            <w:tcW w:w="450" w:type="pct"/>
            <w:tcBorders>
              <w:top w:val="single" w:sz="4" w:space="0" w:color="auto"/>
              <w:left w:val="nil"/>
              <w:bottom w:val="nil"/>
              <w:right w:val="single" w:sz="4" w:space="0" w:color="auto"/>
            </w:tcBorders>
            <w:shd w:val="clear" w:color="auto" w:fill="auto"/>
            <w:noWrap/>
            <w:vAlign w:val="center"/>
            <w:hideMark/>
          </w:tcPr>
          <w:p w14:paraId="1EC0203F"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61%</w:t>
            </w:r>
          </w:p>
        </w:tc>
        <w:tc>
          <w:tcPr>
            <w:tcW w:w="449" w:type="pct"/>
            <w:tcBorders>
              <w:top w:val="single" w:sz="4" w:space="0" w:color="auto"/>
              <w:left w:val="single" w:sz="4" w:space="0" w:color="auto"/>
              <w:bottom w:val="nil"/>
              <w:right w:val="nil"/>
            </w:tcBorders>
            <w:shd w:val="clear" w:color="auto" w:fill="auto"/>
            <w:noWrap/>
          </w:tcPr>
          <w:p w14:paraId="1EC02040" w14:textId="77777777" w:rsidR="004C541E" w:rsidRPr="004C541E" w:rsidRDefault="004C541E" w:rsidP="004C541E">
            <w:pPr>
              <w:spacing w:line="240" w:lineRule="auto"/>
              <w:jc w:val="center"/>
              <w:rPr>
                <w:color w:val="000000"/>
                <w:sz w:val="22"/>
                <w:szCs w:val="22"/>
                <w:lang w:eastAsia="ja-JP"/>
              </w:rPr>
            </w:pPr>
            <w:r w:rsidRPr="004C541E">
              <w:rPr>
                <w:sz w:val="22"/>
                <w:szCs w:val="22"/>
              </w:rPr>
              <w:t>1366</w:t>
            </w:r>
          </w:p>
        </w:tc>
        <w:tc>
          <w:tcPr>
            <w:tcW w:w="449" w:type="pct"/>
            <w:tcBorders>
              <w:top w:val="single" w:sz="4" w:space="0" w:color="auto"/>
              <w:left w:val="nil"/>
              <w:bottom w:val="nil"/>
            </w:tcBorders>
            <w:shd w:val="clear" w:color="auto" w:fill="auto"/>
            <w:noWrap/>
          </w:tcPr>
          <w:p w14:paraId="1EC02041" w14:textId="77777777" w:rsidR="004C541E" w:rsidRPr="004C541E" w:rsidRDefault="004C541E" w:rsidP="004C541E">
            <w:pPr>
              <w:spacing w:line="240" w:lineRule="auto"/>
              <w:jc w:val="center"/>
              <w:rPr>
                <w:color w:val="000000"/>
                <w:sz w:val="22"/>
                <w:szCs w:val="22"/>
                <w:lang w:eastAsia="ja-JP"/>
              </w:rPr>
            </w:pPr>
            <w:r w:rsidRPr="004C541E">
              <w:rPr>
                <w:sz w:val="22"/>
                <w:szCs w:val="22"/>
              </w:rPr>
              <w:t>56%</w:t>
            </w:r>
          </w:p>
        </w:tc>
      </w:tr>
      <w:tr w:rsidR="004C541E" w:rsidRPr="004C541E" w14:paraId="1EC02049" w14:textId="77777777" w:rsidTr="004C541E">
        <w:trPr>
          <w:trHeight w:val="20"/>
        </w:trPr>
        <w:tc>
          <w:tcPr>
            <w:tcW w:w="1045" w:type="pct"/>
            <w:vMerge/>
            <w:tcBorders>
              <w:top w:val="nil"/>
              <w:left w:val="nil"/>
              <w:bottom w:val="nil"/>
              <w:right w:val="nil"/>
            </w:tcBorders>
            <w:vAlign w:val="center"/>
            <w:hideMark/>
          </w:tcPr>
          <w:p w14:paraId="1EC02043"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44"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Employed (part-time)</w:t>
            </w:r>
          </w:p>
        </w:tc>
        <w:tc>
          <w:tcPr>
            <w:tcW w:w="449" w:type="pct"/>
            <w:tcBorders>
              <w:top w:val="nil"/>
              <w:left w:val="nil"/>
              <w:bottom w:val="nil"/>
              <w:right w:val="nil"/>
            </w:tcBorders>
            <w:shd w:val="clear" w:color="auto" w:fill="auto"/>
            <w:noWrap/>
            <w:vAlign w:val="center"/>
            <w:hideMark/>
          </w:tcPr>
          <w:p w14:paraId="1EC02045"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139</w:t>
            </w:r>
          </w:p>
        </w:tc>
        <w:tc>
          <w:tcPr>
            <w:tcW w:w="450" w:type="pct"/>
            <w:tcBorders>
              <w:top w:val="nil"/>
              <w:left w:val="nil"/>
              <w:bottom w:val="nil"/>
              <w:right w:val="single" w:sz="4" w:space="0" w:color="auto"/>
            </w:tcBorders>
            <w:shd w:val="clear" w:color="auto" w:fill="auto"/>
            <w:noWrap/>
            <w:vAlign w:val="center"/>
            <w:hideMark/>
          </w:tcPr>
          <w:p w14:paraId="1EC02046"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17%</w:t>
            </w:r>
          </w:p>
        </w:tc>
        <w:tc>
          <w:tcPr>
            <w:tcW w:w="449" w:type="pct"/>
            <w:tcBorders>
              <w:top w:val="nil"/>
              <w:left w:val="single" w:sz="4" w:space="0" w:color="auto"/>
              <w:bottom w:val="nil"/>
              <w:right w:val="nil"/>
            </w:tcBorders>
            <w:shd w:val="clear" w:color="auto" w:fill="auto"/>
            <w:noWrap/>
          </w:tcPr>
          <w:p w14:paraId="1EC02047" w14:textId="77777777" w:rsidR="004C541E" w:rsidRPr="004C541E" w:rsidRDefault="004C541E" w:rsidP="004C541E">
            <w:pPr>
              <w:spacing w:line="240" w:lineRule="auto"/>
              <w:jc w:val="center"/>
              <w:rPr>
                <w:color w:val="000000"/>
                <w:sz w:val="22"/>
                <w:szCs w:val="22"/>
                <w:lang w:eastAsia="ja-JP"/>
              </w:rPr>
            </w:pPr>
            <w:r w:rsidRPr="004C541E">
              <w:rPr>
                <w:sz w:val="22"/>
                <w:szCs w:val="22"/>
              </w:rPr>
              <w:t>364</w:t>
            </w:r>
          </w:p>
        </w:tc>
        <w:tc>
          <w:tcPr>
            <w:tcW w:w="449" w:type="pct"/>
            <w:tcBorders>
              <w:top w:val="nil"/>
              <w:left w:val="nil"/>
              <w:bottom w:val="nil"/>
            </w:tcBorders>
            <w:shd w:val="clear" w:color="auto" w:fill="auto"/>
            <w:noWrap/>
          </w:tcPr>
          <w:p w14:paraId="1EC02048" w14:textId="77777777" w:rsidR="004C541E" w:rsidRPr="004C541E" w:rsidRDefault="004C541E" w:rsidP="004C541E">
            <w:pPr>
              <w:spacing w:line="240" w:lineRule="auto"/>
              <w:jc w:val="center"/>
              <w:rPr>
                <w:color w:val="000000"/>
                <w:sz w:val="22"/>
                <w:szCs w:val="22"/>
                <w:lang w:eastAsia="ja-JP"/>
              </w:rPr>
            </w:pPr>
            <w:r w:rsidRPr="004C541E">
              <w:rPr>
                <w:sz w:val="22"/>
                <w:szCs w:val="22"/>
              </w:rPr>
              <w:t>15%</w:t>
            </w:r>
          </w:p>
        </w:tc>
      </w:tr>
      <w:tr w:rsidR="004C541E" w:rsidRPr="004C541E" w14:paraId="1EC02050" w14:textId="77777777" w:rsidTr="004C541E">
        <w:trPr>
          <w:trHeight w:val="20"/>
        </w:trPr>
        <w:tc>
          <w:tcPr>
            <w:tcW w:w="1045" w:type="pct"/>
            <w:vMerge/>
            <w:tcBorders>
              <w:top w:val="nil"/>
              <w:left w:val="nil"/>
              <w:bottom w:val="nil"/>
              <w:right w:val="nil"/>
            </w:tcBorders>
            <w:vAlign w:val="center"/>
            <w:hideMark/>
          </w:tcPr>
          <w:p w14:paraId="1EC0204A"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4B"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Self-employed</w:t>
            </w:r>
          </w:p>
        </w:tc>
        <w:tc>
          <w:tcPr>
            <w:tcW w:w="449" w:type="pct"/>
            <w:tcBorders>
              <w:top w:val="nil"/>
              <w:left w:val="nil"/>
              <w:bottom w:val="nil"/>
              <w:right w:val="nil"/>
            </w:tcBorders>
            <w:shd w:val="clear" w:color="auto" w:fill="auto"/>
            <w:noWrap/>
            <w:vAlign w:val="center"/>
            <w:hideMark/>
          </w:tcPr>
          <w:p w14:paraId="1EC0204C"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79</w:t>
            </w:r>
          </w:p>
        </w:tc>
        <w:tc>
          <w:tcPr>
            <w:tcW w:w="450" w:type="pct"/>
            <w:tcBorders>
              <w:top w:val="nil"/>
              <w:left w:val="nil"/>
              <w:bottom w:val="nil"/>
              <w:right w:val="single" w:sz="4" w:space="0" w:color="auto"/>
            </w:tcBorders>
            <w:shd w:val="clear" w:color="auto" w:fill="auto"/>
            <w:noWrap/>
            <w:vAlign w:val="center"/>
            <w:hideMark/>
          </w:tcPr>
          <w:p w14:paraId="1EC0204D"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9%</w:t>
            </w:r>
          </w:p>
        </w:tc>
        <w:tc>
          <w:tcPr>
            <w:tcW w:w="449" w:type="pct"/>
            <w:tcBorders>
              <w:top w:val="nil"/>
              <w:left w:val="single" w:sz="4" w:space="0" w:color="auto"/>
              <w:bottom w:val="nil"/>
              <w:right w:val="nil"/>
            </w:tcBorders>
            <w:shd w:val="clear" w:color="auto" w:fill="auto"/>
            <w:noWrap/>
          </w:tcPr>
          <w:p w14:paraId="1EC0204E" w14:textId="77777777" w:rsidR="004C541E" w:rsidRPr="004C541E" w:rsidRDefault="004C541E" w:rsidP="004C541E">
            <w:pPr>
              <w:spacing w:line="240" w:lineRule="auto"/>
              <w:jc w:val="center"/>
              <w:rPr>
                <w:color w:val="000000"/>
                <w:sz w:val="22"/>
                <w:szCs w:val="22"/>
                <w:lang w:eastAsia="ja-JP"/>
              </w:rPr>
            </w:pPr>
            <w:r w:rsidRPr="004C541E">
              <w:rPr>
                <w:sz w:val="22"/>
                <w:szCs w:val="22"/>
              </w:rPr>
              <w:t>269</w:t>
            </w:r>
          </w:p>
        </w:tc>
        <w:tc>
          <w:tcPr>
            <w:tcW w:w="449" w:type="pct"/>
            <w:tcBorders>
              <w:top w:val="nil"/>
              <w:left w:val="nil"/>
              <w:bottom w:val="nil"/>
            </w:tcBorders>
            <w:shd w:val="clear" w:color="auto" w:fill="auto"/>
            <w:noWrap/>
          </w:tcPr>
          <w:p w14:paraId="1EC0204F" w14:textId="77777777" w:rsidR="004C541E" w:rsidRPr="004C541E" w:rsidRDefault="004C541E" w:rsidP="004C541E">
            <w:pPr>
              <w:spacing w:line="240" w:lineRule="auto"/>
              <w:jc w:val="center"/>
              <w:rPr>
                <w:color w:val="000000"/>
                <w:sz w:val="22"/>
                <w:szCs w:val="22"/>
                <w:lang w:eastAsia="ja-JP"/>
              </w:rPr>
            </w:pPr>
            <w:r w:rsidRPr="004C541E">
              <w:rPr>
                <w:sz w:val="22"/>
                <w:szCs w:val="22"/>
              </w:rPr>
              <w:t>11%</w:t>
            </w:r>
          </w:p>
        </w:tc>
      </w:tr>
      <w:tr w:rsidR="004C541E" w:rsidRPr="004C541E" w14:paraId="1EC02057" w14:textId="77777777" w:rsidTr="004C541E">
        <w:trPr>
          <w:trHeight w:val="20"/>
        </w:trPr>
        <w:tc>
          <w:tcPr>
            <w:tcW w:w="1045" w:type="pct"/>
            <w:vMerge/>
            <w:tcBorders>
              <w:top w:val="nil"/>
              <w:left w:val="nil"/>
              <w:bottom w:val="single" w:sz="4" w:space="0" w:color="auto"/>
              <w:right w:val="nil"/>
            </w:tcBorders>
            <w:vAlign w:val="center"/>
            <w:hideMark/>
          </w:tcPr>
          <w:p w14:paraId="1EC02051"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4" w:space="0" w:color="auto"/>
              <w:right w:val="nil"/>
            </w:tcBorders>
            <w:shd w:val="clear" w:color="auto" w:fill="auto"/>
            <w:vAlign w:val="center"/>
            <w:hideMark/>
          </w:tcPr>
          <w:p w14:paraId="1EC02052"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Inactive and unemployed</w:t>
            </w:r>
          </w:p>
        </w:tc>
        <w:tc>
          <w:tcPr>
            <w:tcW w:w="449" w:type="pct"/>
            <w:tcBorders>
              <w:top w:val="nil"/>
              <w:left w:val="nil"/>
              <w:bottom w:val="single" w:sz="4" w:space="0" w:color="auto"/>
              <w:right w:val="nil"/>
            </w:tcBorders>
            <w:shd w:val="clear" w:color="auto" w:fill="auto"/>
            <w:noWrap/>
            <w:vAlign w:val="center"/>
            <w:hideMark/>
          </w:tcPr>
          <w:p w14:paraId="1EC02053"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110</w:t>
            </w:r>
          </w:p>
        </w:tc>
        <w:tc>
          <w:tcPr>
            <w:tcW w:w="450" w:type="pct"/>
            <w:tcBorders>
              <w:top w:val="nil"/>
              <w:left w:val="nil"/>
              <w:bottom w:val="single" w:sz="4" w:space="0" w:color="auto"/>
              <w:right w:val="single" w:sz="4" w:space="0" w:color="auto"/>
            </w:tcBorders>
            <w:shd w:val="clear" w:color="auto" w:fill="auto"/>
            <w:noWrap/>
            <w:vAlign w:val="center"/>
            <w:hideMark/>
          </w:tcPr>
          <w:p w14:paraId="1EC02054"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13%</w:t>
            </w:r>
          </w:p>
        </w:tc>
        <w:tc>
          <w:tcPr>
            <w:tcW w:w="449" w:type="pct"/>
            <w:tcBorders>
              <w:top w:val="nil"/>
              <w:left w:val="single" w:sz="4" w:space="0" w:color="auto"/>
              <w:bottom w:val="single" w:sz="4" w:space="0" w:color="auto"/>
              <w:right w:val="nil"/>
            </w:tcBorders>
            <w:shd w:val="clear" w:color="auto" w:fill="auto"/>
            <w:noWrap/>
          </w:tcPr>
          <w:p w14:paraId="1EC02055" w14:textId="77777777" w:rsidR="004C541E" w:rsidRPr="004C541E" w:rsidRDefault="004C541E" w:rsidP="004C541E">
            <w:pPr>
              <w:spacing w:line="240" w:lineRule="auto"/>
              <w:jc w:val="center"/>
              <w:rPr>
                <w:color w:val="000000"/>
                <w:sz w:val="22"/>
                <w:szCs w:val="22"/>
                <w:lang w:eastAsia="ja-JP"/>
              </w:rPr>
            </w:pPr>
            <w:r w:rsidRPr="004C541E">
              <w:rPr>
                <w:sz w:val="22"/>
                <w:szCs w:val="22"/>
              </w:rPr>
              <w:t>454</w:t>
            </w:r>
          </w:p>
        </w:tc>
        <w:tc>
          <w:tcPr>
            <w:tcW w:w="449" w:type="pct"/>
            <w:tcBorders>
              <w:top w:val="nil"/>
              <w:left w:val="nil"/>
              <w:bottom w:val="single" w:sz="4" w:space="0" w:color="auto"/>
            </w:tcBorders>
            <w:shd w:val="clear" w:color="auto" w:fill="auto"/>
            <w:noWrap/>
          </w:tcPr>
          <w:p w14:paraId="1EC02056" w14:textId="77777777" w:rsidR="004C541E" w:rsidRPr="004C541E" w:rsidRDefault="004C541E" w:rsidP="004C541E">
            <w:pPr>
              <w:spacing w:line="240" w:lineRule="auto"/>
              <w:jc w:val="center"/>
              <w:rPr>
                <w:color w:val="000000"/>
                <w:sz w:val="22"/>
                <w:szCs w:val="22"/>
                <w:lang w:eastAsia="ja-JP"/>
              </w:rPr>
            </w:pPr>
            <w:r w:rsidRPr="004C541E">
              <w:rPr>
                <w:sz w:val="22"/>
                <w:szCs w:val="22"/>
              </w:rPr>
              <w:t>19%</w:t>
            </w:r>
          </w:p>
        </w:tc>
      </w:tr>
      <w:tr w:rsidR="004C541E" w:rsidRPr="004C541E" w14:paraId="1EC0205E" w14:textId="77777777" w:rsidTr="004C541E">
        <w:trPr>
          <w:trHeight w:val="20"/>
        </w:trPr>
        <w:tc>
          <w:tcPr>
            <w:tcW w:w="1045" w:type="pct"/>
            <w:vMerge w:val="restart"/>
            <w:tcBorders>
              <w:top w:val="single" w:sz="4" w:space="0" w:color="auto"/>
              <w:left w:val="nil"/>
              <w:bottom w:val="single" w:sz="4" w:space="0" w:color="auto"/>
              <w:right w:val="nil"/>
            </w:tcBorders>
            <w:shd w:val="clear" w:color="auto" w:fill="auto"/>
            <w:vAlign w:val="center"/>
            <w:hideMark/>
          </w:tcPr>
          <w:p w14:paraId="1EC02058"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Socio-economic status (NS_SEC)</w:t>
            </w:r>
          </w:p>
        </w:tc>
        <w:tc>
          <w:tcPr>
            <w:tcW w:w="2157" w:type="pct"/>
            <w:gridSpan w:val="2"/>
            <w:tcBorders>
              <w:top w:val="single" w:sz="4" w:space="0" w:color="auto"/>
              <w:left w:val="nil"/>
              <w:bottom w:val="nil"/>
              <w:right w:val="nil"/>
            </w:tcBorders>
            <w:shd w:val="clear" w:color="auto" w:fill="auto"/>
            <w:vAlign w:val="center"/>
            <w:hideMark/>
          </w:tcPr>
          <w:p w14:paraId="1EC02059" w14:textId="77777777" w:rsidR="004C541E" w:rsidRPr="004C541E" w:rsidRDefault="004C541E" w:rsidP="004C541E">
            <w:pPr>
              <w:spacing w:line="240" w:lineRule="auto"/>
              <w:rPr>
                <w:color w:val="000000"/>
                <w:sz w:val="22"/>
                <w:szCs w:val="22"/>
                <w:lang w:eastAsia="ja-JP"/>
              </w:rPr>
            </w:pPr>
            <w:r w:rsidRPr="004C541E">
              <w:rPr>
                <w:sz w:val="22"/>
                <w:szCs w:val="22"/>
              </w:rPr>
              <w:t>I: Higher managerial, administrative and professional</w:t>
            </w:r>
          </w:p>
        </w:tc>
        <w:tc>
          <w:tcPr>
            <w:tcW w:w="449" w:type="pct"/>
            <w:tcBorders>
              <w:top w:val="single" w:sz="4" w:space="0" w:color="auto"/>
              <w:left w:val="nil"/>
              <w:bottom w:val="nil"/>
              <w:right w:val="nil"/>
            </w:tcBorders>
            <w:shd w:val="clear" w:color="auto" w:fill="auto"/>
            <w:noWrap/>
            <w:vAlign w:val="center"/>
            <w:hideMark/>
          </w:tcPr>
          <w:p w14:paraId="1EC0205A"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48</w:t>
            </w:r>
          </w:p>
        </w:tc>
        <w:tc>
          <w:tcPr>
            <w:tcW w:w="450" w:type="pct"/>
            <w:tcBorders>
              <w:top w:val="single" w:sz="4" w:space="0" w:color="auto"/>
              <w:left w:val="nil"/>
              <w:bottom w:val="nil"/>
              <w:right w:val="single" w:sz="4" w:space="0" w:color="auto"/>
            </w:tcBorders>
            <w:shd w:val="clear" w:color="auto" w:fill="auto"/>
            <w:noWrap/>
            <w:vAlign w:val="center"/>
            <w:hideMark/>
          </w:tcPr>
          <w:p w14:paraId="1EC0205B"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8%</w:t>
            </w:r>
          </w:p>
        </w:tc>
        <w:tc>
          <w:tcPr>
            <w:tcW w:w="449" w:type="pct"/>
            <w:tcBorders>
              <w:top w:val="single" w:sz="4" w:space="0" w:color="auto"/>
              <w:left w:val="single" w:sz="4" w:space="0" w:color="auto"/>
              <w:bottom w:val="nil"/>
              <w:right w:val="nil"/>
            </w:tcBorders>
            <w:shd w:val="clear" w:color="auto" w:fill="auto"/>
            <w:noWrap/>
            <w:vAlign w:val="center"/>
          </w:tcPr>
          <w:p w14:paraId="1EC0205C" w14:textId="77777777" w:rsidR="004C541E" w:rsidRPr="004C541E" w:rsidRDefault="004C541E" w:rsidP="004C541E">
            <w:pPr>
              <w:spacing w:line="240" w:lineRule="auto"/>
              <w:jc w:val="center"/>
              <w:rPr>
                <w:color w:val="000000"/>
                <w:sz w:val="22"/>
                <w:szCs w:val="22"/>
                <w:lang w:eastAsia="ja-JP"/>
              </w:rPr>
            </w:pPr>
            <w:r w:rsidRPr="004C541E">
              <w:rPr>
                <w:sz w:val="22"/>
                <w:szCs w:val="22"/>
              </w:rPr>
              <w:t>74</w:t>
            </w:r>
          </w:p>
        </w:tc>
        <w:tc>
          <w:tcPr>
            <w:tcW w:w="449" w:type="pct"/>
            <w:tcBorders>
              <w:top w:val="single" w:sz="4" w:space="0" w:color="auto"/>
              <w:left w:val="nil"/>
              <w:bottom w:val="nil"/>
            </w:tcBorders>
            <w:shd w:val="clear" w:color="auto" w:fill="auto"/>
            <w:noWrap/>
            <w:vAlign w:val="center"/>
          </w:tcPr>
          <w:p w14:paraId="1EC0205D" w14:textId="77777777" w:rsidR="004C541E" w:rsidRPr="004C541E" w:rsidRDefault="004C541E" w:rsidP="004C541E">
            <w:pPr>
              <w:spacing w:line="240" w:lineRule="auto"/>
              <w:jc w:val="center"/>
              <w:rPr>
                <w:color w:val="000000"/>
                <w:sz w:val="22"/>
                <w:szCs w:val="22"/>
                <w:lang w:eastAsia="ja-JP"/>
              </w:rPr>
            </w:pPr>
            <w:r w:rsidRPr="004C541E">
              <w:rPr>
                <w:sz w:val="22"/>
                <w:szCs w:val="22"/>
              </w:rPr>
              <w:t>3%</w:t>
            </w:r>
          </w:p>
        </w:tc>
      </w:tr>
      <w:tr w:rsidR="004C541E" w:rsidRPr="004C541E" w14:paraId="1EC02065" w14:textId="77777777" w:rsidTr="004C541E">
        <w:trPr>
          <w:trHeight w:val="20"/>
        </w:trPr>
        <w:tc>
          <w:tcPr>
            <w:tcW w:w="1045" w:type="pct"/>
            <w:vMerge/>
            <w:tcBorders>
              <w:top w:val="double" w:sz="6" w:space="0" w:color="000000"/>
              <w:left w:val="nil"/>
              <w:bottom w:val="single" w:sz="4" w:space="0" w:color="auto"/>
              <w:right w:val="nil"/>
            </w:tcBorders>
            <w:vAlign w:val="center"/>
            <w:hideMark/>
          </w:tcPr>
          <w:p w14:paraId="1EC0205F"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60" w14:textId="77777777" w:rsidR="004C541E" w:rsidRPr="004C541E" w:rsidRDefault="004C541E" w:rsidP="004C541E">
            <w:pPr>
              <w:spacing w:line="240" w:lineRule="auto"/>
              <w:rPr>
                <w:color w:val="000000"/>
                <w:sz w:val="22"/>
                <w:szCs w:val="22"/>
                <w:lang w:eastAsia="ja-JP"/>
              </w:rPr>
            </w:pPr>
            <w:r w:rsidRPr="004C541E">
              <w:rPr>
                <w:sz w:val="22"/>
                <w:szCs w:val="22"/>
              </w:rPr>
              <w:t>II: Lower managerial, administrative and professional occupations</w:t>
            </w:r>
          </w:p>
        </w:tc>
        <w:tc>
          <w:tcPr>
            <w:tcW w:w="449" w:type="pct"/>
            <w:tcBorders>
              <w:top w:val="nil"/>
              <w:left w:val="nil"/>
              <w:bottom w:val="nil"/>
              <w:right w:val="nil"/>
            </w:tcBorders>
            <w:shd w:val="clear" w:color="auto" w:fill="auto"/>
            <w:noWrap/>
            <w:vAlign w:val="center"/>
            <w:hideMark/>
          </w:tcPr>
          <w:p w14:paraId="1EC02061"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59</w:t>
            </w:r>
          </w:p>
        </w:tc>
        <w:tc>
          <w:tcPr>
            <w:tcW w:w="450" w:type="pct"/>
            <w:tcBorders>
              <w:top w:val="nil"/>
              <w:left w:val="nil"/>
              <w:bottom w:val="nil"/>
              <w:right w:val="single" w:sz="4" w:space="0" w:color="auto"/>
            </w:tcBorders>
            <w:shd w:val="clear" w:color="auto" w:fill="auto"/>
            <w:noWrap/>
            <w:vAlign w:val="center"/>
            <w:hideMark/>
          </w:tcPr>
          <w:p w14:paraId="1EC02062"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10%</w:t>
            </w:r>
          </w:p>
        </w:tc>
        <w:tc>
          <w:tcPr>
            <w:tcW w:w="449" w:type="pct"/>
            <w:tcBorders>
              <w:top w:val="nil"/>
              <w:left w:val="single" w:sz="4" w:space="0" w:color="auto"/>
              <w:bottom w:val="nil"/>
              <w:right w:val="nil"/>
            </w:tcBorders>
            <w:shd w:val="clear" w:color="auto" w:fill="auto"/>
            <w:noWrap/>
            <w:vAlign w:val="center"/>
          </w:tcPr>
          <w:p w14:paraId="1EC02063" w14:textId="77777777" w:rsidR="004C541E" w:rsidRPr="004C541E" w:rsidRDefault="004C541E" w:rsidP="004C541E">
            <w:pPr>
              <w:spacing w:line="240" w:lineRule="auto"/>
              <w:jc w:val="center"/>
              <w:rPr>
                <w:color w:val="000000"/>
                <w:sz w:val="22"/>
                <w:szCs w:val="22"/>
                <w:lang w:eastAsia="ja-JP"/>
              </w:rPr>
            </w:pPr>
            <w:r w:rsidRPr="004C541E">
              <w:rPr>
                <w:sz w:val="22"/>
                <w:szCs w:val="22"/>
              </w:rPr>
              <w:t>205</w:t>
            </w:r>
          </w:p>
        </w:tc>
        <w:tc>
          <w:tcPr>
            <w:tcW w:w="449" w:type="pct"/>
            <w:tcBorders>
              <w:top w:val="nil"/>
              <w:left w:val="nil"/>
              <w:bottom w:val="nil"/>
            </w:tcBorders>
            <w:shd w:val="clear" w:color="auto" w:fill="auto"/>
            <w:noWrap/>
            <w:vAlign w:val="center"/>
          </w:tcPr>
          <w:p w14:paraId="1EC02064" w14:textId="77777777" w:rsidR="004C541E" w:rsidRPr="004C541E" w:rsidRDefault="004C541E" w:rsidP="004C541E">
            <w:pPr>
              <w:spacing w:line="240" w:lineRule="auto"/>
              <w:jc w:val="center"/>
              <w:rPr>
                <w:color w:val="000000"/>
                <w:sz w:val="22"/>
                <w:szCs w:val="22"/>
                <w:lang w:eastAsia="ja-JP"/>
              </w:rPr>
            </w:pPr>
            <w:r w:rsidRPr="004C541E">
              <w:rPr>
                <w:sz w:val="22"/>
                <w:szCs w:val="22"/>
              </w:rPr>
              <w:t>9%</w:t>
            </w:r>
          </w:p>
        </w:tc>
      </w:tr>
      <w:tr w:rsidR="004C541E" w:rsidRPr="004C541E" w14:paraId="1EC0206C" w14:textId="77777777" w:rsidTr="004C541E">
        <w:trPr>
          <w:trHeight w:val="20"/>
        </w:trPr>
        <w:tc>
          <w:tcPr>
            <w:tcW w:w="1045" w:type="pct"/>
            <w:vMerge/>
            <w:tcBorders>
              <w:top w:val="double" w:sz="6" w:space="0" w:color="000000"/>
              <w:left w:val="nil"/>
              <w:bottom w:val="single" w:sz="4" w:space="0" w:color="auto"/>
              <w:right w:val="nil"/>
            </w:tcBorders>
            <w:vAlign w:val="center"/>
            <w:hideMark/>
          </w:tcPr>
          <w:p w14:paraId="1EC02066"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67" w14:textId="77777777" w:rsidR="004C541E" w:rsidRPr="004C541E" w:rsidRDefault="004C541E" w:rsidP="004C541E">
            <w:pPr>
              <w:spacing w:line="240" w:lineRule="auto"/>
              <w:rPr>
                <w:color w:val="000000"/>
                <w:sz w:val="22"/>
                <w:szCs w:val="22"/>
                <w:lang w:eastAsia="ja-JP"/>
              </w:rPr>
            </w:pPr>
            <w:r w:rsidRPr="004C541E">
              <w:rPr>
                <w:sz w:val="22"/>
                <w:szCs w:val="22"/>
              </w:rPr>
              <w:t>III: Intermediate occupations</w:t>
            </w:r>
          </w:p>
        </w:tc>
        <w:tc>
          <w:tcPr>
            <w:tcW w:w="449" w:type="pct"/>
            <w:tcBorders>
              <w:top w:val="nil"/>
              <w:left w:val="nil"/>
              <w:bottom w:val="nil"/>
              <w:right w:val="nil"/>
            </w:tcBorders>
            <w:shd w:val="clear" w:color="auto" w:fill="auto"/>
            <w:noWrap/>
            <w:vAlign w:val="center"/>
            <w:hideMark/>
          </w:tcPr>
          <w:p w14:paraId="1EC02068"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39</w:t>
            </w:r>
          </w:p>
        </w:tc>
        <w:tc>
          <w:tcPr>
            <w:tcW w:w="450" w:type="pct"/>
            <w:tcBorders>
              <w:top w:val="nil"/>
              <w:left w:val="nil"/>
              <w:bottom w:val="nil"/>
              <w:right w:val="single" w:sz="4" w:space="0" w:color="auto"/>
            </w:tcBorders>
            <w:shd w:val="clear" w:color="auto" w:fill="auto"/>
            <w:noWrap/>
            <w:vAlign w:val="center"/>
            <w:hideMark/>
          </w:tcPr>
          <w:p w14:paraId="1EC02069"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6%</w:t>
            </w:r>
          </w:p>
        </w:tc>
        <w:tc>
          <w:tcPr>
            <w:tcW w:w="449" w:type="pct"/>
            <w:tcBorders>
              <w:top w:val="nil"/>
              <w:left w:val="single" w:sz="4" w:space="0" w:color="auto"/>
              <w:bottom w:val="nil"/>
              <w:right w:val="nil"/>
            </w:tcBorders>
            <w:shd w:val="clear" w:color="auto" w:fill="auto"/>
            <w:noWrap/>
            <w:vAlign w:val="center"/>
          </w:tcPr>
          <w:p w14:paraId="1EC0206A" w14:textId="77777777" w:rsidR="004C541E" w:rsidRPr="004C541E" w:rsidRDefault="004C541E" w:rsidP="004C541E">
            <w:pPr>
              <w:spacing w:line="240" w:lineRule="auto"/>
              <w:jc w:val="center"/>
              <w:rPr>
                <w:color w:val="000000"/>
                <w:sz w:val="22"/>
                <w:szCs w:val="22"/>
                <w:lang w:eastAsia="ja-JP"/>
              </w:rPr>
            </w:pPr>
            <w:r w:rsidRPr="004C541E">
              <w:rPr>
                <w:sz w:val="22"/>
                <w:szCs w:val="22"/>
              </w:rPr>
              <w:t>135</w:t>
            </w:r>
          </w:p>
        </w:tc>
        <w:tc>
          <w:tcPr>
            <w:tcW w:w="449" w:type="pct"/>
            <w:tcBorders>
              <w:top w:val="nil"/>
              <w:left w:val="nil"/>
              <w:bottom w:val="nil"/>
            </w:tcBorders>
            <w:shd w:val="clear" w:color="auto" w:fill="auto"/>
            <w:noWrap/>
            <w:vAlign w:val="center"/>
          </w:tcPr>
          <w:p w14:paraId="1EC0206B" w14:textId="77777777" w:rsidR="004C541E" w:rsidRPr="004C541E" w:rsidRDefault="004C541E" w:rsidP="004C541E">
            <w:pPr>
              <w:spacing w:line="240" w:lineRule="auto"/>
              <w:jc w:val="center"/>
              <w:rPr>
                <w:color w:val="000000"/>
                <w:sz w:val="22"/>
                <w:szCs w:val="22"/>
                <w:lang w:eastAsia="ja-JP"/>
              </w:rPr>
            </w:pPr>
            <w:r w:rsidRPr="004C541E">
              <w:rPr>
                <w:sz w:val="22"/>
                <w:szCs w:val="22"/>
              </w:rPr>
              <w:t>6%</w:t>
            </w:r>
          </w:p>
        </w:tc>
      </w:tr>
      <w:tr w:rsidR="004C541E" w:rsidRPr="004C541E" w14:paraId="1EC02073" w14:textId="77777777" w:rsidTr="004C541E">
        <w:trPr>
          <w:trHeight w:val="20"/>
        </w:trPr>
        <w:tc>
          <w:tcPr>
            <w:tcW w:w="1045" w:type="pct"/>
            <w:vMerge/>
            <w:tcBorders>
              <w:top w:val="double" w:sz="6" w:space="0" w:color="000000"/>
              <w:left w:val="nil"/>
              <w:bottom w:val="single" w:sz="4" w:space="0" w:color="auto"/>
              <w:right w:val="nil"/>
            </w:tcBorders>
            <w:vAlign w:val="center"/>
            <w:hideMark/>
          </w:tcPr>
          <w:p w14:paraId="1EC0206D"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hideMark/>
          </w:tcPr>
          <w:p w14:paraId="1EC0206E" w14:textId="77777777" w:rsidR="004C541E" w:rsidRPr="004C541E" w:rsidRDefault="004C541E" w:rsidP="004C541E">
            <w:pPr>
              <w:spacing w:line="240" w:lineRule="auto"/>
              <w:rPr>
                <w:color w:val="000000"/>
                <w:sz w:val="22"/>
                <w:szCs w:val="22"/>
                <w:lang w:eastAsia="ja-JP"/>
              </w:rPr>
            </w:pPr>
            <w:r w:rsidRPr="004C541E">
              <w:rPr>
                <w:sz w:val="22"/>
                <w:szCs w:val="22"/>
              </w:rPr>
              <w:t>IV: Small employers and own account workers</w:t>
            </w:r>
          </w:p>
        </w:tc>
        <w:tc>
          <w:tcPr>
            <w:tcW w:w="449" w:type="pct"/>
            <w:tcBorders>
              <w:top w:val="nil"/>
              <w:left w:val="nil"/>
              <w:bottom w:val="nil"/>
              <w:right w:val="nil"/>
            </w:tcBorders>
            <w:shd w:val="clear" w:color="auto" w:fill="auto"/>
            <w:noWrap/>
            <w:vAlign w:val="center"/>
            <w:hideMark/>
          </w:tcPr>
          <w:p w14:paraId="1EC0206F"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56</w:t>
            </w:r>
          </w:p>
        </w:tc>
        <w:tc>
          <w:tcPr>
            <w:tcW w:w="450" w:type="pct"/>
            <w:tcBorders>
              <w:top w:val="nil"/>
              <w:left w:val="nil"/>
              <w:bottom w:val="nil"/>
              <w:right w:val="single" w:sz="4" w:space="0" w:color="auto"/>
            </w:tcBorders>
            <w:shd w:val="clear" w:color="auto" w:fill="auto"/>
            <w:noWrap/>
            <w:vAlign w:val="center"/>
            <w:hideMark/>
          </w:tcPr>
          <w:p w14:paraId="1EC02070"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9%</w:t>
            </w:r>
          </w:p>
        </w:tc>
        <w:tc>
          <w:tcPr>
            <w:tcW w:w="449" w:type="pct"/>
            <w:tcBorders>
              <w:top w:val="nil"/>
              <w:left w:val="single" w:sz="4" w:space="0" w:color="auto"/>
              <w:bottom w:val="nil"/>
              <w:right w:val="nil"/>
            </w:tcBorders>
            <w:shd w:val="clear" w:color="auto" w:fill="auto"/>
            <w:noWrap/>
            <w:vAlign w:val="center"/>
          </w:tcPr>
          <w:p w14:paraId="1EC02071" w14:textId="77777777" w:rsidR="004C541E" w:rsidRPr="004C541E" w:rsidRDefault="004C541E" w:rsidP="004C541E">
            <w:pPr>
              <w:spacing w:line="240" w:lineRule="auto"/>
              <w:jc w:val="center"/>
              <w:rPr>
                <w:color w:val="000000"/>
                <w:sz w:val="22"/>
                <w:szCs w:val="22"/>
                <w:lang w:eastAsia="ja-JP"/>
              </w:rPr>
            </w:pPr>
            <w:r w:rsidRPr="004C541E">
              <w:rPr>
                <w:sz w:val="22"/>
                <w:szCs w:val="22"/>
              </w:rPr>
              <w:t>264</w:t>
            </w:r>
          </w:p>
        </w:tc>
        <w:tc>
          <w:tcPr>
            <w:tcW w:w="449" w:type="pct"/>
            <w:tcBorders>
              <w:top w:val="nil"/>
              <w:left w:val="nil"/>
              <w:bottom w:val="nil"/>
            </w:tcBorders>
            <w:shd w:val="clear" w:color="auto" w:fill="auto"/>
            <w:noWrap/>
            <w:vAlign w:val="center"/>
          </w:tcPr>
          <w:p w14:paraId="1EC02072" w14:textId="77777777" w:rsidR="004C541E" w:rsidRPr="004C541E" w:rsidRDefault="004C541E" w:rsidP="004C541E">
            <w:pPr>
              <w:spacing w:line="240" w:lineRule="auto"/>
              <w:jc w:val="center"/>
              <w:rPr>
                <w:color w:val="000000"/>
                <w:sz w:val="22"/>
                <w:szCs w:val="22"/>
                <w:lang w:eastAsia="ja-JP"/>
              </w:rPr>
            </w:pPr>
            <w:r w:rsidRPr="004C541E">
              <w:rPr>
                <w:sz w:val="22"/>
                <w:szCs w:val="22"/>
              </w:rPr>
              <w:t>12%</w:t>
            </w:r>
          </w:p>
        </w:tc>
      </w:tr>
      <w:tr w:rsidR="004C541E" w:rsidRPr="004C541E" w14:paraId="1EC0207A" w14:textId="77777777" w:rsidTr="004C541E">
        <w:trPr>
          <w:trHeight w:val="20"/>
        </w:trPr>
        <w:tc>
          <w:tcPr>
            <w:tcW w:w="1045" w:type="pct"/>
            <w:vMerge/>
            <w:tcBorders>
              <w:top w:val="double" w:sz="6" w:space="0" w:color="000000"/>
              <w:left w:val="nil"/>
              <w:bottom w:val="single" w:sz="4" w:space="0" w:color="auto"/>
              <w:right w:val="nil"/>
            </w:tcBorders>
            <w:vAlign w:val="center"/>
            <w:hideMark/>
          </w:tcPr>
          <w:p w14:paraId="1EC02074"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right w:val="nil"/>
            </w:tcBorders>
            <w:shd w:val="clear" w:color="auto" w:fill="auto"/>
            <w:vAlign w:val="center"/>
            <w:hideMark/>
          </w:tcPr>
          <w:p w14:paraId="1EC02075" w14:textId="77777777" w:rsidR="004C541E" w:rsidRPr="004C541E" w:rsidRDefault="004C541E" w:rsidP="004C541E">
            <w:pPr>
              <w:spacing w:line="240" w:lineRule="auto"/>
              <w:rPr>
                <w:color w:val="000000"/>
                <w:sz w:val="22"/>
                <w:szCs w:val="22"/>
                <w:lang w:eastAsia="ja-JP"/>
              </w:rPr>
            </w:pPr>
            <w:r w:rsidRPr="004C541E">
              <w:rPr>
                <w:sz w:val="22"/>
                <w:szCs w:val="22"/>
              </w:rPr>
              <w:t xml:space="preserve">V&amp;VI: </w:t>
            </w:r>
            <w:r>
              <w:rPr>
                <w:sz w:val="22"/>
                <w:szCs w:val="22"/>
              </w:rPr>
              <w:t xml:space="preserve">Lower supervisory, </w:t>
            </w:r>
            <w:r w:rsidRPr="004C541E">
              <w:rPr>
                <w:sz w:val="22"/>
                <w:szCs w:val="22"/>
              </w:rPr>
              <w:t>technical, and  semi-routine occupations</w:t>
            </w:r>
          </w:p>
        </w:tc>
        <w:tc>
          <w:tcPr>
            <w:tcW w:w="449" w:type="pct"/>
            <w:tcBorders>
              <w:top w:val="nil"/>
              <w:left w:val="nil"/>
              <w:right w:val="nil"/>
            </w:tcBorders>
            <w:shd w:val="clear" w:color="auto" w:fill="auto"/>
            <w:noWrap/>
            <w:vAlign w:val="center"/>
            <w:hideMark/>
          </w:tcPr>
          <w:p w14:paraId="1EC02076"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rPr>
              <w:t>205</w:t>
            </w:r>
          </w:p>
        </w:tc>
        <w:tc>
          <w:tcPr>
            <w:tcW w:w="450" w:type="pct"/>
            <w:tcBorders>
              <w:top w:val="nil"/>
              <w:left w:val="nil"/>
              <w:right w:val="single" w:sz="4" w:space="0" w:color="auto"/>
            </w:tcBorders>
            <w:shd w:val="clear" w:color="auto" w:fill="auto"/>
            <w:noWrap/>
            <w:vAlign w:val="center"/>
            <w:hideMark/>
          </w:tcPr>
          <w:p w14:paraId="1EC02077"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rPr>
              <w:t>34%</w:t>
            </w:r>
          </w:p>
        </w:tc>
        <w:tc>
          <w:tcPr>
            <w:tcW w:w="449" w:type="pct"/>
            <w:tcBorders>
              <w:top w:val="nil"/>
              <w:left w:val="single" w:sz="4" w:space="0" w:color="auto"/>
              <w:right w:val="nil"/>
            </w:tcBorders>
            <w:shd w:val="clear" w:color="auto" w:fill="auto"/>
            <w:noWrap/>
            <w:vAlign w:val="center"/>
          </w:tcPr>
          <w:p w14:paraId="1EC02078" w14:textId="77777777" w:rsidR="004C541E" w:rsidRPr="004C541E" w:rsidRDefault="004C541E" w:rsidP="004C541E">
            <w:pPr>
              <w:spacing w:line="240" w:lineRule="auto"/>
              <w:jc w:val="center"/>
              <w:rPr>
                <w:color w:val="000000"/>
                <w:sz w:val="22"/>
                <w:szCs w:val="22"/>
                <w:lang w:eastAsia="ja-JP"/>
              </w:rPr>
            </w:pPr>
            <w:r w:rsidRPr="004C541E">
              <w:rPr>
                <w:sz w:val="22"/>
                <w:szCs w:val="22"/>
              </w:rPr>
              <w:t>768</w:t>
            </w:r>
          </w:p>
        </w:tc>
        <w:tc>
          <w:tcPr>
            <w:tcW w:w="449" w:type="pct"/>
            <w:tcBorders>
              <w:top w:val="nil"/>
              <w:left w:val="nil"/>
            </w:tcBorders>
            <w:shd w:val="clear" w:color="auto" w:fill="auto"/>
            <w:noWrap/>
            <w:vAlign w:val="center"/>
          </w:tcPr>
          <w:p w14:paraId="1EC02079" w14:textId="77777777" w:rsidR="004C541E" w:rsidRPr="004C541E" w:rsidRDefault="004C541E" w:rsidP="004C541E">
            <w:pPr>
              <w:spacing w:line="240" w:lineRule="auto"/>
              <w:jc w:val="center"/>
              <w:rPr>
                <w:color w:val="000000"/>
                <w:sz w:val="22"/>
                <w:szCs w:val="22"/>
                <w:lang w:eastAsia="ja-JP"/>
              </w:rPr>
            </w:pPr>
            <w:r w:rsidRPr="004C541E">
              <w:rPr>
                <w:sz w:val="22"/>
                <w:szCs w:val="22"/>
              </w:rPr>
              <w:t>35%</w:t>
            </w:r>
          </w:p>
        </w:tc>
      </w:tr>
      <w:tr w:rsidR="004C541E" w:rsidRPr="004C541E" w14:paraId="1EC02081" w14:textId="77777777" w:rsidTr="004C541E">
        <w:trPr>
          <w:trHeight w:val="20"/>
        </w:trPr>
        <w:tc>
          <w:tcPr>
            <w:tcW w:w="1045" w:type="pct"/>
            <w:vMerge/>
            <w:tcBorders>
              <w:top w:val="double" w:sz="6" w:space="0" w:color="000000"/>
              <w:left w:val="nil"/>
              <w:bottom w:val="single" w:sz="4" w:space="0" w:color="auto"/>
              <w:right w:val="nil"/>
            </w:tcBorders>
            <w:vAlign w:val="center"/>
            <w:hideMark/>
          </w:tcPr>
          <w:p w14:paraId="1EC0207B"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4" w:space="0" w:color="auto"/>
              <w:right w:val="nil"/>
            </w:tcBorders>
            <w:shd w:val="clear" w:color="auto" w:fill="auto"/>
            <w:vAlign w:val="center"/>
            <w:hideMark/>
          </w:tcPr>
          <w:p w14:paraId="1EC0207C" w14:textId="77777777" w:rsidR="004C541E" w:rsidRPr="004C541E" w:rsidRDefault="004C541E" w:rsidP="004C541E">
            <w:pPr>
              <w:spacing w:line="240" w:lineRule="auto"/>
              <w:rPr>
                <w:color w:val="000000"/>
                <w:sz w:val="22"/>
                <w:szCs w:val="22"/>
                <w:lang w:eastAsia="ja-JP"/>
              </w:rPr>
            </w:pPr>
            <w:r w:rsidRPr="004C541E">
              <w:rPr>
                <w:sz w:val="22"/>
                <w:szCs w:val="22"/>
              </w:rPr>
              <w:t>VII: Routine occupations</w:t>
            </w:r>
          </w:p>
        </w:tc>
        <w:tc>
          <w:tcPr>
            <w:tcW w:w="449" w:type="pct"/>
            <w:tcBorders>
              <w:top w:val="nil"/>
              <w:left w:val="nil"/>
              <w:bottom w:val="single" w:sz="4" w:space="0" w:color="auto"/>
              <w:right w:val="nil"/>
            </w:tcBorders>
            <w:shd w:val="clear" w:color="auto" w:fill="auto"/>
            <w:noWrap/>
            <w:vAlign w:val="center"/>
            <w:hideMark/>
          </w:tcPr>
          <w:p w14:paraId="1EC0207D"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204</w:t>
            </w:r>
          </w:p>
        </w:tc>
        <w:tc>
          <w:tcPr>
            <w:tcW w:w="450" w:type="pct"/>
            <w:tcBorders>
              <w:top w:val="nil"/>
              <w:left w:val="nil"/>
              <w:bottom w:val="single" w:sz="4" w:space="0" w:color="auto"/>
              <w:right w:val="single" w:sz="4" w:space="0" w:color="auto"/>
            </w:tcBorders>
            <w:shd w:val="clear" w:color="auto" w:fill="auto"/>
            <w:noWrap/>
            <w:vAlign w:val="center"/>
            <w:hideMark/>
          </w:tcPr>
          <w:p w14:paraId="1EC0207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33%</w:t>
            </w:r>
          </w:p>
        </w:tc>
        <w:tc>
          <w:tcPr>
            <w:tcW w:w="449" w:type="pct"/>
            <w:tcBorders>
              <w:top w:val="nil"/>
              <w:left w:val="single" w:sz="4" w:space="0" w:color="auto"/>
              <w:bottom w:val="single" w:sz="4" w:space="0" w:color="auto"/>
              <w:right w:val="nil"/>
            </w:tcBorders>
            <w:shd w:val="clear" w:color="auto" w:fill="auto"/>
            <w:noWrap/>
            <w:vAlign w:val="center"/>
          </w:tcPr>
          <w:p w14:paraId="1EC0207F" w14:textId="77777777" w:rsidR="004C541E" w:rsidRPr="004C541E" w:rsidRDefault="004C541E" w:rsidP="004C541E">
            <w:pPr>
              <w:spacing w:line="240" w:lineRule="auto"/>
              <w:jc w:val="center"/>
              <w:rPr>
                <w:color w:val="000000"/>
                <w:sz w:val="22"/>
                <w:szCs w:val="22"/>
                <w:lang w:eastAsia="ja-JP"/>
              </w:rPr>
            </w:pPr>
            <w:r w:rsidRPr="004C541E">
              <w:rPr>
                <w:sz w:val="22"/>
                <w:szCs w:val="22"/>
              </w:rPr>
              <w:t>719</w:t>
            </w:r>
          </w:p>
        </w:tc>
        <w:tc>
          <w:tcPr>
            <w:tcW w:w="449" w:type="pct"/>
            <w:tcBorders>
              <w:top w:val="nil"/>
              <w:left w:val="nil"/>
              <w:bottom w:val="single" w:sz="4" w:space="0" w:color="auto"/>
            </w:tcBorders>
            <w:shd w:val="clear" w:color="auto" w:fill="auto"/>
            <w:noWrap/>
            <w:vAlign w:val="center"/>
          </w:tcPr>
          <w:p w14:paraId="1EC02080" w14:textId="77777777" w:rsidR="004C541E" w:rsidRPr="004C541E" w:rsidRDefault="004C541E" w:rsidP="004C541E">
            <w:pPr>
              <w:spacing w:line="240" w:lineRule="auto"/>
              <w:jc w:val="center"/>
              <w:rPr>
                <w:color w:val="000000"/>
                <w:sz w:val="22"/>
                <w:szCs w:val="22"/>
                <w:lang w:eastAsia="ja-JP"/>
              </w:rPr>
            </w:pPr>
            <w:r w:rsidRPr="004C541E">
              <w:rPr>
                <w:sz w:val="22"/>
                <w:szCs w:val="22"/>
              </w:rPr>
              <w:t>33%</w:t>
            </w:r>
          </w:p>
        </w:tc>
      </w:tr>
      <w:tr w:rsidR="004C541E" w:rsidRPr="004C541E" w14:paraId="1EC02088" w14:textId="77777777" w:rsidTr="004C541E">
        <w:trPr>
          <w:trHeight w:val="20"/>
        </w:trPr>
        <w:tc>
          <w:tcPr>
            <w:tcW w:w="1045" w:type="pct"/>
            <w:vMerge w:val="restart"/>
            <w:tcBorders>
              <w:top w:val="single" w:sz="4" w:space="0" w:color="auto"/>
              <w:left w:val="nil"/>
              <w:right w:val="nil"/>
            </w:tcBorders>
            <w:vAlign w:val="center"/>
          </w:tcPr>
          <w:p w14:paraId="1EC02082"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Highest educational qualification</w:t>
            </w:r>
          </w:p>
        </w:tc>
        <w:tc>
          <w:tcPr>
            <w:tcW w:w="2157" w:type="pct"/>
            <w:gridSpan w:val="2"/>
            <w:tcBorders>
              <w:top w:val="single" w:sz="4" w:space="0" w:color="auto"/>
              <w:left w:val="nil"/>
              <w:bottom w:val="nil"/>
              <w:right w:val="nil"/>
            </w:tcBorders>
            <w:shd w:val="clear" w:color="auto" w:fill="auto"/>
          </w:tcPr>
          <w:p w14:paraId="1EC02083" w14:textId="77777777" w:rsidR="004C541E" w:rsidRPr="004C541E" w:rsidRDefault="004C541E" w:rsidP="004C541E">
            <w:pPr>
              <w:spacing w:line="240" w:lineRule="auto"/>
              <w:rPr>
                <w:sz w:val="22"/>
                <w:szCs w:val="22"/>
              </w:rPr>
            </w:pPr>
            <w:r w:rsidRPr="004C541E">
              <w:rPr>
                <w:sz w:val="22"/>
                <w:szCs w:val="22"/>
              </w:rPr>
              <w:t>Master's Degree or above</w:t>
            </w:r>
          </w:p>
        </w:tc>
        <w:tc>
          <w:tcPr>
            <w:tcW w:w="449" w:type="pct"/>
            <w:tcBorders>
              <w:top w:val="single" w:sz="4" w:space="0" w:color="auto"/>
              <w:left w:val="nil"/>
              <w:bottom w:val="nil"/>
              <w:right w:val="nil"/>
            </w:tcBorders>
            <w:shd w:val="clear" w:color="auto" w:fill="auto"/>
            <w:noWrap/>
          </w:tcPr>
          <w:p w14:paraId="1EC02084" w14:textId="77777777" w:rsidR="004C541E" w:rsidRPr="004C541E" w:rsidRDefault="004C541E" w:rsidP="004C541E">
            <w:pPr>
              <w:spacing w:line="240" w:lineRule="auto"/>
              <w:jc w:val="center"/>
              <w:rPr>
                <w:color w:val="000000"/>
                <w:sz w:val="22"/>
                <w:szCs w:val="22"/>
                <w:lang w:eastAsia="ja-JP"/>
              </w:rPr>
            </w:pPr>
            <w:r w:rsidRPr="004C541E">
              <w:rPr>
                <w:sz w:val="22"/>
                <w:szCs w:val="22"/>
              </w:rPr>
              <w:t>141</w:t>
            </w:r>
          </w:p>
        </w:tc>
        <w:tc>
          <w:tcPr>
            <w:tcW w:w="450" w:type="pct"/>
            <w:tcBorders>
              <w:top w:val="single" w:sz="4" w:space="0" w:color="auto"/>
              <w:left w:val="nil"/>
              <w:bottom w:val="nil"/>
              <w:right w:val="single" w:sz="4" w:space="0" w:color="auto"/>
            </w:tcBorders>
            <w:shd w:val="clear" w:color="auto" w:fill="auto"/>
            <w:noWrap/>
          </w:tcPr>
          <w:p w14:paraId="1EC02085" w14:textId="77777777" w:rsidR="004C541E" w:rsidRPr="004C541E" w:rsidRDefault="004C541E" w:rsidP="004C541E">
            <w:pPr>
              <w:spacing w:line="240" w:lineRule="auto"/>
              <w:jc w:val="center"/>
              <w:rPr>
                <w:color w:val="000000"/>
                <w:sz w:val="22"/>
                <w:szCs w:val="22"/>
                <w:lang w:eastAsia="ja-JP"/>
              </w:rPr>
            </w:pPr>
            <w:r w:rsidRPr="004C541E">
              <w:rPr>
                <w:sz w:val="22"/>
                <w:szCs w:val="22"/>
              </w:rPr>
              <w:t>16%</w:t>
            </w:r>
          </w:p>
        </w:tc>
        <w:tc>
          <w:tcPr>
            <w:tcW w:w="449" w:type="pct"/>
            <w:tcBorders>
              <w:top w:val="single" w:sz="4" w:space="0" w:color="auto"/>
              <w:left w:val="single" w:sz="4" w:space="0" w:color="auto"/>
              <w:bottom w:val="nil"/>
              <w:right w:val="nil"/>
            </w:tcBorders>
            <w:shd w:val="clear" w:color="auto" w:fill="auto"/>
            <w:noWrap/>
          </w:tcPr>
          <w:p w14:paraId="1EC02086" w14:textId="77777777" w:rsidR="004C541E" w:rsidRPr="004C541E" w:rsidRDefault="004C541E" w:rsidP="004C541E">
            <w:pPr>
              <w:spacing w:line="240" w:lineRule="auto"/>
              <w:jc w:val="center"/>
              <w:rPr>
                <w:sz w:val="22"/>
                <w:szCs w:val="22"/>
              </w:rPr>
            </w:pPr>
            <w:r w:rsidRPr="004C541E">
              <w:rPr>
                <w:sz w:val="22"/>
                <w:szCs w:val="22"/>
              </w:rPr>
              <w:t>195</w:t>
            </w:r>
          </w:p>
        </w:tc>
        <w:tc>
          <w:tcPr>
            <w:tcW w:w="449" w:type="pct"/>
            <w:tcBorders>
              <w:top w:val="single" w:sz="4" w:space="0" w:color="auto"/>
              <w:left w:val="nil"/>
              <w:bottom w:val="nil"/>
            </w:tcBorders>
            <w:shd w:val="clear" w:color="auto" w:fill="auto"/>
            <w:noWrap/>
          </w:tcPr>
          <w:p w14:paraId="1EC02087" w14:textId="77777777" w:rsidR="004C541E" w:rsidRPr="004C541E" w:rsidRDefault="004C541E" w:rsidP="004C541E">
            <w:pPr>
              <w:spacing w:line="240" w:lineRule="auto"/>
              <w:jc w:val="center"/>
              <w:rPr>
                <w:sz w:val="22"/>
                <w:szCs w:val="22"/>
              </w:rPr>
            </w:pPr>
            <w:r w:rsidRPr="004C541E">
              <w:rPr>
                <w:sz w:val="22"/>
                <w:szCs w:val="22"/>
              </w:rPr>
              <w:t>8%</w:t>
            </w:r>
          </w:p>
        </w:tc>
      </w:tr>
      <w:tr w:rsidR="004C541E" w:rsidRPr="004C541E" w14:paraId="1EC0208F" w14:textId="77777777" w:rsidTr="004C541E">
        <w:trPr>
          <w:trHeight w:val="20"/>
        </w:trPr>
        <w:tc>
          <w:tcPr>
            <w:tcW w:w="1045" w:type="pct"/>
            <w:vMerge/>
            <w:tcBorders>
              <w:left w:val="nil"/>
              <w:right w:val="nil"/>
            </w:tcBorders>
            <w:vAlign w:val="center"/>
          </w:tcPr>
          <w:p w14:paraId="1EC02089"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tcPr>
          <w:p w14:paraId="1EC0208A" w14:textId="77777777" w:rsidR="004C541E" w:rsidRPr="004C541E" w:rsidRDefault="004C541E" w:rsidP="004C541E">
            <w:pPr>
              <w:spacing w:line="240" w:lineRule="auto"/>
              <w:rPr>
                <w:sz w:val="22"/>
                <w:szCs w:val="22"/>
              </w:rPr>
            </w:pPr>
            <w:r w:rsidRPr="004C541E">
              <w:rPr>
                <w:sz w:val="22"/>
                <w:szCs w:val="22"/>
              </w:rPr>
              <w:t>Undergraduate/Bachelor's degree</w:t>
            </w:r>
          </w:p>
        </w:tc>
        <w:tc>
          <w:tcPr>
            <w:tcW w:w="449" w:type="pct"/>
            <w:tcBorders>
              <w:top w:val="nil"/>
              <w:left w:val="nil"/>
              <w:bottom w:val="nil"/>
              <w:right w:val="nil"/>
            </w:tcBorders>
            <w:shd w:val="clear" w:color="auto" w:fill="auto"/>
            <w:noWrap/>
          </w:tcPr>
          <w:p w14:paraId="1EC0208B" w14:textId="77777777" w:rsidR="004C541E" w:rsidRPr="004C541E" w:rsidRDefault="004C541E" w:rsidP="004C541E">
            <w:pPr>
              <w:spacing w:line="240" w:lineRule="auto"/>
              <w:jc w:val="center"/>
              <w:rPr>
                <w:color w:val="000000"/>
                <w:sz w:val="22"/>
                <w:szCs w:val="22"/>
                <w:lang w:eastAsia="ja-JP"/>
              </w:rPr>
            </w:pPr>
            <w:r w:rsidRPr="004C541E">
              <w:rPr>
                <w:sz w:val="22"/>
                <w:szCs w:val="22"/>
              </w:rPr>
              <w:t>107</w:t>
            </w:r>
          </w:p>
        </w:tc>
        <w:tc>
          <w:tcPr>
            <w:tcW w:w="450" w:type="pct"/>
            <w:tcBorders>
              <w:top w:val="nil"/>
              <w:left w:val="nil"/>
              <w:bottom w:val="nil"/>
              <w:right w:val="single" w:sz="4" w:space="0" w:color="auto"/>
            </w:tcBorders>
            <w:shd w:val="clear" w:color="auto" w:fill="auto"/>
            <w:noWrap/>
          </w:tcPr>
          <w:p w14:paraId="1EC0208C" w14:textId="77777777" w:rsidR="004C541E" w:rsidRPr="004C541E" w:rsidRDefault="004C541E" w:rsidP="004C541E">
            <w:pPr>
              <w:spacing w:line="240" w:lineRule="auto"/>
              <w:jc w:val="center"/>
              <w:rPr>
                <w:color w:val="000000"/>
                <w:sz w:val="22"/>
                <w:szCs w:val="22"/>
                <w:lang w:eastAsia="ja-JP"/>
              </w:rPr>
            </w:pPr>
            <w:r w:rsidRPr="004C541E">
              <w:rPr>
                <w:sz w:val="22"/>
                <w:szCs w:val="22"/>
              </w:rPr>
              <w:t>12%</w:t>
            </w:r>
          </w:p>
        </w:tc>
        <w:tc>
          <w:tcPr>
            <w:tcW w:w="449" w:type="pct"/>
            <w:tcBorders>
              <w:top w:val="nil"/>
              <w:left w:val="single" w:sz="4" w:space="0" w:color="auto"/>
              <w:bottom w:val="nil"/>
              <w:right w:val="nil"/>
            </w:tcBorders>
            <w:shd w:val="clear" w:color="auto" w:fill="auto"/>
            <w:noWrap/>
          </w:tcPr>
          <w:p w14:paraId="1EC0208D" w14:textId="77777777" w:rsidR="004C541E" w:rsidRPr="004C541E" w:rsidRDefault="004C541E" w:rsidP="004C541E">
            <w:pPr>
              <w:spacing w:line="240" w:lineRule="auto"/>
              <w:jc w:val="center"/>
              <w:rPr>
                <w:sz w:val="22"/>
                <w:szCs w:val="22"/>
              </w:rPr>
            </w:pPr>
            <w:r w:rsidRPr="004C541E">
              <w:rPr>
                <w:sz w:val="22"/>
                <w:szCs w:val="22"/>
              </w:rPr>
              <w:t>329</w:t>
            </w:r>
          </w:p>
        </w:tc>
        <w:tc>
          <w:tcPr>
            <w:tcW w:w="449" w:type="pct"/>
            <w:tcBorders>
              <w:top w:val="nil"/>
              <w:left w:val="nil"/>
              <w:bottom w:val="nil"/>
            </w:tcBorders>
            <w:shd w:val="clear" w:color="auto" w:fill="auto"/>
            <w:noWrap/>
          </w:tcPr>
          <w:p w14:paraId="1EC0208E" w14:textId="77777777" w:rsidR="004C541E" w:rsidRPr="004C541E" w:rsidRDefault="004C541E" w:rsidP="004C541E">
            <w:pPr>
              <w:spacing w:line="240" w:lineRule="auto"/>
              <w:jc w:val="center"/>
              <w:rPr>
                <w:sz w:val="22"/>
                <w:szCs w:val="22"/>
              </w:rPr>
            </w:pPr>
            <w:r w:rsidRPr="004C541E">
              <w:rPr>
                <w:sz w:val="22"/>
                <w:szCs w:val="22"/>
              </w:rPr>
              <w:t>13%</w:t>
            </w:r>
          </w:p>
        </w:tc>
      </w:tr>
      <w:tr w:rsidR="004C541E" w:rsidRPr="004C541E" w14:paraId="1EC02096" w14:textId="77777777" w:rsidTr="004C541E">
        <w:trPr>
          <w:trHeight w:val="20"/>
        </w:trPr>
        <w:tc>
          <w:tcPr>
            <w:tcW w:w="1045" w:type="pct"/>
            <w:vMerge/>
            <w:tcBorders>
              <w:left w:val="nil"/>
              <w:right w:val="nil"/>
            </w:tcBorders>
            <w:vAlign w:val="center"/>
          </w:tcPr>
          <w:p w14:paraId="1EC02090"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tcPr>
          <w:p w14:paraId="1EC02091" w14:textId="77777777" w:rsidR="004C541E" w:rsidRPr="004C541E" w:rsidRDefault="004C541E" w:rsidP="004C541E">
            <w:pPr>
              <w:spacing w:line="240" w:lineRule="auto"/>
              <w:rPr>
                <w:sz w:val="22"/>
                <w:szCs w:val="22"/>
              </w:rPr>
            </w:pPr>
            <w:r w:rsidRPr="004C541E">
              <w:rPr>
                <w:sz w:val="22"/>
                <w:szCs w:val="22"/>
              </w:rPr>
              <w:t>College/post-secondary qualification</w:t>
            </w:r>
          </w:p>
        </w:tc>
        <w:tc>
          <w:tcPr>
            <w:tcW w:w="449" w:type="pct"/>
            <w:tcBorders>
              <w:top w:val="nil"/>
              <w:left w:val="nil"/>
              <w:bottom w:val="nil"/>
              <w:right w:val="nil"/>
            </w:tcBorders>
            <w:shd w:val="clear" w:color="auto" w:fill="auto"/>
            <w:noWrap/>
          </w:tcPr>
          <w:p w14:paraId="1EC02092" w14:textId="77777777" w:rsidR="004C541E" w:rsidRPr="004C541E" w:rsidRDefault="004C541E" w:rsidP="004C541E">
            <w:pPr>
              <w:spacing w:line="240" w:lineRule="auto"/>
              <w:jc w:val="center"/>
              <w:rPr>
                <w:color w:val="000000"/>
                <w:sz w:val="22"/>
                <w:szCs w:val="22"/>
                <w:lang w:eastAsia="ja-JP"/>
              </w:rPr>
            </w:pPr>
            <w:r w:rsidRPr="004C541E">
              <w:rPr>
                <w:sz w:val="22"/>
                <w:szCs w:val="22"/>
              </w:rPr>
              <w:t>129</w:t>
            </w:r>
          </w:p>
        </w:tc>
        <w:tc>
          <w:tcPr>
            <w:tcW w:w="450" w:type="pct"/>
            <w:tcBorders>
              <w:top w:val="nil"/>
              <w:left w:val="nil"/>
              <w:bottom w:val="nil"/>
              <w:right w:val="single" w:sz="4" w:space="0" w:color="auto"/>
            </w:tcBorders>
            <w:shd w:val="clear" w:color="auto" w:fill="auto"/>
            <w:noWrap/>
          </w:tcPr>
          <w:p w14:paraId="1EC02093" w14:textId="77777777" w:rsidR="004C541E" w:rsidRPr="004C541E" w:rsidRDefault="004C541E" w:rsidP="004C541E">
            <w:pPr>
              <w:spacing w:line="240" w:lineRule="auto"/>
              <w:jc w:val="center"/>
              <w:rPr>
                <w:color w:val="000000"/>
                <w:sz w:val="22"/>
                <w:szCs w:val="22"/>
                <w:lang w:eastAsia="ja-JP"/>
              </w:rPr>
            </w:pPr>
            <w:r w:rsidRPr="004C541E">
              <w:rPr>
                <w:sz w:val="22"/>
                <w:szCs w:val="22"/>
              </w:rPr>
              <w:t>14%</w:t>
            </w:r>
          </w:p>
        </w:tc>
        <w:tc>
          <w:tcPr>
            <w:tcW w:w="449" w:type="pct"/>
            <w:tcBorders>
              <w:top w:val="nil"/>
              <w:left w:val="single" w:sz="4" w:space="0" w:color="auto"/>
              <w:bottom w:val="nil"/>
              <w:right w:val="nil"/>
            </w:tcBorders>
            <w:shd w:val="clear" w:color="auto" w:fill="auto"/>
            <w:noWrap/>
          </w:tcPr>
          <w:p w14:paraId="1EC02094" w14:textId="77777777" w:rsidR="004C541E" w:rsidRPr="004C541E" w:rsidRDefault="004C541E" w:rsidP="004C541E">
            <w:pPr>
              <w:spacing w:line="240" w:lineRule="auto"/>
              <w:jc w:val="center"/>
              <w:rPr>
                <w:sz w:val="22"/>
                <w:szCs w:val="22"/>
              </w:rPr>
            </w:pPr>
            <w:r w:rsidRPr="004C541E">
              <w:rPr>
                <w:sz w:val="22"/>
                <w:szCs w:val="22"/>
              </w:rPr>
              <w:t>221</w:t>
            </w:r>
          </w:p>
        </w:tc>
        <w:tc>
          <w:tcPr>
            <w:tcW w:w="449" w:type="pct"/>
            <w:tcBorders>
              <w:top w:val="nil"/>
              <w:left w:val="nil"/>
              <w:bottom w:val="nil"/>
            </w:tcBorders>
            <w:shd w:val="clear" w:color="auto" w:fill="auto"/>
            <w:noWrap/>
          </w:tcPr>
          <w:p w14:paraId="1EC02095" w14:textId="77777777" w:rsidR="004C541E" w:rsidRPr="004C541E" w:rsidRDefault="004C541E" w:rsidP="004C541E">
            <w:pPr>
              <w:spacing w:line="240" w:lineRule="auto"/>
              <w:jc w:val="center"/>
              <w:rPr>
                <w:sz w:val="22"/>
                <w:szCs w:val="22"/>
              </w:rPr>
            </w:pPr>
            <w:r w:rsidRPr="004C541E">
              <w:rPr>
                <w:sz w:val="22"/>
                <w:szCs w:val="22"/>
              </w:rPr>
              <w:t>9%</w:t>
            </w:r>
          </w:p>
        </w:tc>
      </w:tr>
      <w:tr w:rsidR="004C541E" w:rsidRPr="004C541E" w14:paraId="1EC0209D" w14:textId="77777777" w:rsidTr="004C541E">
        <w:trPr>
          <w:trHeight w:val="20"/>
        </w:trPr>
        <w:tc>
          <w:tcPr>
            <w:tcW w:w="1045" w:type="pct"/>
            <w:vMerge/>
            <w:tcBorders>
              <w:left w:val="nil"/>
              <w:right w:val="nil"/>
            </w:tcBorders>
            <w:vAlign w:val="center"/>
          </w:tcPr>
          <w:p w14:paraId="1EC02097"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tcPr>
          <w:p w14:paraId="1EC02098" w14:textId="77777777" w:rsidR="004C541E" w:rsidRPr="004C541E" w:rsidRDefault="004C541E" w:rsidP="004C541E">
            <w:pPr>
              <w:spacing w:line="240" w:lineRule="auto"/>
              <w:rPr>
                <w:sz w:val="22"/>
                <w:szCs w:val="22"/>
              </w:rPr>
            </w:pPr>
            <w:r w:rsidRPr="004C541E">
              <w:rPr>
                <w:sz w:val="22"/>
                <w:szCs w:val="22"/>
              </w:rPr>
              <w:t>Secondary qualification</w:t>
            </w:r>
          </w:p>
        </w:tc>
        <w:tc>
          <w:tcPr>
            <w:tcW w:w="449" w:type="pct"/>
            <w:tcBorders>
              <w:top w:val="nil"/>
              <w:left w:val="nil"/>
              <w:bottom w:val="nil"/>
              <w:right w:val="nil"/>
            </w:tcBorders>
            <w:shd w:val="clear" w:color="auto" w:fill="auto"/>
            <w:noWrap/>
          </w:tcPr>
          <w:p w14:paraId="1EC02099" w14:textId="77777777" w:rsidR="004C541E" w:rsidRPr="004C541E" w:rsidRDefault="004C541E" w:rsidP="004C541E">
            <w:pPr>
              <w:spacing w:line="240" w:lineRule="auto"/>
              <w:jc w:val="center"/>
              <w:rPr>
                <w:color w:val="000000"/>
                <w:sz w:val="22"/>
                <w:szCs w:val="22"/>
                <w:lang w:eastAsia="ja-JP"/>
              </w:rPr>
            </w:pPr>
            <w:r w:rsidRPr="004C541E">
              <w:rPr>
                <w:sz w:val="22"/>
                <w:szCs w:val="22"/>
              </w:rPr>
              <w:t>353</w:t>
            </w:r>
          </w:p>
        </w:tc>
        <w:tc>
          <w:tcPr>
            <w:tcW w:w="450" w:type="pct"/>
            <w:tcBorders>
              <w:top w:val="nil"/>
              <w:left w:val="nil"/>
              <w:bottom w:val="nil"/>
              <w:right w:val="single" w:sz="4" w:space="0" w:color="auto"/>
            </w:tcBorders>
            <w:shd w:val="clear" w:color="auto" w:fill="auto"/>
            <w:noWrap/>
          </w:tcPr>
          <w:p w14:paraId="1EC0209A" w14:textId="77777777" w:rsidR="004C541E" w:rsidRPr="004C541E" w:rsidRDefault="004C541E" w:rsidP="004C541E">
            <w:pPr>
              <w:spacing w:line="240" w:lineRule="auto"/>
              <w:jc w:val="center"/>
              <w:rPr>
                <w:color w:val="000000"/>
                <w:sz w:val="22"/>
                <w:szCs w:val="22"/>
                <w:lang w:eastAsia="ja-JP"/>
              </w:rPr>
            </w:pPr>
            <w:r w:rsidRPr="004C541E">
              <w:rPr>
                <w:sz w:val="22"/>
                <w:szCs w:val="22"/>
              </w:rPr>
              <w:t>40%</w:t>
            </w:r>
          </w:p>
        </w:tc>
        <w:tc>
          <w:tcPr>
            <w:tcW w:w="449" w:type="pct"/>
            <w:tcBorders>
              <w:top w:val="nil"/>
              <w:left w:val="single" w:sz="4" w:space="0" w:color="auto"/>
              <w:bottom w:val="nil"/>
              <w:right w:val="nil"/>
            </w:tcBorders>
            <w:shd w:val="clear" w:color="auto" w:fill="auto"/>
            <w:noWrap/>
          </w:tcPr>
          <w:p w14:paraId="1EC0209B" w14:textId="77777777" w:rsidR="004C541E" w:rsidRPr="004C541E" w:rsidRDefault="004C541E" w:rsidP="004C541E">
            <w:pPr>
              <w:spacing w:line="240" w:lineRule="auto"/>
              <w:jc w:val="center"/>
              <w:rPr>
                <w:sz w:val="22"/>
                <w:szCs w:val="22"/>
              </w:rPr>
            </w:pPr>
            <w:r w:rsidRPr="004C541E">
              <w:rPr>
                <w:sz w:val="22"/>
                <w:szCs w:val="22"/>
              </w:rPr>
              <w:t>265</w:t>
            </w:r>
          </w:p>
        </w:tc>
        <w:tc>
          <w:tcPr>
            <w:tcW w:w="449" w:type="pct"/>
            <w:tcBorders>
              <w:top w:val="nil"/>
              <w:left w:val="nil"/>
              <w:bottom w:val="nil"/>
            </w:tcBorders>
            <w:shd w:val="clear" w:color="auto" w:fill="auto"/>
            <w:noWrap/>
          </w:tcPr>
          <w:p w14:paraId="1EC0209C" w14:textId="77777777" w:rsidR="004C541E" w:rsidRPr="004C541E" w:rsidRDefault="004C541E" w:rsidP="004C541E">
            <w:pPr>
              <w:spacing w:line="240" w:lineRule="auto"/>
              <w:jc w:val="center"/>
              <w:rPr>
                <w:sz w:val="22"/>
                <w:szCs w:val="22"/>
              </w:rPr>
            </w:pPr>
            <w:r w:rsidRPr="004C541E">
              <w:rPr>
                <w:sz w:val="22"/>
                <w:szCs w:val="22"/>
              </w:rPr>
              <w:t>11%</w:t>
            </w:r>
          </w:p>
        </w:tc>
      </w:tr>
      <w:tr w:rsidR="004C541E" w:rsidRPr="004C541E" w14:paraId="1EC020A4" w14:textId="77777777" w:rsidTr="004C541E">
        <w:trPr>
          <w:trHeight w:val="20"/>
        </w:trPr>
        <w:tc>
          <w:tcPr>
            <w:tcW w:w="1045" w:type="pct"/>
            <w:vMerge/>
            <w:tcBorders>
              <w:left w:val="nil"/>
              <w:right w:val="nil"/>
            </w:tcBorders>
            <w:vAlign w:val="center"/>
          </w:tcPr>
          <w:p w14:paraId="1EC0209E"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tcPr>
          <w:p w14:paraId="1EC0209F" w14:textId="77777777" w:rsidR="004C541E" w:rsidRPr="004C541E" w:rsidRDefault="004C541E" w:rsidP="004C541E">
            <w:pPr>
              <w:spacing w:line="240" w:lineRule="auto"/>
              <w:rPr>
                <w:sz w:val="22"/>
                <w:szCs w:val="22"/>
              </w:rPr>
            </w:pPr>
            <w:r w:rsidRPr="004C541E">
              <w:rPr>
                <w:sz w:val="22"/>
                <w:szCs w:val="22"/>
              </w:rPr>
              <w:t>Vocational/professional qualification</w:t>
            </w:r>
          </w:p>
        </w:tc>
        <w:tc>
          <w:tcPr>
            <w:tcW w:w="449" w:type="pct"/>
            <w:tcBorders>
              <w:top w:val="nil"/>
              <w:left w:val="nil"/>
              <w:bottom w:val="nil"/>
              <w:right w:val="nil"/>
            </w:tcBorders>
            <w:shd w:val="clear" w:color="auto" w:fill="auto"/>
            <w:noWrap/>
          </w:tcPr>
          <w:p w14:paraId="1EC020A0" w14:textId="77777777" w:rsidR="004C541E" w:rsidRPr="004C541E" w:rsidRDefault="004C541E" w:rsidP="004C541E">
            <w:pPr>
              <w:spacing w:line="240" w:lineRule="auto"/>
              <w:jc w:val="center"/>
              <w:rPr>
                <w:color w:val="000000"/>
                <w:sz w:val="22"/>
                <w:szCs w:val="22"/>
                <w:lang w:eastAsia="ja-JP"/>
              </w:rPr>
            </w:pPr>
            <w:r w:rsidRPr="004C541E">
              <w:rPr>
                <w:sz w:val="22"/>
                <w:szCs w:val="22"/>
              </w:rPr>
              <w:t>130</w:t>
            </w:r>
          </w:p>
        </w:tc>
        <w:tc>
          <w:tcPr>
            <w:tcW w:w="450" w:type="pct"/>
            <w:tcBorders>
              <w:top w:val="nil"/>
              <w:left w:val="nil"/>
              <w:bottom w:val="nil"/>
              <w:right w:val="single" w:sz="4" w:space="0" w:color="auto"/>
            </w:tcBorders>
            <w:shd w:val="clear" w:color="auto" w:fill="auto"/>
            <w:noWrap/>
          </w:tcPr>
          <w:p w14:paraId="1EC020A1" w14:textId="77777777" w:rsidR="004C541E" w:rsidRPr="004C541E" w:rsidRDefault="004C541E" w:rsidP="004C541E">
            <w:pPr>
              <w:spacing w:line="240" w:lineRule="auto"/>
              <w:jc w:val="center"/>
              <w:rPr>
                <w:color w:val="000000"/>
                <w:sz w:val="22"/>
                <w:szCs w:val="22"/>
                <w:lang w:eastAsia="ja-JP"/>
              </w:rPr>
            </w:pPr>
            <w:r w:rsidRPr="004C541E">
              <w:rPr>
                <w:sz w:val="22"/>
                <w:szCs w:val="22"/>
              </w:rPr>
              <w:t>15%</w:t>
            </w:r>
          </w:p>
        </w:tc>
        <w:tc>
          <w:tcPr>
            <w:tcW w:w="449" w:type="pct"/>
            <w:tcBorders>
              <w:top w:val="nil"/>
              <w:left w:val="single" w:sz="4" w:space="0" w:color="auto"/>
              <w:bottom w:val="nil"/>
              <w:right w:val="nil"/>
            </w:tcBorders>
            <w:shd w:val="clear" w:color="auto" w:fill="auto"/>
            <w:noWrap/>
          </w:tcPr>
          <w:p w14:paraId="1EC020A2" w14:textId="77777777" w:rsidR="004C541E" w:rsidRPr="004C541E" w:rsidRDefault="004C541E" w:rsidP="004C541E">
            <w:pPr>
              <w:spacing w:line="240" w:lineRule="auto"/>
              <w:jc w:val="center"/>
              <w:rPr>
                <w:sz w:val="22"/>
                <w:szCs w:val="22"/>
              </w:rPr>
            </w:pPr>
            <w:r w:rsidRPr="004C541E">
              <w:rPr>
                <w:sz w:val="22"/>
                <w:szCs w:val="22"/>
              </w:rPr>
              <w:t>343</w:t>
            </w:r>
          </w:p>
        </w:tc>
        <w:tc>
          <w:tcPr>
            <w:tcW w:w="449" w:type="pct"/>
            <w:tcBorders>
              <w:top w:val="nil"/>
              <w:left w:val="nil"/>
              <w:bottom w:val="nil"/>
            </w:tcBorders>
            <w:shd w:val="clear" w:color="auto" w:fill="auto"/>
            <w:noWrap/>
          </w:tcPr>
          <w:p w14:paraId="1EC020A3" w14:textId="77777777" w:rsidR="004C541E" w:rsidRPr="004C541E" w:rsidRDefault="004C541E" w:rsidP="004C541E">
            <w:pPr>
              <w:spacing w:line="240" w:lineRule="auto"/>
              <w:jc w:val="center"/>
              <w:rPr>
                <w:sz w:val="22"/>
                <w:szCs w:val="22"/>
              </w:rPr>
            </w:pPr>
            <w:r w:rsidRPr="004C541E">
              <w:rPr>
                <w:sz w:val="22"/>
                <w:szCs w:val="22"/>
              </w:rPr>
              <w:t>14%</w:t>
            </w:r>
          </w:p>
        </w:tc>
      </w:tr>
      <w:tr w:rsidR="004C541E" w:rsidRPr="004C541E" w14:paraId="1EC020AB" w14:textId="77777777" w:rsidTr="004C541E">
        <w:trPr>
          <w:trHeight w:val="20"/>
        </w:trPr>
        <w:tc>
          <w:tcPr>
            <w:tcW w:w="1045" w:type="pct"/>
            <w:vMerge/>
            <w:tcBorders>
              <w:left w:val="nil"/>
              <w:right w:val="nil"/>
            </w:tcBorders>
            <w:vAlign w:val="center"/>
          </w:tcPr>
          <w:p w14:paraId="1EC020A5"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tcPr>
          <w:p w14:paraId="1EC020A6" w14:textId="77777777" w:rsidR="004C541E" w:rsidRPr="004C541E" w:rsidRDefault="004C541E" w:rsidP="004C541E">
            <w:pPr>
              <w:spacing w:line="240" w:lineRule="auto"/>
              <w:rPr>
                <w:sz w:val="22"/>
                <w:szCs w:val="22"/>
              </w:rPr>
            </w:pPr>
            <w:r w:rsidRPr="004C541E">
              <w:rPr>
                <w:sz w:val="22"/>
                <w:szCs w:val="22"/>
              </w:rPr>
              <w:t>Other qualification</w:t>
            </w:r>
          </w:p>
        </w:tc>
        <w:tc>
          <w:tcPr>
            <w:tcW w:w="449" w:type="pct"/>
            <w:tcBorders>
              <w:top w:val="nil"/>
              <w:left w:val="nil"/>
              <w:bottom w:val="nil"/>
              <w:right w:val="nil"/>
            </w:tcBorders>
            <w:shd w:val="clear" w:color="auto" w:fill="auto"/>
            <w:noWrap/>
          </w:tcPr>
          <w:p w14:paraId="1EC020A7" w14:textId="77777777" w:rsidR="004C541E" w:rsidRPr="004C541E" w:rsidRDefault="004C541E" w:rsidP="004C541E">
            <w:pPr>
              <w:spacing w:line="240" w:lineRule="auto"/>
              <w:jc w:val="center"/>
              <w:rPr>
                <w:color w:val="000000"/>
                <w:sz w:val="22"/>
                <w:szCs w:val="22"/>
                <w:lang w:eastAsia="ja-JP"/>
              </w:rPr>
            </w:pPr>
            <w:r w:rsidRPr="004C541E">
              <w:rPr>
                <w:sz w:val="22"/>
                <w:szCs w:val="22"/>
              </w:rPr>
              <w:t>5</w:t>
            </w:r>
          </w:p>
        </w:tc>
        <w:tc>
          <w:tcPr>
            <w:tcW w:w="450" w:type="pct"/>
            <w:tcBorders>
              <w:top w:val="nil"/>
              <w:left w:val="nil"/>
              <w:bottom w:val="nil"/>
              <w:right w:val="single" w:sz="4" w:space="0" w:color="auto"/>
            </w:tcBorders>
            <w:shd w:val="clear" w:color="auto" w:fill="auto"/>
            <w:noWrap/>
          </w:tcPr>
          <w:p w14:paraId="1EC020A8" w14:textId="77777777" w:rsidR="004C541E" w:rsidRPr="004C541E" w:rsidRDefault="004C541E" w:rsidP="004C541E">
            <w:pPr>
              <w:spacing w:line="240" w:lineRule="auto"/>
              <w:jc w:val="center"/>
              <w:rPr>
                <w:color w:val="000000"/>
                <w:sz w:val="22"/>
                <w:szCs w:val="22"/>
                <w:lang w:eastAsia="ja-JP"/>
              </w:rPr>
            </w:pPr>
            <w:r w:rsidRPr="004C541E">
              <w:rPr>
                <w:sz w:val="22"/>
                <w:szCs w:val="22"/>
              </w:rPr>
              <w:t>1%</w:t>
            </w:r>
          </w:p>
        </w:tc>
        <w:tc>
          <w:tcPr>
            <w:tcW w:w="449" w:type="pct"/>
            <w:tcBorders>
              <w:top w:val="nil"/>
              <w:left w:val="single" w:sz="4" w:space="0" w:color="auto"/>
              <w:bottom w:val="nil"/>
              <w:right w:val="nil"/>
            </w:tcBorders>
            <w:shd w:val="clear" w:color="auto" w:fill="auto"/>
            <w:noWrap/>
          </w:tcPr>
          <w:p w14:paraId="1EC020A9" w14:textId="77777777" w:rsidR="004C541E" w:rsidRPr="004C541E" w:rsidRDefault="004C541E" w:rsidP="004C541E">
            <w:pPr>
              <w:spacing w:line="240" w:lineRule="auto"/>
              <w:jc w:val="center"/>
              <w:rPr>
                <w:sz w:val="22"/>
                <w:szCs w:val="22"/>
              </w:rPr>
            </w:pPr>
            <w:r w:rsidRPr="004C541E">
              <w:rPr>
                <w:sz w:val="22"/>
                <w:szCs w:val="22"/>
              </w:rPr>
              <w:t>825</w:t>
            </w:r>
          </w:p>
        </w:tc>
        <w:tc>
          <w:tcPr>
            <w:tcW w:w="449" w:type="pct"/>
            <w:tcBorders>
              <w:top w:val="nil"/>
              <w:left w:val="nil"/>
              <w:bottom w:val="nil"/>
            </w:tcBorders>
            <w:shd w:val="clear" w:color="auto" w:fill="auto"/>
            <w:noWrap/>
          </w:tcPr>
          <w:p w14:paraId="1EC020AA" w14:textId="77777777" w:rsidR="004C541E" w:rsidRPr="004C541E" w:rsidRDefault="004C541E" w:rsidP="004C541E">
            <w:pPr>
              <w:spacing w:line="240" w:lineRule="auto"/>
              <w:jc w:val="center"/>
              <w:rPr>
                <w:sz w:val="22"/>
                <w:szCs w:val="22"/>
              </w:rPr>
            </w:pPr>
            <w:r w:rsidRPr="004C541E">
              <w:rPr>
                <w:sz w:val="22"/>
                <w:szCs w:val="22"/>
              </w:rPr>
              <w:t>34%</w:t>
            </w:r>
          </w:p>
        </w:tc>
      </w:tr>
      <w:tr w:rsidR="004C541E" w:rsidRPr="004C541E" w14:paraId="1EC020B2" w14:textId="77777777" w:rsidTr="004C541E">
        <w:trPr>
          <w:trHeight w:val="20"/>
        </w:trPr>
        <w:tc>
          <w:tcPr>
            <w:tcW w:w="1045" w:type="pct"/>
            <w:vMerge/>
            <w:tcBorders>
              <w:left w:val="nil"/>
              <w:right w:val="nil"/>
            </w:tcBorders>
            <w:vAlign w:val="center"/>
          </w:tcPr>
          <w:p w14:paraId="1EC020AC"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nil"/>
              <w:right w:val="nil"/>
            </w:tcBorders>
            <w:shd w:val="clear" w:color="auto" w:fill="auto"/>
            <w:vAlign w:val="center"/>
          </w:tcPr>
          <w:p w14:paraId="1EC020AD" w14:textId="77777777" w:rsidR="004C541E" w:rsidRPr="004C541E" w:rsidRDefault="004C541E" w:rsidP="004C541E">
            <w:pPr>
              <w:spacing w:line="240" w:lineRule="auto"/>
              <w:rPr>
                <w:sz w:val="22"/>
                <w:szCs w:val="22"/>
              </w:rPr>
            </w:pPr>
            <w:r w:rsidRPr="004C541E">
              <w:rPr>
                <w:sz w:val="22"/>
                <w:szCs w:val="22"/>
              </w:rPr>
              <w:t>No qualifications</w:t>
            </w:r>
          </w:p>
        </w:tc>
        <w:tc>
          <w:tcPr>
            <w:tcW w:w="449" w:type="pct"/>
            <w:tcBorders>
              <w:top w:val="nil"/>
              <w:left w:val="nil"/>
              <w:bottom w:val="nil"/>
              <w:right w:val="nil"/>
            </w:tcBorders>
            <w:shd w:val="clear" w:color="auto" w:fill="auto"/>
            <w:noWrap/>
            <w:vAlign w:val="center"/>
          </w:tcPr>
          <w:p w14:paraId="1EC020AE"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w:t>
            </w:r>
          </w:p>
        </w:tc>
        <w:tc>
          <w:tcPr>
            <w:tcW w:w="450" w:type="pct"/>
            <w:tcBorders>
              <w:top w:val="nil"/>
              <w:left w:val="nil"/>
              <w:bottom w:val="nil"/>
              <w:right w:val="single" w:sz="4" w:space="0" w:color="auto"/>
            </w:tcBorders>
            <w:shd w:val="clear" w:color="auto" w:fill="auto"/>
            <w:noWrap/>
            <w:vAlign w:val="center"/>
          </w:tcPr>
          <w:p w14:paraId="1EC020AF"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w:t>
            </w:r>
          </w:p>
        </w:tc>
        <w:tc>
          <w:tcPr>
            <w:tcW w:w="449" w:type="pct"/>
            <w:tcBorders>
              <w:top w:val="nil"/>
              <w:left w:val="single" w:sz="4" w:space="0" w:color="auto"/>
              <w:bottom w:val="nil"/>
              <w:right w:val="nil"/>
            </w:tcBorders>
            <w:shd w:val="clear" w:color="auto" w:fill="auto"/>
            <w:noWrap/>
          </w:tcPr>
          <w:p w14:paraId="1EC020B0" w14:textId="77777777" w:rsidR="004C541E" w:rsidRPr="004C541E" w:rsidRDefault="004C541E" w:rsidP="004C541E">
            <w:pPr>
              <w:spacing w:line="240" w:lineRule="auto"/>
              <w:jc w:val="center"/>
              <w:rPr>
                <w:sz w:val="22"/>
                <w:szCs w:val="22"/>
              </w:rPr>
            </w:pPr>
            <w:r w:rsidRPr="004C541E">
              <w:rPr>
                <w:sz w:val="22"/>
                <w:szCs w:val="22"/>
              </w:rPr>
              <w:t>229</w:t>
            </w:r>
          </w:p>
        </w:tc>
        <w:tc>
          <w:tcPr>
            <w:tcW w:w="449" w:type="pct"/>
            <w:tcBorders>
              <w:top w:val="nil"/>
              <w:left w:val="nil"/>
              <w:bottom w:val="nil"/>
            </w:tcBorders>
            <w:shd w:val="clear" w:color="auto" w:fill="auto"/>
            <w:noWrap/>
          </w:tcPr>
          <w:p w14:paraId="1EC020B1" w14:textId="77777777" w:rsidR="004C541E" w:rsidRPr="004C541E" w:rsidRDefault="004C541E" w:rsidP="004C541E">
            <w:pPr>
              <w:spacing w:line="240" w:lineRule="auto"/>
              <w:jc w:val="center"/>
              <w:rPr>
                <w:sz w:val="22"/>
                <w:szCs w:val="22"/>
              </w:rPr>
            </w:pPr>
            <w:r w:rsidRPr="004C541E">
              <w:rPr>
                <w:sz w:val="22"/>
                <w:szCs w:val="22"/>
              </w:rPr>
              <w:t>9%</w:t>
            </w:r>
          </w:p>
        </w:tc>
      </w:tr>
      <w:tr w:rsidR="004C541E" w:rsidRPr="004C541E" w14:paraId="1EC020B9" w14:textId="77777777" w:rsidTr="004C541E">
        <w:trPr>
          <w:trHeight w:val="20"/>
        </w:trPr>
        <w:tc>
          <w:tcPr>
            <w:tcW w:w="1045" w:type="pct"/>
            <w:vMerge/>
            <w:tcBorders>
              <w:left w:val="nil"/>
              <w:bottom w:val="single" w:sz="4" w:space="0" w:color="auto"/>
              <w:right w:val="nil"/>
            </w:tcBorders>
            <w:vAlign w:val="center"/>
          </w:tcPr>
          <w:p w14:paraId="1EC020B3" w14:textId="77777777" w:rsidR="004C541E" w:rsidRPr="004C541E" w:rsidRDefault="004C541E" w:rsidP="004C541E">
            <w:pPr>
              <w:spacing w:line="240" w:lineRule="auto"/>
              <w:rPr>
                <w:color w:val="000000"/>
                <w:sz w:val="22"/>
                <w:szCs w:val="22"/>
                <w:lang w:eastAsia="ja-JP"/>
              </w:rPr>
            </w:pPr>
          </w:p>
        </w:tc>
        <w:tc>
          <w:tcPr>
            <w:tcW w:w="2157" w:type="pct"/>
            <w:gridSpan w:val="2"/>
            <w:tcBorders>
              <w:top w:val="nil"/>
              <w:left w:val="nil"/>
              <w:bottom w:val="single" w:sz="4" w:space="0" w:color="auto"/>
              <w:right w:val="nil"/>
            </w:tcBorders>
            <w:shd w:val="clear" w:color="auto" w:fill="auto"/>
            <w:vAlign w:val="center"/>
          </w:tcPr>
          <w:p w14:paraId="1EC020B4" w14:textId="77777777" w:rsidR="004C541E" w:rsidRPr="004C541E" w:rsidRDefault="004C541E" w:rsidP="004C541E">
            <w:pPr>
              <w:spacing w:line="240" w:lineRule="auto"/>
              <w:rPr>
                <w:sz w:val="22"/>
                <w:szCs w:val="22"/>
              </w:rPr>
            </w:pPr>
            <w:r w:rsidRPr="004C541E">
              <w:rPr>
                <w:sz w:val="22"/>
                <w:szCs w:val="22"/>
              </w:rPr>
              <w:t>Missing</w:t>
            </w:r>
          </w:p>
        </w:tc>
        <w:tc>
          <w:tcPr>
            <w:tcW w:w="449" w:type="pct"/>
            <w:tcBorders>
              <w:top w:val="nil"/>
              <w:left w:val="nil"/>
              <w:bottom w:val="single" w:sz="4" w:space="0" w:color="auto"/>
              <w:right w:val="nil"/>
            </w:tcBorders>
            <w:shd w:val="clear" w:color="auto" w:fill="auto"/>
            <w:noWrap/>
          </w:tcPr>
          <w:p w14:paraId="1EC020B5" w14:textId="77777777" w:rsidR="004C541E" w:rsidRPr="004C541E" w:rsidRDefault="004C541E" w:rsidP="004C541E">
            <w:pPr>
              <w:spacing w:line="240" w:lineRule="auto"/>
              <w:jc w:val="center"/>
              <w:rPr>
                <w:color w:val="000000"/>
                <w:sz w:val="22"/>
                <w:szCs w:val="22"/>
                <w:lang w:eastAsia="ja-JP"/>
              </w:rPr>
            </w:pPr>
            <w:r w:rsidRPr="004C541E">
              <w:rPr>
                <w:sz w:val="22"/>
                <w:szCs w:val="22"/>
              </w:rPr>
              <w:t>29</w:t>
            </w:r>
          </w:p>
        </w:tc>
        <w:tc>
          <w:tcPr>
            <w:tcW w:w="450" w:type="pct"/>
            <w:tcBorders>
              <w:top w:val="nil"/>
              <w:left w:val="nil"/>
              <w:bottom w:val="single" w:sz="4" w:space="0" w:color="auto"/>
              <w:right w:val="single" w:sz="4" w:space="0" w:color="auto"/>
            </w:tcBorders>
            <w:shd w:val="clear" w:color="auto" w:fill="auto"/>
            <w:noWrap/>
          </w:tcPr>
          <w:p w14:paraId="1EC020B6" w14:textId="77777777" w:rsidR="004C541E" w:rsidRPr="004C541E" w:rsidRDefault="004C541E" w:rsidP="004C541E">
            <w:pPr>
              <w:spacing w:line="240" w:lineRule="auto"/>
              <w:jc w:val="center"/>
              <w:rPr>
                <w:color w:val="000000"/>
                <w:sz w:val="22"/>
                <w:szCs w:val="22"/>
                <w:lang w:eastAsia="ja-JP"/>
              </w:rPr>
            </w:pPr>
            <w:r w:rsidRPr="004C541E">
              <w:rPr>
                <w:sz w:val="22"/>
                <w:szCs w:val="22"/>
              </w:rPr>
              <w:t>3%</w:t>
            </w:r>
          </w:p>
        </w:tc>
        <w:tc>
          <w:tcPr>
            <w:tcW w:w="449" w:type="pct"/>
            <w:tcBorders>
              <w:top w:val="nil"/>
              <w:left w:val="single" w:sz="4" w:space="0" w:color="auto"/>
              <w:bottom w:val="single" w:sz="4" w:space="0" w:color="auto"/>
              <w:right w:val="nil"/>
            </w:tcBorders>
            <w:shd w:val="clear" w:color="auto" w:fill="auto"/>
            <w:noWrap/>
          </w:tcPr>
          <w:p w14:paraId="1EC020B7" w14:textId="77777777" w:rsidR="004C541E" w:rsidRPr="004C541E" w:rsidRDefault="004C541E" w:rsidP="004C541E">
            <w:pPr>
              <w:spacing w:line="240" w:lineRule="auto"/>
              <w:jc w:val="center"/>
              <w:rPr>
                <w:sz w:val="22"/>
                <w:szCs w:val="22"/>
              </w:rPr>
            </w:pPr>
            <w:r w:rsidRPr="004C541E">
              <w:rPr>
                <w:sz w:val="22"/>
                <w:szCs w:val="22"/>
              </w:rPr>
              <w:t>46</w:t>
            </w:r>
          </w:p>
        </w:tc>
        <w:tc>
          <w:tcPr>
            <w:tcW w:w="449" w:type="pct"/>
            <w:tcBorders>
              <w:top w:val="nil"/>
              <w:left w:val="nil"/>
              <w:bottom w:val="single" w:sz="4" w:space="0" w:color="auto"/>
            </w:tcBorders>
            <w:shd w:val="clear" w:color="auto" w:fill="auto"/>
            <w:noWrap/>
          </w:tcPr>
          <w:p w14:paraId="1EC020B8" w14:textId="77777777" w:rsidR="004C541E" w:rsidRPr="004C541E" w:rsidRDefault="004C541E" w:rsidP="004C541E">
            <w:pPr>
              <w:spacing w:line="240" w:lineRule="auto"/>
              <w:jc w:val="center"/>
              <w:rPr>
                <w:sz w:val="22"/>
                <w:szCs w:val="22"/>
              </w:rPr>
            </w:pPr>
            <w:r w:rsidRPr="004C541E">
              <w:rPr>
                <w:sz w:val="22"/>
                <w:szCs w:val="22"/>
              </w:rPr>
              <w:t>2%</w:t>
            </w:r>
          </w:p>
        </w:tc>
      </w:tr>
      <w:tr w:rsidR="004C541E" w:rsidRPr="004C541E" w14:paraId="1EC020BB" w14:textId="77777777" w:rsidTr="004C541E">
        <w:trPr>
          <w:trHeight w:val="20"/>
        </w:trPr>
        <w:tc>
          <w:tcPr>
            <w:tcW w:w="5000" w:type="pct"/>
            <w:gridSpan w:val="7"/>
            <w:tcBorders>
              <w:top w:val="double" w:sz="4" w:space="0" w:color="auto"/>
              <w:left w:val="nil"/>
            </w:tcBorders>
            <w:vAlign w:val="center"/>
          </w:tcPr>
          <w:p w14:paraId="1EC020BA" w14:textId="77777777" w:rsidR="004C541E" w:rsidRPr="004C541E" w:rsidRDefault="004C541E" w:rsidP="004C541E">
            <w:pPr>
              <w:spacing w:line="240" w:lineRule="auto"/>
              <w:rPr>
                <w:sz w:val="20"/>
                <w:szCs w:val="22"/>
              </w:rPr>
            </w:pPr>
            <w:r w:rsidRPr="004C541E">
              <w:rPr>
                <w:sz w:val="20"/>
                <w:szCs w:val="22"/>
                <w:vertAlign w:val="superscript"/>
              </w:rPr>
              <w:t>1</w:t>
            </w:r>
            <w:r w:rsidRPr="004C541E">
              <w:rPr>
                <w:sz w:val="20"/>
                <w:szCs w:val="22"/>
              </w:rPr>
              <w:t xml:space="preserve"> For reasons of commensurability, only respondents of Polish nationality [NTNLTY12] over the age of 16 were included in the APS comparison sample.</w:t>
            </w:r>
          </w:p>
        </w:tc>
      </w:tr>
    </w:tbl>
    <w:p w14:paraId="1EC020BC" w14:textId="77777777" w:rsidR="004C541E" w:rsidRPr="004C541E" w:rsidRDefault="004C541E" w:rsidP="004C541E">
      <w:pPr>
        <w:pStyle w:val="Heading4Paragraph"/>
        <w:jc w:val="both"/>
      </w:pPr>
    </w:p>
    <w:p w14:paraId="1EC020BD" w14:textId="77777777" w:rsidR="00212C7F" w:rsidRDefault="00DA5E4F" w:rsidP="00DA5E4F">
      <w:pPr>
        <w:keepNext/>
      </w:pPr>
      <w:r>
        <w:rPr>
          <w:noProof/>
        </w:rPr>
        <w:drawing>
          <wp:inline distT="0" distB="0" distL="0" distR="0" wp14:anchorId="1EC02361" wp14:editId="1EC02362">
            <wp:extent cx="5126355" cy="3143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C541E">
        <w:t xml:space="preserve">Figure </w:t>
      </w:r>
      <w:r w:rsidR="00AD2435">
        <w:fldChar w:fldCharType="begin"/>
      </w:r>
      <w:r w:rsidR="00AD2435">
        <w:instrText xml:space="preserve"> SEQ Figure \* ARABIC </w:instrText>
      </w:r>
      <w:r w:rsidR="00AD2435">
        <w:fldChar w:fldCharType="separate"/>
      </w:r>
      <w:r w:rsidR="004C541E">
        <w:rPr>
          <w:noProof/>
        </w:rPr>
        <w:t>1</w:t>
      </w:r>
      <w:r w:rsidR="00AD2435">
        <w:rPr>
          <w:noProof/>
        </w:rPr>
        <w:fldChar w:fldCharType="end"/>
      </w:r>
      <w:r w:rsidR="004C541E">
        <w:t xml:space="preserve">. </w:t>
      </w:r>
      <w:r w:rsidR="004C541E" w:rsidRPr="004C541E">
        <w:t>Polish migrants' future plans in a 5-year timeframe and in case of Brexit</w:t>
      </w:r>
    </w:p>
    <w:p w14:paraId="1EC020BE" w14:textId="77777777" w:rsidR="004C541E" w:rsidRDefault="004C541E" w:rsidP="004C541E"/>
    <w:p w14:paraId="1EC020BF" w14:textId="2F70322C" w:rsidR="004C541E" w:rsidRDefault="004C541E" w:rsidP="00B73266">
      <w:pPr>
        <w:pStyle w:val="Tabletitle"/>
        <w:pageBreakBefore/>
      </w:pPr>
      <w:r>
        <w:t xml:space="preserve">Table </w:t>
      </w:r>
      <w:r w:rsidR="00AD2435">
        <w:fldChar w:fldCharType="begin"/>
      </w:r>
      <w:r w:rsidR="00AD2435">
        <w:instrText xml:space="preserve"> SEQ Table \* ARABIC </w:instrText>
      </w:r>
      <w:r w:rsidR="00AD2435">
        <w:fldChar w:fldCharType="separate"/>
      </w:r>
      <w:r>
        <w:rPr>
          <w:noProof/>
        </w:rPr>
        <w:t>2</w:t>
      </w:r>
      <w:r w:rsidR="00AD2435">
        <w:rPr>
          <w:noProof/>
        </w:rPr>
        <w:fldChar w:fldCharType="end"/>
      </w:r>
      <w:r>
        <w:t xml:space="preserve">: </w:t>
      </w:r>
      <w:r w:rsidRPr="001B14E1">
        <w:t>Results of multinomial logistic regression analysis on 5-year plans (</w:t>
      </w:r>
      <w:r w:rsidR="00881477">
        <w:t>odds</w:t>
      </w:r>
      <w:r w:rsidRPr="001B14E1">
        <w:t xml:space="preserve"> ratios)</w:t>
      </w:r>
    </w:p>
    <w:tbl>
      <w:tblPr>
        <w:tblW w:w="4907" w:type="pct"/>
        <w:tblInd w:w="108" w:type="dxa"/>
        <w:tblLayout w:type="fixed"/>
        <w:tblLook w:val="04A0" w:firstRow="1" w:lastRow="0" w:firstColumn="1" w:lastColumn="0" w:noHBand="0" w:noVBand="1"/>
      </w:tblPr>
      <w:tblGrid>
        <w:gridCol w:w="2603"/>
        <w:gridCol w:w="912"/>
        <w:gridCol w:w="1045"/>
        <w:gridCol w:w="779"/>
        <w:gridCol w:w="1074"/>
        <w:gridCol w:w="754"/>
        <w:gridCol w:w="1169"/>
      </w:tblGrid>
      <w:tr w:rsidR="004C541E" w:rsidRPr="004C541E" w14:paraId="1EC020C4" w14:textId="77777777" w:rsidTr="00E5743E">
        <w:trPr>
          <w:trHeight w:val="20"/>
        </w:trPr>
        <w:tc>
          <w:tcPr>
            <w:tcW w:w="1562" w:type="pct"/>
            <w:tcBorders>
              <w:left w:val="nil"/>
              <w:bottom w:val="double" w:sz="6" w:space="0" w:color="auto"/>
              <w:right w:val="nil"/>
            </w:tcBorders>
            <w:shd w:val="clear" w:color="auto" w:fill="auto"/>
            <w:vAlign w:val="bottom"/>
            <w:hideMark/>
          </w:tcPr>
          <w:p w14:paraId="1EC020C0" w14:textId="77777777" w:rsidR="004C541E" w:rsidRPr="004C541E" w:rsidRDefault="004C541E" w:rsidP="00B73266">
            <w:pPr>
              <w:keepNext/>
              <w:keepLines/>
              <w:spacing w:line="240" w:lineRule="auto"/>
              <w:rPr>
                <w:color w:val="FF0000"/>
                <w:sz w:val="22"/>
                <w:szCs w:val="22"/>
                <w:lang w:eastAsia="ja-JP"/>
              </w:rPr>
            </w:pPr>
          </w:p>
        </w:tc>
        <w:tc>
          <w:tcPr>
            <w:tcW w:w="1174" w:type="pct"/>
            <w:gridSpan w:val="2"/>
            <w:tcBorders>
              <w:top w:val="single" w:sz="4" w:space="0" w:color="auto"/>
              <w:left w:val="nil"/>
              <w:bottom w:val="double" w:sz="6" w:space="0" w:color="000000"/>
              <w:right w:val="single" w:sz="4" w:space="0" w:color="000000"/>
            </w:tcBorders>
            <w:shd w:val="clear" w:color="auto" w:fill="auto"/>
            <w:noWrap/>
            <w:vAlign w:val="bottom"/>
            <w:hideMark/>
          </w:tcPr>
          <w:p w14:paraId="1EC020C1" w14:textId="77777777" w:rsidR="004C541E" w:rsidRPr="004C541E" w:rsidRDefault="00D754F6" w:rsidP="00D754F6">
            <w:pPr>
              <w:keepNext/>
              <w:keepLines/>
              <w:spacing w:line="240" w:lineRule="auto"/>
              <w:jc w:val="center"/>
              <w:rPr>
                <w:color w:val="000000"/>
                <w:sz w:val="22"/>
                <w:szCs w:val="22"/>
                <w:lang w:eastAsia="ja-JP"/>
              </w:rPr>
            </w:pPr>
            <w:r>
              <w:rPr>
                <w:color w:val="000000"/>
                <w:sz w:val="22"/>
                <w:szCs w:val="22"/>
                <w:lang w:eastAsia="ja-JP"/>
              </w:rPr>
              <w:t>Leave the UK</w:t>
            </w:r>
          </w:p>
        </w:tc>
        <w:tc>
          <w:tcPr>
            <w:tcW w:w="1111" w:type="pct"/>
            <w:gridSpan w:val="2"/>
            <w:tcBorders>
              <w:top w:val="single" w:sz="4" w:space="0" w:color="auto"/>
              <w:left w:val="nil"/>
              <w:bottom w:val="double" w:sz="6" w:space="0" w:color="000000"/>
              <w:right w:val="single" w:sz="4" w:space="0" w:color="000000"/>
            </w:tcBorders>
            <w:shd w:val="clear" w:color="auto" w:fill="auto"/>
            <w:noWrap/>
            <w:vAlign w:val="bottom"/>
            <w:hideMark/>
          </w:tcPr>
          <w:p w14:paraId="1EC020C2"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Permanent residence</w:t>
            </w:r>
          </w:p>
        </w:tc>
        <w:tc>
          <w:tcPr>
            <w:tcW w:w="1153" w:type="pct"/>
            <w:gridSpan w:val="2"/>
            <w:tcBorders>
              <w:top w:val="single" w:sz="4" w:space="0" w:color="auto"/>
              <w:left w:val="nil"/>
              <w:bottom w:val="double" w:sz="6" w:space="0" w:color="000000"/>
              <w:right w:val="single" w:sz="4" w:space="0" w:color="000000"/>
            </w:tcBorders>
            <w:shd w:val="clear" w:color="auto" w:fill="auto"/>
            <w:noWrap/>
            <w:vAlign w:val="bottom"/>
            <w:hideMark/>
          </w:tcPr>
          <w:p w14:paraId="1EC020C3"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Citizenship</w:t>
            </w:r>
          </w:p>
        </w:tc>
      </w:tr>
      <w:tr w:rsidR="004C541E" w:rsidRPr="004C541E" w14:paraId="1EC020CC" w14:textId="77777777" w:rsidTr="00E5743E">
        <w:trPr>
          <w:trHeight w:val="20"/>
        </w:trPr>
        <w:tc>
          <w:tcPr>
            <w:tcW w:w="1562" w:type="pct"/>
            <w:tcBorders>
              <w:top w:val="nil"/>
              <w:left w:val="nil"/>
              <w:bottom w:val="nil"/>
              <w:right w:val="nil"/>
            </w:tcBorders>
            <w:shd w:val="clear" w:color="auto" w:fill="auto"/>
            <w:noWrap/>
            <w:vAlign w:val="bottom"/>
            <w:hideMark/>
          </w:tcPr>
          <w:p w14:paraId="1EC020C5" w14:textId="77777777" w:rsidR="004C541E" w:rsidRPr="004C541E" w:rsidRDefault="004C541E" w:rsidP="00B73266">
            <w:pPr>
              <w:keepNext/>
              <w:keepLines/>
              <w:spacing w:line="240" w:lineRule="auto"/>
              <w:jc w:val="center"/>
              <w:rPr>
                <w:color w:val="000000"/>
                <w:sz w:val="22"/>
                <w:szCs w:val="22"/>
                <w:lang w:eastAsia="ja-JP"/>
              </w:rPr>
            </w:pPr>
          </w:p>
        </w:tc>
        <w:tc>
          <w:tcPr>
            <w:tcW w:w="547" w:type="pct"/>
            <w:tcBorders>
              <w:top w:val="nil"/>
              <w:left w:val="nil"/>
              <w:bottom w:val="single" w:sz="4" w:space="0" w:color="auto"/>
              <w:right w:val="nil"/>
            </w:tcBorders>
            <w:shd w:val="clear" w:color="auto" w:fill="auto"/>
            <w:noWrap/>
            <w:vAlign w:val="center"/>
            <w:hideMark/>
          </w:tcPr>
          <w:p w14:paraId="1EC020C6"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w:t>
            </w:r>
          </w:p>
        </w:tc>
        <w:tc>
          <w:tcPr>
            <w:tcW w:w="627" w:type="pct"/>
            <w:tcBorders>
              <w:top w:val="nil"/>
              <w:left w:val="nil"/>
              <w:bottom w:val="single" w:sz="4" w:space="0" w:color="auto"/>
              <w:right w:val="single" w:sz="4" w:space="0" w:color="auto"/>
            </w:tcBorders>
            <w:shd w:val="clear" w:color="auto" w:fill="auto"/>
            <w:noWrap/>
            <w:vAlign w:val="center"/>
            <w:hideMark/>
          </w:tcPr>
          <w:p w14:paraId="1EC020C7"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II</w:t>
            </w:r>
          </w:p>
        </w:tc>
        <w:tc>
          <w:tcPr>
            <w:tcW w:w="467" w:type="pct"/>
            <w:tcBorders>
              <w:top w:val="nil"/>
              <w:left w:val="nil"/>
              <w:bottom w:val="single" w:sz="4" w:space="0" w:color="auto"/>
              <w:right w:val="nil"/>
            </w:tcBorders>
            <w:shd w:val="clear" w:color="auto" w:fill="auto"/>
            <w:noWrap/>
            <w:vAlign w:val="center"/>
            <w:hideMark/>
          </w:tcPr>
          <w:p w14:paraId="1EC020C8"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w:t>
            </w:r>
          </w:p>
        </w:tc>
        <w:tc>
          <w:tcPr>
            <w:tcW w:w="644" w:type="pct"/>
            <w:tcBorders>
              <w:top w:val="nil"/>
              <w:left w:val="nil"/>
              <w:bottom w:val="single" w:sz="4" w:space="0" w:color="auto"/>
              <w:right w:val="single" w:sz="4" w:space="0" w:color="auto"/>
            </w:tcBorders>
            <w:shd w:val="clear" w:color="auto" w:fill="auto"/>
            <w:noWrap/>
            <w:vAlign w:val="center"/>
            <w:hideMark/>
          </w:tcPr>
          <w:p w14:paraId="1EC020C9"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II</w:t>
            </w:r>
          </w:p>
        </w:tc>
        <w:tc>
          <w:tcPr>
            <w:tcW w:w="452" w:type="pct"/>
            <w:tcBorders>
              <w:top w:val="nil"/>
              <w:left w:val="nil"/>
              <w:bottom w:val="single" w:sz="4" w:space="0" w:color="auto"/>
              <w:right w:val="nil"/>
            </w:tcBorders>
            <w:shd w:val="clear" w:color="auto" w:fill="auto"/>
            <w:noWrap/>
            <w:vAlign w:val="center"/>
            <w:hideMark/>
          </w:tcPr>
          <w:p w14:paraId="1EC020CA"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w:t>
            </w:r>
          </w:p>
        </w:tc>
        <w:tc>
          <w:tcPr>
            <w:tcW w:w="702" w:type="pct"/>
            <w:tcBorders>
              <w:top w:val="nil"/>
              <w:left w:val="nil"/>
              <w:bottom w:val="single" w:sz="4" w:space="0" w:color="auto"/>
              <w:right w:val="single" w:sz="4" w:space="0" w:color="auto"/>
            </w:tcBorders>
            <w:shd w:val="clear" w:color="auto" w:fill="auto"/>
            <w:noWrap/>
            <w:vAlign w:val="center"/>
            <w:hideMark/>
          </w:tcPr>
          <w:p w14:paraId="1EC020CB"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II</w:t>
            </w:r>
          </w:p>
        </w:tc>
      </w:tr>
      <w:tr w:rsidR="004C541E" w:rsidRPr="004C541E" w14:paraId="1EC020D4" w14:textId="77777777" w:rsidTr="00E5743E">
        <w:trPr>
          <w:trHeight w:val="20"/>
        </w:trPr>
        <w:tc>
          <w:tcPr>
            <w:tcW w:w="1562" w:type="pct"/>
            <w:tcBorders>
              <w:top w:val="nil"/>
              <w:left w:val="nil"/>
              <w:bottom w:val="nil"/>
              <w:right w:val="nil"/>
            </w:tcBorders>
            <w:shd w:val="clear" w:color="auto" w:fill="auto"/>
            <w:noWrap/>
            <w:vAlign w:val="bottom"/>
            <w:hideMark/>
          </w:tcPr>
          <w:p w14:paraId="1EC020C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Female</w:t>
            </w:r>
          </w:p>
        </w:tc>
        <w:tc>
          <w:tcPr>
            <w:tcW w:w="547" w:type="pct"/>
            <w:tcBorders>
              <w:top w:val="nil"/>
              <w:left w:val="nil"/>
              <w:bottom w:val="nil"/>
              <w:right w:val="nil"/>
            </w:tcBorders>
            <w:shd w:val="clear" w:color="auto" w:fill="auto"/>
            <w:noWrap/>
            <w:vAlign w:val="center"/>
            <w:hideMark/>
          </w:tcPr>
          <w:p w14:paraId="1EC020C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0.523"</w:t>
            </w:r>
          </w:p>
        </w:tc>
        <w:tc>
          <w:tcPr>
            <w:tcW w:w="627" w:type="pct"/>
            <w:tcBorders>
              <w:top w:val="single" w:sz="4" w:space="0" w:color="auto"/>
              <w:left w:val="nil"/>
              <w:bottom w:val="nil"/>
            </w:tcBorders>
            <w:shd w:val="clear" w:color="auto" w:fill="auto"/>
            <w:noWrap/>
            <w:vAlign w:val="center"/>
            <w:hideMark/>
          </w:tcPr>
          <w:p w14:paraId="1EC020C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0.735</w:t>
            </w:r>
          </w:p>
        </w:tc>
        <w:tc>
          <w:tcPr>
            <w:tcW w:w="467" w:type="pct"/>
            <w:tcBorders>
              <w:top w:val="single" w:sz="4" w:space="0" w:color="auto"/>
              <w:bottom w:val="nil"/>
              <w:right w:val="nil"/>
            </w:tcBorders>
            <w:shd w:val="clear" w:color="auto" w:fill="auto"/>
            <w:noWrap/>
            <w:vAlign w:val="center"/>
            <w:hideMark/>
          </w:tcPr>
          <w:p w14:paraId="1EC020D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0.939</w:t>
            </w:r>
          </w:p>
        </w:tc>
        <w:tc>
          <w:tcPr>
            <w:tcW w:w="644" w:type="pct"/>
            <w:tcBorders>
              <w:top w:val="single" w:sz="4" w:space="0" w:color="auto"/>
              <w:left w:val="nil"/>
              <w:bottom w:val="nil"/>
            </w:tcBorders>
            <w:shd w:val="clear" w:color="auto" w:fill="auto"/>
            <w:noWrap/>
            <w:vAlign w:val="center"/>
            <w:hideMark/>
          </w:tcPr>
          <w:p w14:paraId="1EC020D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0.818</w:t>
            </w:r>
          </w:p>
        </w:tc>
        <w:tc>
          <w:tcPr>
            <w:tcW w:w="452" w:type="pct"/>
            <w:tcBorders>
              <w:top w:val="single" w:sz="4" w:space="0" w:color="auto"/>
              <w:bottom w:val="nil"/>
              <w:right w:val="nil"/>
            </w:tcBorders>
            <w:shd w:val="clear" w:color="auto" w:fill="auto"/>
            <w:noWrap/>
            <w:vAlign w:val="center"/>
            <w:hideMark/>
          </w:tcPr>
          <w:p w14:paraId="1EC020D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0.849</w:t>
            </w:r>
          </w:p>
        </w:tc>
        <w:tc>
          <w:tcPr>
            <w:tcW w:w="702" w:type="pct"/>
            <w:tcBorders>
              <w:top w:val="nil"/>
              <w:left w:val="nil"/>
              <w:bottom w:val="nil"/>
              <w:right w:val="single" w:sz="4" w:space="0" w:color="auto"/>
            </w:tcBorders>
            <w:shd w:val="clear" w:color="auto" w:fill="auto"/>
            <w:noWrap/>
            <w:vAlign w:val="center"/>
            <w:hideMark/>
          </w:tcPr>
          <w:p w14:paraId="1EC020D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0.624"</w:t>
            </w:r>
          </w:p>
        </w:tc>
      </w:tr>
      <w:tr w:rsidR="004C541E" w:rsidRPr="004C541E" w14:paraId="1EC020DC" w14:textId="77777777" w:rsidTr="00E5743E">
        <w:trPr>
          <w:trHeight w:val="20"/>
        </w:trPr>
        <w:tc>
          <w:tcPr>
            <w:tcW w:w="1562" w:type="pct"/>
            <w:tcBorders>
              <w:top w:val="nil"/>
              <w:left w:val="nil"/>
              <w:bottom w:val="nil"/>
              <w:right w:val="nil"/>
            </w:tcBorders>
            <w:shd w:val="clear" w:color="auto" w:fill="auto"/>
            <w:noWrap/>
            <w:vAlign w:val="bottom"/>
            <w:hideMark/>
          </w:tcPr>
          <w:p w14:paraId="1EC020D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Age 40 and over</w:t>
            </w:r>
          </w:p>
        </w:tc>
        <w:tc>
          <w:tcPr>
            <w:tcW w:w="547" w:type="pct"/>
            <w:tcBorders>
              <w:top w:val="nil"/>
              <w:left w:val="nil"/>
              <w:bottom w:val="nil"/>
              <w:right w:val="nil"/>
            </w:tcBorders>
            <w:shd w:val="clear" w:color="auto" w:fill="auto"/>
            <w:noWrap/>
            <w:vAlign w:val="center"/>
            <w:hideMark/>
          </w:tcPr>
          <w:p w14:paraId="1EC020D6"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0.46</w:t>
            </w:r>
          </w:p>
        </w:tc>
        <w:tc>
          <w:tcPr>
            <w:tcW w:w="627" w:type="pct"/>
            <w:tcBorders>
              <w:top w:val="nil"/>
              <w:left w:val="nil"/>
              <w:bottom w:val="nil"/>
            </w:tcBorders>
            <w:shd w:val="clear" w:color="auto" w:fill="auto"/>
            <w:noWrap/>
            <w:vAlign w:val="center"/>
            <w:hideMark/>
          </w:tcPr>
          <w:p w14:paraId="1EC020D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0.247*</w:t>
            </w:r>
          </w:p>
        </w:tc>
        <w:tc>
          <w:tcPr>
            <w:tcW w:w="467" w:type="pct"/>
            <w:tcBorders>
              <w:top w:val="nil"/>
              <w:bottom w:val="nil"/>
              <w:right w:val="nil"/>
            </w:tcBorders>
            <w:shd w:val="clear" w:color="auto" w:fill="auto"/>
            <w:noWrap/>
            <w:vAlign w:val="center"/>
            <w:hideMark/>
          </w:tcPr>
          <w:p w14:paraId="1EC020D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2.021*</w:t>
            </w:r>
          </w:p>
        </w:tc>
        <w:tc>
          <w:tcPr>
            <w:tcW w:w="644" w:type="pct"/>
            <w:tcBorders>
              <w:top w:val="nil"/>
              <w:left w:val="nil"/>
              <w:bottom w:val="nil"/>
            </w:tcBorders>
            <w:shd w:val="clear" w:color="auto" w:fill="auto"/>
            <w:noWrap/>
            <w:vAlign w:val="center"/>
            <w:hideMark/>
          </w:tcPr>
          <w:p w14:paraId="1EC020D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2.859***</w:t>
            </w:r>
          </w:p>
        </w:tc>
        <w:tc>
          <w:tcPr>
            <w:tcW w:w="452" w:type="pct"/>
            <w:tcBorders>
              <w:top w:val="nil"/>
              <w:bottom w:val="nil"/>
              <w:right w:val="nil"/>
            </w:tcBorders>
            <w:shd w:val="clear" w:color="auto" w:fill="auto"/>
            <w:noWrap/>
            <w:vAlign w:val="center"/>
            <w:hideMark/>
          </w:tcPr>
          <w:p w14:paraId="1EC020D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1.568</w:t>
            </w:r>
          </w:p>
        </w:tc>
        <w:tc>
          <w:tcPr>
            <w:tcW w:w="702" w:type="pct"/>
            <w:tcBorders>
              <w:top w:val="nil"/>
              <w:left w:val="nil"/>
              <w:bottom w:val="nil"/>
              <w:right w:val="single" w:sz="4" w:space="0" w:color="auto"/>
            </w:tcBorders>
            <w:shd w:val="clear" w:color="auto" w:fill="auto"/>
            <w:noWrap/>
            <w:vAlign w:val="center"/>
            <w:hideMark/>
          </w:tcPr>
          <w:p w14:paraId="1EC020D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2.205*</w:t>
            </w:r>
          </w:p>
        </w:tc>
      </w:tr>
      <w:tr w:rsidR="004C541E" w:rsidRPr="004C541E" w14:paraId="1EC020E4" w14:textId="77777777" w:rsidTr="00E5743E">
        <w:trPr>
          <w:trHeight w:val="20"/>
        </w:trPr>
        <w:tc>
          <w:tcPr>
            <w:tcW w:w="1562" w:type="pct"/>
            <w:tcBorders>
              <w:top w:val="nil"/>
              <w:left w:val="nil"/>
              <w:bottom w:val="nil"/>
              <w:right w:val="nil"/>
            </w:tcBorders>
            <w:shd w:val="clear" w:color="auto" w:fill="auto"/>
            <w:noWrap/>
            <w:vAlign w:val="bottom"/>
            <w:hideMark/>
          </w:tcPr>
          <w:p w14:paraId="1EC020D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Age 30 - 39</w:t>
            </w:r>
          </w:p>
        </w:tc>
        <w:tc>
          <w:tcPr>
            <w:tcW w:w="547" w:type="pct"/>
            <w:tcBorders>
              <w:top w:val="nil"/>
              <w:left w:val="nil"/>
              <w:bottom w:val="nil"/>
              <w:right w:val="nil"/>
            </w:tcBorders>
            <w:shd w:val="clear" w:color="auto" w:fill="auto"/>
            <w:noWrap/>
            <w:vAlign w:val="center"/>
            <w:hideMark/>
          </w:tcPr>
          <w:p w14:paraId="1EC020D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1.136</w:t>
            </w:r>
          </w:p>
        </w:tc>
        <w:tc>
          <w:tcPr>
            <w:tcW w:w="627" w:type="pct"/>
            <w:tcBorders>
              <w:top w:val="nil"/>
              <w:left w:val="nil"/>
              <w:bottom w:val="nil"/>
            </w:tcBorders>
            <w:shd w:val="clear" w:color="auto" w:fill="auto"/>
            <w:noWrap/>
            <w:vAlign w:val="center"/>
            <w:hideMark/>
          </w:tcPr>
          <w:p w14:paraId="1EC020D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0.778</w:t>
            </w:r>
          </w:p>
        </w:tc>
        <w:tc>
          <w:tcPr>
            <w:tcW w:w="467" w:type="pct"/>
            <w:tcBorders>
              <w:top w:val="nil"/>
              <w:bottom w:val="nil"/>
              <w:right w:val="nil"/>
            </w:tcBorders>
            <w:shd w:val="clear" w:color="auto" w:fill="auto"/>
            <w:noWrap/>
            <w:vAlign w:val="center"/>
            <w:hideMark/>
          </w:tcPr>
          <w:p w14:paraId="1EC020E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1.541</w:t>
            </w:r>
          </w:p>
        </w:tc>
        <w:tc>
          <w:tcPr>
            <w:tcW w:w="644" w:type="pct"/>
            <w:tcBorders>
              <w:top w:val="nil"/>
              <w:left w:val="nil"/>
              <w:bottom w:val="nil"/>
            </w:tcBorders>
            <w:shd w:val="clear" w:color="auto" w:fill="auto"/>
            <w:noWrap/>
            <w:vAlign w:val="center"/>
            <w:hideMark/>
          </w:tcPr>
          <w:p w14:paraId="1EC020E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1.978*</w:t>
            </w:r>
          </w:p>
        </w:tc>
        <w:tc>
          <w:tcPr>
            <w:tcW w:w="452" w:type="pct"/>
            <w:tcBorders>
              <w:top w:val="nil"/>
              <w:bottom w:val="nil"/>
              <w:right w:val="nil"/>
            </w:tcBorders>
            <w:shd w:val="clear" w:color="auto" w:fill="auto"/>
            <w:noWrap/>
            <w:vAlign w:val="center"/>
            <w:hideMark/>
          </w:tcPr>
          <w:p w14:paraId="1EC020E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1.576</w:t>
            </w:r>
          </w:p>
        </w:tc>
        <w:tc>
          <w:tcPr>
            <w:tcW w:w="702" w:type="pct"/>
            <w:tcBorders>
              <w:top w:val="nil"/>
              <w:left w:val="nil"/>
              <w:bottom w:val="nil"/>
              <w:right w:val="single" w:sz="4" w:space="0" w:color="auto"/>
            </w:tcBorders>
            <w:shd w:val="clear" w:color="auto" w:fill="auto"/>
            <w:noWrap/>
            <w:vAlign w:val="center"/>
            <w:hideMark/>
          </w:tcPr>
          <w:p w14:paraId="1EC020E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1.808"</w:t>
            </w:r>
          </w:p>
        </w:tc>
      </w:tr>
      <w:tr w:rsidR="004C541E" w:rsidRPr="004C541E" w14:paraId="1EC020EC" w14:textId="77777777" w:rsidTr="00E5743E">
        <w:trPr>
          <w:trHeight w:val="20"/>
        </w:trPr>
        <w:tc>
          <w:tcPr>
            <w:tcW w:w="1562" w:type="pct"/>
            <w:tcBorders>
              <w:top w:val="nil"/>
              <w:left w:val="nil"/>
              <w:bottom w:val="nil"/>
              <w:right w:val="nil"/>
            </w:tcBorders>
            <w:shd w:val="clear" w:color="auto" w:fill="auto"/>
            <w:noWrap/>
            <w:vAlign w:val="bottom"/>
            <w:hideMark/>
          </w:tcPr>
          <w:p w14:paraId="1EC020E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Qualification: vocational</w:t>
            </w:r>
          </w:p>
        </w:tc>
        <w:tc>
          <w:tcPr>
            <w:tcW w:w="547" w:type="pct"/>
            <w:tcBorders>
              <w:top w:val="nil"/>
              <w:left w:val="nil"/>
              <w:bottom w:val="nil"/>
              <w:right w:val="nil"/>
            </w:tcBorders>
            <w:shd w:val="clear" w:color="auto" w:fill="auto"/>
            <w:noWrap/>
            <w:vAlign w:val="center"/>
            <w:hideMark/>
          </w:tcPr>
          <w:p w14:paraId="1EC020E6"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0.804</w:t>
            </w:r>
          </w:p>
        </w:tc>
        <w:tc>
          <w:tcPr>
            <w:tcW w:w="627" w:type="pct"/>
            <w:tcBorders>
              <w:top w:val="nil"/>
              <w:left w:val="nil"/>
              <w:bottom w:val="nil"/>
            </w:tcBorders>
            <w:shd w:val="clear" w:color="auto" w:fill="auto"/>
            <w:noWrap/>
            <w:vAlign w:val="center"/>
            <w:hideMark/>
          </w:tcPr>
          <w:p w14:paraId="1EC020E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0.945</w:t>
            </w:r>
          </w:p>
        </w:tc>
        <w:tc>
          <w:tcPr>
            <w:tcW w:w="467" w:type="pct"/>
            <w:tcBorders>
              <w:top w:val="nil"/>
              <w:bottom w:val="nil"/>
              <w:right w:val="nil"/>
            </w:tcBorders>
            <w:shd w:val="clear" w:color="auto" w:fill="auto"/>
            <w:noWrap/>
            <w:vAlign w:val="center"/>
            <w:hideMark/>
          </w:tcPr>
          <w:p w14:paraId="1EC020E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0.919</w:t>
            </w:r>
          </w:p>
        </w:tc>
        <w:tc>
          <w:tcPr>
            <w:tcW w:w="644" w:type="pct"/>
            <w:tcBorders>
              <w:top w:val="nil"/>
              <w:left w:val="nil"/>
              <w:bottom w:val="nil"/>
            </w:tcBorders>
            <w:shd w:val="clear" w:color="auto" w:fill="auto"/>
            <w:noWrap/>
            <w:vAlign w:val="center"/>
            <w:hideMark/>
          </w:tcPr>
          <w:p w14:paraId="1EC020E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0.951</w:t>
            </w:r>
          </w:p>
        </w:tc>
        <w:tc>
          <w:tcPr>
            <w:tcW w:w="452" w:type="pct"/>
            <w:tcBorders>
              <w:top w:val="nil"/>
              <w:bottom w:val="nil"/>
              <w:right w:val="nil"/>
            </w:tcBorders>
            <w:shd w:val="clear" w:color="auto" w:fill="auto"/>
            <w:noWrap/>
            <w:vAlign w:val="center"/>
            <w:hideMark/>
          </w:tcPr>
          <w:p w14:paraId="1EC020E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0.363**</w:t>
            </w:r>
          </w:p>
        </w:tc>
        <w:tc>
          <w:tcPr>
            <w:tcW w:w="702" w:type="pct"/>
            <w:tcBorders>
              <w:top w:val="nil"/>
              <w:left w:val="nil"/>
              <w:bottom w:val="nil"/>
              <w:right w:val="single" w:sz="4" w:space="0" w:color="auto"/>
            </w:tcBorders>
            <w:shd w:val="clear" w:color="auto" w:fill="auto"/>
            <w:noWrap/>
            <w:vAlign w:val="center"/>
            <w:hideMark/>
          </w:tcPr>
          <w:p w14:paraId="1EC020E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0.383**</w:t>
            </w:r>
          </w:p>
        </w:tc>
      </w:tr>
      <w:tr w:rsidR="004C541E" w:rsidRPr="004C541E" w14:paraId="1EC020F4" w14:textId="77777777" w:rsidTr="00E5743E">
        <w:trPr>
          <w:trHeight w:val="20"/>
        </w:trPr>
        <w:tc>
          <w:tcPr>
            <w:tcW w:w="1562" w:type="pct"/>
            <w:tcBorders>
              <w:top w:val="nil"/>
              <w:left w:val="nil"/>
              <w:bottom w:val="nil"/>
              <w:right w:val="nil"/>
            </w:tcBorders>
            <w:shd w:val="clear" w:color="auto" w:fill="auto"/>
            <w:noWrap/>
            <w:vAlign w:val="bottom"/>
            <w:hideMark/>
          </w:tcPr>
          <w:p w14:paraId="1EC020E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Qualification: secondary</w:t>
            </w:r>
          </w:p>
        </w:tc>
        <w:tc>
          <w:tcPr>
            <w:tcW w:w="547" w:type="pct"/>
            <w:tcBorders>
              <w:top w:val="nil"/>
              <w:left w:val="nil"/>
              <w:bottom w:val="nil"/>
              <w:right w:val="nil"/>
            </w:tcBorders>
            <w:shd w:val="clear" w:color="auto" w:fill="auto"/>
            <w:noWrap/>
            <w:vAlign w:val="center"/>
            <w:hideMark/>
          </w:tcPr>
          <w:p w14:paraId="1EC020E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0.276**</w:t>
            </w:r>
          </w:p>
        </w:tc>
        <w:tc>
          <w:tcPr>
            <w:tcW w:w="627" w:type="pct"/>
            <w:tcBorders>
              <w:top w:val="nil"/>
              <w:left w:val="nil"/>
              <w:bottom w:val="nil"/>
            </w:tcBorders>
            <w:shd w:val="clear" w:color="auto" w:fill="auto"/>
            <w:noWrap/>
            <w:vAlign w:val="center"/>
            <w:hideMark/>
          </w:tcPr>
          <w:p w14:paraId="1EC020E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0.244***</w:t>
            </w:r>
          </w:p>
        </w:tc>
        <w:tc>
          <w:tcPr>
            <w:tcW w:w="467" w:type="pct"/>
            <w:tcBorders>
              <w:top w:val="nil"/>
              <w:bottom w:val="nil"/>
              <w:right w:val="nil"/>
            </w:tcBorders>
            <w:shd w:val="clear" w:color="auto" w:fill="auto"/>
            <w:noWrap/>
            <w:vAlign w:val="center"/>
            <w:hideMark/>
          </w:tcPr>
          <w:p w14:paraId="1EC020F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0.716</w:t>
            </w:r>
          </w:p>
        </w:tc>
        <w:tc>
          <w:tcPr>
            <w:tcW w:w="644" w:type="pct"/>
            <w:tcBorders>
              <w:top w:val="nil"/>
              <w:left w:val="nil"/>
              <w:bottom w:val="nil"/>
            </w:tcBorders>
            <w:shd w:val="clear" w:color="auto" w:fill="auto"/>
            <w:noWrap/>
            <w:vAlign w:val="center"/>
            <w:hideMark/>
          </w:tcPr>
          <w:p w14:paraId="1EC020F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0.743</w:t>
            </w:r>
          </w:p>
        </w:tc>
        <w:tc>
          <w:tcPr>
            <w:tcW w:w="452" w:type="pct"/>
            <w:tcBorders>
              <w:top w:val="nil"/>
              <w:bottom w:val="nil"/>
              <w:right w:val="nil"/>
            </w:tcBorders>
            <w:shd w:val="clear" w:color="auto" w:fill="auto"/>
            <w:noWrap/>
            <w:vAlign w:val="center"/>
            <w:hideMark/>
          </w:tcPr>
          <w:p w14:paraId="1EC020F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0.416***</w:t>
            </w:r>
          </w:p>
        </w:tc>
        <w:tc>
          <w:tcPr>
            <w:tcW w:w="702" w:type="pct"/>
            <w:tcBorders>
              <w:top w:val="nil"/>
              <w:left w:val="nil"/>
              <w:bottom w:val="nil"/>
              <w:right w:val="single" w:sz="4" w:space="0" w:color="auto"/>
            </w:tcBorders>
            <w:shd w:val="clear" w:color="auto" w:fill="auto"/>
            <w:noWrap/>
            <w:vAlign w:val="center"/>
            <w:hideMark/>
          </w:tcPr>
          <w:p w14:paraId="1EC020F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0.502**</w:t>
            </w:r>
          </w:p>
        </w:tc>
      </w:tr>
      <w:tr w:rsidR="004C541E" w:rsidRPr="004C541E" w14:paraId="1EC020FC" w14:textId="77777777" w:rsidTr="00E5743E">
        <w:trPr>
          <w:trHeight w:val="20"/>
        </w:trPr>
        <w:tc>
          <w:tcPr>
            <w:tcW w:w="1562" w:type="pct"/>
            <w:tcBorders>
              <w:top w:val="nil"/>
              <w:left w:val="nil"/>
              <w:bottom w:val="nil"/>
              <w:right w:val="nil"/>
            </w:tcBorders>
            <w:shd w:val="clear" w:color="auto" w:fill="auto"/>
            <w:noWrap/>
            <w:vAlign w:val="bottom"/>
            <w:hideMark/>
          </w:tcPr>
          <w:p w14:paraId="1EC020F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Employed full-time</w:t>
            </w:r>
          </w:p>
        </w:tc>
        <w:tc>
          <w:tcPr>
            <w:tcW w:w="547" w:type="pct"/>
            <w:tcBorders>
              <w:top w:val="nil"/>
              <w:left w:val="nil"/>
              <w:bottom w:val="nil"/>
              <w:right w:val="nil"/>
            </w:tcBorders>
            <w:shd w:val="clear" w:color="auto" w:fill="auto"/>
            <w:noWrap/>
            <w:vAlign w:val="center"/>
            <w:hideMark/>
          </w:tcPr>
          <w:p w14:paraId="1EC020F6"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1.264</w:t>
            </w:r>
          </w:p>
        </w:tc>
        <w:tc>
          <w:tcPr>
            <w:tcW w:w="627" w:type="pct"/>
            <w:tcBorders>
              <w:top w:val="nil"/>
              <w:left w:val="nil"/>
              <w:bottom w:val="nil"/>
            </w:tcBorders>
            <w:shd w:val="clear" w:color="auto" w:fill="auto"/>
            <w:noWrap/>
            <w:vAlign w:val="center"/>
            <w:hideMark/>
          </w:tcPr>
          <w:p w14:paraId="1EC020F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0.653</w:t>
            </w:r>
          </w:p>
        </w:tc>
        <w:tc>
          <w:tcPr>
            <w:tcW w:w="467" w:type="pct"/>
            <w:tcBorders>
              <w:top w:val="nil"/>
              <w:bottom w:val="nil"/>
              <w:right w:val="nil"/>
            </w:tcBorders>
            <w:shd w:val="clear" w:color="auto" w:fill="auto"/>
            <w:noWrap/>
            <w:vAlign w:val="center"/>
            <w:hideMark/>
          </w:tcPr>
          <w:p w14:paraId="1EC020F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1.363</w:t>
            </w:r>
          </w:p>
        </w:tc>
        <w:tc>
          <w:tcPr>
            <w:tcW w:w="644" w:type="pct"/>
            <w:tcBorders>
              <w:top w:val="nil"/>
              <w:left w:val="nil"/>
              <w:bottom w:val="nil"/>
            </w:tcBorders>
            <w:shd w:val="clear" w:color="auto" w:fill="auto"/>
            <w:noWrap/>
            <w:vAlign w:val="center"/>
            <w:hideMark/>
          </w:tcPr>
          <w:p w14:paraId="1EC020F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0.733</w:t>
            </w:r>
          </w:p>
        </w:tc>
        <w:tc>
          <w:tcPr>
            <w:tcW w:w="452" w:type="pct"/>
            <w:tcBorders>
              <w:top w:val="nil"/>
              <w:bottom w:val="nil"/>
              <w:right w:val="nil"/>
            </w:tcBorders>
            <w:shd w:val="clear" w:color="auto" w:fill="auto"/>
            <w:noWrap/>
            <w:vAlign w:val="center"/>
            <w:hideMark/>
          </w:tcPr>
          <w:p w14:paraId="1EC020F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1.207</w:t>
            </w:r>
          </w:p>
        </w:tc>
        <w:tc>
          <w:tcPr>
            <w:tcW w:w="702" w:type="pct"/>
            <w:tcBorders>
              <w:top w:val="nil"/>
              <w:left w:val="nil"/>
              <w:bottom w:val="nil"/>
              <w:right w:val="single" w:sz="4" w:space="0" w:color="auto"/>
            </w:tcBorders>
            <w:shd w:val="clear" w:color="auto" w:fill="auto"/>
            <w:noWrap/>
            <w:vAlign w:val="center"/>
            <w:hideMark/>
          </w:tcPr>
          <w:p w14:paraId="1EC020F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0.163**</w:t>
            </w:r>
          </w:p>
        </w:tc>
      </w:tr>
      <w:tr w:rsidR="004C541E" w:rsidRPr="004C541E" w14:paraId="1EC02104" w14:textId="77777777" w:rsidTr="00E5743E">
        <w:trPr>
          <w:trHeight w:val="20"/>
        </w:trPr>
        <w:tc>
          <w:tcPr>
            <w:tcW w:w="1562" w:type="pct"/>
            <w:tcBorders>
              <w:top w:val="nil"/>
              <w:left w:val="nil"/>
              <w:bottom w:val="nil"/>
              <w:right w:val="nil"/>
            </w:tcBorders>
            <w:shd w:val="clear" w:color="auto" w:fill="auto"/>
            <w:noWrap/>
            <w:vAlign w:val="bottom"/>
            <w:hideMark/>
          </w:tcPr>
          <w:p w14:paraId="1EC020F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Employed part-time</w:t>
            </w:r>
          </w:p>
        </w:tc>
        <w:tc>
          <w:tcPr>
            <w:tcW w:w="547" w:type="pct"/>
            <w:tcBorders>
              <w:top w:val="nil"/>
              <w:left w:val="nil"/>
              <w:bottom w:val="nil"/>
              <w:right w:val="nil"/>
            </w:tcBorders>
            <w:shd w:val="clear" w:color="auto" w:fill="auto"/>
            <w:noWrap/>
            <w:vAlign w:val="center"/>
            <w:hideMark/>
          </w:tcPr>
          <w:p w14:paraId="1EC020F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1.001</w:t>
            </w:r>
          </w:p>
        </w:tc>
        <w:tc>
          <w:tcPr>
            <w:tcW w:w="627" w:type="pct"/>
            <w:tcBorders>
              <w:top w:val="nil"/>
              <w:left w:val="nil"/>
              <w:bottom w:val="nil"/>
            </w:tcBorders>
            <w:shd w:val="clear" w:color="auto" w:fill="auto"/>
            <w:noWrap/>
            <w:vAlign w:val="center"/>
            <w:hideMark/>
          </w:tcPr>
          <w:p w14:paraId="1EC020F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0.493</w:t>
            </w:r>
          </w:p>
        </w:tc>
        <w:tc>
          <w:tcPr>
            <w:tcW w:w="467" w:type="pct"/>
            <w:tcBorders>
              <w:top w:val="nil"/>
              <w:bottom w:val="nil"/>
              <w:right w:val="nil"/>
            </w:tcBorders>
            <w:shd w:val="clear" w:color="auto" w:fill="auto"/>
            <w:noWrap/>
            <w:vAlign w:val="center"/>
            <w:hideMark/>
          </w:tcPr>
          <w:p w14:paraId="1EC0210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0.805</w:t>
            </w:r>
          </w:p>
        </w:tc>
        <w:tc>
          <w:tcPr>
            <w:tcW w:w="644" w:type="pct"/>
            <w:tcBorders>
              <w:top w:val="nil"/>
              <w:left w:val="nil"/>
              <w:bottom w:val="nil"/>
            </w:tcBorders>
            <w:shd w:val="clear" w:color="auto" w:fill="auto"/>
            <w:noWrap/>
            <w:vAlign w:val="center"/>
            <w:hideMark/>
          </w:tcPr>
          <w:p w14:paraId="1EC0210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0.344**</w:t>
            </w:r>
          </w:p>
        </w:tc>
        <w:tc>
          <w:tcPr>
            <w:tcW w:w="452" w:type="pct"/>
            <w:tcBorders>
              <w:top w:val="nil"/>
              <w:bottom w:val="nil"/>
              <w:right w:val="nil"/>
            </w:tcBorders>
            <w:shd w:val="clear" w:color="auto" w:fill="auto"/>
            <w:noWrap/>
            <w:vAlign w:val="center"/>
            <w:hideMark/>
          </w:tcPr>
          <w:p w14:paraId="1EC0210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1.11</w:t>
            </w:r>
          </w:p>
        </w:tc>
        <w:tc>
          <w:tcPr>
            <w:tcW w:w="702" w:type="pct"/>
            <w:tcBorders>
              <w:top w:val="nil"/>
              <w:left w:val="nil"/>
              <w:bottom w:val="nil"/>
              <w:right w:val="single" w:sz="4" w:space="0" w:color="auto"/>
            </w:tcBorders>
            <w:shd w:val="clear" w:color="auto" w:fill="auto"/>
            <w:noWrap/>
            <w:vAlign w:val="center"/>
            <w:hideMark/>
          </w:tcPr>
          <w:p w14:paraId="1EC0210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0.113***</w:t>
            </w:r>
          </w:p>
        </w:tc>
      </w:tr>
      <w:tr w:rsidR="004C541E" w:rsidRPr="004C541E" w14:paraId="1EC0210C" w14:textId="77777777" w:rsidTr="00E5743E">
        <w:trPr>
          <w:trHeight w:val="20"/>
        </w:trPr>
        <w:tc>
          <w:tcPr>
            <w:tcW w:w="1562" w:type="pct"/>
            <w:tcBorders>
              <w:top w:val="nil"/>
              <w:left w:val="nil"/>
              <w:bottom w:val="nil"/>
              <w:right w:val="nil"/>
            </w:tcBorders>
            <w:shd w:val="clear" w:color="auto" w:fill="auto"/>
            <w:noWrap/>
            <w:vAlign w:val="bottom"/>
            <w:hideMark/>
          </w:tcPr>
          <w:p w14:paraId="1EC0210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Self-employed</w:t>
            </w:r>
          </w:p>
        </w:tc>
        <w:tc>
          <w:tcPr>
            <w:tcW w:w="547" w:type="pct"/>
            <w:tcBorders>
              <w:top w:val="nil"/>
              <w:left w:val="nil"/>
              <w:bottom w:val="nil"/>
              <w:right w:val="nil"/>
            </w:tcBorders>
            <w:shd w:val="clear" w:color="auto" w:fill="auto"/>
            <w:noWrap/>
            <w:vAlign w:val="center"/>
            <w:hideMark/>
          </w:tcPr>
          <w:p w14:paraId="1EC02106"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2.022</w:t>
            </w:r>
          </w:p>
        </w:tc>
        <w:tc>
          <w:tcPr>
            <w:tcW w:w="627" w:type="pct"/>
            <w:tcBorders>
              <w:top w:val="nil"/>
              <w:left w:val="nil"/>
              <w:bottom w:val="nil"/>
            </w:tcBorders>
            <w:shd w:val="clear" w:color="auto" w:fill="auto"/>
            <w:noWrap/>
            <w:vAlign w:val="center"/>
            <w:hideMark/>
          </w:tcPr>
          <w:p w14:paraId="1EC0210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0.738</w:t>
            </w:r>
          </w:p>
        </w:tc>
        <w:tc>
          <w:tcPr>
            <w:tcW w:w="467" w:type="pct"/>
            <w:tcBorders>
              <w:top w:val="nil"/>
              <w:bottom w:val="nil"/>
              <w:right w:val="nil"/>
            </w:tcBorders>
            <w:shd w:val="clear" w:color="auto" w:fill="auto"/>
            <w:noWrap/>
            <w:vAlign w:val="center"/>
            <w:hideMark/>
          </w:tcPr>
          <w:p w14:paraId="1EC0210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1.794</w:t>
            </w:r>
          </w:p>
        </w:tc>
        <w:tc>
          <w:tcPr>
            <w:tcW w:w="644" w:type="pct"/>
            <w:tcBorders>
              <w:top w:val="nil"/>
              <w:left w:val="nil"/>
              <w:bottom w:val="nil"/>
            </w:tcBorders>
            <w:shd w:val="clear" w:color="auto" w:fill="auto"/>
            <w:noWrap/>
            <w:vAlign w:val="center"/>
            <w:hideMark/>
          </w:tcPr>
          <w:p w14:paraId="1EC0210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0.768</w:t>
            </w:r>
          </w:p>
        </w:tc>
        <w:tc>
          <w:tcPr>
            <w:tcW w:w="452" w:type="pct"/>
            <w:tcBorders>
              <w:top w:val="nil"/>
              <w:bottom w:val="nil"/>
              <w:right w:val="nil"/>
            </w:tcBorders>
            <w:shd w:val="clear" w:color="auto" w:fill="auto"/>
            <w:noWrap/>
            <w:vAlign w:val="center"/>
            <w:hideMark/>
          </w:tcPr>
          <w:p w14:paraId="1EC0210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0.925</w:t>
            </w:r>
          </w:p>
        </w:tc>
        <w:tc>
          <w:tcPr>
            <w:tcW w:w="702" w:type="pct"/>
            <w:tcBorders>
              <w:top w:val="nil"/>
              <w:left w:val="nil"/>
              <w:bottom w:val="nil"/>
              <w:right w:val="single" w:sz="4" w:space="0" w:color="auto"/>
            </w:tcBorders>
            <w:shd w:val="clear" w:color="auto" w:fill="auto"/>
            <w:noWrap/>
            <w:vAlign w:val="center"/>
            <w:hideMark/>
          </w:tcPr>
          <w:p w14:paraId="1EC0210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0.090***</w:t>
            </w:r>
          </w:p>
        </w:tc>
      </w:tr>
      <w:tr w:rsidR="004C541E" w:rsidRPr="004C541E" w14:paraId="1EC02114" w14:textId="77777777" w:rsidTr="00E5743E">
        <w:trPr>
          <w:trHeight w:val="20"/>
        </w:trPr>
        <w:tc>
          <w:tcPr>
            <w:tcW w:w="1562" w:type="pct"/>
            <w:tcBorders>
              <w:top w:val="nil"/>
              <w:left w:val="nil"/>
              <w:bottom w:val="nil"/>
              <w:right w:val="nil"/>
            </w:tcBorders>
            <w:shd w:val="clear" w:color="auto" w:fill="auto"/>
            <w:noWrap/>
            <w:vAlign w:val="bottom"/>
            <w:hideMark/>
          </w:tcPr>
          <w:p w14:paraId="1EC0210D" w14:textId="57BC6B38"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Less than 5 ye</w:t>
            </w:r>
            <w:r w:rsidR="00EA6746">
              <w:rPr>
                <w:color w:val="000000"/>
                <w:sz w:val="22"/>
                <w:szCs w:val="22"/>
                <w:lang w:eastAsia="ja-JP"/>
              </w:rPr>
              <w:t>a</w:t>
            </w:r>
            <w:r w:rsidRPr="004C541E">
              <w:rPr>
                <w:color w:val="000000"/>
                <w:sz w:val="22"/>
                <w:szCs w:val="22"/>
                <w:lang w:eastAsia="ja-JP"/>
              </w:rPr>
              <w:t>rs in UK</w:t>
            </w:r>
          </w:p>
        </w:tc>
        <w:tc>
          <w:tcPr>
            <w:tcW w:w="547" w:type="pct"/>
            <w:tcBorders>
              <w:top w:val="nil"/>
              <w:left w:val="nil"/>
              <w:bottom w:val="nil"/>
              <w:right w:val="nil"/>
            </w:tcBorders>
            <w:shd w:val="clear" w:color="auto" w:fill="auto"/>
            <w:noWrap/>
            <w:vAlign w:val="center"/>
            <w:hideMark/>
          </w:tcPr>
          <w:p w14:paraId="1EC0210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0.79</w:t>
            </w:r>
          </w:p>
        </w:tc>
        <w:tc>
          <w:tcPr>
            <w:tcW w:w="627" w:type="pct"/>
            <w:tcBorders>
              <w:top w:val="nil"/>
              <w:left w:val="nil"/>
              <w:bottom w:val="nil"/>
            </w:tcBorders>
            <w:shd w:val="clear" w:color="auto" w:fill="auto"/>
            <w:noWrap/>
            <w:vAlign w:val="center"/>
            <w:hideMark/>
          </w:tcPr>
          <w:p w14:paraId="1EC0210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0.279*</w:t>
            </w:r>
          </w:p>
        </w:tc>
        <w:tc>
          <w:tcPr>
            <w:tcW w:w="467" w:type="pct"/>
            <w:tcBorders>
              <w:top w:val="nil"/>
              <w:bottom w:val="nil"/>
              <w:right w:val="nil"/>
            </w:tcBorders>
            <w:shd w:val="clear" w:color="auto" w:fill="auto"/>
            <w:noWrap/>
            <w:vAlign w:val="center"/>
            <w:hideMark/>
          </w:tcPr>
          <w:p w14:paraId="1EC0211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1.351</w:t>
            </w:r>
          </w:p>
        </w:tc>
        <w:tc>
          <w:tcPr>
            <w:tcW w:w="644" w:type="pct"/>
            <w:tcBorders>
              <w:top w:val="nil"/>
              <w:left w:val="nil"/>
              <w:bottom w:val="nil"/>
            </w:tcBorders>
            <w:shd w:val="clear" w:color="auto" w:fill="auto"/>
            <w:noWrap/>
            <w:vAlign w:val="center"/>
            <w:hideMark/>
          </w:tcPr>
          <w:p w14:paraId="1EC0211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1.428</w:t>
            </w:r>
          </w:p>
        </w:tc>
        <w:tc>
          <w:tcPr>
            <w:tcW w:w="452" w:type="pct"/>
            <w:tcBorders>
              <w:top w:val="nil"/>
              <w:bottom w:val="nil"/>
              <w:right w:val="nil"/>
            </w:tcBorders>
            <w:shd w:val="clear" w:color="auto" w:fill="auto"/>
            <w:noWrap/>
            <w:vAlign w:val="center"/>
            <w:hideMark/>
          </w:tcPr>
          <w:p w14:paraId="1EC0211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0.72</w:t>
            </w:r>
          </w:p>
        </w:tc>
        <w:tc>
          <w:tcPr>
            <w:tcW w:w="702" w:type="pct"/>
            <w:tcBorders>
              <w:top w:val="nil"/>
              <w:left w:val="nil"/>
              <w:bottom w:val="nil"/>
              <w:right w:val="single" w:sz="4" w:space="0" w:color="auto"/>
            </w:tcBorders>
            <w:shd w:val="clear" w:color="auto" w:fill="auto"/>
            <w:noWrap/>
            <w:vAlign w:val="center"/>
            <w:hideMark/>
          </w:tcPr>
          <w:p w14:paraId="1EC0211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0.792</w:t>
            </w:r>
          </w:p>
        </w:tc>
      </w:tr>
      <w:tr w:rsidR="004C541E" w:rsidRPr="004C541E" w14:paraId="1EC0211C" w14:textId="77777777" w:rsidTr="00E5743E">
        <w:trPr>
          <w:trHeight w:val="20"/>
        </w:trPr>
        <w:tc>
          <w:tcPr>
            <w:tcW w:w="1562" w:type="pct"/>
            <w:tcBorders>
              <w:top w:val="nil"/>
              <w:left w:val="nil"/>
              <w:bottom w:val="nil"/>
              <w:right w:val="nil"/>
            </w:tcBorders>
            <w:shd w:val="clear" w:color="auto" w:fill="auto"/>
            <w:noWrap/>
            <w:vAlign w:val="bottom"/>
            <w:hideMark/>
          </w:tcPr>
          <w:p w14:paraId="1EC0211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5 to 10 year in UK</w:t>
            </w:r>
          </w:p>
        </w:tc>
        <w:tc>
          <w:tcPr>
            <w:tcW w:w="547" w:type="pct"/>
            <w:tcBorders>
              <w:top w:val="nil"/>
              <w:left w:val="nil"/>
              <w:bottom w:val="nil"/>
              <w:right w:val="nil"/>
            </w:tcBorders>
            <w:shd w:val="clear" w:color="auto" w:fill="auto"/>
            <w:noWrap/>
            <w:vAlign w:val="center"/>
            <w:hideMark/>
          </w:tcPr>
          <w:p w14:paraId="1EC02116"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0.626</w:t>
            </w:r>
          </w:p>
        </w:tc>
        <w:tc>
          <w:tcPr>
            <w:tcW w:w="627" w:type="pct"/>
            <w:tcBorders>
              <w:top w:val="nil"/>
              <w:left w:val="nil"/>
              <w:bottom w:val="nil"/>
            </w:tcBorders>
            <w:shd w:val="clear" w:color="auto" w:fill="auto"/>
            <w:noWrap/>
            <w:vAlign w:val="center"/>
            <w:hideMark/>
          </w:tcPr>
          <w:p w14:paraId="1EC0211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0.315**</w:t>
            </w:r>
          </w:p>
        </w:tc>
        <w:tc>
          <w:tcPr>
            <w:tcW w:w="467" w:type="pct"/>
            <w:tcBorders>
              <w:top w:val="nil"/>
              <w:bottom w:val="nil"/>
              <w:right w:val="nil"/>
            </w:tcBorders>
            <w:shd w:val="clear" w:color="auto" w:fill="auto"/>
            <w:noWrap/>
            <w:vAlign w:val="center"/>
            <w:hideMark/>
          </w:tcPr>
          <w:p w14:paraId="1EC0211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1.117</w:t>
            </w:r>
          </w:p>
        </w:tc>
        <w:tc>
          <w:tcPr>
            <w:tcW w:w="644" w:type="pct"/>
            <w:tcBorders>
              <w:top w:val="nil"/>
              <w:left w:val="nil"/>
              <w:bottom w:val="nil"/>
            </w:tcBorders>
            <w:shd w:val="clear" w:color="auto" w:fill="auto"/>
            <w:noWrap/>
            <w:vAlign w:val="center"/>
            <w:hideMark/>
          </w:tcPr>
          <w:p w14:paraId="1EC0211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1.094</w:t>
            </w:r>
          </w:p>
        </w:tc>
        <w:tc>
          <w:tcPr>
            <w:tcW w:w="452" w:type="pct"/>
            <w:tcBorders>
              <w:top w:val="nil"/>
              <w:bottom w:val="nil"/>
              <w:right w:val="nil"/>
            </w:tcBorders>
            <w:shd w:val="clear" w:color="auto" w:fill="auto"/>
            <w:noWrap/>
            <w:vAlign w:val="center"/>
            <w:hideMark/>
          </w:tcPr>
          <w:p w14:paraId="1EC0211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0.692</w:t>
            </w:r>
          </w:p>
        </w:tc>
        <w:tc>
          <w:tcPr>
            <w:tcW w:w="702" w:type="pct"/>
            <w:tcBorders>
              <w:top w:val="nil"/>
              <w:left w:val="nil"/>
              <w:bottom w:val="nil"/>
              <w:right w:val="single" w:sz="4" w:space="0" w:color="auto"/>
            </w:tcBorders>
            <w:shd w:val="clear" w:color="auto" w:fill="auto"/>
            <w:noWrap/>
            <w:vAlign w:val="center"/>
            <w:hideMark/>
          </w:tcPr>
          <w:p w14:paraId="1EC0211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0.748</w:t>
            </w:r>
          </w:p>
        </w:tc>
      </w:tr>
      <w:tr w:rsidR="004C541E" w:rsidRPr="004C541E" w14:paraId="1EC02124" w14:textId="77777777" w:rsidTr="00E5743E">
        <w:trPr>
          <w:trHeight w:val="20"/>
        </w:trPr>
        <w:tc>
          <w:tcPr>
            <w:tcW w:w="1562" w:type="pct"/>
            <w:tcBorders>
              <w:top w:val="nil"/>
              <w:left w:val="nil"/>
              <w:bottom w:val="nil"/>
              <w:right w:val="nil"/>
            </w:tcBorders>
            <w:shd w:val="clear" w:color="auto" w:fill="auto"/>
            <w:noWrap/>
            <w:vAlign w:val="bottom"/>
            <w:hideMark/>
          </w:tcPr>
          <w:p w14:paraId="1EC0211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Has close relatives in UK</w:t>
            </w:r>
          </w:p>
        </w:tc>
        <w:tc>
          <w:tcPr>
            <w:tcW w:w="547" w:type="pct"/>
            <w:tcBorders>
              <w:top w:val="nil"/>
              <w:left w:val="nil"/>
              <w:bottom w:val="nil"/>
              <w:right w:val="nil"/>
            </w:tcBorders>
            <w:shd w:val="clear" w:color="auto" w:fill="auto"/>
            <w:noWrap/>
            <w:vAlign w:val="center"/>
            <w:hideMark/>
          </w:tcPr>
          <w:p w14:paraId="1EC0211E"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0.52</w:t>
            </w:r>
          </w:p>
        </w:tc>
        <w:tc>
          <w:tcPr>
            <w:tcW w:w="627" w:type="pct"/>
            <w:tcBorders>
              <w:top w:val="nil"/>
              <w:left w:val="nil"/>
              <w:bottom w:val="nil"/>
            </w:tcBorders>
            <w:shd w:val="clear" w:color="auto" w:fill="auto"/>
            <w:noWrap/>
            <w:vAlign w:val="center"/>
            <w:hideMark/>
          </w:tcPr>
          <w:p w14:paraId="1EC0211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1.948</w:t>
            </w:r>
          </w:p>
        </w:tc>
        <w:tc>
          <w:tcPr>
            <w:tcW w:w="467" w:type="pct"/>
            <w:tcBorders>
              <w:top w:val="nil"/>
              <w:bottom w:val="nil"/>
              <w:right w:val="nil"/>
            </w:tcBorders>
            <w:shd w:val="clear" w:color="auto" w:fill="auto"/>
            <w:noWrap/>
            <w:vAlign w:val="center"/>
            <w:hideMark/>
          </w:tcPr>
          <w:p w14:paraId="1EC0212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1.387</w:t>
            </w:r>
          </w:p>
        </w:tc>
        <w:tc>
          <w:tcPr>
            <w:tcW w:w="644" w:type="pct"/>
            <w:tcBorders>
              <w:top w:val="nil"/>
              <w:left w:val="nil"/>
              <w:bottom w:val="nil"/>
            </w:tcBorders>
            <w:shd w:val="clear" w:color="auto" w:fill="auto"/>
            <w:noWrap/>
            <w:vAlign w:val="center"/>
            <w:hideMark/>
          </w:tcPr>
          <w:p w14:paraId="1EC0212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1.32</w:t>
            </w:r>
          </w:p>
        </w:tc>
        <w:tc>
          <w:tcPr>
            <w:tcW w:w="452" w:type="pct"/>
            <w:tcBorders>
              <w:top w:val="nil"/>
              <w:bottom w:val="nil"/>
              <w:right w:val="nil"/>
            </w:tcBorders>
            <w:shd w:val="clear" w:color="auto" w:fill="auto"/>
            <w:noWrap/>
            <w:vAlign w:val="center"/>
            <w:hideMark/>
          </w:tcPr>
          <w:p w14:paraId="1EC0212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1.381</w:t>
            </w:r>
          </w:p>
        </w:tc>
        <w:tc>
          <w:tcPr>
            <w:tcW w:w="702" w:type="pct"/>
            <w:tcBorders>
              <w:top w:val="nil"/>
              <w:left w:val="nil"/>
              <w:bottom w:val="nil"/>
              <w:right w:val="single" w:sz="4" w:space="0" w:color="auto"/>
            </w:tcBorders>
            <w:shd w:val="clear" w:color="auto" w:fill="auto"/>
            <w:noWrap/>
            <w:vAlign w:val="center"/>
            <w:hideMark/>
          </w:tcPr>
          <w:p w14:paraId="1EC0212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1.166</w:t>
            </w:r>
          </w:p>
        </w:tc>
      </w:tr>
      <w:tr w:rsidR="004C541E" w:rsidRPr="004C541E" w14:paraId="1EC0212C" w14:textId="77777777" w:rsidTr="00E5743E">
        <w:trPr>
          <w:trHeight w:val="20"/>
        </w:trPr>
        <w:tc>
          <w:tcPr>
            <w:tcW w:w="1562" w:type="pct"/>
            <w:tcBorders>
              <w:top w:val="nil"/>
              <w:left w:val="nil"/>
              <w:bottom w:val="nil"/>
              <w:right w:val="nil"/>
            </w:tcBorders>
            <w:shd w:val="clear" w:color="auto" w:fill="auto"/>
            <w:noWrap/>
            <w:vAlign w:val="bottom"/>
            <w:hideMark/>
          </w:tcPr>
          <w:p w14:paraId="1EC0212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Partner: employed</w:t>
            </w:r>
          </w:p>
        </w:tc>
        <w:tc>
          <w:tcPr>
            <w:tcW w:w="547" w:type="pct"/>
            <w:tcBorders>
              <w:top w:val="nil"/>
              <w:left w:val="nil"/>
              <w:bottom w:val="nil"/>
              <w:right w:val="nil"/>
            </w:tcBorders>
            <w:shd w:val="clear" w:color="auto" w:fill="auto"/>
            <w:noWrap/>
            <w:vAlign w:val="center"/>
            <w:hideMark/>
          </w:tcPr>
          <w:p w14:paraId="1EC02126"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2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0.286*</w:t>
            </w:r>
          </w:p>
        </w:tc>
        <w:tc>
          <w:tcPr>
            <w:tcW w:w="467" w:type="pct"/>
            <w:tcBorders>
              <w:top w:val="nil"/>
              <w:bottom w:val="nil"/>
              <w:right w:val="nil"/>
            </w:tcBorders>
            <w:shd w:val="clear" w:color="auto" w:fill="auto"/>
            <w:noWrap/>
            <w:vAlign w:val="center"/>
            <w:hideMark/>
          </w:tcPr>
          <w:p w14:paraId="1EC0212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2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0.472*</w:t>
            </w:r>
          </w:p>
        </w:tc>
        <w:tc>
          <w:tcPr>
            <w:tcW w:w="452" w:type="pct"/>
            <w:tcBorders>
              <w:top w:val="nil"/>
              <w:bottom w:val="nil"/>
              <w:right w:val="nil"/>
            </w:tcBorders>
            <w:shd w:val="clear" w:color="auto" w:fill="auto"/>
            <w:noWrap/>
            <w:vAlign w:val="center"/>
            <w:hideMark/>
          </w:tcPr>
          <w:p w14:paraId="1EC0212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2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0.684</w:t>
            </w:r>
          </w:p>
        </w:tc>
      </w:tr>
      <w:tr w:rsidR="004C541E" w:rsidRPr="004C541E" w14:paraId="1EC02134" w14:textId="77777777" w:rsidTr="00E5743E">
        <w:trPr>
          <w:trHeight w:val="20"/>
        </w:trPr>
        <w:tc>
          <w:tcPr>
            <w:tcW w:w="1562" w:type="pct"/>
            <w:tcBorders>
              <w:top w:val="nil"/>
              <w:left w:val="nil"/>
              <w:bottom w:val="nil"/>
              <w:right w:val="nil"/>
            </w:tcBorders>
            <w:shd w:val="clear" w:color="auto" w:fill="auto"/>
            <w:noWrap/>
            <w:vAlign w:val="bottom"/>
            <w:hideMark/>
          </w:tcPr>
          <w:p w14:paraId="1EC0212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Partner: inactive</w:t>
            </w:r>
          </w:p>
        </w:tc>
        <w:tc>
          <w:tcPr>
            <w:tcW w:w="547" w:type="pct"/>
            <w:tcBorders>
              <w:top w:val="nil"/>
              <w:left w:val="nil"/>
              <w:bottom w:val="nil"/>
              <w:right w:val="nil"/>
            </w:tcBorders>
            <w:shd w:val="clear" w:color="auto" w:fill="auto"/>
            <w:noWrap/>
            <w:vAlign w:val="center"/>
            <w:hideMark/>
          </w:tcPr>
          <w:p w14:paraId="1EC0212E"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2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0.26"</w:t>
            </w:r>
          </w:p>
        </w:tc>
        <w:tc>
          <w:tcPr>
            <w:tcW w:w="467" w:type="pct"/>
            <w:tcBorders>
              <w:top w:val="nil"/>
              <w:bottom w:val="nil"/>
              <w:right w:val="nil"/>
            </w:tcBorders>
            <w:shd w:val="clear" w:color="auto" w:fill="auto"/>
            <w:noWrap/>
            <w:vAlign w:val="center"/>
            <w:hideMark/>
          </w:tcPr>
          <w:p w14:paraId="1EC0213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3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0.309*</w:t>
            </w:r>
          </w:p>
        </w:tc>
        <w:tc>
          <w:tcPr>
            <w:tcW w:w="452" w:type="pct"/>
            <w:tcBorders>
              <w:top w:val="nil"/>
              <w:bottom w:val="nil"/>
              <w:right w:val="nil"/>
            </w:tcBorders>
            <w:shd w:val="clear" w:color="auto" w:fill="auto"/>
            <w:noWrap/>
            <w:vAlign w:val="center"/>
            <w:hideMark/>
          </w:tcPr>
          <w:p w14:paraId="1EC0213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3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0.298*</w:t>
            </w:r>
          </w:p>
        </w:tc>
      </w:tr>
      <w:tr w:rsidR="004C541E" w:rsidRPr="004C541E" w14:paraId="1EC0213C" w14:textId="77777777" w:rsidTr="00E5743E">
        <w:trPr>
          <w:trHeight w:val="20"/>
        </w:trPr>
        <w:tc>
          <w:tcPr>
            <w:tcW w:w="1562" w:type="pct"/>
            <w:tcBorders>
              <w:top w:val="nil"/>
              <w:left w:val="nil"/>
              <w:bottom w:val="nil"/>
              <w:right w:val="nil"/>
            </w:tcBorders>
            <w:shd w:val="clear" w:color="auto" w:fill="auto"/>
            <w:noWrap/>
            <w:vAlign w:val="bottom"/>
            <w:hideMark/>
          </w:tcPr>
          <w:p w14:paraId="1EC0213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Speaks English at work</w:t>
            </w:r>
          </w:p>
        </w:tc>
        <w:tc>
          <w:tcPr>
            <w:tcW w:w="547" w:type="pct"/>
            <w:tcBorders>
              <w:top w:val="nil"/>
              <w:left w:val="nil"/>
              <w:bottom w:val="nil"/>
              <w:right w:val="nil"/>
            </w:tcBorders>
            <w:shd w:val="clear" w:color="auto" w:fill="auto"/>
            <w:noWrap/>
            <w:vAlign w:val="center"/>
            <w:hideMark/>
          </w:tcPr>
          <w:p w14:paraId="1EC02136"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3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1.963</w:t>
            </w:r>
          </w:p>
        </w:tc>
        <w:tc>
          <w:tcPr>
            <w:tcW w:w="467" w:type="pct"/>
            <w:tcBorders>
              <w:top w:val="nil"/>
              <w:bottom w:val="nil"/>
              <w:right w:val="nil"/>
            </w:tcBorders>
            <w:shd w:val="clear" w:color="auto" w:fill="auto"/>
            <w:noWrap/>
            <w:vAlign w:val="center"/>
            <w:hideMark/>
          </w:tcPr>
          <w:p w14:paraId="1EC0213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3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1.645"</w:t>
            </w:r>
          </w:p>
        </w:tc>
        <w:tc>
          <w:tcPr>
            <w:tcW w:w="452" w:type="pct"/>
            <w:tcBorders>
              <w:top w:val="nil"/>
              <w:bottom w:val="nil"/>
              <w:right w:val="nil"/>
            </w:tcBorders>
            <w:shd w:val="clear" w:color="auto" w:fill="auto"/>
            <w:noWrap/>
            <w:vAlign w:val="center"/>
            <w:hideMark/>
          </w:tcPr>
          <w:p w14:paraId="1EC0213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3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6.939***</w:t>
            </w:r>
          </w:p>
        </w:tc>
      </w:tr>
      <w:tr w:rsidR="004C541E" w:rsidRPr="004C541E" w14:paraId="1EC02144" w14:textId="77777777" w:rsidTr="00E5743E">
        <w:trPr>
          <w:trHeight w:val="20"/>
        </w:trPr>
        <w:tc>
          <w:tcPr>
            <w:tcW w:w="1562" w:type="pct"/>
            <w:tcBorders>
              <w:top w:val="nil"/>
              <w:left w:val="nil"/>
              <w:bottom w:val="nil"/>
              <w:right w:val="nil"/>
            </w:tcBorders>
            <w:shd w:val="clear" w:color="auto" w:fill="auto"/>
            <w:noWrap/>
            <w:vAlign w:val="bottom"/>
            <w:hideMark/>
          </w:tcPr>
          <w:p w14:paraId="1EC0213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Plans naturalisation</w:t>
            </w:r>
          </w:p>
        </w:tc>
        <w:tc>
          <w:tcPr>
            <w:tcW w:w="547" w:type="pct"/>
            <w:tcBorders>
              <w:top w:val="nil"/>
              <w:left w:val="nil"/>
              <w:bottom w:val="nil"/>
              <w:right w:val="nil"/>
            </w:tcBorders>
            <w:shd w:val="clear" w:color="auto" w:fill="auto"/>
            <w:noWrap/>
            <w:vAlign w:val="center"/>
            <w:hideMark/>
          </w:tcPr>
          <w:p w14:paraId="1EC0213E"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3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0.341**</w:t>
            </w:r>
          </w:p>
        </w:tc>
        <w:tc>
          <w:tcPr>
            <w:tcW w:w="467" w:type="pct"/>
            <w:tcBorders>
              <w:top w:val="nil"/>
              <w:bottom w:val="nil"/>
              <w:right w:val="nil"/>
            </w:tcBorders>
            <w:shd w:val="clear" w:color="auto" w:fill="auto"/>
            <w:noWrap/>
            <w:vAlign w:val="center"/>
            <w:hideMark/>
          </w:tcPr>
          <w:p w14:paraId="1EC0214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4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2.933***</w:t>
            </w:r>
          </w:p>
        </w:tc>
        <w:tc>
          <w:tcPr>
            <w:tcW w:w="452" w:type="pct"/>
            <w:tcBorders>
              <w:top w:val="nil"/>
              <w:bottom w:val="nil"/>
              <w:right w:val="nil"/>
            </w:tcBorders>
            <w:shd w:val="clear" w:color="auto" w:fill="auto"/>
            <w:noWrap/>
            <w:vAlign w:val="center"/>
            <w:hideMark/>
          </w:tcPr>
          <w:p w14:paraId="1EC0214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4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101.284***</w:t>
            </w:r>
          </w:p>
        </w:tc>
      </w:tr>
      <w:tr w:rsidR="004C541E" w:rsidRPr="004C541E" w14:paraId="1EC0214C" w14:textId="77777777" w:rsidTr="00E5743E">
        <w:trPr>
          <w:trHeight w:val="20"/>
        </w:trPr>
        <w:tc>
          <w:tcPr>
            <w:tcW w:w="1562" w:type="pct"/>
            <w:tcBorders>
              <w:top w:val="nil"/>
              <w:left w:val="nil"/>
              <w:bottom w:val="nil"/>
              <w:right w:val="nil"/>
            </w:tcBorders>
            <w:shd w:val="clear" w:color="auto" w:fill="auto"/>
            <w:noWrap/>
            <w:vAlign w:val="bottom"/>
            <w:hideMark/>
          </w:tcPr>
          <w:p w14:paraId="1EC0214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Eligible for citizenship</w:t>
            </w:r>
          </w:p>
        </w:tc>
        <w:tc>
          <w:tcPr>
            <w:tcW w:w="547" w:type="pct"/>
            <w:tcBorders>
              <w:top w:val="nil"/>
              <w:left w:val="nil"/>
              <w:bottom w:val="nil"/>
              <w:right w:val="nil"/>
            </w:tcBorders>
            <w:shd w:val="clear" w:color="auto" w:fill="auto"/>
            <w:noWrap/>
            <w:vAlign w:val="center"/>
            <w:hideMark/>
          </w:tcPr>
          <w:p w14:paraId="1EC02146"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4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0.256*</w:t>
            </w:r>
          </w:p>
        </w:tc>
        <w:tc>
          <w:tcPr>
            <w:tcW w:w="467" w:type="pct"/>
            <w:tcBorders>
              <w:top w:val="nil"/>
              <w:bottom w:val="nil"/>
              <w:right w:val="nil"/>
            </w:tcBorders>
            <w:shd w:val="clear" w:color="auto" w:fill="auto"/>
            <w:noWrap/>
            <w:vAlign w:val="center"/>
            <w:hideMark/>
          </w:tcPr>
          <w:p w14:paraId="1EC0214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4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0.665</w:t>
            </w:r>
          </w:p>
        </w:tc>
        <w:tc>
          <w:tcPr>
            <w:tcW w:w="452" w:type="pct"/>
            <w:tcBorders>
              <w:top w:val="nil"/>
              <w:bottom w:val="nil"/>
              <w:right w:val="nil"/>
            </w:tcBorders>
            <w:shd w:val="clear" w:color="auto" w:fill="auto"/>
            <w:noWrap/>
            <w:vAlign w:val="center"/>
            <w:hideMark/>
          </w:tcPr>
          <w:p w14:paraId="1EC0214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4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0.811</w:t>
            </w:r>
          </w:p>
        </w:tc>
      </w:tr>
      <w:tr w:rsidR="004C541E" w:rsidRPr="004C541E" w14:paraId="1EC02154" w14:textId="77777777" w:rsidTr="00E5743E">
        <w:trPr>
          <w:trHeight w:val="20"/>
        </w:trPr>
        <w:tc>
          <w:tcPr>
            <w:tcW w:w="1562" w:type="pct"/>
            <w:tcBorders>
              <w:top w:val="nil"/>
              <w:left w:val="nil"/>
              <w:bottom w:val="nil"/>
              <w:right w:val="nil"/>
            </w:tcBorders>
            <w:shd w:val="clear" w:color="auto" w:fill="auto"/>
            <w:noWrap/>
            <w:vAlign w:val="bottom"/>
            <w:hideMark/>
          </w:tcPr>
          <w:p w14:paraId="1EC0214D"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Does not know if eligible for citizenship</w:t>
            </w:r>
          </w:p>
        </w:tc>
        <w:tc>
          <w:tcPr>
            <w:tcW w:w="547" w:type="pct"/>
            <w:tcBorders>
              <w:top w:val="nil"/>
              <w:left w:val="nil"/>
              <w:bottom w:val="nil"/>
              <w:right w:val="nil"/>
            </w:tcBorders>
            <w:shd w:val="clear" w:color="auto" w:fill="auto"/>
            <w:noWrap/>
            <w:vAlign w:val="center"/>
            <w:hideMark/>
          </w:tcPr>
          <w:p w14:paraId="1EC0214E"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4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0.329*</w:t>
            </w:r>
          </w:p>
        </w:tc>
        <w:tc>
          <w:tcPr>
            <w:tcW w:w="467" w:type="pct"/>
            <w:tcBorders>
              <w:top w:val="nil"/>
              <w:bottom w:val="nil"/>
              <w:right w:val="nil"/>
            </w:tcBorders>
            <w:shd w:val="clear" w:color="auto" w:fill="auto"/>
            <w:noWrap/>
            <w:vAlign w:val="center"/>
            <w:hideMark/>
          </w:tcPr>
          <w:p w14:paraId="1EC0215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5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0.938</w:t>
            </w:r>
          </w:p>
        </w:tc>
        <w:tc>
          <w:tcPr>
            <w:tcW w:w="452" w:type="pct"/>
            <w:tcBorders>
              <w:top w:val="nil"/>
              <w:bottom w:val="nil"/>
              <w:right w:val="nil"/>
            </w:tcBorders>
            <w:shd w:val="clear" w:color="auto" w:fill="auto"/>
            <w:noWrap/>
            <w:vAlign w:val="center"/>
            <w:hideMark/>
          </w:tcPr>
          <w:p w14:paraId="1EC0215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5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0.425*</w:t>
            </w:r>
          </w:p>
        </w:tc>
      </w:tr>
      <w:tr w:rsidR="004C541E" w:rsidRPr="004C541E" w14:paraId="1EC0215C" w14:textId="77777777" w:rsidTr="00E5743E">
        <w:trPr>
          <w:trHeight w:val="20"/>
        </w:trPr>
        <w:tc>
          <w:tcPr>
            <w:tcW w:w="1562" w:type="pct"/>
            <w:tcBorders>
              <w:top w:val="nil"/>
              <w:left w:val="nil"/>
              <w:bottom w:val="nil"/>
              <w:right w:val="nil"/>
            </w:tcBorders>
            <w:shd w:val="clear" w:color="auto" w:fill="auto"/>
            <w:noWrap/>
            <w:vAlign w:val="bottom"/>
            <w:hideMark/>
          </w:tcPr>
          <w:p w14:paraId="1EC0215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Close relatives eligible for PRC</w:t>
            </w:r>
          </w:p>
        </w:tc>
        <w:tc>
          <w:tcPr>
            <w:tcW w:w="547" w:type="pct"/>
            <w:tcBorders>
              <w:top w:val="nil"/>
              <w:left w:val="nil"/>
              <w:bottom w:val="nil"/>
              <w:right w:val="nil"/>
            </w:tcBorders>
            <w:shd w:val="clear" w:color="auto" w:fill="auto"/>
            <w:noWrap/>
            <w:vAlign w:val="center"/>
            <w:hideMark/>
          </w:tcPr>
          <w:p w14:paraId="1EC02156"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5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1.149</w:t>
            </w:r>
          </w:p>
        </w:tc>
        <w:tc>
          <w:tcPr>
            <w:tcW w:w="467" w:type="pct"/>
            <w:tcBorders>
              <w:top w:val="nil"/>
              <w:bottom w:val="nil"/>
              <w:right w:val="nil"/>
            </w:tcBorders>
            <w:shd w:val="clear" w:color="auto" w:fill="auto"/>
            <w:noWrap/>
            <w:vAlign w:val="center"/>
            <w:hideMark/>
          </w:tcPr>
          <w:p w14:paraId="1EC0215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5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2.991***</w:t>
            </w:r>
          </w:p>
        </w:tc>
        <w:tc>
          <w:tcPr>
            <w:tcW w:w="452" w:type="pct"/>
            <w:tcBorders>
              <w:top w:val="nil"/>
              <w:bottom w:val="nil"/>
              <w:right w:val="nil"/>
            </w:tcBorders>
            <w:shd w:val="clear" w:color="auto" w:fill="auto"/>
            <w:noWrap/>
            <w:vAlign w:val="center"/>
            <w:hideMark/>
          </w:tcPr>
          <w:p w14:paraId="1EC0215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5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2.509**</w:t>
            </w:r>
          </w:p>
        </w:tc>
      </w:tr>
      <w:tr w:rsidR="004C541E" w:rsidRPr="004C541E" w14:paraId="1EC02164" w14:textId="77777777" w:rsidTr="00E5743E">
        <w:trPr>
          <w:trHeight w:val="20"/>
        </w:trPr>
        <w:tc>
          <w:tcPr>
            <w:tcW w:w="1562" w:type="pct"/>
            <w:tcBorders>
              <w:top w:val="nil"/>
              <w:left w:val="nil"/>
              <w:bottom w:val="nil"/>
              <w:right w:val="nil"/>
            </w:tcBorders>
            <w:shd w:val="clear" w:color="auto" w:fill="auto"/>
            <w:noWrap/>
            <w:vAlign w:val="bottom"/>
            <w:hideMark/>
          </w:tcPr>
          <w:p w14:paraId="1EC0215D" w14:textId="248DA3E2" w:rsidR="004C541E" w:rsidRPr="004C541E" w:rsidRDefault="004C541E" w:rsidP="000F0537">
            <w:pPr>
              <w:keepNext/>
              <w:keepLines/>
              <w:spacing w:line="240" w:lineRule="auto"/>
              <w:rPr>
                <w:color w:val="000000"/>
                <w:sz w:val="22"/>
                <w:szCs w:val="22"/>
                <w:lang w:eastAsia="ja-JP"/>
              </w:rPr>
            </w:pPr>
            <w:r w:rsidRPr="004C541E">
              <w:rPr>
                <w:color w:val="000000"/>
                <w:sz w:val="22"/>
                <w:szCs w:val="22"/>
                <w:lang w:eastAsia="ja-JP"/>
              </w:rPr>
              <w:t xml:space="preserve">Feels </w:t>
            </w:r>
            <w:r w:rsidR="000F0537">
              <w:rPr>
                <w:color w:val="000000"/>
                <w:sz w:val="22"/>
                <w:szCs w:val="22"/>
                <w:lang w:eastAsia="ja-JP"/>
              </w:rPr>
              <w:t>anxious about</w:t>
            </w:r>
            <w:r w:rsidRPr="004C541E">
              <w:rPr>
                <w:color w:val="000000"/>
                <w:sz w:val="22"/>
                <w:szCs w:val="22"/>
                <w:lang w:eastAsia="ja-JP"/>
              </w:rPr>
              <w:t xml:space="preserve"> Brexit</w:t>
            </w:r>
          </w:p>
        </w:tc>
        <w:tc>
          <w:tcPr>
            <w:tcW w:w="547" w:type="pct"/>
            <w:tcBorders>
              <w:top w:val="nil"/>
              <w:left w:val="nil"/>
              <w:bottom w:val="nil"/>
              <w:right w:val="nil"/>
            </w:tcBorders>
            <w:shd w:val="clear" w:color="auto" w:fill="auto"/>
            <w:noWrap/>
            <w:vAlign w:val="center"/>
            <w:hideMark/>
          </w:tcPr>
          <w:p w14:paraId="1EC0215E"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nil"/>
            </w:tcBorders>
            <w:shd w:val="clear" w:color="auto" w:fill="auto"/>
            <w:noWrap/>
            <w:vAlign w:val="center"/>
            <w:hideMark/>
          </w:tcPr>
          <w:p w14:paraId="1EC0215F"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1.013</w:t>
            </w:r>
          </w:p>
        </w:tc>
        <w:tc>
          <w:tcPr>
            <w:tcW w:w="467" w:type="pct"/>
            <w:tcBorders>
              <w:top w:val="nil"/>
              <w:bottom w:val="nil"/>
              <w:right w:val="nil"/>
            </w:tcBorders>
            <w:shd w:val="clear" w:color="auto" w:fill="auto"/>
            <w:noWrap/>
            <w:vAlign w:val="center"/>
            <w:hideMark/>
          </w:tcPr>
          <w:p w14:paraId="1EC02160"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nil"/>
            </w:tcBorders>
            <w:shd w:val="clear" w:color="auto" w:fill="auto"/>
            <w:noWrap/>
            <w:vAlign w:val="center"/>
            <w:hideMark/>
          </w:tcPr>
          <w:p w14:paraId="1EC02161"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1.239</w:t>
            </w:r>
          </w:p>
        </w:tc>
        <w:tc>
          <w:tcPr>
            <w:tcW w:w="452" w:type="pct"/>
            <w:tcBorders>
              <w:top w:val="nil"/>
              <w:bottom w:val="nil"/>
              <w:right w:val="nil"/>
            </w:tcBorders>
            <w:shd w:val="clear" w:color="auto" w:fill="auto"/>
            <w:noWrap/>
            <w:vAlign w:val="center"/>
            <w:hideMark/>
          </w:tcPr>
          <w:p w14:paraId="1EC02162"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nil"/>
              <w:right w:val="single" w:sz="4" w:space="0" w:color="auto"/>
            </w:tcBorders>
            <w:shd w:val="clear" w:color="auto" w:fill="auto"/>
            <w:noWrap/>
            <w:vAlign w:val="center"/>
            <w:hideMark/>
          </w:tcPr>
          <w:p w14:paraId="1EC02163"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1.512"</w:t>
            </w:r>
          </w:p>
        </w:tc>
      </w:tr>
      <w:tr w:rsidR="004C541E" w:rsidRPr="004C541E" w14:paraId="1EC0216C" w14:textId="77777777" w:rsidTr="00E5743E">
        <w:trPr>
          <w:trHeight w:val="20"/>
        </w:trPr>
        <w:tc>
          <w:tcPr>
            <w:tcW w:w="1562" w:type="pct"/>
            <w:tcBorders>
              <w:top w:val="nil"/>
              <w:left w:val="nil"/>
              <w:bottom w:val="single" w:sz="4" w:space="0" w:color="auto"/>
              <w:right w:val="nil"/>
            </w:tcBorders>
            <w:shd w:val="clear" w:color="auto" w:fill="auto"/>
            <w:noWrap/>
            <w:vAlign w:val="bottom"/>
            <w:hideMark/>
          </w:tcPr>
          <w:p w14:paraId="1EC02165"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Prefers UK to leave or only conditionally stay in the EU</w:t>
            </w:r>
          </w:p>
        </w:tc>
        <w:tc>
          <w:tcPr>
            <w:tcW w:w="547" w:type="pct"/>
            <w:tcBorders>
              <w:top w:val="nil"/>
              <w:left w:val="nil"/>
              <w:bottom w:val="single" w:sz="4" w:space="0" w:color="auto"/>
              <w:right w:val="nil"/>
            </w:tcBorders>
            <w:shd w:val="clear" w:color="auto" w:fill="auto"/>
            <w:vAlign w:val="bottom"/>
          </w:tcPr>
          <w:p w14:paraId="1EC02166" w14:textId="77777777" w:rsidR="004C541E" w:rsidRPr="004C541E" w:rsidRDefault="004C541E" w:rsidP="00B73266">
            <w:pPr>
              <w:keepNext/>
              <w:keepLines/>
              <w:spacing w:line="240" w:lineRule="auto"/>
              <w:rPr>
                <w:color w:val="000000"/>
                <w:sz w:val="22"/>
                <w:szCs w:val="22"/>
                <w:lang w:eastAsia="ja-JP"/>
              </w:rPr>
            </w:pPr>
          </w:p>
        </w:tc>
        <w:tc>
          <w:tcPr>
            <w:tcW w:w="627" w:type="pct"/>
            <w:tcBorders>
              <w:top w:val="nil"/>
              <w:left w:val="nil"/>
              <w:bottom w:val="single" w:sz="4" w:space="0" w:color="auto"/>
            </w:tcBorders>
            <w:shd w:val="clear" w:color="auto" w:fill="auto"/>
            <w:noWrap/>
            <w:vAlign w:val="center"/>
            <w:hideMark/>
          </w:tcPr>
          <w:p w14:paraId="1EC02167"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2.100*</w:t>
            </w:r>
          </w:p>
        </w:tc>
        <w:tc>
          <w:tcPr>
            <w:tcW w:w="467" w:type="pct"/>
            <w:tcBorders>
              <w:top w:val="nil"/>
              <w:bottom w:val="single" w:sz="4" w:space="0" w:color="auto"/>
              <w:right w:val="nil"/>
            </w:tcBorders>
            <w:shd w:val="clear" w:color="auto" w:fill="auto"/>
            <w:noWrap/>
            <w:vAlign w:val="center"/>
            <w:hideMark/>
          </w:tcPr>
          <w:p w14:paraId="1EC02168"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644" w:type="pct"/>
            <w:tcBorders>
              <w:top w:val="nil"/>
              <w:left w:val="nil"/>
              <w:bottom w:val="single" w:sz="4" w:space="0" w:color="auto"/>
            </w:tcBorders>
            <w:shd w:val="clear" w:color="auto" w:fill="auto"/>
            <w:noWrap/>
            <w:vAlign w:val="center"/>
            <w:hideMark/>
          </w:tcPr>
          <w:p w14:paraId="1EC02169"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1.751**</w:t>
            </w:r>
          </w:p>
        </w:tc>
        <w:tc>
          <w:tcPr>
            <w:tcW w:w="452" w:type="pct"/>
            <w:tcBorders>
              <w:top w:val="nil"/>
              <w:bottom w:val="single" w:sz="4" w:space="0" w:color="auto"/>
              <w:right w:val="nil"/>
            </w:tcBorders>
            <w:shd w:val="clear" w:color="auto" w:fill="auto"/>
            <w:noWrap/>
            <w:vAlign w:val="center"/>
            <w:hideMark/>
          </w:tcPr>
          <w:p w14:paraId="1EC0216A"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 </w:t>
            </w:r>
          </w:p>
        </w:tc>
        <w:tc>
          <w:tcPr>
            <w:tcW w:w="702" w:type="pct"/>
            <w:tcBorders>
              <w:top w:val="nil"/>
              <w:left w:val="nil"/>
              <w:bottom w:val="single" w:sz="4" w:space="0" w:color="auto"/>
              <w:right w:val="single" w:sz="4" w:space="0" w:color="auto"/>
            </w:tcBorders>
            <w:shd w:val="clear" w:color="auto" w:fill="auto"/>
            <w:noWrap/>
            <w:vAlign w:val="center"/>
            <w:hideMark/>
          </w:tcPr>
          <w:p w14:paraId="1EC0216B" w14:textId="77777777" w:rsidR="004C541E" w:rsidRPr="004C541E" w:rsidRDefault="004C541E" w:rsidP="00B73266">
            <w:pPr>
              <w:keepNext/>
              <w:keepLines/>
              <w:spacing w:line="240" w:lineRule="auto"/>
              <w:rPr>
                <w:color w:val="000000"/>
                <w:sz w:val="22"/>
                <w:szCs w:val="22"/>
                <w:lang w:eastAsia="ja-JP"/>
              </w:rPr>
            </w:pPr>
            <w:r w:rsidRPr="004C541E">
              <w:rPr>
                <w:color w:val="000000"/>
                <w:sz w:val="22"/>
                <w:szCs w:val="22"/>
                <w:lang w:eastAsia="ja-JP"/>
              </w:rPr>
              <w:t>1.65*</w:t>
            </w:r>
          </w:p>
        </w:tc>
      </w:tr>
      <w:tr w:rsidR="004C541E" w:rsidRPr="004C541E" w14:paraId="1EC02174" w14:textId="77777777" w:rsidTr="00E5743E">
        <w:trPr>
          <w:trHeight w:val="20"/>
        </w:trPr>
        <w:tc>
          <w:tcPr>
            <w:tcW w:w="1562" w:type="pct"/>
            <w:tcBorders>
              <w:top w:val="nil"/>
              <w:left w:val="nil"/>
              <w:bottom w:val="nil"/>
              <w:right w:val="nil"/>
            </w:tcBorders>
            <w:shd w:val="clear" w:color="auto" w:fill="auto"/>
            <w:noWrap/>
            <w:vAlign w:val="bottom"/>
            <w:hideMark/>
          </w:tcPr>
          <w:p w14:paraId="1EC0216D"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Nagelkerke R-square</w:t>
            </w:r>
          </w:p>
        </w:tc>
        <w:tc>
          <w:tcPr>
            <w:tcW w:w="547" w:type="pct"/>
            <w:tcBorders>
              <w:top w:val="nil"/>
              <w:left w:val="nil"/>
              <w:bottom w:val="nil"/>
              <w:right w:val="nil"/>
            </w:tcBorders>
            <w:shd w:val="clear" w:color="auto" w:fill="auto"/>
            <w:noWrap/>
            <w:vAlign w:val="center"/>
            <w:hideMark/>
          </w:tcPr>
          <w:p w14:paraId="1EC0216E"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.105</w:t>
            </w:r>
          </w:p>
        </w:tc>
        <w:tc>
          <w:tcPr>
            <w:tcW w:w="627" w:type="pct"/>
            <w:tcBorders>
              <w:top w:val="single" w:sz="4" w:space="0" w:color="auto"/>
              <w:left w:val="nil"/>
              <w:bottom w:val="nil"/>
            </w:tcBorders>
            <w:shd w:val="clear" w:color="auto" w:fill="auto"/>
            <w:noWrap/>
            <w:vAlign w:val="center"/>
            <w:hideMark/>
          </w:tcPr>
          <w:p w14:paraId="1EC0216F"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.468</w:t>
            </w:r>
          </w:p>
        </w:tc>
        <w:tc>
          <w:tcPr>
            <w:tcW w:w="467" w:type="pct"/>
            <w:tcBorders>
              <w:top w:val="single" w:sz="4" w:space="0" w:color="auto"/>
              <w:bottom w:val="nil"/>
              <w:right w:val="nil"/>
            </w:tcBorders>
            <w:shd w:val="clear" w:color="auto" w:fill="auto"/>
            <w:noWrap/>
            <w:vAlign w:val="center"/>
            <w:hideMark/>
          </w:tcPr>
          <w:p w14:paraId="1EC02170" w14:textId="77777777" w:rsidR="004C541E" w:rsidRPr="004C541E" w:rsidRDefault="004C541E" w:rsidP="00B73266">
            <w:pPr>
              <w:keepNext/>
              <w:keepLines/>
              <w:spacing w:line="240" w:lineRule="auto"/>
              <w:jc w:val="center"/>
              <w:rPr>
                <w:color w:val="000000"/>
                <w:sz w:val="22"/>
                <w:szCs w:val="22"/>
                <w:lang w:eastAsia="ja-JP"/>
              </w:rPr>
            </w:pPr>
          </w:p>
        </w:tc>
        <w:tc>
          <w:tcPr>
            <w:tcW w:w="644" w:type="pct"/>
            <w:tcBorders>
              <w:top w:val="single" w:sz="4" w:space="0" w:color="auto"/>
              <w:left w:val="nil"/>
              <w:bottom w:val="nil"/>
            </w:tcBorders>
            <w:shd w:val="clear" w:color="auto" w:fill="auto"/>
            <w:noWrap/>
            <w:vAlign w:val="center"/>
            <w:hideMark/>
          </w:tcPr>
          <w:p w14:paraId="1EC02171"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c>
          <w:tcPr>
            <w:tcW w:w="452" w:type="pct"/>
            <w:tcBorders>
              <w:top w:val="single" w:sz="4" w:space="0" w:color="auto"/>
              <w:bottom w:val="nil"/>
              <w:right w:val="nil"/>
            </w:tcBorders>
            <w:shd w:val="clear" w:color="auto" w:fill="auto"/>
            <w:noWrap/>
            <w:vAlign w:val="center"/>
            <w:hideMark/>
          </w:tcPr>
          <w:p w14:paraId="1EC02172" w14:textId="77777777" w:rsidR="004C541E" w:rsidRPr="004C541E" w:rsidRDefault="004C541E" w:rsidP="00B73266">
            <w:pPr>
              <w:keepNext/>
              <w:keepLines/>
              <w:spacing w:line="240" w:lineRule="auto"/>
              <w:jc w:val="center"/>
              <w:rPr>
                <w:color w:val="000000"/>
                <w:sz w:val="22"/>
                <w:szCs w:val="22"/>
                <w:lang w:eastAsia="ja-JP"/>
              </w:rPr>
            </w:pPr>
          </w:p>
        </w:tc>
        <w:tc>
          <w:tcPr>
            <w:tcW w:w="702" w:type="pct"/>
            <w:tcBorders>
              <w:top w:val="nil"/>
              <w:left w:val="nil"/>
              <w:bottom w:val="nil"/>
              <w:right w:val="single" w:sz="4" w:space="0" w:color="auto"/>
            </w:tcBorders>
            <w:shd w:val="clear" w:color="auto" w:fill="auto"/>
            <w:noWrap/>
            <w:vAlign w:val="center"/>
            <w:hideMark/>
          </w:tcPr>
          <w:p w14:paraId="1EC02173"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r>
      <w:tr w:rsidR="004C541E" w:rsidRPr="004C541E" w14:paraId="1EC0217C" w14:textId="77777777" w:rsidTr="00E5743E">
        <w:trPr>
          <w:trHeight w:val="20"/>
        </w:trPr>
        <w:tc>
          <w:tcPr>
            <w:tcW w:w="1562" w:type="pct"/>
            <w:tcBorders>
              <w:top w:val="nil"/>
              <w:left w:val="nil"/>
              <w:bottom w:val="double" w:sz="6" w:space="0" w:color="auto"/>
              <w:right w:val="nil"/>
            </w:tcBorders>
            <w:shd w:val="clear" w:color="auto" w:fill="auto"/>
            <w:noWrap/>
            <w:vAlign w:val="bottom"/>
            <w:hideMark/>
          </w:tcPr>
          <w:p w14:paraId="1EC02175"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N</w:t>
            </w:r>
          </w:p>
        </w:tc>
        <w:tc>
          <w:tcPr>
            <w:tcW w:w="547" w:type="pct"/>
            <w:tcBorders>
              <w:top w:val="nil"/>
              <w:left w:val="nil"/>
              <w:bottom w:val="double" w:sz="6" w:space="0" w:color="auto"/>
              <w:right w:val="nil"/>
            </w:tcBorders>
            <w:shd w:val="clear" w:color="auto" w:fill="auto"/>
            <w:noWrap/>
            <w:vAlign w:val="center"/>
            <w:hideMark/>
          </w:tcPr>
          <w:p w14:paraId="1EC02176"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746</w:t>
            </w:r>
          </w:p>
        </w:tc>
        <w:tc>
          <w:tcPr>
            <w:tcW w:w="627" w:type="pct"/>
            <w:tcBorders>
              <w:top w:val="nil"/>
              <w:left w:val="nil"/>
              <w:bottom w:val="double" w:sz="6" w:space="0" w:color="auto"/>
            </w:tcBorders>
            <w:shd w:val="clear" w:color="auto" w:fill="auto"/>
            <w:noWrap/>
            <w:vAlign w:val="center"/>
            <w:hideMark/>
          </w:tcPr>
          <w:p w14:paraId="1EC02177"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683</w:t>
            </w:r>
          </w:p>
        </w:tc>
        <w:tc>
          <w:tcPr>
            <w:tcW w:w="467" w:type="pct"/>
            <w:tcBorders>
              <w:top w:val="nil"/>
              <w:bottom w:val="double" w:sz="6" w:space="0" w:color="auto"/>
              <w:right w:val="nil"/>
            </w:tcBorders>
            <w:shd w:val="clear" w:color="auto" w:fill="auto"/>
            <w:noWrap/>
            <w:vAlign w:val="center"/>
            <w:hideMark/>
          </w:tcPr>
          <w:p w14:paraId="1EC02178"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c>
          <w:tcPr>
            <w:tcW w:w="644" w:type="pct"/>
            <w:tcBorders>
              <w:top w:val="nil"/>
              <w:left w:val="nil"/>
              <w:bottom w:val="double" w:sz="6" w:space="0" w:color="auto"/>
            </w:tcBorders>
            <w:shd w:val="clear" w:color="auto" w:fill="auto"/>
            <w:noWrap/>
            <w:vAlign w:val="center"/>
            <w:hideMark/>
          </w:tcPr>
          <w:p w14:paraId="1EC02179"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c>
          <w:tcPr>
            <w:tcW w:w="452" w:type="pct"/>
            <w:tcBorders>
              <w:top w:val="nil"/>
              <w:bottom w:val="double" w:sz="6" w:space="0" w:color="auto"/>
              <w:right w:val="nil"/>
            </w:tcBorders>
            <w:shd w:val="clear" w:color="auto" w:fill="auto"/>
            <w:noWrap/>
            <w:vAlign w:val="center"/>
            <w:hideMark/>
          </w:tcPr>
          <w:p w14:paraId="1EC0217A"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c>
          <w:tcPr>
            <w:tcW w:w="702" w:type="pct"/>
            <w:tcBorders>
              <w:top w:val="nil"/>
              <w:left w:val="nil"/>
              <w:bottom w:val="double" w:sz="6" w:space="0" w:color="auto"/>
              <w:right w:val="single" w:sz="4" w:space="0" w:color="auto"/>
            </w:tcBorders>
            <w:shd w:val="clear" w:color="auto" w:fill="auto"/>
            <w:noWrap/>
            <w:vAlign w:val="center"/>
            <w:hideMark/>
          </w:tcPr>
          <w:p w14:paraId="1EC0217B" w14:textId="77777777" w:rsidR="004C541E" w:rsidRPr="004C541E" w:rsidRDefault="004C541E" w:rsidP="00B73266">
            <w:pPr>
              <w:keepNext/>
              <w:keepLines/>
              <w:spacing w:line="240" w:lineRule="auto"/>
              <w:jc w:val="center"/>
              <w:rPr>
                <w:color w:val="000000"/>
                <w:sz w:val="22"/>
                <w:szCs w:val="22"/>
                <w:lang w:eastAsia="ja-JP"/>
              </w:rPr>
            </w:pPr>
            <w:r w:rsidRPr="004C541E">
              <w:rPr>
                <w:color w:val="000000"/>
                <w:sz w:val="22"/>
                <w:szCs w:val="22"/>
                <w:lang w:eastAsia="ja-JP"/>
              </w:rPr>
              <w:t> </w:t>
            </w:r>
          </w:p>
        </w:tc>
      </w:tr>
      <w:tr w:rsidR="004C541E" w:rsidRPr="004C541E" w14:paraId="1EC0217E" w14:textId="77777777" w:rsidTr="004C541E">
        <w:trPr>
          <w:trHeight w:val="20"/>
        </w:trPr>
        <w:tc>
          <w:tcPr>
            <w:tcW w:w="5000" w:type="pct"/>
            <w:gridSpan w:val="7"/>
            <w:tcBorders>
              <w:top w:val="nil"/>
              <w:left w:val="nil"/>
              <w:bottom w:val="nil"/>
              <w:right w:val="nil"/>
            </w:tcBorders>
            <w:shd w:val="clear" w:color="auto" w:fill="auto"/>
            <w:hideMark/>
          </w:tcPr>
          <w:p w14:paraId="1EC0217D" w14:textId="632B0CEE" w:rsidR="004C541E" w:rsidRPr="004C541E" w:rsidRDefault="004C541E" w:rsidP="000F0537">
            <w:pPr>
              <w:keepNext/>
              <w:keepLines/>
              <w:spacing w:line="240" w:lineRule="auto"/>
              <w:rPr>
                <w:color w:val="000000"/>
                <w:sz w:val="20"/>
                <w:szCs w:val="22"/>
                <w:lang w:eastAsia="ja-JP"/>
              </w:rPr>
            </w:pPr>
            <w:r w:rsidRPr="004C541E">
              <w:rPr>
                <w:color w:val="000000"/>
                <w:sz w:val="20"/>
                <w:szCs w:val="22"/>
                <w:lang w:eastAsia="ja-JP"/>
              </w:rPr>
              <w:t xml:space="preserve">Notes: The dependent reference category is "No plan/action". The independent reference categories are: male; Under 30; post-secondary education; inactive; more than 10 years in UK; does not have close relatives in the UK; single; </w:t>
            </w:r>
            <w:r w:rsidR="00881477">
              <w:rPr>
                <w:color w:val="000000"/>
                <w:sz w:val="20"/>
                <w:szCs w:val="22"/>
                <w:lang w:eastAsia="ja-JP"/>
              </w:rPr>
              <w:t>does not speak English at work</w:t>
            </w:r>
            <w:r w:rsidRPr="004C541E">
              <w:rPr>
                <w:color w:val="000000"/>
                <w:sz w:val="20"/>
                <w:szCs w:val="22"/>
                <w:lang w:eastAsia="ja-JP"/>
              </w:rPr>
              <w:t xml:space="preserve">; does not plan to apply for British citizenship anytime in the future; is not eligible for citizenship now or within one year; does not have close relatives who are eligible for </w:t>
            </w:r>
            <w:r w:rsidR="00881477">
              <w:rPr>
                <w:color w:val="000000"/>
                <w:sz w:val="20"/>
                <w:szCs w:val="22"/>
                <w:lang w:eastAsia="ja-JP"/>
              </w:rPr>
              <w:t>PRC</w:t>
            </w:r>
            <w:r w:rsidRPr="004C541E">
              <w:rPr>
                <w:color w:val="000000"/>
                <w:sz w:val="20"/>
                <w:szCs w:val="22"/>
                <w:lang w:eastAsia="ja-JP"/>
              </w:rPr>
              <w:t xml:space="preserve">; does not feel </w:t>
            </w:r>
            <w:r w:rsidR="00881477">
              <w:rPr>
                <w:color w:val="000000"/>
                <w:sz w:val="20"/>
                <w:szCs w:val="22"/>
                <w:lang w:eastAsia="ja-JP"/>
              </w:rPr>
              <w:t>‘</w:t>
            </w:r>
            <w:r w:rsidR="000F0537">
              <w:rPr>
                <w:color w:val="000000"/>
                <w:sz w:val="20"/>
                <w:szCs w:val="22"/>
                <w:lang w:eastAsia="ja-JP"/>
              </w:rPr>
              <w:t>anxious</w:t>
            </w:r>
            <w:r w:rsidR="00881477">
              <w:rPr>
                <w:color w:val="000000"/>
                <w:sz w:val="20"/>
                <w:szCs w:val="22"/>
                <w:lang w:eastAsia="ja-JP"/>
              </w:rPr>
              <w:t>’</w:t>
            </w:r>
            <w:r w:rsidR="000F0537">
              <w:rPr>
                <w:color w:val="000000"/>
                <w:sz w:val="20"/>
                <w:szCs w:val="22"/>
                <w:lang w:eastAsia="ja-JP"/>
              </w:rPr>
              <w:t xml:space="preserve"> about</w:t>
            </w:r>
            <w:r w:rsidRPr="004C541E">
              <w:rPr>
                <w:color w:val="000000"/>
                <w:sz w:val="20"/>
                <w:szCs w:val="22"/>
                <w:lang w:eastAsia="ja-JP"/>
              </w:rPr>
              <w:t xml:space="preserve"> Brexit; prefers the UK to remain in the EU under the pre-referendum conditions or to become even more integrated in the EU.</w:t>
            </w:r>
          </w:p>
        </w:tc>
      </w:tr>
      <w:tr w:rsidR="004C541E" w:rsidRPr="004C541E" w14:paraId="1EC02180" w14:textId="77777777" w:rsidTr="004C541E">
        <w:trPr>
          <w:trHeight w:val="20"/>
        </w:trPr>
        <w:tc>
          <w:tcPr>
            <w:tcW w:w="5000" w:type="pct"/>
            <w:gridSpan w:val="7"/>
            <w:tcBorders>
              <w:top w:val="nil"/>
              <w:left w:val="nil"/>
              <w:bottom w:val="nil"/>
              <w:right w:val="nil"/>
            </w:tcBorders>
            <w:shd w:val="clear" w:color="auto" w:fill="auto"/>
            <w:hideMark/>
          </w:tcPr>
          <w:p w14:paraId="1EC0217F" w14:textId="77777777" w:rsidR="004C541E" w:rsidRPr="004C541E" w:rsidRDefault="004C541E" w:rsidP="00B73266">
            <w:pPr>
              <w:keepNext/>
              <w:keepLines/>
              <w:spacing w:line="240" w:lineRule="auto"/>
              <w:rPr>
                <w:color w:val="000000"/>
                <w:sz w:val="20"/>
                <w:szCs w:val="22"/>
                <w:lang w:eastAsia="ja-JP"/>
              </w:rPr>
            </w:pPr>
            <w:r w:rsidRPr="004C541E">
              <w:rPr>
                <w:color w:val="000000"/>
                <w:sz w:val="20"/>
                <w:szCs w:val="22"/>
                <w:lang w:eastAsia="ja-JP"/>
              </w:rPr>
              <w:t>Model I Chi-sq (33) = 74.919, p&lt;.001; Model II Chi-sq (60) = 377.262, p&lt;.001. Model II was rescaled for underdispersion based on the Deviance statistic (φ=0.64)</w:t>
            </w:r>
          </w:p>
        </w:tc>
      </w:tr>
      <w:tr w:rsidR="004C541E" w:rsidRPr="004C541E" w14:paraId="1EC02182" w14:textId="77777777" w:rsidTr="004C541E">
        <w:trPr>
          <w:trHeight w:val="20"/>
        </w:trPr>
        <w:tc>
          <w:tcPr>
            <w:tcW w:w="5000" w:type="pct"/>
            <w:gridSpan w:val="7"/>
            <w:tcBorders>
              <w:top w:val="nil"/>
              <w:left w:val="nil"/>
              <w:bottom w:val="nil"/>
              <w:right w:val="nil"/>
            </w:tcBorders>
            <w:shd w:val="clear" w:color="auto" w:fill="auto"/>
            <w:noWrap/>
            <w:vAlign w:val="bottom"/>
            <w:hideMark/>
          </w:tcPr>
          <w:p w14:paraId="1EC02181" w14:textId="77777777" w:rsidR="004C541E" w:rsidRPr="004C541E" w:rsidRDefault="004C541E" w:rsidP="00B73266">
            <w:pPr>
              <w:keepNext/>
              <w:keepLines/>
              <w:spacing w:line="240" w:lineRule="auto"/>
              <w:rPr>
                <w:color w:val="000000"/>
                <w:sz w:val="20"/>
                <w:szCs w:val="22"/>
                <w:lang w:eastAsia="ja-JP"/>
              </w:rPr>
            </w:pPr>
            <w:r w:rsidRPr="004C541E">
              <w:rPr>
                <w:color w:val="000000"/>
                <w:sz w:val="20"/>
                <w:szCs w:val="22"/>
                <w:lang w:eastAsia="ja-JP"/>
              </w:rPr>
              <w:t>"p&lt;.1, *p&lt;.05, **p&lt;.01, ***p&lt;.001</w:t>
            </w:r>
          </w:p>
        </w:tc>
      </w:tr>
    </w:tbl>
    <w:p w14:paraId="1EC02183" w14:textId="77777777" w:rsidR="004C541E" w:rsidRDefault="004C541E" w:rsidP="004C541E"/>
    <w:p w14:paraId="1EC02184" w14:textId="77777777" w:rsidR="004C541E" w:rsidRDefault="004C541E" w:rsidP="004C541E"/>
    <w:p w14:paraId="1EC02185" w14:textId="77777777" w:rsidR="004C541E" w:rsidRDefault="004C541E" w:rsidP="004C541E">
      <w:pPr>
        <w:pStyle w:val="Heading4"/>
      </w:pPr>
      <w:r>
        <w:br w:type="page"/>
      </w:r>
    </w:p>
    <w:p w14:paraId="1EC02186" w14:textId="06CB90A7" w:rsidR="004C541E" w:rsidRDefault="004C541E" w:rsidP="00B73266">
      <w:pPr>
        <w:pStyle w:val="Tabletitle"/>
        <w:pageBreakBefore/>
      </w:pPr>
      <w:r>
        <w:t xml:space="preserve">Table </w:t>
      </w:r>
      <w:r w:rsidR="00AD2435">
        <w:fldChar w:fldCharType="begin"/>
      </w:r>
      <w:r w:rsidR="00AD2435">
        <w:instrText xml:space="preserve"> SEQ Table \* ARABIC </w:instrText>
      </w:r>
      <w:r w:rsidR="00AD2435">
        <w:fldChar w:fldCharType="separate"/>
      </w:r>
      <w:r>
        <w:rPr>
          <w:noProof/>
        </w:rPr>
        <w:t>3</w:t>
      </w:r>
      <w:r w:rsidR="00AD2435">
        <w:rPr>
          <w:noProof/>
        </w:rPr>
        <w:fldChar w:fldCharType="end"/>
      </w:r>
      <w:r>
        <w:t xml:space="preserve">: </w:t>
      </w:r>
      <w:r w:rsidRPr="001B14E1">
        <w:t xml:space="preserve">Results of multinomial logistic regression analysis on </w:t>
      </w:r>
      <w:r>
        <w:t xml:space="preserve">actions in case of Brexit </w:t>
      </w:r>
      <w:r w:rsidRPr="001B14E1">
        <w:t>(</w:t>
      </w:r>
      <w:r w:rsidR="00881477">
        <w:t>odds</w:t>
      </w:r>
      <w:r w:rsidRPr="001B14E1">
        <w:t xml:space="preserve"> ratios)</w:t>
      </w:r>
    </w:p>
    <w:tbl>
      <w:tblPr>
        <w:tblW w:w="9240" w:type="dxa"/>
        <w:tblLayout w:type="fixed"/>
        <w:tblLook w:val="04A0" w:firstRow="1" w:lastRow="0" w:firstColumn="1" w:lastColumn="0" w:noHBand="0" w:noVBand="1"/>
      </w:tblPr>
      <w:tblGrid>
        <w:gridCol w:w="4928"/>
        <w:gridCol w:w="1485"/>
        <w:gridCol w:w="1413"/>
        <w:gridCol w:w="1414"/>
      </w:tblGrid>
      <w:tr w:rsidR="004C541E" w:rsidRPr="004C541E" w14:paraId="1EC0218B" w14:textId="77777777" w:rsidTr="00D754F6">
        <w:trPr>
          <w:trHeight w:val="20"/>
        </w:trPr>
        <w:tc>
          <w:tcPr>
            <w:tcW w:w="4928" w:type="dxa"/>
            <w:tcBorders>
              <w:left w:val="nil"/>
              <w:bottom w:val="double" w:sz="6" w:space="0" w:color="auto"/>
              <w:right w:val="nil"/>
            </w:tcBorders>
            <w:shd w:val="clear" w:color="auto" w:fill="auto"/>
            <w:vAlign w:val="bottom"/>
            <w:hideMark/>
          </w:tcPr>
          <w:p w14:paraId="1EC02187" w14:textId="77777777" w:rsidR="004C541E" w:rsidRPr="004C541E" w:rsidRDefault="004C541E" w:rsidP="004C541E">
            <w:pPr>
              <w:spacing w:line="240" w:lineRule="auto"/>
              <w:rPr>
                <w:color w:val="FF0000"/>
                <w:sz w:val="22"/>
                <w:szCs w:val="22"/>
                <w:lang w:eastAsia="ja-JP"/>
              </w:rPr>
            </w:pPr>
          </w:p>
        </w:tc>
        <w:tc>
          <w:tcPr>
            <w:tcW w:w="1485" w:type="dxa"/>
            <w:tcBorders>
              <w:top w:val="single" w:sz="4" w:space="0" w:color="auto"/>
              <w:left w:val="nil"/>
              <w:bottom w:val="double" w:sz="6" w:space="0" w:color="000000"/>
              <w:right w:val="nil"/>
            </w:tcBorders>
            <w:shd w:val="clear" w:color="auto" w:fill="auto"/>
            <w:noWrap/>
            <w:vAlign w:val="center"/>
            <w:hideMark/>
          </w:tcPr>
          <w:p w14:paraId="1EC02188" w14:textId="77777777" w:rsidR="004C541E" w:rsidRPr="004C541E" w:rsidRDefault="00D754F6" w:rsidP="004C541E">
            <w:pPr>
              <w:spacing w:line="240" w:lineRule="auto"/>
              <w:jc w:val="center"/>
              <w:rPr>
                <w:color w:val="000000"/>
                <w:sz w:val="22"/>
                <w:szCs w:val="22"/>
                <w:lang w:eastAsia="ja-JP"/>
              </w:rPr>
            </w:pPr>
            <w:r>
              <w:rPr>
                <w:color w:val="000000"/>
                <w:sz w:val="22"/>
                <w:szCs w:val="22"/>
                <w:lang w:eastAsia="ja-JP"/>
              </w:rPr>
              <w:t>Leave the UK</w:t>
            </w:r>
          </w:p>
        </w:tc>
        <w:tc>
          <w:tcPr>
            <w:tcW w:w="1413" w:type="dxa"/>
            <w:tcBorders>
              <w:top w:val="single" w:sz="4" w:space="0" w:color="auto"/>
              <w:left w:val="single" w:sz="4" w:space="0" w:color="auto"/>
              <w:bottom w:val="double" w:sz="6" w:space="0" w:color="000000"/>
              <w:right w:val="nil"/>
            </w:tcBorders>
            <w:shd w:val="clear" w:color="auto" w:fill="auto"/>
            <w:noWrap/>
            <w:vAlign w:val="center"/>
            <w:hideMark/>
          </w:tcPr>
          <w:p w14:paraId="1EC02189"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Permanent residence</w:t>
            </w:r>
          </w:p>
        </w:tc>
        <w:tc>
          <w:tcPr>
            <w:tcW w:w="1414" w:type="dxa"/>
            <w:tcBorders>
              <w:top w:val="single" w:sz="4" w:space="0" w:color="auto"/>
              <w:left w:val="single" w:sz="4" w:space="0" w:color="auto"/>
              <w:bottom w:val="double" w:sz="6" w:space="0" w:color="000000"/>
              <w:right w:val="nil"/>
            </w:tcBorders>
            <w:shd w:val="clear" w:color="auto" w:fill="auto"/>
            <w:noWrap/>
            <w:vAlign w:val="center"/>
            <w:hideMark/>
          </w:tcPr>
          <w:p w14:paraId="1EC0218A"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Citizenship</w:t>
            </w:r>
          </w:p>
        </w:tc>
      </w:tr>
      <w:tr w:rsidR="004C541E" w:rsidRPr="004C541E" w14:paraId="1EC02190" w14:textId="77777777" w:rsidTr="00D754F6">
        <w:trPr>
          <w:trHeight w:val="20"/>
        </w:trPr>
        <w:tc>
          <w:tcPr>
            <w:tcW w:w="4928" w:type="dxa"/>
            <w:tcBorders>
              <w:top w:val="nil"/>
              <w:left w:val="nil"/>
              <w:bottom w:val="nil"/>
              <w:right w:val="nil"/>
            </w:tcBorders>
            <w:shd w:val="clear" w:color="auto" w:fill="auto"/>
            <w:noWrap/>
            <w:vAlign w:val="bottom"/>
            <w:hideMark/>
          </w:tcPr>
          <w:p w14:paraId="1EC0218C"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Female</w:t>
            </w:r>
          </w:p>
        </w:tc>
        <w:tc>
          <w:tcPr>
            <w:tcW w:w="1485" w:type="dxa"/>
            <w:tcBorders>
              <w:top w:val="double" w:sz="6" w:space="0" w:color="000000"/>
              <w:left w:val="nil"/>
              <w:bottom w:val="nil"/>
            </w:tcBorders>
            <w:shd w:val="clear" w:color="auto" w:fill="auto"/>
            <w:noWrap/>
            <w:vAlign w:val="center"/>
            <w:hideMark/>
          </w:tcPr>
          <w:p w14:paraId="1EC0218D"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0.536"</w:t>
            </w:r>
          </w:p>
        </w:tc>
        <w:tc>
          <w:tcPr>
            <w:tcW w:w="1413" w:type="dxa"/>
            <w:tcBorders>
              <w:top w:val="double" w:sz="6" w:space="0" w:color="000000"/>
              <w:bottom w:val="nil"/>
            </w:tcBorders>
            <w:shd w:val="clear" w:color="auto" w:fill="auto"/>
            <w:noWrap/>
            <w:vAlign w:val="center"/>
            <w:hideMark/>
          </w:tcPr>
          <w:p w14:paraId="1EC0218E"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0.746</w:t>
            </w:r>
          </w:p>
        </w:tc>
        <w:tc>
          <w:tcPr>
            <w:tcW w:w="1414" w:type="dxa"/>
            <w:tcBorders>
              <w:top w:val="double" w:sz="6" w:space="0" w:color="000000"/>
              <w:bottom w:val="nil"/>
              <w:right w:val="single" w:sz="4" w:space="0" w:color="auto"/>
            </w:tcBorders>
            <w:shd w:val="clear" w:color="auto" w:fill="auto"/>
            <w:noWrap/>
            <w:vAlign w:val="center"/>
            <w:hideMark/>
          </w:tcPr>
          <w:p w14:paraId="1EC0218F"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0.698</w:t>
            </w:r>
          </w:p>
        </w:tc>
      </w:tr>
      <w:tr w:rsidR="004C541E" w:rsidRPr="004C541E" w14:paraId="1EC02195" w14:textId="77777777" w:rsidTr="00D754F6">
        <w:trPr>
          <w:trHeight w:val="20"/>
        </w:trPr>
        <w:tc>
          <w:tcPr>
            <w:tcW w:w="4928" w:type="dxa"/>
            <w:tcBorders>
              <w:top w:val="nil"/>
              <w:left w:val="nil"/>
              <w:bottom w:val="nil"/>
              <w:right w:val="nil"/>
            </w:tcBorders>
            <w:shd w:val="clear" w:color="auto" w:fill="auto"/>
            <w:noWrap/>
            <w:vAlign w:val="bottom"/>
            <w:hideMark/>
          </w:tcPr>
          <w:p w14:paraId="1EC02191"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Age 40 and over</w:t>
            </w:r>
          </w:p>
        </w:tc>
        <w:tc>
          <w:tcPr>
            <w:tcW w:w="1485" w:type="dxa"/>
            <w:tcBorders>
              <w:top w:val="nil"/>
              <w:left w:val="nil"/>
              <w:bottom w:val="nil"/>
            </w:tcBorders>
            <w:shd w:val="clear" w:color="auto" w:fill="auto"/>
            <w:noWrap/>
            <w:vAlign w:val="center"/>
            <w:hideMark/>
          </w:tcPr>
          <w:p w14:paraId="1EC02192"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0.782</w:t>
            </w:r>
          </w:p>
        </w:tc>
        <w:tc>
          <w:tcPr>
            <w:tcW w:w="1413" w:type="dxa"/>
            <w:tcBorders>
              <w:top w:val="nil"/>
              <w:bottom w:val="nil"/>
            </w:tcBorders>
            <w:shd w:val="clear" w:color="auto" w:fill="auto"/>
            <w:noWrap/>
            <w:vAlign w:val="center"/>
            <w:hideMark/>
          </w:tcPr>
          <w:p w14:paraId="1EC02193"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1.889"</w:t>
            </w:r>
          </w:p>
        </w:tc>
        <w:tc>
          <w:tcPr>
            <w:tcW w:w="1414" w:type="dxa"/>
            <w:tcBorders>
              <w:top w:val="nil"/>
              <w:bottom w:val="nil"/>
              <w:right w:val="single" w:sz="4" w:space="0" w:color="auto"/>
            </w:tcBorders>
            <w:shd w:val="clear" w:color="auto" w:fill="auto"/>
            <w:noWrap/>
            <w:vAlign w:val="center"/>
            <w:hideMark/>
          </w:tcPr>
          <w:p w14:paraId="1EC02194"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2.613*</w:t>
            </w:r>
          </w:p>
        </w:tc>
      </w:tr>
      <w:tr w:rsidR="004C541E" w:rsidRPr="004C541E" w14:paraId="1EC0219A" w14:textId="77777777" w:rsidTr="00D754F6">
        <w:trPr>
          <w:trHeight w:val="20"/>
        </w:trPr>
        <w:tc>
          <w:tcPr>
            <w:tcW w:w="4928" w:type="dxa"/>
            <w:tcBorders>
              <w:top w:val="nil"/>
              <w:left w:val="nil"/>
              <w:bottom w:val="nil"/>
              <w:right w:val="nil"/>
            </w:tcBorders>
            <w:shd w:val="clear" w:color="auto" w:fill="auto"/>
            <w:noWrap/>
            <w:vAlign w:val="bottom"/>
            <w:hideMark/>
          </w:tcPr>
          <w:p w14:paraId="1EC02196"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Age 30 - 39</w:t>
            </w:r>
          </w:p>
        </w:tc>
        <w:tc>
          <w:tcPr>
            <w:tcW w:w="1485" w:type="dxa"/>
            <w:tcBorders>
              <w:top w:val="nil"/>
              <w:left w:val="nil"/>
              <w:bottom w:val="nil"/>
            </w:tcBorders>
            <w:shd w:val="clear" w:color="auto" w:fill="auto"/>
            <w:noWrap/>
            <w:vAlign w:val="center"/>
            <w:hideMark/>
          </w:tcPr>
          <w:p w14:paraId="1EC02197"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0.558</w:t>
            </w:r>
          </w:p>
        </w:tc>
        <w:tc>
          <w:tcPr>
            <w:tcW w:w="1413" w:type="dxa"/>
            <w:tcBorders>
              <w:top w:val="nil"/>
              <w:bottom w:val="nil"/>
            </w:tcBorders>
            <w:shd w:val="clear" w:color="auto" w:fill="auto"/>
            <w:noWrap/>
            <w:vAlign w:val="center"/>
            <w:hideMark/>
          </w:tcPr>
          <w:p w14:paraId="1EC02198"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1.445</w:t>
            </w:r>
          </w:p>
        </w:tc>
        <w:tc>
          <w:tcPr>
            <w:tcW w:w="1414" w:type="dxa"/>
            <w:tcBorders>
              <w:top w:val="nil"/>
              <w:bottom w:val="nil"/>
              <w:right w:val="single" w:sz="4" w:space="0" w:color="auto"/>
            </w:tcBorders>
            <w:shd w:val="clear" w:color="auto" w:fill="auto"/>
            <w:noWrap/>
            <w:vAlign w:val="center"/>
            <w:hideMark/>
          </w:tcPr>
          <w:p w14:paraId="1EC02199"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2.083"</w:t>
            </w:r>
          </w:p>
        </w:tc>
      </w:tr>
      <w:tr w:rsidR="004C541E" w:rsidRPr="004C541E" w14:paraId="1EC0219F" w14:textId="77777777" w:rsidTr="00D754F6">
        <w:trPr>
          <w:trHeight w:val="20"/>
        </w:trPr>
        <w:tc>
          <w:tcPr>
            <w:tcW w:w="4928" w:type="dxa"/>
            <w:tcBorders>
              <w:top w:val="nil"/>
              <w:left w:val="nil"/>
              <w:bottom w:val="nil"/>
              <w:right w:val="nil"/>
            </w:tcBorders>
            <w:shd w:val="clear" w:color="auto" w:fill="auto"/>
            <w:noWrap/>
            <w:vAlign w:val="bottom"/>
            <w:hideMark/>
          </w:tcPr>
          <w:p w14:paraId="1EC0219B"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Qualification: vocational</w:t>
            </w:r>
          </w:p>
        </w:tc>
        <w:tc>
          <w:tcPr>
            <w:tcW w:w="1485" w:type="dxa"/>
            <w:tcBorders>
              <w:top w:val="nil"/>
              <w:left w:val="nil"/>
              <w:bottom w:val="nil"/>
            </w:tcBorders>
            <w:shd w:val="clear" w:color="auto" w:fill="auto"/>
            <w:noWrap/>
            <w:vAlign w:val="center"/>
            <w:hideMark/>
          </w:tcPr>
          <w:p w14:paraId="1EC0219C"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0.943</w:t>
            </w:r>
          </w:p>
        </w:tc>
        <w:tc>
          <w:tcPr>
            <w:tcW w:w="1413" w:type="dxa"/>
            <w:tcBorders>
              <w:top w:val="nil"/>
              <w:bottom w:val="nil"/>
            </w:tcBorders>
            <w:shd w:val="clear" w:color="auto" w:fill="auto"/>
            <w:noWrap/>
            <w:vAlign w:val="center"/>
            <w:hideMark/>
          </w:tcPr>
          <w:p w14:paraId="1EC0219D"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1.622</w:t>
            </w:r>
          </w:p>
        </w:tc>
        <w:tc>
          <w:tcPr>
            <w:tcW w:w="1414" w:type="dxa"/>
            <w:tcBorders>
              <w:top w:val="nil"/>
              <w:bottom w:val="nil"/>
              <w:right w:val="single" w:sz="4" w:space="0" w:color="auto"/>
            </w:tcBorders>
            <w:shd w:val="clear" w:color="auto" w:fill="auto"/>
            <w:noWrap/>
            <w:vAlign w:val="center"/>
            <w:hideMark/>
          </w:tcPr>
          <w:p w14:paraId="1EC0219E"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0.767</w:t>
            </w:r>
          </w:p>
        </w:tc>
      </w:tr>
      <w:tr w:rsidR="004C541E" w:rsidRPr="004C541E" w14:paraId="1EC021A4" w14:textId="77777777" w:rsidTr="00D754F6">
        <w:trPr>
          <w:trHeight w:val="20"/>
        </w:trPr>
        <w:tc>
          <w:tcPr>
            <w:tcW w:w="4928" w:type="dxa"/>
            <w:tcBorders>
              <w:top w:val="nil"/>
              <w:left w:val="nil"/>
              <w:bottom w:val="nil"/>
              <w:right w:val="nil"/>
            </w:tcBorders>
            <w:shd w:val="clear" w:color="auto" w:fill="auto"/>
            <w:noWrap/>
            <w:vAlign w:val="bottom"/>
            <w:hideMark/>
          </w:tcPr>
          <w:p w14:paraId="1EC021A0"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Qualification: secondary</w:t>
            </w:r>
          </w:p>
        </w:tc>
        <w:tc>
          <w:tcPr>
            <w:tcW w:w="1485" w:type="dxa"/>
            <w:tcBorders>
              <w:top w:val="nil"/>
              <w:left w:val="nil"/>
              <w:bottom w:val="nil"/>
            </w:tcBorders>
            <w:shd w:val="clear" w:color="auto" w:fill="auto"/>
            <w:noWrap/>
            <w:vAlign w:val="center"/>
            <w:hideMark/>
          </w:tcPr>
          <w:p w14:paraId="1EC021A1"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0.528"</w:t>
            </w:r>
          </w:p>
        </w:tc>
        <w:tc>
          <w:tcPr>
            <w:tcW w:w="1413" w:type="dxa"/>
            <w:tcBorders>
              <w:top w:val="nil"/>
              <w:bottom w:val="nil"/>
            </w:tcBorders>
            <w:shd w:val="clear" w:color="auto" w:fill="auto"/>
            <w:noWrap/>
            <w:vAlign w:val="center"/>
            <w:hideMark/>
          </w:tcPr>
          <w:p w14:paraId="1EC021A2"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1.038</w:t>
            </w:r>
          </w:p>
        </w:tc>
        <w:tc>
          <w:tcPr>
            <w:tcW w:w="1414" w:type="dxa"/>
            <w:tcBorders>
              <w:top w:val="nil"/>
              <w:bottom w:val="nil"/>
              <w:right w:val="single" w:sz="4" w:space="0" w:color="auto"/>
            </w:tcBorders>
            <w:shd w:val="clear" w:color="auto" w:fill="auto"/>
            <w:noWrap/>
            <w:vAlign w:val="center"/>
            <w:hideMark/>
          </w:tcPr>
          <w:p w14:paraId="1EC021A3"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0.719</w:t>
            </w:r>
          </w:p>
        </w:tc>
      </w:tr>
      <w:tr w:rsidR="004C541E" w:rsidRPr="004C541E" w14:paraId="1EC021A9" w14:textId="77777777" w:rsidTr="00D754F6">
        <w:trPr>
          <w:trHeight w:val="20"/>
        </w:trPr>
        <w:tc>
          <w:tcPr>
            <w:tcW w:w="4928" w:type="dxa"/>
            <w:tcBorders>
              <w:top w:val="nil"/>
              <w:left w:val="nil"/>
              <w:bottom w:val="nil"/>
              <w:right w:val="nil"/>
            </w:tcBorders>
            <w:shd w:val="clear" w:color="auto" w:fill="auto"/>
            <w:noWrap/>
            <w:vAlign w:val="bottom"/>
            <w:hideMark/>
          </w:tcPr>
          <w:p w14:paraId="1EC021A5"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Employed full-time</w:t>
            </w:r>
          </w:p>
        </w:tc>
        <w:tc>
          <w:tcPr>
            <w:tcW w:w="1485" w:type="dxa"/>
            <w:tcBorders>
              <w:top w:val="nil"/>
              <w:left w:val="nil"/>
              <w:bottom w:val="nil"/>
            </w:tcBorders>
            <w:shd w:val="clear" w:color="auto" w:fill="auto"/>
            <w:noWrap/>
            <w:vAlign w:val="center"/>
            <w:hideMark/>
          </w:tcPr>
          <w:p w14:paraId="1EC021A6"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0.823</w:t>
            </w:r>
          </w:p>
        </w:tc>
        <w:tc>
          <w:tcPr>
            <w:tcW w:w="1413" w:type="dxa"/>
            <w:tcBorders>
              <w:top w:val="nil"/>
              <w:bottom w:val="nil"/>
            </w:tcBorders>
            <w:shd w:val="clear" w:color="auto" w:fill="auto"/>
            <w:noWrap/>
            <w:vAlign w:val="center"/>
            <w:hideMark/>
          </w:tcPr>
          <w:p w14:paraId="1EC021A7"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0.652</w:t>
            </w:r>
          </w:p>
        </w:tc>
        <w:tc>
          <w:tcPr>
            <w:tcW w:w="1414" w:type="dxa"/>
            <w:tcBorders>
              <w:top w:val="nil"/>
              <w:bottom w:val="nil"/>
              <w:right w:val="single" w:sz="4" w:space="0" w:color="auto"/>
            </w:tcBorders>
            <w:shd w:val="clear" w:color="auto" w:fill="auto"/>
            <w:noWrap/>
            <w:vAlign w:val="center"/>
            <w:hideMark/>
          </w:tcPr>
          <w:p w14:paraId="1EC021A8"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0.096**</w:t>
            </w:r>
          </w:p>
        </w:tc>
      </w:tr>
      <w:tr w:rsidR="004C541E" w:rsidRPr="004C541E" w14:paraId="1EC021AE" w14:textId="77777777" w:rsidTr="00D754F6">
        <w:trPr>
          <w:trHeight w:val="20"/>
        </w:trPr>
        <w:tc>
          <w:tcPr>
            <w:tcW w:w="4928" w:type="dxa"/>
            <w:tcBorders>
              <w:top w:val="nil"/>
              <w:left w:val="nil"/>
              <w:bottom w:val="nil"/>
              <w:right w:val="nil"/>
            </w:tcBorders>
            <w:shd w:val="clear" w:color="auto" w:fill="auto"/>
            <w:noWrap/>
            <w:vAlign w:val="bottom"/>
            <w:hideMark/>
          </w:tcPr>
          <w:p w14:paraId="1EC021AA"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Employed part-time</w:t>
            </w:r>
          </w:p>
        </w:tc>
        <w:tc>
          <w:tcPr>
            <w:tcW w:w="1485" w:type="dxa"/>
            <w:tcBorders>
              <w:top w:val="nil"/>
              <w:left w:val="nil"/>
              <w:bottom w:val="nil"/>
            </w:tcBorders>
            <w:shd w:val="clear" w:color="auto" w:fill="auto"/>
            <w:noWrap/>
            <w:vAlign w:val="center"/>
            <w:hideMark/>
          </w:tcPr>
          <w:p w14:paraId="1EC021AB"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0.509</w:t>
            </w:r>
          </w:p>
        </w:tc>
        <w:tc>
          <w:tcPr>
            <w:tcW w:w="1413" w:type="dxa"/>
            <w:tcBorders>
              <w:top w:val="nil"/>
              <w:bottom w:val="nil"/>
            </w:tcBorders>
            <w:shd w:val="clear" w:color="auto" w:fill="auto"/>
            <w:noWrap/>
            <w:vAlign w:val="center"/>
            <w:hideMark/>
          </w:tcPr>
          <w:p w14:paraId="1EC021AC"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0.333*</w:t>
            </w:r>
          </w:p>
        </w:tc>
        <w:tc>
          <w:tcPr>
            <w:tcW w:w="1414" w:type="dxa"/>
            <w:tcBorders>
              <w:top w:val="nil"/>
              <w:bottom w:val="nil"/>
              <w:right w:val="single" w:sz="4" w:space="0" w:color="auto"/>
            </w:tcBorders>
            <w:shd w:val="clear" w:color="auto" w:fill="auto"/>
            <w:noWrap/>
            <w:vAlign w:val="center"/>
            <w:hideMark/>
          </w:tcPr>
          <w:p w14:paraId="1EC021AD"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0.047***</w:t>
            </w:r>
          </w:p>
        </w:tc>
      </w:tr>
      <w:tr w:rsidR="004C541E" w:rsidRPr="004C541E" w14:paraId="1EC021B3" w14:textId="77777777" w:rsidTr="00D754F6">
        <w:trPr>
          <w:trHeight w:val="20"/>
        </w:trPr>
        <w:tc>
          <w:tcPr>
            <w:tcW w:w="4928" w:type="dxa"/>
            <w:tcBorders>
              <w:top w:val="nil"/>
              <w:left w:val="nil"/>
              <w:bottom w:val="nil"/>
              <w:right w:val="nil"/>
            </w:tcBorders>
            <w:shd w:val="clear" w:color="auto" w:fill="auto"/>
            <w:noWrap/>
            <w:vAlign w:val="bottom"/>
            <w:hideMark/>
          </w:tcPr>
          <w:p w14:paraId="1EC021AF"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Self-employed</w:t>
            </w:r>
          </w:p>
        </w:tc>
        <w:tc>
          <w:tcPr>
            <w:tcW w:w="1485" w:type="dxa"/>
            <w:tcBorders>
              <w:top w:val="nil"/>
              <w:left w:val="nil"/>
              <w:bottom w:val="nil"/>
            </w:tcBorders>
            <w:shd w:val="clear" w:color="auto" w:fill="auto"/>
            <w:noWrap/>
            <w:vAlign w:val="center"/>
            <w:hideMark/>
          </w:tcPr>
          <w:p w14:paraId="1EC021B0"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0.758</w:t>
            </w:r>
          </w:p>
        </w:tc>
        <w:tc>
          <w:tcPr>
            <w:tcW w:w="1413" w:type="dxa"/>
            <w:tcBorders>
              <w:top w:val="nil"/>
              <w:bottom w:val="nil"/>
            </w:tcBorders>
            <w:shd w:val="clear" w:color="auto" w:fill="auto"/>
            <w:noWrap/>
            <w:vAlign w:val="center"/>
            <w:hideMark/>
          </w:tcPr>
          <w:p w14:paraId="1EC021B1"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0.459</w:t>
            </w:r>
          </w:p>
        </w:tc>
        <w:tc>
          <w:tcPr>
            <w:tcW w:w="1414" w:type="dxa"/>
            <w:tcBorders>
              <w:top w:val="nil"/>
              <w:bottom w:val="nil"/>
              <w:right w:val="single" w:sz="4" w:space="0" w:color="auto"/>
            </w:tcBorders>
            <w:shd w:val="clear" w:color="auto" w:fill="auto"/>
            <w:noWrap/>
            <w:vAlign w:val="center"/>
            <w:hideMark/>
          </w:tcPr>
          <w:p w14:paraId="1EC021B2"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0.064**</w:t>
            </w:r>
          </w:p>
        </w:tc>
      </w:tr>
      <w:tr w:rsidR="004C541E" w:rsidRPr="004C541E" w14:paraId="1EC021B8" w14:textId="77777777" w:rsidTr="00D754F6">
        <w:trPr>
          <w:trHeight w:val="20"/>
        </w:trPr>
        <w:tc>
          <w:tcPr>
            <w:tcW w:w="4928" w:type="dxa"/>
            <w:tcBorders>
              <w:top w:val="nil"/>
              <w:left w:val="nil"/>
              <w:bottom w:val="nil"/>
              <w:right w:val="nil"/>
            </w:tcBorders>
            <w:shd w:val="clear" w:color="auto" w:fill="auto"/>
            <w:noWrap/>
            <w:vAlign w:val="bottom"/>
            <w:hideMark/>
          </w:tcPr>
          <w:p w14:paraId="1EC021B4" w14:textId="726A3408" w:rsidR="004C541E" w:rsidRPr="004C541E" w:rsidRDefault="004C541E" w:rsidP="004C541E">
            <w:pPr>
              <w:spacing w:line="240" w:lineRule="auto"/>
              <w:rPr>
                <w:color w:val="000000"/>
                <w:sz w:val="22"/>
                <w:szCs w:val="22"/>
                <w:lang w:eastAsia="ja-JP"/>
              </w:rPr>
            </w:pPr>
            <w:r w:rsidRPr="004C541E">
              <w:rPr>
                <w:color w:val="000000"/>
                <w:sz w:val="22"/>
                <w:szCs w:val="22"/>
                <w:lang w:eastAsia="ja-JP"/>
              </w:rPr>
              <w:t>Less than 5 ye</w:t>
            </w:r>
            <w:r w:rsidR="00EA6746">
              <w:rPr>
                <w:color w:val="000000"/>
                <w:sz w:val="22"/>
                <w:szCs w:val="22"/>
                <w:lang w:eastAsia="ja-JP"/>
              </w:rPr>
              <w:t>a</w:t>
            </w:r>
            <w:r w:rsidRPr="004C541E">
              <w:rPr>
                <w:color w:val="000000"/>
                <w:sz w:val="22"/>
                <w:szCs w:val="22"/>
                <w:lang w:eastAsia="ja-JP"/>
              </w:rPr>
              <w:t>rs in UK</w:t>
            </w:r>
          </w:p>
        </w:tc>
        <w:tc>
          <w:tcPr>
            <w:tcW w:w="1485" w:type="dxa"/>
            <w:tcBorders>
              <w:top w:val="nil"/>
              <w:left w:val="nil"/>
              <w:bottom w:val="nil"/>
            </w:tcBorders>
            <w:shd w:val="clear" w:color="auto" w:fill="auto"/>
            <w:noWrap/>
            <w:vAlign w:val="center"/>
            <w:hideMark/>
          </w:tcPr>
          <w:p w14:paraId="1EC021B5"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1.734</w:t>
            </w:r>
          </w:p>
        </w:tc>
        <w:tc>
          <w:tcPr>
            <w:tcW w:w="1413" w:type="dxa"/>
            <w:tcBorders>
              <w:top w:val="nil"/>
              <w:bottom w:val="nil"/>
            </w:tcBorders>
            <w:shd w:val="clear" w:color="auto" w:fill="auto"/>
            <w:noWrap/>
            <w:vAlign w:val="center"/>
            <w:hideMark/>
          </w:tcPr>
          <w:p w14:paraId="1EC021B6"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2.61*</w:t>
            </w:r>
          </w:p>
        </w:tc>
        <w:tc>
          <w:tcPr>
            <w:tcW w:w="1414" w:type="dxa"/>
            <w:tcBorders>
              <w:top w:val="nil"/>
              <w:bottom w:val="nil"/>
              <w:right w:val="single" w:sz="4" w:space="0" w:color="auto"/>
            </w:tcBorders>
            <w:shd w:val="clear" w:color="auto" w:fill="auto"/>
            <w:noWrap/>
            <w:vAlign w:val="center"/>
            <w:hideMark/>
          </w:tcPr>
          <w:p w14:paraId="1EC021B7"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1.73</w:t>
            </w:r>
          </w:p>
        </w:tc>
      </w:tr>
      <w:tr w:rsidR="004C541E" w:rsidRPr="004C541E" w14:paraId="1EC021BD" w14:textId="77777777" w:rsidTr="00D754F6">
        <w:trPr>
          <w:trHeight w:val="20"/>
        </w:trPr>
        <w:tc>
          <w:tcPr>
            <w:tcW w:w="4928" w:type="dxa"/>
            <w:tcBorders>
              <w:top w:val="nil"/>
              <w:left w:val="nil"/>
              <w:bottom w:val="nil"/>
              <w:right w:val="nil"/>
            </w:tcBorders>
            <w:shd w:val="clear" w:color="auto" w:fill="auto"/>
            <w:noWrap/>
            <w:vAlign w:val="bottom"/>
            <w:hideMark/>
          </w:tcPr>
          <w:p w14:paraId="1EC021B9"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5 to 10 year in UK</w:t>
            </w:r>
          </w:p>
        </w:tc>
        <w:tc>
          <w:tcPr>
            <w:tcW w:w="1485" w:type="dxa"/>
            <w:tcBorders>
              <w:top w:val="nil"/>
              <w:left w:val="nil"/>
              <w:bottom w:val="nil"/>
            </w:tcBorders>
            <w:shd w:val="clear" w:color="auto" w:fill="auto"/>
            <w:noWrap/>
            <w:vAlign w:val="center"/>
            <w:hideMark/>
          </w:tcPr>
          <w:p w14:paraId="1EC021BA"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1.489</w:t>
            </w:r>
          </w:p>
        </w:tc>
        <w:tc>
          <w:tcPr>
            <w:tcW w:w="1413" w:type="dxa"/>
            <w:tcBorders>
              <w:top w:val="nil"/>
              <w:bottom w:val="nil"/>
            </w:tcBorders>
            <w:shd w:val="clear" w:color="auto" w:fill="auto"/>
            <w:noWrap/>
            <w:vAlign w:val="center"/>
            <w:hideMark/>
          </w:tcPr>
          <w:p w14:paraId="1EC021BB"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1.751"</w:t>
            </w:r>
          </w:p>
        </w:tc>
        <w:tc>
          <w:tcPr>
            <w:tcW w:w="1414" w:type="dxa"/>
            <w:tcBorders>
              <w:top w:val="nil"/>
              <w:bottom w:val="nil"/>
              <w:right w:val="single" w:sz="4" w:space="0" w:color="auto"/>
            </w:tcBorders>
            <w:shd w:val="clear" w:color="auto" w:fill="auto"/>
            <w:noWrap/>
            <w:vAlign w:val="center"/>
            <w:hideMark/>
          </w:tcPr>
          <w:p w14:paraId="1EC021BC"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1.641</w:t>
            </w:r>
          </w:p>
        </w:tc>
      </w:tr>
      <w:tr w:rsidR="004C541E" w:rsidRPr="004C541E" w14:paraId="1EC021C2" w14:textId="77777777" w:rsidTr="00D754F6">
        <w:trPr>
          <w:trHeight w:val="20"/>
        </w:trPr>
        <w:tc>
          <w:tcPr>
            <w:tcW w:w="4928" w:type="dxa"/>
            <w:tcBorders>
              <w:top w:val="nil"/>
              <w:left w:val="nil"/>
              <w:bottom w:val="nil"/>
              <w:right w:val="nil"/>
            </w:tcBorders>
            <w:shd w:val="clear" w:color="auto" w:fill="auto"/>
            <w:noWrap/>
            <w:vAlign w:val="bottom"/>
            <w:hideMark/>
          </w:tcPr>
          <w:p w14:paraId="1EC021BE"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Has close relatives in UK</w:t>
            </w:r>
          </w:p>
        </w:tc>
        <w:tc>
          <w:tcPr>
            <w:tcW w:w="1485" w:type="dxa"/>
            <w:tcBorders>
              <w:top w:val="nil"/>
              <w:left w:val="nil"/>
              <w:bottom w:val="nil"/>
            </w:tcBorders>
            <w:shd w:val="clear" w:color="auto" w:fill="auto"/>
            <w:noWrap/>
            <w:vAlign w:val="center"/>
            <w:hideMark/>
          </w:tcPr>
          <w:p w14:paraId="1EC021BF"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1.562</w:t>
            </w:r>
          </w:p>
        </w:tc>
        <w:tc>
          <w:tcPr>
            <w:tcW w:w="1413" w:type="dxa"/>
            <w:tcBorders>
              <w:top w:val="nil"/>
              <w:bottom w:val="nil"/>
            </w:tcBorders>
            <w:shd w:val="clear" w:color="auto" w:fill="auto"/>
            <w:noWrap/>
            <w:vAlign w:val="center"/>
            <w:hideMark/>
          </w:tcPr>
          <w:p w14:paraId="1EC021C0"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1.348</w:t>
            </w:r>
          </w:p>
        </w:tc>
        <w:tc>
          <w:tcPr>
            <w:tcW w:w="1414" w:type="dxa"/>
            <w:tcBorders>
              <w:top w:val="nil"/>
              <w:bottom w:val="nil"/>
              <w:right w:val="single" w:sz="4" w:space="0" w:color="auto"/>
            </w:tcBorders>
            <w:shd w:val="clear" w:color="auto" w:fill="auto"/>
            <w:noWrap/>
            <w:vAlign w:val="center"/>
            <w:hideMark/>
          </w:tcPr>
          <w:p w14:paraId="1EC021C1"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2.332</w:t>
            </w:r>
          </w:p>
        </w:tc>
      </w:tr>
      <w:tr w:rsidR="004C541E" w:rsidRPr="004C541E" w14:paraId="1EC021C7" w14:textId="77777777" w:rsidTr="00D754F6">
        <w:trPr>
          <w:trHeight w:val="20"/>
        </w:trPr>
        <w:tc>
          <w:tcPr>
            <w:tcW w:w="4928" w:type="dxa"/>
            <w:tcBorders>
              <w:top w:val="nil"/>
              <w:left w:val="nil"/>
              <w:bottom w:val="nil"/>
              <w:right w:val="nil"/>
            </w:tcBorders>
            <w:shd w:val="clear" w:color="auto" w:fill="auto"/>
            <w:noWrap/>
            <w:vAlign w:val="bottom"/>
            <w:hideMark/>
          </w:tcPr>
          <w:p w14:paraId="1EC021C3"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Partner: employed</w:t>
            </w:r>
          </w:p>
        </w:tc>
        <w:tc>
          <w:tcPr>
            <w:tcW w:w="1485" w:type="dxa"/>
            <w:tcBorders>
              <w:top w:val="nil"/>
              <w:left w:val="nil"/>
              <w:bottom w:val="nil"/>
            </w:tcBorders>
            <w:shd w:val="clear" w:color="auto" w:fill="auto"/>
            <w:noWrap/>
            <w:vAlign w:val="center"/>
            <w:hideMark/>
          </w:tcPr>
          <w:p w14:paraId="1EC021C4"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0.633</w:t>
            </w:r>
          </w:p>
        </w:tc>
        <w:tc>
          <w:tcPr>
            <w:tcW w:w="1413" w:type="dxa"/>
            <w:tcBorders>
              <w:top w:val="nil"/>
              <w:bottom w:val="nil"/>
            </w:tcBorders>
            <w:shd w:val="clear" w:color="auto" w:fill="auto"/>
            <w:noWrap/>
            <w:vAlign w:val="center"/>
            <w:hideMark/>
          </w:tcPr>
          <w:p w14:paraId="1EC021C5"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1.043</w:t>
            </w:r>
          </w:p>
        </w:tc>
        <w:tc>
          <w:tcPr>
            <w:tcW w:w="1414" w:type="dxa"/>
            <w:tcBorders>
              <w:top w:val="nil"/>
              <w:bottom w:val="nil"/>
              <w:right w:val="single" w:sz="4" w:space="0" w:color="auto"/>
            </w:tcBorders>
            <w:shd w:val="clear" w:color="auto" w:fill="auto"/>
            <w:noWrap/>
            <w:vAlign w:val="center"/>
            <w:hideMark/>
          </w:tcPr>
          <w:p w14:paraId="1EC021C6"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1.253</w:t>
            </w:r>
          </w:p>
        </w:tc>
      </w:tr>
      <w:tr w:rsidR="004C541E" w:rsidRPr="004C541E" w14:paraId="1EC021CC" w14:textId="77777777" w:rsidTr="00D754F6">
        <w:trPr>
          <w:trHeight w:val="20"/>
        </w:trPr>
        <w:tc>
          <w:tcPr>
            <w:tcW w:w="4928" w:type="dxa"/>
            <w:tcBorders>
              <w:top w:val="nil"/>
              <w:left w:val="nil"/>
              <w:bottom w:val="nil"/>
              <w:right w:val="nil"/>
            </w:tcBorders>
            <w:shd w:val="clear" w:color="auto" w:fill="auto"/>
            <w:noWrap/>
            <w:vAlign w:val="bottom"/>
            <w:hideMark/>
          </w:tcPr>
          <w:p w14:paraId="1EC021C8"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Partner: inactive</w:t>
            </w:r>
          </w:p>
        </w:tc>
        <w:tc>
          <w:tcPr>
            <w:tcW w:w="1485" w:type="dxa"/>
            <w:tcBorders>
              <w:top w:val="nil"/>
              <w:left w:val="nil"/>
              <w:bottom w:val="nil"/>
            </w:tcBorders>
            <w:shd w:val="clear" w:color="auto" w:fill="auto"/>
            <w:noWrap/>
            <w:vAlign w:val="center"/>
            <w:hideMark/>
          </w:tcPr>
          <w:p w14:paraId="1EC021C9"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0.342</w:t>
            </w:r>
          </w:p>
        </w:tc>
        <w:tc>
          <w:tcPr>
            <w:tcW w:w="1413" w:type="dxa"/>
            <w:tcBorders>
              <w:top w:val="nil"/>
              <w:bottom w:val="nil"/>
            </w:tcBorders>
            <w:shd w:val="clear" w:color="auto" w:fill="auto"/>
            <w:noWrap/>
            <w:vAlign w:val="center"/>
            <w:hideMark/>
          </w:tcPr>
          <w:p w14:paraId="1EC021CA"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0.691</w:t>
            </w:r>
          </w:p>
        </w:tc>
        <w:tc>
          <w:tcPr>
            <w:tcW w:w="1414" w:type="dxa"/>
            <w:tcBorders>
              <w:top w:val="nil"/>
              <w:bottom w:val="nil"/>
              <w:right w:val="single" w:sz="4" w:space="0" w:color="auto"/>
            </w:tcBorders>
            <w:shd w:val="clear" w:color="auto" w:fill="auto"/>
            <w:noWrap/>
            <w:vAlign w:val="center"/>
            <w:hideMark/>
          </w:tcPr>
          <w:p w14:paraId="1EC021CB"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0.688</w:t>
            </w:r>
          </w:p>
        </w:tc>
      </w:tr>
      <w:tr w:rsidR="004C541E" w:rsidRPr="004C541E" w14:paraId="1EC021D1" w14:textId="77777777" w:rsidTr="00D754F6">
        <w:trPr>
          <w:trHeight w:val="20"/>
        </w:trPr>
        <w:tc>
          <w:tcPr>
            <w:tcW w:w="4928" w:type="dxa"/>
            <w:tcBorders>
              <w:top w:val="nil"/>
              <w:left w:val="nil"/>
              <w:bottom w:val="nil"/>
              <w:right w:val="nil"/>
            </w:tcBorders>
            <w:shd w:val="clear" w:color="auto" w:fill="auto"/>
            <w:noWrap/>
            <w:vAlign w:val="bottom"/>
            <w:hideMark/>
          </w:tcPr>
          <w:p w14:paraId="1EC021CD"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Speaks English at work</w:t>
            </w:r>
          </w:p>
        </w:tc>
        <w:tc>
          <w:tcPr>
            <w:tcW w:w="1485" w:type="dxa"/>
            <w:tcBorders>
              <w:top w:val="nil"/>
              <w:left w:val="nil"/>
              <w:bottom w:val="nil"/>
            </w:tcBorders>
            <w:shd w:val="clear" w:color="auto" w:fill="auto"/>
            <w:noWrap/>
            <w:vAlign w:val="center"/>
            <w:hideMark/>
          </w:tcPr>
          <w:p w14:paraId="1EC021CE"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1.03</w:t>
            </w:r>
          </w:p>
        </w:tc>
        <w:tc>
          <w:tcPr>
            <w:tcW w:w="1413" w:type="dxa"/>
            <w:tcBorders>
              <w:top w:val="nil"/>
              <w:bottom w:val="nil"/>
            </w:tcBorders>
            <w:shd w:val="clear" w:color="auto" w:fill="auto"/>
            <w:noWrap/>
            <w:vAlign w:val="center"/>
            <w:hideMark/>
          </w:tcPr>
          <w:p w14:paraId="1EC021CF"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1.448</w:t>
            </w:r>
          </w:p>
        </w:tc>
        <w:tc>
          <w:tcPr>
            <w:tcW w:w="1414" w:type="dxa"/>
            <w:tcBorders>
              <w:top w:val="nil"/>
              <w:bottom w:val="nil"/>
              <w:right w:val="single" w:sz="4" w:space="0" w:color="auto"/>
            </w:tcBorders>
            <w:shd w:val="clear" w:color="auto" w:fill="auto"/>
            <w:noWrap/>
            <w:vAlign w:val="center"/>
            <w:hideMark/>
          </w:tcPr>
          <w:p w14:paraId="1EC021D0"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6.859**</w:t>
            </w:r>
          </w:p>
        </w:tc>
      </w:tr>
      <w:tr w:rsidR="004C541E" w:rsidRPr="004C541E" w14:paraId="1EC021D6" w14:textId="77777777" w:rsidTr="00D754F6">
        <w:trPr>
          <w:trHeight w:val="20"/>
        </w:trPr>
        <w:tc>
          <w:tcPr>
            <w:tcW w:w="4928" w:type="dxa"/>
            <w:tcBorders>
              <w:top w:val="nil"/>
              <w:left w:val="nil"/>
              <w:bottom w:val="nil"/>
              <w:right w:val="nil"/>
            </w:tcBorders>
            <w:shd w:val="clear" w:color="auto" w:fill="auto"/>
            <w:noWrap/>
            <w:vAlign w:val="bottom"/>
            <w:hideMark/>
          </w:tcPr>
          <w:p w14:paraId="1EC021D2"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Plans naturalisation</w:t>
            </w:r>
          </w:p>
        </w:tc>
        <w:tc>
          <w:tcPr>
            <w:tcW w:w="1485" w:type="dxa"/>
            <w:tcBorders>
              <w:top w:val="nil"/>
              <w:left w:val="nil"/>
              <w:bottom w:val="nil"/>
            </w:tcBorders>
            <w:shd w:val="clear" w:color="auto" w:fill="auto"/>
            <w:noWrap/>
            <w:vAlign w:val="center"/>
            <w:hideMark/>
          </w:tcPr>
          <w:p w14:paraId="1EC021D3"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1.062</w:t>
            </w:r>
          </w:p>
        </w:tc>
        <w:tc>
          <w:tcPr>
            <w:tcW w:w="1413" w:type="dxa"/>
            <w:tcBorders>
              <w:top w:val="nil"/>
              <w:bottom w:val="nil"/>
            </w:tcBorders>
            <w:shd w:val="clear" w:color="auto" w:fill="auto"/>
            <w:noWrap/>
            <w:vAlign w:val="center"/>
            <w:hideMark/>
          </w:tcPr>
          <w:p w14:paraId="1EC021D4"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2.523***</w:t>
            </w:r>
          </w:p>
        </w:tc>
        <w:tc>
          <w:tcPr>
            <w:tcW w:w="1414" w:type="dxa"/>
            <w:tcBorders>
              <w:top w:val="nil"/>
              <w:bottom w:val="nil"/>
              <w:right w:val="single" w:sz="4" w:space="0" w:color="auto"/>
            </w:tcBorders>
            <w:shd w:val="clear" w:color="auto" w:fill="auto"/>
            <w:noWrap/>
            <w:vAlign w:val="center"/>
            <w:hideMark/>
          </w:tcPr>
          <w:p w14:paraId="1EC021D5"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42.797***</w:t>
            </w:r>
          </w:p>
        </w:tc>
      </w:tr>
      <w:tr w:rsidR="004C541E" w:rsidRPr="004C541E" w14:paraId="1EC021DB" w14:textId="77777777" w:rsidTr="00D754F6">
        <w:trPr>
          <w:trHeight w:val="20"/>
        </w:trPr>
        <w:tc>
          <w:tcPr>
            <w:tcW w:w="4928" w:type="dxa"/>
            <w:tcBorders>
              <w:top w:val="nil"/>
              <w:left w:val="nil"/>
              <w:bottom w:val="nil"/>
              <w:right w:val="nil"/>
            </w:tcBorders>
            <w:shd w:val="clear" w:color="auto" w:fill="auto"/>
            <w:noWrap/>
            <w:vAlign w:val="bottom"/>
            <w:hideMark/>
          </w:tcPr>
          <w:p w14:paraId="1EC021D7"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Eligible for citizenship</w:t>
            </w:r>
          </w:p>
        </w:tc>
        <w:tc>
          <w:tcPr>
            <w:tcW w:w="1485" w:type="dxa"/>
            <w:tcBorders>
              <w:top w:val="nil"/>
              <w:left w:val="nil"/>
              <w:bottom w:val="nil"/>
            </w:tcBorders>
            <w:shd w:val="clear" w:color="auto" w:fill="auto"/>
            <w:noWrap/>
            <w:vAlign w:val="center"/>
            <w:hideMark/>
          </w:tcPr>
          <w:p w14:paraId="1EC021D8"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1.141</w:t>
            </w:r>
          </w:p>
        </w:tc>
        <w:tc>
          <w:tcPr>
            <w:tcW w:w="1413" w:type="dxa"/>
            <w:tcBorders>
              <w:top w:val="nil"/>
              <w:bottom w:val="nil"/>
            </w:tcBorders>
            <w:shd w:val="clear" w:color="auto" w:fill="auto"/>
            <w:noWrap/>
            <w:vAlign w:val="center"/>
            <w:hideMark/>
          </w:tcPr>
          <w:p w14:paraId="1EC021D9"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1.877"</w:t>
            </w:r>
          </w:p>
        </w:tc>
        <w:tc>
          <w:tcPr>
            <w:tcW w:w="1414" w:type="dxa"/>
            <w:tcBorders>
              <w:top w:val="nil"/>
              <w:bottom w:val="nil"/>
              <w:right w:val="single" w:sz="4" w:space="0" w:color="auto"/>
            </w:tcBorders>
            <w:shd w:val="clear" w:color="auto" w:fill="auto"/>
            <w:noWrap/>
            <w:vAlign w:val="center"/>
            <w:hideMark/>
          </w:tcPr>
          <w:p w14:paraId="1EC021DA"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6.841***</w:t>
            </w:r>
          </w:p>
        </w:tc>
      </w:tr>
      <w:tr w:rsidR="004C541E" w:rsidRPr="004C541E" w14:paraId="1EC021E0" w14:textId="77777777" w:rsidTr="00D754F6">
        <w:trPr>
          <w:trHeight w:val="20"/>
        </w:trPr>
        <w:tc>
          <w:tcPr>
            <w:tcW w:w="4928" w:type="dxa"/>
            <w:tcBorders>
              <w:top w:val="nil"/>
              <w:left w:val="nil"/>
              <w:bottom w:val="nil"/>
              <w:right w:val="nil"/>
            </w:tcBorders>
            <w:shd w:val="clear" w:color="auto" w:fill="auto"/>
            <w:noWrap/>
            <w:vAlign w:val="bottom"/>
            <w:hideMark/>
          </w:tcPr>
          <w:p w14:paraId="1EC021DC"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Does not know if eligible for citizenship</w:t>
            </w:r>
          </w:p>
        </w:tc>
        <w:tc>
          <w:tcPr>
            <w:tcW w:w="1485" w:type="dxa"/>
            <w:tcBorders>
              <w:top w:val="nil"/>
              <w:left w:val="nil"/>
              <w:bottom w:val="nil"/>
            </w:tcBorders>
            <w:shd w:val="clear" w:color="auto" w:fill="auto"/>
            <w:noWrap/>
            <w:vAlign w:val="center"/>
            <w:hideMark/>
          </w:tcPr>
          <w:p w14:paraId="1EC021DD"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1.062</w:t>
            </w:r>
          </w:p>
        </w:tc>
        <w:tc>
          <w:tcPr>
            <w:tcW w:w="1413" w:type="dxa"/>
            <w:tcBorders>
              <w:top w:val="nil"/>
              <w:bottom w:val="nil"/>
            </w:tcBorders>
            <w:shd w:val="clear" w:color="auto" w:fill="auto"/>
            <w:noWrap/>
            <w:vAlign w:val="center"/>
            <w:hideMark/>
          </w:tcPr>
          <w:p w14:paraId="1EC021DE"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1.584</w:t>
            </w:r>
          </w:p>
        </w:tc>
        <w:tc>
          <w:tcPr>
            <w:tcW w:w="1414" w:type="dxa"/>
            <w:tcBorders>
              <w:top w:val="nil"/>
              <w:bottom w:val="nil"/>
              <w:right w:val="single" w:sz="4" w:space="0" w:color="auto"/>
            </w:tcBorders>
            <w:shd w:val="clear" w:color="auto" w:fill="auto"/>
            <w:noWrap/>
            <w:vAlign w:val="center"/>
            <w:hideMark/>
          </w:tcPr>
          <w:p w14:paraId="1EC021DF"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3.276**</w:t>
            </w:r>
          </w:p>
        </w:tc>
      </w:tr>
      <w:tr w:rsidR="004C541E" w:rsidRPr="004C541E" w14:paraId="1EC021E5" w14:textId="77777777" w:rsidTr="00D754F6">
        <w:trPr>
          <w:trHeight w:val="20"/>
        </w:trPr>
        <w:tc>
          <w:tcPr>
            <w:tcW w:w="4928" w:type="dxa"/>
            <w:tcBorders>
              <w:top w:val="nil"/>
              <w:left w:val="nil"/>
              <w:bottom w:val="nil"/>
              <w:right w:val="nil"/>
            </w:tcBorders>
            <w:shd w:val="clear" w:color="auto" w:fill="auto"/>
            <w:noWrap/>
            <w:vAlign w:val="bottom"/>
            <w:hideMark/>
          </w:tcPr>
          <w:p w14:paraId="1EC021E1" w14:textId="77777777" w:rsidR="004C541E" w:rsidRPr="004C541E" w:rsidRDefault="004C541E" w:rsidP="004C541E">
            <w:pPr>
              <w:spacing w:line="240" w:lineRule="auto"/>
              <w:rPr>
                <w:color w:val="000000"/>
                <w:sz w:val="22"/>
                <w:szCs w:val="22"/>
                <w:lang w:eastAsia="ja-JP"/>
              </w:rPr>
            </w:pPr>
            <w:r w:rsidRPr="004C541E">
              <w:rPr>
                <w:color w:val="000000"/>
                <w:sz w:val="22"/>
                <w:szCs w:val="22"/>
                <w:lang w:eastAsia="ja-JP"/>
              </w:rPr>
              <w:t>Close relatives eligible for PRC</w:t>
            </w:r>
          </w:p>
        </w:tc>
        <w:tc>
          <w:tcPr>
            <w:tcW w:w="1485" w:type="dxa"/>
            <w:tcBorders>
              <w:top w:val="nil"/>
              <w:left w:val="nil"/>
              <w:bottom w:val="nil"/>
            </w:tcBorders>
            <w:shd w:val="clear" w:color="auto" w:fill="auto"/>
            <w:noWrap/>
            <w:vAlign w:val="center"/>
            <w:hideMark/>
          </w:tcPr>
          <w:p w14:paraId="1EC021E2"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1.62</w:t>
            </w:r>
          </w:p>
        </w:tc>
        <w:tc>
          <w:tcPr>
            <w:tcW w:w="1413" w:type="dxa"/>
            <w:tcBorders>
              <w:top w:val="nil"/>
              <w:bottom w:val="nil"/>
            </w:tcBorders>
            <w:shd w:val="clear" w:color="auto" w:fill="auto"/>
            <w:noWrap/>
            <w:vAlign w:val="center"/>
            <w:hideMark/>
          </w:tcPr>
          <w:p w14:paraId="1EC021E3"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1.969*</w:t>
            </w:r>
          </w:p>
        </w:tc>
        <w:tc>
          <w:tcPr>
            <w:tcW w:w="1414" w:type="dxa"/>
            <w:tcBorders>
              <w:top w:val="nil"/>
              <w:bottom w:val="nil"/>
              <w:right w:val="single" w:sz="4" w:space="0" w:color="auto"/>
            </w:tcBorders>
            <w:shd w:val="clear" w:color="auto" w:fill="auto"/>
            <w:noWrap/>
            <w:vAlign w:val="center"/>
            <w:hideMark/>
          </w:tcPr>
          <w:p w14:paraId="1EC021E4"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1.007</w:t>
            </w:r>
          </w:p>
        </w:tc>
      </w:tr>
      <w:tr w:rsidR="004C541E" w:rsidRPr="004C541E" w14:paraId="1EC021EA" w14:textId="77777777" w:rsidTr="00D754F6">
        <w:trPr>
          <w:trHeight w:val="20"/>
        </w:trPr>
        <w:tc>
          <w:tcPr>
            <w:tcW w:w="4928" w:type="dxa"/>
            <w:tcBorders>
              <w:top w:val="nil"/>
              <w:left w:val="nil"/>
              <w:right w:val="nil"/>
            </w:tcBorders>
            <w:shd w:val="clear" w:color="auto" w:fill="auto"/>
            <w:noWrap/>
            <w:vAlign w:val="bottom"/>
            <w:hideMark/>
          </w:tcPr>
          <w:p w14:paraId="1EC021E6" w14:textId="09BFAD13" w:rsidR="004C541E" w:rsidRPr="004C541E" w:rsidRDefault="004C541E" w:rsidP="000F0537">
            <w:pPr>
              <w:spacing w:line="240" w:lineRule="auto"/>
              <w:rPr>
                <w:color w:val="000000"/>
                <w:sz w:val="22"/>
                <w:szCs w:val="22"/>
                <w:lang w:eastAsia="ja-JP"/>
              </w:rPr>
            </w:pPr>
            <w:r w:rsidRPr="004C541E">
              <w:rPr>
                <w:color w:val="000000"/>
                <w:sz w:val="22"/>
                <w:szCs w:val="22"/>
                <w:lang w:eastAsia="ja-JP"/>
              </w:rPr>
              <w:t xml:space="preserve">Feels </w:t>
            </w:r>
            <w:r w:rsidR="000F0537">
              <w:rPr>
                <w:color w:val="000000"/>
                <w:sz w:val="22"/>
                <w:szCs w:val="22"/>
                <w:lang w:eastAsia="ja-JP"/>
              </w:rPr>
              <w:t>anxious about</w:t>
            </w:r>
            <w:r w:rsidRPr="004C541E">
              <w:rPr>
                <w:color w:val="000000"/>
                <w:sz w:val="22"/>
                <w:szCs w:val="22"/>
                <w:lang w:eastAsia="ja-JP"/>
              </w:rPr>
              <w:t xml:space="preserve"> Brexit</w:t>
            </w:r>
          </w:p>
        </w:tc>
        <w:tc>
          <w:tcPr>
            <w:tcW w:w="1485" w:type="dxa"/>
            <w:tcBorders>
              <w:top w:val="nil"/>
              <w:left w:val="nil"/>
            </w:tcBorders>
            <w:shd w:val="clear" w:color="auto" w:fill="auto"/>
            <w:noWrap/>
            <w:vAlign w:val="center"/>
            <w:hideMark/>
          </w:tcPr>
          <w:p w14:paraId="1EC021E7"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3.471***</w:t>
            </w:r>
          </w:p>
        </w:tc>
        <w:tc>
          <w:tcPr>
            <w:tcW w:w="1413" w:type="dxa"/>
            <w:tcBorders>
              <w:top w:val="nil"/>
            </w:tcBorders>
            <w:shd w:val="clear" w:color="auto" w:fill="auto"/>
            <w:noWrap/>
            <w:vAlign w:val="center"/>
            <w:hideMark/>
          </w:tcPr>
          <w:p w14:paraId="1EC021E8"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2.56***</w:t>
            </w:r>
          </w:p>
        </w:tc>
        <w:tc>
          <w:tcPr>
            <w:tcW w:w="1414" w:type="dxa"/>
            <w:tcBorders>
              <w:top w:val="nil"/>
              <w:right w:val="single" w:sz="4" w:space="0" w:color="auto"/>
            </w:tcBorders>
            <w:shd w:val="clear" w:color="auto" w:fill="auto"/>
            <w:noWrap/>
            <w:vAlign w:val="center"/>
            <w:hideMark/>
          </w:tcPr>
          <w:p w14:paraId="1EC021E9"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2.691***</w:t>
            </w:r>
          </w:p>
        </w:tc>
      </w:tr>
      <w:tr w:rsidR="004C541E" w:rsidRPr="004C541E" w14:paraId="1EC021EF" w14:textId="77777777" w:rsidTr="00D754F6">
        <w:trPr>
          <w:trHeight w:val="20"/>
        </w:trPr>
        <w:tc>
          <w:tcPr>
            <w:tcW w:w="4928" w:type="dxa"/>
            <w:tcBorders>
              <w:top w:val="nil"/>
              <w:left w:val="nil"/>
              <w:right w:val="nil"/>
            </w:tcBorders>
            <w:shd w:val="clear" w:color="auto" w:fill="auto"/>
            <w:noWrap/>
            <w:vAlign w:val="bottom"/>
            <w:hideMark/>
          </w:tcPr>
          <w:p w14:paraId="1EC021EB" w14:textId="77777777" w:rsidR="004C541E" w:rsidRPr="004C541E" w:rsidRDefault="004C541E" w:rsidP="00B73266">
            <w:pPr>
              <w:spacing w:line="240" w:lineRule="auto"/>
              <w:rPr>
                <w:color w:val="000000"/>
                <w:sz w:val="22"/>
                <w:szCs w:val="22"/>
                <w:lang w:eastAsia="ja-JP"/>
              </w:rPr>
            </w:pPr>
            <w:r w:rsidRPr="004C541E">
              <w:rPr>
                <w:color w:val="000000"/>
                <w:sz w:val="22"/>
                <w:szCs w:val="22"/>
                <w:lang w:eastAsia="ja-JP"/>
              </w:rPr>
              <w:t>Prefers UK to leave or only conditionally stay in EU</w:t>
            </w:r>
          </w:p>
        </w:tc>
        <w:tc>
          <w:tcPr>
            <w:tcW w:w="1485" w:type="dxa"/>
            <w:tcBorders>
              <w:top w:val="nil"/>
              <w:left w:val="nil"/>
            </w:tcBorders>
            <w:shd w:val="clear" w:color="auto" w:fill="auto"/>
            <w:noWrap/>
            <w:vAlign w:val="center"/>
            <w:hideMark/>
          </w:tcPr>
          <w:p w14:paraId="1EC021EC"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1.188</w:t>
            </w:r>
          </w:p>
        </w:tc>
        <w:tc>
          <w:tcPr>
            <w:tcW w:w="1413" w:type="dxa"/>
            <w:tcBorders>
              <w:top w:val="nil"/>
            </w:tcBorders>
            <w:shd w:val="clear" w:color="auto" w:fill="auto"/>
            <w:noWrap/>
            <w:vAlign w:val="center"/>
            <w:hideMark/>
          </w:tcPr>
          <w:p w14:paraId="1EC021ED"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1.594*</w:t>
            </w:r>
          </w:p>
        </w:tc>
        <w:tc>
          <w:tcPr>
            <w:tcW w:w="1414" w:type="dxa"/>
            <w:tcBorders>
              <w:top w:val="nil"/>
              <w:right w:val="single" w:sz="4" w:space="0" w:color="auto"/>
            </w:tcBorders>
            <w:shd w:val="clear" w:color="auto" w:fill="auto"/>
            <w:noWrap/>
            <w:vAlign w:val="center"/>
            <w:hideMark/>
          </w:tcPr>
          <w:p w14:paraId="1EC021EE" w14:textId="77777777" w:rsidR="004C541E" w:rsidRPr="004C541E" w:rsidRDefault="004C541E" w:rsidP="004C541E">
            <w:pPr>
              <w:spacing w:line="240" w:lineRule="auto"/>
              <w:ind w:left="245"/>
              <w:rPr>
                <w:color w:val="000000"/>
                <w:sz w:val="22"/>
                <w:szCs w:val="22"/>
                <w:lang w:eastAsia="ja-JP"/>
              </w:rPr>
            </w:pPr>
            <w:r w:rsidRPr="004C541E">
              <w:rPr>
                <w:color w:val="000000"/>
                <w:sz w:val="22"/>
                <w:szCs w:val="22"/>
                <w:lang w:eastAsia="ja-JP"/>
              </w:rPr>
              <w:t>1.546</w:t>
            </w:r>
          </w:p>
        </w:tc>
      </w:tr>
      <w:tr w:rsidR="004C541E" w:rsidRPr="004C541E" w14:paraId="1EC021F2" w14:textId="77777777" w:rsidTr="00D754F6">
        <w:trPr>
          <w:trHeight w:val="20"/>
        </w:trPr>
        <w:tc>
          <w:tcPr>
            <w:tcW w:w="4928" w:type="dxa"/>
            <w:tcBorders>
              <w:left w:val="nil"/>
              <w:bottom w:val="nil"/>
              <w:right w:val="nil"/>
            </w:tcBorders>
            <w:shd w:val="clear" w:color="auto" w:fill="auto"/>
            <w:noWrap/>
            <w:vAlign w:val="bottom"/>
            <w:hideMark/>
          </w:tcPr>
          <w:p w14:paraId="1EC021F0"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Nagelkerke R-square</w:t>
            </w:r>
          </w:p>
        </w:tc>
        <w:tc>
          <w:tcPr>
            <w:tcW w:w="4312" w:type="dxa"/>
            <w:gridSpan w:val="3"/>
            <w:tcBorders>
              <w:left w:val="nil"/>
              <w:bottom w:val="nil"/>
              <w:right w:val="single" w:sz="4" w:space="0" w:color="000000"/>
            </w:tcBorders>
            <w:shd w:val="clear" w:color="auto" w:fill="auto"/>
            <w:noWrap/>
            <w:vAlign w:val="center"/>
            <w:hideMark/>
          </w:tcPr>
          <w:p w14:paraId="1EC021F1"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.325</w:t>
            </w:r>
          </w:p>
        </w:tc>
      </w:tr>
      <w:tr w:rsidR="004C541E" w:rsidRPr="004C541E" w14:paraId="1EC021F5" w14:textId="77777777" w:rsidTr="00D754F6">
        <w:trPr>
          <w:trHeight w:val="20"/>
        </w:trPr>
        <w:tc>
          <w:tcPr>
            <w:tcW w:w="4928" w:type="dxa"/>
            <w:tcBorders>
              <w:top w:val="nil"/>
              <w:left w:val="nil"/>
              <w:bottom w:val="double" w:sz="6" w:space="0" w:color="auto"/>
              <w:right w:val="nil"/>
            </w:tcBorders>
            <w:shd w:val="clear" w:color="auto" w:fill="auto"/>
            <w:noWrap/>
            <w:vAlign w:val="bottom"/>
            <w:hideMark/>
          </w:tcPr>
          <w:p w14:paraId="1EC021F3"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N</w:t>
            </w:r>
          </w:p>
        </w:tc>
        <w:tc>
          <w:tcPr>
            <w:tcW w:w="4312" w:type="dxa"/>
            <w:gridSpan w:val="3"/>
            <w:tcBorders>
              <w:top w:val="nil"/>
              <w:left w:val="nil"/>
              <w:bottom w:val="double" w:sz="6" w:space="0" w:color="auto"/>
              <w:right w:val="single" w:sz="4" w:space="0" w:color="000000"/>
            </w:tcBorders>
            <w:shd w:val="clear" w:color="auto" w:fill="auto"/>
            <w:noWrap/>
            <w:vAlign w:val="center"/>
            <w:hideMark/>
          </w:tcPr>
          <w:p w14:paraId="1EC021F4" w14:textId="77777777" w:rsidR="004C541E" w:rsidRPr="004C541E" w:rsidRDefault="004C541E" w:rsidP="004C541E">
            <w:pPr>
              <w:spacing w:line="240" w:lineRule="auto"/>
              <w:jc w:val="center"/>
              <w:rPr>
                <w:color w:val="000000"/>
                <w:sz w:val="22"/>
                <w:szCs w:val="22"/>
                <w:lang w:eastAsia="ja-JP"/>
              </w:rPr>
            </w:pPr>
            <w:r w:rsidRPr="004C541E">
              <w:rPr>
                <w:color w:val="000000"/>
                <w:sz w:val="22"/>
                <w:szCs w:val="22"/>
                <w:lang w:eastAsia="ja-JP"/>
              </w:rPr>
              <w:t>683</w:t>
            </w:r>
          </w:p>
        </w:tc>
      </w:tr>
      <w:tr w:rsidR="004C541E" w:rsidRPr="004C541E" w14:paraId="1EC021F7" w14:textId="77777777" w:rsidTr="004C541E">
        <w:trPr>
          <w:trHeight w:val="20"/>
        </w:trPr>
        <w:tc>
          <w:tcPr>
            <w:tcW w:w="9240" w:type="dxa"/>
            <w:gridSpan w:val="4"/>
            <w:tcBorders>
              <w:top w:val="nil"/>
              <w:left w:val="nil"/>
              <w:bottom w:val="nil"/>
              <w:right w:val="nil"/>
            </w:tcBorders>
            <w:shd w:val="clear" w:color="auto" w:fill="auto"/>
            <w:hideMark/>
          </w:tcPr>
          <w:p w14:paraId="1EC021F6" w14:textId="5BFA6559" w:rsidR="004C541E" w:rsidRPr="004C541E" w:rsidRDefault="004C541E" w:rsidP="000F0537">
            <w:pPr>
              <w:spacing w:line="240" w:lineRule="auto"/>
              <w:rPr>
                <w:color w:val="000000"/>
                <w:sz w:val="20"/>
                <w:szCs w:val="22"/>
                <w:lang w:eastAsia="ja-JP"/>
              </w:rPr>
            </w:pPr>
            <w:r w:rsidRPr="004C541E">
              <w:rPr>
                <w:color w:val="000000"/>
                <w:sz w:val="20"/>
                <w:szCs w:val="22"/>
                <w:lang w:eastAsia="ja-JP"/>
              </w:rPr>
              <w:t xml:space="preserve">Notes: The dependent reference category is "No plan/action". The independent reference categories are: </w:t>
            </w:r>
            <w:r w:rsidR="00FD081F" w:rsidRPr="004C541E">
              <w:rPr>
                <w:color w:val="000000"/>
                <w:sz w:val="20"/>
                <w:szCs w:val="22"/>
                <w:lang w:eastAsia="ja-JP"/>
              </w:rPr>
              <w:t xml:space="preserve">male; Under 30; post-secondary education; inactive; more than 10 years in UK; does not have close relatives in the UK; single; </w:t>
            </w:r>
            <w:r w:rsidR="00FD081F">
              <w:rPr>
                <w:color w:val="000000"/>
                <w:sz w:val="20"/>
                <w:szCs w:val="22"/>
                <w:lang w:eastAsia="ja-JP"/>
              </w:rPr>
              <w:t>does not speak English at work</w:t>
            </w:r>
            <w:r w:rsidR="00FD081F" w:rsidRPr="004C541E">
              <w:rPr>
                <w:color w:val="000000"/>
                <w:sz w:val="20"/>
                <w:szCs w:val="22"/>
                <w:lang w:eastAsia="ja-JP"/>
              </w:rPr>
              <w:t xml:space="preserve">; does not plan to apply for British citizenship anytime in the future; is not eligible for citizenship now or within one year; does not have close relatives who are eligible for </w:t>
            </w:r>
            <w:r w:rsidR="00FD081F">
              <w:rPr>
                <w:color w:val="000000"/>
                <w:sz w:val="20"/>
                <w:szCs w:val="22"/>
                <w:lang w:eastAsia="ja-JP"/>
              </w:rPr>
              <w:t>PRC</w:t>
            </w:r>
            <w:r w:rsidR="00FD081F" w:rsidRPr="004C541E">
              <w:rPr>
                <w:color w:val="000000"/>
                <w:sz w:val="20"/>
                <w:szCs w:val="22"/>
                <w:lang w:eastAsia="ja-JP"/>
              </w:rPr>
              <w:t xml:space="preserve">; does not feel </w:t>
            </w:r>
            <w:r w:rsidR="00FD081F">
              <w:rPr>
                <w:color w:val="000000"/>
                <w:sz w:val="20"/>
                <w:szCs w:val="22"/>
                <w:lang w:eastAsia="ja-JP"/>
              </w:rPr>
              <w:t>‘</w:t>
            </w:r>
            <w:r w:rsidR="000F0537">
              <w:rPr>
                <w:color w:val="000000"/>
                <w:sz w:val="20"/>
                <w:szCs w:val="22"/>
                <w:lang w:eastAsia="ja-JP"/>
              </w:rPr>
              <w:t>anxious’ about</w:t>
            </w:r>
            <w:r w:rsidR="00FD081F" w:rsidRPr="004C541E">
              <w:rPr>
                <w:color w:val="000000"/>
                <w:sz w:val="20"/>
                <w:szCs w:val="22"/>
                <w:lang w:eastAsia="ja-JP"/>
              </w:rPr>
              <w:t xml:space="preserve"> </w:t>
            </w:r>
            <w:r w:rsidR="000F0537">
              <w:rPr>
                <w:color w:val="000000"/>
                <w:sz w:val="20"/>
                <w:szCs w:val="22"/>
                <w:lang w:eastAsia="ja-JP"/>
              </w:rPr>
              <w:t>B</w:t>
            </w:r>
            <w:r w:rsidR="00FD081F" w:rsidRPr="004C541E">
              <w:rPr>
                <w:color w:val="000000"/>
                <w:sz w:val="20"/>
                <w:szCs w:val="22"/>
                <w:lang w:eastAsia="ja-JP"/>
              </w:rPr>
              <w:t>rexit; prefers the UK to remain in the EU under the pre-referendum conditions or to become even more integrated in the EU.</w:t>
            </w:r>
          </w:p>
        </w:tc>
      </w:tr>
      <w:tr w:rsidR="004C541E" w:rsidRPr="004C541E" w14:paraId="1EC021F9" w14:textId="77777777" w:rsidTr="004C541E">
        <w:trPr>
          <w:trHeight w:val="20"/>
        </w:trPr>
        <w:tc>
          <w:tcPr>
            <w:tcW w:w="9240" w:type="dxa"/>
            <w:gridSpan w:val="4"/>
            <w:tcBorders>
              <w:top w:val="nil"/>
              <w:left w:val="nil"/>
              <w:bottom w:val="nil"/>
              <w:right w:val="nil"/>
            </w:tcBorders>
            <w:shd w:val="clear" w:color="auto" w:fill="auto"/>
            <w:hideMark/>
          </w:tcPr>
          <w:p w14:paraId="1EC021F8" w14:textId="77777777" w:rsidR="004C541E" w:rsidRPr="004C541E" w:rsidRDefault="004C541E" w:rsidP="004C541E">
            <w:pPr>
              <w:spacing w:line="240" w:lineRule="auto"/>
              <w:rPr>
                <w:color w:val="000000"/>
                <w:sz w:val="20"/>
                <w:szCs w:val="22"/>
                <w:lang w:eastAsia="ja-JP"/>
              </w:rPr>
            </w:pPr>
            <w:r w:rsidRPr="004C541E">
              <w:rPr>
                <w:color w:val="000000"/>
                <w:sz w:val="20"/>
                <w:szCs w:val="22"/>
                <w:lang w:eastAsia="ja-JP"/>
              </w:rPr>
              <w:t>Model Chi-sq (60) = 234.761, p&lt;.001. The model was rescaled for underdispersion based on the Deviance statistic (φ=0.68)</w:t>
            </w:r>
          </w:p>
        </w:tc>
      </w:tr>
      <w:tr w:rsidR="004C541E" w:rsidRPr="004C541E" w14:paraId="1EC021FB" w14:textId="77777777" w:rsidTr="004C541E">
        <w:trPr>
          <w:trHeight w:val="20"/>
        </w:trPr>
        <w:tc>
          <w:tcPr>
            <w:tcW w:w="9240" w:type="dxa"/>
            <w:gridSpan w:val="4"/>
            <w:tcBorders>
              <w:top w:val="nil"/>
              <w:left w:val="nil"/>
              <w:bottom w:val="nil"/>
              <w:right w:val="nil"/>
            </w:tcBorders>
            <w:shd w:val="clear" w:color="auto" w:fill="auto"/>
            <w:noWrap/>
            <w:vAlign w:val="bottom"/>
            <w:hideMark/>
          </w:tcPr>
          <w:p w14:paraId="1EC021FA" w14:textId="77777777" w:rsidR="004C541E" w:rsidRPr="004C541E" w:rsidRDefault="004C541E" w:rsidP="004C541E">
            <w:pPr>
              <w:spacing w:line="240" w:lineRule="auto"/>
              <w:rPr>
                <w:color w:val="000000"/>
                <w:sz w:val="20"/>
                <w:szCs w:val="22"/>
                <w:lang w:eastAsia="ja-JP"/>
              </w:rPr>
            </w:pPr>
            <w:r w:rsidRPr="004C541E">
              <w:rPr>
                <w:color w:val="000000"/>
                <w:sz w:val="20"/>
                <w:szCs w:val="22"/>
                <w:lang w:eastAsia="ja-JP"/>
              </w:rPr>
              <w:t>"p&lt;.1, *p&lt;.05, **p&lt;.01, ***p&lt;.001</w:t>
            </w:r>
          </w:p>
        </w:tc>
      </w:tr>
    </w:tbl>
    <w:p w14:paraId="1EC021FC" w14:textId="77777777" w:rsidR="004C541E" w:rsidRDefault="004C541E" w:rsidP="004C541E"/>
    <w:p w14:paraId="1EC021FD" w14:textId="16235410" w:rsidR="004C541E" w:rsidRDefault="00B73266" w:rsidP="00F46CC4">
      <w:pPr>
        <w:pStyle w:val="Tabletitle"/>
        <w:pageBreakBefore/>
        <w:spacing w:before="0"/>
        <w:rPr>
          <w:vertAlign w:val="superscript"/>
        </w:rPr>
      </w:pPr>
      <w:r w:rsidRPr="00B73266">
        <w:t xml:space="preserve">Appendix Table </w:t>
      </w:r>
      <w:r w:rsidR="00AD2435">
        <w:fldChar w:fldCharType="begin"/>
      </w:r>
      <w:r w:rsidR="00AD2435">
        <w:instrText xml:space="preserve"> SEQ Appendix_Table \* ARABIC </w:instrText>
      </w:r>
      <w:r w:rsidR="00AD2435">
        <w:fldChar w:fldCharType="separate"/>
      </w:r>
      <w:r w:rsidRPr="00B73266">
        <w:t>1</w:t>
      </w:r>
      <w:r w:rsidR="00AD2435">
        <w:fldChar w:fldCharType="end"/>
      </w:r>
      <w:r w:rsidRPr="00B73266">
        <w:t>: Bivariate statistics for 5-year plans by personal characteristics (row percentages and adjusted standardised residuals</w:t>
      </w:r>
      <w:r w:rsidR="00340DE8">
        <w:t xml:space="preserve"> in parantheses</w:t>
      </w:r>
      <w:r w:rsidRPr="00B73266">
        <w:rPr>
          <w:vertAlign w:val="superscript"/>
        </w:rPr>
        <w:t>1</w:t>
      </w:r>
      <w:r w:rsidRPr="00B73266">
        <w:t>)</w:t>
      </w:r>
    </w:p>
    <w:tbl>
      <w:tblPr>
        <w:tblW w:w="5000" w:type="pct"/>
        <w:tblLayout w:type="fixed"/>
        <w:tblLook w:val="04A0" w:firstRow="1" w:lastRow="0" w:firstColumn="1" w:lastColumn="0" w:noHBand="0" w:noVBand="1"/>
      </w:tblPr>
      <w:tblGrid>
        <w:gridCol w:w="3103"/>
        <w:gridCol w:w="1118"/>
        <w:gridCol w:w="1166"/>
        <w:gridCol w:w="1239"/>
        <w:gridCol w:w="1224"/>
        <w:gridCol w:w="649"/>
      </w:tblGrid>
      <w:tr w:rsidR="00B73266" w:rsidRPr="00B73266" w14:paraId="1EC02202" w14:textId="77777777" w:rsidTr="00F46CC4">
        <w:trPr>
          <w:trHeight w:val="20"/>
          <w:tblHeader/>
        </w:trPr>
        <w:tc>
          <w:tcPr>
            <w:tcW w:w="1825" w:type="pct"/>
            <w:vMerge w:val="restart"/>
            <w:tcBorders>
              <w:top w:val="nil"/>
              <w:left w:val="nil"/>
              <w:right w:val="nil"/>
            </w:tcBorders>
            <w:shd w:val="clear" w:color="auto" w:fill="auto"/>
            <w:noWrap/>
            <w:vAlign w:val="center"/>
          </w:tcPr>
          <w:p w14:paraId="1EC021F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 </w:t>
            </w:r>
          </w:p>
        </w:tc>
        <w:tc>
          <w:tcPr>
            <w:tcW w:w="658" w:type="pct"/>
            <w:vMerge w:val="restart"/>
            <w:tcBorders>
              <w:top w:val="single" w:sz="8" w:space="0" w:color="000000"/>
              <w:left w:val="nil"/>
              <w:right w:val="nil"/>
            </w:tcBorders>
            <w:shd w:val="clear" w:color="auto" w:fill="auto"/>
            <w:noWrap/>
            <w:vAlign w:val="center"/>
          </w:tcPr>
          <w:p w14:paraId="1EC021FF"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Leave the UK</w:t>
            </w:r>
          </w:p>
        </w:tc>
        <w:tc>
          <w:tcPr>
            <w:tcW w:w="2135" w:type="pct"/>
            <w:gridSpan w:val="3"/>
            <w:tcBorders>
              <w:top w:val="single" w:sz="8" w:space="0" w:color="000000"/>
              <w:left w:val="nil"/>
              <w:bottom w:val="single" w:sz="4" w:space="0" w:color="auto"/>
              <w:right w:val="nil"/>
            </w:tcBorders>
            <w:shd w:val="clear" w:color="auto" w:fill="auto"/>
            <w:noWrap/>
            <w:vAlign w:val="center"/>
          </w:tcPr>
          <w:p w14:paraId="1EC02200"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Remain in the UK and</w:t>
            </w:r>
          </w:p>
        </w:tc>
        <w:tc>
          <w:tcPr>
            <w:tcW w:w="382" w:type="pct"/>
            <w:vMerge w:val="restart"/>
            <w:tcBorders>
              <w:top w:val="single" w:sz="8" w:space="0" w:color="000000"/>
              <w:left w:val="nil"/>
              <w:bottom w:val="single" w:sz="4" w:space="0" w:color="auto"/>
              <w:right w:val="nil"/>
            </w:tcBorders>
            <w:shd w:val="clear" w:color="auto" w:fill="auto"/>
            <w:noWrap/>
            <w:vAlign w:val="center"/>
          </w:tcPr>
          <w:p w14:paraId="1EC02201"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N</w:t>
            </w:r>
          </w:p>
        </w:tc>
      </w:tr>
      <w:tr w:rsidR="00B73266" w:rsidRPr="00B73266" w14:paraId="1EC02209" w14:textId="77777777" w:rsidTr="00F46CC4">
        <w:trPr>
          <w:trHeight w:val="20"/>
          <w:tblHeader/>
        </w:trPr>
        <w:tc>
          <w:tcPr>
            <w:tcW w:w="1825" w:type="pct"/>
            <w:vMerge/>
            <w:tcBorders>
              <w:left w:val="nil"/>
              <w:bottom w:val="single" w:sz="4" w:space="0" w:color="auto"/>
              <w:right w:val="nil"/>
            </w:tcBorders>
            <w:shd w:val="clear" w:color="auto" w:fill="auto"/>
            <w:noWrap/>
            <w:vAlign w:val="center"/>
            <w:hideMark/>
          </w:tcPr>
          <w:p w14:paraId="1EC02203" w14:textId="77777777" w:rsidR="00B73266" w:rsidRPr="00B73266" w:rsidRDefault="00B73266" w:rsidP="00884EA8">
            <w:pPr>
              <w:spacing w:line="240" w:lineRule="auto"/>
              <w:rPr>
                <w:color w:val="000000"/>
                <w:sz w:val="22"/>
                <w:szCs w:val="22"/>
                <w:lang w:eastAsia="ja-JP"/>
              </w:rPr>
            </w:pPr>
          </w:p>
        </w:tc>
        <w:tc>
          <w:tcPr>
            <w:tcW w:w="658" w:type="pct"/>
            <w:vMerge/>
            <w:tcBorders>
              <w:left w:val="nil"/>
              <w:bottom w:val="single" w:sz="4" w:space="0" w:color="auto"/>
              <w:right w:val="nil"/>
            </w:tcBorders>
            <w:shd w:val="clear" w:color="auto" w:fill="auto"/>
            <w:noWrap/>
            <w:vAlign w:val="center"/>
            <w:hideMark/>
          </w:tcPr>
          <w:p w14:paraId="1EC02204" w14:textId="77777777" w:rsidR="00B73266" w:rsidRPr="00B73266" w:rsidRDefault="00B73266" w:rsidP="00884EA8">
            <w:pPr>
              <w:spacing w:line="240" w:lineRule="auto"/>
              <w:jc w:val="center"/>
              <w:rPr>
                <w:color w:val="000000"/>
                <w:sz w:val="22"/>
                <w:szCs w:val="22"/>
                <w:lang w:eastAsia="ja-JP"/>
              </w:rPr>
            </w:pPr>
          </w:p>
        </w:tc>
        <w:tc>
          <w:tcPr>
            <w:tcW w:w="686" w:type="pct"/>
            <w:tcBorders>
              <w:top w:val="single" w:sz="4" w:space="0" w:color="auto"/>
              <w:left w:val="nil"/>
              <w:bottom w:val="single" w:sz="4" w:space="0" w:color="auto"/>
              <w:right w:val="nil"/>
            </w:tcBorders>
            <w:shd w:val="clear" w:color="auto" w:fill="auto"/>
            <w:noWrap/>
            <w:vAlign w:val="center"/>
            <w:hideMark/>
          </w:tcPr>
          <w:p w14:paraId="1EC02205"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Apply for PRC</w:t>
            </w:r>
          </w:p>
        </w:tc>
        <w:tc>
          <w:tcPr>
            <w:tcW w:w="729" w:type="pct"/>
            <w:tcBorders>
              <w:top w:val="single" w:sz="4" w:space="0" w:color="auto"/>
              <w:left w:val="nil"/>
              <w:bottom w:val="single" w:sz="4" w:space="0" w:color="auto"/>
              <w:right w:val="nil"/>
            </w:tcBorders>
            <w:shd w:val="clear" w:color="auto" w:fill="auto"/>
            <w:noWrap/>
            <w:vAlign w:val="center"/>
            <w:hideMark/>
          </w:tcPr>
          <w:p w14:paraId="1EC0220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Apply for citizenship</w:t>
            </w:r>
          </w:p>
        </w:tc>
        <w:tc>
          <w:tcPr>
            <w:tcW w:w="720" w:type="pct"/>
            <w:tcBorders>
              <w:top w:val="single" w:sz="4" w:space="0" w:color="auto"/>
              <w:left w:val="nil"/>
              <w:bottom w:val="single" w:sz="4" w:space="0" w:color="auto"/>
              <w:right w:val="nil"/>
            </w:tcBorders>
            <w:shd w:val="clear" w:color="auto" w:fill="auto"/>
            <w:noWrap/>
            <w:vAlign w:val="center"/>
            <w:hideMark/>
          </w:tcPr>
          <w:p w14:paraId="1EC02207" w14:textId="77777777" w:rsidR="00B73266" w:rsidRPr="00B73266" w:rsidRDefault="009E5914" w:rsidP="00884EA8">
            <w:pPr>
              <w:spacing w:line="240" w:lineRule="auto"/>
              <w:jc w:val="center"/>
              <w:rPr>
                <w:color w:val="000000"/>
                <w:sz w:val="22"/>
                <w:szCs w:val="22"/>
                <w:lang w:eastAsia="ja-JP"/>
              </w:rPr>
            </w:pPr>
            <w:r>
              <w:rPr>
                <w:color w:val="000000"/>
                <w:sz w:val="22"/>
                <w:szCs w:val="22"/>
                <w:lang w:eastAsia="ja-JP"/>
              </w:rPr>
              <w:t>No plan</w:t>
            </w:r>
          </w:p>
        </w:tc>
        <w:tc>
          <w:tcPr>
            <w:tcW w:w="382" w:type="pct"/>
            <w:vMerge/>
            <w:tcBorders>
              <w:left w:val="nil"/>
              <w:bottom w:val="single" w:sz="4" w:space="0" w:color="auto"/>
              <w:right w:val="nil"/>
            </w:tcBorders>
            <w:shd w:val="clear" w:color="auto" w:fill="auto"/>
            <w:noWrap/>
            <w:vAlign w:val="center"/>
            <w:hideMark/>
          </w:tcPr>
          <w:p w14:paraId="1EC02208" w14:textId="77777777" w:rsidR="00B73266" w:rsidRPr="00B73266" w:rsidRDefault="00B73266" w:rsidP="00884EA8">
            <w:pPr>
              <w:spacing w:line="240" w:lineRule="auto"/>
              <w:jc w:val="center"/>
              <w:rPr>
                <w:color w:val="000000"/>
                <w:sz w:val="22"/>
                <w:szCs w:val="22"/>
                <w:lang w:eastAsia="ja-JP"/>
              </w:rPr>
            </w:pPr>
          </w:p>
        </w:tc>
      </w:tr>
      <w:tr w:rsidR="00B73266" w:rsidRPr="00B73266" w14:paraId="1EC0220B" w14:textId="77777777" w:rsidTr="00F46CC4">
        <w:trPr>
          <w:trHeight w:val="20"/>
          <w:tblHeader/>
        </w:trPr>
        <w:tc>
          <w:tcPr>
            <w:tcW w:w="5000" w:type="pct"/>
            <w:gridSpan w:val="6"/>
            <w:tcBorders>
              <w:top w:val="single" w:sz="4" w:space="0" w:color="auto"/>
              <w:left w:val="nil"/>
              <w:right w:val="nil"/>
            </w:tcBorders>
            <w:shd w:val="clear" w:color="auto" w:fill="auto"/>
            <w:noWrap/>
            <w:vAlign w:val="center"/>
          </w:tcPr>
          <w:p w14:paraId="1EC0220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Sex:  χ</w:t>
            </w:r>
            <w:r w:rsidRPr="00B73266">
              <w:rPr>
                <w:color w:val="000000"/>
                <w:sz w:val="22"/>
                <w:szCs w:val="22"/>
                <w:vertAlign w:val="superscript"/>
                <w:lang w:eastAsia="ja-JP"/>
              </w:rPr>
              <w:t>2</w:t>
            </w:r>
            <w:r w:rsidRPr="00B73266">
              <w:rPr>
                <w:color w:val="000000"/>
                <w:sz w:val="22"/>
                <w:szCs w:val="22"/>
                <w:lang w:eastAsia="ja-JP"/>
              </w:rPr>
              <w:t>=6.521 (3, N=817), p=0.089</w:t>
            </w:r>
          </w:p>
        </w:tc>
      </w:tr>
      <w:tr w:rsidR="00B73266" w:rsidRPr="00B73266" w14:paraId="1EC02212" w14:textId="77777777" w:rsidTr="00F46CC4">
        <w:trPr>
          <w:trHeight w:val="20"/>
          <w:tblHeader/>
        </w:trPr>
        <w:tc>
          <w:tcPr>
            <w:tcW w:w="1825" w:type="pct"/>
            <w:tcBorders>
              <w:left w:val="nil"/>
              <w:bottom w:val="nil"/>
              <w:right w:val="nil"/>
            </w:tcBorders>
            <w:shd w:val="clear" w:color="auto" w:fill="auto"/>
            <w:noWrap/>
            <w:vAlign w:val="center"/>
            <w:hideMark/>
          </w:tcPr>
          <w:p w14:paraId="1EC0220C"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Male</w:t>
            </w:r>
          </w:p>
        </w:tc>
        <w:tc>
          <w:tcPr>
            <w:tcW w:w="658" w:type="pct"/>
            <w:tcBorders>
              <w:left w:val="nil"/>
              <w:bottom w:val="nil"/>
              <w:right w:val="nil"/>
            </w:tcBorders>
            <w:shd w:val="clear" w:color="auto" w:fill="auto"/>
            <w:noWrap/>
            <w:vAlign w:val="center"/>
            <w:hideMark/>
          </w:tcPr>
          <w:p w14:paraId="1EC0220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9.1 (2.2)</w:t>
            </w:r>
          </w:p>
        </w:tc>
        <w:tc>
          <w:tcPr>
            <w:tcW w:w="686" w:type="pct"/>
            <w:tcBorders>
              <w:left w:val="nil"/>
              <w:bottom w:val="nil"/>
              <w:right w:val="nil"/>
            </w:tcBorders>
            <w:shd w:val="clear" w:color="auto" w:fill="auto"/>
            <w:noWrap/>
            <w:vAlign w:val="center"/>
            <w:hideMark/>
          </w:tcPr>
          <w:p w14:paraId="1EC0220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44.7 (0.7)</w:t>
            </w:r>
          </w:p>
        </w:tc>
        <w:tc>
          <w:tcPr>
            <w:tcW w:w="729" w:type="pct"/>
            <w:tcBorders>
              <w:left w:val="nil"/>
              <w:bottom w:val="nil"/>
              <w:right w:val="nil"/>
            </w:tcBorders>
            <w:shd w:val="clear" w:color="auto" w:fill="auto"/>
            <w:noWrap/>
            <w:vAlign w:val="center"/>
            <w:hideMark/>
          </w:tcPr>
          <w:p w14:paraId="1EC0220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32.4 (-0.8)</w:t>
            </w:r>
          </w:p>
        </w:tc>
        <w:tc>
          <w:tcPr>
            <w:tcW w:w="720" w:type="pct"/>
            <w:tcBorders>
              <w:left w:val="nil"/>
              <w:bottom w:val="nil"/>
              <w:right w:val="nil"/>
            </w:tcBorders>
            <w:shd w:val="clear" w:color="auto" w:fill="auto"/>
            <w:noWrap/>
            <w:vAlign w:val="center"/>
            <w:hideMark/>
          </w:tcPr>
          <w:p w14:paraId="1EC0221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13.8 (-1.4)</w:t>
            </w:r>
          </w:p>
        </w:tc>
        <w:tc>
          <w:tcPr>
            <w:tcW w:w="382" w:type="pct"/>
            <w:tcBorders>
              <w:left w:val="nil"/>
              <w:bottom w:val="nil"/>
              <w:right w:val="nil"/>
            </w:tcBorders>
            <w:shd w:val="clear" w:color="auto" w:fill="auto"/>
            <w:noWrap/>
            <w:vAlign w:val="center"/>
            <w:hideMark/>
          </w:tcPr>
          <w:p w14:paraId="1EC02211"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275</w:t>
            </w:r>
          </w:p>
        </w:tc>
      </w:tr>
      <w:tr w:rsidR="00B73266" w:rsidRPr="00B73266" w14:paraId="1EC02219" w14:textId="77777777" w:rsidTr="00F46CC4">
        <w:trPr>
          <w:trHeight w:val="20"/>
          <w:tblHeader/>
        </w:trPr>
        <w:tc>
          <w:tcPr>
            <w:tcW w:w="1825" w:type="pct"/>
            <w:tcBorders>
              <w:top w:val="nil"/>
              <w:left w:val="nil"/>
              <w:right w:val="nil"/>
            </w:tcBorders>
            <w:shd w:val="clear" w:color="auto" w:fill="auto"/>
            <w:noWrap/>
            <w:vAlign w:val="center"/>
            <w:hideMark/>
          </w:tcPr>
          <w:p w14:paraId="1EC02213"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Female</w:t>
            </w:r>
          </w:p>
        </w:tc>
        <w:tc>
          <w:tcPr>
            <w:tcW w:w="658" w:type="pct"/>
            <w:tcBorders>
              <w:top w:val="nil"/>
              <w:left w:val="nil"/>
              <w:right w:val="nil"/>
            </w:tcBorders>
            <w:shd w:val="clear" w:color="auto" w:fill="auto"/>
            <w:noWrap/>
            <w:vAlign w:val="center"/>
            <w:hideMark/>
          </w:tcPr>
          <w:p w14:paraId="1EC0221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5.2 (-2.2)</w:t>
            </w:r>
          </w:p>
        </w:tc>
        <w:tc>
          <w:tcPr>
            <w:tcW w:w="686" w:type="pct"/>
            <w:tcBorders>
              <w:top w:val="nil"/>
              <w:left w:val="nil"/>
              <w:right w:val="nil"/>
            </w:tcBorders>
            <w:shd w:val="clear" w:color="auto" w:fill="auto"/>
            <w:noWrap/>
            <w:vAlign w:val="center"/>
            <w:hideMark/>
          </w:tcPr>
          <w:p w14:paraId="1EC0221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42.3 (-0.7)</w:t>
            </w:r>
          </w:p>
        </w:tc>
        <w:tc>
          <w:tcPr>
            <w:tcW w:w="729" w:type="pct"/>
            <w:tcBorders>
              <w:top w:val="nil"/>
              <w:left w:val="nil"/>
              <w:right w:val="nil"/>
            </w:tcBorders>
            <w:shd w:val="clear" w:color="auto" w:fill="auto"/>
            <w:noWrap/>
            <w:vAlign w:val="center"/>
            <w:hideMark/>
          </w:tcPr>
          <w:p w14:paraId="1EC0221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35.1 (0.8)</w:t>
            </w:r>
          </w:p>
        </w:tc>
        <w:tc>
          <w:tcPr>
            <w:tcW w:w="720" w:type="pct"/>
            <w:tcBorders>
              <w:top w:val="nil"/>
              <w:left w:val="nil"/>
              <w:right w:val="nil"/>
            </w:tcBorders>
            <w:shd w:val="clear" w:color="auto" w:fill="auto"/>
            <w:noWrap/>
            <w:vAlign w:val="center"/>
            <w:hideMark/>
          </w:tcPr>
          <w:p w14:paraId="1EC0221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17.5 (1.4)</w:t>
            </w:r>
          </w:p>
        </w:tc>
        <w:tc>
          <w:tcPr>
            <w:tcW w:w="382" w:type="pct"/>
            <w:tcBorders>
              <w:top w:val="nil"/>
              <w:left w:val="nil"/>
              <w:right w:val="nil"/>
            </w:tcBorders>
            <w:shd w:val="clear" w:color="auto" w:fill="auto"/>
            <w:noWrap/>
            <w:vAlign w:val="center"/>
            <w:hideMark/>
          </w:tcPr>
          <w:p w14:paraId="1EC02218"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542</w:t>
            </w:r>
          </w:p>
        </w:tc>
      </w:tr>
      <w:tr w:rsidR="00B73266" w:rsidRPr="00B73266" w14:paraId="1EC0221B" w14:textId="77777777" w:rsidTr="00F46CC4">
        <w:trPr>
          <w:trHeight w:val="20"/>
          <w:tblHeader/>
        </w:trPr>
        <w:tc>
          <w:tcPr>
            <w:tcW w:w="5000" w:type="pct"/>
            <w:gridSpan w:val="6"/>
            <w:tcBorders>
              <w:left w:val="nil"/>
              <w:right w:val="nil"/>
            </w:tcBorders>
            <w:shd w:val="clear" w:color="auto" w:fill="auto"/>
            <w:noWrap/>
            <w:vAlign w:val="center"/>
          </w:tcPr>
          <w:p w14:paraId="1EC0221A"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Age: χ</w:t>
            </w:r>
            <w:r w:rsidRPr="00B73266">
              <w:rPr>
                <w:color w:val="000000"/>
                <w:sz w:val="22"/>
                <w:szCs w:val="22"/>
                <w:vertAlign w:val="superscript"/>
                <w:lang w:eastAsia="ja-JP"/>
              </w:rPr>
              <w:t>2</w:t>
            </w:r>
            <w:r w:rsidRPr="00B73266">
              <w:rPr>
                <w:color w:val="000000"/>
                <w:sz w:val="22"/>
                <w:szCs w:val="22"/>
                <w:lang w:eastAsia="ja-JP"/>
              </w:rPr>
              <w:t>=22.735 (9, N=818), p=0.007</w:t>
            </w:r>
          </w:p>
        </w:tc>
      </w:tr>
      <w:tr w:rsidR="00B73266" w:rsidRPr="00B73266" w14:paraId="1EC02222" w14:textId="77777777" w:rsidTr="00F46CC4">
        <w:trPr>
          <w:trHeight w:val="20"/>
          <w:tblHeader/>
        </w:trPr>
        <w:tc>
          <w:tcPr>
            <w:tcW w:w="1825" w:type="pct"/>
            <w:tcBorders>
              <w:left w:val="nil"/>
              <w:right w:val="nil"/>
            </w:tcBorders>
            <w:shd w:val="clear" w:color="auto" w:fill="auto"/>
            <w:noWrap/>
            <w:vAlign w:val="center"/>
            <w:hideMark/>
          </w:tcPr>
          <w:p w14:paraId="1EC0221C"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&lt; 30</w:t>
            </w:r>
          </w:p>
        </w:tc>
        <w:tc>
          <w:tcPr>
            <w:tcW w:w="658" w:type="pct"/>
            <w:tcBorders>
              <w:left w:val="nil"/>
              <w:right w:val="nil"/>
            </w:tcBorders>
            <w:shd w:val="clear" w:color="auto" w:fill="auto"/>
            <w:noWrap/>
            <w:vAlign w:val="center"/>
            <w:hideMark/>
          </w:tcPr>
          <w:p w14:paraId="1EC0221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8.6 (1.1)</w:t>
            </w:r>
          </w:p>
        </w:tc>
        <w:tc>
          <w:tcPr>
            <w:tcW w:w="686" w:type="pct"/>
            <w:tcBorders>
              <w:left w:val="nil"/>
              <w:right w:val="nil"/>
            </w:tcBorders>
            <w:shd w:val="clear" w:color="auto" w:fill="auto"/>
            <w:noWrap/>
            <w:vAlign w:val="center"/>
            <w:hideMark/>
          </w:tcPr>
          <w:p w14:paraId="1EC0221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37.9 (-1.4)</w:t>
            </w:r>
          </w:p>
        </w:tc>
        <w:tc>
          <w:tcPr>
            <w:tcW w:w="729" w:type="pct"/>
            <w:tcBorders>
              <w:left w:val="nil"/>
              <w:right w:val="nil"/>
            </w:tcBorders>
            <w:shd w:val="clear" w:color="auto" w:fill="auto"/>
            <w:noWrap/>
            <w:vAlign w:val="center"/>
            <w:hideMark/>
          </w:tcPr>
          <w:p w14:paraId="1EC0221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30.7 (-0.9)</w:t>
            </w:r>
          </w:p>
        </w:tc>
        <w:tc>
          <w:tcPr>
            <w:tcW w:w="720" w:type="pct"/>
            <w:tcBorders>
              <w:left w:val="nil"/>
              <w:right w:val="nil"/>
            </w:tcBorders>
            <w:shd w:val="clear" w:color="auto" w:fill="auto"/>
            <w:noWrap/>
            <w:vAlign w:val="center"/>
            <w:hideMark/>
          </w:tcPr>
          <w:p w14:paraId="1EC0222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22.9 (2.3)</w:t>
            </w:r>
          </w:p>
        </w:tc>
        <w:tc>
          <w:tcPr>
            <w:tcW w:w="382" w:type="pct"/>
            <w:tcBorders>
              <w:left w:val="nil"/>
              <w:right w:val="nil"/>
            </w:tcBorders>
            <w:shd w:val="clear" w:color="auto" w:fill="auto"/>
            <w:noWrap/>
            <w:vAlign w:val="center"/>
            <w:hideMark/>
          </w:tcPr>
          <w:p w14:paraId="1EC02221"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140</w:t>
            </w:r>
          </w:p>
        </w:tc>
      </w:tr>
      <w:tr w:rsidR="00B73266" w:rsidRPr="00B73266" w14:paraId="1EC02229" w14:textId="77777777" w:rsidTr="00F46CC4">
        <w:trPr>
          <w:trHeight w:val="20"/>
          <w:tblHeader/>
        </w:trPr>
        <w:tc>
          <w:tcPr>
            <w:tcW w:w="1825" w:type="pct"/>
            <w:tcBorders>
              <w:left w:val="nil"/>
              <w:bottom w:val="nil"/>
              <w:right w:val="nil"/>
            </w:tcBorders>
            <w:shd w:val="clear" w:color="auto" w:fill="auto"/>
            <w:noWrap/>
            <w:vAlign w:val="center"/>
            <w:hideMark/>
          </w:tcPr>
          <w:p w14:paraId="1EC02223"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30 - 39</w:t>
            </w:r>
          </w:p>
        </w:tc>
        <w:tc>
          <w:tcPr>
            <w:tcW w:w="658" w:type="pct"/>
            <w:tcBorders>
              <w:left w:val="nil"/>
              <w:bottom w:val="nil"/>
              <w:right w:val="nil"/>
            </w:tcBorders>
            <w:shd w:val="clear" w:color="auto" w:fill="auto"/>
            <w:noWrap/>
            <w:vAlign w:val="center"/>
            <w:hideMark/>
          </w:tcPr>
          <w:p w14:paraId="1EC0222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8.3 (1.9)</w:t>
            </w:r>
          </w:p>
        </w:tc>
        <w:tc>
          <w:tcPr>
            <w:tcW w:w="686" w:type="pct"/>
            <w:tcBorders>
              <w:left w:val="nil"/>
              <w:bottom w:val="nil"/>
              <w:right w:val="nil"/>
            </w:tcBorders>
            <w:shd w:val="clear" w:color="auto" w:fill="auto"/>
            <w:noWrap/>
            <w:vAlign w:val="center"/>
            <w:hideMark/>
          </w:tcPr>
          <w:p w14:paraId="1EC0222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39.5 (-1.9)</w:t>
            </w:r>
          </w:p>
        </w:tc>
        <w:tc>
          <w:tcPr>
            <w:tcW w:w="729" w:type="pct"/>
            <w:tcBorders>
              <w:left w:val="nil"/>
              <w:bottom w:val="nil"/>
              <w:right w:val="nil"/>
            </w:tcBorders>
            <w:shd w:val="clear" w:color="auto" w:fill="auto"/>
            <w:noWrap/>
            <w:vAlign w:val="center"/>
            <w:hideMark/>
          </w:tcPr>
          <w:p w14:paraId="1EC0222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36.8 (1.5)</w:t>
            </w:r>
          </w:p>
        </w:tc>
        <w:tc>
          <w:tcPr>
            <w:tcW w:w="720" w:type="pct"/>
            <w:tcBorders>
              <w:left w:val="nil"/>
              <w:bottom w:val="nil"/>
              <w:right w:val="nil"/>
            </w:tcBorders>
            <w:shd w:val="clear" w:color="auto" w:fill="auto"/>
            <w:noWrap/>
            <w:vAlign w:val="center"/>
            <w:hideMark/>
          </w:tcPr>
          <w:p w14:paraId="1EC0222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15.5 (-0.7)</w:t>
            </w:r>
          </w:p>
        </w:tc>
        <w:tc>
          <w:tcPr>
            <w:tcW w:w="382" w:type="pct"/>
            <w:tcBorders>
              <w:left w:val="nil"/>
              <w:bottom w:val="nil"/>
              <w:right w:val="nil"/>
            </w:tcBorders>
            <w:shd w:val="clear" w:color="auto" w:fill="auto"/>
            <w:noWrap/>
            <w:vAlign w:val="center"/>
            <w:hideMark/>
          </w:tcPr>
          <w:p w14:paraId="1EC02228"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375</w:t>
            </w:r>
          </w:p>
        </w:tc>
      </w:tr>
      <w:tr w:rsidR="00B73266" w:rsidRPr="00B73266" w14:paraId="1EC02230"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2A"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40 - 49</w:t>
            </w:r>
          </w:p>
        </w:tc>
        <w:tc>
          <w:tcPr>
            <w:tcW w:w="658" w:type="pct"/>
            <w:tcBorders>
              <w:top w:val="nil"/>
              <w:left w:val="nil"/>
              <w:bottom w:val="nil"/>
              <w:right w:val="nil"/>
            </w:tcBorders>
            <w:shd w:val="clear" w:color="auto" w:fill="auto"/>
            <w:noWrap/>
            <w:vAlign w:val="center"/>
            <w:hideMark/>
          </w:tcPr>
          <w:p w14:paraId="1EC0222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1.9 (-3.1)</w:t>
            </w:r>
          </w:p>
        </w:tc>
        <w:tc>
          <w:tcPr>
            <w:tcW w:w="686" w:type="pct"/>
            <w:tcBorders>
              <w:top w:val="nil"/>
              <w:left w:val="nil"/>
              <w:bottom w:val="nil"/>
              <w:right w:val="nil"/>
            </w:tcBorders>
            <w:shd w:val="clear" w:color="auto" w:fill="auto"/>
            <w:noWrap/>
            <w:vAlign w:val="center"/>
            <w:hideMark/>
          </w:tcPr>
          <w:p w14:paraId="1EC0222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48.6 (1.9)</w:t>
            </w:r>
          </w:p>
        </w:tc>
        <w:tc>
          <w:tcPr>
            <w:tcW w:w="729" w:type="pct"/>
            <w:tcBorders>
              <w:top w:val="nil"/>
              <w:left w:val="nil"/>
              <w:bottom w:val="nil"/>
              <w:right w:val="nil"/>
            </w:tcBorders>
            <w:shd w:val="clear" w:color="auto" w:fill="auto"/>
            <w:noWrap/>
            <w:vAlign w:val="center"/>
            <w:hideMark/>
          </w:tcPr>
          <w:p w14:paraId="1EC0222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35.2 (0.4)</w:t>
            </w:r>
          </w:p>
        </w:tc>
        <w:tc>
          <w:tcPr>
            <w:tcW w:w="720" w:type="pct"/>
            <w:tcBorders>
              <w:top w:val="nil"/>
              <w:left w:val="nil"/>
              <w:bottom w:val="nil"/>
              <w:right w:val="nil"/>
            </w:tcBorders>
            <w:shd w:val="clear" w:color="auto" w:fill="auto"/>
            <w:noWrap/>
            <w:vAlign w:val="center"/>
            <w:hideMark/>
          </w:tcPr>
          <w:p w14:paraId="1EC0222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14.3 (-1)</w:t>
            </w:r>
          </w:p>
        </w:tc>
        <w:tc>
          <w:tcPr>
            <w:tcW w:w="382" w:type="pct"/>
            <w:tcBorders>
              <w:top w:val="nil"/>
              <w:left w:val="nil"/>
              <w:bottom w:val="nil"/>
              <w:right w:val="nil"/>
            </w:tcBorders>
            <w:shd w:val="clear" w:color="auto" w:fill="auto"/>
            <w:noWrap/>
            <w:vAlign w:val="center"/>
            <w:hideMark/>
          </w:tcPr>
          <w:p w14:paraId="1EC0222F"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210</w:t>
            </w:r>
          </w:p>
        </w:tc>
      </w:tr>
      <w:tr w:rsidR="00B73266" w:rsidRPr="00B73266" w14:paraId="1EC02237" w14:textId="77777777" w:rsidTr="00F46CC4">
        <w:trPr>
          <w:trHeight w:val="20"/>
          <w:tblHeader/>
        </w:trPr>
        <w:tc>
          <w:tcPr>
            <w:tcW w:w="1825" w:type="pct"/>
            <w:tcBorders>
              <w:top w:val="nil"/>
              <w:left w:val="nil"/>
              <w:right w:val="nil"/>
            </w:tcBorders>
            <w:shd w:val="clear" w:color="auto" w:fill="auto"/>
            <w:noWrap/>
            <w:vAlign w:val="center"/>
            <w:hideMark/>
          </w:tcPr>
          <w:p w14:paraId="1EC02231"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50 &lt;</w:t>
            </w:r>
          </w:p>
        </w:tc>
        <w:tc>
          <w:tcPr>
            <w:tcW w:w="658" w:type="pct"/>
            <w:tcBorders>
              <w:top w:val="nil"/>
              <w:left w:val="nil"/>
              <w:right w:val="nil"/>
            </w:tcBorders>
            <w:shd w:val="clear" w:color="auto" w:fill="auto"/>
            <w:noWrap/>
            <w:vAlign w:val="center"/>
            <w:hideMark/>
          </w:tcPr>
          <w:p w14:paraId="1EC0223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6.5 (0)</w:t>
            </w:r>
          </w:p>
        </w:tc>
        <w:tc>
          <w:tcPr>
            <w:tcW w:w="686" w:type="pct"/>
            <w:tcBorders>
              <w:top w:val="nil"/>
              <w:left w:val="nil"/>
              <w:right w:val="nil"/>
            </w:tcBorders>
            <w:shd w:val="clear" w:color="auto" w:fill="auto"/>
            <w:noWrap/>
            <w:vAlign w:val="center"/>
            <w:hideMark/>
          </w:tcPr>
          <w:p w14:paraId="1EC0223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52.7 (2)</w:t>
            </w:r>
          </w:p>
        </w:tc>
        <w:tc>
          <w:tcPr>
            <w:tcW w:w="729" w:type="pct"/>
            <w:tcBorders>
              <w:top w:val="nil"/>
              <w:left w:val="nil"/>
              <w:right w:val="nil"/>
            </w:tcBorders>
            <w:shd w:val="clear" w:color="auto" w:fill="auto"/>
            <w:noWrap/>
            <w:vAlign w:val="center"/>
            <w:hideMark/>
          </w:tcPr>
          <w:p w14:paraId="1EC0223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25.8 (-1.8)</w:t>
            </w:r>
          </w:p>
        </w:tc>
        <w:tc>
          <w:tcPr>
            <w:tcW w:w="720" w:type="pct"/>
            <w:tcBorders>
              <w:top w:val="nil"/>
              <w:left w:val="nil"/>
              <w:right w:val="nil"/>
            </w:tcBorders>
            <w:shd w:val="clear" w:color="auto" w:fill="auto"/>
            <w:noWrap/>
            <w:vAlign w:val="center"/>
            <w:hideMark/>
          </w:tcPr>
          <w:p w14:paraId="1EC0223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15.1 (-0.4)</w:t>
            </w:r>
          </w:p>
        </w:tc>
        <w:tc>
          <w:tcPr>
            <w:tcW w:w="382" w:type="pct"/>
            <w:tcBorders>
              <w:top w:val="nil"/>
              <w:left w:val="nil"/>
              <w:right w:val="nil"/>
            </w:tcBorders>
            <w:shd w:val="clear" w:color="auto" w:fill="auto"/>
            <w:noWrap/>
            <w:vAlign w:val="center"/>
            <w:hideMark/>
          </w:tcPr>
          <w:p w14:paraId="1EC0223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93</w:t>
            </w:r>
          </w:p>
        </w:tc>
      </w:tr>
      <w:tr w:rsidR="00B73266" w:rsidRPr="00B73266" w14:paraId="1EC02239" w14:textId="77777777" w:rsidTr="00F46CC4">
        <w:trPr>
          <w:trHeight w:val="20"/>
          <w:tblHeader/>
        </w:trPr>
        <w:tc>
          <w:tcPr>
            <w:tcW w:w="5000" w:type="pct"/>
            <w:gridSpan w:val="6"/>
            <w:tcBorders>
              <w:left w:val="nil"/>
              <w:right w:val="nil"/>
            </w:tcBorders>
            <w:shd w:val="clear" w:color="auto" w:fill="auto"/>
            <w:noWrap/>
            <w:vAlign w:val="center"/>
          </w:tcPr>
          <w:p w14:paraId="1EC02238"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Highest educational qualification: χ</w:t>
            </w:r>
            <w:r w:rsidRPr="00B73266">
              <w:rPr>
                <w:color w:val="000000"/>
                <w:sz w:val="22"/>
                <w:szCs w:val="22"/>
                <w:vertAlign w:val="superscript"/>
                <w:lang w:eastAsia="ja-JP"/>
              </w:rPr>
              <w:t>2</w:t>
            </w:r>
            <w:r w:rsidRPr="00B73266">
              <w:rPr>
                <w:color w:val="000000"/>
                <w:sz w:val="22"/>
                <w:szCs w:val="22"/>
                <w:lang w:eastAsia="ja-JP"/>
              </w:rPr>
              <w:t>=25.802 (6, N=794), p=0.000</w:t>
            </w:r>
          </w:p>
        </w:tc>
      </w:tr>
      <w:tr w:rsidR="00B73266" w:rsidRPr="00B73266" w14:paraId="1EC02240" w14:textId="77777777" w:rsidTr="00F46CC4">
        <w:trPr>
          <w:trHeight w:val="20"/>
          <w:tblHeader/>
        </w:trPr>
        <w:tc>
          <w:tcPr>
            <w:tcW w:w="1825" w:type="pct"/>
            <w:tcBorders>
              <w:left w:val="nil"/>
              <w:bottom w:val="nil"/>
              <w:right w:val="nil"/>
            </w:tcBorders>
            <w:shd w:val="clear" w:color="auto" w:fill="auto"/>
            <w:noWrap/>
            <w:vAlign w:val="center"/>
            <w:hideMark/>
          </w:tcPr>
          <w:p w14:paraId="1EC0223A"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Post-secondary higher</w:t>
            </w:r>
          </w:p>
        </w:tc>
        <w:tc>
          <w:tcPr>
            <w:tcW w:w="658" w:type="pct"/>
            <w:tcBorders>
              <w:left w:val="nil"/>
              <w:bottom w:val="nil"/>
              <w:right w:val="nil"/>
            </w:tcBorders>
            <w:shd w:val="clear" w:color="auto" w:fill="auto"/>
            <w:noWrap/>
            <w:vAlign w:val="center"/>
            <w:hideMark/>
          </w:tcPr>
          <w:p w14:paraId="1EC0223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8.2 (2)</w:t>
            </w:r>
          </w:p>
        </w:tc>
        <w:tc>
          <w:tcPr>
            <w:tcW w:w="686" w:type="pct"/>
            <w:tcBorders>
              <w:left w:val="nil"/>
              <w:bottom w:val="nil"/>
              <w:right w:val="nil"/>
            </w:tcBorders>
            <w:shd w:val="clear" w:color="auto" w:fill="auto"/>
            <w:noWrap/>
            <w:vAlign w:val="center"/>
            <w:hideMark/>
          </w:tcPr>
          <w:p w14:paraId="1EC0223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38 (-2.8)</w:t>
            </w:r>
          </w:p>
        </w:tc>
        <w:tc>
          <w:tcPr>
            <w:tcW w:w="729" w:type="pct"/>
            <w:tcBorders>
              <w:left w:val="nil"/>
              <w:bottom w:val="nil"/>
              <w:right w:val="nil"/>
            </w:tcBorders>
            <w:shd w:val="clear" w:color="auto" w:fill="auto"/>
            <w:noWrap/>
            <w:vAlign w:val="center"/>
            <w:hideMark/>
          </w:tcPr>
          <w:p w14:paraId="1EC0223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41.1 (3.8)</w:t>
            </w:r>
          </w:p>
        </w:tc>
        <w:tc>
          <w:tcPr>
            <w:tcW w:w="720" w:type="pct"/>
            <w:tcBorders>
              <w:left w:val="nil"/>
              <w:bottom w:val="nil"/>
              <w:right w:val="nil"/>
            </w:tcBorders>
            <w:shd w:val="clear" w:color="auto" w:fill="auto"/>
            <w:noWrap/>
            <w:vAlign w:val="center"/>
            <w:hideMark/>
          </w:tcPr>
          <w:p w14:paraId="1EC0223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12.7 (-2.4)</w:t>
            </w:r>
          </w:p>
        </w:tc>
        <w:tc>
          <w:tcPr>
            <w:tcW w:w="382" w:type="pct"/>
            <w:tcBorders>
              <w:left w:val="nil"/>
              <w:bottom w:val="nil"/>
              <w:right w:val="nil"/>
            </w:tcBorders>
            <w:shd w:val="clear" w:color="auto" w:fill="auto"/>
            <w:noWrap/>
            <w:vAlign w:val="center"/>
            <w:hideMark/>
          </w:tcPr>
          <w:p w14:paraId="1EC0223F"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353</w:t>
            </w:r>
          </w:p>
        </w:tc>
      </w:tr>
      <w:tr w:rsidR="00B73266" w:rsidRPr="00B73266" w14:paraId="1EC02247"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41"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Secondary</w:t>
            </w:r>
          </w:p>
        </w:tc>
        <w:tc>
          <w:tcPr>
            <w:tcW w:w="658" w:type="pct"/>
            <w:tcBorders>
              <w:top w:val="nil"/>
              <w:left w:val="nil"/>
              <w:bottom w:val="nil"/>
              <w:right w:val="nil"/>
            </w:tcBorders>
            <w:shd w:val="clear" w:color="auto" w:fill="auto"/>
            <w:noWrap/>
            <w:vAlign w:val="center"/>
            <w:hideMark/>
          </w:tcPr>
          <w:p w14:paraId="1EC0224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3.7 (-2.5)</w:t>
            </w:r>
          </w:p>
        </w:tc>
        <w:tc>
          <w:tcPr>
            <w:tcW w:w="686" w:type="pct"/>
            <w:tcBorders>
              <w:top w:val="nil"/>
              <w:left w:val="nil"/>
              <w:bottom w:val="nil"/>
              <w:right w:val="nil"/>
            </w:tcBorders>
            <w:shd w:val="clear" w:color="auto" w:fill="auto"/>
            <w:noWrap/>
            <w:vAlign w:val="center"/>
            <w:hideMark/>
          </w:tcPr>
          <w:p w14:paraId="1EC0224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46.7 (1.6)</w:t>
            </w:r>
          </w:p>
        </w:tc>
        <w:tc>
          <w:tcPr>
            <w:tcW w:w="729" w:type="pct"/>
            <w:tcBorders>
              <w:top w:val="nil"/>
              <w:left w:val="nil"/>
              <w:bottom w:val="nil"/>
              <w:right w:val="nil"/>
            </w:tcBorders>
            <w:shd w:val="clear" w:color="auto" w:fill="auto"/>
            <w:noWrap/>
            <w:vAlign w:val="center"/>
            <w:hideMark/>
          </w:tcPr>
          <w:p w14:paraId="1EC0224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29.7 (-2.1)</w:t>
            </w:r>
          </w:p>
        </w:tc>
        <w:tc>
          <w:tcPr>
            <w:tcW w:w="720" w:type="pct"/>
            <w:tcBorders>
              <w:top w:val="nil"/>
              <w:left w:val="nil"/>
              <w:bottom w:val="nil"/>
              <w:right w:val="nil"/>
            </w:tcBorders>
            <w:shd w:val="clear" w:color="auto" w:fill="auto"/>
            <w:noWrap/>
            <w:vAlign w:val="center"/>
            <w:hideMark/>
          </w:tcPr>
          <w:p w14:paraId="1EC0224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19.8 (2.3)</w:t>
            </w:r>
          </w:p>
        </w:tc>
        <w:tc>
          <w:tcPr>
            <w:tcW w:w="382" w:type="pct"/>
            <w:tcBorders>
              <w:top w:val="nil"/>
              <w:left w:val="nil"/>
              <w:bottom w:val="nil"/>
              <w:right w:val="nil"/>
            </w:tcBorders>
            <w:shd w:val="clear" w:color="auto" w:fill="auto"/>
            <w:noWrap/>
            <w:vAlign w:val="center"/>
            <w:hideMark/>
          </w:tcPr>
          <w:p w14:paraId="1EC0224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323</w:t>
            </w:r>
          </w:p>
        </w:tc>
      </w:tr>
      <w:tr w:rsidR="00B73266" w:rsidRPr="00B73266" w14:paraId="1EC0224E" w14:textId="77777777" w:rsidTr="00F46CC4">
        <w:trPr>
          <w:trHeight w:val="20"/>
          <w:tblHeader/>
        </w:trPr>
        <w:tc>
          <w:tcPr>
            <w:tcW w:w="1825" w:type="pct"/>
            <w:tcBorders>
              <w:top w:val="nil"/>
              <w:left w:val="nil"/>
              <w:right w:val="nil"/>
            </w:tcBorders>
            <w:shd w:val="clear" w:color="auto" w:fill="auto"/>
            <w:noWrap/>
            <w:vAlign w:val="center"/>
            <w:hideMark/>
          </w:tcPr>
          <w:p w14:paraId="1EC02248"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Vocational</w:t>
            </w:r>
          </w:p>
        </w:tc>
        <w:tc>
          <w:tcPr>
            <w:tcW w:w="658" w:type="pct"/>
            <w:tcBorders>
              <w:top w:val="nil"/>
              <w:left w:val="nil"/>
              <w:right w:val="nil"/>
            </w:tcBorders>
            <w:shd w:val="clear" w:color="auto" w:fill="auto"/>
            <w:noWrap/>
            <w:vAlign w:val="center"/>
            <w:hideMark/>
          </w:tcPr>
          <w:p w14:paraId="1EC0224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7.6 (0.6)</w:t>
            </w:r>
          </w:p>
        </w:tc>
        <w:tc>
          <w:tcPr>
            <w:tcW w:w="686" w:type="pct"/>
            <w:tcBorders>
              <w:top w:val="nil"/>
              <w:left w:val="nil"/>
              <w:right w:val="nil"/>
            </w:tcBorders>
            <w:shd w:val="clear" w:color="auto" w:fill="auto"/>
            <w:noWrap/>
            <w:vAlign w:val="center"/>
            <w:hideMark/>
          </w:tcPr>
          <w:p w14:paraId="1EC0224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50.8 (1.8)</w:t>
            </w:r>
          </w:p>
        </w:tc>
        <w:tc>
          <w:tcPr>
            <w:tcW w:w="729" w:type="pct"/>
            <w:tcBorders>
              <w:top w:val="nil"/>
              <w:left w:val="nil"/>
              <w:right w:val="nil"/>
            </w:tcBorders>
            <w:shd w:val="clear" w:color="auto" w:fill="auto"/>
            <w:noWrap/>
            <w:vAlign w:val="center"/>
            <w:hideMark/>
          </w:tcPr>
          <w:p w14:paraId="1EC0224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24.6 (-2.3)</w:t>
            </w:r>
          </w:p>
        </w:tc>
        <w:tc>
          <w:tcPr>
            <w:tcW w:w="720" w:type="pct"/>
            <w:tcBorders>
              <w:top w:val="nil"/>
              <w:left w:val="nil"/>
              <w:right w:val="nil"/>
            </w:tcBorders>
            <w:shd w:val="clear" w:color="auto" w:fill="auto"/>
            <w:noWrap/>
            <w:vAlign w:val="center"/>
            <w:hideMark/>
          </w:tcPr>
          <w:p w14:paraId="1EC0224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16.9 (0.2)</w:t>
            </w:r>
          </w:p>
        </w:tc>
        <w:tc>
          <w:tcPr>
            <w:tcW w:w="382" w:type="pct"/>
            <w:tcBorders>
              <w:top w:val="nil"/>
              <w:left w:val="nil"/>
              <w:right w:val="nil"/>
            </w:tcBorders>
            <w:shd w:val="clear" w:color="auto" w:fill="auto"/>
            <w:noWrap/>
            <w:vAlign w:val="center"/>
            <w:hideMark/>
          </w:tcPr>
          <w:p w14:paraId="1EC0224D"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118</w:t>
            </w:r>
          </w:p>
        </w:tc>
      </w:tr>
      <w:tr w:rsidR="00B73266" w:rsidRPr="00B73266" w14:paraId="1EC02250" w14:textId="77777777" w:rsidTr="00F46CC4">
        <w:trPr>
          <w:trHeight w:val="20"/>
          <w:tblHeader/>
        </w:trPr>
        <w:tc>
          <w:tcPr>
            <w:tcW w:w="5000" w:type="pct"/>
            <w:gridSpan w:val="6"/>
            <w:tcBorders>
              <w:left w:val="nil"/>
              <w:right w:val="nil"/>
            </w:tcBorders>
            <w:shd w:val="clear" w:color="auto" w:fill="auto"/>
            <w:noWrap/>
            <w:vAlign w:val="center"/>
          </w:tcPr>
          <w:p w14:paraId="1EC0224F"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 xml:space="preserve">Economic </w:t>
            </w:r>
            <w:r w:rsidR="002432BD">
              <w:rPr>
                <w:color w:val="000000"/>
                <w:sz w:val="22"/>
                <w:szCs w:val="22"/>
                <w:lang w:eastAsia="ja-JP"/>
              </w:rPr>
              <w:t xml:space="preserve">activity </w:t>
            </w:r>
            <w:r w:rsidRPr="00B73266">
              <w:rPr>
                <w:color w:val="000000"/>
                <w:sz w:val="22"/>
                <w:szCs w:val="22"/>
                <w:lang w:eastAsia="ja-JP"/>
              </w:rPr>
              <w:t>status: χ</w:t>
            </w:r>
            <w:r w:rsidRPr="00B73266">
              <w:rPr>
                <w:color w:val="000000"/>
                <w:sz w:val="22"/>
                <w:szCs w:val="22"/>
                <w:vertAlign w:val="superscript"/>
                <w:lang w:eastAsia="ja-JP"/>
              </w:rPr>
              <w:t>2</w:t>
            </w:r>
            <w:r w:rsidRPr="00B73266">
              <w:rPr>
                <w:color w:val="000000"/>
                <w:sz w:val="22"/>
                <w:szCs w:val="22"/>
                <w:lang w:eastAsia="ja-JP"/>
              </w:rPr>
              <w:t>=15.853 (9, N=775), p=0.07</w:t>
            </w:r>
          </w:p>
        </w:tc>
      </w:tr>
      <w:tr w:rsidR="00B73266" w:rsidRPr="00B73266" w14:paraId="1EC02257" w14:textId="77777777" w:rsidTr="00F46CC4">
        <w:trPr>
          <w:trHeight w:val="20"/>
          <w:tblHeader/>
        </w:trPr>
        <w:tc>
          <w:tcPr>
            <w:tcW w:w="1825" w:type="pct"/>
            <w:tcBorders>
              <w:left w:val="nil"/>
              <w:bottom w:val="nil"/>
              <w:right w:val="nil"/>
            </w:tcBorders>
            <w:shd w:val="clear" w:color="auto" w:fill="auto"/>
            <w:noWrap/>
            <w:vAlign w:val="center"/>
            <w:hideMark/>
          </w:tcPr>
          <w:p w14:paraId="1EC02251"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In full-time employment</w:t>
            </w:r>
          </w:p>
        </w:tc>
        <w:tc>
          <w:tcPr>
            <w:tcW w:w="658" w:type="pct"/>
            <w:tcBorders>
              <w:left w:val="nil"/>
              <w:bottom w:val="nil"/>
              <w:right w:val="nil"/>
            </w:tcBorders>
            <w:shd w:val="clear" w:color="auto" w:fill="auto"/>
            <w:noWrap/>
            <w:vAlign w:val="center"/>
            <w:hideMark/>
          </w:tcPr>
          <w:p w14:paraId="1EC0225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6.9 (0.5)</w:t>
            </w:r>
          </w:p>
        </w:tc>
        <w:tc>
          <w:tcPr>
            <w:tcW w:w="686" w:type="pct"/>
            <w:tcBorders>
              <w:left w:val="nil"/>
              <w:bottom w:val="nil"/>
              <w:right w:val="nil"/>
            </w:tcBorders>
            <w:shd w:val="clear" w:color="auto" w:fill="auto"/>
            <w:noWrap/>
            <w:vAlign w:val="center"/>
            <w:hideMark/>
          </w:tcPr>
          <w:p w14:paraId="1EC0225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43.9 (1)</w:t>
            </w:r>
          </w:p>
        </w:tc>
        <w:tc>
          <w:tcPr>
            <w:tcW w:w="729" w:type="pct"/>
            <w:tcBorders>
              <w:left w:val="nil"/>
              <w:bottom w:val="nil"/>
              <w:right w:val="nil"/>
            </w:tcBorders>
            <w:shd w:val="clear" w:color="auto" w:fill="auto"/>
            <w:noWrap/>
            <w:vAlign w:val="center"/>
            <w:hideMark/>
          </w:tcPr>
          <w:p w14:paraId="1EC0225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34 (-0.2)</w:t>
            </w:r>
          </w:p>
        </w:tc>
        <w:tc>
          <w:tcPr>
            <w:tcW w:w="720" w:type="pct"/>
            <w:tcBorders>
              <w:left w:val="nil"/>
              <w:bottom w:val="nil"/>
              <w:right w:val="nil"/>
            </w:tcBorders>
            <w:shd w:val="clear" w:color="auto" w:fill="auto"/>
            <w:noWrap/>
            <w:vAlign w:val="center"/>
            <w:hideMark/>
          </w:tcPr>
          <w:p w14:paraId="1EC0225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15.2 (-1.5)</w:t>
            </w:r>
          </w:p>
        </w:tc>
        <w:tc>
          <w:tcPr>
            <w:tcW w:w="382" w:type="pct"/>
            <w:tcBorders>
              <w:left w:val="nil"/>
              <w:bottom w:val="nil"/>
              <w:right w:val="nil"/>
            </w:tcBorders>
            <w:shd w:val="clear" w:color="auto" w:fill="auto"/>
            <w:noWrap/>
            <w:vAlign w:val="center"/>
            <w:hideMark/>
          </w:tcPr>
          <w:p w14:paraId="1EC0225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462</w:t>
            </w:r>
          </w:p>
        </w:tc>
      </w:tr>
      <w:tr w:rsidR="00B73266" w:rsidRPr="00B73266" w14:paraId="1EC0225E"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58"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In part-time employment</w:t>
            </w:r>
          </w:p>
        </w:tc>
        <w:tc>
          <w:tcPr>
            <w:tcW w:w="658" w:type="pct"/>
            <w:tcBorders>
              <w:top w:val="nil"/>
              <w:left w:val="nil"/>
              <w:bottom w:val="nil"/>
              <w:right w:val="nil"/>
            </w:tcBorders>
            <w:shd w:val="clear" w:color="auto" w:fill="auto"/>
            <w:noWrap/>
            <w:vAlign w:val="center"/>
            <w:hideMark/>
          </w:tcPr>
          <w:p w14:paraId="1EC0225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4.6 (-1)</w:t>
            </w:r>
          </w:p>
        </w:tc>
        <w:tc>
          <w:tcPr>
            <w:tcW w:w="686" w:type="pct"/>
            <w:tcBorders>
              <w:top w:val="nil"/>
              <w:left w:val="nil"/>
              <w:bottom w:val="nil"/>
              <w:right w:val="nil"/>
            </w:tcBorders>
            <w:shd w:val="clear" w:color="auto" w:fill="auto"/>
            <w:noWrap/>
            <w:vAlign w:val="center"/>
            <w:hideMark/>
          </w:tcPr>
          <w:p w14:paraId="1EC0225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33.1 (-2.4)</w:t>
            </w:r>
          </w:p>
        </w:tc>
        <w:tc>
          <w:tcPr>
            <w:tcW w:w="729" w:type="pct"/>
            <w:tcBorders>
              <w:top w:val="nil"/>
              <w:left w:val="nil"/>
              <w:bottom w:val="nil"/>
              <w:right w:val="nil"/>
            </w:tcBorders>
            <w:shd w:val="clear" w:color="auto" w:fill="auto"/>
            <w:noWrap/>
            <w:vAlign w:val="center"/>
            <w:hideMark/>
          </w:tcPr>
          <w:p w14:paraId="1EC0225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41.5 (1.9)</w:t>
            </w:r>
          </w:p>
        </w:tc>
        <w:tc>
          <w:tcPr>
            <w:tcW w:w="720" w:type="pct"/>
            <w:tcBorders>
              <w:top w:val="nil"/>
              <w:left w:val="nil"/>
              <w:bottom w:val="nil"/>
              <w:right w:val="nil"/>
            </w:tcBorders>
            <w:shd w:val="clear" w:color="auto" w:fill="auto"/>
            <w:noWrap/>
            <w:vAlign w:val="center"/>
            <w:hideMark/>
          </w:tcPr>
          <w:p w14:paraId="1EC0225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20.8 (1.3)</w:t>
            </w:r>
          </w:p>
        </w:tc>
        <w:tc>
          <w:tcPr>
            <w:tcW w:w="382" w:type="pct"/>
            <w:tcBorders>
              <w:top w:val="nil"/>
              <w:left w:val="nil"/>
              <w:bottom w:val="nil"/>
              <w:right w:val="nil"/>
            </w:tcBorders>
            <w:shd w:val="clear" w:color="auto" w:fill="auto"/>
            <w:noWrap/>
            <w:vAlign w:val="center"/>
            <w:hideMark/>
          </w:tcPr>
          <w:p w14:paraId="1EC0225D"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130</w:t>
            </w:r>
          </w:p>
        </w:tc>
      </w:tr>
      <w:tr w:rsidR="00B73266" w:rsidRPr="00B73266" w14:paraId="1EC02265"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5F"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Self-employed</w:t>
            </w:r>
          </w:p>
        </w:tc>
        <w:tc>
          <w:tcPr>
            <w:tcW w:w="658" w:type="pct"/>
            <w:tcBorders>
              <w:top w:val="nil"/>
              <w:left w:val="nil"/>
              <w:bottom w:val="nil"/>
              <w:right w:val="nil"/>
            </w:tcBorders>
            <w:shd w:val="clear" w:color="auto" w:fill="auto"/>
            <w:noWrap/>
            <w:vAlign w:val="center"/>
            <w:hideMark/>
          </w:tcPr>
          <w:p w14:paraId="1EC0226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9.2 (1)</w:t>
            </w:r>
          </w:p>
        </w:tc>
        <w:tc>
          <w:tcPr>
            <w:tcW w:w="686" w:type="pct"/>
            <w:tcBorders>
              <w:top w:val="nil"/>
              <w:left w:val="nil"/>
              <w:bottom w:val="nil"/>
              <w:right w:val="nil"/>
            </w:tcBorders>
            <w:shd w:val="clear" w:color="auto" w:fill="auto"/>
            <w:noWrap/>
            <w:vAlign w:val="center"/>
            <w:hideMark/>
          </w:tcPr>
          <w:p w14:paraId="1EC0226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53.9 (2.1)</w:t>
            </w:r>
          </w:p>
        </w:tc>
        <w:tc>
          <w:tcPr>
            <w:tcW w:w="729" w:type="pct"/>
            <w:tcBorders>
              <w:top w:val="nil"/>
              <w:left w:val="nil"/>
              <w:bottom w:val="nil"/>
              <w:right w:val="nil"/>
            </w:tcBorders>
            <w:shd w:val="clear" w:color="auto" w:fill="auto"/>
            <w:noWrap/>
            <w:vAlign w:val="center"/>
            <w:hideMark/>
          </w:tcPr>
          <w:p w14:paraId="1EC0226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23.7 (-2)</w:t>
            </w:r>
          </w:p>
        </w:tc>
        <w:tc>
          <w:tcPr>
            <w:tcW w:w="720" w:type="pct"/>
            <w:tcBorders>
              <w:top w:val="nil"/>
              <w:left w:val="nil"/>
              <w:bottom w:val="nil"/>
              <w:right w:val="nil"/>
            </w:tcBorders>
            <w:shd w:val="clear" w:color="auto" w:fill="auto"/>
            <w:noWrap/>
            <w:vAlign w:val="center"/>
            <w:hideMark/>
          </w:tcPr>
          <w:p w14:paraId="1EC0226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13.2 (-0.9)</w:t>
            </w:r>
          </w:p>
        </w:tc>
        <w:tc>
          <w:tcPr>
            <w:tcW w:w="382" w:type="pct"/>
            <w:tcBorders>
              <w:top w:val="nil"/>
              <w:left w:val="nil"/>
              <w:bottom w:val="nil"/>
              <w:right w:val="nil"/>
            </w:tcBorders>
            <w:shd w:val="clear" w:color="auto" w:fill="auto"/>
            <w:noWrap/>
            <w:vAlign w:val="center"/>
            <w:hideMark/>
          </w:tcPr>
          <w:p w14:paraId="1EC02264"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76</w:t>
            </w:r>
          </w:p>
        </w:tc>
      </w:tr>
      <w:tr w:rsidR="00B73266" w:rsidRPr="00B73266" w14:paraId="1EC0226C" w14:textId="77777777" w:rsidTr="00F46CC4">
        <w:trPr>
          <w:trHeight w:val="20"/>
          <w:tblHeader/>
        </w:trPr>
        <w:tc>
          <w:tcPr>
            <w:tcW w:w="1825" w:type="pct"/>
            <w:tcBorders>
              <w:top w:val="nil"/>
              <w:left w:val="nil"/>
              <w:right w:val="nil"/>
            </w:tcBorders>
            <w:shd w:val="clear" w:color="auto" w:fill="auto"/>
            <w:noWrap/>
            <w:vAlign w:val="center"/>
            <w:hideMark/>
          </w:tcPr>
          <w:p w14:paraId="1EC02266"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Inactive</w:t>
            </w:r>
          </w:p>
        </w:tc>
        <w:tc>
          <w:tcPr>
            <w:tcW w:w="658" w:type="pct"/>
            <w:tcBorders>
              <w:top w:val="nil"/>
              <w:left w:val="nil"/>
              <w:right w:val="nil"/>
            </w:tcBorders>
            <w:shd w:val="clear" w:color="auto" w:fill="auto"/>
            <w:noWrap/>
            <w:vAlign w:val="center"/>
            <w:hideMark/>
          </w:tcPr>
          <w:p w14:paraId="1EC0226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5.6 (-0.4)</w:t>
            </w:r>
          </w:p>
        </w:tc>
        <w:tc>
          <w:tcPr>
            <w:tcW w:w="686" w:type="pct"/>
            <w:tcBorders>
              <w:top w:val="nil"/>
              <w:left w:val="nil"/>
              <w:right w:val="nil"/>
            </w:tcBorders>
            <w:shd w:val="clear" w:color="auto" w:fill="auto"/>
            <w:noWrap/>
            <w:vAlign w:val="center"/>
            <w:hideMark/>
          </w:tcPr>
          <w:p w14:paraId="1EC0226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39.3 (-0.7)</w:t>
            </w:r>
          </w:p>
        </w:tc>
        <w:tc>
          <w:tcPr>
            <w:tcW w:w="729" w:type="pct"/>
            <w:tcBorders>
              <w:top w:val="nil"/>
              <w:left w:val="nil"/>
              <w:right w:val="nil"/>
            </w:tcBorders>
            <w:shd w:val="clear" w:color="auto" w:fill="auto"/>
            <w:noWrap/>
            <w:vAlign w:val="center"/>
            <w:hideMark/>
          </w:tcPr>
          <w:p w14:paraId="1EC0226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33.6 (-0.1)</w:t>
            </w:r>
          </w:p>
        </w:tc>
        <w:tc>
          <w:tcPr>
            <w:tcW w:w="720" w:type="pct"/>
            <w:tcBorders>
              <w:top w:val="nil"/>
              <w:left w:val="nil"/>
              <w:right w:val="nil"/>
            </w:tcBorders>
            <w:shd w:val="clear" w:color="auto" w:fill="auto"/>
            <w:noWrap/>
            <w:vAlign w:val="center"/>
            <w:hideMark/>
          </w:tcPr>
          <w:p w14:paraId="1EC0226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21.5 (1.4)</w:t>
            </w:r>
          </w:p>
        </w:tc>
        <w:tc>
          <w:tcPr>
            <w:tcW w:w="382" w:type="pct"/>
            <w:tcBorders>
              <w:top w:val="nil"/>
              <w:left w:val="nil"/>
              <w:right w:val="nil"/>
            </w:tcBorders>
            <w:shd w:val="clear" w:color="auto" w:fill="auto"/>
            <w:noWrap/>
            <w:vAlign w:val="center"/>
            <w:hideMark/>
          </w:tcPr>
          <w:p w14:paraId="1EC0226B"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107</w:t>
            </w:r>
          </w:p>
        </w:tc>
      </w:tr>
      <w:tr w:rsidR="00B73266" w:rsidRPr="00B73266" w14:paraId="1EC0226E" w14:textId="77777777" w:rsidTr="00F46CC4">
        <w:trPr>
          <w:trHeight w:val="20"/>
          <w:tblHeader/>
        </w:trPr>
        <w:tc>
          <w:tcPr>
            <w:tcW w:w="5000" w:type="pct"/>
            <w:gridSpan w:val="6"/>
            <w:tcBorders>
              <w:top w:val="nil"/>
              <w:left w:val="nil"/>
              <w:right w:val="nil"/>
            </w:tcBorders>
            <w:shd w:val="clear" w:color="auto" w:fill="auto"/>
            <w:noWrap/>
            <w:vAlign w:val="center"/>
          </w:tcPr>
          <w:p w14:paraId="1EC0226D"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Socio-economic status: χ</w:t>
            </w:r>
            <w:r w:rsidRPr="00B73266">
              <w:rPr>
                <w:color w:val="000000"/>
                <w:sz w:val="22"/>
                <w:szCs w:val="22"/>
                <w:vertAlign w:val="superscript"/>
                <w:lang w:eastAsia="ja-JP"/>
              </w:rPr>
              <w:t>2</w:t>
            </w:r>
            <w:r w:rsidRPr="00B73266">
              <w:rPr>
                <w:color w:val="000000"/>
                <w:sz w:val="22"/>
                <w:szCs w:val="22"/>
                <w:lang w:eastAsia="ja-JP"/>
              </w:rPr>
              <w:t>=</w:t>
            </w:r>
            <w:r w:rsidRPr="00B73266">
              <w:rPr>
                <w:rFonts w:eastAsia="MS Mincho"/>
                <w:sz w:val="22"/>
                <w:szCs w:val="22"/>
                <w:lang w:eastAsia="ja-JP"/>
              </w:rPr>
              <w:t>33.186 (9, N=563), p=0.000</w:t>
            </w:r>
          </w:p>
        </w:tc>
      </w:tr>
      <w:tr w:rsidR="00B73266" w:rsidRPr="00B73266" w14:paraId="1EC02275" w14:textId="77777777" w:rsidTr="00F46CC4">
        <w:trPr>
          <w:trHeight w:val="20"/>
          <w:tblHeader/>
        </w:trPr>
        <w:tc>
          <w:tcPr>
            <w:tcW w:w="1825" w:type="pct"/>
            <w:tcBorders>
              <w:left w:val="nil"/>
              <w:right w:val="nil"/>
            </w:tcBorders>
            <w:shd w:val="clear" w:color="auto" w:fill="auto"/>
            <w:noWrap/>
          </w:tcPr>
          <w:p w14:paraId="1EC0226F" w14:textId="77777777" w:rsidR="00B73266" w:rsidRPr="00B73266" w:rsidRDefault="00B73266" w:rsidP="00884EA8">
            <w:pPr>
              <w:spacing w:line="240" w:lineRule="auto"/>
              <w:ind w:left="142"/>
              <w:rPr>
                <w:color w:val="000000"/>
                <w:sz w:val="22"/>
                <w:szCs w:val="22"/>
                <w:lang w:eastAsia="ja-JP"/>
              </w:rPr>
            </w:pPr>
            <w:r w:rsidRPr="00B73266">
              <w:rPr>
                <w:rFonts w:eastAsia="MS Mincho"/>
                <w:color w:val="000000"/>
                <w:sz w:val="22"/>
                <w:szCs w:val="22"/>
                <w:lang w:eastAsia="ja-JP"/>
              </w:rPr>
              <w:t>I + II</w:t>
            </w:r>
          </w:p>
        </w:tc>
        <w:tc>
          <w:tcPr>
            <w:tcW w:w="658" w:type="pct"/>
            <w:tcBorders>
              <w:left w:val="nil"/>
              <w:bottom w:val="nil"/>
              <w:right w:val="nil"/>
            </w:tcBorders>
            <w:shd w:val="clear" w:color="auto" w:fill="auto"/>
            <w:noWrap/>
            <w:vAlign w:val="center"/>
          </w:tcPr>
          <w:p w14:paraId="1EC02270"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10 (1.3)</w:t>
            </w:r>
          </w:p>
        </w:tc>
        <w:tc>
          <w:tcPr>
            <w:tcW w:w="686" w:type="pct"/>
            <w:tcBorders>
              <w:left w:val="nil"/>
              <w:bottom w:val="nil"/>
              <w:right w:val="nil"/>
            </w:tcBorders>
            <w:shd w:val="clear" w:color="auto" w:fill="auto"/>
            <w:noWrap/>
            <w:vAlign w:val="center"/>
          </w:tcPr>
          <w:p w14:paraId="1EC02271"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30 (-2.8)</w:t>
            </w:r>
          </w:p>
        </w:tc>
        <w:tc>
          <w:tcPr>
            <w:tcW w:w="729" w:type="pct"/>
            <w:tcBorders>
              <w:left w:val="nil"/>
              <w:bottom w:val="nil"/>
              <w:right w:val="nil"/>
            </w:tcBorders>
            <w:shd w:val="clear" w:color="auto" w:fill="auto"/>
            <w:noWrap/>
            <w:vAlign w:val="center"/>
          </w:tcPr>
          <w:p w14:paraId="1EC02272"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54 (4.6)</w:t>
            </w:r>
          </w:p>
        </w:tc>
        <w:tc>
          <w:tcPr>
            <w:tcW w:w="720" w:type="pct"/>
            <w:tcBorders>
              <w:left w:val="nil"/>
              <w:bottom w:val="nil"/>
              <w:right w:val="nil"/>
            </w:tcBorders>
            <w:shd w:val="clear" w:color="auto" w:fill="auto"/>
            <w:noWrap/>
            <w:vAlign w:val="center"/>
          </w:tcPr>
          <w:p w14:paraId="1EC02273"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6 (-3.1)</w:t>
            </w:r>
          </w:p>
        </w:tc>
        <w:tc>
          <w:tcPr>
            <w:tcW w:w="382" w:type="pct"/>
            <w:tcBorders>
              <w:left w:val="nil"/>
              <w:bottom w:val="nil"/>
              <w:right w:val="nil"/>
            </w:tcBorders>
            <w:shd w:val="clear" w:color="auto" w:fill="auto"/>
            <w:noWrap/>
            <w:vAlign w:val="center"/>
          </w:tcPr>
          <w:p w14:paraId="1EC02274" w14:textId="77777777" w:rsidR="00B73266" w:rsidRPr="00B73266" w:rsidRDefault="00B73266" w:rsidP="00884EA8">
            <w:pPr>
              <w:spacing w:line="240" w:lineRule="auto"/>
              <w:jc w:val="center"/>
              <w:rPr>
                <w:color w:val="000000"/>
                <w:sz w:val="22"/>
                <w:szCs w:val="22"/>
                <w:lang w:eastAsia="ja-JP"/>
              </w:rPr>
            </w:pPr>
            <w:r w:rsidRPr="00B73266">
              <w:rPr>
                <w:rFonts w:eastAsia="MS Mincho"/>
                <w:color w:val="000000"/>
                <w:sz w:val="22"/>
                <w:szCs w:val="22"/>
                <w:lang w:eastAsia="ja-JP"/>
              </w:rPr>
              <w:t>100</w:t>
            </w:r>
          </w:p>
        </w:tc>
      </w:tr>
      <w:tr w:rsidR="00B73266" w:rsidRPr="00B73266" w14:paraId="1EC0227C" w14:textId="77777777" w:rsidTr="00F46CC4">
        <w:trPr>
          <w:trHeight w:val="20"/>
          <w:tblHeader/>
        </w:trPr>
        <w:tc>
          <w:tcPr>
            <w:tcW w:w="1825" w:type="pct"/>
            <w:tcBorders>
              <w:top w:val="nil"/>
              <w:left w:val="nil"/>
              <w:right w:val="nil"/>
            </w:tcBorders>
            <w:shd w:val="clear" w:color="auto" w:fill="auto"/>
            <w:noWrap/>
          </w:tcPr>
          <w:p w14:paraId="1EC02276" w14:textId="77777777" w:rsidR="00B73266" w:rsidRPr="00B73266" w:rsidRDefault="00B73266" w:rsidP="00884EA8">
            <w:pPr>
              <w:spacing w:line="240" w:lineRule="auto"/>
              <w:ind w:left="142"/>
              <w:rPr>
                <w:color w:val="000000"/>
                <w:sz w:val="22"/>
                <w:szCs w:val="22"/>
                <w:lang w:eastAsia="ja-JP"/>
              </w:rPr>
            </w:pPr>
            <w:r w:rsidRPr="00B73266">
              <w:rPr>
                <w:rFonts w:eastAsia="MS Mincho"/>
                <w:color w:val="000000"/>
                <w:sz w:val="22"/>
                <w:szCs w:val="22"/>
                <w:lang w:eastAsia="ja-JP"/>
              </w:rPr>
              <w:t>III + IV</w:t>
            </w:r>
          </w:p>
        </w:tc>
        <w:tc>
          <w:tcPr>
            <w:tcW w:w="658" w:type="pct"/>
            <w:tcBorders>
              <w:top w:val="nil"/>
              <w:left w:val="nil"/>
              <w:bottom w:val="nil"/>
              <w:right w:val="nil"/>
            </w:tcBorders>
            <w:shd w:val="clear" w:color="auto" w:fill="auto"/>
            <w:noWrap/>
            <w:vAlign w:val="center"/>
          </w:tcPr>
          <w:p w14:paraId="1EC02277"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4.5 (-1)</w:t>
            </w:r>
          </w:p>
        </w:tc>
        <w:tc>
          <w:tcPr>
            <w:tcW w:w="686" w:type="pct"/>
            <w:tcBorders>
              <w:top w:val="nil"/>
              <w:left w:val="nil"/>
              <w:bottom w:val="nil"/>
              <w:right w:val="nil"/>
            </w:tcBorders>
            <w:shd w:val="clear" w:color="auto" w:fill="auto"/>
            <w:noWrap/>
            <w:vAlign w:val="center"/>
          </w:tcPr>
          <w:p w14:paraId="1EC02278"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44.9 (0.5)</w:t>
            </w:r>
          </w:p>
        </w:tc>
        <w:tc>
          <w:tcPr>
            <w:tcW w:w="729" w:type="pct"/>
            <w:tcBorders>
              <w:top w:val="nil"/>
              <w:left w:val="nil"/>
              <w:bottom w:val="nil"/>
              <w:right w:val="nil"/>
            </w:tcBorders>
            <w:shd w:val="clear" w:color="auto" w:fill="auto"/>
            <w:noWrap/>
            <w:vAlign w:val="center"/>
          </w:tcPr>
          <w:p w14:paraId="1EC02279"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36 (0.4)</w:t>
            </w:r>
          </w:p>
        </w:tc>
        <w:tc>
          <w:tcPr>
            <w:tcW w:w="720" w:type="pct"/>
            <w:tcBorders>
              <w:top w:val="nil"/>
              <w:left w:val="nil"/>
              <w:bottom w:val="nil"/>
              <w:right w:val="nil"/>
            </w:tcBorders>
            <w:shd w:val="clear" w:color="auto" w:fill="auto"/>
            <w:noWrap/>
            <w:vAlign w:val="center"/>
          </w:tcPr>
          <w:p w14:paraId="1EC0227A"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14.6 (-0.5)</w:t>
            </w:r>
          </w:p>
        </w:tc>
        <w:tc>
          <w:tcPr>
            <w:tcW w:w="382" w:type="pct"/>
            <w:tcBorders>
              <w:top w:val="nil"/>
              <w:left w:val="nil"/>
              <w:bottom w:val="nil"/>
              <w:right w:val="nil"/>
            </w:tcBorders>
            <w:shd w:val="clear" w:color="auto" w:fill="auto"/>
            <w:noWrap/>
            <w:vAlign w:val="center"/>
          </w:tcPr>
          <w:p w14:paraId="1EC0227B" w14:textId="77777777" w:rsidR="00B73266" w:rsidRPr="00B73266" w:rsidRDefault="00B73266" w:rsidP="00884EA8">
            <w:pPr>
              <w:spacing w:line="240" w:lineRule="auto"/>
              <w:jc w:val="center"/>
              <w:rPr>
                <w:color w:val="000000"/>
                <w:sz w:val="22"/>
                <w:szCs w:val="22"/>
                <w:lang w:eastAsia="ja-JP"/>
              </w:rPr>
            </w:pPr>
            <w:r w:rsidRPr="00B73266">
              <w:rPr>
                <w:rFonts w:eastAsia="MS Mincho"/>
                <w:color w:val="000000"/>
                <w:sz w:val="22"/>
                <w:szCs w:val="22"/>
                <w:lang w:eastAsia="ja-JP"/>
              </w:rPr>
              <w:t>89</w:t>
            </w:r>
          </w:p>
        </w:tc>
      </w:tr>
      <w:tr w:rsidR="00B73266" w:rsidRPr="00B73266" w14:paraId="1EC02283" w14:textId="77777777" w:rsidTr="00F46CC4">
        <w:trPr>
          <w:trHeight w:val="20"/>
          <w:tblHeader/>
        </w:trPr>
        <w:tc>
          <w:tcPr>
            <w:tcW w:w="1825" w:type="pct"/>
            <w:tcBorders>
              <w:top w:val="nil"/>
              <w:left w:val="nil"/>
              <w:right w:val="nil"/>
            </w:tcBorders>
            <w:shd w:val="clear" w:color="auto" w:fill="auto"/>
            <w:noWrap/>
          </w:tcPr>
          <w:p w14:paraId="1EC0227D" w14:textId="77777777" w:rsidR="00B73266" w:rsidRPr="00B73266" w:rsidRDefault="00B73266" w:rsidP="00884EA8">
            <w:pPr>
              <w:spacing w:line="240" w:lineRule="auto"/>
              <w:ind w:left="142"/>
              <w:rPr>
                <w:color w:val="000000"/>
                <w:sz w:val="22"/>
                <w:szCs w:val="22"/>
                <w:lang w:eastAsia="ja-JP"/>
              </w:rPr>
            </w:pPr>
            <w:r w:rsidRPr="00B73266">
              <w:rPr>
                <w:rFonts w:eastAsia="MS Mincho"/>
                <w:color w:val="000000"/>
                <w:sz w:val="22"/>
                <w:szCs w:val="22"/>
                <w:lang w:eastAsia="ja-JP"/>
              </w:rPr>
              <w:t>V + VI</w:t>
            </w:r>
          </w:p>
        </w:tc>
        <w:tc>
          <w:tcPr>
            <w:tcW w:w="658" w:type="pct"/>
            <w:tcBorders>
              <w:top w:val="nil"/>
              <w:left w:val="nil"/>
              <w:bottom w:val="nil"/>
              <w:right w:val="nil"/>
            </w:tcBorders>
            <w:shd w:val="clear" w:color="auto" w:fill="auto"/>
            <w:noWrap/>
            <w:vAlign w:val="center"/>
          </w:tcPr>
          <w:p w14:paraId="1EC0227E"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8.6 (1.1)</w:t>
            </w:r>
          </w:p>
        </w:tc>
        <w:tc>
          <w:tcPr>
            <w:tcW w:w="686" w:type="pct"/>
            <w:tcBorders>
              <w:top w:val="nil"/>
              <w:left w:val="nil"/>
              <w:bottom w:val="nil"/>
              <w:right w:val="nil"/>
            </w:tcBorders>
            <w:shd w:val="clear" w:color="auto" w:fill="auto"/>
            <w:noWrap/>
            <w:vAlign w:val="center"/>
          </w:tcPr>
          <w:p w14:paraId="1EC0227F"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43.5 (0.4)</w:t>
            </w:r>
          </w:p>
        </w:tc>
        <w:tc>
          <w:tcPr>
            <w:tcW w:w="729" w:type="pct"/>
            <w:tcBorders>
              <w:top w:val="nil"/>
              <w:left w:val="nil"/>
              <w:bottom w:val="nil"/>
              <w:right w:val="nil"/>
            </w:tcBorders>
            <w:shd w:val="clear" w:color="auto" w:fill="auto"/>
            <w:noWrap/>
            <w:vAlign w:val="center"/>
          </w:tcPr>
          <w:p w14:paraId="1EC02280"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29.6 (-1.7)</w:t>
            </w:r>
          </w:p>
        </w:tc>
        <w:tc>
          <w:tcPr>
            <w:tcW w:w="720" w:type="pct"/>
            <w:tcBorders>
              <w:top w:val="nil"/>
              <w:left w:val="nil"/>
              <w:bottom w:val="nil"/>
              <w:right w:val="nil"/>
            </w:tcBorders>
            <w:shd w:val="clear" w:color="auto" w:fill="auto"/>
            <w:noWrap/>
            <w:vAlign w:val="center"/>
          </w:tcPr>
          <w:p w14:paraId="1EC02281"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18.3 (0.9)</w:t>
            </w:r>
          </w:p>
        </w:tc>
        <w:tc>
          <w:tcPr>
            <w:tcW w:w="382" w:type="pct"/>
            <w:tcBorders>
              <w:top w:val="nil"/>
              <w:left w:val="nil"/>
              <w:bottom w:val="nil"/>
              <w:right w:val="nil"/>
            </w:tcBorders>
            <w:shd w:val="clear" w:color="auto" w:fill="auto"/>
            <w:noWrap/>
            <w:vAlign w:val="center"/>
          </w:tcPr>
          <w:p w14:paraId="1EC02282" w14:textId="77777777" w:rsidR="00B73266" w:rsidRPr="00B73266" w:rsidRDefault="00B73266" w:rsidP="00884EA8">
            <w:pPr>
              <w:spacing w:line="240" w:lineRule="auto"/>
              <w:jc w:val="center"/>
              <w:rPr>
                <w:color w:val="000000"/>
                <w:sz w:val="22"/>
                <w:szCs w:val="22"/>
                <w:lang w:eastAsia="ja-JP"/>
              </w:rPr>
            </w:pPr>
            <w:r w:rsidRPr="00B73266">
              <w:rPr>
                <w:rFonts w:eastAsia="MS Mincho"/>
                <w:color w:val="000000"/>
                <w:sz w:val="22"/>
                <w:szCs w:val="22"/>
                <w:lang w:eastAsia="ja-JP"/>
              </w:rPr>
              <w:t>186</w:t>
            </w:r>
          </w:p>
        </w:tc>
      </w:tr>
      <w:tr w:rsidR="00B73266" w:rsidRPr="00B73266" w14:paraId="1EC0228A" w14:textId="77777777" w:rsidTr="00F46CC4">
        <w:trPr>
          <w:trHeight w:val="20"/>
          <w:tblHeader/>
        </w:trPr>
        <w:tc>
          <w:tcPr>
            <w:tcW w:w="1825" w:type="pct"/>
            <w:tcBorders>
              <w:top w:val="nil"/>
              <w:left w:val="nil"/>
              <w:right w:val="nil"/>
            </w:tcBorders>
            <w:shd w:val="clear" w:color="auto" w:fill="auto"/>
            <w:noWrap/>
          </w:tcPr>
          <w:p w14:paraId="1EC02284" w14:textId="77777777" w:rsidR="00B73266" w:rsidRPr="00B73266" w:rsidRDefault="00B73266" w:rsidP="00884EA8">
            <w:pPr>
              <w:spacing w:line="240" w:lineRule="auto"/>
              <w:ind w:left="142"/>
              <w:rPr>
                <w:color w:val="000000"/>
                <w:sz w:val="22"/>
                <w:szCs w:val="22"/>
                <w:lang w:eastAsia="ja-JP"/>
              </w:rPr>
            </w:pPr>
            <w:r w:rsidRPr="00B73266">
              <w:rPr>
                <w:rFonts w:eastAsia="MS Mincho"/>
                <w:color w:val="000000"/>
                <w:sz w:val="22"/>
                <w:szCs w:val="22"/>
                <w:lang w:eastAsia="ja-JP"/>
              </w:rPr>
              <w:t>VII</w:t>
            </w:r>
          </w:p>
        </w:tc>
        <w:tc>
          <w:tcPr>
            <w:tcW w:w="658" w:type="pct"/>
            <w:tcBorders>
              <w:top w:val="nil"/>
              <w:left w:val="nil"/>
              <w:bottom w:val="nil"/>
              <w:right w:val="nil"/>
            </w:tcBorders>
            <w:shd w:val="clear" w:color="auto" w:fill="auto"/>
            <w:noWrap/>
            <w:vAlign w:val="center"/>
          </w:tcPr>
          <w:p w14:paraId="1EC02285"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4.8 (-1.4)</w:t>
            </w:r>
          </w:p>
        </w:tc>
        <w:tc>
          <w:tcPr>
            <w:tcW w:w="686" w:type="pct"/>
            <w:tcBorders>
              <w:top w:val="nil"/>
              <w:left w:val="nil"/>
              <w:bottom w:val="nil"/>
              <w:right w:val="nil"/>
            </w:tcBorders>
            <w:shd w:val="clear" w:color="auto" w:fill="auto"/>
            <w:noWrap/>
            <w:vAlign w:val="center"/>
          </w:tcPr>
          <w:p w14:paraId="1EC02286"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46.8 (1.5)</w:t>
            </w:r>
          </w:p>
        </w:tc>
        <w:tc>
          <w:tcPr>
            <w:tcW w:w="729" w:type="pct"/>
            <w:tcBorders>
              <w:top w:val="nil"/>
              <w:left w:val="nil"/>
              <w:bottom w:val="nil"/>
              <w:right w:val="nil"/>
            </w:tcBorders>
            <w:shd w:val="clear" w:color="auto" w:fill="auto"/>
            <w:noWrap/>
            <w:vAlign w:val="center"/>
          </w:tcPr>
          <w:p w14:paraId="1EC02287"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27.7 (-2.3)</w:t>
            </w:r>
          </w:p>
        </w:tc>
        <w:tc>
          <w:tcPr>
            <w:tcW w:w="720" w:type="pct"/>
            <w:tcBorders>
              <w:top w:val="nil"/>
              <w:left w:val="nil"/>
              <w:bottom w:val="nil"/>
              <w:right w:val="nil"/>
            </w:tcBorders>
            <w:shd w:val="clear" w:color="auto" w:fill="auto"/>
            <w:noWrap/>
            <w:vAlign w:val="center"/>
          </w:tcPr>
          <w:p w14:paraId="1EC02288" w14:textId="77777777" w:rsidR="00B73266" w:rsidRPr="00B73266" w:rsidRDefault="00B73266" w:rsidP="00884EA8">
            <w:pPr>
              <w:spacing w:line="240" w:lineRule="auto"/>
              <w:rPr>
                <w:color w:val="000000"/>
                <w:sz w:val="22"/>
                <w:szCs w:val="22"/>
                <w:lang w:eastAsia="ja-JP"/>
              </w:rPr>
            </w:pPr>
            <w:r w:rsidRPr="00B73266">
              <w:rPr>
                <w:rFonts w:eastAsia="MS Mincho"/>
                <w:color w:val="000000"/>
                <w:sz w:val="22"/>
                <w:szCs w:val="22"/>
                <w:lang w:eastAsia="ja-JP"/>
              </w:rPr>
              <w:t>20.7 (2)</w:t>
            </w:r>
          </w:p>
        </w:tc>
        <w:tc>
          <w:tcPr>
            <w:tcW w:w="382" w:type="pct"/>
            <w:tcBorders>
              <w:top w:val="nil"/>
              <w:left w:val="nil"/>
              <w:bottom w:val="nil"/>
              <w:right w:val="nil"/>
            </w:tcBorders>
            <w:shd w:val="clear" w:color="auto" w:fill="auto"/>
            <w:noWrap/>
            <w:vAlign w:val="center"/>
          </w:tcPr>
          <w:p w14:paraId="1EC02289" w14:textId="77777777" w:rsidR="00B73266" w:rsidRPr="00B73266" w:rsidRDefault="00B73266" w:rsidP="00884EA8">
            <w:pPr>
              <w:spacing w:line="240" w:lineRule="auto"/>
              <w:jc w:val="center"/>
              <w:rPr>
                <w:color w:val="000000"/>
                <w:sz w:val="22"/>
                <w:szCs w:val="22"/>
                <w:lang w:eastAsia="ja-JP"/>
              </w:rPr>
            </w:pPr>
            <w:r w:rsidRPr="00B73266">
              <w:rPr>
                <w:rFonts w:eastAsia="MS Mincho"/>
                <w:color w:val="000000"/>
                <w:sz w:val="22"/>
                <w:szCs w:val="22"/>
                <w:lang w:eastAsia="ja-JP"/>
              </w:rPr>
              <w:t>188</w:t>
            </w:r>
          </w:p>
        </w:tc>
      </w:tr>
      <w:tr w:rsidR="00B73266" w:rsidRPr="00B73266" w14:paraId="1EC0228C" w14:textId="77777777" w:rsidTr="00F46CC4">
        <w:trPr>
          <w:trHeight w:val="20"/>
          <w:tblHeader/>
        </w:trPr>
        <w:tc>
          <w:tcPr>
            <w:tcW w:w="5000" w:type="pct"/>
            <w:gridSpan w:val="6"/>
            <w:tcBorders>
              <w:left w:val="nil"/>
              <w:right w:val="nil"/>
            </w:tcBorders>
            <w:shd w:val="clear" w:color="auto" w:fill="auto"/>
            <w:noWrap/>
            <w:vAlign w:val="center"/>
          </w:tcPr>
          <w:p w14:paraId="1EC0228B"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Time spent in the UK: χ</w:t>
            </w:r>
            <w:r w:rsidRPr="00B73266">
              <w:rPr>
                <w:color w:val="000000"/>
                <w:sz w:val="22"/>
                <w:szCs w:val="22"/>
                <w:vertAlign w:val="superscript"/>
                <w:lang w:eastAsia="ja-JP"/>
              </w:rPr>
              <w:t>2</w:t>
            </w:r>
            <w:r w:rsidRPr="00B73266">
              <w:rPr>
                <w:color w:val="000000"/>
                <w:sz w:val="22"/>
                <w:szCs w:val="22"/>
                <w:lang w:eastAsia="ja-JP"/>
              </w:rPr>
              <w:t>=8.45 (6, N=817), p=0.207</w:t>
            </w:r>
          </w:p>
        </w:tc>
      </w:tr>
      <w:tr w:rsidR="00B73266" w:rsidRPr="00B73266" w14:paraId="1EC02293" w14:textId="77777777" w:rsidTr="00F46CC4">
        <w:trPr>
          <w:trHeight w:val="20"/>
          <w:tblHeader/>
        </w:trPr>
        <w:tc>
          <w:tcPr>
            <w:tcW w:w="1825" w:type="pct"/>
            <w:tcBorders>
              <w:left w:val="nil"/>
              <w:bottom w:val="nil"/>
              <w:right w:val="nil"/>
            </w:tcBorders>
            <w:shd w:val="clear" w:color="auto" w:fill="auto"/>
            <w:noWrap/>
            <w:vAlign w:val="center"/>
            <w:hideMark/>
          </w:tcPr>
          <w:p w14:paraId="1EC0228D"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Less than 5</w:t>
            </w:r>
          </w:p>
        </w:tc>
        <w:tc>
          <w:tcPr>
            <w:tcW w:w="658" w:type="pct"/>
            <w:tcBorders>
              <w:left w:val="nil"/>
              <w:bottom w:val="nil"/>
              <w:right w:val="nil"/>
            </w:tcBorders>
            <w:shd w:val="clear" w:color="auto" w:fill="auto"/>
            <w:noWrap/>
            <w:vAlign w:val="center"/>
            <w:hideMark/>
          </w:tcPr>
          <w:p w14:paraId="1EC0228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 (1.1)</w:t>
            </w:r>
          </w:p>
        </w:tc>
        <w:tc>
          <w:tcPr>
            <w:tcW w:w="686" w:type="pct"/>
            <w:tcBorders>
              <w:left w:val="nil"/>
              <w:bottom w:val="nil"/>
              <w:right w:val="nil"/>
            </w:tcBorders>
            <w:shd w:val="clear" w:color="auto" w:fill="auto"/>
            <w:noWrap/>
            <w:vAlign w:val="center"/>
            <w:hideMark/>
          </w:tcPr>
          <w:p w14:paraId="1EC0228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46 (1.2)</w:t>
            </w:r>
          </w:p>
        </w:tc>
        <w:tc>
          <w:tcPr>
            <w:tcW w:w="729" w:type="pct"/>
            <w:tcBorders>
              <w:left w:val="nil"/>
              <w:bottom w:val="nil"/>
              <w:right w:val="nil"/>
            </w:tcBorders>
            <w:shd w:val="clear" w:color="auto" w:fill="auto"/>
            <w:noWrap/>
            <w:vAlign w:val="center"/>
            <w:hideMark/>
          </w:tcPr>
          <w:p w14:paraId="1EC0229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30.8 (-1.4)</w:t>
            </w:r>
          </w:p>
        </w:tc>
        <w:tc>
          <w:tcPr>
            <w:tcW w:w="720" w:type="pct"/>
            <w:tcBorders>
              <w:left w:val="nil"/>
              <w:bottom w:val="nil"/>
              <w:right w:val="nil"/>
            </w:tcBorders>
            <w:shd w:val="clear" w:color="auto" w:fill="auto"/>
            <w:noWrap/>
            <w:vAlign w:val="center"/>
            <w:hideMark/>
          </w:tcPr>
          <w:p w14:paraId="1EC0229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15.2 (-0.5)</w:t>
            </w:r>
          </w:p>
        </w:tc>
        <w:tc>
          <w:tcPr>
            <w:tcW w:w="382" w:type="pct"/>
            <w:tcBorders>
              <w:left w:val="nil"/>
              <w:bottom w:val="nil"/>
              <w:right w:val="nil"/>
            </w:tcBorders>
            <w:shd w:val="clear" w:color="auto" w:fill="auto"/>
            <w:noWrap/>
            <w:vAlign w:val="center"/>
            <w:hideMark/>
          </w:tcPr>
          <w:p w14:paraId="1EC02292"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263</w:t>
            </w:r>
          </w:p>
        </w:tc>
      </w:tr>
      <w:tr w:rsidR="00B73266" w:rsidRPr="00B73266" w14:paraId="1EC0229A"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94"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5 to 10</w:t>
            </w:r>
          </w:p>
        </w:tc>
        <w:tc>
          <w:tcPr>
            <w:tcW w:w="658" w:type="pct"/>
            <w:tcBorders>
              <w:top w:val="nil"/>
              <w:left w:val="nil"/>
              <w:bottom w:val="nil"/>
              <w:right w:val="nil"/>
            </w:tcBorders>
            <w:shd w:val="clear" w:color="auto" w:fill="auto"/>
            <w:noWrap/>
            <w:vAlign w:val="center"/>
            <w:hideMark/>
          </w:tcPr>
          <w:p w14:paraId="1EC0229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5.7 (-1)</w:t>
            </w:r>
          </w:p>
        </w:tc>
        <w:tc>
          <w:tcPr>
            <w:tcW w:w="686" w:type="pct"/>
            <w:tcBorders>
              <w:top w:val="nil"/>
              <w:left w:val="nil"/>
              <w:bottom w:val="nil"/>
              <w:right w:val="nil"/>
            </w:tcBorders>
            <w:shd w:val="clear" w:color="auto" w:fill="auto"/>
            <w:noWrap/>
            <w:vAlign w:val="center"/>
            <w:hideMark/>
          </w:tcPr>
          <w:p w14:paraId="1EC0229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43.8 (0.4)</w:t>
            </w:r>
          </w:p>
        </w:tc>
        <w:tc>
          <w:tcPr>
            <w:tcW w:w="729" w:type="pct"/>
            <w:tcBorders>
              <w:top w:val="nil"/>
              <w:left w:val="nil"/>
              <w:bottom w:val="nil"/>
              <w:right w:val="nil"/>
            </w:tcBorders>
            <w:shd w:val="clear" w:color="auto" w:fill="auto"/>
            <w:noWrap/>
            <w:vAlign w:val="center"/>
            <w:hideMark/>
          </w:tcPr>
          <w:p w14:paraId="1EC0229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33.2 (-0.6)</w:t>
            </w:r>
          </w:p>
        </w:tc>
        <w:tc>
          <w:tcPr>
            <w:tcW w:w="720" w:type="pct"/>
            <w:tcBorders>
              <w:top w:val="nil"/>
              <w:left w:val="nil"/>
              <w:bottom w:val="nil"/>
              <w:right w:val="nil"/>
            </w:tcBorders>
            <w:shd w:val="clear" w:color="auto" w:fill="auto"/>
            <w:noWrap/>
            <w:vAlign w:val="center"/>
            <w:hideMark/>
          </w:tcPr>
          <w:p w14:paraId="1EC0229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17.4 (0.9)</w:t>
            </w:r>
          </w:p>
        </w:tc>
        <w:tc>
          <w:tcPr>
            <w:tcW w:w="382" w:type="pct"/>
            <w:tcBorders>
              <w:top w:val="nil"/>
              <w:left w:val="nil"/>
              <w:bottom w:val="nil"/>
              <w:right w:val="nil"/>
            </w:tcBorders>
            <w:shd w:val="clear" w:color="auto" w:fill="auto"/>
            <w:noWrap/>
            <w:vAlign w:val="center"/>
            <w:hideMark/>
          </w:tcPr>
          <w:p w14:paraId="1EC02299"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386</w:t>
            </w:r>
          </w:p>
        </w:tc>
      </w:tr>
      <w:tr w:rsidR="00B73266" w:rsidRPr="00B73266" w14:paraId="1EC022A1" w14:textId="77777777" w:rsidTr="00F46CC4">
        <w:trPr>
          <w:trHeight w:val="20"/>
          <w:tblHeader/>
        </w:trPr>
        <w:tc>
          <w:tcPr>
            <w:tcW w:w="1825" w:type="pct"/>
            <w:tcBorders>
              <w:top w:val="nil"/>
              <w:left w:val="nil"/>
              <w:bottom w:val="single" w:sz="8" w:space="0" w:color="auto"/>
              <w:right w:val="nil"/>
            </w:tcBorders>
            <w:shd w:val="clear" w:color="auto" w:fill="auto"/>
            <w:noWrap/>
            <w:vAlign w:val="center"/>
            <w:hideMark/>
          </w:tcPr>
          <w:p w14:paraId="1EC0229B"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More than 10</w:t>
            </w:r>
          </w:p>
        </w:tc>
        <w:tc>
          <w:tcPr>
            <w:tcW w:w="658" w:type="pct"/>
            <w:tcBorders>
              <w:top w:val="nil"/>
              <w:left w:val="nil"/>
              <w:bottom w:val="single" w:sz="8" w:space="0" w:color="auto"/>
              <w:right w:val="nil"/>
            </w:tcBorders>
            <w:shd w:val="clear" w:color="auto" w:fill="auto"/>
            <w:noWrap/>
            <w:vAlign w:val="center"/>
            <w:hideMark/>
          </w:tcPr>
          <w:p w14:paraId="1EC0229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6.5 (0)</w:t>
            </w:r>
          </w:p>
        </w:tc>
        <w:tc>
          <w:tcPr>
            <w:tcW w:w="686" w:type="pct"/>
            <w:tcBorders>
              <w:top w:val="nil"/>
              <w:left w:val="nil"/>
              <w:bottom w:val="single" w:sz="8" w:space="0" w:color="auto"/>
              <w:right w:val="nil"/>
            </w:tcBorders>
            <w:shd w:val="clear" w:color="auto" w:fill="auto"/>
            <w:noWrap/>
            <w:vAlign w:val="center"/>
            <w:hideMark/>
          </w:tcPr>
          <w:p w14:paraId="1EC0229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36.3 (-2)</w:t>
            </w:r>
          </w:p>
        </w:tc>
        <w:tc>
          <w:tcPr>
            <w:tcW w:w="729" w:type="pct"/>
            <w:tcBorders>
              <w:top w:val="nil"/>
              <w:left w:val="nil"/>
              <w:bottom w:val="single" w:sz="8" w:space="0" w:color="auto"/>
              <w:right w:val="nil"/>
            </w:tcBorders>
            <w:shd w:val="clear" w:color="auto" w:fill="auto"/>
            <w:noWrap/>
            <w:vAlign w:val="center"/>
            <w:hideMark/>
          </w:tcPr>
          <w:p w14:paraId="1EC0229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42.3 (2.4)</w:t>
            </w:r>
          </w:p>
        </w:tc>
        <w:tc>
          <w:tcPr>
            <w:tcW w:w="720" w:type="pct"/>
            <w:tcBorders>
              <w:top w:val="nil"/>
              <w:left w:val="nil"/>
              <w:bottom w:val="single" w:sz="8" w:space="0" w:color="auto"/>
              <w:right w:val="nil"/>
            </w:tcBorders>
            <w:shd w:val="clear" w:color="auto" w:fill="auto"/>
            <w:noWrap/>
            <w:vAlign w:val="center"/>
            <w:hideMark/>
          </w:tcPr>
          <w:p w14:paraId="1EC0229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14.9 (-0.5)</w:t>
            </w:r>
          </w:p>
        </w:tc>
        <w:tc>
          <w:tcPr>
            <w:tcW w:w="382" w:type="pct"/>
            <w:tcBorders>
              <w:top w:val="nil"/>
              <w:left w:val="nil"/>
              <w:bottom w:val="single" w:sz="8" w:space="0" w:color="auto"/>
              <w:right w:val="nil"/>
            </w:tcBorders>
            <w:shd w:val="clear" w:color="auto" w:fill="auto"/>
            <w:noWrap/>
            <w:vAlign w:val="center"/>
            <w:hideMark/>
          </w:tcPr>
          <w:p w14:paraId="1EC022A0"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168</w:t>
            </w:r>
          </w:p>
        </w:tc>
      </w:tr>
      <w:tr w:rsidR="00B73266" w:rsidRPr="00B73266" w14:paraId="1EC022A3" w14:textId="77777777" w:rsidTr="00F46CC4">
        <w:trPr>
          <w:trHeight w:val="20"/>
          <w:tblHeader/>
        </w:trPr>
        <w:tc>
          <w:tcPr>
            <w:tcW w:w="5000" w:type="pct"/>
            <w:gridSpan w:val="6"/>
            <w:tcBorders>
              <w:top w:val="single" w:sz="8" w:space="0" w:color="auto"/>
              <w:left w:val="nil"/>
              <w:right w:val="nil"/>
            </w:tcBorders>
            <w:shd w:val="clear" w:color="auto" w:fill="auto"/>
            <w:noWrap/>
            <w:vAlign w:val="center"/>
          </w:tcPr>
          <w:p w14:paraId="1EC022A2"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Relationship status: χ</w:t>
            </w:r>
            <w:r w:rsidRPr="00B73266">
              <w:rPr>
                <w:color w:val="000000"/>
                <w:sz w:val="22"/>
                <w:szCs w:val="22"/>
                <w:vertAlign w:val="superscript"/>
                <w:lang w:eastAsia="ja-JP"/>
              </w:rPr>
              <w:t>2</w:t>
            </w:r>
            <w:r w:rsidRPr="00B73266">
              <w:rPr>
                <w:color w:val="000000"/>
                <w:sz w:val="22"/>
                <w:szCs w:val="22"/>
                <w:lang w:eastAsia="ja-JP"/>
              </w:rPr>
              <w:t>=11.199 (6, N=799), p=0.082</w:t>
            </w:r>
          </w:p>
        </w:tc>
      </w:tr>
      <w:tr w:rsidR="00B73266" w:rsidRPr="00B73266" w14:paraId="1EC022AA" w14:textId="77777777" w:rsidTr="00F46CC4">
        <w:trPr>
          <w:trHeight w:val="20"/>
          <w:tblHeader/>
        </w:trPr>
        <w:tc>
          <w:tcPr>
            <w:tcW w:w="1825" w:type="pct"/>
            <w:tcBorders>
              <w:left w:val="nil"/>
              <w:bottom w:val="nil"/>
              <w:right w:val="nil"/>
            </w:tcBorders>
            <w:shd w:val="clear" w:color="auto" w:fill="auto"/>
            <w:noWrap/>
            <w:vAlign w:val="center"/>
            <w:hideMark/>
          </w:tcPr>
          <w:p w14:paraId="1EC022A4"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Single</w:t>
            </w:r>
          </w:p>
        </w:tc>
        <w:tc>
          <w:tcPr>
            <w:tcW w:w="658" w:type="pct"/>
            <w:tcBorders>
              <w:left w:val="nil"/>
              <w:bottom w:val="nil"/>
              <w:right w:val="nil"/>
            </w:tcBorders>
            <w:shd w:val="clear" w:color="auto" w:fill="auto"/>
            <w:noWrap/>
            <w:vAlign w:val="center"/>
            <w:hideMark/>
          </w:tcPr>
          <w:p w14:paraId="1EC022A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8.9 (2)</w:t>
            </w:r>
          </w:p>
        </w:tc>
        <w:tc>
          <w:tcPr>
            <w:tcW w:w="686" w:type="pct"/>
            <w:tcBorders>
              <w:left w:val="nil"/>
              <w:bottom w:val="nil"/>
              <w:right w:val="nil"/>
            </w:tcBorders>
            <w:shd w:val="clear" w:color="auto" w:fill="auto"/>
            <w:noWrap/>
            <w:vAlign w:val="center"/>
            <w:hideMark/>
          </w:tcPr>
          <w:p w14:paraId="1EC022A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44.6 (0.6)</w:t>
            </w:r>
          </w:p>
        </w:tc>
        <w:tc>
          <w:tcPr>
            <w:tcW w:w="729" w:type="pct"/>
            <w:tcBorders>
              <w:left w:val="nil"/>
              <w:bottom w:val="nil"/>
              <w:right w:val="nil"/>
            </w:tcBorders>
            <w:shd w:val="clear" w:color="auto" w:fill="auto"/>
            <w:noWrap/>
            <w:vAlign w:val="center"/>
            <w:hideMark/>
          </w:tcPr>
          <w:p w14:paraId="1EC022A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33.3 (-0.5)</w:t>
            </w:r>
          </w:p>
        </w:tc>
        <w:tc>
          <w:tcPr>
            <w:tcW w:w="720" w:type="pct"/>
            <w:tcBorders>
              <w:left w:val="nil"/>
              <w:bottom w:val="nil"/>
              <w:right w:val="nil"/>
            </w:tcBorders>
            <w:shd w:val="clear" w:color="auto" w:fill="auto"/>
            <w:noWrap/>
            <w:vAlign w:val="center"/>
            <w:hideMark/>
          </w:tcPr>
          <w:p w14:paraId="1EC022A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13.2 (-1.5)</w:t>
            </w:r>
          </w:p>
        </w:tc>
        <w:tc>
          <w:tcPr>
            <w:tcW w:w="382" w:type="pct"/>
            <w:tcBorders>
              <w:left w:val="nil"/>
              <w:bottom w:val="nil"/>
              <w:right w:val="nil"/>
            </w:tcBorders>
            <w:shd w:val="clear" w:color="auto" w:fill="auto"/>
            <w:noWrap/>
            <w:vAlign w:val="center"/>
            <w:hideMark/>
          </w:tcPr>
          <w:p w14:paraId="1EC022A9"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258</w:t>
            </w:r>
          </w:p>
        </w:tc>
      </w:tr>
      <w:tr w:rsidR="00B73266" w:rsidRPr="00B73266" w14:paraId="1EC022B1"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AB"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Married/civil partnership</w:t>
            </w:r>
          </w:p>
        </w:tc>
        <w:tc>
          <w:tcPr>
            <w:tcW w:w="658" w:type="pct"/>
            <w:tcBorders>
              <w:top w:val="nil"/>
              <w:left w:val="nil"/>
              <w:bottom w:val="nil"/>
              <w:right w:val="nil"/>
            </w:tcBorders>
            <w:shd w:val="clear" w:color="auto" w:fill="auto"/>
            <w:noWrap/>
            <w:vAlign w:val="center"/>
            <w:hideMark/>
          </w:tcPr>
          <w:p w14:paraId="1EC022A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4.8 (-1.9)</w:t>
            </w:r>
          </w:p>
        </w:tc>
        <w:tc>
          <w:tcPr>
            <w:tcW w:w="686" w:type="pct"/>
            <w:tcBorders>
              <w:top w:val="nil"/>
              <w:left w:val="nil"/>
              <w:bottom w:val="nil"/>
              <w:right w:val="nil"/>
            </w:tcBorders>
            <w:shd w:val="clear" w:color="auto" w:fill="auto"/>
            <w:noWrap/>
            <w:vAlign w:val="center"/>
            <w:hideMark/>
          </w:tcPr>
          <w:p w14:paraId="1EC022A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44.7 (1)</w:t>
            </w:r>
          </w:p>
        </w:tc>
        <w:tc>
          <w:tcPr>
            <w:tcW w:w="729" w:type="pct"/>
            <w:tcBorders>
              <w:top w:val="nil"/>
              <w:left w:val="nil"/>
              <w:bottom w:val="nil"/>
              <w:right w:val="nil"/>
            </w:tcBorders>
            <w:shd w:val="clear" w:color="auto" w:fill="auto"/>
            <w:noWrap/>
            <w:vAlign w:val="center"/>
            <w:hideMark/>
          </w:tcPr>
          <w:p w14:paraId="1EC022A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33.3 (-0.8)</w:t>
            </w:r>
          </w:p>
        </w:tc>
        <w:tc>
          <w:tcPr>
            <w:tcW w:w="720" w:type="pct"/>
            <w:tcBorders>
              <w:top w:val="nil"/>
              <w:left w:val="nil"/>
              <w:bottom w:val="nil"/>
              <w:right w:val="nil"/>
            </w:tcBorders>
            <w:shd w:val="clear" w:color="auto" w:fill="auto"/>
            <w:noWrap/>
            <w:vAlign w:val="center"/>
            <w:hideMark/>
          </w:tcPr>
          <w:p w14:paraId="1EC022A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17.1 (0.9)</w:t>
            </w:r>
          </w:p>
        </w:tc>
        <w:tc>
          <w:tcPr>
            <w:tcW w:w="382" w:type="pct"/>
            <w:tcBorders>
              <w:top w:val="nil"/>
              <w:left w:val="nil"/>
              <w:bottom w:val="nil"/>
              <w:right w:val="nil"/>
            </w:tcBorders>
            <w:shd w:val="clear" w:color="auto" w:fill="auto"/>
            <w:noWrap/>
            <w:vAlign w:val="center"/>
            <w:hideMark/>
          </w:tcPr>
          <w:p w14:paraId="1EC022B0"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414</w:t>
            </w:r>
          </w:p>
        </w:tc>
      </w:tr>
      <w:tr w:rsidR="00B73266" w:rsidRPr="00B73266" w14:paraId="1EC022B8" w14:textId="77777777" w:rsidTr="00F46CC4">
        <w:trPr>
          <w:trHeight w:val="20"/>
          <w:tblHeader/>
        </w:trPr>
        <w:tc>
          <w:tcPr>
            <w:tcW w:w="1825" w:type="pct"/>
            <w:tcBorders>
              <w:top w:val="nil"/>
              <w:left w:val="nil"/>
              <w:right w:val="nil"/>
            </w:tcBorders>
            <w:shd w:val="clear" w:color="auto" w:fill="auto"/>
            <w:noWrap/>
            <w:vAlign w:val="center"/>
            <w:hideMark/>
          </w:tcPr>
          <w:p w14:paraId="1EC022B2"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In long-term relationship</w:t>
            </w:r>
          </w:p>
        </w:tc>
        <w:tc>
          <w:tcPr>
            <w:tcW w:w="658" w:type="pct"/>
            <w:tcBorders>
              <w:top w:val="nil"/>
              <w:left w:val="nil"/>
              <w:right w:val="nil"/>
            </w:tcBorders>
            <w:shd w:val="clear" w:color="auto" w:fill="auto"/>
            <w:noWrap/>
            <w:vAlign w:val="center"/>
            <w:hideMark/>
          </w:tcPr>
          <w:p w14:paraId="1EC022B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6.3 (0)</w:t>
            </w:r>
          </w:p>
        </w:tc>
        <w:tc>
          <w:tcPr>
            <w:tcW w:w="686" w:type="pct"/>
            <w:tcBorders>
              <w:top w:val="nil"/>
              <w:left w:val="nil"/>
              <w:right w:val="nil"/>
            </w:tcBorders>
            <w:shd w:val="clear" w:color="auto" w:fill="auto"/>
            <w:noWrap/>
            <w:vAlign w:val="center"/>
            <w:hideMark/>
          </w:tcPr>
          <w:p w14:paraId="1EC022B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33.9 (-2.3)</w:t>
            </w:r>
          </w:p>
        </w:tc>
        <w:tc>
          <w:tcPr>
            <w:tcW w:w="729" w:type="pct"/>
            <w:tcBorders>
              <w:top w:val="nil"/>
              <w:left w:val="nil"/>
              <w:right w:val="nil"/>
            </w:tcBorders>
            <w:shd w:val="clear" w:color="auto" w:fill="auto"/>
            <w:noWrap/>
            <w:vAlign w:val="center"/>
            <w:hideMark/>
          </w:tcPr>
          <w:p w14:paraId="1EC022B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41.7 (1.8)</w:t>
            </w:r>
          </w:p>
        </w:tc>
        <w:tc>
          <w:tcPr>
            <w:tcW w:w="720" w:type="pct"/>
            <w:tcBorders>
              <w:top w:val="nil"/>
              <w:left w:val="nil"/>
              <w:right w:val="nil"/>
            </w:tcBorders>
            <w:shd w:val="clear" w:color="auto" w:fill="auto"/>
            <w:noWrap/>
            <w:vAlign w:val="center"/>
            <w:hideMark/>
          </w:tcPr>
          <w:p w14:paraId="1EC022B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18.1 (0.7)</w:t>
            </w:r>
          </w:p>
        </w:tc>
        <w:tc>
          <w:tcPr>
            <w:tcW w:w="382" w:type="pct"/>
            <w:tcBorders>
              <w:top w:val="nil"/>
              <w:left w:val="nil"/>
              <w:right w:val="nil"/>
            </w:tcBorders>
            <w:shd w:val="clear" w:color="auto" w:fill="auto"/>
            <w:noWrap/>
            <w:vAlign w:val="center"/>
            <w:hideMark/>
          </w:tcPr>
          <w:p w14:paraId="1EC022B7"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127</w:t>
            </w:r>
          </w:p>
        </w:tc>
      </w:tr>
      <w:tr w:rsidR="00B73266" w:rsidRPr="00B73266" w14:paraId="1EC022BA" w14:textId="77777777" w:rsidTr="00F46CC4">
        <w:trPr>
          <w:trHeight w:val="20"/>
          <w:tblHeader/>
        </w:trPr>
        <w:tc>
          <w:tcPr>
            <w:tcW w:w="5000" w:type="pct"/>
            <w:gridSpan w:val="6"/>
            <w:tcBorders>
              <w:left w:val="nil"/>
              <w:right w:val="nil"/>
            </w:tcBorders>
            <w:shd w:val="clear" w:color="auto" w:fill="auto"/>
            <w:noWrap/>
            <w:vAlign w:val="center"/>
          </w:tcPr>
          <w:p w14:paraId="1EC022B9"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Partner’s economic activity: χ</w:t>
            </w:r>
            <w:r w:rsidRPr="00B73266">
              <w:rPr>
                <w:color w:val="000000"/>
                <w:sz w:val="22"/>
                <w:szCs w:val="22"/>
                <w:vertAlign w:val="superscript"/>
                <w:lang w:eastAsia="ja-JP"/>
              </w:rPr>
              <w:t>2</w:t>
            </w:r>
            <w:r w:rsidRPr="00B73266">
              <w:rPr>
                <w:color w:val="000000"/>
                <w:sz w:val="22"/>
                <w:szCs w:val="22"/>
                <w:lang w:eastAsia="ja-JP"/>
              </w:rPr>
              <w:t>=6.676 (6, N=767), p=0.352</w:t>
            </w:r>
          </w:p>
        </w:tc>
      </w:tr>
      <w:tr w:rsidR="00B73266" w:rsidRPr="00B73266" w14:paraId="1EC022C1" w14:textId="77777777" w:rsidTr="00F46CC4">
        <w:trPr>
          <w:trHeight w:val="20"/>
          <w:tblHeader/>
        </w:trPr>
        <w:tc>
          <w:tcPr>
            <w:tcW w:w="1825" w:type="pct"/>
            <w:tcBorders>
              <w:left w:val="nil"/>
              <w:bottom w:val="nil"/>
              <w:right w:val="nil"/>
            </w:tcBorders>
            <w:shd w:val="clear" w:color="auto" w:fill="auto"/>
            <w:noWrap/>
            <w:vAlign w:val="center"/>
            <w:hideMark/>
          </w:tcPr>
          <w:p w14:paraId="1EC022BB"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Single (respondent)</w:t>
            </w:r>
          </w:p>
        </w:tc>
        <w:tc>
          <w:tcPr>
            <w:tcW w:w="658" w:type="pct"/>
            <w:tcBorders>
              <w:left w:val="nil"/>
              <w:bottom w:val="nil"/>
              <w:right w:val="nil"/>
            </w:tcBorders>
            <w:shd w:val="clear" w:color="auto" w:fill="auto"/>
            <w:noWrap/>
            <w:vAlign w:val="center"/>
            <w:hideMark/>
          </w:tcPr>
          <w:p w14:paraId="1EC022B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9 (2.1)</w:t>
            </w:r>
          </w:p>
        </w:tc>
        <w:tc>
          <w:tcPr>
            <w:tcW w:w="686" w:type="pct"/>
            <w:tcBorders>
              <w:left w:val="nil"/>
              <w:bottom w:val="nil"/>
              <w:right w:val="nil"/>
            </w:tcBorders>
            <w:shd w:val="clear" w:color="auto" w:fill="auto"/>
            <w:noWrap/>
            <w:vAlign w:val="center"/>
            <w:hideMark/>
          </w:tcPr>
          <w:p w14:paraId="1EC022B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44.1 (0.5)</w:t>
            </w:r>
          </w:p>
        </w:tc>
        <w:tc>
          <w:tcPr>
            <w:tcW w:w="729" w:type="pct"/>
            <w:tcBorders>
              <w:left w:val="nil"/>
              <w:bottom w:val="nil"/>
              <w:right w:val="nil"/>
            </w:tcBorders>
            <w:shd w:val="clear" w:color="auto" w:fill="auto"/>
            <w:noWrap/>
            <w:vAlign w:val="center"/>
            <w:hideMark/>
          </w:tcPr>
          <w:p w14:paraId="1EC022B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33.6 (-0.4)</w:t>
            </w:r>
          </w:p>
        </w:tc>
        <w:tc>
          <w:tcPr>
            <w:tcW w:w="720" w:type="pct"/>
            <w:tcBorders>
              <w:left w:val="nil"/>
              <w:bottom w:val="nil"/>
              <w:right w:val="nil"/>
            </w:tcBorders>
            <w:shd w:val="clear" w:color="auto" w:fill="auto"/>
            <w:noWrap/>
            <w:vAlign w:val="center"/>
            <w:hideMark/>
          </w:tcPr>
          <w:p w14:paraId="1EC022BF"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13.3 (-1.5)</w:t>
            </w:r>
          </w:p>
        </w:tc>
        <w:tc>
          <w:tcPr>
            <w:tcW w:w="382" w:type="pct"/>
            <w:tcBorders>
              <w:left w:val="nil"/>
              <w:bottom w:val="nil"/>
              <w:right w:val="nil"/>
            </w:tcBorders>
            <w:shd w:val="clear" w:color="auto" w:fill="auto"/>
            <w:noWrap/>
            <w:vAlign w:val="center"/>
            <w:hideMark/>
          </w:tcPr>
          <w:p w14:paraId="1EC022C0"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256</w:t>
            </w:r>
          </w:p>
        </w:tc>
      </w:tr>
      <w:tr w:rsidR="00B73266" w:rsidRPr="00B73266" w14:paraId="1EC022C8"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C2"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Employed</w:t>
            </w:r>
          </w:p>
        </w:tc>
        <w:tc>
          <w:tcPr>
            <w:tcW w:w="658" w:type="pct"/>
            <w:tcBorders>
              <w:top w:val="nil"/>
              <w:left w:val="nil"/>
              <w:bottom w:val="nil"/>
              <w:right w:val="nil"/>
            </w:tcBorders>
            <w:shd w:val="clear" w:color="auto" w:fill="auto"/>
            <w:noWrap/>
            <w:vAlign w:val="center"/>
            <w:hideMark/>
          </w:tcPr>
          <w:p w14:paraId="1EC022C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4.9 (-2.1)</w:t>
            </w:r>
          </w:p>
        </w:tc>
        <w:tc>
          <w:tcPr>
            <w:tcW w:w="686" w:type="pct"/>
            <w:tcBorders>
              <w:top w:val="nil"/>
              <w:left w:val="nil"/>
              <w:bottom w:val="nil"/>
              <w:right w:val="nil"/>
            </w:tcBorders>
            <w:shd w:val="clear" w:color="auto" w:fill="auto"/>
            <w:noWrap/>
            <w:vAlign w:val="center"/>
            <w:hideMark/>
          </w:tcPr>
          <w:p w14:paraId="1EC022C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42 (-0.6)</w:t>
            </w:r>
          </w:p>
        </w:tc>
        <w:tc>
          <w:tcPr>
            <w:tcW w:w="729" w:type="pct"/>
            <w:tcBorders>
              <w:top w:val="nil"/>
              <w:left w:val="nil"/>
              <w:bottom w:val="nil"/>
              <w:right w:val="nil"/>
            </w:tcBorders>
            <w:shd w:val="clear" w:color="auto" w:fill="auto"/>
            <w:noWrap/>
            <w:vAlign w:val="center"/>
            <w:hideMark/>
          </w:tcPr>
          <w:p w14:paraId="1EC022C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35.6 (0.7)</w:t>
            </w:r>
          </w:p>
        </w:tc>
        <w:tc>
          <w:tcPr>
            <w:tcW w:w="720" w:type="pct"/>
            <w:tcBorders>
              <w:top w:val="nil"/>
              <w:left w:val="nil"/>
              <w:bottom w:val="nil"/>
              <w:right w:val="nil"/>
            </w:tcBorders>
            <w:shd w:val="clear" w:color="auto" w:fill="auto"/>
            <w:noWrap/>
            <w:vAlign w:val="center"/>
            <w:hideMark/>
          </w:tcPr>
          <w:p w14:paraId="1EC022C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17.5 (1.3)</w:t>
            </w:r>
          </w:p>
        </w:tc>
        <w:tc>
          <w:tcPr>
            <w:tcW w:w="382" w:type="pct"/>
            <w:tcBorders>
              <w:top w:val="nil"/>
              <w:left w:val="nil"/>
              <w:bottom w:val="nil"/>
              <w:right w:val="nil"/>
            </w:tcBorders>
            <w:shd w:val="clear" w:color="auto" w:fill="auto"/>
            <w:noWrap/>
            <w:vAlign w:val="center"/>
            <w:hideMark/>
          </w:tcPr>
          <w:p w14:paraId="1EC022C7"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452</w:t>
            </w:r>
          </w:p>
        </w:tc>
      </w:tr>
      <w:tr w:rsidR="00B73266" w:rsidRPr="00B73266" w14:paraId="1EC022CF" w14:textId="77777777" w:rsidTr="00F46CC4">
        <w:trPr>
          <w:trHeight w:val="20"/>
          <w:tblHeader/>
        </w:trPr>
        <w:tc>
          <w:tcPr>
            <w:tcW w:w="1825" w:type="pct"/>
            <w:tcBorders>
              <w:top w:val="nil"/>
              <w:left w:val="nil"/>
              <w:right w:val="nil"/>
            </w:tcBorders>
            <w:shd w:val="clear" w:color="auto" w:fill="auto"/>
            <w:noWrap/>
            <w:vAlign w:val="center"/>
            <w:hideMark/>
          </w:tcPr>
          <w:p w14:paraId="1EC022C9"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Inactive</w:t>
            </w:r>
          </w:p>
        </w:tc>
        <w:tc>
          <w:tcPr>
            <w:tcW w:w="658" w:type="pct"/>
            <w:tcBorders>
              <w:top w:val="nil"/>
              <w:left w:val="nil"/>
              <w:right w:val="nil"/>
            </w:tcBorders>
            <w:shd w:val="clear" w:color="auto" w:fill="auto"/>
            <w:noWrap/>
            <w:vAlign w:val="center"/>
            <w:hideMark/>
          </w:tcPr>
          <w:p w14:paraId="1EC022C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6.8 (0.1)</w:t>
            </w:r>
          </w:p>
        </w:tc>
        <w:tc>
          <w:tcPr>
            <w:tcW w:w="686" w:type="pct"/>
            <w:tcBorders>
              <w:top w:val="nil"/>
              <w:left w:val="nil"/>
              <w:right w:val="nil"/>
            </w:tcBorders>
            <w:shd w:val="clear" w:color="auto" w:fill="auto"/>
            <w:noWrap/>
            <w:vAlign w:val="center"/>
            <w:hideMark/>
          </w:tcPr>
          <w:p w14:paraId="1EC022C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44.1 (0.2)</w:t>
            </w:r>
          </w:p>
        </w:tc>
        <w:tc>
          <w:tcPr>
            <w:tcW w:w="729" w:type="pct"/>
            <w:tcBorders>
              <w:top w:val="nil"/>
              <w:left w:val="nil"/>
              <w:right w:val="nil"/>
            </w:tcBorders>
            <w:shd w:val="clear" w:color="auto" w:fill="auto"/>
            <w:noWrap/>
            <w:vAlign w:val="center"/>
            <w:hideMark/>
          </w:tcPr>
          <w:p w14:paraId="1EC022C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32.2 (-0.4)</w:t>
            </w:r>
          </w:p>
        </w:tc>
        <w:tc>
          <w:tcPr>
            <w:tcW w:w="720" w:type="pct"/>
            <w:tcBorders>
              <w:top w:val="nil"/>
              <w:left w:val="nil"/>
              <w:right w:val="nil"/>
            </w:tcBorders>
            <w:shd w:val="clear" w:color="auto" w:fill="auto"/>
            <w:noWrap/>
            <w:vAlign w:val="center"/>
            <w:hideMark/>
          </w:tcPr>
          <w:p w14:paraId="1EC022C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16.9 (0.2)</w:t>
            </w:r>
          </w:p>
        </w:tc>
        <w:tc>
          <w:tcPr>
            <w:tcW w:w="382" w:type="pct"/>
            <w:tcBorders>
              <w:top w:val="nil"/>
              <w:left w:val="nil"/>
              <w:right w:val="nil"/>
            </w:tcBorders>
            <w:shd w:val="clear" w:color="auto" w:fill="auto"/>
            <w:noWrap/>
            <w:vAlign w:val="center"/>
            <w:hideMark/>
          </w:tcPr>
          <w:p w14:paraId="1EC022CE"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59</w:t>
            </w:r>
          </w:p>
        </w:tc>
      </w:tr>
      <w:tr w:rsidR="00B73266" w:rsidRPr="00B73266" w14:paraId="1EC022D1" w14:textId="77777777" w:rsidTr="00F46CC4">
        <w:trPr>
          <w:trHeight w:val="20"/>
          <w:tblHeader/>
        </w:trPr>
        <w:tc>
          <w:tcPr>
            <w:tcW w:w="5000" w:type="pct"/>
            <w:gridSpan w:val="6"/>
            <w:tcBorders>
              <w:left w:val="nil"/>
              <w:right w:val="nil"/>
            </w:tcBorders>
            <w:shd w:val="clear" w:color="auto" w:fill="auto"/>
            <w:noWrap/>
            <w:vAlign w:val="center"/>
          </w:tcPr>
          <w:p w14:paraId="1EC022D0"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Children: χ</w:t>
            </w:r>
            <w:r w:rsidRPr="00B73266">
              <w:rPr>
                <w:color w:val="000000"/>
                <w:sz w:val="22"/>
                <w:szCs w:val="22"/>
                <w:vertAlign w:val="superscript"/>
                <w:lang w:eastAsia="ja-JP"/>
              </w:rPr>
              <w:t>2</w:t>
            </w:r>
            <w:r w:rsidRPr="00B73266">
              <w:rPr>
                <w:color w:val="000000"/>
                <w:sz w:val="22"/>
                <w:szCs w:val="22"/>
                <w:lang w:eastAsia="ja-JP"/>
              </w:rPr>
              <w:t>=8.800 (6, N=805), p=0.185</w:t>
            </w:r>
          </w:p>
        </w:tc>
      </w:tr>
      <w:tr w:rsidR="00B73266" w:rsidRPr="00B73266" w14:paraId="1EC022D8" w14:textId="77777777" w:rsidTr="00F46CC4">
        <w:trPr>
          <w:trHeight w:val="20"/>
          <w:tblHeader/>
        </w:trPr>
        <w:tc>
          <w:tcPr>
            <w:tcW w:w="1825" w:type="pct"/>
            <w:tcBorders>
              <w:left w:val="nil"/>
              <w:bottom w:val="nil"/>
              <w:right w:val="nil"/>
            </w:tcBorders>
            <w:shd w:val="clear" w:color="auto" w:fill="auto"/>
            <w:noWrap/>
            <w:vAlign w:val="center"/>
            <w:hideMark/>
          </w:tcPr>
          <w:p w14:paraId="1EC022D2"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 children</w:t>
            </w:r>
          </w:p>
        </w:tc>
        <w:tc>
          <w:tcPr>
            <w:tcW w:w="658" w:type="pct"/>
            <w:tcBorders>
              <w:left w:val="nil"/>
              <w:bottom w:val="nil"/>
              <w:right w:val="nil"/>
            </w:tcBorders>
            <w:shd w:val="clear" w:color="auto" w:fill="auto"/>
            <w:noWrap/>
            <w:vAlign w:val="center"/>
            <w:hideMark/>
          </w:tcPr>
          <w:p w14:paraId="1EC022D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8.7 (2.2)</w:t>
            </w:r>
          </w:p>
        </w:tc>
        <w:tc>
          <w:tcPr>
            <w:tcW w:w="686" w:type="pct"/>
            <w:tcBorders>
              <w:left w:val="nil"/>
              <w:bottom w:val="nil"/>
              <w:right w:val="nil"/>
            </w:tcBorders>
            <w:shd w:val="clear" w:color="auto" w:fill="auto"/>
            <w:noWrap/>
            <w:vAlign w:val="center"/>
            <w:hideMark/>
          </w:tcPr>
          <w:p w14:paraId="1EC022D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41.7 (-0.4)</w:t>
            </w:r>
          </w:p>
        </w:tc>
        <w:tc>
          <w:tcPr>
            <w:tcW w:w="729" w:type="pct"/>
            <w:tcBorders>
              <w:left w:val="nil"/>
              <w:bottom w:val="nil"/>
              <w:right w:val="nil"/>
            </w:tcBorders>
            <w:shd w:val="clear" w:color="auto" w:fill="auto"/>
            <w:noWrap/>
            <w:vAlign w:val="center"/>
            <w:hideMark/>
          </w:tcPr>
          <w:p w14:paraId="1EC022D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34.5 (0)</w:t>
            </w:r>
          </w:p>
        </w:tc>
        <w:tc>
          <w:tcPr>
            <w:tcW w:w="720" w:type="pct"/>
            <w:tcBorders>
              <w:left w:val="nil"/>
              <w:bottom w:val="nil"/>
              <w:right w:val="nil"/>
            </w:tcBorders>
            <w:shd w:val="clear" w:color="auto" w:fill="auto"/>
            <w:noWrap/>
            <w:vAlign w:val="center"/>
            <w:hideMark/>
          </w:tcPr>
          <w:p w14:paraId="1EC022D6"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 (-1)</w:t>
            </w:r>
          </w:p>
        </w:tc>
        <w:tc>
          <w:tcPr>
            <w:tcW w:w="382" w:type="pct"/>
            <w:tcBorders>
              <w:left w:val="nil"/>
              <w:bottom w:val="nil"/>
              <w:right w:val="nil"/>
            </w:tcBorders>
            <w:shd w:val="clear" w:color="auto" w:fill="auto"/>
            <w:noWrap/>
            <w:vAlign w:val="center"/>
            <w:hideMark/>
          </w:tcPr>
          <w:p w14:paraId="1EC022D7"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333</w:t>
            </w:r>
          </w:p>
        </w:tc>
      </w:tr>
      <w:tr w:rsidR="00B73266" w:rsidRPr="00B73266" w14:paraId="1EC022DF"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2D9"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All in UK</w:t>
            </w:r>
          </w:p>
        </w:tc>
        <w:tc>
          <w:tcPr>
            <w:tcW w:w="658" w:type="pct"/>
            <w:tcBorders>
              <w:top w:val="nil"/>
              <w:left w:val="nil"/>
              <w:bottom w:val="nil"/>
              <w:right w:val="nil"/>
            </w:tcBorders>
            <w:shd w:val="clear" w:color="auto" w:fill="auto"/>
            <w:noWrap/>
            <w:vAlign w:val="center"/>
            <w:hideMark/>
          </w:tcPr>
          <w:p w14:paraId="1EC022D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5.2 (-1.7)</w:t>
            </w:r>
          </w:p>
        </w:tc>
        <w:tc>
          <w:tcPr>
            <w:tcW w:w="686" w:type="pct"/>
            <w:tcBorders>
              <w:top w:val="nil"/>
              <w:left w:val="nil"/>
              <w:bottom w:val="nil"/>
              <w:right w:val="nil"/>
            </w:tcBorders>
            <w:shd w:val="clear" w:color="auto" w:fill="auto"/>
            <w:noWrap/>
            <w:vAlign w:val="center"/>
            <w:hideMark/>
          </w:tcPr>
          <w:p w14:paraId="1EC022D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42.2 (-0.2)</w:t>
            </w:r>
          </w:p>
        </w:tc>
        <w:tc>
          <w:tcPr>
            <w:tcW w:w="729" w:type="pct"/>
            <w:tcBorders>
              <w:top w:val="nil"/>
              <w:left w:val="nil"/>
              <w:bottom w:val="nil"/>
              <w:right w:val="nil"/>
            </w:tcBorders>
            <w:shd w:val="clear" w:color="auto" w:fill="auto"/>
            <w:noWrap/>
            <w:vAlign w:val="center"/>
            <w:hideMark/>
          </w:tcPr>
          <w:p w14:paraId="1EC022D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35.2 (0.4)</w:t>
            </w:r>
          </w:p>
        </w:tc>
        <w:tc>
          <w:tcPr>
            <w:tcW w:w="720" w:type="pct"/>
            <w:tcBorders>
              <w:top w:val="nil"/>
              <w:left w:val="nil"/>
              <w:bottom w:val="nil"/>
              <w:right w:val="nil"/>
            </w:tcBorders>
            <w:shd w:val="clear" w:color="auto" w:fill="auto"/>
            <w:noWrap/>
            <w:vAlign w:val="center"/>
            <w:hideMark/>
          </w:tcPr>
          <w:p w14:paraId="1EC022D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17.5 (0.8)</w:t>
            </w:r>
          </w:p>
        </w:tc>
        <w:tc>
          <w:tcPr>
            <w:tcW w:w="382" w:type="pct"/>
            <w:tcBorders>
              <w:top w:val="nil"/>
              <w:left w:val="nil"/>
              <w:bottom w:val="nil"/>
              <w:right w:val="nil"/>
            </w:tcBorders>
            <w:shd w:val="clear" w:color="auto" w:fill="auto"/>
            <w:noWrap/>
            <w:vAlign w:val="center"/>
            <w:hideMark/>
          </w:tcPr>
          <w:p w14:paraId="1EC022DE"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446</w:t>
            </w:r>
          </w:p>
        </w:tc>
      </w:tr>
      <w:tr w:rsidR="00B73266" w:rsidRPr="00B73266" w14:paraId="1EC022E6" w14:textId="77777777" w:rsidTr="00F46CC4">
        <w:trPr>
          <w:trHeight w:val="20"/>
          <w:tblHeader/>
        </w:trPr>
        <w:tc>
          <w:tcPr>
            <w:tcW w:w="1825" w:type="pct"/>
            <w:tcBorders>
              <w:top w:val="nil"/>
              <w:left w:val="nil"/>
              <w:right w:val="nil"/>
            </w:tcBorders>
            <w:shd w:val="clear" w:color="auto" w:fill="auto"/>
            <w:noWrap/>
            <w:vAlign w:val="center"/>
            <w:hideMark/>
          </w:tcPr>
          <w:p w14:paraId="1EC022E0"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Some/all not in UK</w:t>
            </w:r>
          </w:p>
        </w:tc>
        <w:tc>
          <w:tcPr>
            <w:tcW w:w="658" w:type="pct"/>
            <w:tcBorders>
              <w:top w:val="nil"/>
              <w:left w:val="nil"/>
              <w:right w:val="nil"/>
            </w:tcBorders>
            <w:shd w:val="clear" w:color="auto" w:fill="auto"/>
            <w:noWrap/>
            <w:vAlign w:val="center"/>
            <w:hideMark/>
          </w:tcPr>
          <w:p w14:paraId="1EC022E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0 (-1.4)</w:t>
            </w:r>
          </w:p>
        </w:tc>
        <w:tc>
          <w:tcPr>
            <w:tcW w:w="686" w:type="pct"/>
            <w:tcBorders>
              <w:top w:val="nil"/>
              <w:left w:val="nil"/>
              <w:right w:val="nil"/>
            </w:tcBorders>
            <w:shd w:val="clear" w:color="auto" w:fill="auto"/>
            <w:noWrap/>
            <w:vAlign w:val="center"/>
            <w:hideMark/>
          </w:tcPr>
          <w:p w14:paraId="1EC022E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57.7 (1.6)</w:t>
            </w:r>
          </w:p>
        </w:tc>
        <w:tc>
          <w:tcPr>
            <w:tcW w:w="729" w:type="pct"/>
            <w:tcBorders>
              <w:top w:val="nil"/>
              <w:left w:val="nil"/>
              <w:right w:val="nil"/>
            </w:tcBorders>
            <w:shd w:val="clear" w:color="auto" w:fill="auto"/>
            <w:noWrap/>
            <w:vAlign w:val="center"/>
            <w:hideMark/>
          </w:tcPr>
          <w:p w14:paraId="1EC022E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23.1 (-1.2)</w:t>
            </w:r>
          </w:p>
        </w:tc>
        <w:tc>
          <w:tcPr>
            <w:tcW w:w="720" w:type="pct"/>
            <w:tcBorders>
              <w:top w:val="nil"/>
              <w:left w:val="nil"/>
              <w:right w:val="nil"/>
            </w:tcBorders>
            <w:shd w:val="clear" w:color="auto" w:fill="auto"/>
            <w:noWrap/>
            <w:vAlign w:val="center"/>
            <w:hideMark/>
          </w:tcPr>
          <w:p w14:paraId="1EC022E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19.2 (0.4)</w:t>
            </w:r>
          </w:p>
        </w:tc>
        <w:tc>
          <w:tcPr>
            <w:tcW w:w="382" w:type="pct"/>
            <w:tcBorders>
              <w:top w:val="nil"/>
              <w:left w:val="nil"/>
              <w:right w:val="nil"/>
            </w:tcBorders>
            <w:shd w:val="clear" w:color="auto" w:fill="auto"/>
            <w:noWrap/>
            <w:vAlign w:val="center"/>
            <w:hideMark/>
          </w:tcPr>
          <w:p w14:paraId="1EC022E5"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26</w:t>
            </w:r>
          </w:p>
        </w:tc>
      </w:tr>
      <w:tr w:rsidR="0045287B" w:rsidRPr="00B73266" w14:paraId="1EC022E8" w14:textId="77777777" w:rsidTr="00F46CC4">
        <w:trPr>
          <w:trHeight w:val="20"/>
          <w:tblHeader/>
        </w:trPr>
        <w:tc>
          <w:tcPr>
            <w:tcW w:w="5000" w:type="pct"/>
            <w:gridSpan w:val="6"/>
            <w:tcBorders>
              <w:left w:val="nil"/>
              <w:right w:val="nil"/>
            </w:tcBorders>
            <w:shd w:val="clear" w:color="auto" w:fill="auto"/>
            <w:noWrap/>
          </w:tcPr>
          <w:p w14:paraId="1EC022E7" w14:textId="77777777" w:rsidR="0045287B" w:rsidRPr="0045287B" w:rsidRDefault="0045287B" w:rsidP="0045287B">
            <w:pPr>
              <w:spacing w:line="240" w:lineRule="auto"/>
              <w:rPr>
                <w:sz w:val="22"/>
              </w:rPr>
            </w:pPr>
            <w:r w:rsidRPr="0045287B">
              <w:rPr>
                <w:sz w:val="22"/>
              </w:rPr>
              <w:t xml:space="preserve">Whether speaks English at work: χ2=29.873 (3, N=799), p=0.000 </w:t>
            </w:r>
          </w:p>
        </w:tc>
      </w:tr>
      <w:tr w:rsidR="0045287B" w:rsidRPr="00B73266" w14:paraId="1EC022EF" w14:textId="77777777" w:rsidTr="00F46CC4">
        <w:trPr>
          <w:trHeight w:val="20"/>
          <w:tblHeader/>
        </w:trPr>
        <w:tc>
          <w:tcPr>
            <w:tcW w:w="1825" w:type="pct"/>
            <w:tcBorders>
              <w:left w:val="nil"/>
              <w:bottom w:val="nil"/>
              <w:right w:val="nil"/>
            </w:tcBorders>
            <w:shd w:val="clear" w:color="auto" w:fill="auto"/>
            <w:noWrap/>
          </w:tcPr>
          <w:p w14:paraId="1EC022E9" w14:textId="77777777" w:rsidR="0045287B" w:rsidRPr="0045287B" w:rsidRDefault="0045287B" w:rsidP="00FD081F">
            <w:pPr>
              <w:spacing w:line="240" w:lineRule="auto"/>
              <w:ind w:left="142"/>
              <w:rPr>
                <w:sz w:val="22"/>
              </w:rPr>
            </w:pPr>
            <w:r w:rsidRPr="0045287B">
              <w:rPr>
                <w:sz w:val="22"/>
              </w:rPr>
              <w:t>Yes</w:t>
            </w:r>
          </w:p>
        </w:tc>
        <w:tc>
          <w:tcPr>
            <w:tcW w:w="658" w:type="pct"/>
            <w:tcBorders>
              <w:left w:val="nil"/>
              <w:bottom w:val="nil"/>
              <w:right w:val="nil"/>
            </w:tcBorders>
            <w:shd w:val="clear" w:color="auto" w:fill="auto"/>
            <w:noWrap/>
          </w:tcPr>
          <w:p w14:paraId="1EC022EA" w14:textId="77777777" w:rsidR="0045287B" w:rsidRPr="0045287B" w:rsidRDefault="0045287B" w:rsidP="0045287B">
            <w:pPr>
              <w:spacing w:line="240" w:lineRule="auto"/>
              <w:rPr>
                <w:sz w:val="22"/>
              </w:rPr>
            </w:pPr>
            <w:r w:rsidRPr="0045287B">
              <w:rPr>
                <w:sz w:val="22"/>
              </w:rPr>
              <w:t>6.3 (0.1)</w:t>
            </w:r>
          </w:p>
        </w:tc>
        <w:tc>
          <w:tcPr>
            <w:tcW w:w="686" w:type="pct"/>
            <w:tcBorders>
              <w:left w:val="nil"/>
              <w:bottom w:val="nil"/>
              <w:right w:val="nil"/>
            </w:tcBorders>
            <w:shd w:val="clear" w:color="auto" w:fill="auto"/>
            <w:noWrap/>
          </w:tcPr>
          <w:p w14:paraId="1EC022EB" w14:textId="77777777" w:rsidR="0045287B" w:rsidRPr="0045287B" w:rsidRDefault="0045287B" w:rsidP="0045287B">
            <w:pPr>
              <w:spacing w:line="240" w:lineRule="auto"/>
              <w:rPr>
                <w:sz w:val="22"/>
              </w:rPr>
            </w:pPr>
            <w:r w:rsidRPr="0045287B">
              <w:rPr>
                <w:sz w:val="22"/>
              </w:rPr>
              <w:t>41.9 (-0.6)</w:t>
            </w:r>
          </w:p>
        </w:tc>
        <w:tc>
          <w:tcPr>
            <w:tcW w:w="729" w:type="pct"/>
            <w:tcBorders>
              <w:left w:val="nil"/>
              <w:bottom w:val="nil"/>
              <w:right w:val="nil"/>
            </w:tcBorders>
            <w:shd w:val="clear" w:color="auto" w:fill="auto"/>
            <w:noWrap/>
          </w:tcPr>
          <w:p w14:paraId="1EC022EC" w14:textId="77777777" w:rsidR="0045287B" w:rsidRPr="0045287B" w:rsidRDefault="0045287B" w:rsidP="0045287B">
            <w:pPr>
              <w:spacing w:line="240" w:lineRule="auto"/>
              <w:rPr>
                <w:sz w:val="22"/>
              </w:rPr>
            </w:pPr>
            <w:r w:rsidRPr="0045287B">
              <w:rPr>
                <w:sz w:val="22"/>
              </w:rPr>
              <w:t>38.7 (4.2)</w:t>
            </w:r>
          </w:p>
        </w:tc>
        <w:tc>
          <w:tcPr>
            <w:tcW w:w="720" w:type="pct"/>
            <w:tcBorders>
              <w:left w:val="nil"/>
              <w:bottom w:val="nil"/>
              <w:right w:val="nil"/>
            </w:tcBorders>
            <w:shd w:val="clear" w:color="auto" w:fill="auto"/>
            <w:noWrap/>
          </w:tcPr>
          <w:p w14:paraId="1EC022ED" w14:textId="77777777" w:rsidR="0045287B" w:rsidRPr="0045287B" w:rsidRDefault="0045287B" w:rsidP="0045287B">
            <w:pPr>
              <w:spacing w:line="240" w:lineRule="auto"/>
              <w:rPr>
                <w:sz w:val="22"/>
              </w:rPr>
            </w:pPr>
            <w:r w:rsidRPr="0045287B">
              <w:rPr>
                <w:sz w:val="22"/>
              </w:rPr>
              <w:t>13.1 (-4.7)</w:t>
            </w:r>
          </w:p>
        </w:tc>
        <w:tc>
          <w:tcPr>
            <w:tcW w:w="382" w:type="pct"/>
            <w:tcBorders>
              <w:left w:val="nil"/>
              <w:bottom w:val="nil"/>
              <w:right w:val="nil"/>
            </w:tcBorders>
            <w:shd w:val="clear" w:color="auto" w:fill="auto"/>
            <w:noWrap/>
          </w:tcPr>
          <w:p w14:paraId="1EC022EE" w14:textId="77777777" w:rsidR="0045287B" w:rsidRPr="0045287B" w:rsidRDefault="0045287B" w:rsidP="00FD081F">
            <w:pPr>
              <w:spacing w:line="240" w:lineRule="auto"/>
              <w:jc w:val="center"/>
              <w:rPr>
                <w:sz w:val="22"/>
              </w:rPr>
            </w:pPr>
            <w:r w:rsidRPr="0045287B">
              <w:rPr>
                <w:sz w:val="22"/>
              </w:rPr>
              <w:t>602</w:t>
            </w:r>
          </w:p>
        </w:tc>
      </w:tr>
      <w:tr w:rsidR="0045287B" w:rsidRPr="00B73266" w14:paraId="1EC022F6" w14:textId="77777777" w:rsidTr="00F46CC4">
        <w:trPr>
          <w:trHeight w:val="20"/>
          <w:tblHeader/>
        </w:trPr>
        <w:tc>
          <w:tcPr>
            <w:tcW w:w="1825" w:type="pct"/>
            <w:tcBorders>
              <w:top w:val="nil"/>
              <w:left w:val="nil"/>
              <w:right w:val="nil"/>
            </w:tcBorders>
            <w:shd w:val="clear" w:color="auto" w:fill="auto"/>
            <w:noWrap/>
          </w:tcPr>
          <w:p w14:paraId="1EC022F0" w14:textId="77777777" w:rsidR="0045287B" w:rsidRPr="0045287B" w:rsidRDefault="0045287B" w:rsidP="00FD081F">
            <w:pPr>
              <w:spacing w:line="240" w:lineRule="auto"/>
              <w:ind w:left="142"/>
              <w:rPr>
                <w:sz w:val="22"/>
              </w:rPr>
            </w:pPr>
            <w:r w:rsidRPr="0045287B">
              <w:rPr>
                <w:sz w:val="22"/>
              </w:rPr>
              <w:t>No</w:t>
            </w:r>
          </w:p>
        </w:tc>
        <w:tc>
          <w:tcPr>
            <w:tcW w:w="658" w:type="pct"/>
            <w:tcBorders>
              <w:top w:val="nil"/>
              <w:left w:val="nil"/>
              <w:right w:val="nil"/>
            </w:tcBorders>
            <w:shd w:val="clear" w:color="auto" w:fill="auto"/>
            <w:noWrap/>
          </w:tcPr>
          <w:p w14:paraId="1EC022F1" w14:textId="77777777" w:rsidR="0045287B" w:rsidRPr="0045287B" w:rsidRDefault="0045287B" w:rsidP="0045287B">
            <w:pPr>
              <w:spacing w:line="240" w:lineRule="auto"/>
              <w:rPr>
                <w:sz w:val="22"/>
              </w:rPr>
            </w:pPr>
            <w:r w:rsidRPr="0045287B">
              <w:rPr>
                <w:sz w:val="22"/>
              </w:rPr>
              <w:t>6.1 (-0.1)</w:t>
            </w:r>
          </w:p>
        </w:tc>
        <w:tc>
          <w:tcPr>
            <w:tcW w:w="686" w:type="pct"/>
            <w:tcBorders>
              <w:top w:val="nil"/>
              <w:left w:val="nil"/>
              <w:right w:val="nil"/>
            </w:tcBorders>
            <w:shd w:val="clear" w:color="auto" w:fill="auto"/>
            <w:noWrap/>
          </w:tcPr>
          <w:p w14:paraId="1EC022F2" w14:textId="77777777" w:rsidR="0045287B" w:rsidRPr="0045287B" w:rsidRDefault="0045287B" w:rsidP="0045287B">
            <w:pPr>
              <w:spacing w:line="240" w:lineRule="auto"/>
              <w:rPr>
                <w:sz w:val="22"/>
              </w:rPr>
            </w:pPr>
            <w:r w:rsidRPr="0045287B">
              <w:rPr>
                <w:sz w:val="22"/>
              </w:rPr>
              <w:t>44.2 (0.6)</w:t>
            </w:r>
          </w:p>
        </w:tc>
        <w:tc>
          <w:tcPr>
            <w:tcW w:w="729" w:type="pct"/>
            <w:tcBorders>
              <w:top w:val="nil"/>
              <w:left w:val="nil"/>
              <w:right w:val="nil"/>
            </w:tcBorders>
            <w:shd w:val="clear" w:color="auto" w:fill="auto"/>
            <w:noWrap/>
          </w:tcPr>
          <w:p w14:paraId="1EC022F3" w14:textId="77777777" w:rsidR="0045287B" w:rsidRPr="0045287B" w:rsidRDefault="0045287B" w:rsidP="0045287B">
            <w:pPr>
              <w:spacing w:line="240" w:lineRule="auto"/>
              <w:rPr>
                <w:sz w:val="22"/>
              </w:rPr>
            </w:pPr>
            <w:r w:rsidRPr="0045287B">
              <w:rPr>
                <w:sz w:val="22"/>
              </w:rPr>
              <w:t>22.3 (-4.2)</w:t>
            </w:r>
          </w:p>
        </w:tc>
        <w:tc>
          <w:tcPr>
            <w:tcW w:w="720" w:type="pct"/>
            <w:tcBorders>
              <w:top w:val="nil"/>
              <w:left w:val="nil"/>
              <w:right w:val="nil"/>
            </w:tcBorders>
            <w:shd w:val="clear" w:color="auto" w:fill="auto"/>
            <w:noWrap/>
          </w:tcPr>
          <w:p w14:paraId="1EC022F4" w14:textId="77777777" w:rsidR="0045287B" w:rsidRPr="0045287B" w:rsidRDefault="0045287B" w:rsidP="0045287B">
            <w:pPr>
              <w:spacing w:line="240" w:lineRule="auto"/>
              <w:rPr>
                <w:sz w:val="22"/>
              </w:rPr>
            </w:pPr>
            <w:r w:rsidRPr="0045287B">
              <w:rPr>
                <w:sz w:val="22"/>
              </w:rPr>
              <w:t>27.4 (4.7)</w:t>
            </w:r>
          </w:p>
        </w:tc>
        <w:tc>
          <w:tcPr>
            <w:tcW w:w="382" w:type="pct"/>
            <w:tcBorders>
              <w:top w:val="nil"/>
              <w:left w:val="nil"/>
              <w:right w:val="nil"/>
            </w:tcBorders>
            <w:shd w:val="clear" w:color="auto" w:fill="auto"/>
            <w:noWrap/>
          </w:tcPr>
          <w:p w14:paraId="1EC022F5" w14:textId="77777777" w:rsidR="0045287B" w:rsidRPr="0045287B" w:rsidRDefault="0045287B" w:rsidP="00FD081F">
            <w:pPr>
              <w:spacing w:line="240" w:lineRule="auto"/>
              <w:jc w:val="center"/>
              <w:rPr>
                <w:sz w:val="22"/>
              </w:rPr>
            </w:pPr>
            <w:r w:rsidRPr="0045287B">
              <w:rPr>
                <w:sz w:val="22"/>
              </w:rPr>
              <w:t>197</w:t>
            </w:r>
          </w:p>
        </w:tc>
      </w:tr>
      <w:tr w:rsidR="00B73266" w:rsidRPr="00B73266" w14:paraId="1EC022F9" w14:textId="77777777" w:rsidTr="00F46CC4">
        <w:trPr>
          <w:trHeight w:val="20"/>
          <w:tblHeader/>
        </w:trPr>
        <w:tc>
          <w:tcPr>
            <w:tcW w:w="5000" w:type="pct"/>
            <w:gridSpan w:val="6"/>
            <w:tcBorders>
              <w:left w:val="nil"/>
              <w:right w:val="nil"/>
            </w:tcBorders>
            <w:shd w:val="clear" w:color="auto" w:fill="auto"/>
            <w:noWrap/>
            <w:vAlign w:val="center"/>
          </w:tcPr>
          <w:p w14:paraId="1EC022F7" w14:textId="77777777" w:rsidR="00B73266" w:rsidRDefault="00B73266" w:rsidP="00F46CC4">
            <w:pPr>
              <w:keepNext/>
              <w:spacing w:before="120" w:line="240" w:lineRule="auto"/>
              <w:rPr>
                <w:color w:val="000000"/>
                <w:sz w:val="22"/>
                <w:szCs w:val="22"/>
                <w:lang w:eastAsia="ja-JP"/>
              </w:rPr>
            </w:pPr>
            <w:r w:rsidRPr="00B73266">
              <w:rPr>
                <w:color w:val="000000"/>
                <w:sz w:val="22"/>
                <w:szCs w:val="22"/>
                <w:lang w:eastAsia="ja-JP"/>
              </w:rPr>
              <w:t xml:space="preserve">Whether planning to apply for British citizenship at any time in the future: </w:t>
            </w:r>
          </w:p>
          <w:p w14:paraId="1EC022F8" w14:textId="77777777" w:rsidR="00B73266" w:rsidRPr="00B73266" w:rsidRDefault="00B73266" w:rsidP="00F46CC4">
            <w:pPr>
              <w:keepNext/>
              <w:spacing w:line="240" w:lineRule="auto"/>
              <w:rPr>
                <w:color w:val="000000"/>
                <w:sz w:val="22"/>
                <w:szCs w:val="22"/>
                <w:lang w:eastAsia="ja-JP"/>
              </w:rPr>
            </w:pPr>
            <w:r w:rsidRPr="00B73266">
              <w:rPr>
                <w:color w:val="000000"/>
                <w:sz w:val="22"/>
                <w:szCs w:val="22"/>
                <w:lang w:eastAsia="ja-JP"/>
              </w:rPr>
              <w:t>χ</w:t>
            </w:r>
            <w:r w:rsidRPr="00B73266">
              <w:rPr>
                <w:color w:val="000000"/>
                <w:sz w:val="22"/>
                <w:szCs w:val="22"/>
                <w:vertAlign w:val="superscript"/>
                <w:lang w:eastAsia="ja-JP"/>
              </w:rPr>
              <w:t>2</w:t>
            </w:r>
            <w:r w:rsidRPr="00B73266">
              <w:rPr>
                <w:color w:val="000000"/>
                <w:sz w:val="22"/>
                <w:szCs w:val="22"/>
                <w:lang w:eastAsia="ja-JP"/>
              </w:rPr>
              <w:t>=239.766 (3, N=817), p=0.000</w:t>
            </w:r>
          </w:p>
        </w:tc>
      </w:tr>
      <w:tr w:rsidR="00B73266" w:rsidRPr="00B73266" w14:paraId="1EC02300" w14:textId="77777777" w:rsidTr="00F46CC4">
        <w:trPr>
          <w:trHeight w:val="20"/>
          <w:tblHeader/>
        </w:trPr>
        <w:tc>
          <w:tcPr>
            <w:tcW w:w="1825" w:type="pct"/>
            <w:tcBorders>
              <w:left w:val="nil"/>
              <w:bottom w:val="nil"/>
              <w:right w:val="nil"/>
            </w:tcBorders>
            <w:shd w:val="clear" w:color="auto" w:fill="auto"/>
            <w:noWrap/>
            <w:vAlign w:val="center"/>
            <w:hideMark/>
          </w:tcPr>
          <w:p w14:paraId="1EC022FA" w14:textId="77777777" w:rsidR="00B73266" w:rsidRPr="00B73266" w:rsidRDefault="00B73266" w:rsidP="00B73266">
            <w:pPr>
              <w:keepNext/>
              <w:spacing w:line="240" w:lineRule="auto"/>
              <w:ind w:left="142"/>
              <w:rPr>
                <w:color w:val="000000"/>
                <w:sz w:val="22"/>
                <w:szCs w:val="22"/>
                <w:lang w:eastAsia="ja-JP"/>
              </w:rPr>
            </w:pPr>
            <w:r w:rsidRPr="00B73266">
              <w:rPr>
                <w:color w:val="000000"/>
                <w:sz w:val="22"/>
                <w:szCs w:val="22"/>
                <w:lang w:eastAsia="ja-JP"/>
              </w:rPr>
              <w:t>Yes</w:t>
            </w:r>
          </w:p>
        </w:tc>
        <w:tc>
          <w:tcPr>
            <w:tcW w:w="658" w:type="pct"/>
            <w:tcBorders>
              <w:left w:val="nil"/>
              <w:bottom w:val="nil"/>
              <w:right w:val="nil"/>
            </w:tcBorders>
            <w:shd w:val="clear" w:color="auto" w:fill="auto"/>
            <w:noWrap/>
            <w:vAlign w:val="center"/>
            <w:hideMark/>
          </w:tcPr>
          <w:p w14:paraId="1EC022FB"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2.5 (-6.6)</w:t>
            </w:r>
          </w:p>
        </w:tc>
        <w:tc>
          <w:tcPr>
            <w:tcW w:w="686" w:type="pct"/>
            <w:tcBorders>
              <w:left w:val="nil"/>
              <w:bottom w:val="nil"/>
              <w:right w:val="nil"/>
            </w:tcBorders>
            <w:shd w:val="clear" w:color="auto" w:fill="auto"/>
            <w:noWrap/>
            <w:vAlign w:val="center"/>
            <w:hideMark/>
          </w:tcPr>
          <w:p w14:paraId="1EC022FC"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38.9 (-3.4)</w:t>
            </w:r>
          </w:p>
        </w:tc>
        <w:tc>
          <w:tcPr>
            <w:tcW w:w="729" w:type="pct"/>
            <w:tcBorders>
              <w:left w:val="nil"/>
              <w:bottom w:val="nil"/>
              <w:right w:val="nil"/>
            </w:tcBorders>
            <w:shd w:val="clear" w:color="auto" w:fill="auto"/>
            <w:noWrap/>
            <w:vAlign w:val="center"/>
            <w:hideMark/>
          </w:tcPr>
          <w:p w14:paraId="1EC022FD"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50.5 (13.8)</w:t>
            </w:r>
          </w:p>
        </w:tc>
        <w:tc>
          <w:tcPr>
            <w:tcW w:w="720" w:type="pct"/>
            <w:tcBorders>
              <w:left w:val="nil"/>
              <w:bottom w:val="nil"/>
              <w:right w:val="nil"/>
            </w:tcBorders>
            <w:shd w:val="clear" w:color="auto" w:fill="auto"/>
            <w:noWrap/>
            <w:vAlign w:val="center"/>
            <w:hideMark/>
          </w:tcPr>
          <w:p w14:paraId="1EC022FE"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8 (-9)</w:t>
            </w:r>
          </w:p>
        </w:tc>
        <w:tc>
          <w:tcPr>
            <w:tcW w:w="382" w:type="pct"/>
            <w:tcBorders>
              <w:left w:val="nil"/>
              <w:bottom w:val="nil"/>
              <w:right w:val="nil"/>
            </w:tcBorders>
            <w:shd w:val="clear" w:color="auto" w:fill="auto"/>
            <w:noWrap/>
            <w:vAlign w:val="center"/>
            <w:hideMark/>
          </w:tcPr>
          <w:p w14:paraId="1EC022FF" w14:textId="77777777" w:rsidR="00B73266" w:rsidRPr="00B73266" w:rsidRDefault="00B73266" w:rsidP="00B73266">
            <w:pPr>
              <w:keepNext/>
              <w:spacing w:line="240" w:lineRule="auto"/>
              <w:jc w:val="center"/>
              <w:rPr>
                <w:color w:val="000000"/>
                <w:sz w:val="22"/>
                <w:szCs w:val="22"/>
                <w:lang w:eastAsia="ja-JP"/>
              </w:rPr>
            </w:pPr>
            <w:r w:rsidRPr="00B73266">
              <w:rPr>
                <w:color w:val="000000"/>
                <w:sz w:val="22"/>
                <w:szCs w:val="22"/>
                <w:lang w:eastAsia="ja-JP"/>
              </w:rPr>
              <w:t>550</w:t>
            </w:r>
          </w:p>
        </w:tc>
      </w:tr>
      <w:tr w:rsidR="00B73266" w:rsidRPr="00B73266" w14:paraId="1EC02307" w14:textId="77777777" w:rsidTr="00F46CC4">
        <w:trPr>
          <w:trHeight w:val="20"/>
          <w:tblHeader/>
        </w:trPr>
        <w:tc>
          <w:tcPr>
            <w:tcW w:w="1825" w:type="pct"/>
            <w:tcBorders>
              <w:top w:val="nil"/>
              <w:left w:val="nil"/>
              <w:right w:val="nil"/>
            </w:tcBorders>
            <w:shd w:val="clear" w:color="auto" w:fill="auto"/>
            <w:noWrap/>
            <w:vAlign w:val="center"/>
            <w:hideMark/>
          </w:tcPr>
          <w:p w14:paraId="1EC02301" w14:textId="77777777" w:rsidR="00B73266" w:rsidRPr="00B73266" w:rsidRDefault="00B73266" w:rsidP="00B73266">
            <w:pPr>
              <w:keepNext/>
              <w:spacing w:line="240" w:lineRule="auto"/>
              <w:ind w:left="142"/>
              <w:rPr>
                <w:color w:val="000000"/>
                <w:sz w:val="22"/>
                <w:szCs w:val="22"/>
                <w:lang w:eastAsia="ja-JP"/>
              </w:rPr>
            </w:pPr>
            <w:r w:rsidRPr="00B73266">
              <w:rPr>
                <w:color w:val="000000"/>
                <w:sz w:val="22"/>
                <w:szCs w:val="22"/>
                <w:lang w:eastAsia="ja-JP"/>
              </w:rPr>
              <w:t>No</w:t>
            </w:r>
          </w:p>
        </w:tc>
        <w:tc>
          <w:tcPr>
            <w:tcW w:w="658" w:type="pct"/>
            <w:tcBorders>
              <w:top w:val="nil"/>
              <w:left w:val="nil"/>
              <w:right w:val="nil"/>
            </w:tcBorders>
            <w:shd w:val="clear" w:color="auto" w:fill="auto"/>
            <w:noWrap/>
            <w:vAlign w:val="center"/>
            <w:hideMark/>
          </w:tcPr>
          <w:p w14:paraId="1EC02302"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14.6 (6.6)</w:t>
            </w:r>
          </w:p>
        </w:tc>
        <w:tc>
          <w:tcPr>
            <w:tcW w:w="686" w:type="pct"/>
            <w:tcBorders>
              <w:top w:val="nil"/>
              <w:left w:val="nil"/>
              <w:right w:val="nil"/>
            </w:tcBorders>
            <w:shd w:val="clear" w:color="auto" w:fill="auto"/>
            <w:noWrap/>
            <w:vAlign w:val="center"/>
            <w:hideMark/>
          </w:tcPr>
          <w:p w14:paraId="1EC02303"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51.3 (3.4)</w:t>
            </w:r>
          </w:p>
        </w:tc>
        <w:tc>
          <w:tcPr>
            <w:tcW w:w="729" w:type="pct"/>
            <w:tcBorders>
              <w:top w:val="nil"/>
              <w:left w:val="nil"/>
              <w:right w:val="nil"/>
            </w:tcBorders>
            <w:shd w:val="clear" w:color="auto" w:fill="auto"/>
            <w:noWrap/>
            <w:vAlign w:val="center"/>
            <w:hideMark/>
          </w:tcPr>
          <w:p w14:paraId="1EC02304"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1.5 (-13.8)</w:t>
            </w:r>
          </w:p>
        </w:tc>
        <w:tc>
          <w:tcPr>
            <w:tcW w:w="720" w:type="pct"/>
            <w:tcBorders>
              <w:top w:val="nil"/>
              <w:left w:val="nil"/>
              <w:right w:val="nil"/>
            </w:tcBorders>
            <w:shd w:val="clear" w:color="auto" w:fill="auto"/>
            <w:noWrap/>
            <w:vAlign w:val="center"/>
            <w:hideMark/>
          </w:tcPr>
          <w:p w14:paraId="1EC02305" w14:textId="77777777" w:rsidR="00B73266" w:rsidRPr="00B73266" w:rsidRDefault="00B73266" w:rsidP="00B73266">
            <w:pPr>
              <w:keepNext/>
              <w:spacing w:line="240" w:lineRule="auto"/>
              <w:rPr>
                <w:color w:val="000000"/>
                <w:sz w:val="22"/>
                <w:szCs w:val="22"/>
                <w:lang w:eastAsia="ja-JP"/>
              </w:rPr>
            </w:pPr>
            <w:r w:rsidRPr="00B73266">
              <w:rPr>
                <w:color w:val="000000"/>
                <w:sz w:val="22"/>
                <w:szCs w:val="22"/>
                <w:lang w:eastAsia="ja-JP"/>
              </w:rPr>
              <w:t>32.6 (9)</w:t>
            </w:r>
          </w:p>
        </w:tc>
        <w:tc>
          <w:tcPr>
            <w:tcW w:w="382" w:type="pct"/>
            <w:tcBorders>
              <w:top w:val="nil"/>
              <w:left w:val="nil"/>
              <w:right w:val="nil"/>
            </w:tcBorders>
            <w:shd w:val="clear" w:color="auto" w:fill="auto"/>
            <w:noWrap/>
            <w:vAlign w:val="center"/>
            <w:hideMark/>
          </w:tcPr>
          <w:p w14:paraId="1EC02306" w14:textId="77777777" w:rsidR="00B73266" w:rsidRPr="00B73266" w:rsidRDefault="00B73266" w:rsidP="00B73266">
            <w:pPr>
              <w:keepNext/>
              <w:spacing w:line="240" w:lineRule="auto"/>
              <w:jc w:val="center"/>
              <w:rPr>
                <w:color w:val="000000"/>
                <w:sz w:val="22"/>
                <w:szCs w:val="22"/>
                <w:lang w:eastAsia="ja-JP"/>
              </w:rPr>
            </w:pPr>
            <w:r w:rsidRPr="00B73266">
              <w:rPr>
                <w:color w:val="000000"/>
                <w:sz w:val="22"/>
                <w:szCs w:val="22"/>
                <w:lang w:eastAsia="ja-JP"/>
              </w:rPr>
              <w:t>267</w:t>
            </w:r>
          </w:p>
        </w:tc>
      </w:tr>
      <w:tr w:rsidR="00B73266" w:rsidRPr="00B73266" w14:paraId="1EC02309" w14:textId="77777777" w:rsidTr="00F46CC4">
        <w:trPr>
          <w:trHeight w:val="20"/>
          <w:tblHeader/>
        </w:trPr>
        <w:tc>
          <w:tcPr>
            <w:tcW w:w="5000" w:type="pct"/>
            <w:gridSpan w:val="6"/>
            <w:tcBorders>
              <w:left w:val="nil"/>
              <w:right w:val="nil"/>
            </w:tcBorders>
            <w:shd w:val="clear" w:color="auto" w:fill="auto"/>
            <w:noWrap/>
            <w:vAlign w:val="center"/>
          </w:tcPr>
          <w:p w14:paraId="1EC02308"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Whether eligible for British citizenship within one year: χ</w:t>
            </w:r>
            <w:r w:rsidRPr="00B73266">
              <w:rPr>
                <w:color w:val="000000"/>
                <w:sz w:val="22"/>
                <w:szCs w:val="22"/>
                <w:vertAlign w:val="superscript"/>
                <w:lang w:eastAsia="ja-JP"/>
              </w:rPr>
              <w:t>2</w:t>
            </w:r>
            <w:r w:rsidRPr="00B73266">
              <w:rPr>
                <w:color w:val="000000"/>
                <w:sz w:val="22"/>
                <w:szCs w:val="22"/>
                <w:lang w:eastAsia="ja-JP"/>
              </w:rPr>
              <w:t>=37.039 (6, N=821), p=0.000</w:t>
            </w:r>
          </w:p>
        </w:tc>
      </w:tr>
      <w:tr w:rsidR="00B73266" w:rsidRPr="00B73266" w14:paraId="1EC02310" w14:textId="77777777" w:rsidTr="00F46CC4">
        <w:trPr>
          <w:trHeight w:val="20"/>
          <w:tblHeader/>
        </w:trPr>
        <w:tc>
          <w:tcPr>
            <w:tcW w:w="1825" w:type="pct"/>
            <w:tcBorders>
              <w:left w:val="nil"/>
              <w:bottom w:val="nil"/>
              <w:right w:val="nil"/>
            </w:tcBorders>
            <w:shd w:val="clear" w:color="auto" w:fill="auto"/>
            <w:noWrap/>
            <w:vAlign w:val="center"/>
            <w:hideMark/>
          </w:tcPr>
          <w:p w14:paraId="1EC0230A"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Eligible</w:t>
            </w:r>
          </w:p>
        </w:tc>
        <w:tc>
          <w:tcPr>
            <w:tcW w:w="658" w:type="pct"/>
            <w:tcBorders>
              <w:left w:val="nil"/>
              <w:bottom w:val="nil"/>
              <w:right w:val="nil"/>
            </w:tcBorders>
            <w:shd w:val="clear" w:color="auto" w:fill="auto"/>
            <w:noWrap/>
            <w:vAlign w:val="center"/>
            <w:hideMark/>
          </w:tcPr>
          <w:p w14:paraId="1EC0230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 (-1.5)</w:t>
            </w:r>
          </w:p>
        </w:tc>
        <w:tc>
          <w:tcPr>
            <w:tcW w:w="686" w:type="pct"/>
            <w:tcBorders>
              <w:left w:val="nil"/>
              <w:bottom w:val="nil"/>
              <w:right w:val="nil"/>
            </w:tcBorders>
            <w:shd w:val="clear" w:color="auto" w:fill="auto"/>
            <w:noWrap/>
            <w:vAlign w:val="center"/>
            <w:hideMark/>
          </w:tcPr>
          <w:p w14:paraId="1EC0230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38.3 (-2.6)</w:t>
            </w:r>
          </w:p>
        </w:tc>
        <w:tc>
          <w:tcPr>
            <w:tcW w:w="729" w:type="pct"/>
            <w:tcBorders>
              <w:left w:val="nil"/>
              <w:bottom w:val="nil"/>
              <w:right w:val="nil"/>
            </w:tcBorders>
            <w:shd w:val="clear" w:color="auto" w:fill="auto"/>
            <w:noWrap/>
            <w:vAlign w:val="center"/>
            <w:hideMark/>
          </w:tcPr>
          <w:p w14:paraId="1EC0230D"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43.3 (5.2)</w:t>
            </w:r>
          </w:p>
        </w:tc>
        <w:tc>
          <w:tcPr>
            <w:tcW w:w="720" w:type="pct"/>
            <w:tcBorders>
              <w:left w:val="nil"/>
              <w:bottom w:val="nil"/>
              <w:right w:val="nil"/>
            </w:tcBorders>
            <w:shd w:val="clear" w:color="auto" w:fill="auto"/>
            <w:noWrap/>
            <w:vAlign w:val="center"/>
            <w:hideMark/>
          </w:tcPr>
          <w:p w14:paraId="1EC0230E"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13.4 (-2.2)</w:t>
            </w:r>
          </w:p>
        </w:tc>
        <w:tc>
          <w:tcPr>
            <w:tcW w:w="382" w:type="pct"/>
            <w:tcBorders>
              <w:left w:val="nil"/>
              <w:bottom w:val="nil"/>
              <w:right w:val="nil"/>
            </w:tcBorders>
            <w:shd w:val="clear" w:color="auto" w:fill="auto"/>
            <w:noWrap/>
            <w:vAlign w:val="center"/>
            <w:hideMark/>
          </w:tcPr>
          <w:p w14:paraId="1EC0230F"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397</w:t>
            </w:r>
          </w:p>
        </w:tc>
      </w:tr>
      <w:tr w:rsidR="00B73266" w:rsidRPr="00B73266" w14:paraId="1EC02317"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311"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Not eligible</w:t>
            </w:r>
          </w:p>
        </w:tc>
        <w:tc>
          <w:tcPr>
            <w:tcW w:w="658" w:type="pct"/>
            <w:tcBorders>
              <w:top w:val="nil"/>
              <w:left w:val="nil"/>
              <w:bottom w:val="nil"/>
              <w:right w:val="nil"/>
            </w:tcBorders>
            <w:shd w:val="clear" w:color="auto" w:fill="auto"/>
            <w:noWrap/>
            <w:vAlign w:val="center"/>
            <w:hideMark/>
          </w:tcPr>
          <w:p w14:paraId="1EC0231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9.1 (1.7)</w:t>
            </w:r>
          </w:p>
        </w:tc>
        <w:tc>
          <w:tcPr>
            <w:tcW w:w="686" w:type="pct"/>
            <w:tcBorders>
              <w:top w:val="nil"/>
              <w:left w:val="nil"/>
              <w:bottom w:val="nil"/>
              <w:right w:val="nil"/>
            </w:tcBorders>
            <w:shd w:val="clear" w:color="auto" w:fill="auto"/>
            <w:noWrap/>
            <w:vAlign w:val="center"/>
            <w:hideMark/>
          </w:tcPr>
          <w:p w14:paraId="1EC0231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46.9 (1.2)</w:t>
            </w:r>
          </w:p>
        </w:tc>
        <w:tc>
          <w:tcPr>
            <w:tcW w:w="729" w:type="pct"/>
            <w:tcBorders>
              <w:top w:val="nil"/>
              <w:left w:val="nil"/>
              <w:bottom w:val="nil"/>
              <w:right w:val="nil"/>
            </w:tcBorders>
            <w:shd w:val="clear" w:color="auto" w:fill="auto"/>
            <w:noWrap/>
            <w:vAlign w:val="center"/>
            <w:hideMark/>
          </w:tcPr>
          <w:p w14:paraId="1EC0231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30.9 (-1.1)</w:t>
            </w:r>
          </w:p>
        </w:tc>
        <w:tc>
          <w:tcPr>
            <w:tcW w:w="720" w:type="pct"/>
            <w:tcBorders>
              <w:top w:val="nil"/>
              <w:left w:val="nil"/>
              <w:bottom w:val="nil"/>
              <w:right w:val="nil"/>
            </w:tcBorders>
            <w:shd w:val="clear" w:color="auto" w:fill="auto"/>
            <w:noWrap/>
            <w:vAlign w:val="center"/>
            <w:hideMark/>
          </w:tcPr>
          <w:p w14:paraId="1EC0231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13.1 (-1.3)</w:t>
            </w:r>
          </w:p>
        </w:tc>
        <w:tc>
          <w:tcPr>
            <w:tcW w:w="382" w:type="pct"/>
            <w:tcBorders>
              <w:top w:val="nil"/>
              <w:left w:val="nil"/>
              <w:bottom w:val="nil"/>
              <w:right w:val="nil"/>
            </w:tcBorders>
            <w:shd w:val="clear" w:color="auto" w:fill="auto"/>
            <w:noWrap/>
            <w:vAlign w:val="center"/>
            <w:hideMark/>
          </w:tcPr>
          <w:p w14:paraId="1EC0231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175</w:t>
            </w:r>
          </w:p>
        </w:tc>
      </w:tr>
      <w:tr w:rsidR="00B73266" w:rsidRPr="00B73266" w14:paraId="1EC0231E" w14:textId="77777777" w:rsidTr="00F46CC4">
        <w:trPr>
          <w:trHeight w:val="20"/>
          <w:tblHeader/>
        </w:trPr>
        <w:tc>
          <w:tcPr>
            <w:tcW w:w="1825" w:type="pct"/>
            <w:tcBorders>
              <w:top w:val="nil"/>
              <w:left w:val="nil"/>
              <w:right w:val="nil"/>
            </w:tcBorders>
            <w:shd w:val="clear" w:color="auto" w:fill="auto"/>
            <w:noWrap/>
            <w:vAlign w:val="center"/>
            <w:hideMark/>
          </w:tcPr>
          <w:p w14:paraId="1EC02318"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Not know (the requirements)</w:t>
            </w:r>
          </w:p>
        </w:tc>
        <w:tc>
          <w:tcPr>
            <w:tcW w:w="658" w:type="pct"/>
            <w:tcBorders>
              <w:top w:val="nil"/>
              <w:left w:val="nil"/>
              <w:right w:val="nil"/>
            </w:tcBorders>
            <w:shd w:val="clear" w:color="auto" w:fill="auto"/>
            <w:noWrap/>
            <w:vAlign w:val="center"/>
            <w:hideMark/>
          </w:tcPr>
          <w:p w14:paraId="1EC0231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6.4 (0.1)</w:t>
            </w:r>
          </w:p>
        </w:tc>
        <w:tc>
          <w:tcPr>
            <w:tcW w:w="686" w:type="pct"/>
            <w:tcBorders>
              <w:top w:val="nil"/>
              <w:left w:val="nil"/>
              <w:right w:val="nil"/>
            </w:tcBorders>
            <w:shd w:val="clear" w:color="auto" w:fill="auto"/>
            <w:noWrap/>
            <w:vAlign w:val="center"/>
            <w:hideMark/>
          </w:tcPr>
          <w:p w14:paraId="1EC0231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47.4 (1.7)</w:t>
            </w:r>
          </w:p>
        </w:tc>
        <w:tc>
          <w:tcPr>
            <w:tcW w:w="729" w:type="pct"/>
            <w:tcBorders>
              <w:top w:val="nil"/>
              <w:left w:val="nil"/>
              <w:right w:val="nil"/>
            </w:tcBorders>
            <w:shd w:val="clear" w:color="auto" w:fill="auto"/>
            <w:noWrap/>
            <w:vAlign w:val="center"/>
            <w:hideMark/>
          </w:tcPr>
          <w:p w14:paraId="1EC0231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22.9 (-4.6)</w:t>
            </w:r>
          </w:p>
        </w:tc>
        <w:tc>
          <w:tcPr>
            <w:tcW w:w="720" w:type="pct"/>
            <w:tcBorders>
              <w:top w:val="nil"/>
              <w:left w:val="nil"/>
              <w:right w:val="nil"/>
            </w:tcBorders>
            <w:shd w:val="clear" w:color="auto" w:fill="auto"/>
            <w:noWrap/>
            <w:vAlign w:val="center"/>
            <w:hideMark/>
          </w:tcPr>
          <w:p w14:paraId="1EC0231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23.3 (3.6)</w:t>
            </w:r>
          </w:p>
        </w:tc>
        <w:tc>
          <w:tcPr>
            <w:tcW w:w="382" w:type="pct"/>
            <w:tcBorders>
              <w:top w:val="nil"/>
              <w:left w:val="nil"/>
              <w:right w:val="nil"/>
            </w:tcBorders>
            <w:shd w:val="clear" w:color="auto" w:fill="auto"/>
            <w:noWrap/>
            <w:vAlign w:val="center"/>
            <w:hideMark/>
          </w:tcPr>
          <w:p w14:paraId="1EC0231D"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249</w:t>
            </w:r>
          </w:p>
        </w:tc>
      </w:tr>
      <w:tr w:rsidR="00B73266" w:rsidRPr="00B73266" w14:paraId="1EC02320" w14:textId="77777777" w:rsidTr="00F46CC4">
        <w:trPr>
          <w:trHeight w:val="20"/>
          <w:tblHeader/>
        </w:trPr>
        <w:tc>
          <w:tcPr>
            <w:tcW w:w="5000" w:type="pct"/>
            <w:gridSpan w:val="6"/>
            <w:tcBorders>
              <w:left w:val="nil"/>
              <w:right w:val="nil"/>
            </w:tcBorders>
            <w:shd w:val="clear" w:color="auto" w:fill="auto"/>
            <w:noWrap/>
            <w:vAlign w:val="center"/>
          </w:tcPr>
          <w:p w14:paraId="1EC0231F"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Whether has close relatives eligible for PRC within one year: χ</w:t>
            </w:r>
            <w:r w:rsidRPr="00B73266">
              <w:rPr>
                <w:color w:val="000000"/>
                <w:sz w:val="22"/>
                <w:szCs w:val="22"/>
                <w:vertAlign w:val="superscript"/>
                <w:lang w:eastAsia="ja-JP"/>
              </w:rPr>
              <w:t>2</w:t>
            </w:r>
            <w:r w:rsidRPr="00B73266">
              <w:rPr>
                <w:color w:val="000000"/>
                <w:sz w:val="22"/>
                <w:szCs w:val="22"/>
                <w:lang w:eastAsia="ja-JP"/>
              </w:rPr>
              <w:t>=40.279 (9, N=787), p=0.000</w:t>
            </w:r>
          </w:p>
        </w:tc>
      </w:tr>
      <w:tr w:rsidR="00B73266" w:rsidRPr="00B73266" w14:paraId="1EC02327" w14:textId="77777777" w:rsidTr="00F46CC4">
        <w:trPr>
          <w:trHeight w:val="20"/>
          <w:tblHeader/>
        </w:trPr>
        <w:tc>
          <w:tcPr>
            <w:tcW w:w="1825" w:type="pct"/>
            <w:tcBorders>
              <w:left w:val="nil"/>
              <w:bottom w:val="nil"/>
              <w:right w:val="nil"/>
            </w:tcBorders>
            <w:shd w:val="clear" w:color="auto" w:fill="auto"/>
            <w:noWrap/>
            <w:vAlign w:val="center"/>
            <w:hideMark/>
          </w:tcPr>
          <w:p w14:paraId="1EC02321"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Yes</w:t>
            </w:r>
          </w:p>
        </w:tc>
        <w:tc>
          <w:tcPr>
            <w:tcW w:w="658" w:type="pct"/>
            <w:tcBorders>
              <w:left w:val="nil"/>
              <w:bottom w:val="nil"/>
              <w:right w:val="nil"/>
            </w:tcBorders>
            <w:shd w:val="clear" w:color="auto" w:fill="auto"/>
            <w:noWrap/>
            <w:vAlign w:val="center"/>
            <w:hideMark/>
          </w:tcPr>
          <w:p w14:paraId="1EC0232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 (-3.1)</w:t>
            </w:r>
          </w:p>
        </w:tc>
        <w:tc>
          <w:tcPr>
            <w:tcW w:w="686" w:type="pct"/>
            <w:tcBorders>
              <w:left w:val="nil"/>
              <w:bottom w:val="nil"/>
              <w:right w:val="nil"/>
            </w:tcBorders>
            <w:shd w:val="clear" w:color="auto" w:fill="auto"/>
            <w:noWrap/>
            <w:vAlign w:val="center"/>
            <w:hideMark/>
          </w:tcPr>
          <w:p w14:paraId="1EC0232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45.1 (1)</w:t>
            </w:r>
          </w:p>
        </w:tc>
        <w:tc>
          <w:tcPr>
            <w:tcW w:w="729" w:type="pct"/>
            <w:tcBorders>
              <w:left w:val="nil"/>
              <w:bottom w:val="nil"/>
              <w:right w:val="nil"/>
            </w:tcBorders>
            <w:shd w:val="clear" w:color="auto" w:fill="auto"/>
            <w:noWrap/>
            <w:vAlign w:val="center"/>
            <w:hideMark/>
          </w:tcPr>
          <w:p w14:paraId="1EC02324"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38.1 (3)</w:t>
            </w:r>
          </w:p>
        </w:tc>
        <w:tc>
          <w:tcPr>
            <w:tcW w:w="720" w:type="pct"/>
            <w:tcBorders>
              <w:left w:val="nil"/>
              <w:bottom w:val="nil"/>
              <w:right w:val="nil"/>
            </w:tcBorders>
            <w:shd w:val="clear" w:color="auto" w:fill="auto"/>
            <w:noWrap/>
            <w:vAlign w:val="center"/>
            <w:hideMark/>
          </w:tcPr>
          <w:p w14:paraId="1EC02325"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12.8 (-3)</w:t>
            </w:r>
          </w:p>
        </w:tc>
        <w:tc>
          <w:tcPr>
            <w:tcW w:w="382" w:type="pct"/>
            <w:tcBorders>
              <w:left w:val="nil"/>
              <w:bottom w:val="nil"/>
              <w:right w:val="nil"/>
            </w:tcBorders>
            <w:shd w:val="clear" w:color="auto" w:fill="auto"/>
            <w:noWrap/>
            <w:vAlign w:val="center"/>
            <w:hideMark/>
          </w:tcPr>
          <w:p w14:paraId="1EC02326"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415</w:t>
            </w:r>
          </w:p>
        </w:tc>
      </w:tr>
      <w:tr w:rsidR="00B73266" w:rsidRPr="00B73266" w14:paraId="1EC0232E"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328"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w:t>
            </w:r>
          </w:p>
        </w:tc>
        <w:tc>
          <w:tcPr>
            <w:tcW w:w="658" w:type="pct"/>
            <w:tcBorders>
              <w:top w:val="nil"/>
              <w:left w:val="nil"/>
              <w:bottom w:val="nil"/>
              <w:right w:val="nil"/>
            </w:tcBorders>
            <w:shd w:val="clear" w:color="auto" w:fill="auto"/>
            <w:noWrap/>
            <w:vAlign w:val="center"/>
            <w:hideMark/>
          </w:tcPr>
          <w:p w14:paraId="1EC0232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7.6 (0.3)</w:t>
            </w:r>
          </w:p>
        </w:tc>
        <w:tc>
          <w:tcPr>
            <w:tcW w:w="686" w:type="pct"/>
            <w:tcBorders>
              <w:top w:val="nil"/>
              <w:left w:val="nil"/>
              <w:bottom w:val="nil"/>
              <w:right w:val="nil"/>
            </w:tcBorders>
            <w:shd w:val="clear" w:color="auto" w:fill="auto"/>
            <w:noWrap/>
            <w:vAlign w:val="center"/>
            <w:hideMark/>
          </w:tcPr>
          <w:p w14:paraId="1EC0232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50.6 (1.4)</w:t>
            </w:r>
          </w:p>
        </w:tc>
        <w:tc>
          <w:tcPr>
            <w:tcW w:w="729" w:type="pct"/>
            <w:tcBorders>
              <w:top w:val="nil"/>
              <w:left w:val="nil"/>
              <w:bottom w:val="nil"/>
              <w:right w:val="nil"/>
            </w:tcBorders>
            <w:shd w:val="clear" w:color="auto" w:fill="auto"/>
            <w:noWrap/>
            <w:vAlign w:val="center"/>
            <w:hideMark/>
          </w:tcPr>
          <w:p w14:paraId="1EC0232B"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26.6 (-1.3)</w:t>
            </w:r>
          </w:p>
        </w:tc>
        <w:tc>
          <w:tcPr>
            <w:tcW w:w="720" w:type="pct"/>
            <w:tcBorders>
              <w:top w:val="nil"/>
              <w:left w:val="nil"/>
              <w:bottom w:val="nil"/>
              <w:right w:val="nil"/>
            </w:tcBorders>
            <w:shd w:val="clear" w:color="auto" w:fill="auto"/>
            <w:noWrap/>
            <w:vAlign w:val="center"/>
            <w:hideMark/>
          </w:tcPr>
          <w:p w14:paraId="1EC0232C"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15.2 (-0.3)</w:t>
            </w:r>
          </w:p>
        </w:tc>
        <w:tc>
          <w:tcPr>
            <w:tcW w:w="382" w:type="pct"/>
            <w:tcBorders>
              <w:top w:val="nil"/>
              <w:left w:val="nil"/>
              <w:bottom w:val="nil"/>
              <w:right w:val="nil"/>
            </w:tcBorders>
            <w:shd w:val="clear" w:color="auto" w:fill="auto"/>
            <w:noWrap/>
            <w:vAlign w:val="center"/>
            <w:hideMark/>
          </w:tcPr>
          <w:p w14:paraId="1EC0232D"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79</w:t>
            </w:r>
          </w:p>
        </w:tc>
      </w:tr>
      <w:tr w:rsidR="00B73266" w:rsidRPr="00B73266" w14:paraId="1EC02335" w14:textId="77777777" w:rsidTr="00F46CC4">
        <w:trPr>
          <w:trHeight w:val="20"/>
          <w:tblHeader/>
        </w:trPr>
        <w:tc>
          <w:tcPr>
            <w:tcW w:w="1825" w:type="pct"/>
            <w:tcBorders>
              <w:top w:val="nil"/>
              <w:left w:val="nil"/>
              <w:bottom w:val="nil"/>
              <w:right w:val="nil"/>
            </w:tcBorders>
            <w:shd w:val="clear" w:color="auto" w:fill="auto"/>
            <w:noWrap/>
            <w:vAlign w:val="center"/>
            <w:hideMark/>
          </w:tcPr>
          <w:p w14:paraId="1EC0232F"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Does not know (the req.)</w:t>
            </w:r>
          </w:p>
        </w:tc>
        <w:tc>
          <w:tcPr>
            <w:tcW w:w="658" w:type="pct"/>
            <w:tcBorders>
              <w:top w:val="nil"/>
              <w:left w:val="nil"/>
              <w:bottom w:val="nil"/>
              <w:right w:val="nil"/>
            </w:tcBorders>
            <w:shd w:val="clear" w:color="auto" w:fill="auto"/>
            <w:noWrap/>
            <w:vAlign w:val="center"/>
            <w:hideMark/>
          </w:tcPr>
          <w:p w14:paraId="1EC0233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7.7 (0.5)</w:t>
            </w:r>
          </w:p>
        </w:tc>
        <w:tc>
          <w:tcPr>
            <w:tcW w:w="686" w:type="pct"/>
            <w:tcBorders>
              <w:top w:val="nil"/>
              <w:left w:val="nil"/>
              <w:bottom w:val="nil"/>
              <w:right w:val="nil"/>
            </w:tcBorders>
            <w:shd w:val="clear" w:color="auto" w:fill="auto"/>
            <w:noWrap/>
            <w:vAlign w:val="center"/>
            <w:hideMark/>
          </w:tcPr>
          <w:p w14:paraId="1EC0233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41.5 (-0.5)</w:t>
            </w:r>
          </w:p>
        </w:tc>
        <w:tc>
          <w:tcPr>
            <w:tcW w:w="729" w:type="pct"/>
            <w:tcBorders>
              <w:top w:val="nil"/>
              <w:left w:val="nil"/>
              <w:bottom w:val="nil"/>
              <w:right w:val="nil"/>
            </w:tcBorders>
            <w:shd w:val="clear" w:color="auto" w:fill="auto"/>
            <w:noWrap/>
            <w:vAlign w:val="center"/>
            <w:hideMark/>
          </w:tcPr>
          <w:p w14:paraId="1EC0233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21.5 (-3.1)</w:t>
            </w:r>
          </w:p>
        </w:tc>
        <w:tc>
          <w:tcPr>
            <w:tcW w:w="720" w:type="pct"/>
            <w:tcBorders>
              <w:top w:val="nil"/>
              <w:left w:val="nil"/>
              <w:bottom w:val="nil"/>
              <w:right w:val="nil"/>
            </w:tcBorders>
            <w:shd w:val="clear" w:color="auto" w:fill="auto"/>
            <w:noWrap/>
            <w:vAlign w:val="center"/>
            <w:hideMark/>
          </w:tcPr>
          <w:p w14:paraId="1EC0233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29.2 (4.3)</w:t>
            </w:r>
          </w:p>
        </w:tc>
        <w:tc>
          <w:tcPr>
            <w:tcW w:w="382" w:type="pct"/>
            <w:tcBorders>
              <w:top w:val="nil"/>
              <w:left w:val="nil"/>
              <w:bottom w:val="nil"/>
              <w:right w:val="nil"/>
            </w:tcBorders>
            <w:shd w:val="clear" w:color="auto" w:fill="auto"/>
            <w:noWrap/>
            <w:vAlign w:val="center"/>
            <w:hideMark/>
          </w:tcPr>
          <w:p w14:paraId="1EC02334"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130</w:t>
            </w:r>
          </w:p>
        </w:tc>
      </w:tr>
      <w:tr w:rsidR="00B73266" w:rsidRPr="00B73266" w14:paraId="1EC0233C" w14:textId="77777777" w:rsidTr="00F46CC4">
        <w:trPr>
          <w:trHeight w:val="20"/>
          <w:tblHeader/>
        </w:trPr>
        <w:tc>
          <w:tcPr>
            <w:tcW w:w="1825" w:type="pct"/>
            <w:tcBorders>
              <w:top w:val="nil"/>
              <w:left w:val="nil"/>
              <w:bottom w:val="single" w:sz="8" w:space="0" w:color="auto"/>
              <w:right w:val="nil"/>
            </w:tcBorders>
            <w:shd w:val="clear" w:color="auto" w:fill="auto"/>
            <w:noWrap/>
            <w:vAlign w:val="center"/>
            <w:hideMark/>
          </w:tcPr>
          <w:p w14:paraId="1EC02336"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 close family</w:t>
            </w:r>
          </w:p>
        </w:tc>
        <w:tc>
          <w:tcPr>
            <w:tcW w:w="658" w:type="pct"/>
            <w:tcBorders>
              <w:top w:val="nil"/>
              <w:left w:val="nil"/>
              <w:bottom w:val="single" w:sz="8" w:space="0" w:color="auto"/>
              <w:right w:val="nil"/>
            </w:tcBorders>
            <w:shd w:val="clear" w:color="auto" w:fill="auto"/>
            <w:noWrap/>
            <w:vAlign w:val="center"/>
            <w:hideMark/>
          </w:tcPr>
          <w:p w14:paraId="1EC0233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12.3 (3.2)</w:t>
            </w:r>
          </w:p>
        </w:tc>
        <w:tc>
          <w:tcPr>
            <w:tcW w:w="686" w:type="pct"/>
            <w:tcBorders>
              <w:top w:val="nil"/>
              <w:left w:val="nil"/>
              <w:bottom w:val="single" w:sz="8" w:space="0" w:color="auto"/>
              <w:right w:val="nil"/>
            </w:tcBorders>
            <w:shd w:val="clear" w:color="auto" w:fill="auto"/>
            <w:noWrap/>
            <w:vAlign w:val="center"/>
            <w:hideMark/>
          </w:tcPr>
          <w:p w14:paraId="1EC0233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37.4 (-1.7)</w:t>
            </w:r>
          </w:p>
        </w:tc>
        <w:tc>
          <w:tcPr>
            <w:tcW w:w="729" w:type="pct"/>
            <w:tcBorders>
              <w:top w:val="nil"/>
              <w:left w:val="nil"/>
              <w:bottom w:val="single" w:sz="8" w:space="0" w:color="auto"/>
              <w:right w:val="nil"/>
            </w:tcBorders>
            <w:shd w:val="clear" w:color="auto" w:fill="auto"/>
            <w:noWrap/>
            <w:vAlign w:val="center"/>
            <w:hideMark/>
          </w:tcPr>
          <w:p w14:paraId="1EC0233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33.7 (0.1)</w:t>
            </w:r>
          </w:p>
        </w:tc>
        <w:tc>
          <w:tcPr>
            <w:tcW w:w="720" w:type="pct"/>
            <w:tcBorders>
              <w:top w:val="nil"/>
              <w:left w:val="nil"/>
              <w:bottom w:val="single" w:sz="8" w:space="0" w:color="auto"/>
              <w:right w:val="nil"/>
            </w:tcBorders>
            <w:shd w:val="clear" w:color="auto" w:fill="auto"/>
            <w:noWrap/>
            <w:vAlign w:val="center"/>
            <w:hideMark/>
          </w:tcPr>
          <w:p w14:paraId="1EC0233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16.6 (0)</w:t>
            </w:r>
          </w:p>
        </w:tc>
        <w:tc>
          <w:tcPr>
            <w:tcW w:w="382" w:type="pct"/>
            <w:tcBorders>
              <w:top w:val="nil"/>
              <w:left w:val="nil"/>
              <w:bottom w:val="single" w:sz="8" w:space="0" w:color="auto"/>
              <w:right w:val="nil"/>
            </w:tcBorders>
            <w:shd w:val="clear" w:color="auto" w:fill="auto"/>
            <w:noWrap/>
            <w:vAlign w:val="center"/>
            <w:hideMark/>
          </w:tcPr>
          <w:p w14:paraId="1EC0233B"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163</w:t>
            </w:r>
          </w:p>
        </w:tc>
      </w:tr>
      <w:tr w:rsidR="00B73266" w:rsidRPr="00B73266" w14:paraId="1EC0233E" w14:textId="77777777" w:rsidTr="00F46CC4">
        <w:trPr>
          <w:trHeight w:val="20"/>
          <w:tblHeader/>
        </w:trPr>
        <w:tc>
          <w:tcPr>
            <w:tcW w:w="5000" w:type="pct"/>
            <w:gridSpan w:val="6"/>
            <w:tcBorders>
              <w:top w:val="single" w:sz="8" w:space="0" w:color="auto"/>
              <w:left w:val="nil"/>
              <w:right w:val="nil"/>
            </w:tcBorders>
            <w:shd w:val="clear" w:color="auto" w:fill="auto"/>
            <w:noWrap/>
            <w:vAlign w:val="center"/>
          </w:tcPr>
          <w:p w14:paraId="1EC0233D" w14:textId="5F57B175" w:rsidR="00B73266" w:rsidRPr="00B73266" w:rsidRDefault="00B73266" w:rsidP="000F0537">
            <w:pPr>
              <w:spacing w:before="120" w:line="240" w:lineRule="auto"/>
              <w:rPr>
                <w:color w:val="000000"/>
                <w:sz w:val="22"/>
                <w:szCs w:val="22"/>
                <w:lang w:eastAsia="ja-JP"/>
              </w:rPr>
            </w:pPr>
            <w:r w:rsidRPr="00B73266">
              <w:rPr>
                <w:color w:val="000000"/>
                <w:sz w:val="22"/>
                <w:szCs w:val="22"/>
                <w:lang w:eastAsia="ja-JP"/>
              </w:rPr>
              <w:t xml:space="preserve">Whether feels </w:t>
            </w:r>
            <w:r w:rsidR="000F0537">
              <w:rPr>
                <w:color w:val="000000"/>
                <w:sz w:val="22"/>
                <w:szCs w:val="22"/>
                <w:lang w:eastAsia="ja-JP"/>
              </w:rPr>
              <w:t>anxious about</w:t>
            </w:r>
            <w:r w:rsidRPr="00B73266">
              <w:rPr>
                <w:color w:val="000000"/>
                <w:sz w:val="22"/>
                <w:szCs w:val="22"/>
                <w:lang w:eastAsia="ja-JP"/>
              </w:rPr>
              <w:t xml:space="preserve"> the possibility of Brexit: χ</w:t>
            </w:r>
            <w:r w:rsidRPr="00B73266">
              <w:rPr>
                <w:color w:val="000000"/>
                <w:sz w:val="22"/>
                <w:szCs w:val="22"/>
                <w:vertAlign w:val="superscript"/>
                <w:lang w:eastAsia="ja-JP"/>
              </w:rPr>
              <w:t>2</w:t>
            </w:r>
            <w:r w:rsidRPr="00B73266">
              <w:rPr>
                <w:color w:val="000000"/>
                <w:sz w:val="22"/>
                <w:szCs w:val="22"/>
                <w:lang w:eastAsia="ja-JP"/>
              </w:rPr>
              <w:t>=6.753 (3, N=824), p=0.080</w:t>
            </w:r>
          </w:p>
        </w:tc>
      </w:tr>
      <w:tr w:rsidR="00B73266" w:rsidRPr="00B73266" w14:paraId="1EC02345" w14:textId="77777777" w:rsidTr="00F46CC4">
        <w:trPr>
          <w:trHeight w:val="20"/>
          <w:tblHeader/>
        </w:trPr>
        <w:tc>
          <w:tcPr>
            <w:tcW w:w="1825" w:type="pct"/>
            <w:tcBorders>
              <w:left w:val="nil"/>
              <w:bottom w:val="nil"/>
              <w:right w:val="nil"/>
            </w:tcBorders>
            <w:shd w:val="clear" w:color="auto" w:fill="auto"/>
            <w:noWrap/>
            <w:vAlign w:val="center"/>
            <w:hideMark/>
          </w:tcPr>
          <w:p w14:paraId="1EC0233F"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Yes</w:t>
            </w:r>
          </w:p>
        </w:tc>
        <w:tc>
          <w:tcPr>
            <w:tcW w:w="658" w:type="pct"/>
            <w:tcBorders>
              <w:left w:val="nil"/>
              <w:bottom w:val="nil"/>
              <w:right w:val="nil"/>
            </w:tcBorders>
            <w:shd w:val="clear" w:color="auto" w:fill="auto"/>
            <w:noWrap/>
            <w:vAlign w:val="center"/>
            <w:hideMark/>
          </w:tcPr>
          <w:p w14:paraId="1EC0234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 (-1.6)</w:t>
            </w:r>
          </w:p>
        </w:tc>
        <w:tc>
          <w:tcPr>
            <w:tcW w:w="686" w:type="pct"/>
            <w:tcBorders>
              <w:left w:val="nil"/>
              <w:bottom w:val="nil"/>
              <w:right w:val="nil"/>
            </w:tcBorders>
            <w:shd w:val="clear" w:color="auto" w:fill="auto"/>
            <w:noWrap/>
            <w:vAlign w:val="center"/>
            <w:hideMark/>
          </w:tcPr>
          <w:p w14:paraId="1EC0234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42 (-0.5)</w:t>
            </w:r>
          </w:p>
        </w:tc>
        <w:tc>
          <w:tcPr>
            <w:tcW w:w="729" w:type="pct"/>
            <w:tcBorders>
              <w:left w:val="nil"/>
              <w:bottom w:val="nil"/>
              <w:right w:val="nil"/>
            </w:tcBorders>
            <w:shd w:val="clear" w:color="auto" w:fill="auto"/>
            <w:noWrap/>
            <w:vAlign w:val="center"/>
            <w:hideMark/>
          </w:tcPr>
          <w:p w14:paraId="1EC0234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38.3 (2.2)</w:t>
            </w:r>
          </w:p>
        </w:tc>
        <w:tc>
          <w:tcPr>
            <w:tcW w:w="720" w:type="pct"/>
            <w:tcBorders>
              <w:left w:val="nil"/>
              <w:bottom w:val="nil"/>
              <w:right w:val="nil"/>
            </w:tcBorders>
            <w:shd w:val="clear" w:color="auto" w:fill="auto"/>
            <w:noWrap/>
            <w:vAlign w:val="center"/>
            <w:hideMark/>
          </w:tcPr>
          <w:p w14:paraId="1EC0234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14.8 (-1.1)</w:t>
            </w:r>
          </w:p>
        </w:tc>
        <w:tc>
          <w:tcPr>
            <w:tcW w:w="382" w:type="pct"/>
            <w:tcBorders>
              <w:left w:val="nil"/>
              <w:bottom w:val="nil"/>
              <w:right w:val="nil"/>
            </w:tcBorders>
            <w:shd w:val="clear" w:color="auto" w:fill="auto"/>
            <w:noWrap/>
            <w:vAlign w:val="center"/>
            <w:hideMark/>
          </w:tcPr>
          <w:p w14:paraId="1EC02344"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379</w:t>
            </w:r>
          </w:p>
        </w:tc>
      </w:tr>
      <w:tr w:rsidR="00B73266" w:rsidRPr="00B73266" w14:paraId="1EC0234C" w14:textId="77777777" w:rsidTr="00F46CC4">
        <w:trPr>
          <w:trHeight w:val="20"/>
          <w:tblHeader/>
        </w:trPr>
        <w:tc>
          <w:tcPr>
            <w:tcW w:w="1825" w:type="pct"/>
            <w:tcBorders>
              <w:top w:val="nil"/>
              <w:left w:val="nil"/>
              <w:right w:val="nil"/>
            </w:tcBorders>
            <w:shd w:val="clear" w:color="auto" w:fill="auto"/>
            <w:noWrap/>
            <w:vAlign w:val="center"/>
            <w:hideMark/>
          </w:tcPr>
          <w:p w14:paraId="1EC02346"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No</w:t>
            </w:r>
          </w:p>
        </w:tc>
        <w:tc>
          <w:tcPr>
            <w:tcW w:w="658" w:type="pct"/>
            <w:tcBorders>
              <w:top w:val="nil"/>
              <w:left w:val="nil"/>
              <w:right w:val="nil"/>
            </w:tcBorders>
            <w:shd w:val="clear" w:color="auto" w:fill="auto"/>
            <w:noWrap/>
            <w:vAlign w:val="center"/>
            <w:hideMark/>
          </w:tcPr>
          <w:p w14:paraId="1EC0234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7.9 (1.6)</w:t>
            </w:r>
          </w:p>
        </w:tc>
        <w:tc>
          <w:tcPr>
            <w:tcW w:w="686" w:type="pct"/>
            <w:tcBorders>
              <w:top w:val="nil"/>
              <w:left w:val="nil"/>
              <w:right w:val="nil"/>
            </w:tcBorders>
            <w:shd w:val="clear" w:color="auto" w:fill="auto"/>
            <w:noWrap/>
            <w:vAlign w:val="center"/>
            <w:hideMark/>
          </w:tcPr>
          <w:p w14:paraId="1EC0234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43.6 (0.5)</w:t>
            </w:r>
          </w:p>
        </w:tc>
        <w:tc>
          <w:tcPr>
            <w:tcW w:w="729" w:type="pct"/>
            <w:tcBorders>
              <w:top w:val="nil"/>
              <w:left w:val="nil"/>
              <w:right w:val="nil"/>
            </w:tcBorders>
            <w:shd w:val="clear" w:color="auto" w:fill="auto"/>
            <w:noWrap/>
            <w:vAlign w:val="center"/>
            <w:hideMark/>
          </w:tcPr>
          <w:p w14:paraId="1EC0234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31 (-2.2)</w:t>
            </w:r>
          </w:p>
        </w:tc>
        <w:tc>
          <w:tcPr>
            <w:tcW w:w="720" w:type="pct"/>
            <w:tcBorders>
              <w:top w:val="nil"/>
              <w:left w:val="nil"/>
              <w:right w:val="nil"/>
            </w:tcBorders>
            <w:shd w:val="clear" w:color="auto" w:fill="auto"/>
            <w:noWrap/>
            <w:vAlign w:val="center"/>
            <w:hideMark/>
          </w:tcPr>
          <w:p w14:paraId="1EC0234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17.5 (1.1)</w:t>
            </w:r>
          </w:p>
        </w:tc>
        <w:tc>
          <w:tcPr>
            <w:tcW w:w="382" w:type="pct"/>
            <w:tcBorders>
              <w:top w:val="nil"/>
              <w:left w:val="nil"/>
              <w:right w:val="nil"/>
            </w:tcBorders>
            <w:shd w:val="clear" w:color="auto" w:fill="auto"/>
            <w:noWrap/>
            <w:vAlign w:val="center"/>
            <w:hideMark/>
          </w:tcPr>
          <w:p w14:paraId="1EC0234B"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445</w:t>
            </w:r>
          </w:p>
        </w:tc>
      </w:tr>
      <w:tr w:rsidR="00B73266" w:rsidRPr="00B73266" w14:paraId="1EC0234E" w14:textId="77777777" w:rsidTr="00F46CC4">
        <w:trPr>
          <w:trHeight w:val="20"/>
          <w:tblHeader/>
        </w:trPr>
        <w:tc>
          <w:tcPr>
            <w:tcW w:w="5000" w:type="pct"/>
            <w:gridSpan w:val="6"/>
            <w:tcBorders>
              <w:left w:val="nil"/>
              <w:right w:val="nil"/>
            </w:tcBorders>
            <w:shd w:val="clear" w:color="auto" w:fill="auto"/>
            <w:noWrap/>
            <w:vAlign w:val="center"/>
          </w:tcPr>
          <w:p w14:paraId="1EC0234D" w14:textId="77777777" w:rsidR="00B73266" w:rsidRPr="00B73266" w:rsidRDefault="00B73266" w:rsidP="00884EA8">
            <w:pPr>
              <w:spacing w:before="120" w:line="240" w:lineRule="auto"/>
              <w:rPr>
                <w:color w:val="000000"/>
                <w:sz w:val="22"/>
                <w:szCs w:val="22"/>
                <w:lang w:eastAsia="ja-JP"/>
              </w:rPr>
            </w:pPr>
            <w:r w:rsidRPr="00B73266">
              <w:rPr>
                <w:color w:val="000000"/>
                <w:sz w:val="22"/>
                <w:szCs w:val="22"/>
                <w:lang w:eastAsia="ja-JP"/>
              </w:rPr>
              <w:t>Preference for the outcome of the EU Referendum: χ</w:t>
            </w:r>
            <w:r w:rsidRPr="00B73266">
              <w:rPr>
                <w:color w:val="000000"/>
                <w:sz w:val="22"/>
                <w:szCs w:val="22"/>
                <w:vertAlign w:val="superscript"/>
                <w:lang w:eastAsia="ja-JP"/>
              </w:rPr>
              <w:t>2</w:t>
            </w:r>
            <w:r w:rsidRPr="00B73266">
              <w:rPr>
                <w:color w:val="000000"/>
                <w:sz w:val="22"/>
                <w:szCs w:val="22"/>
                <w:lang w:eastAsia="ja-JP"/>
              </w:rPr>
              <w:t>=11.269 (3, N=817), p=0.010</w:t>
            </w:r>
          </w:p>
        </w:tc>
      </w:tr>
      <w:tr w:rsidR="00B73266" w:rsidRPr="00B73266" w14:paraId="1EC02355" w14:textId="77777777" w:rsidTr="00F46CC4">
        <w:trPr>
          <w:trHeight w:val="20"/>
          <w:tblHeader/>
        </w:trPr>
        <w:tc>
          <w:tcPr>
            <w:tcW w:w="1825" w:type="pct"/>
            <w:tcBorders>
              <w:left w:val="nil"/>
              <w:bottom w:val="nil"/>
              <w:right w:val="nil"/>
            </w:tcBorders>
            <w:shd w:val="clear" w:color="auto" w:fill="auto"/>
            <w:noWrap/>
            <w:vAlign w:val="center"/>
            <w:hideMark/>
          </w:tcPr>
          <w:p w14:paraId="1EC0234F"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Leave (or conditional stay)</w:t>
            </w:r>
          </w:p>
        </w:tc>
        <w:tc>
          <w:tcPr>
            <w:tcW w:w="658" w:type="pct"/>
            <w:tcBorders>
              <w:left w:val="nil"/>
              <w:bottom w:val="nil"/>
              <w:right w:val="nil"/>
            </w:tcBorders>
            <w:shd w:val="clear" w:color="auto" w:fill="auto"/>
            <w:noWrap/>
            <w:vAlign w:val="center"/>
            <w:hideMark/>
          </w:tcPr>
          <w:p w14:paraId="1EC02350"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5.6 (-1.1)</w:t>
            </w:r>
          </w:p>
        </w:tc>
        <w:tc>
          <w:tcPr>
            <w:tcW w:w="686" w:type="pct"/>
            <w:tcBorders>
              <w:left w:val="nil"/>
              <w:bottom w:val="nil"/>
              <w:right w:val="nil"/>
            </w:tcBorders>
            <w:shd w:val="clear" w:color="auto" w:fill="auto"/>
            <w:noWrap/>
            <w:vAlign w:val="center"/>
            <w:hideMark/>
          </w:tcPr>
          <w:p w14:paraId="1EC02351"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46.1 (1.9)</w:t>
            </w:r>
          </w:p>
        </w:tc>
        <w:tc>
          <w:tcPr>
            <w:tcW w:w="729" w:type="pct"/>
            <w:tcBorders>
              <w:left w:val="nil"/>
              <w:bottom w:val="nil"/>
              <w:right w:val="nil"/>
            </w:tcBorders>
            <w:shd w:val="clear" w:color="auto" w:fill="auto"/>
            <w:noWrap/>
            <w:vAlign w:val="center"/>
            <w:hideMark/>
          </w:tcPr>
          <w:p w14:paraId="1EC02352"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35.7 (1)</w:t>
            </w:r>
          </w:p>
        </w:tc>
        <w:tc>
          <w:tcPr>
            <w:tcW w:w="720" w:type="pct"/>
            <w:tcBorders>
              <w:left w:val="nil"/>
              <w:bottom w:val="nil"/>
              <w:right w:val="nil"/>
            </w:tcBorders>
            <w:shd w:val="clear" w:color="auto" w:fill="auto"/>
            <w:noWrap/>
            <w:vAlign w:val="center"/>
            <w:hideMark/>
          </w:tcPr>
          <w:p w14:paraId="1EC02353"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12.6 (-3)</w:t>
            </w:r>
          </w:p>
        </w:tc>
        <w:tc>
          <w:tcPr>
            <w:tcW w:w="382" w:type="pct"/>
            <w:tcBorders>
              <w:left w:val="nil"/>
              <w:bottom w:val="nil"/>
              <w:right w:val="nil"/>
            </w:tcBorders>
            <w:shd w:val="clear" w:color="auto" w:fill="auto"/>
            <w:noWrap/>
            <w:vAlign w:val="center"/>
            <w:hideMark/>
          </w:tcPr>
          <w:p w14:paraId="1EC02354"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414</w:t>
            </w:r>
          </w:p>
        </w:tc>
      </w:tr>
      <w:tr w:rsidR="00B73266" w:rsidRPr="00B73266" w14:paraId="1EC0235C" w14:textId="77777777" w:rsidTr="00F46CC4">
        <w:trPr>
          <w:trHeight w:val="20"/>
          <w:tblHeader/>
        </w:trPr>
        <w:tc>
          <w:tcPr>
            <w:tcW w:w="1825" w:type="pct"/>
            <w:tcBorders>
              <w:top w:val="nil"/>
              <w:left w:val="nil"/>
              <w:bottom w:val="single" w:sz="8" w:space="0" w:color="auto"/>
              <w:right w:val="nil"/>
            </w:tcBorders>
            <w:shd w:val="clear" w:color="auto" w:fill="auto"/>
            <w:noWrap/>
            <w:vAlign w:val="center"/>
            <w:hideMark/>
          </w:tcPr>
          <w:p w14:paraId="1EC02356" w14:textId="77777777" w:rsidR="00B73266" w:rsidRPr="00B73266" w:rsidRDefault="00B73266" w:rsidP="00884EA8">
            <w:pPr>
              <w:spacing w:line="240" w:lineRule="auto"/>
              <w:ind w:left="142"/>
              <w:rPr>
                <w:color w:val="000000"/>
                <w:sz w:val="22"/>
                <w:szCs w:val="22"/>
                <w:lang w:eastAsia="ja-JP"/>
              </w:rPr>
            </w:pPr>
            <w:r w:rsidRPr="00B73266">
              <w:rPr>
                <w:color w:val="000000"/>
                <w:sz w:val="22"/>
                <w:szCs w:val="22"/>
                <w:lang w:eastAsia="ja-JP"/>
              </w:rPr>
              <w:t>Remain (and integrate further)</w:t>
            </w:r>
          </w:p>
        </w:tc>
        <w:tc>
          <w:tcPr>
            <w:tcW w:w="658" w:type="pct"/>
            <w:tcBorders>
              <w:top w:val="nil"/>
              <w:left w:val="nil"/>
              <w:bottom w:val="single" w:sz="8" w:space="0" w:color="auto"/>
              <w:right w:val="nil"/>
            </w:tcBorders>
            <w:shd w:val="clear" w:color="auto" w:fill="auto"/>
            <w:noWrap/>
            <w:vAlign w:val="center"/>
            <w:hideMark/>
          </w:tcPr>
          <w:p w14:paraId="1EC02357"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7.4 (1.1)</w:t>
            </w:r>
          </w:p>
        </w:tc>
        <w:tc>
          <w:tcPr>
            <w:tcW w:w="686" w:type="pct"/>
            <w:tcBorders>
              <w:top w:val="nil"/>
              <w:left w:val="nil"/>
              <w:bottom w:val="single" w:sz="8" w:space="0" w:color="auto"/>
              <w:right w:val="nil"/>
            </w:tcBorders>
            <w:shd w:val="clear" w:color="auto" w:fill="auto"/>
            <w:noWrap/>
            <w:vAlign w:val="center"/>
            <w:hideMark/>
          </w:tcPr>
          <w:p w14:paraId="1EC02358"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39.7 (-1.9)</w:t>
            </w:r>
          </w:p>
        </w:tc>
        <w:tc>
          <w:tcPr>
            <w:tcW w:w="729" w:type="pct"/>
            <w:tcBorders>
              <w:top w:val="nil"/>
              <w:left w:val="nil"/>
              <w:bottom w:val="single" w:sz="8" w:space="0" w:color="auto"/>
              <w:right w:val="nil"/>
            </w:tcBorders>
            <w:shd w:val="clear" w:color="auto" w:fill="auto"/>
            <w:noWrap/>
            <w:vAlign w:val="center"/>
            <w:hideMark/>
          </w:tcPr>
          <w:p w14:paraId="1EC02359"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32.5 (-1)</w:t>
            </w:r>
          </w:p>
        </w:tc>
        <w:tc>
          <w:tcPr>
            <w:tcW w:w="720" w:type="pct"/>
            <w:tcBorders>
              <w:top w:val="nil"/>
              <w:left w:val="nil"/>
              <w:bottom w:val="single" w:sz="8" w:space="0" w:color="auto"/>
              <w:right w:val="nil"/>
            </w:tcBorders>
            <w:shd w:val="clear" w:color="auto" w:fill="auto"/>
            <w:noWrap/>
            <w:vAlign w:val="center"/>
            <w:hideMark/>
          </w:tcPr>
          <w:p w14:paraId="1EC0235A" w14:textId="77777777" w:rsidR="00B73266" w:rsidRPr="00B73266" w:rsidRDefault="00B73266" w:rsidP="00884EA8">
            <w:pPr>
              <w:spacing w:line="240" w:lineRule="auto"/>
              <w:rPr>
                <w:color w:val="000000"/>
                <w:sz w:val="22"/>
                <w:szCs w:val="22"/>
                <w:lang w:eastAsia="ja-JP"/>
              </w:rPr>
            </w:pPr>
            <w:r w:rsidRPr="00B73266">
              <w:rPr>
                <w:color w:val="000000"/>
                <w:sz w:val="22"/>
                <w:szCs w:val="22"/>
                <w:lang w:eastAsia="ja-JP"/>
              </w:rPr>
              <w:t>20.3 (3)</w:t>
            </w:r>
          </w:p>
        </w:tc>
        <w:tc>
          <w:tcPr>
            <w:tcW w:w="382" w:type="pct"/>
            <w:tcBorders>
              <w:top w:val="nil"/>
              <w:left w:val="nil"/>
              <w:bottom w:val="single" w:sz="8" w:space="0" w:color="auto"/>
              <w:right w:val="nil"/>
            </w:tcBorders>
            <w:shd w:val="clear" w:color="auto" w:fill="auto"/>
            <w:noWrap/>
            <w:vAlign w:val="center"/>
            <w:hideMark/>
          </w:tcPr>
          <w:p w14:paraId="1EC0235B" w14:textId="77777777" w:rsidR="00B73266" w:rsidRPr="00B73266" w:rsidRDefault="00B73266" w:rsidP="00884EA8">
            <w:pPr>
              <w:spacing w:line="240" w:lineRule="auto"/>
              <w:jc w:val="center"/>
              <w:rPr>
                <w:color w:val="000000"/>
                <w:sz w:val="22"/>
                <w:szCs w:val="22"/>
                <w:lang w:eastAsia="ja-JP"/>
              </w:rPr>
            </w:pPr>
            <w:r w:rsidRPr="00B73266">
              <w:rPr>
                <w:color w:val="000000"/>
                <w:sz w:val="22"/>
                <w:szCs w:val="22"/>
                <w:lang w:eastAsia="ja-JP"/>
              </w:rPr>
              <w:t>403</w:t>
            </w:r>
          </w:p>
        </w:tc>
      </w:tr>
      <w:tr w:rsidR="00B73266" w:rsidRPr="00B73266" w14:paraId="1EC0235F" w14:textId="77777777" w:rsidTr="00F46CC4">
        <w:trPr>
          <w:trHeight w:val="20"/>
          <w:tblHeader/>
        </w:trPr>
        <w:tc>
          <w:tcPr>
            <w:tcW w:w="5000" w:type="pct"/>
            <w:gridSpan w:val="6"/>
            <w:tcBorders>
              <w:top w:val="single" w:sz="8" w:space="0" w:color="auto"/>
              <w:left w:val="nil"/>
              <w:bottom w:val="single" w:sz="8" w:space="0" w:color="auto"/>
              <w:right w:val="nil"/>
            </w:tcBorders>
            <w:shd w:val="clear" w:color="auto" w:fill="auto"/>
            <w:noWrap/>
            <w:vAlign w:val="center"/>
          </w:tcPr>
          <w:p w14:paraId="1EC0235D" w14:textId="77777777" w:rsidR="00B73266" w:rsidRPr="00B73266" w:rsidRDefault="00B73266" w:rsidP="00884EA8">
            <w:pPr>
              <w:spacing w:line="240" w:lineRule="auto"/>
              <w:ind w:left="34" w:right="-108"/>
              <w:rPr>
                <w:color w:val="000000"/>
                <w:sz w:val="20"/>
                <w:szCs w:val="22"/>
                <w:lang w:eastAsia="ja-JP"/>
              </w:rPr>
            </w:pPr>
            <w:r w:rsidRPr="00B73266">
              <w:rPr>
                <w:color w:val="000000"/>
                <w:sz w:val="20"/>
                <w:szCs w:val="22"/>
                <w:lang w:eastAsia="ja-JP"/>
              </w:rPr>
              <w:t>Notes:</w:t>
            </w:r>
          </w:p>
          <w:p w14:paraId="1EC0235E" w14:textId="77777777" w:rsidR="00B73266" w:rsidRPr="00B73266" w:rsidRDefault="00B73266" w:rsidP="00884EA8">
            <w:pPr>
              <w:spacing w:line="240" w:lineRule="auto"/>
              <w:ind w:left="34" w:right="-108"/>
              <w:rPr>
                <w:color w:val="000000"/>
                <w:sz w:val="22"/>
                <w:szCs w:val="22"/>
                <w:lang w:eastAsia="ja-JP"/>
              </w:rPr>
            </w:pPr>
            <w:r w:rsidRPr="00B73266">
              <w:rPr>
                <w:color w:val="000000"/>
                <w:sz w:val="20"/>
                <w:szCs w:val="22"/>
                <w:vertAlign w:val="superscript"/>
                <w:lang w:eastAsia="ja-JP"/>
              </w:rPr>
              <w:t>1</w:t>
            </w:r>
            <w:r w:rsidRPr="00B73266">
              <w:rPr>
                <w:color w:val="000000"/>
                <w:sz w:val="20"/>
                <w:szCs w:val="22"/>
                <w:lang w:eastAsia="ja-JP"/>
              </w:rPr>
              <w:t xml:space="preserve"> Generally, cells with standardised residuals greater than ±2.6 significantly contribute to the chi-square statistic</w:t>
            </w:r>
            <w:r w:rsidRPr="00B73266">
              <w:rPr>
                <w:rFonts w:eastAsia="MS Mincho"/>
                <w:sz w:val="20"/>
                <w:szCs w:val="22"/>
                <w:lang w:eastAsia="ja-JP"/>
              </w:rPr>
              <w:t xml:space="preserve"> </w:t>
            </w:r>
            <w:r w:rsidRPr="00B73266">
              <w:rPr>
                <w:color w:val="000000"/>
                <w:sz w:val="20"/>
                <w:szCs w:val="22"/>
                <w:lang w:eastAsia="ja-JP"/>
              </w:rPr>
              <w:t>at p&lt;.01</w:t>
            </w:r>
          </w:p>
        </w:tc>
      </w:tr>
    </w:tbl>
    <w:p w14:paraId="1EC02360" w14:textId="3BA5748E" w:rsidR="00B73266" w:rsidRPr="004C541E" w:rsidRDefault="00B73266" w:rsidP="00B73266"/>
    <w:sectPr w:rsidR="00B73266" w:rsidRPr="004C541E" w:rsidSect="00F25485">
      <w:endnotePr>
        <w:numFmt w:val="decimal"/>
      </w:endnotePr>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5741" w14:textId="77777777" w:rsidR="00561861" w:rsidRDefault="00561861" w:rsidP="00AF2C92">
      <w:r>
        <w:separator/>
      </w:r>
    </w:p>
  </w:endnote>
  <w:endnote w:type="continuationSeparator" w:id="0">
    <w:p w14:paraId="52581767" w14:textId="77777777" w:rsidR="00561861" w:rsidRDefault="00561861" w:rsidP="00AF2C92">
      <w:r>
        <w:continuationSeparator/>
      </w:r>
    </w:p>
  </w:endnote>
  <w:endnote w:id="1">
    <w:p w14:paraId="71A1CF8C" w14:textId="133CB9CD" w:rsidR="00561861" w:rsidRPr="00C82D41" w:rsidRDefault="00561861" w:rsidP="00C82D41">
      <w:pPr>
        <w:pStyle w:val="Footnotes"/>
      </w:pPr>
      <w:r w:rsidRPr="00C82D41">
        <w:rPr>
          <w:rStyle w:val="EndnoteReference"/>
          <w:vertAlign w:val="baseline"/>
        </w:rPr>
        <w:endnoteRef/>
      </w:r>
      <w:r w:rsidRPr="00C82D41">
        <w:t xml:space="preserve"> Obtaining a Permanent Residence Certificate as an EU national requires 5 years of (almost) continuous residence while exercising EU Treaty Rights; once the certificate is obtained, an application for British citizenship requires a further one year of continuous residence (as well as passing a ‘Life in the UK’ test, and subject to other more specific criteria).</w:t>
      </w:r>
    </w:p>
  </w:endnote>
  <w:endnote w:id="2">
    <w:p w14:paraId="1EC02369" w14:textId="0DAFC0A1" w:rsidR="00561861" w:rsidRPr="0029421B" w:rsidRDefault="00561861" w:rsidP="00B7549A">
      <w:pPr>
        <w:pStyle w:val="Footnotes"/>
      </w:pPr>
      <w:r w:rsidRPr="0029421B">
        <w:rPr>
          <w:rStyle w:val="EndnoteReference"/>
          <w:vertAlign w:val="baseline"/>
        </w:rPr>
        <w:endnoteRef/>
      </w:r>
      <w:r>
        <w:t xml:space="preserve"> </w:t>
      </w:r>
      <w:r w:rsidRPr="0029421B">
        <w:t>For a detailed description of our study</w:t>
      </w:r>
      <w:r>
        <w:t xml:space="preserve"> and methodology</w:t>
      </w:r>
      <w:r w:rsidRPr="0029421B">
        <w:t>, consult our research report avai</w:t>
      </w:r>
      <w:r>
        <w:t xml:space="preserve">lable at </w:t>
      </w:r>
      <w:r w:rsidRPr="00760219">
        <w:rPr>
          <w:color w:val="FF0000"/>
        </w:rPr>
        <w:t>[information withheld]</w:t>
      </w:r>
      <w:r>
        <w:t xml:space="preserve">. The survey research project underwent ethical screening and was approved by </w:t>
      </w:r>
      <w:r w:rsidRPr="00760219">
        <w:t>the University’s Ethical Governance Committee</w:t>
      </w:r>
      <w:r>
        <w:t xml:space="preserve"> </w:t>
      </w:r>
      <w:r w:rsidRPr="00760219">
        <w:rPr>
          <w:color w:val="FF0000"/>
        </w:rPr>
        <w:t>[number withheld]</w:t>
      </w:r>
      <w:r>
        <w:t>.</w:t>
      </w:r>
    </w:p>
  </w:endnote>
  <w:endnote w:id="3">
    <w:p w14:paraId="028E61C3" w14:textId="3B5B1456" w:rsidR="00561861" w:rsidRPr="00405BA4" w:rsidRDefault="00561861" w:rsidP="00405BA4">
      <w:pPr>
        <w:pStyle w:val="Footnotes"/>
      </w:pPr>
      <w:r w:rsidRPr="00405BA4">
        <w:rPr>
          <w:rStyle w:val="EndnoteReference"/>
          <w:vertAlign w:val="baseline"/>
        </w:rPr>
        <w:endnoteRef/>
      </w:r>
      <w:r w:rsidRPr="00405BA4">
        <w:t xml:space="preserve"> As mentioned earlier, the category of those ‘indeterminate’ who already hold a PRC are only presented here for descriptive purposes and will be excluded from statistical analyses.</w:t>
      </w:r>
    </w:p>
  </w:endnote>
  <w:endnote w:id="4">
    <w:p w14:paraId="380223A2" w14:textId="210DEC15" w:rsidR="00561861" w:rsidRPr="00CA7FD3" w:rsidRDefault="00561861" w:rsidP="00CA7FD3">
      <w:pPr>
        <w:pStyle w:val="Footnotes"/>
      </w:pPr>
      <w:r w:rsidRPr="00CA7FD3">
        <w:rPr>
          <w:rStyle w:val="EndnoteReference"/>
          <w:vertAlign w:val="baseline"/>
        </w:rPr>
        <w:endnoteRef/>
      </w:r>
      <w:r w:rsidRPr="00CA7FD3">
        <w:t xml:space="preserve"> Given </w:t>
      </w:r>
      <w:r>
        <w:t xml:space="preserve">the impressive size of this odds ratio it is worth noting that the lower bound of the 95% confidence interval for Exp(B) was </w:t>
      </w:r>
      <w:r w:rsidRPr="001D2545">
        <w:t>42.254</w:t>
      </w:r>
      <w:r>
        <w:t xml:space="preserve">, and the upper bound was </w:t>
      </w:r>
      <w:r w:rsidRPr="001D2545">
        <w:t>242.779</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30860"/>
      <w:docPartObj>
        <w:docPartGallery w:val="Page Numbers (Bottom of Page)"/>
        <w:docPartUnique/>
      </w:docPartObj>
    </w:sdtPr>
    <w:sdtEndPr>
      <w:rPr>
        <w:noProof/>
      </w:rPr>
    </w:sdtEndPr>
    <w:sdtContent>
      <w:p w14:paraId="6B0425B0" w14:textId="7EF05DBE" w:rsidR="00561861" w:rsidRDefault="00561861">
        <w:pPr>
          <w:pStyle w:val="Footer"/>
          <w:jc w:val="center"/>
        </w:pPr>
        <w:r>
          <w:fldChar w:fldCharType="begin"/>
        </w:r>
        <w:r>
          <w:instrText xml:space="preserve"> PAGE   \* MERGEFORMAT </w:instrText>
        </w:r>
        <w:r>
          <w:fldChar w:fldCharType="separate"/>
        </w:r>
        <w:r w:rsidR="00AD2435">
          <w:rPr>
            <w:noProof/>
          </w:rPr>
          <w:t>4</w:t>
        </w:r>
        <w:r>
          <w:rPr>
            <w:noProof/>
          </w:rPr>
          <w:fldChar w:fldCharType="end"/>
        </w:r>
      </w:p>
    </w:sdtContent>
  </w:sdt>
  <w:p w14:paraId="5AAC936C" w14:textId="77777777" w:rsidR="00561861" w:rsidRDefault="0056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B09D" w14:textId="77777777" w:rsidR="00561861" w:rsidRDefault="00561861" w:rsidP="00AF2C92">
      <w:r>
        <w:separator/>
      </w:r>
    </w:p>
  </w:footnote>
  <w:footnote w:type="continuationSeparator" w:id="0">
    <w:p w14:paraId="75C9D89B" w14:textId="77777777" w:rsidR="00561861" w:rsidRDefault="00561861"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amp;amp;F Standard Chicago AD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x2xdvdhwtp2aefffjv5pzta0eztvftzd0a&quot;&gt;SOTON survey&lt;record-ids&gt;&lt;item&gt;53&lt;/item&gt;&lt;item&gt;55&lt;/item&gt;&lt;item&gt;98&lt;/item&gt;&lt;item&gt;99&lt;/item&gt;&lt;item&gt;147&lt;/item&gt;&lt;item&gt;208&lt;/item&gt;&lt;item&gt;213&lt;/item&gt;&lt;item&gt;214&lt;/item&gt;&lt;item&gt;219&lt;/item&gt;&lt;item&gt;223&lt;/item&gt;&lt;item&gt;224&lt;/item&gt;&lt;item&gt;225&lt;/item&gt;&lt;item&gt;226&lt;/item&gt;&lt;item&gt;231&lt;/item&gt;&lt;item&gt;232&lt;/item&gt;&lt;item&gt;233&lt;/item&gt;&lt;item&gt;235&lt;/item&gt;&lt;item&gt;267&lt;/item&gt;&lt;item&gt;274&lt;/item&gt;&lt;item&gt;284&lt;/item&gt;&lt;item&gt;295&lt;/item&gt;&lt;item&gt;308&lt;/item&gt;&lt;item&gt;309&lt;/item&gt;&lt;item&gt;310&lt;/item&gt;&lt;item&gt;315&lt;/item&gt;&lt;item&gt;319&lt;/item&gt;&lt;item&gt;320&lt;/item&gt;&lt;item&gt;321&lt;/item&gt;&lt;item&gt;325&lt;/item&gt;&lt;item&gt;326&lt;/item&gt;&lt;item&gt;327&lt;/item&gt;&lt;item&gt;328&lt;/item&gt;&lt;item&gt;331&lt;/item&gt;&lt;item&gt;333&lt;/item&gt;&lt;item&gt;336&lt;/item&gt;&lt;/record-ids&gt;&lt;/item&gt;&lt;/Libraries&gt;"/>
  </w:docVars>
  <w:rsids>
    <w:rsidRoot w:val="00B42F12"/>
    <w:rsid w:val="00001899"/>
    <w:rsid w:val="000049AD"/>
    <w:rsid w:val="0000681B"/>
    <w:rsid w:val="000120E3"/>
    <w:rsid w:val="000133C0"/>
    <w:rsid w:val="00014C4E"/>
    <w:rsid w:val="00017107"/>
    <w:rsid w:val="000202E2"/>
    <w:rsid w:val="00022441"/>
    <w:rsid w:val="0002261E"/>
    <w:rsid w:val="00024839"/>
    <w:rsid w:val="00026871"/>
    <w:rsid w:val="00035435"/>
    <w:rsid w:val="00037A98"/>
    <w:rsid w:val="000427FB"/>
    <w:rsid w:val="0004455E"/>
    <w:rsid w:val="00047CB5"/>
    <w:rsid w:val="00051FAA"/>
    <w:rsid w:val="000521C9"/>
    <w:rsid w:val="000572A9"/>
    <w:rsid w:val="00061325"/>
    <w:rsid w:val="000733AC"/>
    <w:rsid w:val="00074B81"/>
    <w:rsid w:val="00074D22"/>
    <w:rsid w:val="00075081"/>
    <w:rsid w:val="0007528A"/>
    <w:rsid w:val="000811AB"/>
    <w:rsid w:val="00083024"/>
    <w:rsid w:val="00083C5F"/>
    <w:rsid w:val="0009172C"/>
    <w:rsid w:val="000930EC"/>
    <w:rsid w:val="00095E61"/>
    <w:rsid w:val="000966C1"/>
    <w:rsid w:val="000970AC"/>
    <w:rsid w:val="000A07AA"/>
    <w:rsid w:val="000A1167"/>
    <w:rsid w:val="000A4428"/>
    <w:rsid w:val="000A6869"/>
    <w:rsid w:val="000A6D40"/>
    <w:rsid w:val="000A7BC3"/>
    <w:rsid w:val="000B1661"/>
    <w:rsid w:val="000B2E88"/>
    <w:rsid w:val="000B4603"/>
    <w:rsid w:val="000B56EE"/>
    <w:rsid w:val="000C09BE"/>
    <w:rsid w:val="000C1380"/>
    <w:rsid w:val="000C554F"/>
    <w:rsid w:val="000D0DC5"/>
    <w:rsid w:val="000D15FF"/>
    <w:rsid w:val="000D28DF"/>
    <w:rsid w:val="000D3FE9"/>
    <w:rsid w:val="000D488B"/>
    <w:rsid w:val="000D68DF"/>
    <w:rsid w:val="000E138D"/>
    <w:rsid w:val="000E187A"/>
    <w:rsid w:val="000E2D61"/>
    <w:rsid w:val="000E3467"/>
    <w:rsid w:val="000E450E"/>
    <w:rsid w:val="000E6259"/>
    <w:rsid w:val="000F0537"/>
    <w:rsid w:val="000F1C4D"/>
    <w:rsid w:val="000F4677"/>
    <w:rsid w:val="000F5BE0"/>
    <w:rsid w:val="00100587"/>
    <w:rsid w:val="0010284E"/>
    <w:rsid w:val="00103122"/>
    <w:rsid w:val="0010336A"/>
    <w:rsid w:val="001050F1"/>
    <w:rsid w:val="00105AEA"/>
    <w:rsid w:val="00106DAF"/>
    <w:rsid w:val="00114ABE"/>
    <w:rsid w:val="00116023"/>
    <w:rsid w:val="00117650"/>
    <w:rsid w:val="00130658"/>
    <w:rsid w:val="00132493"/>
    <w:rsid w:val="00134A51"/>
    <w:rsid w:val="00140727"/>
    <w:rsid w:val="00142F48"/>
    <w:rsid w:val="001449BF"/>
    <w:rsid w:val="0014501B"/>
    <w:rsid w:val="001507AA"/>
    <w:rsid w:val="00152E88"/>
    <w:rsid w:val="001559CA"/>
    <w:rsid w:val="001602FF"/>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2545"/>
    <w:rsid w:val="001D647F"/>
    <w:rsid w:val="001D6857"/>
    <w:rsid w:val="001E0572"/>
    <w:rsid w:val="001E0A67"/>
    <w:rsid w:val="001E1028"/>
    <w:rsid w:val="001E14E2"/>
    <w:rsid w:val="001E6302"/>
    <w:rsid w:val="001E7B8E"/>
    <w:rsid w:val="001E7DCB"/>
    <w:rsid w:val="001F3411"/>
    <w:rsid w:val="001F4287"/>
    <w:rsid w:val="001F4DBA"/>
    <w:rsid w:val="002006A1"/>
    <w:rsid w:val="0020415E"/>
    <w:rsid w:val="00204FF4"/>
    <w:rsid w:val="00210245"/>
    <w:rsid w:val="0021056E"/>
    <w:rsid w:val="0021059C"/>
    <w:rsid w:val="0021075D"/>
    <w:rsid w:val="0021165A"/>
    <w:rsid w:val="00211BC9"/>
    <w:rsid w:val="00212C7F"/>
    <w:rsid w:val="0021434F"/>
    <w:rsid w:val="0021620C"/>
    <w:rsid w:val="00216E78"/>
    <w:rsid w:val="00217275"/>
    <w:rsid w:val="00222719"/>
    <w:rsid w:val="00231D4A"/>
    <w:rsid w:val="00236F4B"/>
    <w:rsid w:val="00237A35"/>
    <w:rsid w:val="00242B0D"/>
    <w:rsid w:val="002432BD"/>
    <w:rsid w:val="002467C6"/>
    <w:rsid w:val="0024692A"/>
    <w:rsid w:val="00252BBA"/>
    <w:rsid w:val="00253123"/>
    <w:rsid w:val="00254853"/>
    <w:rsid w:val="0025789B"/>
    <w:rsid w:val="00260F87"/>
    <w:rsid w:val="00262559"/>
    <w:rsid w:val="00264001"/>
    <w:rsid w:val="00265929"/>
    <w:rsid w:val="00266354"/>
    <w:rsid w:val="002669EA"/>
    <w:rsid w:val="00267A18"/>
    <w:rsid w:val="002726D8"/>
    <w:rsid w:val="00273462"/>
    <w:rsid w:val="0027395B"/>
    <w:rsid w:val="00275854"/>
    <w:rsid w:val="00283B41"/>
    <w:rsid w:val="00285F28"/>
    <w:rsid w:val="00286398"/>
    <w:rsid w:val="002875EE"/>
    <w:rsid w:val="0029421B"/>
    <w:rsid w:val="002A3C42"/>
    <w:rsid w:val="002A5D75"/>
    <w:rsid w:val="002B0FA8"/>
    <w:rsid w:val="002B1B1A"/>
    <w:rsid w:val="002B63F7"/>
    <w:rsid w:val="002B7228"/>
    <w:rsid w:val="002B7610"/>
    <w:rsid w:val="002C53EE"/>
    <w:rsid w:val="002D24F7"/>
    <w:rsid w:val="002D2799"/>
    <w:rsid w:val="002D2CD7"/>
    <w:rsid w:val="002D4DDC"/>
    <w:rsid w:val="002D4F75"/>
    <w:rsid w:val="002D6493"/>
    <w:rsid w:val="002D7AB6"/>
    <w:rsid w:val="002D7C67"/>
    <w:rsid w:val="002E06D0"/>
    <w:rsid w:val="002E23DC"/>
    <w:rsid w:val="002E3C27"/>
    <w:rsid w:val="002E403A"/>
    <w:rsid w:val="002E7F3A"/>
    <w:rsid w:val="002F4856"/>
    <w:rsid w:val="002F4EDB"/>
    <w:rsid w:val="002F53B2"/>
    <w:rsid w:val="002F6054"/>
    <w:rsid w:val="003071B1"/>
    <w:rsid w:val="00313A0B"/>
    <w:rsid w:val="00315713"/>
    <w:rsid w:val="0031686C"/>
    <w:rsid w:val="00316FE0"/>
    <w:rsid w:val="003204D2"/>
    <w:rsid w:val="00320C08"/>
    <w:rsid w:val="0032605E"/>
    <w:rsid w:val="003275D1"/>
    <w:rsid w:val="00330B2A"/>
    <w:rsid w:val="00331E17"/>
    <w:rsid w:val="00333063"/>
    <w:rsid w:val="003408E3"/>
    <w:rsid w:val="00340DE8"/>
    <w:rsid w:val="00343460"/>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5CCE"/>
    <w:rsid w:val="00376235"/>
    <w:rsid w:val="00381FB6"/>
    <w:rsid w:val="00382ECC"/>
    <w:rsid w:val="003836D3"/>
    <w:rsid w:val="00383A52"/>
    <w:rsid w:val="00391652"/>
    <w:rsid w:val="00392985"/>
    <w:rsid w:val="003937F2"/>
    <w:rsid w:val="0039507F"/>
    <w:rsid w:val="0039516B"/>
    <w:rsid w:val="003956DA"/>
    <w:rsid w:val="003A1260"/>
    <w:rsid w:val="003A295F"/>
    <w:rsid w:val="003A41DD"/>
    <w:rsid w:val="003A7033"/>
    <w:rsid w:val="003B226B"/>
    <w:rsid w:val="003B42B8"/>
    <w:rsid w:val="003B47FE"/>
    <w:rsid w:val="003B5673"/>
    <w:rsid w:val="003B62C9"/>
    <w:rsid w:val="003C7176"/>
    <w:rsid w:val="003D0929"/>
    <w:rsid w:val="003D4729"/>
    <w:rsid w:val="003D7DD6"/>
    <w:rsid w:val="003E1A19"/>
    <w:rsid w:val="003E5AAF"/>
    <w:rsid w:val="003E600D"/>
    <w:rsid w:val="003E64DF"/>
    <w:rsid w:val="003E6A5D"/>
    <w:rsid w:val="003F193A"/>
    <w:rsid w:val="003F4207"/>
    <w:rsid w:val="003F5C46"/>
    <w:rsid w:val="003F7CBB"/>
    <w:rsid w:val="003F7D34"/>
    <w:rsid w:val="0040139B"/>
    <w:rsid w:val="00404588"/>
    <w:rsid w:val="00405BA4"/>
    <w:rsid w:val="00412C8E"/>
    <w:rsid w:val="0041518D"/>
    <w:rsid w:val="0042221D"/>
    <w:rsid w:val="00424DD3"/>
    <w:rsid w:val="004269C5"/>
    <w:rsid w:val="00435939"/>
    <w:rsid w:val="00436460"/>
    <w:rsid w:val="00437CC7"/>
    <w:rsid w:val="00442B9C"/>
    <w:rsid w:val="00445EFA"/>
    <w:rsid w:val="0044738A"/>
    <w:rsid w:val="004473D3"/>
    <w:rsid w:val="00452231"/>
    <w:rsid w:val="0045287B"/>
    <w:rsid w:val="004530D9"/>
    <w:rsid w:val="00460C13"/>
    <w:rsid w:val="00463228"/>
    <w:rsid w:val="00463782"/>
    <w:rsid w:val="004667E0"/>
    <w:rsid w:val="0046760E"/>
    <w:rsid w:val="00470E10"/>
    <w:rsid w:val="00473ADD"/>
    <w:rsid w:val="00475E84"/>
    <w:rsid w:val="00477A97"/>
    <w:rsid w:val="00481343"/>
    <w:rsid w:val="0048549E"/>
    <w:rsid w:val="00492E7C"/>
    <w:rsid w:val="00493347"/>
    <w:rsid w:val="00496092"/>
    <w:rsid w:val="004A08DB"/>
    <w:rsid w:val="004A1E42"/>
    <w:rsid w:val="004A25D0"/>
    <w:rsid w:val="004A37E8"/>
    <w:rsid w:val="004A7549"/>
    <w:rsid w:val="004B09D4"/>
    <w:rsid w:val="004B262A"/>
    <w:rsid w:val="004B309D"/>
    <w:rsid w:val="004B330A"/>
    <w:rsid w:val="004B7C8E"/>
    <w:rsid w:val="004C3D3C"/>
    <w:rsid w:val="004C541E"/>
    <w:rsid w:val="004D0853"/>
    <w:rsid w:val="004D0EDC"/>
    <w:rsid w:val="004D1220"/>
    <w:rsid w:val="004D14B3"/>
    <w:rsid w:val="004D1529"/>
    <w:rsid w:val="004D2253"/>
    <w:rsid w:val="004D50E2"/>
    <w:rsid w:val="004D5514"/>
    <w:rsid w:val="004D56C3"/>
    <w:rsid w:val="004E0338"/>
    <w:rsid w:val="004E0892"/>
    <w:rsid w:val="004E3FB0"/>
    <w:rsid w:val="004E4FF3"/>
    <w:rsid w:val="004E56A8"/>
    <w:rsid w:val="004F08AF"/>
    <w:rsid w:val="004F3B55"/>
    <w:rsid w:val="004F4E46"/>
    <w:rsid w:val="004F6B7D"/>
    <w:rsid w:val="005015F6"/>
    <w:rsid w:val="005030C4"/>
    <w:rsid w:val="005031C5"/>
    <w:rsid w:val="00504FDC"/>
    <w:rsid w:val="005120CC"/>
    <w:rsid w:val="00512B7B"/>
    <w:rsid w:val="005131C5"/>
    <w:rsid w:val="00514EA1"/>
    <w:rsid w:val="0051798B"/>
    <w:rsid w:val="00521F5A"/>
    <w:rsid w:val="00525E06"/>
    <w:rsid w:val="00526454"/>
    <w:rsid w:val="00531823"/>
    <w:rsid w:val="00534ECC"/>
    <w:rsid w:val="0053720D"/>
    <w:rsid w:val="00540EF5"/>
    <w:rsid w:val="00541BF3"/>
    <w:rsid w:val="00541CD3"/>
    <w:rsid w:val="005422D3"/>
    <w:rsid w:val="0054606D"/>
    <w:rsid w:val="005476FA"/>
    <w:rsid w:val="0055595E"/>
    <w:rsid w:val="00557988"/>
    <w:rsid w:val="00561861"/>
    <w:rsid w:val="00562C49"/>
    <w:rsid w:val="00562DEF"/>
    <w:rsid w:val="0056321A"/>
    <w:rsid w:val="00563A35"/>
    <w:rsid w:val="005654D0"/>
    <w:rsid w:val="00566596"/>
    <w:rsid w:val="005741E9"/>
    <w:rsid w:val="005748CF"/>
    <w:rsid w:val="00584270"/>
    <w:rsid w:val="00584738"/>
    <w:rsid w:val="005920B0"/>
    <w:rsid w:val="00592DD5"/>
    <w:rsid w:val="0059380D"/>
    <w:rsid w:val="00595A8F"/>
    <w:rsid w:val="005977C2"/>
    <w:rsid w:val="00597BF2"/>
    <w:rsid w:val="005A15A6"/>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4C28"/>
    <w:rsid w:val="005E5B55"/>
    <w:rsid w:val="005E5E4A"/>
    <w:rsid w:val="005E693D"/>
    <w:rsid w:val="005E75BF"/>
    <w:rsid w:val="005F2B75"/>
    <w:rsid w:val="005F57BA"/>
    <w:rsid w:val="005F61E6"/>
    <w:rsid w:val="005F6C45"/>
    <w:rsid w:val="00600CD9"/>
    <w:rsid w:val="00601DC0"/>
    <w:rsid w:val="00605A69"/>
    <w:rsid w:val="00606C54"/>
    <w:rsid w:val="00614375"/>
    <w:rsid w:val="00615B0A"/>
    <w:rsid w:val="006168CF"/>
    <w:rsid w:val="0062011B"/>
    <w:rsid w:val="00622388"/>
    <w:rsid w:val="00626882"/>
    <w:rsid w:val="00626DE0"/>
    <w:rsid w:val="00630901"/>
    <w:rsid w:val="00631F8E"/>
    <w:rsid w:val="0063630F"/>
    <w:rsid w:val="00636EE9"/>
    <w:rsid w:val="00640950"/>
    <w:rsid w:val="00641AE7"/>
    <w:rsid w:val="00642629"/>
    <w:rsid w:val="0065293D"/>
    <w:rsid w:val="00653EFC"/>
    <w:rsid w:val="00654021"/>
    <w:rsid w:val="00661045"/>
    <w:rsid w:val="00661241"/>
    <w:rsid w:val="00666DA8"/>
    <w:rsid w:val="00671057"/>
    <w:rsid w:val="00672B30"/>
    <w:rsid w:val="00675AAF"/>
    <w:rsid w:val="006775BB"/>
    <w:rsid w:val="0068031A"/>
    <w:rsid w:val="00680799"/>
    <w:rsid w:val="00681B2F"/>
    <w:rsid w:val="0068283E"/>
    <w:rsid w:val="0068335F"/>
    <w:rsid w:val="00687217"/>
    <w:rsid w:val="00693302"/>
    <w:rsid w:val="0069640B"/>
    <w:rsid w:val="006A1B83"/>
    <w:rsid w:val="006A21CD"/>
    <w:rsid w:val="006A5918"/>
    <w:rsid w:val="006B21B2"/>
    <w:rsid w:val="006B4A4A"/>
    <w:rsid w:val="006C19B2"/>
    <w:rsid w:val="006C5BB8"/>
    <w:rsid w:val="006C6004"/>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07AFB"/>
    <w:rsid w:val="00711799"/>
    <w:rsid w:val="00711D76"/>
    <w:rsid w:val="00712B78"/>
    <w:rsid w:val="0071393B"/>
    <w:rsid w:val="00713EE2"/>
    <w:rsid w:val="007177FC"/>
    <w:rsid w:val="00720C5E"/>
    <w:rsid w:val="00721701"/>
    <w:rsid w:val="00722BE7"/>
    <w:rsid w:val="00726201"/>
    <w:rsid w:val="00731835"/>
    <w:rsid w:val="00733C7C"/>
    <w:rsid w:val="007341F8"/>
    <w:rsid w:val="00734372"/>
    <w:rsid w:val="00734EB8"/>
    <w:rsid w:val="00735F8B"/>
    <w:rsid w:val="007413F2"/>
    <w:rsid w:val="00742D1F"/>
    <w:rsid w:val="00743EBA"/>
    <w:rsid w:val="00744C8E"/>
    <w:rsid w:val="0074707E"/>
    <w:rsid w:val="007516DC"/>
    <w:rsid w:val="00754B80"/>
    <w:rsid w:val="00760219"/>
    <w:rsid w:val="00761918"/>
    <w:rsid w:val="00762F03"/>
    <w:rsid w:val="0076413B"/>
    <w:rsid w:val="007648AE"/>
    <w:rsid w:val="00764BF8"/>
    <w:rsid w:val="0076514D"/>
    <w:rsid w:val="00773D59"/>
    <w:rsid w:val="007749B5"/>
    <w:rsid w:val="00781003"/>
    <w:rsid w:val="007850FC"/>
    <w:rsid w:val="007911FD"/>
    <w:rsid w:val="00793930"/>
    <w:rsid w:val="00793DD1"/>
    <w:rsid w:val="00794385"/>
    <w:rsid w:val="00794FEC"/>
    <w:rsid w:val="007A003E"/>
    <w:rsid w:val="007A1965"/>
    <w:rsid w:val="007A2ED1"/>
    <w:rsid w:val="007A4BE6"/>
    <w:rsid w:val="007B0DC6"/>
    <w:rsid w:val="007B1094"/>
    <w:rsid w:val="007B1762"/>
    <w:rsid w:val="007B3151"/>
    <w:rsid w:val="007B3320"/>
    <w:rsid w:val="007B5308"/>
    <w:rsid w:val="007B530F"/>
    <w:rsid w:val="007C301F"/>
    <w:rsid w:val="007C4540"/>
    <w:rsid w:val="007C4CDA"/>
    <w:rsid w:val="007C65AF"/>
    <w:rsid w:val="007C7A82"/>
    <w:rsid w:val="007D135D"/>
    <w:rsid w:val="007D3939"/>
    <w:rsid w:val="007D730F"/>
    <w:rsid w:val="007D7CD8"/>
    <w:rsid w:val="007E3AA7"/>
    <w:rsid w:val="007E576A"/>
    <w:rsid w:val="007F30A2"/>
    <w:rsid w:val="007F53CD"/>
    <w:rsid w:val="007F737D"/>
    <w:rsid w:val="00801F2A"/>
    <w:rsid w:val="0080308E"/>
    <w:rsid w:val="00805303"/>
    <w:rsid w:val="00806705"/>
    <w:rsid w:val="00806738"/>
    <w:rsid w:val="008216D5"/>
    <w:rsid w:val="00821EA2"/>
    <w:rsid w:val="008249CE"/>
    <w:rsid w:val="00831815"/>
    <w:rsid w:val="00831A50"/>
    <w:rsid w:val="00831B3C"/>
    <w:rsid w:val="00831C89"/>
    <w:rsid w:val="00832114"/>
    <w:rsid w:val="00834C46"/>
    <w:rsid w:val="00835ACD"/>
    <w:rsid w:val="0084093E"/>
    <w:rsid w:val="00841CE1"/>
    <w:rsid w:val="008473D8"/>
    <w:rsid w:val="008528DC"/>
    <w:rsid w:val="00852B8C"/>
    <w:rsid w:val="00854981"/>
    <w:rsid w:val="00854C9F"/>
    <w:rsid w:val="00864B2E"/>
    <w:rsid w:val="00864E8F"/>
    <w:rsid w:val="00865963"/>
    <w:rsid w:val="00871C1D"/>
    <w:rsid w:val="0087450E"/>
    <w:rsid w:val="00875A82"/>
    <w:rsid w:val="00876CA3"/>
    <w:rsid w:val="008772FE"/>
    <w:rsid w:val="008775F1"/>
    <w:rsid w:val="00881477"/>
    <w:rsid w:val="008821AE"/>
    <w:rsid w:val="00883D3A"/>
    <w:rsid w:val="00884EA8"/>
    <w:rsid w:val="008854F7"/>
    <w:rsid w:val="00885A9D"/>
    <w:rsid w:val="00886908"/>
    <w:rsid w:val="008929D2"/>
    <w:rsid w:val="00893636"/>
    <w:rsid w:val="00893B94"/>
    <w:rsid w:val="00896E9D"/>
    <w:rsid w:val="00896F11"/>
    <w:rsid w:val="00897D66"/>
    <w:rsid w:val="008A1049"/>
    <w:rsid w:val="008A1C98"/>
    <w:rsid w:val="008A322D"/>
    <w:rsid w:val="008A4D72"/>
    <w:rsid w:val="008A6285"/>
    <w:rsid w:val="008A63B2"/>
    <w:rsid w:val="008B345D"/>
    <w:rsid w:val="008C1FC2"/>
    <w:rsid w:val="008C2980"/>
    <w:rsid w:val="008C4DD6"/>
    <w:rsid w:val="008C5AFB"/>
    <w:rsid w:val="008C7609"/>
    <w:rsid w:val="008D07FB"/>
    <w:rsid w:val="008D0C02"/>
    <w:rsid w:val="008D30C2"/>
    <w:rsid w:val="008D357D"/>
    <w:rsid w:val="008D435A"/>
    <w:rsid w:val="008E08A1"/>
    <w:rsid w:val="008E387B"/>
    <w:rsid w:val="008E6087"/>
    <w:rsid w:val="008E758D"/>
    <w:rsid w:val="008E7E31"/>
    <w:rsid w:val="008F10A7"/>
    <w:rsid w:val="008F374B"/>
    <w:rsid w:val="008F4FD1"/>
    <w:rsid w:val="008F755D"/>
    <w:rsid w:val="008F7A39"/>
    <w:rsid w:val="009021E8"/>
    <w:rsid w:val="00904677"/>
    <w:rsid w:val="0090568C"/>
    <w:rsid w:val="00905EE2"/>
    <w:rsid w:val="00906836"/>
    <w:rsid w:val="00907A5D"/>
    <w:rsid w:val="00911440"/>
    <w:rsid w:val="00911712"/>
    <w:rsid w:val="00911B27"/>
    <w:rsid w:val="009125B6"/>
    <w:rsid w:val="009170BE"/>
    <w:rsid w:val="00917BFC"/>
    <w:rsid w:val="00920B55"/>
    <w:rsid w:val="009262C9"/>
    <w:rsid w:val="00930EB9"/>
    <w:rsid w:val="00933DC7"/>
    <w:rsid w:val="0093764E"/>
    <w:rsid w:val="009418F4"/>
    <w:rsid w:val="00942BBC"/>
    <w:rsid w:val="00944180"/>
    <w:rsid w:val="00944AA0"/>
    <w:rsid w:val="00947DA2"/>
    <w:rsid w:val="00951177"/>
    <w:rsid w:val="00956E5D"/>
    <w:rsid w:val="009673E8"/>
    <w:rsid w:val="00974DB8"/>
    <w:rsid w:val="00975D72"/>
    <w:rsid w:val="00980661"/>
    <w:rsid w:val="0098093B"/>
    <w:rsid w:val="009876D4"/>
    <w:rsid w:val="009914A5"/>
    <w:rsid w:val="00993F39"/>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E5914"/>
    <w:rsid w:val="009F171E"/>
    <w:rsid w:val="009F199D"/>
    <w:rsid w:val="009F3D2F"/>
    <w:rsid w:val="009F7052"/>
    <w:rsid w:val="00A02668"/>
    <w:rsid w:val="00A02801"/>
    <w:rsid w:val="00A039C5"/>
    <w:rsid w:val="00A04384"/>
    <w:rsid w:val="00A06A39"/>
    <w:rsid w:val="00A07F58"/>
    <w:rsid w:val="00A131CB"/>
    <w:rsid w:val="00A13FC5"/>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38B9"/>
    <w:rsid w:val="00A557A1"/>
    <w:rsid w:val="00A63059"/>
    <w:rsid w:val="00A63AE3"/>
    <w:rsid w:val="00A651A4"/>
    <w:rsid w:val="00A70312"/>
    <w:rsid w:val="00A71361"/>
    <w:rsid w:val="00A746E2"/>
    <w:rsid w:val="00A747AF"/>
    <w:rsid w:val="00A81FF2"/>
    <w:rsid w:val="00A83904"/>
    <w:rsid w:val="00A90A79"/>
    <w:rsid w:val="00A90B3F"/>
    <w:rsid w:val="00A96B30"/>
    <w:rsid w:val="00AA41DE"/>
    <w:rsid w:val="00AA51C7"/>
    <w:rsid w:val="00AA59B5"/>
    <w:rsid w:val="00AA5B48"/>
    <w:rsid w:val="00AA6984"/>
    <w:rsid w:val="00AA7777"/>
    <w:rsid w:val="00AA7B84"/>
    <w:rsid w:val="00AB1647"/>
    <w:rsid w:val="00AC0B4C"/>
    <w:rsid w:val="00AC1164"/>
    <w:rsid w:val="00AC2296"/>
    <w:rsid w:val="00AC2754"/>
    <w:rsid w:val="00AC48B0"/>
    <w:rsid w:val="00AC4ACD"/>
    <w:rsid w:val="00AC5950"/>
    <w:rsid w:val="00AC5DFB"/>
    <w:rsid w:val="00AD060D"/>
    <w:rsid w:val="00AD13DC"/>
    <w:rsid w:val="00AD2435"/>
    <w:rsid w:val="00AD39DD"/>
    <w:rsid w:val="00AD4043"/>
    <w:rsid w:val="00AD5755"/>
    <w:rsid w:val="00AD6DE2"/>
    <w:rsid w:val="00AE0A40"/>
    <w:rsid w:val="00AE1ED4"/>
    <w:rsid w:val="00AE21E1"/>
    <w:rsid w:val="00AE280D"/>
    <w:rsid w:val="00AE2F8D"/>
    <w:rsid w:val="00AE3BAE"/>
    <w:rsid w:val="00AE6A21"/>
    <w:rsid w:val="00AF1C8F"/>
    <w:rsid w:val="00AF2B68"/>
    <w:rsid w:val="00AF2C92"/>
    <w:rsid w:val="00AF3EC1"/>
    <w:rsid w:val="00AF5025"/>
    <w:rsid w:val="00AF519F"/>
    <w:rsid w:val="00AF5387"/>
    <w:rsid w:val="00AF55F5"/>
    <w:rsid w:val="00AF7E86"/>
    <w:rsid w:val="00B024B9"/>
    <w:rsid w:val="00B04267"/>
    <w:rsid w:val="00B077FA"/>
    <w:rsid w:val="00B127D7"/>
    <w:rsid w:val="00B12FE3"/>
    <w:rsid w:val="00B13B0C"/>
    <w:rsid w:val="00B1453A"/>
    <w:rsid w:val="00B20F82"/>
    <w:rsid w:val="00B25BD5"/>
    <w:rsid w:val="00B34079"/>
    <w:rsid w:val="00B3793A"/>
    <w:rsid w:val="00B401BA"/>
    <w:rsid w:val="00B407E4"/>
    <w:rsid w:val="00B425B6"/>
    <w:rsid w:val="00B42A72"/>
    <w:rsid w:val="00B42F12"/>
    <w:rsid w:val="00B441AE"/>
    <w:rsid w:val="00B45A65"/>
    <w:rsid w:val="00B45F33"/>
    <w:rsid w:val="00B46D50"/>
    <w:rsid w:val="00B53170"/>
    <w:rsid w:val="00B53998"/>
    <w:rsid w:val="00B548B9"/>
    <w:rsid w:val="00B56DBE"/>
    <w:rsid w:val="00B57E44"/>
    <w:rsid w:val="00B62999"/>
    <w:rsid w:val="00B63BE3"/>
    <w:rsid w:val="00B64885"/>
    <w:rsid w:val="00B66810"/>
    <w:rsid w:val="00B712C8"/>
    <w:rsid w:val="00B72BE3"/>
    <w:rsid w:val="00B73266"/>
    <w:rsid w:val="00B73B80"/>
    <w:rsid w:val="00B7549A"/>
    <w:rsid w:val="00B770C7"/>
    <w:rsid w:val="00B77AAB"/>
    <w:rsid w:val="00B80F26"/>
    <w:rsid w:val="00B822BD"/>
    <w:rsid w:val="00B842F4"/>
    <w:rsid w:val="00B91A7B"/>
    <w:rsid w:val="00B929DD"/>
    <w:rsid w:val="00B92C73"/>
    <w:rsid w:val="00B93236"/>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1747"/>
    <w:rsid w:val="00BD295E"/>
    <w:rsid w:val="00BD4664"/>
    <w:rsid w:val="00BE1193"/>
    <w:rsid w:val="00BE47DA"/>
    <w:rsid w:val="00BE69ED"/>
    <w:rsid w:val="00BF422E"/>
    <w:rsid w:val="00BF4849"/>
    <w:rsid w:val="00BF4EA7"/>
    <w:rsid w:val="00BF5AD7"/>
    <w:rsid w:val="00BF7D4A"/>
    <w:rsid w:val="00C00EDB"/>
    <w:rsid w:val="00C02863"/>
    <w:rsid w:val="00C0383A"/>
    <w:rsid w:val="00C05BD3"/>
    <w:rsid w:val="00C067FF"/>
    <w:rsid w:val="00C0784A"/>
    <w:rsid w:val="00C12862"/>
    <w:rsid w:val="00C13D28"/>
    <w:rsid w:val="00C13EBE"/>
    <w:rsid w:val="00C14585"/>
    <w:rsid w:val="00C165A0"/>
    <w:rsid w:val="00C2098F"/>
    <w:rsid w:val="00C216CE"/>
    <w:rsid w:val="00C2184F"/>
    <w:rsid w:val="00C22A78"/>
    <w:rsid w:val="00C237E2"/>
    <w:rsid w:val="00C23C7E"/>
    <w:rsid w:val="00C246C5"/>
    <w:rsid w:val="00C25A82"/>
    <w:rsid w:val="00C2650A"/>
    <w:rsid w:val="00C30A2A"/>
    <w:rsid w:val="00C33993"/>
    <w:rsid w:val="00C35BEF"/>
    <w:rsid w:val="00C4069E"/>
    <w:rsid w:val="00C41ADC"/>
    <w:rsid w:val="00C44149"/>
    <w:rsid w:val="00C44410"/>
    <w:rsid w:val="00C44A15"/>
    <w:rsid w:val="00C4630A"/>
    <w:rsid w:val="00C46524"/>
    <w:rsid w:val="00C467D8"/>
    <w:rsid w:val="00C515D5"/>
    <w:rsid w:val="00C523F0"/>
    <w:rsid w:val="00C526D2"/>
    <w:rsid w:val="00C53A91"/>
    <w:rsid w:val="00C5794E"/>
    <w:rsid w:val="00C60968"/>
    <w:rsid w:val="00C6309F"/>
    <w:rsid w:val="00C63D39"/>
    <w:rsid w:val="00C63EDD"/>
    <w:rsid w:val="00C65B36"/>
    <w:rsid w:val="00C7292E"/>
    <w:rsid w:val="00C74E88"/>
    <w:rsid w:val="00C76297"/>
    <w:rsid w:val="00C80924"/>
    <w:rsid w:val="00C8286B"/>
    <w:rsid w:val="00C82D41"/>
    <w:rsid w:val="00C947F8"/>
    <w:rsid w:val="00C9515F"/>
    <w:rsid w:val="00C963C5"/>
    <w:rsid w:val="00CA030C"/>
    <w:rsid w:val="00CA1F41"/>
    <w:rsid w:val="00CA32EE"/>
    <w:rsid w:val="00CA5771"/>
    <w:rsid w:val="00CA6A1A"/>
    <w:rsid w:val="00CA6EA3"/>
    <w:rsid w:val="00CA7FD3"/>
    <w:rsid w:val="00CC1E75"/>
    <w:rsid w:val="00CC2E0E"/>
    <w:rsid w:val="00CC361C"/>
    <w:rsid w:val="00CC474B"/>
    <w:rsid w:val="00CC658C"/>
    <w:rsid w:val="00CC67BF"/>
    <w:rsid w:val="00CD0843"/>
    <w:rsid w:val="00CD5A78"/>
    <w:rsid w:val="00CD7345"/>
    <w:rsid w:val="00CE372E"/>
    <w:rsid w:val="00CE6BDD"/>
    <w:rsid w:val="00CF0A1B"/>
    <w:rsid w:val="00CF19F6"/>
    <w:rsid w:val="00CF2F4F"/>
    <w:rsid w:val="00CF3533"/>
    <w:rsid w:val="00CF536D"/>
    <w:rsid w:val="00D02E9D"/>
    <w:rsid w:val="00D04EBF"/>
    <w:rsid w:val="00D10CB8"/>
    <w:rsid w:val="00D12806"/>
    <w:rsid w:val="00D12D44"/>
    <w:rsid w:val="00D15018"/>
    <w:rsid w:val="00D158AC"/>
    <w:rsid w:val="00D160B5"/>
    <w:rsid w:val="00D1694C"/>
    <w:rsid w:val="00D20F5E"/>
    <w:rsid w:val="00D215BA"/>
    <w:rsid w:val="00D23B76"/>
    <w:rsid w:val="00D24B4A"/>
    <w:rsid w:val="00D322F6"/>
    <w:rsid w:val="00D37943"/>
    <w:rsid w:val="00D379A3"/>
    <w:rsid w:val="00D45FF3"/>
    <w:rsid w:val="00D512CF"/>
    <w:rsid w:val="00D528B9"/>
    <w:rsid w:val="00D53186"/>
    <w:rsid w:val="00D5487D"/>
    <w:rsid w:val="00D57574"/>
    <w:rsid w:val="00D60140"/>
    <w:rsid w:val="00D6024A"/>
    <w:rsid w:val="00D608B5"/>
    <w:rsid w:val="00D64739"/>
    <w:rsid w:val="00D71F99"/>
    <w:rsid w:val="00D73CA4"/>
    <w:rsid w:val="00D73D71"/>
    <w:rsid w:val="00D74396"/>
    <w:rsid w:val="00D754F6"/>
    <w:rsid w:val="00D80284"/>
    <w:rsid w:val="00D81F71"/>
    <w:rsid w:val="00D8642D"/>
    <w:rsid w:val="00D9036D"/>
    <w:rsid w:val="00D90A5E"/>
    <w:rsid w:val="00D91A68"/>
    <w:rsid w:val="00D95A68"/>
    <w:rsid w:val="00DA17C7"/>
    <w:rsid w:val="00DA5E4F"/>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0EBE"/>
    <w:rsid w:val="00E149CE"/>
    <w:rsid w:val="00E14F94"/>
    <w:rsid w:val="00E17336"/>
    <w:rsid w:val="00E17D15"/>
    <w:rsid w:val="00E22B95"/>
    <w:rsid w:val="00E30331"/>
    <w:rsid w:val="00E30BB8"/>
    <w:rsid w:val="00E31F9C"/>
    <w:rsid w:val="00E33C1D"/>
    <w:rsid w:val="00E40488"/>
    <w:rsid w:val="00E41CF3"/>
    <w:rsid w:val="00E473B6"/>
    <w:rsid w:val="00E50367"/>
    <w:rsid w:val="00E51ABA"/>
    <w:rsid w:val="00E524CB"/>
    <w:rsid w:val="00E5743E"/>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865D3"/>
    <w:rsid w:val="00E906CC"/>
    <w:rsid w:val="00E939A0"/>
    <w:rsid w:val="00E95C0D"/>
    <w:rsid w:val="00E97C82"/>
    <w:rsid w:val="00E97E4E"/>
    <w:rsid w:val="00EA1CC2"/>
    <w:rsid w:val="00EA2D76"/>
    <w:rsid w:val="00EA4644"/>
    <w:rsid w:val="00EA6746"/>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380E"/>
    <w:rsid w:val="00ED5E0B"/>
    <w:rsid w:val="00EE37B6"/>
    <w:rsid w:val="00EE4C6F"/>
    <w:rsid w:val="00EE5A99"/>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485"/>
    <w:rsid w:val="00F25C67"/>
    <w:rsid w:val="00F2775B"/>
    <w:rsid w:val="00F30DFF"/>
    <w:rsid w:val="00F32B80"/>
    <w:rsid w:val="00F340EB"/>
    <w:rsid w:val="00F35285"/>
    <w:rsid w:val="00F43B9D"/>
    <w:rsid w:val="00F449AA"/>
    <w:rsid w:val="00F44D5E"/>
    <w:rsid w:val="00F46CC4"/>
    <w:rsid w:val="00F53A35"/>
    <w:rsid w:val="00F55A3D"/>
    <w:rsid w:val="00F56767"/>
    <w:rsid w:val="00F5744B"/>
    <w:rsid w:val="00F61209"/>
    <w:rsid w:val="00F6259E"/>
    <w:rsid w:val="00F65DD4"/>
    <w:rsid w:val="00F672B2"/>
    <w:rsid w:val="00F71C26"/>
    <w:rsid w:val="00F82E9D"/>
    <w:rsid w:val="00F83973"/>
    <w:rsid w:val="00F87FA3"/>
    <w:rsid w:val="00F90D16"/>
    <w:rsid w:val="00F93D8C"/>
    <w:rsid w:val="00FA3102"/>
    <w:rsid w:val="00FA48D4"/>
    <w:rsid w:val="00FA54FA"/>
    <w:rsid w:val="00FA6D39"/>
    <w:rsid w:val="00FB0DD6"/>
    <w:rsid w:val="00FB177F"/>
    <w:rsid w:val="00FB227E"/>
    <w:rsid w:val="00FB3D61"/>
    <w:rsid w:val="00FB44CE"/>
    <w:rsid w:val="00FB5009"/>
    <w:rsid w:val="00FB76AB"/>
    <w:rsid w:val="00FC13C0"/>
    <w:rsid w:val="00FC5845"/>
    <w:rsid w:val="00FD03FE"/>
    <w:rsid w:val="00FD081F"/>
    <w:rsid w:val="00FD126E"/>
    <w:rsid w:val="00FD2794"/>
    <w:rsid w:val="00FD3C36"/>
    <w:rsid w:val="00FD4D81"/>
    <w:rsid w:val="00FD7498"/>
    <w:rsid w:val="00FD7FB3"/>
    <w:rsid w:val="00FE38BA"/>
    <w:rsid w:val="00FE4713"/>
    <w:rsid w:val="00FF1F44"/>
    <w:rsid w:val="00FF225E"/>
    <w:rsid w:val="00FF4FC5"/>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1F06"/>
  <w15:docId w15:val="{7BC7064D-BC53-4C8F-A51C-D20FC34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link w:val="FootnotesChar"/>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4A1E42"/>
    <w:rPr>
      <w:color w:val="0000FF" w:themeColor="hyperlink"/>
      <w:u w:val="single"/>
    </w:rPr>
  </w:style>
  <w:style w:type="paragraph" w:customStyle="1" w:styleId="EndNoteBibliographyTitle">
    <w:name w:val="EndNote Bibliography Title"/>
    <w:basedOn w:val="Normal"/>
    <w:link w:val="EndNoteBibliographyTitleChar"/>
    <w:rsid w:val="00265929"/>
    <w:pPr>
      <w:jc w:val="center"/>
    </w:pPr>
    <w:rPr>
      <w:noProof/>
    </w:rPr>
  </w:style>
  <w:style w:type="character" w:customStyle="1" w:styleId="FootnotesChar">
    <w:name w:val="Footnotes Char"/>
    <w:basedOn w:val="DefaultParagraphFont"/>
    <w:link w:val="Footnotes"/>
    <w:rsid w:val="00265929"/>
    <w:rPr>
      <w:sz w:val="22"/>
      <w:szCs w:val="24"/>
    </w:rPr>
  </w:style>
  <w:style w:type="character" w:customStyle="1" w:styleId="EndNoteBibliographyTitleChar">
    <w:name w:val="EndNote Bibliography Title Char"/>
    <w:basedOn w:val="FootnotesChar"/>
    <w:link w:val="EndNoteBibliographyTitle"/>
    <w:rsid w:val="00265929"/>
    <w:rPr>
      <w:noProof/>
      <w:sz w:val="24"/>
      <w:szCs w:val="24"/>
    </w:rPr>
  </w:style>
  <w:style w:type="paragraph" w:customStyle="1" w:styleId="EndNoteBibliography">
    <w:name w:val="EndNote Bibliography"/>
    <w:basedOn w:val="Normal"/>
    <w:link w:val="EndNoteBibliographyChar"/>
    <w:rsid w:val="00265929"/>
    <w:pPr>
      <w:spacing w:line="240" w:lineRule="auto"/>
    </w:pPr>
    <w:rPr>
      <w:noProof/>
    </w:rPr>
  </w:style>
  <w:style w:type="character" w:customStyle="1" w:styleId="EndNoteBibliographyChar">
    <w:name w:val="EndNote Bibliography Char"/>
    <w:basedOn w:val="FootnotesChar"/>
    <w:link w:val="EndNoteBibliography"/>
    <w:rsid w:val="00265929"/>
    <w:rPr>
      <w:noProof/>
      <w:sz w:val="24"/>
      <w:szCs w:val="24"/>
    </w:rPr>
  </w:style>
  <w:style w:type="paragraph" w:styleId="BalloonText">
    <w:name w:val="Balloon Text"/>
    <w:basedOn w:val="Normal"/>
    <w:link w:val="BalloonTextChar"/>
    <w:rsid w:val="00212C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2C7F"/>
    <w:rPr>
      <w:rFonts w:ascii="Tahoma" w:hAnsi="Tahoma" w:cs="Tahoma"/>
      <w:sz w:val="16"/>
      <w:szCs w:val="16"/>
    </w:rPr>
  </w:style>
  <w:style w:type="paragraph" w:styleId="Caption">
    <w:name w:val="caption"/>
    <w:basedOn w:val="Normal"/>
    <w:next w:val="Normal"/>
    <w:rsid w:val="004C541E"/>
    <w:pPr>
      <w:spacing w:after="200" w:line="240" w:lineRule="auto"/>
    </w:pPr>
    <w:rPr>
      <w:b/>
      <w:bCs/>
      <w:color w:val="4F81BD" w:themeColor="accent1"/>
      <w:sz w:val="18"/>
      <w:szCs w:val="18"/>
    </w:rPr>
  </w:style>
  <w:style w:type="character" w:styleId="SubtleEmphasis">
    <w:name w:val="Subtle Emphasis"/>
    <w:basedOn w:val="DefaultParagraphFont"/>
    <w:uiPriority w:val="19"/>
    <w:qFormat/>
    <w:rsid w:val="004C541E"/>
    <w:rPr>
      <w:i/>
      <w:iCs/>
      <w:color w:val="808080" w:themeColor="text1" w:themeTint="7F"/>
    </w:rPr>
  </w:style>
  <w:style w:type="character" w:styleId="CommentReference">
    <w:name w:val="annotation reference"/>
    <w:basedOn w:val="DefaultParagraphFont"/>
    <w:rsid w:val="00DA5E4F"/>
    <w:rPr>
      <w:sz w:val="16"/>
      <w:szCs w:val="16"/>
    </w:rPr>
  </w:style>
  <w:style w:type="paragraph" w:styleId="CommentText">
    <w:name w:val="annotation text"/>
    <w:basedOn w:val="Normal"/>
    <w:link w:val="CommentTextChar"/>
    <w:rsid w:val="00DA5E4F"/>
    <w:pPr>
      <w:spacing w:line="240" w:lineRule="auto"/>
    </w:pPr>
    <w:rPr>
      <w:sz w:val="20"/>
      <w:szCs w:val="20"/>
    </w:rPr>
  </w:style>
  <w:style w:type="character" w:customStyle="1" w:styleId="CommentTextChar">
    <w:name w:val="Comment Text Char"/>
    <w:basedOn w:val="DefaultParagraphFont"/>
    <w:link w:val="CommentText"/>
    <w:rsid w:val="00DA5E4F"/>
  </w:style>
  <w:style w:type="paragraph" w:styleId="CommentSubject">
    <w:name w:val="annotation subject"/>
    <w:basedOn w:val="CommentText"/>
    <w:next w:val="CommentText"/>
    <w:link w:val="CommentSubjectChar"/>
    <w:rsid w:val="00DA5E4F"/>
    <w:rPr>
      <w:b/>
      <w:bCs/>
    </w:rPr>
  </w:style>
  <w:style w:type="character" w:customStyle="1" w:styleId="CommentSubjectChar">
    <w:name w:val="Comment Subject Char"/>
    <w:basedOn w:val="CommentTextChar"/>
    <w:link w:val="CommentSubject"/>
    <w:rsid w:val="00DA5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1d15\AppData\Roaming\Microsoft\Templates\TF_Template_Word_Windows_201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For%20OneDrive\OneDrive\SOTON%20OFFICIAL+RESEARCH\Soton%20RESEARCH\Publications\Survey%20papers\Paper%201%20-%20Migration%20strategies%20JEMS\NEW%20Charts%20for%20Paper%201%20-%20w%20revised%20PRC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8205593005910248E-2"/>
          <c:y val="2.5705235773649353E-2"/>
          <c:w val="0.91178137804716852"/>
          <c:h val="0.7468197780447684"/>
        </c:manualLayout>
      </c:layout>
      <c:barChart>
        <c:barDir val="col"/>
        <c:grouping val="clustered"/>
        <c:varyColors val="0"/>
        <c:ser>
          <c:idx val="0"/>
          <c:order val="0"/>
          <c:tx>
            <c:strRef>
              <c:f>'Figure 1'!$F$6</c:f>
              <c:strCache>
                <c:ptCount val="1"/>
                <c:pt idx="0">
                  <c:v>5-year plan (N=885)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1'!$D$16:$I$16</c:f>
                <c:numCache>
                  <c:formatCode>General</c:formatCode>
                  <c:ptCount val="6"/>
                  <c:pt idx="0">
                    <c:v>4.0440359957931828E-3</c:v>
                  </c:pt>
                  <c:pt idx="1">
                    <c:v>7.0655869562067887E-3</c:v>
                  </c:pt>
                  <c:pt idx="2">
                    <c:v>1.6E-2</c:v>
                  </c:pt>
                  <c:pt idx="3">
                    <c:v>1.6E-2</c:v>
                  </c:pt>
                  <c:pt idx="4">
                    <c:v>1.2E-2</c:v>
                  </c:pt>
                  <c:pt idx="5">
                    <c:v>8.9999999999999993E-3</c:v>
                  </c:pt>
                </c:numCache>
              </c:numRef>
            </c:plus>
            <c:minus>
              <c:numRef>
                <c:f>'Figure 1'!$D$16:$I$16</c:f>
                <c:numCache>
                  <c:formatCode>General</c:formatCode>
                  <c:ptCount val="6"/>
                  <c:pt idx="0">
                    <c:v>4.0440359957931828E-3</c:v>
                  </c:pt>
                  <c:pt idx="1">
                    <c:v>7.0655869562067887E-3</c:v>
                  </c:pt>
                  <c:pt idx="2">
                    <c:v>1.6E-2</c:v>
                  </c:pt>
                  <c:pt idx="3">
                    <c:v>1.6E-2</c:v>
                  </c:pt>
                  <c:pt idx="4">
                    <c:v>1.2E-2</c:v>
                  </c:pt>
                  <c:pt idx="5">
                    <c:v>8.9999999999999993E-3</c:v>
                  </c:pt>
                </c:numCache>
              </c:numRef>
            </c:minus>
          </c:errBars>
          <c:cat>
            <c:strRef>
              <c:f>'Figure 1'!$C$7:$C$12</c:f>
              <c:strCache>
                <c:ptCount val="6"/>
                <c:pt idx="0">
                  <c:v>Re-migration</c:v>
                </c:pt>
                <c:pt idx="1">
                  <c:v>Return</c:v>
                </c:pt>
                <c:pt idx="2">
                  <c:v>PRC</c:v>
                </c:pt>
                <c:pt idx="3">
                  <c:v>Citizenship</c:v>
                </c:pt>
                <c:pt idx="4">
                  <c:v>No plan/action</c:v>
                </c:pt>
                <c:pt idx="5">
                  <c:v>No plan/action (with PRC)</c:v>
                </c:pt>
              </c:strCache>
            </c:strRef>
          </c:cat>
          <c:val>
            <c:numRef>
              <c:f>'Figure 1'!$F$7:$F$12</c:f>
              <c:numCache>
                <c:formatCode>0%</c:formatCode>
                <c:ptCount val="6"/>
                <c:pt idx="0">
                  <c:v>1.4689265536723164E-2</c:v>
                </c:pt>
                <c:pt idx="1">
                  <c:v>4.632768361581921E-2</c:v>
                </c:pt>
                <c:pt idx="2">
                  <c:v>0.39887005649717516</c:v>
                </c:pt>
                <c:pt idx="3">
                  <c:v>0.319774011299435</c:v>
                </c:pt>
                <c:pt idx="4">
                  <c:v>0.15141242937853108</c:v>
                </c:pt>
                <c:pt idx="5">
                  <c:v>6.8926553672316385E-2</c:v>
                </c:pt>
              </c:numCache>
            </c:numRef>
          </c:val>
        </c:ser>
        <c:ser>
          <c:idx val="1"/>
          <c:order val="1"/>
          <c:tx>
            <c:strRef>
              <c:f>'Figure 1'!$G$6</c:f>
              <c:strCache>
                <c:ptCount val="1"/>
                <c:pt idx="0">
                  <c:v>Brexit action (N=886)</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'Figure 1'!$D$17:$I$17</c:f>
                <c:numCache>
                  <c:formatCode>General</c:formatCode>
                  <c:ptCount val="6"/>
                  <c:pt idx="0">
                    <c:v>7.7524247262144505E-3</c:v>
                  </c:pt>
                  <c:pt idx="1">
                    <c:v>6.7205392883139961E-3</c:v>
                  </c:pt>
                  <c:pt idx="2">
                    <c:v>1.6791664584552644E-2</c:v>
                  </c:pt>
                  <c:pt idx="3">
                    <c:v>1.3762480236180645E-2</c:v>
                  </c:pt>
                  <c:pt idx="4">
                    <c:v>1.03460824427958E-2</c:v>
                  </c:pt>
                  <c:pt idx="5">
                    <c:v>8.5063120185366967E-3</c:v>
                  </c:pt>
                </c:numCache>
              </c:numRef>
            </c:plus>
            <c:minus>
              <c:numRef>
                <c:f>'Figure 1'!$D$17:$I$17</c:f>
                <c:numCache>
                  <c:formatCode>General</c:formatCode>
                  <c:ptCount val="6"/>
                  <c:pt idx="0">
                    <c:v>7.7524247262144505E-3</c:v>
                  </c:pt>
                  <c:pt idx="1">
                    <c:v>6.7205392883139961E-3</c:v>
                  </c:pt>
                  <c:pt idx="2">
                    <c:v>1.6791664584552644E-2</c:v>
                  </c:pt>
                  <c:pt idx="3">
                    <c:v>1.3762480236180645E-2</c:v>
                  </c:pt>
                  <c:pt idx="4">
                    <c:v>1.03460824427958E-2</c:v>
                  </c:pt>
                  <c:pt idx="5">
                    <c:v>8.5063120185366967E-3</c:v>
                  </c:pt>
                </c:numCache>
              </c:numRef>
            </c:minus>
            <c:spPr>
              <a:ln cap="flat"/>
            </c:spPr>
          </c:errBars>
          <c:cat>
            <c:strRef>
              <c:f>'Figure 1'!$C$7:$C$12</c:f>
              <c:strCache>
                <c:ptCount val="6"/>
                <c:pt idx="0">
                  <c:v>Re-migration</c:v>
                </c:pt>
                <c:pt idx="1">
                  <c:v>Return</c:v>
                </c:pt>
                <c:pt idx="2">
                  <c:v>PRC</c:v>
                </c:pt>
                <c:pt idx="3">
                  <c:v>Citizenship</c:v>
                </c:pt>
                <c:pt idx="4">
                  <c:v>No plan/action</c:v>
                </c:pt>
                <c:pt idx="5">
                  <c:v>No plan/action (with PRC)</c:v>
                </c:pt>
              </c:strCache>
            </c:strRef>
          </c:cat>
          <c:val>
            <c:numRef>
              <c:f>'Figure 1'!$G$7:$G$12</c:f>
              <c:numCache>
                <c:formatCode>0%</c:formatCode>
                <c:ptCount val="6"/>
                <c:pt idx="0">
                  <c:v>5.6433408577878104E-2</c:v>
                </c:pt>
                <c:pt idx="1">
                  <c:v>4.17607223476298E-2</c:v>
                </c:pt>
                <c:pt idx="2">
                  <c:v>0.51354401805869077</c:v>
                </c:pt>
                <c:pt idx="3">
                  <c:v>0.21331828442437922</c:v>
                </c:pt>
                <c:pt idx="4">
                  <c:v>0.10609480812641084</c:v>
                </c:pt>
                <c:pt idx="5">
                  <c:v>6.8848758465011289E-2</c:v>
                </c:pt>
              </c:numCache>
            </c:numRef>
          </c:val>
        </c:ser>
        <c:dLbls>
          <c:dLblPos val="outEnd"/>
          <c:showLegendKey val="0"/>
          <c:showVal val="1"/>
          <c:showCatName val="0"/>
          <c:showSerName val="0"/>
          <c:showPercent val="0"/>
          <c:showBubbleSize val="0"/>
        </c:dLbls>
        <c:gapWidth val="30"/>
        <c:axId val="279153096"/>
        <c:axId val="279152704"/>
      </c:barChart>
      <c:catAx>
        <c:axId val="279153096"/>
        <c:scaling>
          <c:orientation val="minMax"/>
        </c:scaling>
        <c:delete val="0"/>
        <c:axPos val="b"/>
        <c:numFmt formatCode="@" sourceLinked="0"/>
        <c:majorTickMark val="none"/>
        <c:minorTickMark val="none"/>
        <c:tickLblPos val="nextTo"/>
        <c:txPr>
          <a:bodyPr rot="0" anchor="t" anchorCtr="0"/>
          <a:lstStyle/>
          <a:p>
            <a:pPr>
              <a:defRPr sz="900"/>
            </a:pPr>
            <a:endParaRPr lang="en-US"/>
          </a:p>
        </c:txPr>
        <c:crossAx val="279152704"/>
        <c:crosses val="autoZero"/>
        <c:auto val="0"/>
        <c:lblAlgn val="ctr"/>
        <c:lblOffset val="0"/>
        <c:noMultiLvlLbl val="0"/>
      </c:catAx>
      <c:valAx>
        <c:axId val="279152704"/>
        <c:scaling>
          <c:orientation val="minMax"/>
          <c:max val="0.60000000000000009"/>
        </c:scaling>
        <c:delete val="0"/>
        <c:axPos val="l"/>
        <c:majorGridlines>
          <c:spPr>
            <a:ln w="3175">
              <a:solidFill>
                <a:schemeClr val="bg1">
                  <a:lumMod val="75000"/>
                </a:schemeClr>
              </a:solidFill>
            </a:ln>
          </c:spPr>
        </c:majorGridlines>
        <c:numFmt formatCode="0%" sourceLinked="0"/>
        <c:majorTickMark val="none"/>
        <c:minorTickMark val="none"/>
        <c:tickLblPos val="nextTo"/>
        <c:spPr>
          <a:ln>
            <a:noFill/>
          </a:ln>
        </c:spPr>
        <c:crossAx val="279153096"/>
        <c:crosses val="autoZero"/>
        <c:crossBetween val="between"/>
        <c:majorUnit val="5.000000000000001E-2"/>
      </c:valAx>
      <c:spPr>
        <a:ln>
          <a:noFill/>
        </a:ln>
      </c:spPr>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0F34-028E-4DA9-86C4-B2C4459E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TotalTime>
  <Pages>37</Pages>
  <Words>14612</Words>
  <Characters>83291</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97708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Moreh C.</dc:creator>
  <cp:lastModifiedBy>McGhee D.P.</cp:lastModifiedBy>
  <cp:revision>2</cp:revision>
  <cp:lastPrinted>2011-07-22T14:54:00Z</cp:lastPrinted>
  <dcterms:created xsi:type="dcterms:W3CDTF">2017-02-06T16:59:00Z</dcterms:created>
  <dcterms:modified xsi:type="dcterms:W3CDTF">2017-02-06T16:59:00Z</dcterms:modified>
</cp:coreProperties>
</file>