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8B" w:rsidRPr="00352F8B" w:rsidRDefault="00352F8B" w:rsidP="00E20257">
      <w:pPr>
        <w:spacing w:line="480" w:lineRule="auto"/>
        <w:rPr>
          <w:b/>
          <w:bCs/>
          <w:color w:val="000000"/>
          <w:lang w:val="en-US" w:eastAsia="en-US"/>
        </w:rPr>
      </w:pPr>
      <w:r w:rsidRPr="00352F8B">
        <w:rPr>
          <w:b/>
          <w:bCs/>
          <w:color w:val="000000"/>
          <w:lang w:val="en-US" w:eastAsia="en-US"/>
        </w:rPr>
        <w:t xml:space="preserve">Pseudotumor cerebri syndrome in childhood: incidence, </w:t>
      </w:r>
      <w:r w:rsidR="00560C8D">
        <w:rPr>
          <w:b/>
          <w:bCs/>
          <w:color w:val="000000"/>
          <w:lang w:val="en-US" w:eastAsia="en-US"/>
        </w:rPr>
        <w:t xml:space="preserve">clinical profile and </w:t>
      </w:r>
      <w:r w:rsidR="00BF16CF">
        <w:rPr>
          <w:b/>
          <w:bCs/>
          <w:color w:val="000000"/>
          <w:lang w:val="en-US" w:eastAsia="en-US"/>
        </w:rPr>
        <w:t xml:space="preserve">risk factors </w:t>
      </w:r>
      <w:r w:rsidRPr="00352F8B">
        <w:rPr>
          <w:b/>
          <w:bCs/>
          <w:color w:val="000000"/>
          <w:lang w:val="en-US" w:eastAsia="en-US"/>
        </w:rPr>
        <w:t>in a national prospective population-based cohort study</w:t>
      </w:r>
    </w:p>
    <w:p w:rsidR="00E20257" w:rsidRDefault="00E20257" w:rsidP="00E20257">
      <w:pPr>
        <w:spacing w:line="480" w:lineRule="auto"/>
      </w:pPr>
    </w:p>
    <w:p w:rsidR="00ED0CD4" w:rsidRPr="00246DFD" w:rsidRDefault="007430B0" w:rsidP="00E20257">
      <w:pPr>
        <w:spacing w:line="480" w:lineRule="auto"/>
        <w:rPr>
          <w:vertAlign w:val="superscript"/>
        </w:rPr>
      </w:pPr>
      <w:r w:rsidRPr="007430B0">
        <w:t>Yim-Yee Matthews</w:t>
      </w:r>
      <w:r w:rsidRPr="007430B0">
        <w:rPr>
          <w:vertAlign w:val="superscript"/>
        </w:rPr>
        <w:t>1</w:t>
      </w:r>
      <w:r w:rsidRPr="007430B0">
        <w:t xml:space="preserve">, </w:t>
      </w:r>
      <w:r w:rsidRPr="007430B0">
        <w:rPr>
          <w:lang w:val="pt-PT"/>
        </w:rPr>
        <w:t>Fiona Dean</w:t>
      </w:r>
      <w:r w:rsidRPr="007430B0">
        <w:rPr>
          <w:vertAlign w:val="superscript"/>
          <w:lang w:val="pt-PT"/>
        </w:rPr>
        <w:t>2</w:t>
      </w:r>
      <w:r w:rsidRPr="007430B0">
        <w:rPr>
          <w:lang w:val="pt-PT"/>
        </w:rPr>
        <w:t>,</w:t>
      </w:r>
      <w:r w:rsidR="00FD1BD5">
        <w:t xml:space="preserve"> Ming J Lim</w:t>
      </w:r>
      <w:r w:rsidRPr="007430B0">
        <w:rPr>
          <w:vertAlign w:val="superscript"/>
        </w:rPr>
        <w:t>3</w:t>
      </w:r>
      <w:r w:rsidRPr="007430B0">
        <w:t>,</w:t>
      </w:r>
      <w:r w:rsidR="0067066D">
        <w:rPr>
          <w:lang w:val="pt-PT"/>
        </w:rPr>
        <w:t xml:space="preserve"> Karen Mcl</w:t>
      </w:r>
      <w:r w:rsidRPr="007430B0">
        <w:rPr>
          <w:lang w:val="pt-PT"/>
        </w:rPr>
        <w:t>achlan</w:t>
      </w:r>
      <w:r w:rsidRPr="007430B0">
        <w:rPr>
          <w:vertAlign w:val="superscript"/>
          <w:lang w:val="pt-PT"/>
        </w:rPr>
        <w:t>4</w:t>
      </w:r>
      <w:r w:rsidRPr="007430B0">
        <w:rPr>
          <w:lang w:val="pt-PT"/>
        </w:rPr>
        <w:t>,</w:t>
      </w:r>
      <w:r w:rsidR="00FD1BD5">
        <w:t xml:space="preserve"> Alan S Rigby</w:t>
      </w:r>
      <w:r w:rsidRPr="007430B0">
        <w:rPr>
          <w:vertAlign w:val="superscript"/>
        </w:rPr>
        <w:t>5</w:t>
      </w:r>
      <w:r w:rsidRPr="007430B0">
        <w:t xml:space="preserve">, </w:t>
      </w:r>
      <w:r w:rsidR="00F161F5">
        <w:t>Guirish A Solanki</w:t>
      </w:r>
      <w:r w:rsidR="00F161F5">
        <w:rPr>
          <w:vertAlign w:val="superscript"/>
        </w:rPr>
        <w:t>6</w:t>
      </w:r>
      <w:r w:rsidR="00F161F5">
        <w:t xml:space="preserve">, </w:t>
      </w:r>
      <w:r w:rsidRPr="007430B0">
        <w:t>Cath</w:t>
      </w:r>
      <w:r w:rsidR="00985C78">
        <w:t>arine</w:t>
      </w:r>
      <w:r w:rsidRPr="007430B0">
        <w:t xml:space="preserve"> </w:t>
      </w:r>
      <w:r w:rsidR="00985C78">
        <w:t xml:space="preserve">P </w:t>
      </w:r>
      <w:r w:rsidRPr="007430B0">
        <w:t>White</w:t>
      </w:r>
      <w:r w:rsidR="00F161F5">
        <w:rPr>
          <w:vertAlign w:val="superscript"/>
        </w:rPr>
        <w:t>7</w:t>
      </w:r>
      <w:r w:rsidRPr="007430B0">
        <w:t>, William P Whitehouse</w:t>
      </w:r>
      <w:r w:rsidR="00F161F5">
        <w:rPr>
          <w:vertAlign w:val="superscript"/>
        </w:rPr>
        <w:t>8</w:t>
      </w:r>
      <w:r w:rsidRPr="007430B0">
        <w:t xml:space="preserve">, </w:t>
      </w:r>
      <w:r w:rsidR="00FD1BD5">
        <w:rPr>
          <w:lang w:val="pt-PT"/>
        </w:rPr>
        <w:t>Colin R Kennedy</w:t>
      </w:r>
      <w:r w:rsidR="00F161F5">
        <w:rPr>
          <w:vertAlign w:val="superscript"/>
          <w:lang w:val="pt-PT"/>
        </w:rPr>
        <w:t>9</w:t>
      </w:r>
    </w:p>
    <w:p w:rsidR="00220E6F" w:rsidRPr="001F2127" w:rsidRDefault="00220E6F" w:rsidP="00E20257">
      <w:pPr>
        <w:spacing w:line="480" w:lineRule="auto"/>
        <w:rPr>
          <w:bCs/>
        </w:rPr>
      </w:pPr>
    </w:p>
    <w:p w:rsidR="00220E6F" w:rsidRPr="001F2127" w:rsidRDefault="00481A1D" w:rsidP="00E20257">
      <w:pPr>
        <w:spacing w:line="480" w:lineRule="auto"/>
        <w:rPr>
          <w:sz w:val="20"/>
          <w:szCs w:val="20"/>
          <w:lang w:val="pt-PT"/>
        </w:rPr>
      </w:pPr>
      <w:r>
        <w:rPr>
          <w:sz w:val="20"/>
          <w:szCs w:val="20"/>
          <w:vertAlign w:val="superscript"/>
          <w:lang w:val="pt-PT"/>
        </w:rPr>
        <w:t>1</w:t>
      </w:r>
      <w:r w:rsidR="005A315C">
        <w:rPr>
          <w:sz w:val="20"/>
          <w:szCs w:val="20"/>
          <w:lang w:val="pt-PT"/>
        </w:rPr>
        <w:t xml:space="preserve"> </w:t>
      </w:r>
      <w:r w:rsidR="00220E6F" w:rsidRPr="001F2127">
        <w:rPr>
          <w:sz w:val="20"/>
          <w:szCs w:val="20"/>
          <w:lang w:val="pt-PT"/>
        </w:rPr>
        <w:t>Paediatric</w:t>
      </w:r>
      <w:r w:rsidR="00085EA6">
        <w:rPr>
          <w:sz w:val="20"/>
          <w:szCs w:val="20"/>
          <w:lang w:val="pt-PT"/>
        </w:rPr>
        <w:t xml:space="preserve"> Department</w:t>
      </w:r>
      <w:r w:rsidR="00220E6F" w:rsidRPr="001F2127">
        <w:rPr>
          <w:sz w:val="20"/>
          <w:szCs w:val="20"/>
          <w:lang w:val="pt-PT"/>
        </w:rPr>
        <w:t>, Wrexham Maelor Hospital, Wrexham</w:t>
      </w:r>
      <w:r w:rsidR="00EF00DC" w:rsidRPr="001F2127">
        <w:rPr>
          <w:sz w:val="20"/>
          <w:szCs w:val="20"/>
          <w:lang w:val="pt-PT"/>
        </w:rPr>
        <w:t xml:space="preserve">, UK </w:t>
      </w:r>
    </w:p>
    <w:p w:rsidR="0067285A" w:rsidRPr="001F2127" w:rsidRDefault="00481A1D" w:rsidP="00E20257">
      <w:pPr>
        <w:spacing w:line="480" w:lineRule="auto"/>
        <w:rPr>
          <w:sz w:val="20"/>
          <w:szCs w:val="20"/>
          <w:lang w:val="pt-PT"/>
        </w:rPr>
      </w:pPr>
      <w:r>
        <w:rPr>
          <w:sz w:val="20"/>
          <w:szCs w:val="20"/>
          <w:vertAlign w:val="superscript"/>
          <w:lang w:val="pt-PT"/>
        </w:rPr>
        <w:t>2</w:t>
      </w:r>
      <w:r w:rsidR="00EC39BF">
        <w:rPr>
          <w:sz w:val="20"/>
          <w:szCs w:val="20"/>
          <w:lang w:val="pt-PT"/>
        </w:rPr>
        <w:t xml:space="preserve"> </w:t>
      </w:r>
      <w:r w:rsidR="0010244A">
        <w:rPr>
          <w:sz w:val="20"/>
          <w:szCs w:val="20"/>
          <w:lang w:val="pt-PT"/>
        </w:rPr>
        <w:t>Ophthalmology</w:t>
      </w:r>
      <w:r w:rsidR="00EC39BF">
        <w:rPr>
          <w:sz w:val="20"/>
          <w:szCs w:val="20"/>
          <w:lang w:val="pt-PT"/>
        </w:rPr>
        <w:t xml:space="preserve"> Department</w:t>
      </w:r>
      <w:r w:rsidR="0067285A">
        <w:rPr>
          <w:sz w:val="20"/>
          <w:szCs w:val="20"/>
          <w:lang w:val="pt-PT"/>
        </w:rPr>
        <w:t>,</w:t>
      </w:r>
      <w:r w:rsidR="00EC39BF">
        <w:rPr>
          <w:sz w:val="20"/>
          <w:szCs w:val="20"/>
          <w:lang w:val="pt-PT"/>
        </w:rPr>
        <w:t xml:space="preserve"> </w:t>
      </w:r>
      <w:r w:rsidR="0067285A">
        <w:rPr>
          <w:sz w:val="20"/>
          <w:szCs w:val="20"/>
          <w:lang w:val="pt-PT"/>
        </w:rPr>
        <w:t>University Hospital Coventry and Warwickshire NHS Trust, Coventry</w:t>
      </w:r>
      <w:r>
        <w:rPr>
          <w:sz w:val="20"/>
          <w:szCs w:val="20"/>
          <w:lang w:val="pt-PT"/>
        </w:rPr>
        <w:t>,</w:t>
      </w:r>
      <w:r w:rsidRPr="00481A1D">
        <w:rPr>
          <w:sz w:val="20"/>
          <w:szCs w:val="20"/>
          <w:lang w:val="pt-PT"/>
        </w:rPr>
        <w:t xml:space="preserve"> </w:t>
      </w:r>
      <w:r>
        <w:rPr>
          <w:sz w:val="20"/>
          <w:szCs w:val="20"/>
          <w:lang w:val="pt-PT"/>
        </w:rPr>
        <w:t>UK</w:t>
      </w:r>
    </w:p>
    <w:p w:rsidR="0067285A" w:rsidRPr="001F2127" w:rsidRDefault="00481A1D" w:rsidP="00E20257">
      <w:pPr>
        <w:spacing w:line="480" w:lineRule="auto"/>
        <w:rPr>
          <w:bCs/>
          <w:sz w:val="20"/>
          <w:szCs w:val="20"/>
        </w:rPr>
      </w:pPr>
      <w:r>
        <w:rPr>
          <w:bCs/>
          <w:sz w:val="20"/>
          <w:szCs w:val="20"/>
          <w:vertAlign w:val="superscript"/>
        </w:rPr>
        <w:t>3</w:t>
      </w:r>
      <w:r w:rsidR="00704BA6">
        <w:rPr>
          <w:bCs/>
          <w:sz w:val="20"/>
          <w:szCs w:val="20"/>
        </w:rPr>
        <w:t xml:space="preserve"> </w:t>
      </w:r>
      <w:r w:rsidR="0067285A" w:rsidRPr="001F2127">
        <w:rPr>
          <w:bCs/>
          <w:sz w:val="20"/>
          <w:szCs w:val="20"/>
        </w:rPr>
        <w:t>Children’s Neurosciences, Evelina London Children's Hospital, Guy's and St Thomas' NHS Foundation Trust, King’s Health Partners Academic Health Science Centre, London</w:t>
      </w:r>
      <w:r>
        <w:rPr>
          <w:bCs/>
          <w:sz w:val="20"/>
          <w:szCs w:val="20"/>
        </w:rPr>
        <w:t>,</w:t>
      </w:r>
      <w:r w:rsidRPr="00481A1D">
        <w:rPr>
          <w:bCs/>
          <w:sz w:val="20"/>
          <w:szCs w:val="20"/>
        </w:rPr>
        <w:t xml:space="preserve"> </w:t>
      </w:r>
      <w:r>
        <w:rPr>
          <w:bCs/>
          <w:sz w:val="20"/>
          <w:szCs w:val="20"/>
        </w:rPr>
        <w:t>UK</w:t>
      </w:r>
    </w:p>
    <w:p w:rsidR="00053217" w:rsidRPr="001F2127" w:rsidRDefault="00481A1D" w:rsidP="00E20257">
      <w:pPr>
        <w:spacing w:line="480" w:lineRule="auto"/>
        <w:rPr>
          <w:sz w:val="20"/>
          <w:szCs w:val="20"/>
          <w:lang w:val="pt-PT"/>
        </w:rPr>
      </w:pPr>
      <w:r>
        <w:rPr>
          <w:bCs/>
          <w:sz w:val="20"/>
          <w:szCs w:val="20"/>
          <w:vertAlign w:val="superscript"/>
        </w:rPr>
        <w:t>4</w:t>
      </w:r>
      <w:r w:rsidR="00704BA6">
        <w:rPr>
          <w:bCs/>
          <w:sz w:val="20"/>
          <w:szCs w:val="20"/>
        </w:rPr>
        <w:t xml:space="preserve"> </w:t>
      </w:r>
      <w:r w:rsidR="0010244A">
        <w:rPr>
          <w:sz w:val="20"/>
          <w:szCs w:val="20"/>
          <w:lang w:val="pt-PT"/>
        </w:rPr>
        <w:t xml:space="preserve">Paediatric Department, </w:t>
      </w:r>
      <w:r w:rsidR="00053217" w:rsidRPr="00302171">
        <w:rPr>
          <w:sz w:val="20"/>
          <w:szCs w:val="20"/>
          <w:lang w:val="pt-PT"/>
        </w:rPr>
        <w:t>University Hospital Coventry and Warwickshire NHS Trust, Coventry</w:t>
      </w:r>
      <w:r>
        <w:rPr>
          <w:sz w:val="20"/>
          <w:szCs w:val="20"/>
          <w:lang w:val="pt-PT"/>
        </w:rPr>
        <w:t>,</w:t>
      </w:r>
      <w:r w:rsidRPr="00481A1D">
        <w:rPr>
          <w:sz w:val="20"/>
          <w:szCs w:val="20"/>
          <w:lang w:val="pt-PT"/>
        </w:rPr>
        <w:t xml:space="preserve"> </w:t>
      </w:r>
      <w:r w:rsidRPr="00302171">
        <w:rPr>
          <w:sz w:val="20"/>
          <w:szCs w:val="20"/>
          <w:lang w:val="pt-PT"/>
        </w:rPr>
        <w:t>UK</w:t>
      </w:r>
    </w:p>
    <w:p w:rsidR="005C2DDA" w:rsidRDefault="007430B0" w:rsidP="00E20257">
      <w:pPr>
        <w:spacing w:line="480" w:lineRule="auto"/>
        <w:rPr>
          <w:bCs/>
          <w:sz w:val="20"/>
          <w:szCs w:val="20"/>
        </w:rPr>
      </w:pPr>
      <w:r w:rsidRPr="007430B0">
        <w:rPr>
          <w:bCs/>
          <w:sz w:val="20"/>
          <w:szCs w:val="20"/>
          <w:vertAlign w:val="superscript"/>
        </w:rPr>
        <w:t>5</w:t>
      </w:r>
      <w:r w:rsidRPr="007430B0">
        <w:rPr>
          <w:bCs/>
          <w:sz w:val="20"/>
          <w:szCs w:val="20"/>
        </w:rPr>
        <w:t xml:space="preserve"> University of Hull, Hull</w:t>
      </w:r>
      <w:r w:rsidR="00481A1D">
        <w:rPr>
          <w:bCs/>
          <w:sz w:val="20"/>
          <w:szCs w:val="20"/>
        </w:rPr>
        <w:t>,</w:t>
      </w:r>
      <w:r w:rsidRPr="007430B0">
        <w:rPr>
          <w:bCs/>
          <w:sz w:val="20"/>
          <w:szCs w:val="20"/>
        </w:rPr>
        <w:t xml:space="preserve"> </w:t>
      </w:r>
      <w:r w:rsidR="00481A1D" w:rsidRPr="00C30F7B">
        <w:rPr>
          <w:bCs/>
          <w:sz w:val="20"/>
          <w:szCs w:val="20"/>
        </w:rPr>
        <w:t>UK</w:t>
      </w:r>
    </w:p>
    <w:p w:rsidR="00F161F5" w:rsidRPr="00CC08C7" w:rsidRDefault="00F161F5" w:rsidP="00E20257">
      <w:pPr>
        <w:spacing w:line="480" w:lineRule="auto"/>
        <w:rPr>
          <w:bCs/>
          <w:sz w:val="20"/>
        </w:rPr>
      </w:pPr>
      <w:r>
        <w:rPr>
          <w:bCs/>
          <w:sz w:val="20"/>
          <w:szCs w:val="20"/>
          <w:vertAlign w:val="superscript"/>
        </w:rPr>
        <w:t>6</w:t>
      </w:r>
      <w:r w:rsidRPr="007430B0">
        <w:rPr>
          <w:bCs/>
          <w:sz w:val="20"/>
          <w:szCs w:val="20"/>
        </w:rPr>
        <w:t xml:space="preserve"> </w:t>
      </w:r>
      <w:r>
        <w:rPr>
          <w:bCs/>
          <w:sz w:val="20"/>
          <w:szCs w:val="20"/>
        </w:rPr>
        <w:t xml:space="preserve">Department of Paediatric </w:t>
      </w:r>
      <w:r w:rsidRPr="00CC08C7">
        <w:rPr>
          <w:bCs/>
          <w:sz w:val="20"/>
        </w:rPr>
        <w:t>Neurosurge</w:t>
      </w:r>
      <w:r>
        <w:rPr>
          <w:bCs/>
          <w:sz w:val="20"/>
        </w:rPr>
        <w:t>ry,</w:t>
      </w:r>
      <w:r w:rsidRPr="00CC08C7">
        <w:rPr>
          <w:bCs/>
          <w:sz w:val="20"/>
        </w:rPr>
        <w:t xml:space="preserve"> Birmingham Children’s Hospital,</w:t>
      </w:r>
      <w:r>
        <w:rPr>
          <w:bCs/>
          <w:sz w:val="20"/>
        </w:rPr>
        <w:t xml:space="preserve"> </w:t>
      </w:r>
      <w:r w:rsidRPr="00CC08C7">
        <w:rPr>
          <w:bCs/>
          <w:sz w:val="20"/>
        </w:rPr>
        <w:t>University of Birmingham</w:t>
      </w:r>
      <w:r>
        <w:rPr>
          <w:bCs/>
          <w:sz w:val="20"/>
        </w:rPr>
        <w:t>, Birmingham, UK.</w:t>
      </w:r>
    </w:p>
    <w:p w:rsidR="005C2DDA" w:rsidRPr="00481A1D" w:rsidRDefault="00F161F5" w:rsidP="00E20257">
      <w:pPr>
        <w:spacing w:line="480" w:lineRule="auto"/>
        <w:rPr>
          <w:bCs/>
          <w:sz w:val="20"/>
          <w:szCs w:val="20"/>
        </w:rPr>
      </w:pPr>
      <w:r>
        <w:rPr>
          <w:bCs/>
          <w:sz w:val="20"/>
          <w:szCs w:val="20"/>
          <w:vertAlign w:val="superscript"/>
        </w:rPr>
        <w:t>7</w:t>
      </w:r>
      <w:r w:rsidR="007430B0" w:rsidRPr="007430B0">
        <w:rPr>
          <w:bCs/>
          <w:sz w:val="20"/>
          <w:szCs w:val="20"/>
        </w:rPr>
        <w:t xml:space="preserve"> </w:t>
      </w:r>
      <w:r w:rsidR="0010244A">
        <w:rPr>
          <w:bCs/>
          <w:sz w:val="20"/>
          <w:szCs w:val="20"/>
        </w:rPr>
        <w:t xml:space="preserve">Department of Child Health, </w:t>
      </w:r>
      <w:r w:rsidR="007430B0" w:rsidRPr="007430B0">
        <w:rPr>
          <w:bCs/>
          <w:sz w:val="20"/>
          <w:szCs w:val="20"/>
        </w:rPr>
        <w:t xml:space="preserve">Morriston Hospital, Swansea, </w:t>
      </w:r>
      <w:r w:rsidR="00481A1D" w:rsidRPr="00B23E3D">
        <w:rPr>
          <w:bCs/>
          <w:sz w:val="20"/>
          <w:szCs w:val="20"/>
        </w:rPr>
        <w:t>UK</w:t>
      </w:r>
    </w:p>
    <w:p w:rsidR="005C2DDA" w:rsidRPr="001F2127" w:rsidRDefault="00F161F5" w:rsidP="00E20257">
      <w:pPr>
        <w:spacing w:line="480" w:lineRule="auto"/>
        <w:rPr>
          <w:bCs/>
          <w:sz w:val="20"/>
          <w:szCs w:val="20"/>
        </w:rPr>
      </w:pPr>
      <w:r>
        <w:rPr>
          <w:bCs/>
          <w:sz w:val="20"/>
          <w:szCs w:val="20"/>
          <w:vertAlign w:val="superscript"/>
        </w:rPr>
        <w:t>8</w:t>
      </w:r>
      <w:r w:rsidR="005A315C">
        <w:rPr>
          <w:bCs/>
          <w:sz w:val="20"/>
          <w:szCs w:val="20"/>
        </w:rPr>
        <w:t xml:space="preserve"> </w:t>
      </w:r>
      <w:r w:rsidR="000C5D77">
        <w:rPr>
          <w:bCs/>
          <w:sz w:val="20"/>
          <w:szCs w:val="20"/>
        </w:rPr>
        <w:t>School of Med</w:t>
      </w:r>
      <w:r w:rsidR="00704BA6">
        <w:rPr>
          <w:bCs/>
          <w:sz w:val="20"/>
          <w:szCs w:val="20"/>
        </w:rPr>
        <w:t xml:space="preserve">icine, University of Nottingham, </w:t>
      </w:r>
      <w:r w:rsidR="000C5D77">
        <w:rPr>
          <w:bCs/>
          <w:sz w:val="20"/>
          <w:szCs w:val="20"/>
        </w:rPr>
        <w:t>Paediatric Neurology, Nottingham University H</w:t>
      </w:r>
      <w:r w:rsidR="00053217">
        <w:rPr>
          <w:bCs/>
          <w:sz w:val="20"/>
          <w:szCs w:val="20"/>
        </w:rPr>
        <w:t>osp</w:t>
      </w:r>
      <w:r w:rsidR="00085EA6">
        <w:rPr>
          <w:bCs/>
          <w:sz w:val="20"/>
          <w:szCs w:val="20"/>
        </w:rPr>
        <w:t xml:space="preserve">itals NHS Trust, Nottingham, </w:t>
      </w:r>
      <w:r w:rsidR="00481A1D">
        <w:rPr>
          <w:bCs/>
          <w:sz w:val="20"/>
          <w:szCs w:val="20"/>
        </w:rPr>
        <w:t>UK</w:t>
      </w:r>
    </w:p>
    <w:p w:rsidR="00246DFD" w:rsidRDefault="00F161F5" w:rsidP="00E20257">
      <w:pPr>
        <w:spacing w:line="480" w:lineRule="auto"/>
        <w:rPr>
          <w:bCs/>
          <w:sz w:val="20"/>
          <w:szCs w:val="20"/>
        </w:rPr>
      </w:pPr>
      <w:r>
        <w:rPr>
          <w:sz w:val="20"/>
          <w:szCs w:val="20"/>
          <w:vertAlign w:val="superscript"/>
          <w:lang w:val="pt-PT"/>
        </w:rPr>
        <w:t>9</w:t>
      </w:r>
      <w:r w:rsidR="0067285A">
        <w:rPr>
          <w:bCs/>
          <w:sz w:val="20"/>
          <w:szCs w:val="20"/>
        </w:rPr>
        <w:t xml:space="preserve"> </w:t>
      </w:r>
      <w:r w:rsidR="00246DFD">
        <w:rPr>
          <w:bCs/>
          <w:sz w:val="20"/>
          <w:szCs w:val="20"/>
        </w:rPr>
        <w:t xml:space="preserve">Clinical Neurosciences, Faculty of Medicine, University of Southampton, </w:t>
      </w:r>
      <w:r w:rsidR="00C27E69">
        <w:rPr>
          <w:bCs/>
          <w:sz w:val="20"/>
          <w:szCs w:val="20"/>
        </w:rPr>
        <w:t xml:space="preserve">University Hospital Southampton, </w:t>
      </w:r>
      <w:r w:rsidR="00246DFD">
        <w:rPr>
          <w:bCs/>
          <w:sz w:val="20"/>
          <w:szCs w:val="20"/>
        </w:rPr>
        <w:t>Southampton</w:t>
      </w:r>
      <w:r w:rsidR="00847790">
        <w:rPr>
          <w:bCs/>
          <w:sz w:val="20"/>
          <w:szCs w:val="20"/>
        </w:rPr>
        <w:t xml:space="preserve">, </w:t>
      </w:r>
      <w:r w:rsidR="00246DFD">
        <w:rPr>
          <w:bCs/>
          <w:sz w:val="20"/>
          <w:szCs w:val="20"/>
        </w:rPr>
        <w:t xml:space="preserve">UK </w:t>
      </w:r>
    </w:p>
    <w:p w:rsidR="00EF00DC" w:rsidRPr="001F2127" w:rsidRDefault="00EF00DC" w:rsidP="00E20257">
      <w:pPr>
        <w:spacing w:line="480" w:lineRule="auto"/>
        <w:rPr>
          <w:bCs/>
          <w:sz w:val="20"/>
          <w:szCs w:val="20"/>
        </w:rPr>
      </w:pPr>
    </w:p>
    <w:p w:rsidR="00D66354" w:rsidRDefault="00D66354" w:rsidP="00E20257">
      <w:pPr>
        <w:spacing w:line="480" w:lineRule="auto"/>
        <w:rPr>
          <w:b/>
          <w:bCs/>
        </w:rPr>
      </w:pPr>
      <w:r>
        <w:rPr>
          <w:b/>
          <w:bCs/>
        </w:rPr>
        <w:t>Correspondence to</w:t>
      </w:r>
    </w:p>
    <w:p w:rsidR="00085EA6" w:rsidRPr="00246DFD" w:rsidRDefault="007430B0" w:rsidP="00B770E1">
      <w:pPr>
        <w:spacing w:line="480" w:lineRule="auto"/>
        <w:rPr>
          <w:lang w:val="pt-PT"/>
        </w:rPr>
      </w:pPr>
      <w:r w:rsidRPr="007430B0">
        <w:rPr>
          <w:bCs/>
        </w:rPr>
        <w:t>Dr Yim-Yee Matthews</w:t>
      </w:r>
      <w:r w:rsidRPr="007430B0">
        <w:rPr>
          <w:lang w:val="pt-PT"/>
        </w:rPr>
        <w:t xml:space="preserve">, Paediatric Department, Wrexham Maelor Hospital, </w:t>
      </w:r>
      <w:r w:rsidR="00D66354">
        <w:rPr>
          <w:lang w:val="pt-PT"/>
        </w:rPr>
        <w:t xml:space="preserve">Croesnewydd Road, </w:t>
      </w:r>
      <w:r w:rsidRPr="007430B0">
        <w:rPr>
          <w:lang w:val="pt-PT"/>
        </w:rPr>
        <w:t>Wrexham</w:t>
      </w:r>
      <w:r w:rsidR="00D66354">
        <w:rPr>
          <w:lang w:val="pt-PT"/>
        </w:rPr>
        <w:t xml:space="preserve"> </w:t>
      </w:r>
      <w:r w:rsidRPr="007430B0">
        <w:rPr>
          <w:lang w:val="pt-PT"/>
        </w:rPr>
        <w:t>LL13 7TD</w:t>
      </w:r>
      <w:r w:rsidR="00D66354">
        <w:rPr>
          <w:lang w:val="pt-PT"/>
        </w:rPr>
        <w:t>,</w:t>
      </w:r>
      <w:r w:rsidR="00246DFD" w:rsidRPr="00246DFD">
        <w:rPr>
          <w:lang w:val="pt-PT"/>
        </w:rPr>
        <w:t xml:space="preserve"> </w:t>
      </w:r>
      <w:r w:rsidR="00246DFD" w:rsidRPr="00592D23">
        <w:rPr>
          <w:lang w:val="pt-PT"/>
        </w:rPr>
        <w:t>UK</w:t>
      </w:r>
      <w:r w:rsidR="00704BA6">
        <w:rPr>
          <w:lang w:val="pt-PT"/>
        </w:rPr>
        <w:t xml:space="preserve">; </w:t>
      </w:r>
      <w:r w:rsidRPr="007430B0">
        <w:rPr>
          <w:lang w:val="pt-PT"/>
        </w:rPr>
        <w:t>yim-yee.matthews@wales.nhs.uk</w:t>
      </w:r>
    </w:p>
    <w:p w:rsidR="00EF00DC" w:rsidRDefault="007430B0" w:rsidP="00B770E1">
      <w:pPr>
        <w:spacing w:line="480" w:lineRule="auto"/>
        <w:rPr>
          <w:bCs/>
          <w:color w:val="0000FF"/>
          <w:sz w:val="20"/>
          <w:szCs w:val="20"/>
        </w:rPr>
      </w:pPr>
      <w:r w:rsidRPr="007430B0">
        <w:rPr>
          <w:bCs/>
        </w:rPr>
        <w:t>Telephone: +44 1978 291100</w:t>
      </w:r>
      <w:r w:rsidR="00EF00DC" w:rsidRPr="001F2127">
        <w:rPr>
          <w:bCs/>
          <w:color w:val="0000FF"/>
          <w:sz w:val="20"/>
          <w:szCs w:val="20"/>
        </w:rPr>
        <w:tab/>
      </w:r>
    </w:p>
    <w:p w:rsidR="00CA311C" w:rsidRDefault="00CA311C" w:rsidP="00CA311C">
      <w:pPr>
        <w:rPr>
          <w:b/>
        </w:rPr>
      </w:pPr>
    </w:p>
    <w:p w:rsidR="005E11C4" w:rsidRPr="005E11C4" w:rsidRDefault="00D66354" w:rsidP="00CA311C">
      <w:pPr>
        <w:rPr>
          <w:b/>
        </w:rPr>
      </w:pPr>
      <w:r w:rsidRPr="00E63131">
        <w:rPr>
          <w:b/>
        </w:rPr>
        <w:t>Word count</w:t>
      </w:r>
      <w:r w:rsidR="005E11C4" w:rsidRPr="00E63131">
        <w:rPr>
          <w:b/>
        </w:rPr>
        <w:t>s</w:t>
      </w:r>
      <w:r w:rsidRPr="00E63131">
        <w:rPr>
          <w:b/>
        </w:rPr>
        <w:t xml:space="preserve">: </w:t>
      </w:r>
      <w:r w:rsidR="00D058E1" w:rsidRPr="00E63131">
        <w:t>Abstract (2</w:t>
      </w:r>
      <w:r w:rsidR="00066B63" w:rsidRPr="00E63131">
        <w:t>47</w:t>
      </w:r>
      <w:r w:rsidR="005E11C4" w:rsidRPr="00E63131">
        <w:t>/250), Manuscript (2</w:t>
      </w:r>
      <w:r w:rsidR="00BF7211">
        <w:t>892</w:t>
      </w:r>
      <w:r w:rsidR="00E20257">
        <w:t>/</w:t>
      </w:r>
      <w:r w:rsidR="005E11C4" w:rsidRPr="00E63131">
        <w:t>2500)</w:t>
      </w:r>
    </w:p>
    <w:p w:rsidR="00CA311C" w:rsidRDefault="00CA311C" w:rsidP="00CA311C">
      <w:pPr>
        <w:rPr>
          <w:b/>
        </w:rPr>
      </w:pPr>
    </w:p>
    <w:p w:rsidR="00CA311C" w:rsidRDefault="00CA311C" w:rsidP="00CA311C">
      <w:pPr>
        <w:rPr>
          <w:rStyle w:val="pagecontents1"/>
        </w:rPr>
      </w:pPr>
    </w:p>
    <w:p w:rsidR="00CA311C" w:rsidRDefault="00CA311C">
      <w:pPr>
        <w:rPr>
          <w:b/>
        </w:rPr>
      </w:pPr>
      <w:r>
        <w:rPr>
          <w:b/>
        </w:rPr>
        <w:br w:type="page"/>
      </w:r>
    </w:p>
    <w:p w:rsidR="008B5BF8" w:rsidRPr="001F2127" w:rsidRDefault="00D652FA" w:rsidP="00E20257">
      <w:pPr>
        <w:spacing w:line="480" w:lineRule="auto"/>
        <w:rPr>
          <w:b/>
        </w:rPr>
      </w:pPr>
      <w:r>
        <w:rPr>
          <w:b/>
        </w:rPr>
        <w:lastRenderedPageBreak/>
        <w:t>ABSTRACT</w:t>
      </w:r>
    </w:p>
    <w:p w:rsidR="004A6099" w:rsidRPr="006712BF" w:rsidRDefault="00BF16CF" w:rsidP="00E20257">
      <w:pPr>
        <w:spacing w:line="480" w:lineRule="auto"/>
        <w:rPr>
          <w:sz w:val="20"/>
          <w:szCs w:val="20"/>
        </w:rPr>
      </w:pPr>
      <w:r w:rsidRPr="006712BF">
        <w:rPr>
          <w:b/>
          <w:sz w:val="20"/>
          <w:szCs w:val="20"/>
        </w:rPr>
        <w:t xml:space="preserve">Aim </w:t>
      </w:r>
      <w:r w:rsidRPr="006712BF">
        <w:rPr>
          <w:sz w:val="20"/>
          <w:szCs w:val="20"/>
        </w:rPr>
        <w:t>To investigate the epidemiology</w:t>
      </w:r>
      <w:r w:rsidR="00066B63" w:rsidRPr="006712BF">
        <w:rPr>
          <w:sz w:val="20"/>
          <w:szCs w:val="20"/>
        </w:rPr>
        <w:t xml:space="preserve">, </w:t>
      </w:r>
      <w:r w:rsidR="009B1B85" w:rsidRPr="006712BF">
        <w:rPr>
          <w:sz w:val="20"/>
          <w:szCs w:val="20"/>
        </w:rPr>
        <w:t xml:space="preserve">clinical profile and </w:t>
      </w:r>
      <w:r w:rsidR="00066B63" w:rsidRPr="006712BF">
        <w:rPr>
          <w:sz w:val="20"/>
          <w:szCs w:val="20"/>
        </w:rPr>
        <w:t>risk factors</w:t>
      </w:r>
      <w:r w:rsidRPr="006712BF">
        <w:rPr>
          <w:sz w:val="20"/>
          <w:szCs w:val="20"/>
        </w:rPr>
        <w:t xml:space="preserve"> of pseudotumor cerebri syndrome (PTCS) in children aged 1-16 years. </w:t>
      </w:r>
    </w:p>
    <w:p w:rsidR="00F23517" w:rsidRPr="006712BF" w:rsidRDefault="00DD1174" w:rsidP="00E20257">
      <w:pPr>
        <w:spacing w:line="480" w:lineRule="auto"/>
        <w:rPr>
          <w:sz w:val="20"/>
          <w:szCs w:val="20"/>
        </w:rPr>
      </w:pPr>
      <w:r w:rsidRPr="006712BF">
        <w:rPr>
          <w:b/>
          <w:sz w:val="20"/>
          <w:szCs w:val="20"/>
        </w:rPr>
        <w:t>Methods</w:t>
      </w:r>
      <w:r w:rsidR="003B346E" w:rsidRPr="006712BF">
        <w:rPr>
          <w:sz w:val="20"/>
          <w:szCs w:val="20"/>
        </w:rPr>
        <w:t xml:space="preserve"> </w:t>
      </w:r>
      <w:r w:rsidR="00BF16CF" w:rsidRPr="006712BF">
        <w:rPr>
          <w:sz w:val="20"/>
          <w:szCs w:val="20"/>
        </w:rPr>
        <w:t>A</w:t>
      </w:r>
      <w:r w:rsidR="00577EB7" w:rsidRPr="006712BF">
        <w:rPr>
          <w:sz w:val="20"/>
          <w:szCs w:val="20"/>
        </w:rPr>
        <w:t xml:space="preserve"> </w:t>
      </w:r>
      <w:r w:rsidR="004A3C0A" w:rsidRPr="006712BF">
        <w:rPr>
          <w:sz w:val="20"/>
          <w:szCs w:val="20"/>
        </w:rPr>
        <w:t xml:space="preserve">national </w:t>
      </w:r>
      <w:r w:rsidR="00577EB7" w:rsidRPr="006712BF">
        <w:rPr>
          <w:sz w:val="20"/>
          <w:szCs w:val="20"/>
        </w:rPr>
        <w:t xml:space="preserve">prospective population-based cohort </w:t>
      </w:r>
      <w:r w:rsidR="00026AFF" w:rsidRPr="006712BF">
        <w:rPr>
          <w:sz w:val="20"/>
          <w:szCs w:val="20"/>
        </w:rPr>
        <w:t>study</w:t>
      </w:r>
      <w:r w:rsidR="008A5C72" w:rsidRPr="006712BF">
        <w:rPr>
          <w:sz w:val="20"/>
          <w:szCs w:val="20"/>
        </w:rPr>
        <w:t xml:space="preserve"> over 25 months</w:t>
      </w:r>
      <w:r w:rsidR="000A362C" w:rsidRPr="006712BF">
        <w:rPr>
          <w:sz w:val="20"/>
          <w:szCs w:val="20"/>
        </w:rPr>
        <w:t>.</w:t>
      </w:r>
      <w:r w:rsidR="00741A22" w:rsidRPr="006712BF">
        <w:rPr>
          <w:sz w:val="20"/>
          <w:szCs w:val="20"/>
        </w:rPr>
        <w:t xml:space="preserve"> </w:t>
      </w:r>
      <w:r w:rsidR="008A5C72" w:rsidRPr="006712BF">
        <w:rPr>
          <w:sz w:val="20"/>
          <w:szCs w:val="20"/>
        </w:rPr>
        <w:t>Newly diagnosed PTCS c</w:t>
      </w:r>
      <w:r w:rsidR="00FA4BBA" w:rsidRPr="006712BF">
        <w:rPr>
          <w:sz w:val="20"/>
          <w:szCs w:val="20"/>
        </w:rPr>
        <w:t>ase</w:t>
      </w:r>
      <w:r w:rsidR="00026AFF" w:rsidRPr="006712BF">
        <w:rPr>
          <w:sz w:val="20"/>
          <w:szCs w:val="20"/>
        </w:rPr>
        <w:t>s</w:t>
      </w:r>
      <w:r w:rsidR="00C27E69" w:rsidRPr="006712BF">
        <w:rPr>
          <w:sz w:val="20"/>
          <w:szCs w:val="20"/>
        </w:rPr>
        <w:t xml:space="preserve"> </w:t>
      </w:r>
      <w:r w:rsidR="008A5C72" w:rsidRPr="006712BF">
        <w:rPr>
          <w:sz w:val="20"/>
          <w:szCs w:val="20"/>
        </w:rPr>
        <w:t xml:space="preserve">notified via British Paediatric Surveillance Unit (BPSU) </w:t>
      </w:r>
      <w:r w:rsidR="00026AFF" w:rsidRPr="006712BF">
        <w:rPr>
          <w:sz w:val="20"/>
          <w:szCs w:val="20"/>
        </w:rPr>
        <w:t xml:space="preserve">were </w:t>
      </w:r>
      <w:r w:rsidR="00FA4BBA" w:rsidRPr="006712BF">
        <w:rPr>
          <w:sz w:val="20"/>
          <w:szCs w:val="20"/>
        </w:rPr>
        <w:t>ascertain</w:t>
      </w:r>
      <w:r w:rsidR="00026AFF" w:rsidRPr="006712BF">
        <w:rPr>
          <w:sz w:val="20"/>
          <w:szCs w:val="20"/>
        </w:rPr>
        <w:t xml:space="preserve">ed using </w:t>
      </w:r>
      <w:r w:rsidR="00AE60A0" w:rsidRPr="006712BF">
        <w:rPr>
          <w:sz w:val="20"/>
          <w:szCs w:val="20"/>
        </w:rPr>
        <w:t xml:space="preserve">classical </w:t>
      </w:r>
      <w:r w:rsidR="005113B3" w:rsidRPr="006712BF">
        <w:rPr>
          <w:sz w:val="20"/>
          <w:szCs w:val="20"/>
        </w:rPr>
        <w:t xml:space="preserve">diagnostic </w:t>
      </w:r>
      <w:r w:rsidR="00AE60A0" w:rsidRPr="006712BF">
        <w:rPr>
          <w:sz w:val="20"/>
          <w:szCs w:val="20"/>
        </w:rPr>
        <w:t>criteria</w:t>
      </w:r>
      <w:r w:rsidR="00026AFF" w:rsidRPr="006712BF">
        <w:rPr>
          <w:sz w:val="20"/>
          <w:szCs w:val="20"/>
        </w:rPr>
        <w:t xml:space="preserve"> </w:t>
      </w:r>
      <w:r w:rsidR="000A362C" w:rsidRPr="006712BF">
        <w:rPr>
          <w:sz w:val="20"/>
          <w:szCs w:val="20"/>
        </w:rPr>
        <w:t>and</w:t>
      </w:r>
      <w:r w:rsidR="00AE60A0" w:rsidRPr="006712BF">
        <w:rPr>
          <w:sz w:val="20"/>
          <w:szCs w:val="20"/>
        </w:rPr>
        <w:t xml:space="preserve"> </w:t>
      </w:r>
      <w:r w:rsidR="002678D3" w:rsidRPr="006712BF">
        <w:rPr>
          <w:sz w:val="20"/>
          <w:szCs w:val="20"/>
        </w:rPr>
        <w:t xml:space="preserve">categorised according to </w:t>
      </w:r>
      <w:r w:rsidR="000A362C" w:rsidRPr="006712BF">
        <w:rPr>
          <w:sz w:val="20"/>
          <w:szCs w:val="20"/>
        </w:rPr>
        <w:t xml:space="preserve">2013 </w:t>
      </w:r>
      <w:r w:rsidR="005113B3" w:rsidRPr="006712BF">
        <w:rPr>
          <w:sz w:val="20"/>
          <w:szCs w:val="20"/>
        </w:rPr>
        <w:t>revised diagnostic criteria</w:t>
      </w:r>
      <w:r w:rsidR="00AE60A0" w:rsidRPr="006712BF">
        <w:rPr>
          <w:sz w:val="20"/>
          <w:szCs w:val="20"/>
        </w:rPr>
        <w:t>.</w:t>
      </w:r>
      <w:r w:rsidR="005113B3" w:rsidRPr="006712BF">
        <w:rPr>
          <w:sz w:val="20"/>
          <w:szCs w:val="20"/>
        </w:rPr>
        <w:t xml:space="preserve"> </w:t>
      </w:r>
      <w:r w:rsidR="008A5C72" w:rsidRPr="006712BF">
        <w:rPr>
          <w:sz w:val="20"/>
          <w:szCs w:val="20"/>
        </w:rPr>
        <w:t>We derived n</w:t>
      </w:r>
      <w:r w:rsidR="00741A22" w:rsidRPr="006712BF">
        <w:rPr>
          <w:sz w:val="20"/>
          <w:szCs w:val="20"/>
        </w:rPr>
        <w:t>ational a</w:t>
      </w:r>
      <w:r w:rsidR="005113B3" w:rsidRPr="006712BF">
        <w:rPr>
          <w:sz w:val="20"/>
          <w:szCs w:val="20"/>
        </w:rPr>
        <w:t>ge</w:t>
      </w:r>
      <w:r w:rsidR="00847790" w:rsidRPr="006712BF">
        <w:rPr>
          <w:sz w:val="20"/>
          <w:szCs w:val="20"/>
        </w:rPr>
        <w:t xml:space="preserve">, </w:t>
      </w:r>
      <w:r w:rsidR="005113B3" w:rsidRPr="006712BF">
        <w:rPr>
          <w:sz w:val="20"/>
          <w:szCs w:val="20"/>
        </w:rPr>
        <w:t>sex</w:t>
      </w:r>
      <w:r w:rsidR="00983B72" w:rsidRPr="006712BF">
        <w:rPr>
          <w:sz w:val="20"/>
          <w:szCs w:val="20"/>
        </w:rPr>
        <w:t xml:space="preserve"> </w:t>
      </w:r>
      <w:r w:rsidR="00847790" w:rsidRPr="006712BF">
        <w:rPr>
          <w:sz w:val="20"/>
          <w:szCs w:val="20"/>
        </w:rPr>
        <w:t>and weight-</w:t>
      </w:r>
      <w:r w:rsidR="005113B3" w:rsidRPr="006712BF">
        <w:rPr>
          <w:sz w:val="20"/>
          <w:szCs w:val="20"/>
        </w:rPr>
        <w:t xml:space="preserve">specific annual </w:t>
      </w:r>
      <w:r w:rsidR="000A362C" w:rsidRPr="006712BF">
        <w:rPr>
          <w:sz w:val="20"/>
          <w:szCs w:val="20"/>
        </w:rPr>
        <w:t xml:space="preserve">incidence </w:t>
      </w:r>
      <w:r w:rsidR="00C27E69" w:rsidRPr="006712BF">
        <w:rPr>
          <w:sz w:val="20"/>
          <w:szCs w:val="20"/>
        </w:rPr>
        <w:t xml:space="preserve">rates </w:t>
      </w:r>
      <w:r w:rsidR="00741A22" w:rsidRPr="006712BF">
        <w:rPr>
          <w:sz w:val="20"/>
          <w:szCs w:val="20"/>
        </w:rPr>
        <w:t>and</w:t>
      </w:r>
      <w:r w:rsidR="008A5C72" w:rsidRPr="006712BF">
        <w:rPr>
          <w:sz w:val="20"/>
          <w:szCs w:val="20"/>
        </w:rPr>
        <w:t xml:space="preserve"> assessed effects of sex and weight category</w:t>
      </w:r>
      <w:r w:rsidR="00026AFF" w:rsidRPr="006712BF">
        <w:rPr>
          <w:sz w:val="20"/>
          <w:szCs w:val="20"/>
        </w:rPr>
        <w:t>.</w:t>
      </w:r>
      <w:r w:rsidR="00F23517" w:rsidRPr="006712BF">
        <w:rPr>
          <w:sz w:val="20"/>
          <w:szCs w:val="20"/>
        </w:rPr>
        <w:t xml:space="preserve"> </w:t>
      </w:r>
    </w:p>
    <w:p w:rsidR="00A03418" w:rsidRPr="006712BF" w:rsidRDefault="008A5C72" w:rsidP="00E20257">
      <w:pPr>
        <w:spacing w:line="480" w:lineRule="auto"/>
        <w:rPr>
          <w:sz w:val="20"/>
          <w:szCs w:val="20"/>
        </w:rPr>
      </w:pPr>
      <w:r w:rsidRPr="006712BF">
        <w:rPr>
          <w:b/>
          <w:sz w:val="20"/>
          <w:szCs w:val="20"/>
        </w:rPr>
        <w:t>Results</w:t>
      </w:r>
      <w:r w:rsidR="005113B3" w:rsidRPr="006712BF">
        <w:rPr>
          <w:sz w:val="20"/>
          <w:szCs w:val="20"/>
        </w:rPr>
        <w:t xml:space="preserve"> </w:t>
      </w:r>
      <w:r w:rsidR="00EC2CB7" w:rsidRPr="006712BF">
        <w:rPr>
          <w:sz w:val="20"/>
          <w:szCs w:val="20"/>
        </w:rPr>
        <w:t>We identified 185 PTCS cases</w:t>
      </w:r>
      <w:r w:rsidR="00741A22" w:rsidRPr="006712BF">
        <w:rPr>
          <w:sz w:val="20"/>
          <w:szCs w:val="20"/>
        </w:rPr>
        <w:t xml:space="preserve"> of which </w:t>
      </w:r>
      <w:r w:rsidR="00EC2CB7" w:rsidRPr="006712BF">
        <w:rPr>
          <w:sz w:val="20"/>
          <w:szCs w:val="20"/>
        </w:rPr>
        <w:t xml:space="preserve">166 also fulfilled revised diagnostic criteria. </w:t>
      </w:r>
      <w:r w:rsidR="00264B66" w:rsidRPr="006712BF">
        <w:rPr>
          <w:sz w:val="20"/>
          <w:szCs w:val="20"/>
        </w:rPr>
        <w:t xml:space="preserve">The national annual incidence </w:t>
      </w:r>
      <w:r w:rsidR="00741A22" w:rsidRPr="006712BF">
        <w:rPr>
          <w:sz w:val="20"/>
          <w:szCs w:val="20"/>
        </w:rPr>
        <w:t xml:space="preserve">(95% CI) </w:t>
      </w:r>
      <w:r w:rsidR="00264B66" w:rsidRPr="006712BF">
        <w:rPr>
          <w:sz w:val="20"/>
          <w:szCs w:val="20"/>
        </w:rPr>
        <w:t xml:space="preserve">of </w:t>
      </w:r>
      <w:r w:rsidRPr="006712BF">
        <w:rPr>
          <w:sz w:val="20"/>
          <w:szCs w:val="20"/>
        </w:rPr>
        <w:t xml:space="preserve">childhood </w:t>
      </w:r>
      <w:r w:rsidR="00264B66" w:rsidRPr="006712BF">
        <w:rPr>
          <w:sz w:val="20"/>
          <w:szCs w:val="20"/>
        </w:rPr>
        <w:t xml:space="preserve">PTCS </w:t>
      </w:r>
      <w:r w:rsidR="00176B0B" w:rsidRPr="006712BF">
        <w:rPr>
          <w:sz w:val="20"/>
          <w:szCs w:val="20"/>
        </w:rPr>
        <w:t>age</w:t>
      </w:r>
      <w:r w:rsidR="00924E3E" w:rsidRPr="006712BF">
        <w:rPr>
          <w:sz w:val="20"/>
          <w:szCs w:val="20"/>
        </w:rPr>
        <w:t>d</w:t>
      </w:r>
      <w:r w:rsidR="00176B0B" w:rsidRPr="006712BF">
        <w:rPr>
          <w:sz w:val="20"/>
          <w:szCs w:val="20"/>
        </w:rPr>
        <w:t xml:space="preserve"> </w:t>
      </w:r>
      <w:r w:rsidR="00264B66" w:rsidRPr="006712BF">
        <w:rPr>
          <w:sz w:val="20"/>
          <w:szCs w:val="20"/>
        </w:rPr>
        <w:t xml:space="preserve">1-16 years </w:t>
      </w:r>
      <w:r w:rsidR="00741A22" w:rsidRPr="006712BF">
        <w:rPr>
          <w:sz w:val="20"/>
          <w:szCs w:val="20"/>
        </w:rPr>
        <w:t>was</w:t>
      </w:r>
      <w:r w:rsidR="00264B66" w:rsidRPr="006712BF">
        <w:rPr>
          <w:sz w:val="20"/>
          <w:szCs w:val="20"/>
        </w:rPr>
        <w:t xml:space="preserve"> 0</w:t>
      </w:r>
      <w:r w:rsidRPr="006712BF">
        <w:rPr>
          <w:sz w:val="20"/>
          <w:szCs w:val="20"/>
        </w:rPr>
        <w:t>.</w:t>
      </w:r>
      <w:r w:rsidR="00264B66" w:rsidRPr="006712BF">
        <w:rPr>
          <w:sz w:val="20"/>
          <w:szCs w:val="20"/>
        </w:rPr>
        <w:t xml:space="preserve">71 </w:t>
      </w:r>
      <w:r w:rsidR="00741A22" w:rsidRPr="006712BF">
        <w:rPr>
          <w:sz w:val="20"/>
          <w:szCs w:val="20"/>
        </w:rPr>
        <w:t>(0</w:t>
      </w:r>
      <w:r w:rsidRPr="006712BF">
        <w:rPr>
          <w:sz w:val="20"/>
          <w:szCs w:val="20"/>
        </w:rPr>
        <w:t>.</w:t>
      </w:r>
      <w:r w:rsidR="00741A22" w:rsidRPr="006712BF">
        <w:rPr>
          <w:sz w:val="20"/>
          <w:szCs w:val="20"/>
        </w:rPr>
        <w:t>57-</w:t>
      </w:r>
      <w:r w:rsidR="00376F6B" w:rsidRPr="006712BF">
        <w:rPr>
          <w:sz w:val="20"/>
          <w:szCs w:val="20"/>
        </w:rPr>
        <w:t xml:space="preserve"> </w:t>
      </w:r>
      <w:r w:rsidR="00741A22" w:rsidRPr="006712BF">
        <w:rPr>
          <w:sz w:val="20"/>
          <w:szCs w:val="20"/>
        </w:rPr>
        <w:t>0</w:t>
      </w:r>
      <w:r w:rsidRPr="006712BF">
        <w:rPr>
          <w:sz w:val="20"/>
          <w:szCs w:val="20"/>
        </w:rPr>
        <w:t>.</w:t>
      </w:r>
      <w:r w:rsidR="00741A22" w:rsidRPr="006712BF">
        <w:rPr>
          <w:sz w:val="20"/>
          <w:szCs w:val="20"/>
        </w:rPr>
        <w:t xml:space="preserve">87) </w:t>
      </w:r>
      <w:r w:rsidR="00264B66" w:rsidRPr="006712BF">
        <w:rPr>
          <w:sz w:val="20"/>
          <w:szCs w:val="20"/>
        </w:rPr>
        <w:t xml:space="preserve">per 100,000 population </w:t>
      </w:r>
      <w:r w:rsidR="00994935" w:rsidRPr="006712BF">
        <w:rPr>
          <w:sz w:val="20"/>
          <w:szCs w:val="20"/>
        </w:rPr>
        <w:t>increas</w:t>
      </w:r>
      <w:r w:rsidR="003F5DE4" w:rsidRPr="006712BF">
        <w:rPr>
          <w:sz w:val="20"/>
          <w:szCs w:val="20"/>
        </w:rPr>
        <w:t>ing</w:t>
      </w:r>
      <w:r w:rsidR="00741A22" w:rsidRPr="006712BF">
        <w:rPr>
          <w:sz w:val="20"/>
          <w:szCs w:val="20"/>
        </w:rPr>
        <w:t xml:space="preserve"> with </w:t>
      </w:r>
      <w:r w:rsidR="00710BB4" w:rsidRPr="006712BF">
        <w:rPr>
          <w:sz w:val="20"/>
          <w:szCs w:val="20"/>
        </w:rPr>
        <w:t xml:space="preserve">age and </w:t>
      </w:r>
      <w:r w:rsidR="00741A22" w:rsidRPr="006712BF">
        <w:rPr>
          <w:sz w:val="20"/>
          <w:szCs w:val="20"/>
        </w:rPr>
        <w:t xml:space="preserve">weight </w:t>
      </w:r>
      <w:r w:rsidR="00994935" w:rsidRPr="006712BF">
        <w:rPr>
          <w:sz w:val="20"/>
          <w:szCs w:val="20"/>
        </w:rPr>
        <w:t xml:space="preserve">to </w:t>
      </w:r>
      <w:r w:rsidR="00F61558" w:rsidRPr="006712BF">
        <w:rPr>
          <w:sz w:val="20"/>
          <w:szCs w:val="20"/>
        </w:rPr>
        <w:t>4</w:t>
      </w:r>
      <w:r w:rsidRPr="006712BF">
        <w:rPr>
          <w:sz w:val="20"/>
          <w:szCs w:val="20"/>
        </w:rPr>
        <w:t>.</w:t>
      </w:r>
      <w:r w:rsidR="00F61558" w:rsidRPr="006712BF">
        <w:rPr>
          <w:sz w:val="20"/>
          <w:szCs w:val="20"/>
        </w:rPr>
        <w:t xml:space="preserve">18 and </w:t>
      </w:r>
      <w:r w:rsidR="00DB03E1" w:rsidRPr="006712BF">
        <w:rPr>
          <w:sz w:val="20"/>
          <w:szCs w:val="20"/>
        </w:rPr>
        <w:t>10</w:t>
      </w:r>
      <w:r w:rsidRPr="006712BF">
        <w:rPr>
          <w:sz w:val="20"/>
          <w:szCs w:val="20"/>
        </w:rPr>
        <w:t>.</w:t>
      </w:r>
      <w:r w:rsidR="00DB03E1" w:rsidRPr="006712BF">
        <w:rPr>
          <w:sz w:val="20"/>
          <w:szCs w:val="20"/>
        </w:rPr>
        <w:t>7</w:t>
      </w:r>
      <w:r w:rsidR="00F61558" w:rsidRPr="006712BF">
        <w:rPr>
          <w:sz w:val="20"/>
          <w:szCs w:val="20"/>
        </w:rPr>
        <w:t xml:space="preserve"> per 100,000 in obese </w:t>
      </w:r>
      <w:r w:rsidR="00216F32" w:rsidRPr="006712BF">
        <w:rPr>
          <w:sz w:val="20"/>
          <w:szCs w:val="20"/>
        </w:rPr>
        <w:t>12-</w:t>
      </w:r>
      <w:r w:rsidR="00F61558" w:rsidRPr="006712BF">
        <w:rPr>
          <w:sz w:val="20"/>
          <w:szCs w:val="20"/>
        </w:rPr>
        <w:t>15 year</w:t>
      </w:r>
      <w:r w:rsidR="00AD1438" w:rsidRPr="006712BF">
        <w:rPr>
          <w:sz w:val="20"/>
          <w:szCs w:val="20"/>
        </w:rPr>
        <w:t xml:space="preserve"> </w:t>
      </w:r>
      <w:r w:rsidR="00F61558" w:rsidRPr="006712BF">
        <w:rPr>
          <w:sz w:val="20"/>
          <w:szCs w:val="20"/>
        </w:rPr>
        <w:t xml:space="preserve">old boys and girls respectively. </w:t>
      </w:r>
      <w:r w:rsidR="00AD1438" w:rsidRPr="006712BF">
        <w:rPr>
          <w:sz w:val="20"/>
          <w:szCs w:val="20"/>
        </w:rPr>
        <w:t>Incidence rates under 7 years</w:t>
      </w:r>
      <w:r w:rsidR="00E96B63" w:rsidRPr="006712BF">
        <w:rPr>
          <w:sz w:val="20"/>
          <w:szCs w:val="20"/>
        </w:rPr>
        <w:t xml:space="preserve"> were </w:t>
      </w:r>
      <w:r w:rsidR="001D5CC9" w:rsidRPr="006712BF">
        <w:rPr>
          <w:sz w:val="20"/>
          <w:szCs w:val="20"/>
        </w:rPr>
        <w:t>similar</w:t>
      </w:r>
      <w:r w:rsidR="00E96B63" w:rsidRPr="006712BF">
        <w:rPr>
          <w:sz w:val="20"/>
          <w:szCs w:val="20"/>
        </w:rPr>
        <w:t xml:space="preserve"> in both sexes</w:t>
      </w:r>
      <w:r w:rsidR="00BC3DC0" w:rsidRPr="006712BF">
        <w:rPr>
          <w:sz w:val="20"/>
          <w:szCs w:val="20"/>
        </w:rPr>
        <w:t xml:space="preserve">. From 7 years onwards, </w:t>
      </w:r>
      <w:r w:rsidR="00C27E69" w:rsidRPr="006712BF">
        <w:rPr>
          <w:sz w:val="20"/>
          <w:szCs w:val="20"/>
        </w:rPr>
        <w:t xml:space="preserve">the </w:t>
      </w:r>
      <w:r w:rsidR="00E96B63" w:rsidRPr="006712BF">
        <w:rPr>
          <w:sz w:val="20"/>
          <w:szCs w:val="20"/>
        </w:rPr>
        <w:t>incidence in girls was</w:t>
      </w:r>
      <w:r w:rsidR="00026AFF" w:rsidRPr="006712BF">
        <w:rPr>
          <w:sz w:val="20"/>
          <w:szCs w:val="20"/>
        </w:rPr>
        <w:t xml:space="preserve"> </w:t>
      </w:r>
      <w:r w:rsidR="00A254E0" w:rsidRPr="006712BF">
        <w:rPr>
          <w:sz w:val="20"/>
          <w:szCs w:val="20"/>
        </w:rPr>
        <w:t xml:space="preserve">double that in </w:t>
      </w:r>
      <w:r w:rsidR="006C4F04" w:rsidRPr="006712BF">
        <w:rPr>
          <w:sz w:val="20"/>
          <w:szCs w:val="20"/>
        </w:rPr>
        <w:t>boys</w:t>
      </w:r>
      <w:r w:rsidR="00A254E0" w:rsidRPr="006712BF">
        <w:rPr>
          <w:sz w:val="20"/>
          <w:szCs w:val="20"/>
        </w:rPr>
        <w:t xml:space="preserve">, but only in overweight </w:t>
      </w:r>
      <w:r w:rsidR="00E96B63" w:rsidRPr="006712BF">
        <w:rPr>
          <w:sz w:val="20"/>
          <w:szCs w:val="20"/>
        </w:rPr>
        <w:t>(including obese)</w:t>
      </w:r>
      <w:r w:rsidR="000956EB" w:rsidRPr="006712BF">
        <w:rPr>
          <w:sz w:val="20"/>
          <w:szCs w:val="20"/>
        </w:rPr>
        <w:t xml:space="preserve"> children</w:t>
      </w:r>
      <w:r w:rsidR="006C4F04" w:rsidRPr="006712BF">
        <w:rPr>
          <w:sz w:val="20"/>
          <w:szCs w:val="20"/>
        </w:rPr>
        <w:t xml:space="preserve">. </w:t>
      </w:r>
      <w:r w:rsidR="00AD1438" w:rsidRPr="006712BF">
        <w:rPr>
          <w:sz w:val="20"/>
          <w:szCs w:val="20"/>
        </w:rPr>
        <w:t xml:space="preserve">In 12-15 year </w:t>
      </w:r>
      <w:r w:rsidR="001116C9" w:rsidRPr="006712BF">
        <w:rPr>
          <w:sz w:val="20"/>
          <w:szCs w:val="20"/>
        </w:rPr>
        <w:t xml:space="preserve">old children, an estimated 82% of </w:t>
      </w:r>
      <w:r w:rsidR="00C27E69" w:rsidRPr="006712BF">
        <w:rPr>
          <w:sz w:val="20"/>
          <w:szCs w:val="20"/>
        </w:rPr>
        <w:t xml:space="preserve">the incidence of </w:t>
      </w:r>
      <w:r w:rsidR="001116C9" w:rsidRPr="006712BF">
        <w:rPr>
          <w:sz w:val="20"/>
          <w:szCs w:val="20"/>
        </w:rPr>
        <w:t xml:space="preserve">PTCS </w:t>
      </w:r>
      <w:r w:rsidR="000A362C" w:rsidRPr="006712BF">
        <w:rPr>
          <w:sz w:val="20"/>
          <w:szCs w:val="20"/>
        </w:rPr>
        <w:t xml:space="preserve">was </w:t>
      </w:r>
      <w:r w:rsidR="001116C9" w:rsidRPr="006712BF">
        <w:rPr>
          <w:sz w:val="20"/>
          <w:szCs w:val="20"/>
        </w:rPr>
        <w:t xml:space="preserve">attributable to obesity. </w:t>
      </w:r>
      <w:r w:rsidR="001F54CA" w:rsidRPr="006712BF">
        <w:rPr>
          <w:sz w:val="20"/>
          <w:szCs w:val="20"/>
        </w:rPr>
        <w:t>T</w:t>
      </w:r>
      <w:r w:rsidR="0036441A" w:rsidRPr="006712BF">
        <w:rPr>
          <w:sz w:val="20"/>
          <w:szCs w:val="20"/>
        </w:rPr>
        <w:t>wo</w:t>
      </w:r>
      <w:r w:rsidR="0044415A" w:rsidRPr="006712BF">
        <w:rPr>
          <w:sz w:val="20"/>
          <w:szCs w:val="20"/>
        </w:rPr>
        <w:t xml:space="preserve"> </w:t>
      </w:r>
      <w:r w:rsidR="003339F5" w:rsidRPr="006712BF">
        <w:rPr>
          <w:sz w:val="20"/>
          <w:szCs w:val="20"/>
        </w:rPr>
        <w:t xml:space="preserve">subgroups of PTCS </w:t>
      </w:r>
      <w:r w:rsidR="000A362C" w:rsidRPr="006712BF">
        <w:rPr>
          <w:sz w:val="20"/>
          <w:szCs w:val="20"/>
        </w:rPr>
        <w:t>were apparent</w:t>
      </w:r>
      <w:r w:rsidR="003339F5" w:rsidRPr="006712BF">
        <w:rPr>
          <w:sz w:val="20"/>
          <w:szCs w:val="20"/>
        </w:rPr>
        <w:t xml:space="preserve">: </w:t>
      </w:r>
      <w:r w:rsidR="00B13E85" w:rsidRPr="006712BF">
        <w:rPr>
          <w:sz w:val="20"/>
          <w:szCs w:val="20"/>
        </w:rPr>
        <w:t>168</w:t>
      </w:r>
      <w:r w:rsidR="003339F5" w:rsidRPr="006712BF">
        <w:rPr>
          <w:sz w:val="20"/>
          <w:szCs w:val="20"/>
        </w:rPr>
        <w:t xml:space="preserve"> (</w:t>
      </w:r>
      <w:r w:rsidR="00B13E85" w:rsidRPr="006712BF">
        <w:rPr>
          <w:sz w:val="20"/>
          <w:szCs w:val="20"/>
        </w:rPr>
        <w:t>91%</w:t>
      </w:r>
      <w:r w:rsidR="00B67D73" w:rsidRPr="006712BF">
        <w:rPr>
          <w:sz w:val="20"/>
          <w:szCs w:val="20"/>
        </w:rPr>
        <w:t>)</w:t>
      </w:r>
      <w:r w:rsidR="006558B7" w:rsidRPr="006712BF">
        <w:rPr>
          <w:sz w:val="20"/>
          <w:szCs w:val="20"/>
        </w:rPr>
        <w:t xml:space="preserve"> cases </w:t>
      </w:r>
      <w:r w:rsidR="000A362C" w:rsidRPr="006712BF">
        <w:rPr>
          <w:sz w:val="20"/>
          <w:szCs w:val="20"/>
        </w:rPr>
        <w:t xml:space="preserve">aged </w:t>
      </w:r>
      <w:r w:rsidR="004A3C0A" w:rsidRPr="006712BF">
        <w:rPr>
          <w:sz w:val="20"/>
          <w:szCs w:val="20"/>
        </w:rPr>
        <w:t xml:space="preserve">from </w:t>
      </w:r>
      <w:r w:rsidR="00B13E85" w:rsidRPr="006712BF">
        <w:rPr>
          <w:sz w:val="20"/>
          <w:szCs w:val="20"/>
        </w:rPr>
        <w:t>7</w:t>
      </w:r>
      <w:r w:rsidR="003339F5" w:rsidRPr="006712BF">
        <w:rPr>
          <w:sz w:val="20"/>
          <w:szCs w:val="20"/>
        </w:rPr>
        <w:t xml:space="preserve"> years </w:t>
      </w:r>
      <w:r w:rsidR="00C27E69" w:rsidRPr="006712BF">
        <w:rPr>
          <w:sz w:val="20"/>
          <w:szCs w:val="20"/>
        </w:rPr>
        <w:t xml:space="preserve">frequently presented </w:t>
      </w:r>
      <w:r w:rsidR="00151E3E" w:rsidRPr="006712BF">
        <w:rPr>
          <w:sz w:val="20"/>
          <w:szCs w:val="20"/>
        </w:rPr>
        <w:t xml:space="preserve">on medication and </w:t>
      </w:r>
      <w:r w:rsidR="00C27E69" w:rsidRPr="006712BF">
        <w:rPr>
          <w:sz w:val="20"/>
          <w:szCs w:val="20"/>
        </w:rPr>
        <w:t>with headache</w:t>
      </w:r>
      <w:r w:rsidR="00AD7D7C" w:rsidRPr="006712BF">
        <w:rPr>
          <w:sz w:val="20"/>
          <w:szCs w:val="20"/>
        </w:rPr>
        <w:t>,</w:t>
      </w:r>
      <w:r w:rsidR="00C27E69" w:rsidRPr="006712BF">
        <w:rPr>
          <w:sz w:val="20"/>
          <w:szCs w:val="20"/>
        </w:rPr>
        <w:t xml:space="preserve"> and were predominantly female</w:t>
      </w:r>
      <w:r w:rsidR="00151E3E" w:rsidRPr="006712BF">
        <w:rPr>
          <w:sz w:val="20"/>
          <w:szCs w:val="20"/>
        </w:rPr>
        <w:t xml:space="preserve"> and </w:t>
      </w:r>
      <w:r w:rsidR="00C27E69" w:rsidRPr="006712BF">
        <w:rPr>
          <w:sz w:val="20"/>
          <w:szCs w:val="20"/>
        </w:rPr>
        <w:t>obese</w:t>
      </w:r>
      <w:r w:rsidR="00151E3E" w:rsidRPr="006712BF">
        <w:rPr>
          <w:sz w:val="20"/>
          <w:szCs w:val="20"/>
        </w:rPr>
        <w:t xml:space="preserve">. </w:t>
      </w:r>
      <w:r w:rsidR="00026AFF" w:rsidRPr="006712BF">
        <w:rPr>
          <w:sz w:val="20"/>
          <w:szCs w:val="20"/>
        </w:rPr>
        <w:t xml:space="preserve">The remaining </w:t>
      </w:r>
      <w:r w:rsidR="00B13E85" w:rsidRPr="006712BF">
        <w:rPr>
          <w:sz w:val="20"/>
          <w:szCs w:val="20"/>
        </w:rPr>
        <w:t>17</w:t>
      </w:r>
      <w:r w:rsidR="00B67D73" w:rsidRPr="006712BF">
        <w:rPr>
          <w:sz w:val="20"/>
          <w:szCs w:val="20"/>
        </w:rPr>
        <w:t xml:space="preserve"> (</w:t>
      </w:r>
      <w:r w:rsidR="00B13E85" w:rsidRPr="006712BF">
        <w:rPr>
          <w:sz w:val="20"/>
          <w:szCs w:val="20"/>
        </w:rPr>
        <w:t>9</w:t>
      </w:r>
      <w:r w:rsidR="00B67D73" w:rsidRPr="006712BF">
        <w:rPr>
          <w:sz w:val="20"/>
          <w:szCs w:val="20"/>
        </w:rPr>
        <w:t>%)</w:t>
      </w:r>
      <w:r w:rsidR="00577EB7" w:rsidRPr="006712BF">
        <w:rPr>
          <w:sz w:val="20"/>
          <w:szCs w:val="20"/>
        </w:rPr>
        <w:t xml:space="preserve"> cases</w:t>
      </w:r>
      <w:r w:rsidR="006558B7" w:rsidRPr="006712BF">
        <w:rPr>
          <w:sz w:val="20"/>
          <w:szCs w:val="20"/>
        </w:rPr>
        <w:t xml:space="preserve"> </w:t>
      </w:r>
      <w:r w:rsidR="00B13E85" w:rsidRPr="006712BF">
        <w:rPr>
          <w:sz w:val="20"/>
          <w:szCs w:val="20"/>
        </w:rPr>
        <w:t>under</w:t>
      </w:r>
      <w:r w:rsidR="003339F5" w:rsidRPr="006712BF">
        <w:rPr>
          <w:sz w:val="20"/>
          <w:szCs w:val="20"/>
        </w:rPr>
        <w:t xml:space="preserve"> 7</w:t>
      </w:r>
      <w:r w:rsidR="006558B7" w:rsidRPr="006712BF">
        <w:rPr>
          <w:sz w:val="20"/>
          <w:szCs w:val="20"/>
        </w:rPr>
        <w:t xml:space="preserve"> years</w:t>
      </w:r>
      <w:r w:rsidR="0083474D" w:rsidRPr="006712BF">
        <w:rPr>
          <w:sz w:val="20"/>
          <w:szCs w:val="20"/>
        </w:rPr>
        <w:t xml:space="preserve"> often </w:t>
      </w:r>
      <w:r w:rsidR="006558B7" w:rsidRPr="006712BF">
        <w:rPr>
          <w:sz w:val="20"/>
          <w:szCs w:val="20"/>
        </w:rPr>
        <w:t>lack</w:t>
      </w:r>
      <w:r w:rsidR="00026AFF" w:rsidRPr="006712BF">
        <w:rPr>
          <w:sz w:val="20"/>
          <w:szCs w:val="20"/>
        </w:rPr>
        <w:t>ed</w:t>
      </w:r>
      <w:r w:rsidR="006558B7" w:rsidRPr="006712BF">
        <w:rPr>
          <w:sz w:val="20"/>
          <w:szCs w:val="20"/>
        </w:rPr>
        <w:t xml:space="preserve"> these risk factors </w:t>
      </w:r>
      <w:r w:rsidR="007B62BE" w:rsidRPr="006712BF">
        <w:rPr>
          <w:sz w:val="20"/>
          <w:szCs w:val="20"/>
        </w:rPr>
        <w:t xml:space="preserve">and </w:t>
      </w:r>
      <w:r w:rsidR="00026AFF" w:rsidRPr="006712BF">
        <w:rPr>
          <w:sz w:val="20"/>
          <w:szCs w:val="20"/>
        </w:rPr>
        <w:t xml:space="preserve">commonly </w:t>
      </w:r>
      <w:r w:rsidR="006558B7" w:rsidRPr="006712BF">
        <w:rPr>
          <w:sz w:val="20"/>
          <w:szCs w:val="20"/>
        </w:rPr>
        <w:t>present</w:t>
      </w:r>
      <w:r w:rsidR="00026AFF" w:rsidRPr="006712BF">
        <w:rPr>
          <w:sz w:val="20"/>
          <w:szCs w:val="20"/>
        </w:rPr>
        <w:t>ed</w:t>
      </w:r>
      <w:r w:rsidR="006558B7" w:rsidRPr="006712BF">
        <w:rPr>
          <w:sz w:val="20"/>
          <w:szCs w:val="20"/>
        </w:rPr>
        <w:t xml:space="preserve"> with paralytic squint</w:t>
      </w:r>
      <w:r w:rsidR="00577EB7" w:rsidRPr="006712BF">
        <w:rPr>
          <w:sz w:val="20"/>
          <w:szCs w:val="20"/>
        </w:rPr>
        <w:t xml:space="preserve">. </w:t>
      </w:r>
      <w:r w:rsidR="006558B7" w:rsidRPr="006712BF">
        <w:rPr>
          <w:sz w:val="20"/>
          <w:szCs w:val="20"/>
        </w:rPr>
        <w:t xml:space="preserve"> </w:t>
      </w:r>
    </w:p>
    <w:p w:rsidR="00DD1174" w:rsidRPr="006712BF" w:rsidRDefault="00BF16CF" w:rsidP="00E20257">
      <w:pPr>
        <w:spacing w:line="480" w:lineRule="auto"/>
        <w:rPr>
          <w:sz w:val="20"/>
          <w:szCs w:val="20"/>
        </w:rPr>
      </w:pPr>
      <w:r w:rsidRPr="006712BF">
        <w:rPr>
          <w:b/>
          <w:sz w:val="20"/>
          <w:szCs w:val="20"/>
        </w:rPr>
        <w:t>Conclusion</w:t>
      </w:r>
      <w:r w:rsidR="00D652FA" w:rsidRPr="006712BF">
        <w:rPr>
          <w:b/>
          <w:sz w:val="20"/>
          <w:szCs w:val="20"/>
        </w:rPr>
        <w:t>s</w:t>
      </w:r>
      <w:r w:rsidR="005578CF" w:rsidRPr="006712BF">
        <w:rPr>
          <w:sz w:val="20"/>
          <w:szCs w:val="20"/>
        </w:rPr>
        <w:t xml:space="preserve"> </w:t>
      </w:r>
      <w:r w:rsidR="00924E3E" w:rsidRPr="006712BF">
        <w:rPr>
          <w:sz w:val="20"/>
          <w:szCs w:val="20"/>
        </w:rPr>
        <w:t>T</w:t>
      </w:r>
      <w:r w:rsidR="00EF0DA2" w:rsidRPr="006712BF">
        <w:rPr>
          <w:sz w:val="20"/>
          <w:szCs w:val="20"/>
        </w:rPr>
        <w:t>h</w:t>
      </w:r>
      <w:r w:rsidR="00577EB7" w:rsidRPr="006712BF">
        <w:rPr>
          <w:sz w:val="20"/>
          <w:szCs w:val="20"/>
        </w:rPr>
        <w:t>is uniquely large</w:t>
      </w:r>
      <w:r w:rsidR="00FF643E">
        <w:rPr>
          <w:sz w:val="20"/>
          <w:szCs w:val="20"/>
        </w:rPr>
        <w:t>st</w:t>
      </w:r>
      <w:r w:rsidR="00577EB7" w:rsidRPr="006712BF">
        <w:rPr>
          <w:sz w:val="20"/>
          <w:szCs w:val="20"/>
        </w:rPr>
        <w:t xml:space="preserve"> </w:t>
      </w:r>
      <w:r w:rsidR="00924E3E" w:rsidRPr="006712BF">
        <w:rPr>
          <w:sz w:val="20"/>
          <w:szCs w:val="20"/>
        </w:rPr>
        <w:t xml:space="preserve">population-based study of childhood PTCS </w:t>
      </w:r>
      <w:r w:rsidR="00066B63" w:rsidRPr="006712BF">
        <w:rPr>
          <w:sz w:val="20"/>
          <w:szCs w:val="20"/>
        </w:rPr>
        <w:t xml:space="preserve">will inform the design of future intervention studies.  It </w:t>
      </w:r>
      <w:r w:rsidR="00577EB7" w:rsidRPr="006712BF">
        <w:rPr>
          <w:sz w:val="20"/>
          <w:szCs w:val="20"/>
        </w:rPr>
        <w:t>suggests that weight reduction is cent</w:t>
      </w:r>
      <w:r w:rsidR="000B2EC3" w:rsidRPr="006712BF">
        <w:rPr>
          <w:sz w:val="20"/>
          <w:szCs w:val="20"/>
        </w:rPr>
        <w:t xml:space="preserve">ral to the prevention of PTCS. </w:t>
      </w:r>
    </w:p>
    <w:p w:rsidR="00DD1174" w:rsidRPr="001F2127" w:rsidRDefault="00DD1174" w:rsidP="00E20257">
      <w:pPr>
        <w:spacing w:line="480" w:lineRule="auto"/>
        <w:rPr>
          <w:sz w:val="20"/>
          <w:szCs w:val="20"/>
        </w:rPr>
      </w:pPr>
    </w:p>
    <w:p w:rsidR="00DD1174" w:rsidRPr="001F2127" w:rsidRDefault="00DD1174" w:rsidP="00E20257">
      <w:pPr>
        <w:tabs>
          <w:tab w:val="left" w:pos="3569"/>
        </w:tabs>
        <w:spacing w:line="480" w:lineRule="auto"/>
        <w:rPr>
          <w:b/>
          <w:sz w:val="20"/>
          <w:szCs w:val="20"/>
        </w:rPr>
      </w:pPr>
    </w:p>
    <w:p w:rsidR="00C6375E" w:rsidRDefault="00C6375E" w:rsidP="00E20257">
      <w:pPr>
        <w:spacing w:line="480" w:lineRule="auto"/>
        <w:rPr>
          <w:b/>
        </w:rPr>
      </w:pPr>
      <w:r>
        <w:rPr>
          <w:b/>
        </w:rPr>
        <w:br w:type="page"/>
      </w:r>
    </w:p>
    <w:p w:rsidR="00176A20" w:rsidRPr="001F2127" w:rsidRDefault="00D652FA" w:rsidP="00E20257">
      <w:pPr>
        <w:spacing w:line="480" w:lineRule="auto"/>
        <w:rPr>
          <w:b/>
        </w:rPr>
      </w:pPr>
      <w:r>
        <w:rPr>
          <w:b/>
        </w:rPr>
        <w:lastRenderedPageBreak/>
        <w:t>INTRODUCTION</w:t>
      </w:r>
    </w:p>
    <w:p w:rsidR="004F2CC4" w:rsidRPr="001F2127" w:rsidRDefault="005B47C2" w:rsidP="00E20257">
      <w:pPr>
        <w:spacing w:line="480" w:lineRule="auto"/>
        <w:rPr>
          <w:sz w:val="20"/>
          <w:szCs w:val="20"/>
        </w:rPr>
      </w:pPr>
      <w:r w:rsidRPr="001F2127">
        <w:rPr>
          <w:sz w:val="20"/>
          <w:szCs w:val="20"/>
        </w:rPr>
        <w:t>P</w:t>
      </w:r>
      <w:r w:rsidR="00AA4C9A" w:rsidRPr="001F2127">
        <w:rPr>
          <w:sz w:val="20"/>
          <w:szCs w:val="20"/>
        </w:rPr>
        <w:t xml:space="preserve">seudotumor cerebri </w:t>
      </w:r>
      <w:r w:rsidR="001E49EC" w:rsidRPr="001F2127">
        <w:rPr>
          <w:sz w:val="20"/>
          <w:szCs w:val="20"/>
        </w:rPr>
        <w:t xml:space="preserve">syndrome </w:t>
      </w:r>
      <w:r w:rsidR="00AA4C9A" w:rsidRPr="001F2127">
        <w:rPr>
          <w:sz w:val="20"/>
          <w:szCs w:val="20"/>
        </w:rPr>
        <w:t>(PTCS</w:t>
      </w:r>
      <w:r w:rsidR="00623924" w:rsidRPr="001F2127">
        <w:rPr>
          <w:sz w:val="20"/>
          <w:szCs w:val="20"/>
        </w:rPr>
        <w:t>),</w:t>
      </w:r>
      <w:r w:rsidR="008F79CF" w:rsidRPr="001F2127">
        <w:rPr>
          <w:sz w:val="20"/>
          <w:szCs w:val="20"/>
        </w:rPr>
        <w:t xml:space="preserve"> </w:t>
      </w:r>
      <w:r w:rsidR="00E814D3" w:rsidRPr="001F2127">
        <w:rPr>
          <w:sz w:val="20"/>
          <w:szCs w:val="20"/>
        </w:rPr>
        <w:t xml:space="preserve">also </w:t>
      </w:r>
      <w:r w:rsidR="001514EF" w:rsidRPr="001F2127">
        <w:rPr>
          <w:sz w:val="20"/>
          <w:szCs w:val="20"/>
        </w:rPr>
        <w:t>known</w:t>
      </w:r>
      <w:r w:rsidR="00E814D3" w:rsidRPr="001F2127">
        <w:rPr>
          <w:sz w:val="20"/>
          <w:szCs w:val="20"/>
        </w:rPr>
        <w:t xml:space="preserve"> as </w:t>
      </w:r>
      <w:r w:rsidR="008F79CF" w:rsidRPr="001F2127">
        <w:rPr>
          <w:sz w:val="20"/>
          <w:szCs w:val="20"/>
        </w:rPr>
        <w:t>idiop</w:t>
      </w:r>
      <w:r w:rsidR="00DA7FDB" w:rsidRPr="001F2127">
        <w:rPr>
          <w:sz w:val="20"/>
          <w:szCs w:val="20"/>
        </w:rPr>
        <w:t>athic intracranial hypertension</w:t>
      </w:r>
      <w:r w:rsidR="008F79CF" w:rsidRPr="001F2127">
        <w:rPr>
          <w:sz w:val="20"/>
          <w:szCs w:val="20"/>
        </w:rPr>
        <w:t xml:space="preserve">, </w:t>
      </w:r>
      <w:r w:rsidR="00AA4C9A" w:rsidRPr="001F2127">
        <w:rPr>
          <w:sz w:val="20"/>
          <w:szCs w:val="20"/>
        </w:rPr>
        <w:t xml:space="preserve">is </w:t>
      </w:r>
      <w:r w:rsidR="000032C6">
        <w:rPr>
          <w:sz w:val="20"/>
          <w:szCs w:val="20"/>
        </w:rPr>
        <w:t xml:space="preserve">a </w:t>
      </w:r>
      <w:r w:rsidR="00C93606" w:rsidRPr="001F2127">
        <w:rPr>
          <w:sz w:val="20"/>
          <w:szCs w:val="20"/>
        </w:rPr>
        <w:t>rare</w:t>
      </w:r>
      <w:r w:rsidR="000032C6">
        <w:rPr>
          <w:sz w:val="20"/>
          <w:szCs w:val="20"/>
        </w:rPr>
        <w:t xml:space="preserve"> syndrome of raised intracranial pressure (ICP)</w:t>
      </w:r>
      <w:r w:rsidR="00C93606" w:rsidRPr="001F2127">
        <w:rPr>
          <w:sz w:val="20"/>
          <w:szCs w:val="20"/>
        </w:rPr>
        <w:t xml:space="preserve"> </w:t>
      </w:r>
      <w:r w:rsidR="00DB03E1" w:rsidRPr="001F2127">
        <w:rPr>
          <w:sz w:val="20"/>
          <w:szCs w:val="20"/>
        </w:rPr>
        <w:t>first described in 1893</w:t>
      </w:r>
      <w:r w:rsidR="00141B3C">
        <w:rPr>
          <w:sz w:val="20"/>
          <w:szCs w:val="20"/>
        </w:rPr>
        <w:t>.</w:t>
      </w:r>
      <w:r w:rsidR="009243B5">
        <w:rPr>
          <w:sz w:val="20"/>
          <w:szCs w:val="20"/>
          <w:vertAlign w:val="superscript"/>
        </w:rPr>
        <w:t>1</w:t>
      </w:r>
      <w:r w:rsidR="00141B3C">
        <w:rPr>
          <w:sz w:val="20"/>
          <w:szCs w:val="20"/>
        </w:rPr>
        <w:t xml:space="preserve"> Its </w:t>
      </w:r>
      <w:r w:rsidR="001514EF" w:rsidRPr="001F2127">
        <w:rPr>
          <w:sz w:val="20"/>
          <w:szCs w:val="20"/>
        </w:rPr>
        <w:t xml:space="preserve">annual incidence </w:t>
      </w:r>
      <w:r w:rsidR="00DA3EF2">
        <w:rPr>
          <w:sz w:val="20"/>
          <w:szCs w:val="20"/>
        </w:rPr>
        <w:t xml:space="preserve">in adults and children </w:t>
      </w:r>
      <w:r w:rsidR="00141B3C">
        <w:rPr>
          <w:sz w:val="20"/>
          <w:szCs w:val="20"/>
        </w:rPr>
        <w:t>ha</w:t>
      </w:r>
      <w:r w:rsidR="0071195A">
        <w:rPr>
          <w:sz w:val="20"/>
          <w:szCs w:val="20"/>
        </w:rPr>
        <w:t>s</w:t>
      </w:r>
      <w:r w:rsidR="00141B3C">
        <w:rPr>
          <w:sz w:val="20"/>
          <w:szCs w:val="20"/>
        </w:rPr>
        <w:t xml:space="preserve"> been estimated to be </w:t>
      </w:r>
      <w:r w:rsidR="009100A6">
        <w:rPr>
          <w:sz w:val="20"/>
          <w:szCs w:val="20"/>
        </w:rPr>
        <w:t>1</w:t>
      </w:r>
      <w:r w:rsidR="003E4F86">
        <w:rPr>
          <w:sz w:val="20"/>
          <w:szCs w:val="20"/>
        </w:rPr>
        <w:t>.</w:t>
      </w:r>
      <w:r w:rsidR="009100A6">
        <w:rPr>
          <w:sz w:val="20"/>
          <w:szCs w:val="20"/>
        </w:rPr>
        <w:t>6</w:t>
      </w:r>
      <w:r w:rsidR="008F5A96" w:rsidRPr="001F2127">
        <w:rPr>
          <w:sz w:val="20"/>
          <w:szCs w:val="20"/>
        </w:rPr>
        <w:t>-</w:t>
      </w:r>
      <w:r w:rsidR="00623924" w:rsidRPr="001F2127">
        <w:rPr>
          <w:sz w:val="20"/>
          <w:szCs w:val="20"/>
        </w:rPr>
        <w:t>2</w:t>
      </w:r>
      <w:r w:rsidR="003E4F86">
        <w:rPr>
          <w:sz w:val="20"/>
          <w:szCs w:val="20"/>
        </w:rPr>
        <w:t>.</w:t>
      </w:r>
      <w:r w:rsidR="00623924" w:rsidRPr="001F2127">
        <w:rPr>
          <w:sz w:val="20"/>
          <w:szCs w:val="20"/>
        </w:rPr>
        <w:t>2</w:t>
      </w:r>
      <w:r w:rsidR="009100A6">
        <w:rPr>
          <w:sz w:val="20"/>
          <w:szCs w:val="20"/>
          <w:vertAlign w:val="superscript"/>
        </w:rPr>
        <w:t>2</w:t>
      </w:r>
      <w:r w:rsidR="00C0752D">
        <w:rPr>
          <w:sz w:val="20"/>
          <w:szCs w:val="20"/>
          <w:vertAlign w:val="superscript"/>
        </w:rPr>
        <w:t xml:space="preserve">-4 </w:t>
      </w:r>
      <w:r w:rsidR="00141B3C">
        <w:rPr>
          <w:sz w:val="20"/>
          <w:szCs w:val="20"/>
        </w:rPr>
        <w:t>and 0</w:t>
      </w:r>
      <w:r w:rsidR="003E4F86">
        <w:rPr>
          <w:sz w:val="20"/>
          <w:szCs w:val="20"/>
        </w:rPr>
        <w:t>.</w:t>
      </w:r>
      <w:r w:rsidR="00141B3C" w:rsidRPr="001F2127">
        <w:rPr>
          <w:sz w:val="20"/>
          <w:szCs w:val="20"/>
        </w:rPr>
        <w:t>5-0</w:t>
      </w:r>
      <w:r w:rsidR="003E4F86">
        <w:rPr>
          <w:sz w:val="20"/>
          <w:szCs w:val="20"/>
        </w:rPr>
        <w:t>.</w:t>
      </w:r>
      <w:r w:rsidR="00141B3C" w:rsidRPr="001F2127">
        <w:rPr>
          <w:sz w:val="20"/>
          <w:szCs w:val="20"/>
        </w:rPr>
        <w:t>9</w:t>
      </w:r>
      <w:r w:rsidR="00C0752D">
        <w:rPr>
          <w:sz w:val="20"/>
          <w:szCs w:val="20"/>
          <w:vertAlign w:val="superscript"/>
        </w:rPr>
        <w:t>5-7</w:t>
      </w:r>
      <w:r w:rsidR="00141B3C">
        <w:rPr>
          <w:sz w:val="20"/>
          <w:szCs w:val="20"/>
        </w:rPr>
        <w:t xml:space="preserve"> </w:t>
      </w:r>
      <w:r w:rsidR="00141B3C" w:rsidRPr="001F2127">
        <w:rPr>
          <w:sz w:val="20"/>
          <w:szCs w:val="20"/>
        </w:rPr>
        <w:t>per 100,000</w:t>
      </w:r>
      <w:r w:rsidR="00141B3C">
        <w:rPr>
          <w:sz w:val="20"/>
          <w:szCs w:val="20"/>
        </w:rPr>
        <w:t xml:space="preserve"> respectively although</w:t>
      </w:r>
      <w:r w:rsidR="00423A17">
        <w:rPr>
          <w:sz w:val="20"/>
          <w:szCs w:val="20"/>
        </w:rPr>
        <w:t xml:space="preserve"> the </w:t>
      </w:r>
      <w:r w:rsidR="00E75DD7">
        <w:rPr>
          <w:sz w:val="20"/>
          <w:szCs w:val="20"/>
        </w:rPr>
        <w:t xml:space="preserve">latter </w:t>
      </w:r>
      <w:r w:rsidR="0071195A">
        <w:rPr>
          <w:sz w:val="20"/>
          <w:szCs w:val="20"/>
        </w:rPr>
        <w:t>estimate</w:t>
      </w:r>
      <w:r w:rsidR="009243B5">
        <w:rPr>
          <w:sz w:val="20"/>
          <w:szCs w:val="20"/>
        </w:rPr>
        <w:t>s</w:t>
      </w:r>
      <w:r w:rsidR="0071195A">
        <w:rPr>
          <w:sz w:val="20"/>
          <w:szCs w:val="20"/>
        </w:rPr>
        <w:t xml:space="preserve"> </w:t>
      </w:r>
      <w:r w:rsidR="009243B5">
        <w:rPr>
          <w:sz w:val="20"/>
          <w:szCs w:val="20"/>
        </w:rPr>
        <w:t>are</w:t>
      </w:r>
      <w:r w:rsidR="00423A17">
        <w:rPr>
          <w:sz w:val="20"/>
          <w:szCs w:val="20"/>
        </w:rPr>
        <w:t xml:space="preserve"> based on small or</w:t>
      </w:r>
      <w:r w:rsidR="00141B3C">
        <w:rPr>
          <w:sz w:val="20"/>
          <w:szCs w:val="20"/>
        </w:rPr>
        <w:t xml:space="preserve"> retrospective studies.</w:t>
      </w:r>
      <w:r w:rsidR="00966F1A" w:rsidRPr="001F2127">
        <w:rPr>
          <w:sz w:val="20"/>
          <w:szCs w:val="20"/>
        </w:rPr>
        <w:t xml:space="preserve"> </w:t>
      </w:r>
      <w:r w:rsidR="0062180E" w:rsidRPr="001F2127">
        <w:rPr>
          <w:sz w:val="20"/>
          <w:szCs w:val="20"/>
        </w:rPr>
        <w:t xml:space="preserve">PTCS </w:t>
      </w:r>
      <w:r w:rsidR="00DB03E1">
        <w:rPr>
          <w:sz w:val="20"/>
          <w:szCs w:val="20"/>
        </w:rPr>
        <w:t xml:space="preserve">has </w:t>
      </w:r>
      <w:r w:rsidR="002E52E3">
        <w:rPr>
          <w:sz w:val="20"/>
          <w:szCs w:val="20"/>
        </w:rPr>
        <w:t xml:space="preserve">potentially </w:t>
      </w:r>
      <w:r w:rsidR="0023054D" w:rsidRPr="001F2127">
        <w:rPr>
          <w:sz w:val="20"/>
          <w:szCs w:val="20"/>
        </w:rPr>
        <w:t>serious</w:t>
      </w:r>
      <w:r w:rsidR="0062180E" w:rsidRPr="001F2127">
        <w:rPr>
          <w:sz w:val="20"/>
          <w:szCs w:val="20"/>
        </w:rPr>
        <w:t xml:space="preserve"> morbidities of dis</w:t>
      </w:r>
      <w:r w:rsidR="005C43F4">
        <w:rPr>
          <w:sz w:val="20"/>
          <w:szCs w:val="20"/>
        </w:rPr>
        <w:t xml:space="preserve">tressing headache, </w:t>
      </w:r>
      <w:r w:rsidR="0003132A" w:rsidRPr="001F2127">
        <w:rPr>
          <w:sz w:val="20"/>
          <w:szCs w:val="20"/>
        </w:rPr>
        <w:t>blindness</w:t>
      </w:r>
      <w:r w:rsidR="003E4F86">
        <w:rPr>
          <w:sz w:val="20"/>
          <w:szCs w:val="20"/>
        </w:rPr>
        <w:t>,</w:t>
      </w:r>
      <w:r w:rsidR="00260FEB">
        <w:rPr>
          <w:sz w:val="20"/>
          <w:szCs w:val="20"/>
          <w:vertAlign w:val="superscript"/>
        </w:rPr>
        <w:t xml:space="preserve">8 </w:t>
      </w:r>
      <w:r w:rsidR="00C0752D">
        <w:rPr>
          <w:sz w:val="20"/>
          <w:szCs w:val="20"/>
          <w:vertAlign w:val="superscript"/>
        </w:rPr>
        <w:t>9</w:t>
      </w:r>
      <w:r w:rsidR="0003132A">
        <w:rPr>
          <w:sz w:val="20"/>
          <w:szCs w:val="20"/>
        </w:rPr>
        <w:t xml:space="preserve"> and </w:t>
      </w:r>
      <w:r w:rsidR="007C481C">
        <w:rPr>
          <w:sz w:val="20"/>
          <w:szCs w:val="20"/>
        </w:rPr>
        <w:t xml:space="preserve">complications of </w:t>
      </w:r>
      <w:r w:rsidR="0003132A">
        <w:rPr>
          <w:sz w:val="20"/>
          <w:szCs w:val="20"/>
        </w:rPr>
        <w:t xml:space="preserve">invasive </w:t>
      </w:r>
      <w:r w:rsidR="0062180E" w:rsidRPr="001F2127">
        <w:rPr>
          <w:sz w:val="20"/>
          <w:szCs w:val="20"/>
        </w:rPr>
        <w:t>treatment procedures</w:t>
      </w:r>
      <w:r w:rsidR="0071195A">
        <w:rPr>
          <w:sz w:val="20"/>
          <w:szCs w:val="20"/>
        </w:rPr>
        <w:t>. I</w:t>
      </w:r>
      <w:r w:rsidR="009F6958">
        <w:rPr>
          <w:sz w:val="20"/>
          <w:szCs w:val="20"/>
        </w:rPr>
        <w:t xml:space="preserve">ts </w:t>
      </w:r>
      <w:r w:rsidR="0006198F">
        <w:rPr>
          <w:sz w:val="20"/>
          <w:szCs w:val="20"/>
        </w:rPr>
        <w:t xml:space="preserve">management </w:t>
      </w:r>
      <w:r w:rsidR="00DA42CE">
        <w:rPr>
          <w:sz w:val="20"/>
          <w:szCs w:val="20"/>
        </w:rPr>
        <w:t>remains</w:t>
      </w:r>
      <w:r w:rsidR="0006198F">
        <w:rPr>
          <w:sz w:val="20"/>
          <w:szCs w:val="20"/>
        </w:rPr>
        <w:t xml:space="preserve"> controversial.  </w:t>
      </w:r>
      <w:r w:rsidR="0062180E" w:rsidRPr="001F2127">
        <w:rPr>
          <w:sz w:val="20"/>
          <w:szCs w:val="20"/>
        </w:rPr>
        <w:t xml:space="preserve"> </w:t>
      </w:r>
    </w:p>
    <w:p w:rsidR="001C4310" w:rsidRDefault="001C4310" w:rsidP="00E20257">
      <w:pPr>
        <w:spacing w:line="480" w:lineRule="auto"/>
        <w:rPr>
          <w:sz w:val="20"/>
          <w:szCs w:val="20"/>
        </w:rPr>
      </w:pPr>
    </w:p>
    <w:p w:rsidR="001E129D" w:rsidRPr="001F2127" w:rsidRDefault="00151E3E" w:rsidP="00E20257">
      <w:pPr>
        <w:spacing w:line="480" w:lineRule="auto"/>
        <w:rPr>
          <w:sz w:val="20"/>
          <w:szCs w:val="20"/>
        </w:rPr>
      </w:pPr>
      <w:r>
        <w:rPr>
          <w:sz w:val="20"/>
          <w:szCs w:val="20"/>
        </w:rPr>
        <w:t xml:space="preserve">Classical </w:t>
      </w:r>
      <w:r w:rsidRPr="001F2127">
        <w:rPr>
          <w:sz w:val="20"/>
          <w:szCs w:val="20"/>
        </w:rPr>
        <w:t xml:space="preserve">diagnostic criteria </w:t>
      </w:r>
      <w:r>
        <w:rPr>
          <w:sz w:val="20"/>
          <w:szCs w:val="20"/>
        </w:rPr>
        <w:t>for PTCS,</w:t>
      </w:r>
      <w:r w:rsidRPr="0003132A">
        <w:rPr>
          <w:sz w:val="20"/>
          <w:szCs w:val="20"/>
        </w:rPr>
        <w:t xml:space="preserve"> in use </w:t>
      </w:r>
      <w:r>
        <w:rPr>
          <w:sz w:val="20"/>
          <w:szCs w:val="20"/>
        </w:rPr>
        <w:t>since 1937,</w:t>
      </w:r>
      <w:r>
        <w:rPr>
          <w:sz w:val="20"/>
          <w:szCs w:val="20"/>
          <w:vertAlign w:val="superscript"/>
        </w:rPr>
        <w:t>10</w:t>
      </w:r>
      <w:r>
        <w:rPr>
          <w:sz w:val="20"/>
          <w:szCs w:val="20"/>
        </w:rPr>
        <w:t xml:space="preserve"> </w:t>
      </w:r>
      <w:r w:rsidR="001E129D" w:rsidRPr="001F2127">
        <w:rPr>
          <w:sz w:val="20"/>
          <w:szCs w:val="20"/>
        </w:rPr>
        <w:t xml:space="preserve">combine </w:t>
      </w:r>
      <w:r w:rsidR="000032C6">
        <w:rPr>
          <w:sz w:val="20"/>
          <w:szCs w:val="20"/>
        </w:rPr>
        <w:t xml:space="preserve">the absence of other causes of raised ICP, including </w:t>
      </w:r>
      <w:r w:rsidR="001E129D" w:rsidRPr="001F2127">
        <w:rPr>
          <w:sz w:val="20"/>
          <w:szCs w:val="20"/>
        </w:rPr>
        <w:t>mass lesions</w:t>
      </w:r>
      <w:r w:rsidR="000032C6">
        <w:rPr>
          <w:sz w:val="20"/>
          <w:szCs w:val="20"/>
        </w:rPr>
        <w:t xml:space="preserve"> and </w:t>
      </w:r>
      <w:r w:rsidR="001E129D" w:rsidRPr="001F2127">
        <w:rPr>
          <w:sz w:val="20"/>
          <w:szCs w:val="20"/>
        </w:rPr>
        <w:t>cerebral venous sinus thrombosis (CVST)</w:t>
      </w:r>
      <w:r w:rsidR="000032C6">
        <w:rPr>
          <w:sz w:val="20"/>
          <w:szCs w:val="20"/>
        </w:rPr>
        <w:t>,</w:t>
      </w:r>
      <w:r w:rsidR="001E129D" w:rsidRPr="001F2127">
        <w:rPr>
          <w:sz w:val="20"/>
          <w:szCs w:val="20"/>
        </w:rPr>
        <w:t xml:space="preserve"> with </w:t>
      </w:r>
      <w:r w:rsidR="001E129D">
        <w:rPr>
          <w:sz w:val="20"/>
          <w:szCs w:val="20"/>
        </w:rPr>
        <w:t xml:space="preserve">the </w:t>
      </w:r>
      <w:r w:rsidR="000032C6">
        <w:rPr>
          <w:sz w:val="20"/>
          <w:szCs w:val="20"/>
        </w:rPr>
        <w:t xml:space="preserve">presence of </w:t>
      </w:r>
      <w:r w:rsidR="001E129D">
        <w:rPr>
          <w:sz w:val="20"/>
          <w:szCs w:val="20"/>
        </w:rPr>
        <w:t xml:space="preserve">three </w:t>
      </w:r>
      <w:r w:rsidR="001E129D" w:rsidRPr="001F2127">
        <w:rPr>
          <w:sz w:val="20"/>
          <w:szCs w:val="20"/>
        </w:rPr>
        <w:t>cardinal features</w:t>
      </w:r>
      <w:r w:rsidR="001E129D">
        <w:rPr>
          <w:sz w:val="20"/>
          <w:szCs w:val="20"/>
        </w:rPr>
        <w:t xml:space="preserve">: </w:t>
      </w:r>
      <w:r w:rsidR="001E129D" w:rsidRPr="001F2127">
        <w:rPr>
          <w:sz w:val="20"/>
          <w:szCs w:val="20"/>
        </w:rPr>
        <w:t>symptoms of raised ICP, papilloedema and elevated opening cerebrospinal fluid (CSF) pressure</w:t>
      </w:r>
      <w:r w:rsidR="001E129D" w:rsidRPr="0003132A">
        <w:rPr>
          <w:sz w:val="20"/>
          <w:szCs w:val="20"/>
        </w:rPr>
        <w:t xml:space="preserve"> </w:t>
      </w:r>
      <w:r w:rsidR="001E129D">
        <w:rPr>
          <w:sz w:val="20"/>
          <w:szCs w:val="20"/>
        </w:rPr>
        <w:t xml:space="preserve">at </w:t>
      </w:r>
      <w:r w:rsidR="001E129D" w:rsidRPr="001F2127">
        <w:rPr>
          <w:sz w:val="20"/>
          <w:szCs w:val="20"/>
        </w:rPr>
        <w:t>lumbar puncture (LP)</w:t>
      </w:r>
      <w:r w:rsidR="007B6DB1">
        <w:rPr>
          <w:sz w:val="20"/>
          <w:szCs w:val="20"/>
        </w:rPr>
        <w:t>.</w:t>
      </w:r>
      <w:r w:rsidR="009243B5">
        <w:rPr>
          <w:sz w:val="20"/>
          <w:szCs w:val="20"/>
          <w:vertAlign w:val="superscript"/>
        </w:rPr>
        <w:t xml:space="preserve">11 </w:t>
      </w:r>
      <w:r w:rsidR="001E129D" w:rsidRPr="001F2127">
        <w:rPr>
          <w:sz w:val="20"/>
          <w:szCs w:val="20"/>
        </w:rPr>
        <w:t xml:space="preserve"> </w:t>
      </w:r>
      <w:r>
        <w:rPr>
          <w:sz w:val="20"/>
          <w:szCs w:val="20"/>
        </w:rPr>
        <w:t xml:space="preserve">These criteria provided the present study </w:t>
      </w:r>
      <w:r w:rsidRPr="001F2127">
        <w:rPr>
          <w:sz w:val="20"/>
          <w:szCs w:val="20"/>
        </w:rPr>
        <w:t xml:space="preserve">case definition </w:t>
      </w:r>
      <w:r>
        <w:rPr>
          <w:sz w:val="20"/>
          <w:szCs w:val="20"/>
        </w:rPr>
        <w:t>(</w:t>
      </w:r>
      <w:r w:rsidRPr="001F2127">
        <w:rPr>
          <w:sz w:val="20"/>
          <w:szCs w:val="20"/>
        </w:rPr>
        <w:t>Table 1</w:t>
      </w:r>
      <w:r>
        <w:rPr>
          <w:sz w:val="20"/>
          <w:szCs w:val="20"/>
        </w:rPr>
        <w:t>A)</w:t>
      </w:r>
      <w:r w:rsidRPr="001F2127">
        <w:rPr>
          <w:sz w:val="20"/>
          <w:szCs w:val="20"/>
        </w:rPr>
        <w:t xml:space="preserve">. </w:t>
      </w:r>
      <w:r w:rsidR="001E129D" w:rsidRPr="001F2127">
        <w:rPr>
          <w:sz w:val="20"/>
          <w:szCs w:val="20"/>
        </w:rPr>
        <w:t>Although CVST exclude</w:t>
      </w:r>
      <w:r w:rsidR="001E129D">
        <w:rPr>
          <w:sz w:val="20"/>
          <w:szCs w:val="20"/>
        </w:rPr>
        <w:t>s</w:t>
      </w:r>
      <w:r w:rsidR="001E129D" w:rsidRPr="001F2127">
        <w:rPr>
          <w:sz w:val="20"/>
          <w:szCs w:val="20"/>
        </w:rPr>
        <w:t xml:space="preserve"> the diagnosis</w:t>
      </w:r>
      <w:r w:rsidR="001E129D">
        <w:rPr>
          <w:sz w:val="20"/>
          <w:szCs w:val="20"/>
        </w:rPr>
        <w:t xml:space="preserve"> of PTCS</w:t>
      </w:r>
      <w:r w:rsidR="001E129D" w:rsidRPr="001F2127">
        <w:rPr>
          <w:sz w:val="20"/>
          <w:szCs w:val="20"/>
        </w:rPr>
        <w:t xml:space="preserve">, </w:t>
      </w:r>
      <w:r w:rsidR="001E129D">
        <w:rPr>
          <w:sz w:val="20"/>
          <w:szCs w:val="20"/>
        </w:rPr>
        <w:t xml:space="preserve">the presence of </w:t>
      </w:r>
      <w:r w:rsidR="001E129D" w:rsidRPr="001F2127">
        <w:rPr>
          <w:sz w:val="20"/>
          <w:szCs w:val="20"/>
        </w:rPr>
        <w:t>risk factors do</w:t>
      </w:r>
      <w:r w:rsidR="001E129D">
        <w:rPr>
          <w:sz w:val="20"/>
          <w:szCs w:val="20"/>
        </w:rPr>
        <w:t>es</w:t>
      </w:r>
      <w:r w:rsidR="001E129D" w:rsidRPr="001F2127">
        <w:rPr>
          <w:sz w:val="20"/>
          <w:szCs w:val="20"/>
        </w:rPr>
        <w:t xml:space="preserve"> not</w:t>
      </w:r>
      <w:r w:rsidR="00E4430E">
        <w:rPr>
          <w:sz w:val="20"/>
          <w:szCs w:val="20"/>
        </w:rPr>
        <w:t xml:space="preserve"> and </w:t>
      </w:r>
      <w:r w:rsidR="00090497">
        <w:rPr>
          <w:sz w:val="20"/>
          <w:szCs w:val="20"/>
        </w:rPr>
        <w:t xml:space="preserve">it is </w:t>
      </w:r>
      <w:r w:rsidR="00E75DD7">
        <w:rPr>
          <w:sz w:val="20"/>
          <w:szCs w:val="20"/>
        </w:rPr>
        <w:t xml:space="preserve">therefore </w:t>
      </w:r>
      <w:r w:rsidR="00090497">
        <w:rPr>
          <w:sz w:val="20"/>
          <w:szCs w:val="20"/>
        </w:rPr>
        <w:t xml:space="preserve">not </w:t>
      </w:r>
      <w:r w:rsidR="00DB03E1">
        <w:rPr>
          <w:sz w:val="20"/>
          <w:szCs w:val="20"/>
        </w:rPr>
        <w:t>‘idiopathic’</w:t>
      </w:r>
      <w:r w:rsidR="001E129D" w:rsidRPr="001F2127">
        <w:rPr>
          <w:sz w:val="20"/>
          <w:szCs w:val="20"/>
        </w:rPr>
        <w:t>.</w:t>
      </w:r>
      <w:r w:rsidR="001E129D">
        <w:rPr>
          <w:sz w:val="20"/>
          <w:szCs w:val="20"/>
        </w:rPr>
        <w:t xml:space="preserve"> </w:t>
      </w:r>
      <w:r w:rsidR="00E728C1" w:rsidRPr="001F2127">
        <w:rPr>
          <w:sz w:val="20"/>
          <w:szCs w:val="20"/>
        </w:rPr>
        <w:t xml:space="preserve">The </w:t>
      </w:r>
      <w:r w:rsidR="00E728C1">
        <w:rPr>
          <w:sz w:val="20"/>
          <w:szCs w:val="20"/>
        </w:rPr>
        <w:t xml:space="preserve">fidelity of the </w:t>
      </w:r>
      <w:r w:rsidR="00E728C1" w:rsidRPr="001F2127">
        <w:rPr>
          <w:sz w:val="20"/>
          <w:szCs w:val="20"/>
        </w:rPr>
        <w:t xml:space="preserve">clinical diagnosis of PTCS </w:t>
      </w:r>
      <w:r w:rsidR="00E728C1">
        <w:rPr>
          <w:sz w:val="20"/>
          <w:szCs w:val="20"/>
        </w:rPr>
        <w:t>may</w:t>
      </w:r>
      <w:r w:rsidR="0071195A">
        <w:rPr>
          <w:sz w:val="20"/>
          <w:szCs w:val="20"/>
        </w:rPr>
        <w:t xml:space="preserve"> </w:t>
      </w:r>
      <w:r w:rsidR="00E728C1">
        <w:rPr>
          <w:sz w:val="20"/>
          <w:szCs w:val="20"/>
        </w:rPr>
        <w:t xml:space="preserve">be reduced </w:t>
      </w:r>
      <w:r w:rsidR="00E75DD7">
        <w:rPr>
          <w:sz w:val="20"/>
          <w:szCs w:val="20"/>
        </w:rPr>
        <w:t xml:space="preserve">first </w:t>
      </w:r>
      <w:r w:rsidR="00E728C1">
        <w:rPr>
          <w:sz w:val="20"/>
          <w:szCs w:val="20"/>
        </w:rPr>
        <w:t xml:space="preserve">by </w:t>
      </w:r>
      <w:r w:rsidR="00E75DD7">
        <w:rPr>
          <w:sz w:val="20"/>
          <w:szCs w:val="20"/>
        </w:rPr>
        <w:t>m</w:t>
      </w:r>
      <w:r w:rsidR="00E728C1">
        <w:rPr>
          <w:sz w:val="20"/>
          <w:szCs w:val="20"/>
        </w:rPr>
        <w:t xml:space="preserve">isdiagnosis </w:t>
      </w:r>
      <w:r w:rsidR="00474D27" w:rsidRPr="001F2127">
        <w:rPr>
          <w:sz w:val="20"/>
          <w:szCs w:val="20"/>
        </w:rPr>
        <w:t>of papilloedema</w:t>
      </w:r>
      <w:r w:rsidR="00474D27">
        <w:rPr>
          <w:sz w:val="20"/>
          <w:szCs w:val="20"/>
          <w:vertAlign w:val="superscript"/>
        </w:rPr>
        <w:t xml:space="preserve"> </w:t>
      </w:r>
      <w:r w:rsidR="00066B63">
        <w:rPr>
          <w:sz w:val="20"/>
          <w:szCs w:val="20"/>
        </w:rPr>
        <w:t xml:space="preserve">when </w:t>
      </w:r>
      <w:r w:rsidR="00E728C1" w:rsidRPr="001F2127">
        <w:rPr>
          <w:sz w:val="20"/>
          <w:szCs w:val="20"/>
        </w:rPr>
        <w:t>evaluat</w:t>
      </w:r>
      <w:r w:rsidR="00E75DD7">
        <w:rPr>
          <w:sz w:val="20"/>
          <w:szCs w:val="20"/>
        </w:rPr>
        <w:t xml:space="preserve">ed </w:t>
      </w:r>
      <w:r w:rsidR="00E728C1">
        <w:rPr>
          <w:sz w:val="20"/>
          <w:szCs w:val="20"/>
        </w:rPr>
        <w:t xml:space="preserve">by clinicians </w:t>
      </w:r>
      <w:r w:rsidR="00E75DD7">
        <w:rPr>
          <w:sz w:val="20"/>
          <w:szCs w:val="20"/>
        </w:rPr>
        <w:t xml:space="preserve">lacking </w:t>
      </w:r>
      <w:r w:rsidR="00E728C1">
        <w:rPr>
          <w:sz w:val="20"/>
          <w:szCs w:val="20"/>
        </w:rPr>
        <w:t xml:space="preserve">access to specialist ophthalmological </w:t>
      </w:r>
      <w:r w:rsidR="00E75DD7">
        <w:rPr>
          <w:sz w:val="20"/>
          <w:szCs w:val="20"/>
        </w:rPr>
        <w:t>assessment</w:t>
      </w:r>
      <w:r>
        <w:rPr>
          <w:sz w:val="20"/>
          <w:szCs w:val="20"/>
          <w:vertAlign w:val="superscript"/>
        </w:rPr>
        <w:t>12</w:t>
      </w:r>
      <w:r w:rsidR="00E728C1">
        <w:rPr>
          <w:sz w:val="20"/>
          <w:szCs w:val="20"/>
        </w:rPr>
        <w:t xml:space="preserve"> </w:t>
      </w:r>
      <w:r w:rsidR="00E75DD7">
        <w:rPr>
          <w:sz w:val="20"/>
          <w:szCs w:val="20"/>
        </w:rPr>
        <w:t>and second by e</w:t>
      </w:r>
      <w:r w:rsidR="00474D27">
        <w:rPr>
          <w:sz w:val="20"/>
          <w:szCs w:val="20"/>
        </w:rPr>
        <w:t xml:space="preserve">stimation of CSF pressure based on </w:t>
      </w:r>
      <w:r w:rsidR="007B6DB1">
        <w:rPr>
          <w:sz w:val="20"/>
          <w:szCs w:val="20"/>
        </w:rPr>
        <w:t xml:space="preserve">brief </w:t>
      </w:r>
      <w:r w:rsidR="007B6DB1" w:rsidRPr="001F2127">
        <w:rPr>
          <w:sz w:val="20"/>
          <w:szCs w:val="20"/>
        </w:rPr>
        <w:t>recording</w:t>
      </w:r>
      <w:r w:rsidR="007B6DB1">
        <w:rPr>
          <w:sz w:val="20"/>
          <w:szCs w:val="20"/>
        </w:rPr>
        <w:t xml:space="preserve"> of </w:t>
      </w:r>
      <w:r w:rsidR="00E728C1" w:rsidRPr="001F2127">
        <w:rPr>
          <w:sz w:val="20"/>
          <w:szCs w:val="20"/>
        </w:rPr>
        <w:t xml:space="preserve">lumbar CSF </w:t>
      </w:r>
      <w:r w:rsidR="007B6DB1">
        <w:rPr>
          <w:sz w:val="20"/>
          <w:szCs w:val="20"/>
        </w:rPr>
        <w:t xml:space="preserve">opening </w:t>
      </w:r>
      <w:r w:rsidR="00E728C1" w:rsidRPr="001F2127">
        <w:rPr>
          <w:sz w:val="20"/>
          <w:szCs w:val="20"/>
        </w:rPr>
        <w:t>pressure</w:t>
      </w:r>
      <w:r w:rsidR="00E75DD7">
        <w:rPr>
          <w:sz w:val="20"/>
          <w:szCs w:val="20"/>
        </w:rPr>
        <w:t xml:space="preserve">. This </w:t>
      </w:r>
      <w:r w:rsidR="00474D27">
        <w:rPr>
          <w:sz w:val="20"/>
          <w:szCs w:val="20"/>
        </w:rPr>
        <w:t>var</w:t>
      </w:r>
      <w:r w:rsidR="00E728C1">
        <w:rPr>
          <w:sz w:val="20"/>
          <w:szCs w:val="20"/>
        </w:rPr>
        <w:t xml:space="preserve">ies with posture, </w:t>
      </w:r>
      <w:r w:rsidR="00E728C1" w:rsidRPr="001F2127">
        <w:rPr>
          <w:sz w:val="20"/>
          <w:szCs w:val="20"/>
        </w:rPr>
        <w:t>mov</w:t>
      </w:r>
      <w:r w:rsidR="00E728C1">
        <w:rPr>
          <w:sz w:val="20"/>
          <w:szCs w:val="20"/>
        </w:rPr>
        <w:t>e</w:t>
      </w:r>
      <w:r w:rsidR="00E728C1" w:rsidRPr="001F2127">
        <w:rPr>
          <w:sz w:val="20"/>
          <w:szCs w:val="20"/>
        </w:rPr>
        <w:t>ment, emotion, anaesthetics and hypercapnia</w:t>
      </w:r>
      <w:r w:rsidR="00DA3EF2">
        <w:rPr>
          <w:sz w:val="20"/>
          <w:szCs w:val="20"/>
        </w:rPr>
        <w:t>,</w:t>
      </w:r>
      <w:r w:rsidR="00E728C1" w:rsidRPr="001F2127">
        <w:rPr>
          <w:sz w:val="20"/>
          <w:szCs w:val="20"/>
        </w:rPr>
        <w:t xml:space="preserve"> </w:t>
      </w:r>
      <w:r w:rsidR="00C52571">
        <w:rPr>
          <w:sz w:val="20"/>
          <w:szCs w:val="20"/>
        </w:rPr>
        <w:t xml:space="preserve">and </w:t>
      </w:r>
      <w:r w:rsidR="00E728C1">
        <w:rPr>
          <w:sz w:val="20"/>
          <w:szCs w:val="20"/>
        </w:rPr>
        <w:t>may not</w:t>
      </w:r>
      <w:r w:rsidR="00BE3931">
        <w:rPr>
          <w:sz w:val="20"/>
          <w:szCs w:val="20"/>
        </w:rPr>
        <w:t xml:space="preserve"> </w:t>
      </w:r>
      <w:r w:rsidR="00E619D5">
        <w:rPr>
          <w:sz w:val="20"/>
          <w:szCs w:val="20"/>
        </w:rPr>
        <w:t>accurately reflect</w:t>
      </w:r>
      <w:r w:rsidR="00BE3931">
        <w:rPr>
          <w:sz w:val="20"/>
          <w:szCs w:val="20"/>
        </w:rPr>
        <w:t xml:space="preserve"> </w:t>
      </w:r>
      <w:r w:rsidR="00E728C1" w:rsidRPr="009F433C">
        <w:rPr>
          <w:sz w:val="20"/>
          <w:szCs w:val="20"/>
        </w:rPr>
        <w:t>mean CSF pressure.</w:t>
      </w:r>
      <w:r w:rsidR="00AA712B">
        <w:rPr>
          <w:sz w:val="20"/>
          <w:szCs w:val="20"/>
          <w:vertAlign w:val="superscript"/>
        </w:rPr>
        <w:t>1</w:t>
      </w:r>
      <w:r w:rsidR="00EB59F6">
        <w:rPr>
          <w:sz w:val="20"/>
          <w:szCs w:val="20"/>
          <w:vertAlign w:val="superscript"/>
        </w:rPr>
        <w:t>3</w:t>
      </w:r>
      <w:r w:rsidR="00E728C1">
        <w:rPr>
          <w:sz w:val="20"/>
          <w:szCs w:val="20"/>
        </w:rPr>
        <w:t xml:space="preserve"> </w:t>
      </w:r>
    </w:p>
    <w:p w:rsidR="001E129D" w:rsidRDefault="001E129D" w:rsidP="00E20257">
      <w:pPr>
        <w:spacing w:line="480" w:lineRule="auto"/>
        <w:rPr>
          <w:sz w:val="20"/>
          <w:szCs w:val="20"/>
        </w:rPr>
      </w:pPr>
    </w:p>
    <w:p w:rsidR="00496EBA" w:rsidRDefault="00090497" w:rsidP="00E20257">
      <w:pPr>
        <w:spacing w:line="480" w:lineRule="auto"/>
        <w:rPr>
          <w:sz w:val="20"/>
          <w:szCs w:val="20"/>
        </w:rPr>
      </w:pPr>
      <w:r>
        <w:rPr>
          <w:sz w:val="20"/>
          <w:szCs w:val="20"/>
        </w:rPr>
        <w:t xml:space="preserve">An increase </w:t>
      </w:r>
      <w:r w:rsidR="00BE3931">
        <w:rPr>
          <w:sz w:val="20"/>
          <w:szCs w:val="20"/>
        </w:rPr>
        <w:t xml:space="preserve">in the upper </w:t>
      </w:r>
      <w:r w:rsidR="00E619D5">
        <w:rPr>
          <w:sz w:val="20"/>
          <w:szCs w:val="20"/>
        </w:rPr>
        <w:t xml:space="preserve">normal threshold of </w:t>
      </w:r>
      <w:r w:rsidR="00BE3931">
        <w:rPr>
          <w:sz w:val="20"/>
          <w:szCs w:val="20"/>
        </w:rPr>
        <w:t xml:space="preserve">lumbar CSF opening pressure from 20 cm to 25 cm </w:t>
      </w:r>
      <w:r w:rsidR="00254EA9">
        <w:rPr>
          <w:sz w:val="20"/>
          <w:szCs w:val="20"/>
        </w:rPr>
        <w:t>CSF</w:t>
      </w:r>
      <w:r w:rsidR="00BE3931">
        <w:rPr>
          <w:sz w:val="20"/>
          <w:szCs w:val="20"/>
        </w:rPr>
        <w:t xml:space="preserve"> </w:t>
      </w:r>
      <w:r w:rsidR="00496EBA">
        <w:rPr>
          <w:sz w:val="20"/>
          <w:szCs w:val="20"/>
        </w:rPr>
        <w:t xml:space="preserve">in non-obese children and 28 cm </w:t>
      </w:r>
      <w:r w:rsidR="00026F94">
        <w:rPr>
          <w:sz w:val="20"/>
          <w:szCs w:val="20"/>
        </w:rPr>
        <w:t xml:space="preserve">in </w:t>
      </w:r>
      <w:r w:rsidR="001E129D">
        <w:rPr>
          <w:sz w:val="20"/>
          <w:szCs w:val="20"/>
        </w:rPr>
        <w:t xml:space="preserve">children who are </w:t>
      </w:r>
      <w:r w:rsidR="00026F94">
        <w:rPr>
          <w:sz w:val="20"/>
          <w:szCs w:val="20"/>
        </w:rPr>
        <w:t xml:space="preserve">either </w:t>
      </w:r>
      <w:r w:rsidR="00E619D5">
        <w:rPr>
          <w:sz w:val="20"/>
          <w:szCs w:val="20"/>
        </w:rPr>
        <w:t xml:space="preserve">obese or </w:t>
      </w:r>
      <w:r w:rsidR="00026F94">
        <w:rPr>
          <w:sz w:val="20"/>
          <w:szCs w:val="20"/>
        </w:rPr>
        <w:t>sedated for the</w:t>
      </w:r>
      <w:r w:rsidR="00BE3931">
        <w:rPr>
          <w:sz w:val="20"/>
          <w:szCs w:val="20"/>
        </w:rPr>
        <w:t xml:space="preserve">ir </w:t>
      </w:r>
      <w:r w:rsidR="00026F94">
        <w:rPr>
          <w:sz w:val="20"/>
          <w:szCs w:val="20"/>
        </w:rPr>
        <w:t>LP</w:t>
      </w:r>
      <w:r w:rsidR="00BE3931">
        <w:rPr>
          <w:sz w:val="20"/>
          <w:szCs w:val="20"/>
        </w:rPr>
        <w:t xml:space="preserve"> has been proposed</w:t>
      </w:r>
      <w:r w:rsidR="00372B9E">
        <w:rPr>
          <w:sz w:val="20"/>
          <w:szCs w:val="20"/>
        </w:rPr>
        <w:t>.</w:t>
      </w:r>
      <w:r w:rsidR="00AA712B">
        <w:rPr>
          <w:sz w:val="20"/>
          <w:szCs w:val="20"/>
          <w:vertAlign w:val="superscript"/>
        </w:rPr>
        <w:t>1</w:t>
      </w:r>
      <w:r w:rsidR="00EB59F6">
        <w:rPr>
          <w:sz w:val="20"/>
          <w:szCs w:val="20"/>
          <w:vertAlign w:val="superscript"/>
        </w:rPr>
        <w:t>4</w:t>
      </w:r>
      <w:r w:rsidR="001E129D">
        <w:rPr>
          <w:sz w:val="20"/>
          <w:szCs w:val="20"/>
        </w:rPr>
        <w:t xml:space="preserve"> </w:t>
      </w:r>
      <w:r w:rsidR="00E619D5">
        <w:rPr>
          <w:sz w:val="20"/>
          <w:szCs w:val="20"/>
        </w:rPr>
        <w:t>Furthermore</w:t>
      </w:r>
      <w:r w:rsidR="001E129D">
        <w:rPr>
          <w:sz w:val="20"/>
          <w:szCs w:val="20"/>
        </w:rPr>
        <w:t>, specific</w:t>
      </w:r>
      <w:r w:rsidR="0006112A">
        <w:rPr>
          <w:sz w:val="20"/>
          <w:szCs w:val="20"/>
        </w:rPr>
        <w:t xml:space="preserve"> </w:t>
      </w:r>
      <w:r w:rsidR="00026F94">
        <w:rPr>
          <w:sz w:val="20"/>
          <w:szCs w:val="20"/>
        </w:rPr>
        <w:t>(but insensitive)</w:t>
      </w:r>
      <w:r w:rsidR="00026F94" w:rsidDel="00496EBA">
        <w:rPr>
          <w:sz w:val="20"/>
          <w:szCs w:val="20"/>
        </w:rPr>
        <w:t xml:space="preserve"> </w:t>
      </w:r>
      <w:r w:rsidR="00D44EED" w:rsidRPr="001F2127">
        <w:rPr>
          <w:sz w:val="20"/>
          <w:szCs w:val="20"/>
        </w:rPr>
        <w:t xml:space="preserve">neuroradiological </w:t>
      </w:r>
      <w:r w:rsidR="00416F28" w:rsidRPr="001F2127">
        <w:rPr>
          <w:sz w:val="20"/>
          <w:szCs w:val="20"/>
        </w:rPr>
        <w:t>markers</w:t>
      </w:r>
      <w:r w:rsidR="001E129D">
        <w:rPr>
          <w:sz w:val="20"/>
          <w:szCs w:val="20"/>
        </w:rPr>
        <w:t xml:space="preserve"> </w:t>
      </w:r>
      <w:r w:rsidR="00141B3C">
        <w:rPr>
          <w:sz w:val="20"/>
          <w:szCs w:val="20"/>
        </w:rPr>
        <w:t xml:space="preserve">of raised ICP </w:t>
      </w:r>
      <w:r w:rsidR="001E129D">
        <w:rPr>
          <w:sz w:val="20"/>
          <w:szCs w:val="20"/>
        </w:rPr>
        <w:t xml:space="preserve">have been </w:t>
      </w:r>
      <w:r w:rsidR="00E619D5">
        <w:rPr>
          <w:sz w:val="20"/>
          <w:szCs w:val="20"/>
        </w:rPr>
        <w:t>established</w:t>
      </w:r>
      <w:r w:rsidR="001E129D">
        <w:rPr>
          <w:sz w:val="20"/>
          <w:szCs w:val="20"/>
        </w:rPr>
        <w:t>.</w:t>
      </w:r>
      <w:r w:rsidR="00EB59F6">
        <w:rPr>
          <w:sz w:val="20"/>
          <w:szCs w:val="20"/>
          <w:vertAlign w:val="superscript"/>
        </w:rPr>
        <w:t>15</w:t>
      </w:r>
      <w:r w:rsidR="00AA712B">
        <w:rPr>
          <w:sz w:val="20"/>
          <w:szCs w:val="20"/>
          <w:vertAlign w:val="superscript"/>
        </w:rPr>
        <w:t>-1</w:t>
      </w:r>
      <w:r w:rsidR="00EB59F6">
        <w:rPr>
          <w:sz w:val="20"/>
          <w:szCs w:val="20"/>
          <w:vertAlign w:val="superscript"/>
        </w:rPr>
        <w:t>9</w:t>
      </w:r>
      <w:r w:rsidR="001E129D">
        <w:rPr>
          <w:sz w:val="20"/>
          <w:szCs w:val="20"/>
        </w:rPr>
        <w:t xml:space="preserve"> </w:t>
      </w:r>
      <w:r w:rsidR="00026F94">
        <w:rPr>
          <w:sz w:val="20"/>
          <w:szCs w:val="20"/>
        </w:rPr>
        <w:t>In 2013,</w:t>
      </w:r>
      <w:r w:rsidR="00026F94" w:rsidRPr="001F2127">
        <w:rPr>
          <w:sz w:val="20"/>
          <w:szCs w:val="20"/>
        </w:rPr>
        <w:t xml:space="preserve"> </w:t>
      </w:r>
      <w:r w:rsidR="00B6537E">
        <w:rPr>
          <w:sz w:val="20"/>
          <w:szCs w:val="20"/>
        </w:rPr>
        <w:t>Friedman et al. p</w:t>
      </w:r>
      <w:r w:rsidR="00026F94">
        <w:rPr>
          <w:sz w:val="20"/>
          <w:szCs w:val="20"/>
        </w:rPr>
        <w:t xml:space="preserve">ublished </w:t>
      </w:r>
      <w:r w:rsidR="006A03A4" w:rsidRPr="001F2127">
        <w:rPr>
          <w:sz w:val="20"/>
          <w:szCs w:val="20"/>
        </w:rPr>
        <w:t xml:space="preserve">revised </w:t>
      </w:r>
      <w:r w:rsidR="002C2F8A" w:rsidRPr="001F2127">
        <w:rPr>
          <w:sz w:val="20"/>
          <w:szCs w:val="20"/>
        </w:rPr>
        <w:t xml:space="preserve">diagnostic criteria </w:t>
      </w:r>
      <w:r w:rsidR="00003A31">
        <w:rPr>
          <w:sz w:val="20"/>
          <w:szCs w:val="20"/>
        </w:rPr>
        <w:t xml:space="preserve">for PTCS </w:t>
      </w:r>
      <w:r w:rsidR="008D1AAB">
        <w:rPr>
          <w:sz w:val="20"/>
          <w:szCs w:val="20"/>
        </w:rPr>
        <w:t xml:space="preserve">that </w:t>
      </w:r>
      <w:r w:rsidR="00026F94">
        <w:rPr>
          <w:sz w:val="20"/>
          <w:szCs w:val="20"/>
        </w:rPr>
        <w:t>incorporat</w:t>
      </w:r>
      <w:r w:rsidR="008D1AAB">
        <w:rPr>
          <w:sz w:val="20"/>
          <w:szCs w:val="20"/>
        </w:rPr>
        <w:t xml:space="preserve">ed </w:t>
      </w:r>
      <w:r w:rsidR="00981924">
        <w:rPr>
          <w:sz w:val="20"/>
          <w:szCs w:val="20"/>
        </w:rPr>
        <w:t>these change</w:t>
      </w:r>
      <w:r w:rsidR="007B6DB1">
        <w:rPr>
          <w:sz w:val="20"/>
          <w:szCs w:val="20"/>
        </w:rPr>
        <w:t>s</w:t>
      </w:r>
      <w:r w:rsidR="008D1AAB" w:rsidRPr="001F2127">
        <w:rPr>
          <w:sz w:val="20"/>
          <w:szCs w:val="20"/>
        </w:rPr>
        <w:t xml:space="preserve"> </w:t>
      </w:r>
      <w:r w:rsidR="008D1AAB">
        <w:rPr>
          <w:sz w:val="20"/>
          <w:szCs w:val="20"/>
        </w:rPr>
        <w:t xml:space="preserve">but did </w:t>
      </w:r>
      <w:r w:rsidR="00132C9A">
        <w:rPr>
          <w:sz w:val="20"/>
          <w:szCs w:val="20"/>
        </w:rPr>
        <w:t xml:space="preserve">not include </w:t>
      </w:r>
      <w:r w:rsidR="00026F94">
        <w:rPr>
          <w:sz w:val="20"/>
          <w:szCs w:val="20"/>
        </w:rPr>
        <w:t>symptoms of raised ICP</w:t>
      </w:r>
      <w:r w:rsidR="00266F34" w:rsidRPr="00266F34">
        <w:rPr>
          <w:sz w:val="20"/>
          <w:szCs w:val="20"/>
          <w:vertAlign w:val="superscript"/>
        </w:rPr>
        <w:t xml:space="preserve"> </w:t>
      </w:r>
      <w:r w:rsidR="00266F34">
        <w:rPr>
          <w:sz w:val="20"/>
          <w:szCs w:val="20"/>
        </w:rPr>
        <w:t>(Table 1B)</w:t>
      </w:r>
      <w:r w:rsidR="003E4F86">
        <w:rPr>
          <w:sz w:val="20"/>
          <w:szCs w:val="20"/>
        </w:rPr>
        <w:t>.</w:t>
      </w:r>
      <w:r w:rsidR="00266F34">
        <w:rPr>
          <w:sz w:val="20"/>
          <w:szCs w:val="20"/>
          <w:vertAlign w:val="superscript"/>
        </w:rPr>
        <w:t xml:space="preserve">20 </w:t>
      </w:r>
      <w:r w:rsidR="00496EBA">
        <w:rPr>
          <w:sz w:val="20"/>
          <w:szCs w:val="20"/>
        </w:rPr>
        <w:t>T</w:t>
      </w:r>
      <w:r w:rsidR="00981924">
        <w:rPr>
          <w:sz w:val="20"/>
          <w:szCs w:val="20"/>
        </w:rPr>
        <w:t xml:space="preserve">he revised criteria </w:t>
      </w:r>
      <w:r w:rsidR="004F2BCD">
        <w:rPr>
          <w:sz w:val="20"/>
          <w:szCs w:val="20"/>
        </w:rPr>
        <w:t xml:space="preserve">categorise </w:t>
      </w:r>
      <w:r w:rsidR="00026F94">
        <w:rPr>
          <w:sz w:val="20"/>
          <w:szCs w:val="20"/>
        </w:rPr>
        <w:t xml:space="preserve">PTCS </w:t>
      </w:r>
      <w:r w:rsidR="00981924">
        <w:rPr>
          <w:sz w:val="20"/>
          <w:szCs w:val="20"/>
        </w:rPr>
        <w:t xml:space="preserve">as </w:t>
      </w:r>
      <w:r w:rsidR="00003A31">
        <w:rPr>
          <w:sz w:val="20"/>
          <w:szCs w:val="20"/>
        </w:rPr>
        <w:t>‘definite</w:t>
      </w:r>
      <w:r w:rsidR="00026F94">
        <w:rPr>
          <w:sz w:val="20"/>
          <w:szCs w:val="20"/>
        </w:rPr>
        <w:t>’</w:t>
      </w:r>
      <w:r w:rsidR="00003A31">
        <w:rPr>
          <w:sz w:val="20"/>
          <w:szCs w:val="20"/>
        </w:rPr>
        <w:t xml:space="preserve"> </w:t>
      </w:r>
      <w:r w:rsidR="008D1AAB">
        <w:rPr>
          <w:sz w:val="20"/>
          <w:szCs w:val="20"/>
        </w:rPr>
        <w:t>(</w:t>
      </w:r>
      <w:r w:rsidR="00BE3931" w:rsidRPr="001F2127">
        <w:rPr>
          <w:sz w:val="20"/>
          <w:szCs w:val="20"/>
        </w:rPr>
        <w:t>elevated CSF pressure</w:t>
      </w:r>
      <w:r w:rsidR="00BE3931" w:rsidDel="00BE3931">
        <w:rPr>
          <w:sz w:val="20"/>
          <w:szCs w:val="20"/>
        </w:rPr>
        <w:t xml:space="preserve"> </w:t>
      </w:r>
      <w:r w:rsidR="00BE3931">
        <w:rPr>
          <w:sz w:val="20"/>
          <w:szCs w:val="20"/>
        </w:rPr>
        <w:t xml:space="preserve">and either </w:t>
      </w:r>
      <w:r w:rsidR="00003A31" w:rsidRPr="001F2127">
        <w:rPr>
          <w:sz w:val="20"/>
          <w:szCs w:val="20"/>
        </w:rPr>
        <w:t>papilloedema or abducens nerve palsy</w:t>
      </w:r>
      <w:r w:rsidR="008D1AAB">
        <w:rPr>
          <w:sz w:val="20"/>
          <w:szCs w:val="20"/>
        </w:rPr>
        <w:t xml:space="preserve">), </w:t>
      </w:r>
      <w:r w:rsidR="00003A31">
        <w:rPr>
          <w:sz w:val="20"/>
          <w:szCs w:val="20"/>
        </w:rPr>
        <w:t>‘probable</w:t>
      </w:r>
      <w:r w:rsidR="00026F94">
        <w:rPr>
          <w:sz w:val="20"/>
          <w:szCs w:val="20"/>
        </w:rPr>
        <w:t>’</w:t>
      </w:r>
      <w:r w:rsidR="00003A31">
        <w:rPr>
          <w:sz w:val="20"/>
          <w:szCs w:val="20"/>
        </w:rPr>
        <w:t xml:space="preserve"> </w:t>
      </w:r>
      <w:r w:rsidR="008D1AAB">
        <w:rPr>
          <w:sz w:val="20"/>
          <w:szCs w:val="20"/>
        </w:rPr>
        <w:t>(</w:t>
      </w:r>
      <w:r w:rsidR="00975E65" w:rsidRPr="001F2127">
        <w:rPr>
          <w:sz w:val="20"/>
          <w:szCs w:val="20"/>
        </w:rPr>
        <w:t>papilloedema</w:t>
      </w:r>
      <w:r w:rsidR="00003A31">
        <w:rPr>
          <w:sz w:val="20"/>
          <w:szCs w:val="20"/>
        </w:rPr>
        <w:t xml:space="preserve"> but no</w:t>
      </w:r>
      <w:r w:rsidR="00BE3931">
        <w:rPr>
          <w:sz w:val="20"/>
          <w:szCs w:val="20"/>
        </w:rPr>
        <w:t xml:space="preserve">rmal </w:t>
      </w:r>
      <w:r w:rsidR="00975E65" w:rsidRPr="001F2127">
        <w:rPr>
          <w:sz w:val="20"/>
          <w:szCs w:val="20"/>
        </w:rPr>
        <w:t>CSF pressure</w:t>
      </w:r>
      <w:r w:rsidR="008D1AAB">
        <w:rPr>
          <w:sz w:val="20"/>
          <w:szCs w:val="20"/>
        </w:rPr>
        <w:t xml:space="preserve">) or </w:t>
      </w:r>
      <w:r w:rsidR="00003A31">
        <w:rPr>
          <w:sz w:val="20"/>
          <w:szCs w:val="20"/>
        </w:rPr>
        <w:t>‘suggestive</w:t>
      </w:r>
      <w:r w:rsidR="00981924">
        <w:rPr>
          <w:sz w:val="20"/>
          <w:szCs w:val="20"/>
        </w:rPr>
        <w:t xml:space="preserve"> of PTCS</w:t>
      </w:r>
      <w:r w:rsidR="00132C9A">
        <w:rPr>
          <w:sz w:val="20"/>
          <w:szCs w:val="20"/>
        </w:rPr>
        <w:t xml:space="preserve">’ </w:t>
      </w:r>
      <w:r w:rsidR="008D1AAB">
        <w:rPr>
          <w:sz w:val="20"/>
          <w:szCs w:val="20"/>
        </w:rPr>
        <w:t>(</w:t>
      </w:r>
      <w:r w:rsidR="00847790">
        <w:rPr>
          <w:sz w:val="20"/>
          <w:szCs w:val="20"/>
        </w:rPr>
        <w:t>lacking papilloedema and</w:t>
      </w:r>
      <w:r w:rsidR="000A362C">
        <w:rPr>
          <w:sz w:val="20"/>
          <w:szCs w:val="20"/>
        </w:rPr>
        <w:t xml:space="preserve"> abducens nerve palsy but manifesting </w:t>
      </w:r>
      <w:r w:rsidR="00BE3931">
        <w:rPr>
          <w:sz w:val="20"/>
          <w:szCs w:val="20"/>
        </w:rPr>
        <w:t xml:space="preserve">elevated </w:t>
      </w:r>
      <w:r w:rsidR="00003A31">
        <w:rPr>
          <w:sz w:val="20"/>
          <w:szCs w:val="20"/>
        </w:rPr>
        <w:t>CSF pressure</w:t>
      </w:r>
      <w:r w:rsidR="00981924">
        <w:rPr>
          <w:sz w:val="20"/>
          <w:szCs w:val="20"/>
        </w:rPr>
        <w:t xml:space="preserve"> </w:t>
      </w:r>
      <w:r w:rsidR="008D1AAB">
        <w:rPr>
          <w:sz w:val="20"/>
          <w:szCs w:val="20"/>
        </w:rPr>
        <w:t xml:space="preserve">plus </w:t>
      </w:r>
      <w:r w:rsidR="00003A31" w:rsidRPr="001F2127">
        <w:rPr>
          <w:sz w:val="20"/>
          <w:szCs w:val="20"/>
        </w:rPr>
        <w:t xml:space="preserve">at least three valid neuroimaging markers </w:t>
      </w:r>
      <w:r w:rsidR="003361A5">
        <w:rPr>
          <w:sz w:val="20"/>
          <w:szCs w:val="20"/>
        </w:rPr>
        <w:t xml:space="preserve">of </w:t>
      </w:r>
      <w:r w:rsidR="005274BA">
        <w:rPr>
          <w:sz w:val="20"/>
          <w:szCs w:val="20"/>
        </w:rPr>
        <w:t>raised ICP</w:t>
      </w:r>
      <w:r w:rsidR="008D1AAB">
        <w:rPr>
          <w:sz w:val="20"/>
          <w:szCs w:val="20"/>
        </w:rPr>
        <w:t>)</w:t>
      </w:r>
      <w:r w:rsidR="00266F34">
        <w:rPr>
          <w:sz w:val="20"/>
          <w:szCs w:val="20"/>
        </w:rPr>
        <w:t>.</w:t>
      </w:r>
      <w:r w:rsidR="00266F34">
        <w:rPr>
          <w:sz w:val="20"/>
          <w:szCs w:val="20"/>
          <w:vertAlign w:val="superscript"/>
        </w:rPr>
        <w:t>20</w:t>
      </w:r>
      <w:r w:rsidR="005274BA">
        <w:rPr>
          <w:sz w:val="20"/>
          <w:szCs w:val="20"/>
        </w:rPr>
        <w:t xml:space="preserve"> </w:t>
      </w:r>
      <w:r w:rsidR="00975E65" w:rsidRPr="001F2127">
        <w:rPr>
          <w:sz w:val="20"/>
          <w:szCs w:val="20"/>
        </w:rPr>
        <w:t xml:space="preserve"> </w:t>
      </w:r>
    </w:p>
    <w:p w:rsidR="00496EBA" w:rsidRDefault="00496EBA" w:rsidP="00E20257">
      <w:pPr>
        <w:spacing w:line="480" w:lineRule="auto"/>
        <w:rPr>
          <w:sz w:val="20"/>
          <w:szCs w:val="20"/>
        </w:rPr>
      </w:pPr>
    </w:p>
    <w:p w:rsidR="005274BA" w:rsidRDefault="005274BA" w:rsidP="00E20257">
      <w:pPr>
        <w:spacing w:line="480" w:lineRule="auto"/>
        <w:rPr>
          <w:sz w:val="20"/>
          <w:szCs w:val="20"/>
        </w:rPr>
      </w:pPr>
      <w:r>
        <w:rPr>
          <w:sz w:val="20"/>
          <w:szCs w:val="20"/>
        </w:rPr>
        <w:lastRenderedPageBreak/>
        <w:t>This study aimed to establish the incidence of childhood PTCS</w:t>
      </w:r>
      <w:r w:rsidR="008D1AAB">
        <w:rPr>
          <w:sz w:val="20"/>
          <w:szCs w:val="20"/>
        </w:rPr>
        <w:t xml:space="preserve"> reliably</w:t>
      </w:r>
      <w:r>
        <w:rPr>
          <w:sz w:val="20"/>
          <w:szCs w:val="20"/>
        </w:rPr>
        <w:t xml:space="preserve">, </w:t>
      </w:r>
      <w:r w:rsidR="00FB4718">
        <w:rPr>
          <w:sz w:val="20"/>
          <w:szCs w:val="20"/>
        </w:rPr>
        <w:t xml:space="preserve">quantify the impact of known risk factors and </w:t>
      </w:r>
      <w:r w:rsidR="00266F34">
        <w:rPr>
          <w:sz w:val="20"/>
          <w:szCs w:val="20"/>
        </w:rPr>
        <w:t>identify clinical subgroups</w:t>
      </w:r>
      <w:r>
        <w:rPr>
          <w:sz w:val="20"/>
          <w:szCs w:val="20"/>
        </w:rPr>
        <w:t xml:space="preserve">.  </w:t>
      </w:r>
    </w:p>
    <w:p w:rsidR="005326FA" w:rsidRPr="001F2127" w:rsidRDefault="005326FA" w:rsidP="00E20257">
      <w:pPr>
        <w:spacing w:line="480" w:lineRule="auto"/>
        <w:rPr>
          <w:b/>
          <w:sz w:val="20"/>
          <w:szCs w:val="20"/>
        </w:rPr>
      </w:pPr>
    </w:p>
    <w:p w:rsidR="00642480" w:rsidRPr="001F2127" w:rsidRDefault="00D652FA" w:rsidP="00E20257">
      <w:pPr>
        <w:spacing w:line="480" w:lineRule="auto"/>
      </w:pPr>
      <w:r>
        <w:rPr>
          <w:b/>
        </w:rPr>
        <w:t>METHODS</w:t>
      </w:r>
    </w:p>
    <w:p w:rsidR="001900BC" w:rsidRDefault="001966CE" w:rsidP="00E20257">
      <w:pPr>
        <w:spacing w:line="480" w:lineRule="auto"/>
        <w:rPr>
          <w:sz w:val="20"/>
          <w:szCs w:val="20"/>
        </w:rPr>
      </w:pPr>
      <w:r w:rsidRPr="001F2127">
        <w:rPr>
          <w:sz w:val="20"/>
          <w:szCs w:val="20"/>
        </w:rPr>
        <w:t xml:space="preserve">We ascertained newly diagnosed </w:t>
      </w:r>
      <w:r w:rsidR="00DD70B8" w:rsidRPr="001F2127">
        <w:rPr>
          <w:sz w:val="20"/>
          <w:szCs w:val="20"/>
        </w:rPr>
        <w:t>PTCS</w:t>
      </w:r>
      <w:r w:rsidRPr="001F2127">
        <w:rPr>
          <w:sz w:val="20"/>
          <w:szCs w:val="20"/>
        </w:rPr>
        <w:t xml:space="preserve"> cases age</w:t>
      </w:r>
      <w:r w:rsidR="009B7D38">
        <w:rPr>
          <w:sz w:val="20"/>
          <w:szCs w:val="20"/>
        </w:rPr>
        <w:t>d</w:t>
      </w:r>
      <w:r w:rsidR="003E4F86">
        <w:rPr>
          <w:sz w:val="20"/>
          <w:szCs w:val="20"/>
        </w:rPr>
        <w:t xml:space="preserve"> 1-</w:t>
      </w:r>
      <w:r w:rsidRPr="001F2127">
        <w:rPr>
          <w:sz w:val="20"/>
          <w:szCs w:val="20"/>
        </w:rPr>
        <w:t xml:space="preserve">16 years presenting </w:t>
      </w:r>
      <w:r w:rsidR="009B7D38" w:rsidRPr="001F2127">
        <w:rPr>
          <w:sz w:val="20"/>
          <w:szCs w:val="20"/>
        </w:rPr>
        <w:t>over a 25-month period</w:t>
      </w:r>
      <w:r w:rsidR="00BF07C5">
        <w:rPr>
          <w:sz w:val="20"/>
          <w:szCs w:val="20"/>
        </w:rPr>
        <w:t xml:space="preserve"> (August 2007-October 2009) </w:t>
      </w:r>
      <w:r w:rsidRPr="001F2127">
        <w:rPr>
          <w:sz w:val="20"/>
          <w:szCs w:val="20"/>
        </w:rPr>
        <w:t xml:space="preserve">to </w:t>
      </w:r>
      <w:r w:rsidR="00DA4362" w:rsidRPr="001F2127">
        <w:rPr>
          <w:sz w:val="20"/>
          <w:szCs w:val="20"/>
        </w:rPr>
        <w:t xml:space="preserve">general </w:t>
      </w:r>
      <w:r w:rsidR="00CE1D0F">
        <w:rPr>
          <w:sz w:val="20"/>
          <w:szCs w:val="20"/>
        </w:rPr>
        <w:t>or</w:t>
      </w:r>
      <w:r w:rsidR="00DA4362" w:rsidRPr="001F2127">
        <w:rPr>
          <w:sz w:val="20"/>
          <w:szCs w:val="20"/>
        </w:rPr>
        <w:t xml:space="preserve"> specialised </w:t>
      </w:r>
      <w:r w:rsidRPr="001F2127">
        <w:rPr>
          <w:sz w:val="20"/>
          <w:szCs w:val="20"/>
        </w:rPr>
        <w:t xml:space="preserve">paediatricians </w:t>
      </w:r>
      <w:r w:rsidR="00DA4362" w:rsidRPr="001F2127">
        <w:rPr>
          <w:sz w:val="20"/>
          <w:szCs w:val="20"/>
        </w:rPr>
        <w:t xml:space="preserve">in the UK </w:t>
      </w:r>
      <w:r w:rsidR="00CE1D0F">
        <w:rPr>
          <w:sz w:val="20"/>
          <w:szCs w:val="20"/>
        </w:rPr>
        <w:t>or</w:t>
      </w:r>
      <w:r w:rsidR="0062180E" w:rsidRPr="001F2127">
        <w:rPr>
          <w:sz w:val="20"/>
          <w:szCs w:val="20"/>
        </w:rPr>
        <w:t xml:space="preserve"> Ireland </w:t>
      </w:r>
      <w:r w:rsidR="00026F94">
        <w:rPr>
          <w:sz w:val="20"/>
          <w:szCs w:val="20"/>
        </w:rPr>
        <w:t xml:space="preserve">using </w:t>
      </w:r>
      <w:r w:rsidR="00D67D24" w:rsidRPr="001F2127">
        <w:rPr>
          <w:sz w:val="20"/>
          <w:szCs w:val="20"/>
        </w:rPr>
        <w:t xml:space="preserve">the monthly reporting scheme of </w:t>
      </w:r>
      <w:r w:rsidR="00FD18FC" w:rsidRPr="001F2127">
        <w:rPr>
          <w:sz w:val="20"/>
          <w:szCs w:val="20"/>
        </w:rPr>
        <w:t>th</w:t>
      </w:r>
      <w:r w:rsidR="00D67D24" w:rsidRPr="001F2127">
        <w:rPr>
          <w:sz w:val="20"/>
          <w:szCs w:val="20"/>
        </w:rPr>
        <w:t>e British Paed</w:t>
      </w:r>
      <w:r w:rsidR="005E11C4">
        <w:rPr>
          <w:sz w:val="20"/>
          <w:szCs w:val="20"/>
        </w:rPr>
        <w:t>iatric Surveillance Unit (BPSU)</w:t>
      </w:r>
      <w:r w:rsidR="0062180E" w:rsidRPr="001F2127">
        <w:rPr>
          <w:sz w:val="20"/>
          <w:szCs w:val="20"/>
        </w:rPr>
        <w:t>.</w:t>
      </w:r>
      <w:r w:rsidR="00AA712B">
        <w:rPr>
          <w:sz w:val="20"/>
          <w:szCs w:val="20"/>
          <w:vertAlign w:val="superscript"/>
        </w:rPr>
        <w:t>2</w:t>
      </w:r>
      <w:r w:rsidR="00EB59F6">
        <w:rPr>
          <w:sz w:val="20"/>
          <w:szCs w:val="20"/>
          <w:vertAlign w:val="superscript"/>
        </w:rPr>
        <w:t>1</w:t>
      </w:r>
      <w:r w:rsidR="0062180E" w:rsidRPr="001F2127">
        <w:rPr>
          <w:sz w:val="20"/>
          <w:szCs w:val="20"/>
        </w:rPr>
        <w:t xml:space="preserve"> </w:t>
      </w:r>
      <w:r w:rsidR="002A11DF">
        <w:rPr>
          <w:sz w:val="20"/>
          <w:szCs w:val="20"/>
        </w:rPr>
        <w:t>N</w:t>
      </w:r>
      <w:r w:rsidR="00283107" w:rsidRPr="001F2127">
        <w:rPr>
          <w:sz w:val="20"/>
          <w:szCs w:val="20"/>
        </w:rPr>
        <w:t xml:space="preserve">otifying clinicians </w:t>
      </w:r>
      <w:r w:rsidR="002A11DF">
        <w:rPr>
          <w:sz w:val="20"/>
          <w:szCs w:val="20"/>
        </w:rPr>
        <w:t xml:space="preserve">completed </w:t>
      </w:r>
      <w:r w:rsidR="00283107" w:rsidRPr="001F2127">
        <w:rPr>
          <w:sz w:val="20"/>
          <w:szCs w:val="20"/>
        </w:rPr>
        <w:t>questionnaire</w:t>
      </w:r>
      <w:r w:rsidR="002A11DF">
        <w:rPr>
          <w:sz w:val="20"/>
          <w:szCs w:val="20"/>
        </w:rPr>
        <w:t xml:space="preserve">s detailing </w:t>
      </w:r>
      <w:r w:rsidR="00283107" w:rsidRPr="001F2127">
        <w:rPr>
          <w:sz w:val="20"/>
          <w:szCs w:val="20"/>
        </w:rPr>
        <w:t xml:space="preserve">demographics, referral source, presentation, </w:t>
      </w:r>
      <w:r w:rsidR="00A63460" w:rsidRPr="001F2127">
        <w:rPr>
          <w:sz w:val="20"/>
          <w:szCs w:val="20"/>
        </w:rPr>
        <w:t>pr</w:t>
      </w:r>
      <w:r w:rsidR="009B7D38">
        <w:rPr>
          <w:sz w:val="20"/>
          <w:szCs w:val="20"/>
        </w:rPr>
        <w:t xml:space="preserve">ior </w:t>
      </w:r>
      <w:r w:rsidR="00A63460" w:rsidRPr="001F2127">
        <w:rPr>
          <w:sz w:val="20"/>
          <w:szCs w:val="20"/>
        </w:rPr>
        <w:t>medications and medical conditions</w:t>
      </w:r>
      <w:r w:rsidR="00BF07C5">
        <w:rPr>
          <w:sz w:val="20"/>
          <w:szCs w:val="20"/>
        </w:rPr>
        <w:t>,</w:t>
      </w:r>
      <w:r w:rsidR="00283107" w:rsidRPr="001F2127">
        <w:rPr>
          <w:sz w:val="20"/>
          <w:szCs w:val="20"/>
        </w:rPr>
        <w:t xml:space="preserve"> </w:t>
      </w:r>
      <w:r w:rsidR="009B7D38">
        <w:rPr>
          <w:sz w:val="20"/>
          <w:szCs w:val="20"/>
        </w:rPr>
        <w:t xml:space="preserve">and </w:t>
      </w:r>
      <w:r w:rsidR="00283107" w:rsidRPr="001F2127">
        <w:rPr>
          <w:sz w:val="20"/>
          <w:szCs w:val="20"/>
        </w:rPr>
        <w:t>anthrop</w:t>
      </w:r>
      <w:r w:rsidR="00DA3EF2">
        <w:rPr>
          <w:sz w:val="20"/>
          <w:szCs w:val="20"/>
        </w:rPr>
        <w:t xml:space="preserve">ometric, ophthalmological, CSF </w:t>
      </w:r>
      <w:r w:rsidR="00DA4362" w:rsidRPr="001F2127">
        <w:rPr>
          <w:sz w:val="20"/>
          <w:szCs w:val="20"/>
        </w:rPr>
        <w:t xml:space="preserve">and </w:t>
      </w:r>
      <w:r w:rsidR="00283107" w:rsidRPr="001F2127">
        <w:rPr>
          <w:sz w:val="20"/>
          <w:szCs w:val="20"/>
        </w:rPr>
        <w:t xml:space="preserve">neuroimaging </w:t>
      </w:r>
      <w:r w:rsidR="003B2E89" w:rsidRPr="001F2127">
        <w:rPr>
          <w:sz w:val="20"/>
          <w:szCs w:val="20"/>
        </w:rPr>
        <w:t>data</w:t>
      </w:r>
      <w:r w:rsidR="00257E48" w:rsidRPr="001F2127">
        <w:rPr>
          <w:sz w:val="20"/>
          <w:szCs w:val="20"/>
        </w:rPr>
        <w:t>.</w:t>
      </w:r>
      <w:r w:rsidR="00257E48" w:rsidRPr="001F2127" w:rsidDel="00257E48">
        <w:rPr>
          <w:sz w:val="20"/>
          <w:szCs w:val="20"/>
        </w:rPr>
        <w:t xml:space="preserve"> </w:t>
      </w:r>
      <w:r w:rsidR="00867403">
        <w:rPr>
          <w:sz w:val="20"/>
          <w:szCs w:val="20"/>
        </w:rPr>
        <w:t xml:space="preserve">YYM </w:t>
      </w:r>
      <w:r w:rsidR="00930CA0" w:rsidRPr="001F2127">
        <w:rPr>
          <w:sz w:val="20"/>
          <w:szCs w:val="20"/>
        </w:rPr>
        <w:t xml:space="preserve">assessed jointly with at least one co-author </w:t>
      </w:r>
      <w:r w:rsidRPr="001F2127">
        <w:rPr>
          <w:sz w:val="20"/>
          <w:szCs w:val="20"/>
        </w:rPr>
        <w:t>whether the submitted data fulfilled the</w:t>
      </w:r>
      <w:r w:rsidR="00BC4E1D" w:rsidRPr="001F2127">
        <w:rPr>
          <w:sz w:val="20"/>
          <w:szCs w:val="20"/>
        </w:rPr>
        <w:t xml:space="preserve"> study case definition</w:t>
      </w:r>
      <w:r w:rsidRPr="001F2127">
        <w:rPr>
          <w:sz w:val="20"/>
          <w:szCs w:val="20"/>
        </w:rPr>
        <w:t xml:space="preserve"> (</w:t>
      </w:r>
      <w:r w:rsidR="00CE453A" w:rsidRPr="001F2127">
        <w:rPr>
          <w:sz w:val="20"/>
          <w:szCs w:val="20"/>
        </w:rPr>
        <w:t xml:space="preserve">Table </w:t>
      </w:r>
      <w:r w:rsidR="008F5A96" w:rsidRPr="001F2127">
        <w:rPr>
          <w:sz w:val="20"/>
          <w:szCs w:val="20"/>
        </w:rPr>
        <w:t>1</w:t>
      </w:r>
      <w:r w:rsidR="00464817">
        <w:rPr>
          <w:sz w:val="20"/>
          <w:szCs w:val="20"/>
        </w:rPr>
        <w:t>A</w:t>
      </w:r>
      <w:r w:rsidRPr="001F2127">
        <w:rPr>
          <w:sz w:val="20"/>
          <w:szCs w:val="20"/>
        </w:rPr>
        <w:t xml:space="preserve">). </w:t>
      </w:r>
      <w:r w:rsidR="00BF07C5">
        <w:rPr>
          <w:sz w:val="20"/>
          <w:szCs w:val="20"/>
        </w:rPr>
        <w:t>The validity of the diagnosis was checked with the notifying clinician one year after diagnosis. D</w:t>
      </w:r>
      <w:r w:rsidR="00BF07C5" w:rsidRPr="001F2127">
        <w:rPr>
          <w:sz w:val="20"/>
          <w:szCs w:val="20"/>
        </w:rPr>
        <w:t xml:space="preserve">ata </w:t>
      </w:r>
      <w:r w:rsidR="00BF07C5">
        <w:rPr>
          <w:sz w:val="20"/>
          <w:szCs w:val="20"/>
        </w:rPr>
        <w:t xml:space="preserve">collection concluded in </w:t>
      </w:r>
      <w:r w:rsidR="00BF07C5" w:rsidRPr="001F2127">
        <w:rPr>
          <w:sz w:val="20"/>
          <w:szCs w:val="20"/>
        </w:rPr>
        <w:t xml:space="preserve">July 2013. </w:t>
      </w:r>
      <w:r w:rsidR="00BF07C5">
        <w:rPr>
          <w:sz w:val="20"/>
          <w:szCs w:val="20"/>
        </w:rPr>
        <w:t xml:space="preserve">Each </w:t>
      </w:r>
      <w:r w:rsidR="00A6207A">
        <w:rPr>
          <w:sz w:val="20"/>
          <w:szCs w:val="20"/>
        </w:rPr>
        <w:t xml:space="preserve">valid </w:t>
      </w:r>
      <w:r w:rsidR="00BF07C5">
        <w:rPr>
          <w:sz w:val="20"/>
          <w:szCs w:val="20"/>
        </w:rPr>
        <w:t xml:space="preserve">PTCS case was then categorised according to the </w:t>
      </w:r>
      <w:r w:rsidR="008D1AAB">
        <w:rPr>
          <w:sz w:val="20"/>
          <w:szCs w:val="20"/>
        </w:rPr>
        <w:t>subsequently</w:t>
      </w:r>
      <w:r w:rsidR="008D1AAB" w:rsidRPr="001F2127">
        <w:rPr>
          <w:sz w:val="20"/>
          <w:szCs w:val="20"/>
        </w:rPr>
        <w:t xml:space="preserve"> published </w:t>
      </w:r>
      <w:r w:rsidR="00BF07C5" w:rsidRPr="001F2127">
        <w:rPr>
          <w:sz w:val="20"/>
          <w:szCs w:val="20"/>
        </w:rPr>
        <w:t>revised diagnostic criteria</w:t>
      </w:r>
      <w:r w:rsidR="00BF07C5">
        <w:rPr>
          <w:sz w:val="20"/>
          <w:szCs w:val="20"/>
        </w:rPr>
        <w:t xml:space="preserve"> (Table 1B)</w:t>
      </w:r>
      <w:r w:rsidR="008D1AAB">
        <w:rPr>
          <w:sz w:val="20"/>
          <w:szCs w:val="20"/>
        </w:rPr>
        <w:t>.</w:t>
      </w:r>
      <w:r w:rsidR="00BF07C5">
        <w:rPr>
          <w:sz w:val="20"/>
          <w:szCs w:val="20"/>
        </w:rPr>
        <w:t xml:space="preserve"> </w:t>
      </w:r>
    </w:p>
    <w:p w:rsidR="005C02E1" w:rsidRDefault="005C02E1" w:rsidP="00E20257">
      <w:pPr>
        <w:spacing w:line="480" w:lineRule="auto"/>
        <w:rPr>
          <w:sz w:val="20"/>
          <w:szCs w:val="20"/>
        </w:rPr>
      </w:pPr>
    </w:p>
    <w:p w:rsidR="00FE34F7" w:rsidRDefault="00CE5022" w:rsidP="00E20257">
      <w:pPr>
        <w:spacing w:line="480" w:lineRule="auto"/>
        <w:rPr>
          <w:sz w:val="20"/>
          <w:szCs w:val="20"/>
        </w:rPr>
      </w:pPr>
      <w:r w:rsidRPr="001F2127">
        <w:rPr>
          <w:sz w:val="20"/>
          <w:szCs w:val="20"/>
        </w:rPr>
        <w:t>CSF opening pressure reported above a recorded value w</w:t>
      </w:r>
      <w:r w:rsidR="009B7D38">
        <w:rPr>
          <w:sz w:val="20"/>
          <w:szCs w:val="20"/>
        </w:rPr>
        <w:t>as</w:t>
      </w:r>
      <w:r w:rsidRPr="001F2127">
        <w:rPr>
          <w:sz w:val="20"/>
          <w:szCs w:val="20"/>
        </w:rPr>
        <w:t xml:space="preserve"> rounded up to the nearest </w:t>
      </w:r>
      <w:r>
        <w:rPr>
          <w:sz w:val="20"/>
          <w:szCs w:val="20"/>
        </w:rPr>
        <w:t>integer</w:t>
      </w:r>
      <w:r w:rsidRPr="001F2127">
        <w:rPr>
          <w:sz w:val="20"/>
          <w:szCs w:val="20"/>
        </w:rPr>
        <w:t xml:space="preserve"> (</w:t>
      </w:r>
      <w:r>
        <w:rPr>
          <w:sz w:val="20"/>
          <w:szCs w:val="20"/>
        </w:rPr>
        <w:t xml:space="preserve">e.g. </w:t>
      </w:r>
      <w:r w:rsidR="00D557AB">
        <w:rPr>
          <w:sz w:val="20"/>
          <w:szCs w:val="20"/>
        </w:rPr>
        <w:t>‘</w:t>
      </w:r>
      <w:r w:rsidRPr="001F2127">
        <w:rPr>
          <w:sz w:val="20"/>
          <w:szCs w:val="20"/>
        </w:rPr>
        <w:t>&gt;40cm</w:t>
      </w:r>
      <w:r w:rsidR="00D557AB">
        <w:rPr>
          <w:sz w:val="20"/>
          <w:szCs w:val="20"/>
        </w:rPr>
        <w:t>’</w:t>
      </w:r>
      <w:r w:rsidRPr="001F2127">
        <w:rPr>
          <w:sz w:val="20"/>
          <w:szCs w:val="20"/>
        </w:rPr>
        <w:t xml:space="preserve"> </w:t>
      </w:r>
      <w:r w:rsidR="00D557AB">
        <w:rPr>
          <w:sz w:val="20"/>
          <w:szCs w:val="20"/>
        </w:rPr>
        <w:t>bec</w:t>
      </w:r>
      <w:r w:rsidR="003361A5">
        <w:rPr>
          <w:sz w:val="20"/>
          <w:szCs w:val="20"/>
        </w:rPr>
        <w:t>ame</w:t>
      </w:r>
      <w:r w:rsidR="00D557AB">
        <w:rPr>
          <w:sz w:val="20"/>
          <w:szCs w:val="20"/>
        </w:rPr>
        <w:t xml:space="preserve"> ‘</w:t>
      </w:r>
      <w:r w:rsidRPr="001F2127">
        <w:rPr>
          <w:sz w:val="20"/>
          <w:szCs w:val="20"/>
        </w:rPr>
        <w:t>41cm</w:t>
      </w:r>
      <w:r w:rsidR="00D557AB">
        <w:rPr>
          <w:sz w:val="20"/>
          <w:szCs w:val="20"/>
        </w:rPr>
        <w:t>’</w:t>
      </w:r>
      <w:r w:rsidRPr="001F2127">
        <w:rPr>
          <w:sz w:val="20"/>
          <w:szCs w:val="20"/>
        </w:rPr>
        <w:t xml:space="preserve">). </w:t>
      </w:r>
      <w:r w:rsidR="001027D5" w:rsidRPr="001F2127">
        <w:rPr>
          <w:sz w:val="20"/>
          <w:szCs w:val="20"/>
        </w:rPr>
        <w:t>The age</w:t>
      </w:r>
      <w:r w:rsidR="003E5FDA">
        <w:rPr>
          <w:sz w:val="20"/>
          <w:szCs w:val="20"/>
        </w:rPr>
        <w:t>-</w:t>
      </w:r>
      <w:r w:rsidR="001027D5" w:rsidRPr="001F2127">
        <w:rPr>
          <w:sz w:val="20"/>
          <w:szCs w:val="20"/>
        </w:rPr>
        <w:t xml:space="preserve"> and sex</w:t>
      </w:r>
      <w:r w:rsidR="003E5FDA">
        <w:rPr>
          <w:sz w:val="20"/>
          <w:szCs w:val="20"/>
        </w:rPr>
        <w:t>-</w:t>
      </w:r>
      <w:r w:rsidR="001027D5" w:rsidRPr="001F2127">
        <w:rPr>
          <w:sz w:val="20"/>
          <w:szCs w:val="20"/>
        </w:rPr>
        <w:t>specific annual incidence for eligible PTCS cases w</w:t>
      </w:r>
      <w:r w:rsidR="001027D5">
        <w:rPr>
          <w:sz w:val="20"/>
          <w:szCs w:val="20"/>
        </w:rPr>
        <w:t>as</w:t>
      </w:r>
      <w:r w:rsidR="001027D5" w:rsidRPr="001F2127">
        <w:rPr>
          <w:sz w:val="20"/>
          <w:szCs w:val="20"/>
        </w:rPr>
        <w:t xml:space="preserve"> determined from contemporary population estimates</w:t>
      </w:r>
      <w:r w:rsidR="001027D5">
        <w:rPr>
          <w:sz w:val="20"/>
          <w:szCs w:val="20"/>
          <w:vertAlign w:val="superscript"/>
        </w:rPr>
        <w:t>2</w:t>
      </w:r>
      <w:r w:rsidR="00CA147B">
        <w:rPr>
          <w:sz w:val="20"/>
          <w:szCs w:val="20"/>
          <w:vertAlign w:val="superscript"/>
        </w:rPr>
        <w:t>2</w:t>
      </w:r>
      <w:r w:rsidR="003E4484">
        <w:rPr>
          <w:sz w:val="20"/>
          <w:szCs w:val="20"/>
          <w:vertAlign w:val="superscript"/>
        </w:rPr>
        <w:t xml:space="preserve"> </w:t>
      </w:r>
      <w:r w:rsidR="001027D5">
        <w:rPr>
          <w:sz w:val="20"/>
          <w:szCs w:val="20"/>
          <w:vertAlign w:val="superscript"/>
        </w:rPr>
        <w:t>2</w:t>
      </w:r>
      <w:r w:rsidR="00CA147B">
        <w:rPr>
          <w:sz w:val="20"/>
          <w:szCs w:val="20"/>
          <w:vertAlign w:val="superscript"/>
        </w:rPr>
        <w:t>3</w:t>
      </w:r>
      <w:r w:rsidR="001027D5">
        <w:rPr>
          <w:sz w:val="20"/>
          <w:szCs w:val="20"/>
          <w:vertAlign w:val="superscript"/>
        </w:rPr>
        <w:t xml:space="preserve"> </w:t>
      </w:r>
      <w:r w:rsidR="001027D5">
        <w:rPr>
          <w:sz w:val="20"/>
          <w:szCs w:val="20"/>
        </w:rPr>
        <w:t>and</w:t>
      </w:r>
      <w:r w:rsidR="001027D5" w:rsidRPr="001F2127">
        <w:rPr>
          <w:sz w:val="20"/>
          <w:szCs w:val="20"/>
        </w:rPr>
        <w:t xml:space="preserve"> </w:t>
      </w:r>
      <w:r w:rsidR="001027D5">
        <w:rPr>
          <w:sz w:val="20"/>
          <w:szCs w:val="20"/>
        </w:rPr>
        <w:t>evaluated</w:t>
      </w:r>
      <w:r w:rsidR="003E4F86">
        <w:rPr>
          <w:sz w:val="20"/>
          <w:szCs w:val="20"/>
        </w:rPr>
        <w:t xml:space="preserve"> in three age categories: 1</w:t>
      </w:r>
      <w:r w:rsidR="001027D5" w:rsidRPr="001F2127">
        <w:rPr>
          <w:sz w:val="20"/>
          <w:szCs w:val="20"/>
        </w:rPr>
        <w:t>-6, 7-11 and 12-16 years</w:t>
      </w:r>
      <w:r w:rsidR="00017BB0">
        <w:rPr>
          <w:sz w:val="20"/>
          <w:szCs w:val="20"/>
        </w:rPr>
        <w:t>.</w:t>
      </w:r>
      <w:r w:rsidR="00FE34F7" w:rsidRPr="00FE34F7">
        <w:rPr>
          <w:sz w:val="20"/>
          <w:szCs w:val="20"/>
        </w:rPr>
        <w:t xml:space="preserve"> </w:t>
      </w:r>
      <w:r w:rsidR="00FE34F7">
        <w:rPr>
          <w:sz w:val="20"/>
          <w:szCs w:val="20"/>
        </w:rPr>
        <w:t xml:space="preserve">The </w:t>
      </w:r>
      <w:r w:rsidR="00C52571">
        <w:rPr>
          <w:sz w:val="20"/>
          <w:szCs w:val="20"/>
        </w:rPr>
        <w:t xml:space="preserve">choice </w:t>
      </w:r>
      <w:r w:rsidR="00FE34F7">
        <w:rPr>
          <w:sz w:val="20"/>
          <w:szCs w:val="20"/>
        </w:rPr>
        <w:t xml:space="preserve">of </w:t>
      </w:r>
      <w:r w:rsidR="00C52571">
        <w:rPr>
          <w:sz w:val="20"/>
          <w:szCs w:val="20"/>
        </w:rPr>
        <w:t xml:space="preserve">these </w:t>
      </w:r>
      <w:r w:rsidR="00FE34F7">
        <w:rPr>
          <w:sz w:val="20"/>
          <w:szCs w:val="20"/>
        </w:rPr>
        <w:t xml:space="preserve">three age categories </w:t>
      </w:r>
      <w:r w:rsidR="00C52571">
        <w:rPr>
          <w:sz w:val="20"/>
          <w:szCs w:val="20"/>
        </w:rPr>
        <w:t xml:space="preserve">was </w:t>
      </w:r>
      <w:r w:rsidR="00383521">
        <w:rPr>
          <w:sz w:val="20"/>
          <w:szCs w:val="20"/>
        </w:rPr>
        <w:t>based on</w:t>
      </w:r>
      <w:r w:rsidR="00FE34F7">
        <w:rPr>
          <w:sz w:val="20"/>
          <w:szCs w:val="20"/>
        </w:rPr>
        <w:t xml:space="preserve"> </w:t>
      </w:r>
      <w:r w:rsidR="00383521">
        <w:rPr>
          <w:sz w:val="20"/>
          <w:szCs w:val="20"/>
        </w:rPr>
        <w:t>previous</w:t>
      </w:r>
      <w:r w:rsidR="00FE34F7">
        <w:rPr>
          <w:sz w:val="20"/>
          <w:szCs w:val="20"/>
        </w:rPr>
        <w:t xml:space="preserve"> report</w:t>
      </w:r>
      <w:r w:rsidR="00383521">
        <w:rPr>
          <w:sz w:val="20"/>
          <w:szCs w:val="20"/>
        </w:rPr>
        <w:t>s of</w:t>
      </w:r>
      <w:r w:rsidR="00FE34F7">
        <w:rPr>
          <w:sz w:val="20"/>
          <w:szCs w:val="20"/>
        </w:rPr>
        <w:t xml:space="preserve"> vari</w:t>
      </w:r>
      <w:r w:rsidR="00C52571">
        <w:rPr>
          <w:sz w:val="20"/>
          <w:szCs w:val="20"/>
        </w:rPr>
        <w:t xml:space="preserve">ation of </w:t>
      </w:r>
      <w:r w:rsidR="00FE34F7">
        <w:rPr>
          <w:sz w:val="20"/>
          <w:szCs w:val="20"/>
        </w:rPr>
        <w:t>incidence rates</w:t>
      </w:r>
      <w:r w:rsidR="00C52571">
        <w:rPr>
          <w:sz w:val="20"/>
          <w:szCs w:val="20"/>
        </w:rPr>
        <w:t xml:space="preserve"> with age and </w:t>
      </w:r>
      <w:r w:rsidR="00FE34F7">
        <w:rPr>
          <w:sz w:val="20"/>
          <w:szCs w:val="20"/>
        </w:rPr>
        <w:t>pubert</w:t>
      </w:r>
      <w:r w:rsidR="00C52571">
        <w:rPr>
          <w:sz w:val="20"/>
          <w:szCs w:val="20"/>
        </w:rPr>
        <w:t>al</w:t>
      </w:r>
      <w:r w:rsidR="00FE34F7">
        <w:rPr>
          <w:sz w:val="20"/>
          <w:szCs w:val="20"/>
        </w:rPr>
        <w:t xml:space="preserve"> status</w:t>
      </w:r>
      <w:r w:rsidR="00C52571">
        <w:rPr>
          <w:sz w:val="20"/>
          <w:szCs w:val="20"/>
        </w:rPr>
        <w:t>.</w:t>
      </w:r>
      <w:r w:rsidR="00FE34F7">
        <w:rPr>
          <w:sz w:val="20"/>
          <w:szCs w:val="20"/>
        </w:rPr>
        <w:t xml:space="preserve"> </w:t>
      </w:r>
      <w:r w:rsidR="00C52571">
        <w:rPr>
          <w:sz w:val="20"/>
          <w:szCs w:val="20"/>
        </w:rPr>
        <w:t>A</w:t>
      </w:r>
      <w:r w:rsidR="00FE34F7">
        <w:rPr>
          <w:sz w:val="20"/>
          <w:szCs w:val="20"/>
        </w:rPr>
        <w:t xml:space="preserve">ge-specific incidences </w:t>
      </w:r>
      <w:r w:rsidR="00C52571">
        <w:rPr>
          <w:sz w:val="20"/>
          <w:szCs w:val="20"/>
        </w:rPr>
        <w:t xml:space="preserve">for each year of age within each age band did not differ significantly from each other </w:t>
      </w:r>
      <w:r w:rsidR="00FE34F7">
        <w:rPr>
          <w:sz w:val="20"/>
          <w:szCs w:val="20"/>
        </w:rPr>
        <w:t>(data not shown).</w:t>
      </w:r>
    </w:p>
    <w:p w:rsidR="00ED7524" w:rsidRDefault="00ED7524" w:rsidP="00E20257">
      <w:pPr>
        <w:spacing w:line="480" w:lineRule="auto"/>
        <w:rPr>
          <w:sz w:val="20"/>
          <w:szCs w:val="20"/>
        </w:rPr>
      </w:pPr>
    </w:p>
    <w:p w:rsidR="00F547A9" w:rsidRDefault="00017BB0" w:rsidP="00E20257">
      <w:pPr>
        <w:spacing w:line="480" w:lineRule="auto"/>
        <w:rPr>
          <w:sz w:val="20"/>
          <w:szCs w:val="20"/>
        </w:rPr>
      </w:pPr>
      <w:r>
        <w:rPr>
          <w:sz w:val="20"/>
          <w:szCs w:val="20"/>
        </w:rPr>
        <w:t xml:space="preserve"> </w:t>
      </w:r>
      <w:r w:rsidR="000B76ED" w:rsidRPr="001F2127">
        <w:rPr>
          <w:color w:val="000000"/>
          <w:sz w:val="20"/>
          <w:szCs w:val="20"/>
        </w:rPr>
        <w:t xml:space="preserve">Participants’ </w:t>
      </w:r>
      <w:r w:rsidR="00ED3ECA" w:rsidRPr="001F2127">
        <w:rPr>
          <w:color w:val="000000"/>
          <w:sz w:val="20"/>
          <w:szCs w:val="20"/>
        </w:rPr>
        <w:t>g</w:t>
      </w:r>
      <w:r w:rsidR="000B76ED" w:rsidRPr="001F2127">
        <w:rPr>
          <w:color w:val="000000"/>
          <w:sz w:val="20"/>
          <w:szCs w:val="20"/>
        </w:rPr>
        <w:t xml:space="preserve">rowth data were expressed as </w:t>
      </w:r>
      <w:r w:rsidR="003B2E89" w:rsidRPr="001F2127">
        <w:rPr>
          <w:color w:val="000000"/>
          <w:sz w:val="20"/>
          <w:szCs w:val="20"/>
        </w:rPr>
        <w:t xml:space="preserve">z-scores </w:t>
      </w:r>
      <w:r w:rsidR="00311A17">
        <w:rPr>
          <w:sz w:val="20"/>
          <w:szCs w:val="20"/>
        </w:rPr>
        <w:t xml:space="preserve">of body mass index </w:t>
      </w:r>
      <w:r w:rsidR="001027D5">
        <w:rPr>
          <w:sz w:val="20"/>
          <w:szCs w:val="20"/>
        </w:rPr>
        <w:t>(</w:t>
      </w:r>
      <w:r w:rsidR="00EF1F1B">
        <w:rPr>
          <w:sz w:val="20"/>
          <w:szCs w:val="20"/>
        </w:rPr>
        <w:t xml:space="preserve">or weight, </w:t>
      </w:r>
      <w:r w:rsidR="00311A17">
        <w:rPr>
          <w:sz w:val="20"/>
          <w:szCs w:val="20"/>
        </w:rPr>
        <w:t>when height was unavailable</w:t>
      </w:r>
      <w:r w:rsidR="001027D5">
        <w:rPr>
          <w:sz w:val="20"/>
          <w:szCs w:val="20"/>
        </w:rPr>
        <w:t xml:space="preserve">) </w:t>
      </w:r>
      <w:r w:rsidR="00D557AB">
        <w:rPr>
          <w:color w:val="000000"/>
          <w:sz w:val="20"/>
          <w:szCs w:val="20"/>
        </w:rPr>
        <w:t>in three w</w:t>
      </w:r>
      <w:r w:rsidR="00D557AB">
        <w:rPr>
          <w:sz w:val="20"/>
          <w:szCs w:val="20"/>
        </w:rPr>
        <w:t>eight categories</w:t>
      </w:r>
      <w:r w:rsidR="001027D5">
        <w:rPr>
          <w:sz w:val="20"/>
          <w:szCs w:val="20"/>
        </w:rPr>
        <w:t xml:space="preserve">: </w:t>
      </w:r>
      <w:r w:rsidR="00311A17">
        <w:rPr>
          <w:sz w:val="20"/>
          <w:szCs w:val="20"/>
        </w:rPr>
        <w:t>non-overweight (z-score &lt;1.04</w:t>
      </w:r>
      <w:r w:rsidR="002B1600">
        <w:rPr>
          <w:sz w:val="20"/>
          <w:szCs w:val="20"/>
        </w:rPr>
        <w:t xml:space="preserve"> </w:t>
      </w:r>
      <w:r w:rsidR="008D1AAB">
        <w:rPr>
          <w:sz w:val="20"/>
          <w:szCs w:val="20"/>
        </w:rPr>
        <w:t xml:space="preserve">= </w:t>
      </w:r>
      <w:r w:rsidR="00311A17">
        <w:rPr>
          <w:sz w:val="20"/>
          <w:szCs w:val="20"/>
        </w:rPr>
        <w:t>&lt;85</w:t>
      </w:r>
      <w:r w:rsidR="00311A17" w:rsidRPr="00C85908">
        <w:rPr>
          <w:sz w:val="20"/>
          <w:szCs w:val="20"/>
          <w:vertAlign w:val="superscript"/>
        </w:rPr>
        <w:t>th</w:t>
      </w:r>
      <w:r w:rsidR="00311A17">
        <w:rPr>
          <w:sz w:val="20"/>
          <w:szCs w:val="20"/>
        </w:rPr>
        <w:t xml:space="preserve"> percentile), overweight</w:t>
      </w:r>
      <w:r w:rsidR="00C04F23">
        <w:rPr>
          <w:sz w:val="20"/>
          <w:szCs w:val="20"/>
        </w:rPr>
        <w:t xml:space="preserve"> (excluding obese)</w:t>
      </w:r>
      <w:r w:rsidR="00311A17">
        <w:rPr>
          <w:sz w:val="20"/>
          <w:szCs w:val="20"/>
        </w:rPr>
        <w:t xml:space="preserve"> (z-score ≥1.04 to &lt;1.64</w:t>
      </w:r>
      <w:r w:rsidR="00066B63">
        <w:rPr>
          <w:sz w:val="20"/>
          <w:szCs w:val="20"/>
        </w:rPr>
        <w:t xml:space="preserve"> </w:t>
      </w:r>
      <w:r w:rsidR="008D1AAB">
        <w:rPr>
          <w:sz w:val="20"/>
          <w:szCs w:val="20"/>
        </w:rPr>
        <w:t>=</w:t>
      </w:r>
      <w:r w:rsidR="00311A17">
        <w:rPr>
          <w:sz w:val="20"/>
          <w:szCs w:val="20"/>
        </w:rPr>
        <w:t xml:space="preserve"> ≥85</w:t>
      </w:r>
      <w:r w:rsidR="00311A17" w:rsidRPr="00C85908">
        <w:rPr>
          <w:sz w:val="20"/>
          <w:szCs w:val="20"/>
          <w:vertAlign w:val="superscript"/>
        </w:rPr>
        <w:t>th</w:t>
      </w:r>
      <w:r w:rsidR="00311A17">
        <w:rPr>
          <w:sz w:val="20"/>
          <w:szCs w:val="20"/>
        </w:rPr>
        <w:t xml:space="preserve"> to &lt;95</w:t>
      </w:r>
      <w:r w:rsidR="00311A17" w:rsidRPr="00C85908">
        <w:rPr>
          <w:sz w:val="20"/>
          <w:szCs w:val="20"/>
          <w:vertAlign w:val="superscript"/>
        </w:rPr>
        <w:t>th</w:t>
      </w:r>
      <w:r w:rsidR="00DA3EF2">
        <w:rPr>
          <w:sz w:val="20"/>
          <w:szCs w:val="20"/>
        </w:rPr>
        <w:t xml:space="preserve"> percentile) </w:t>
      </w:r>
      <w:r w:rsidR="00311A17">
        <w:rPr>
          <w:sz w:val="20"/>
          <w:szCs w:val="20"/>
        </w:rPr>
        <w:t>and obese (z-score ≥1.64</w:t>
      </w:r>
      <w:r w:rsidR="00066B63">
        <w:rPr>
          <w:sz w:val="20"/>
          <w:szCs w:val="20"/>
        </w:rPr>
        <w:t xml:space="preserve"> =</w:t>
      </w:r>
      <w:r w:rsidR="00311A17">
        <w:rPr>
          <w:sz w:val="20"/>
          <w:szCs w:val="20"/>
        </w:rPr>
        <w:t xml:space="preserve"> ≥95</w:t>
      </w:r>
      <w:r w:rsidR="00311A17" w:rsidRPr="00311A17">
        <w:rPr>
          <w:sz w:val="20"/>
          <w:szCs w:val="20"/>
          <w:vertAlign w:val="superscript"/>
        </w:rPr>
        <w:t>th</w:t>
      </w:r>
      <w:r w:rsidR="00311A17">
        <w:rPr>
          <w:sz w:val="20"/>
          <w:szCs w:val="20"/>
        </w:rPr>
        <w:t xml:space="preserve"> percentile) </w:t>
      </w:r>
      <w:r w:rsidR="008D1AAB" w:rsidRPr="001F2127">
        <w:rPr>
          <w:color w:val="000000"/>
          <w:sz w:val="20"/>
          <w:szCs w:val="20"/>
        </w:rPr>
        <w:t xml:space="preserve">relative to the sex and age specific 1996 British Growth </w:t>
      </w:r>
      <w:r w:rsidR="008D1AAB">
        <w:rPr>
          <w:color w:val="000000"/>
          <w:sz w:val="20"/>
          <w:szCs w:val="20"/>
        </w:rPr>
        <w:t>reference</w:t>
      </w:r>
      <w:r w:rsidR="00C52571">
        <w:rPr>
          <w:color w:val="000000"/>
          <w:sz w:val="20"/>
          <w:szCs w:val="20"/>
        </w:rPr>
        <w:t xml:space="preserve"> population</w:t>
      </w:r>
      <w:r w:rsidR="008D1AAB">
        <w:rPr>
          <w:color w:val="000000"/>
          <w:sz w:val="20"/>
          <w:szCs w:val="20"/>
        </w:rPr>
        <w:t>.</w:t>
      </w:r>
      <w:r w:rsidR="008D1AAB">
        <w:rPr>
          <w:color w:val="000000"/>
          <w:sz w:val="20"/>
          <w:szCs w:val="20"/>
          <w:vertAlign w:val="superscript"/>
        </w:rPr>
        <w:t>24</w:t>
      </w:r>
      <w:r w:rsidR="00AB4400">
        <w:rPr>
          <w:color w:val="000000"/>
          <w:sz w:val="20"/>
          <w:szCs w:val="20"/>
          <w:vertAlign w:val="superscript"/>
        </w:rPr>
        <w:t xml:space="preserve"> </w:t>
      </w:r>
      <w:r w:rsidR="00066B63">
        <w:rPr>
          <w:color w:val="000000"/>
          <w:sz w:val="20"/>
          <w:szCs w:val="20"/>
          <w:vertAlign w:val="superscript"/>
        </w:rPr>
        <w:t xml:space="preserve"> </w:t>
      </w:r>
      <w:r w:rsidR="00653194">
        <w:rPr>
          <w:sz w:val="20"/>
          <w:szCs w:val="20"/>
        </w:rPr>
        <w:t xml:space="preserve">The </w:t>
      </w:r>
      <w:r w:rsidR="009B7D38" w:rsidRPr="001F2127">
        <w:rPr>
          <w:sz w:val="20"/>
          <w:szCs w:val="20"/>
        </w:rPr>
        <w:t>weight</w:t>
      </w:r>
      <w:r w:rsidR="003E5FDA">
        <w:rPr>
          <w:sz w:val="20"/>
          <w:szCs w:val="20"/>
        </w:rPr>
        <w:t>-</w:t>
      </w:r>
      <w:r w:rsidR="009B7D38">
        <w:rPr>
          <w:sz w:val="20"/>
          <w:szCs w:val="20"/>
        </w:rPr>
        <w:t xml:space="preserve">specific </w:t>
      </w:r>
      <w:r w:rsidR="009B7D38" w:rsidRPr="001F2127">
        <w:rPr>
          <w:sz w:val="20"/>
          <w:szCs w:val="20"/>
        </w:rPr>
        <w:t xml:space="preserve">annual incidence of PTCS cases </w:t>
      </w:r>
      <w:r w:rsidR="001027D5">
        <w:rPr>
          <w:sz w:val="20"/>
          <w:szCs w:val="20"/>
        </w:rPr>
        <w:t>f</w:t>
      </w:r>
      <w:r w:rsidR="00C52571">
        <w:rPr>
          <w:sz w:val="20"/>
          <w:szCs w:val="20"/>
        </w:rPr>
        <w:t xml:space="preserve">or </w:t>
      </w:r>
      <w:r w:rsidR="001027D5">
        <w:rPr>
          <w:sz w:val="20"/>
          <w:szCs w:val="20"/>
        </w:rPr>
        <w:t xml:space="preserve">cases </w:t>
      </w:r>
      <w:r w:rsidR="00AB4400">
        <w:rPr>
          <w:sz w:val="20"/>
          <w:szCs w:val="20"/>
        </w:rPr>
        <w:t xml:space="preserve">aged 4-6, 7-11 and 12-15 years </w:t>
      </w:r>
      <w:r w:rsidR="00C52571">
        <w:rPr>
          <w:sz w:val="20"/>
          <w:szCs w:val="20"/>
        </w:rPr>
        <w:t>was</w:t>
      </w:r>
      <w:r w:rsidR="00C52571" w:rsidRPr="001F2127">
        <w:rPr>
          <w:sz w:val="20"/>
          <w:szCs w:val="20"/>
        </w:rPr>
        <w:t xml:space="preserve"> </w:t>
      </w:r>
      <w:r w:rsidR="00C52571">
        <w:rPr>
          <w:sz w:val="20"/>
          <w:szCs w:val="20"/>
        </w:rPr>
        <w:t xml:space="preserve">derived </w:t>
      </w:r>
      <w:r w:rsidR="001027D5">
        <w:rPr>
          <w:sz w:val="20"/>
          <w:szCs w:val="20"/>
        </w:rPr>
        <w:t xml:space="preserve">relative to </w:t>
      </w:r>
      <w:r w:rsidR="001027D5" w:rsidRPr="001F2127">
        <w:rPr>
          <w:sz w:val="20"/>
          <w:szCs w:val="20"/>
        </w:rPr>
        <w:t xml:space="preserve">the prevalence of </w:t>
      </w:r>
      <w:r w:rsidR="000B480C">
        <w:rPr>
          <w:sz w:val="20"/>
          <w:szCs w:val="20"/>
        </w:rPr>
        <w:t xml:space="preserve">these weight categories </w:t>
      </w:r>
      <w:r w:rsidR="001027D5">
        <w:rPr>
          <w:sz w:val="20"/>
          <w:szCs w:val="20"/>
        </w:rPr>
        <w:t xml:space="preserve">in national health </w:t>
      </w:r>
      <w:r w:rsidR="001027D5" w:rsidRPr="001F2127">
        <w:rPr>
          <w:sz w:val="20"/>
          <w:szCs w:val="20"/>
        </w:rPr>
        <w:t>surveys</w:t>
      </w:r>
      <w:r>
        <w:rPr>
          <w:sz w:val="20"/>
          <w:szCs w:val="20"/>
        </w:rPr>
        <w:t xml:space="preserve"> </w:t>
      </w:r>
      <w:r w:rsidR="001803B1">
        <w:rPr>
          <w:sz w:val="20"/>
          <w:szCs w:val="20"/>
        </w:rPr>
        <w:t xml:space="preserve">that were </w:t>
      </w:r>
      <w:r w:rsidR="00271CB4" w:rsidRPr="00271CB4">
        <w:rPr>
          <w:sz w:val="20"/>
          <w:szCs w:val="20"/>
        </w:rPr>
        <w:t>available</w:t>
      </w:r>
      <w:r w:rsidR="001027D5">
        <w:rPr>
          <w:sz w:val="20"/>
          <w:szCs w:val="20"/>
        </w:rPr>
        <w:t xml:space="preserve"> </w:t>
      </w:r>
      <w:r w:rsidR="001803B1">
        <w:rPr>
          <w:sz w:val="20"/>
          <w:szCs w:val="20"/>
        </w:rPr>
        <w:t>for</w:t>
      </w:r>
      <w:r w:rsidR="00AB4400">
        <w:rPr>
          <w:sz w:val="20"/>
          <w:szCs w:val="20"/>
        </w:rPr>
        <w:t xml:space="preserve"> those age ranges</w:t>
      </w:r>
      <w:r w:rsidR="003E67D5">
        <w:rPr>
          <w:sz w:val="20"/>
          <w:szCs w:val="20"/>
        </w:rPr>
        <w:t>.</w:t>
      </w:r>
      <w:r w:rsidR="0028334E">
        <w:rPr>
          <w:sz w:val="20"/>
          <w:szCs w:val="20"/>
          <w:vertAlign w:val="superscript"/>
        </w:rPr>
        <w:t>25</w:t>
      </w:r>
      <w:r w:rsidR="00653194">
        <w:rPr>
          <w:sz w:val="20"/>
          <w:szCs w:val="20"/>
        </w:rPr>
        <w:t xml:space="preserve"> </w:t>
      </w:r>
      <w:r w:rsidR="00E35171" w:rsidRPr="00E35171">
        <w:rPr>
          <w:rFonts w:eastAsia="Calibri"/>
          <w:sz w:val="20"/>
          <w:szCs w:val="20"/>
        </w:rPr>
        <w:t>The UK and Republic of Ireland population age 1-16 years during the survey was 12,451,742 of which 6,375,886 were male</w:t>
      </w:r>
      <w:r w:rsidR="00C52571">
        <w:rPr>
          <w:rFonts w:eastAsia="Calibri"/>
          <w:sz w:val="20"/>
          <w:szCs w:val="20"/>
        </w:rPr>
        <w:t>. The population</w:t>
      </w:r>
      <w:r w:rsidR="00E35171" w:rsidRPr="00E35171">
        <w:rPr>
          <w:sz w:val="20"/>
          <w:szCs w:val="20"/>
        </w:rPr>
        <w:t xml:space="preserve"> age</w:t>
      </w:r>
      <w:r w:rsidR="00C52571">
        <w:rPr>
          <w:sz w:val="20"/>
          <w:szCs w:val="20"/>
        </w:rPr>
        <w:t>d</w:t>
      </w:r>
      <w:r w:rsidR="00E35171" w:rsidRPr="00E35171">
        <w:rPr>
          <w:sz w:val="20"/>
          <w:szCs w:val="20"/>
        </w:rPr>
        <w:t xml:space="preserve"> 4-15 years </w:t>
      </w:r>
      <w:r w:rsidR="00C52571">
        <w:rPr>
          <w:sz w:val="20"/>
          <w:szCs w:val="20"/>
        </w:rPr>
        <w:t xml:space="preserve">included </w:t>
      </w:r>
      <w:r w:rsidR="00C52571" w:rsidRPr="00E35171">
        <w:rPr>
          <w:sz w:val="20"/>
          <w:szCs w:val="20"/>
        </w:rPr>
        <w:t>1,604,499 male</w:t>
      </w:r>
      <w:r w:rsidR="00C52571">
        <w:rPr>
          <w:sz w:val="20"/>
          <w:szCs w:val="20"/>
        </w:rPr>
        <w:t>s</w:t>
      </w:r>
      <w:r w:rsidR="00C52571" w:rsidRPr="00E35171">
        <w:rPr>
          <w:sz w:val="20"/>
          <w:szCs w:val="20"/>
        </w:rPr>
        <w:t xml:space="preserve"> </w:t>
      </w:r>
      <w:r w:rsidR="00C52571">
        <w:rPr>
          <w:sz w:val="20"/>
          <w:szCs w:val="20"/>
        </w:rPr>
        <w:t xml:space="preserve">and </w:t>
      </w:r>
      <w:r w:rsidR="00C52571" w:rsidRPr="00E35171">
        <w:rPr>
          <w:sz w:val="20"/>
          <w:szCs w:val="20"/>
        </w:rPr>
        <w:lastRenderedPageBreak/>
        <w:t xml:space="preserve">3,003,247 </w:t>
      </w:r>
      <w:r w:rsidR="00E35171" w:rsidRPr="00E35171">
        <w:rPr>
          <w:sz w:val="20"/>
          <w:szCs w:val="20"/>
        </w:rPr>
        <w:t xml:space="preserve">overweight </w:t>
      </w:r>
      <w:r w:rsidR="00C52571">
        <w:rPr>
          <w:sz w:val="20"/>
          <w:szCs w:val="20"/>
        </w:rPr>
        <w:t xml:space="preserve">children. </w:t>
      </w:r>
      <w:r w:rsidR="00E35171" w:rsidRPr="00E35171">
        <w:rPr>
          <w:sz w:val="20"/>
          <w:szCs w:val="20"/>
        </w:rPr>
        <w:t xml:space="preserve"> </w:t>
      </w:r>
      <w:r w:rsidRPr="00E35171">
        <w:rPr>
          <w:sz w:val="20"/>
          <w:szCs w:val="20"/>
        </w:rPr>
        <w:t>Age-, sex</w:t>
      </w:r>
      <w:r>
        <w:rPr>
          <w:sz w:val="20"/>
          <w:szCs w:val="20"/>
        </w:rPr>
        <w:t>- and weight-</w:t>
      </w:r>
      <w:r w:rsidRPr="001F2127">
        <w:rPr>
          <w:sz w:val="20"/>
          <w:szCs w:val="20"/>
        </w:rPr>
        <w:t>specific annual incidence rates were calculated with 95% Confidence Intervals (CI) based on the Poisson distribution.</w:t>
      </w:r>
    </w:p>
    <w:p w:rsidR="002B1A02" w:rsidRDefault="002B1A02" w:rsidP="00E20257">
      <w:pPr>
        <w:spacing w:line="480" w:lineRule="auto"/>
        <w:rPr>
          <w:sz w:val="20"/>
          <w:szCs w:val="20"/>
        </w:rPr>
      </w:pPr>
    </w:p>
    <w:p w:rsidR="00E077B8" w:rsidRPr="001F2127" w:rsidRDefault="00F30F8F" w:rsidP="00E20257">
      <w:pPr>
        <w:spacing w:line="480" w:lineRule="auto"/>
        <w:rPr>
          <w:sz w:val="20"/>
          <w:szCs w:val="20"/>
        </w:rPr>
      </w:pPr>
      <w:r w:rsidRPr="001F2127">
        <w:rPr>
          <w:sz w:val="20"/>
          <w:szCs w:val="20"/>
        </w:rPr>
        <w:t>Continuous</w:t>
      </w:r>
      <w:r w:rsidR="000609BF" w:rsidRPr="001F2127">
        <w:rPr>
          <w:sz w:val="20"/>
          <w:szCs w:val="20"/>
        </w:rPr>
        <w:t xml:space="preserve"> data were summarised as median values wi</w:t>
      </w:r>
      <w:r w:rsidR="005D5AC3" w:rsidRPr="001F2127">
        <w:rPr>
          <w:sz w:val="20"/>
          <w:szCs w:val="20"/>
        </w:rPr>
        <w:t xml:space="preserve">th interquartile ranges (IQRs) and </w:t>
      </w:r>
      <w:r w:rsidR="000609BF" w:rsidRPr="001F2127">
        <w:rPr>
          <w:sz w:val="20"/>
          <w:szCs w:val="20"/>
        </w:rPr>
        <w:t>categorical data as n (%).</w:t>
      </w:r>
      <w:r w:rsidR="00257E48" w:rsidRPr="001F2127">
        <w:rPr>
          <w:sz w:val="20"/>
          <w:szCs w:val="20"/>
        </w:rPr>
        <w:t xml:space="preserve"> </w:t>
      </w:r>
      <w:r w:rsidR="000609BF" w:rsidRPr="001F2127">
        <w:rPr>
          <w:sz w:val="20"/>
          <w:szCs w:val="20"/>
        </w:rPr>
        <w:t>Homogeneity of variance was</w:t>
      </w:r>
      <w:r w:rsidR="003C4C36">
        <w:rPr>
          <w:sz w:val="20"/>
          <w:szCs w:val="20"/>
        </w:rPr>
        <w:t xml:space="preserve"> </w:t>
      </w:r>
      <w:r w:rsidR="000609BF" w:rsidRPr="001F2127">
        <w:rPr>
          <w:sz w:val="20"/>
          <w:szCs w:val="20"/>
        </w:rPr>
        <w:t xml:space="preserve">assessed with the Levene F test. Case-wise deletion was performed for missing data. </w:t>
      </w:r>
      <w:r w:rsidR="00DB23BB" w:rsidRPr="001F2127">
        <w:rPr>
          <w:sz w:val="20"/>
          <w:szCs w:val="20"/>
        </w:rPr>
        <w:t>G</w:t>
      </w:r>
      <w:r w:rsidR="005D5AC3" w:rsidRPr="001F2127">
        <w:rPr>
          <w:sz w:val="20"/>
          <w:szCs w:val="20"/>
        </w:rPr>
        <w:t>roup</w:t>
      </w:r>
      <w:r w:rsidR="000E5681" w:rsidRPr="001F2127">
        <w:rPr>
          <w:sz w:val="20"/>
          <w:szCs w:val="20"/>
        </w:rPr>
        <w:t>s</w:t>
      </w:r>
      <w:r w:rsidR="000609BF" w:rsidRPr="001F2127">
        <w:rPr>
          <w:sz w:val="20"/>
          <w:szCs w:val="20"/>
        </w:rPr>
        <w:t xml:space="preserve"> </w:t>
      </w:r>
      <w:r w:rsidR="00DB23BB" w:rsidRPr="001F2127">
        <w:rPr>
          <w:sz w:val="20"/>
          <w:szCs w:val="20"/>
        </w:rPr>
        <w:t xml:space="preserve">were compared </w:t>
      </w:r>
      <w:r w:rsidR="000609BF" w:rsidRPr="001F2127">
        <w:rPr>
          <w:sz w:val="20"/>
          <w:szCs w:val="20"/>
        </w:rPr>
        <w:t>by Mann-Whitney U or Kruskal-Wallis tests</w:t>
      </w:r>
      <w:r w:rsidR="000609BF" w:rsidRPr="001F2127" w:rsidDel="00FC3F69">
        <w:rPr>
          <w:sz w:val="20"/>
          <w:szCs w:val="20"/>
        </w:rPr>
        <w:t xml:space="preserve"> </w:t>
      </w:r>
      <w:r w:rsidR="000609BF" w:rsidRPr="001F2127">
        <w:rPr>
          <w:sz w:val="20"/>
          <w:szCs w:val="20"/>
        </w:rPr>
        <w:t xml:space="preserve">and </w:t>
      </w:r>
      <w:r w:rsidR="00EC4505" w:rsidRPr="001F2127">
        <w:rPr>
          <w:sz w:val="20"/>
          <w:szCs w:val="20"/>
        </w:rPr>
        <w:t xml:space="preserve">Fisher’s Exact test for </w:t>
      </w:r>
      <w:r w:rsidR="000609BF" w:rsidRPr="001F2127">
        <w:rPr>
          <w:sz w:val="20"/>
          <w:szCs w:val="20"/>
        </w:rPr>
        <w:t xml:space="preserve">continuous and </w:t>
      </w:r>
      <w:r w:rsidR="00EC4505" w:rsidRPr="001F2127">
        <w:rPr>
          <w:sz w:val="20"/>
          <w:szCs w:val="20"/>
        </w:rPr>
        <w:t>categorical data</w:t>
      </w:r>
      <w:r w:rsidR="000609BF" w:rsidRPr="001F2127">
        <w:rPr>
          <w:sz w:val="20"/>
          <w:szCs w:val="20"/>
        </w:rPr>
        <w:t xml:space="preserve"> respectively</w:t>
      </w:r>
      <w:r w:rsidR="00257E48" w:rsidRPr="001F2127">
        <w:rPr>
          <w:sz w:val="20"/>
          <w:szCs w:val="20"/>
        </w:rPr>
        <w:t>.</w:t>
      </w:r>
      <w:r w:rsidR="000609BF" w:rsidRPr="001F2127">
        <w:rPr>
          <w:sz w:val="20"/>
          <w:szCs w:val="20"/>
        </w:rPr>
        <w:t xml:space="preserve"> </w:t>
      </w:r>
      <w:r w:rsidR="0060114C">
        <w:rPr>
          <w:sz w:val="20"/>
          <w:szCs w:val="20"/>
        </w:rPr>
        <w:t xml:space="preserve">The impact of the </w:t>
      </w:r>
      <w:r w:rsidR="00F5231D">
        <w:rPr>
          <w:sz w:val="20"/>
          <w:szCs w:val="20"/>
        </w:rPr>
        <w:t xml:space="preserve">known </w:t>
      </w:r>
      <w:r w:rsidR="0060114C">
        <w:rPr>
          <w:sz w:val="20"/>
          <w:szCs w:val="20"/>
        </w:rPr>
        <w:t>r</w:t>
      </w:r>
      <w:r w:rsidR="0060114C" w:rsidRPr="001F2127">
        <w:rPr>
          <w:sz w:val="20"/>
          <w:szCs w:val="20"/>
        </w:rPr>
        <w:t>isk factors for PTCS w</w:t>
      </w:r>
      <w:r w:rsidR="0060114C">
        <w:rPr>
          <w:sz w:val="20"/>
          <w:szCs w:val="20"/>
        </w:rPr>
        <w:t>as</w:t>
      </w:r>
      <w:r w:rsidR="00CE5022">
        <w:rPr>
          <w:sz w:val="20"/>
          <w:szCs w:val="20"/>
        </w:rPr>
        <w:t xml:space="preserve"> expressed </w:t>
      </w:r>
      <w:r w:rsidR="00F45437" w:rsidRPr="001F2127">
        <w:rPr>
          <w:sz w:val="20"/>
          <w:szCs w:val="20"/>
        </w:rPr>
        <w:t xml:space="preserve">as </w:t>
      </w:r>
      <w:r w:rsidR="00FE3455" w:rsidRPr="001F2127">
        <w:rPr>
          <w:sz w:val="20"/>
          <w:szCs w:val="20"/>
        </w:rPr>
        <w:t>Relative Risk (RR), Population Attributable Risk (PAR)</w:t>
      </w:r>
      <w:r w:rsidR="00DA3EF2">
        <w:rPr>
          <w:sz w:val="20"/>
          <w:szCs w:val="20"/>
        </w:rPr>
        <w:t xml:space="preserve"> </w:t>
      </w:r>
      <w:r w:rsidR="00F45437" w:rsidRPr="001F2127">
        <w:rPr>
          <w:sz w:val="20"/>
          <w:szCs w:val="20"/>
        </w:rPr>
        <w:t>and P</w:t>
      </w:r>
      <w:r w:rsidR="00257E48" w:rsidRPr="001F2127">
        <w:rPr>
          <w:sz w:val="20"/>
          <w:szCs w:val="20"/>
        </w:rPr>
        <w:t>ercent</w:t>
      </w:r>
      <w:r w:rsidR="002C6F75">
        <w:rPr>
          <w:sz w:val="20"/>
          <w:szCs w:val="20"/>
        </w:rPr>
        <w:t>age</w:t>
      </w:r>
      <w:r w:rsidR="00257E48" w:rsidRPr="001F2127">
        <w:rPr>
          <w:sz w:val="20"/>
          <w:szCs w:val="20"/>
        </w:rPr>
        <w:t xml:space="preserve"> </w:t>
      </w:r>
      <w:r w:rsidR="00F45437" w:rsidRPr="001F2127">
        <w:rPr>
          <w:sz w:val="20"/>
          <w:szCs w:val="20"/>
        </w:rPr>
        <w:t>PAR (%PAR)</w:t>
      </w:r>
      <w:r w:rsidR="007B6AE1" w:rsidRPr="001F2127">
        <w:rPr>
          <w:sz w:val="20"/>
          <w:szCs w:val="20"/>
        </w:rPr>
        <w:t>.</w:t>
      </w:r>
      <w:r w:rsidR="00F45437" w:rsidRPr="001F2127">
        <w:rPr>
          <w:sz w:val="20"/>
          <w:szCs w:val="20"/>
        </w:rPr>
        <w:t xml:space="preserve"> </w:t>
      </w:r>
      <w:r w:rsidR="00AB4400" w:rsidRPr="001F2127">
        <w:rPr>
          <w:sz w:val="20"/>
          <w:szCs w:val="20"/>
        </w:rPr>
        <w:t>IBM SPSS Statistics 21</w:t>
      </w:r>
      <w:r w:rsidR="00AB4400">
        <w:rPr>
          <w:sz w:val="20"/>
          <w:szCs w:val="20"/>
        </w:rPr>
        <w:t xml:space="preserve"> was used with two-tailed </w:t>
      </w:r>
      <w:r w:rsidR="000609BF" w:rsidRPr="001F2127">
        <w:rPr>
          <w:sz w:val="20"/>
          <w:szCs w:val="20"/>
        </w:rPr>
        <w:t xml:space="preserve">statistical testing </w:t>
      </w:r>
      <w:r w:rsidR="00AB4400">
        <w:rPr>
          <w:sz w:val="20"/>
          <w:szCs w:val="20"/>
        </w:rPr>
        <w:t xml:space="preserve">at </w:t>
      </w:r>
      <w:r w:rsidR="003613B9" w:rsidRPr="001F2127">
        <w:rPr>
          <w:sz w:val="20"/>
          <w:szCs w:val="20"/>
        </w:rPr>
        <w:t>p&lt;0·</w:t>
      </w:r>
      <w:r w:rsidR="000609BF" w:rsidRPr="001F2127">
        <w:rPr>
          <w:sz w:val="20"/>
          <w:szCs w:val="20"/>
        </w:rPr>
        <w:t>05</w:t>
      </w:r>
      <w:r w:rsidR="00AB4400">
        <w:rPr>
          <w:sz w:val="20"/>
          <w:szCs w:val="20"/>
        </w:rPr>
        <w:t>.</w:t>
      </w:r>
      <w:r w:rsidR="00FC3F69" w:rsidRPr="001F2127">
        <w:rPr>
          <w:sz w:val="20"/>
          <w:szCs w:val="20"/>
        </w:rPr>
        <w:t xml:space="preserve">  </w:t>
      </w:r>
    </w:p>
    <w:p w:rsidR="00F45437" w:rsidRPr="001F2127" w:rsidRDefault="00F45437" w:rsidP="00E20257">
      <w:pPr>
        <w:spacing w:line="480" w:lineRule="auto"/>
        <w:rPr>
          <w:sz w:val="20"/>
          <w:szCs w:val="20"/>
        </w:rPr>
      </w:pPr>
    </w:p>
    <w:p w:rsidR="00E077B8" w:rsidRPr="001F2127" w:rsidRDefault="00E077B8" w:rsidP="00E20257">
      <w:pPr>
        <w:spacing w:line="480" w:lineRule="auto"/>
        <w:rPr>
          <w:sz w:val="20"/>
          <w:szCs w:val="20"/>
        </w:rPr>
      </w:pPr>
      <w:r w:rsidRPr="001F2127">
        <w:rPr>
          <w:sz w:val="20"/>
          <w:szCs w:val="20"/>
        </w:rPr>
        <w:t xml:space="preserve">This study was approved by the East London &amp; </w:t>
      </w:r>
      <w:r w:rsidR="004F2BCD">
        <w:rPr>
          <w:sz w:val="20"/>
          <w:szCs w:val="20"/>
        </w:rPr>
        <w:t>T</w:t>
      </w:r>
      <w:r w:rsidRPr="001F2127">
        <w:rPr>
          <w:sz w:val="20"/>
          <w:szCs w:val="20"/>
        </w:rPr>
        <w:t>he City Research Ethics Committee</w:t>
      </w:r>
      <w:r w:rsidR="007D553C" w:rsidRPr="001F2127">
        <w:rPr>
          <w:sz w:val="20"/>
          <w:szCs w:val="20"/>
        </w:rPr>
        <w:t xml:space="preserve">, </w:t>
      </w:r>
      <w:r w:rsidRPr="001F2127">
        <w:rPr>
          <w:sz w:val="20"/>
          <w:szCs w:val="20"/>
        </w:rPr>
        <w:t>the Patient Information Advisory Group</w:t>
      </w:r>
      <w:r w:rsidR="00DA3EF2">
        <w:rPr>
          <w:sz w:val="20"/>
          <w:szCs w:val="20"/>
        </w:rPr>
        <w:t xml:space="preserve"> </w:t>
      </w:r>
      <w:r w:rsidRPr="001F2127">
        <w:rPr>
          <w:sz w:val="20"/>
          <w:szCs w:val="20"/>
        </w:rPr>
        <w:t>and the North Wales NHS Research &amp; Development.</w:t>
      </w:r>
    </w:p>
    <w:p w:rsidR="00C44F2A" w:rsidRPr="001F2127" w:rsidRDefault="00C44F2A" w:rsidP="00E20257">
      <w:pPr>
        <w:spacing w:line="480" w:lineRule="auto"/>
        <w:rPr>
          <w:b/>
          <w:sz w:val="20"/>
          <w:szCs w:val="20"/>
        </w:rPr>
      </w:pPr>
    </w:p>
    <w:p w:rsidR="00A739F8" w:rsidRPr="001F2127" w:rsidRDefault="00D652FA" w:rsidP="00E20257">
      <w:pPr>
        <w:spacing w:line="480" w:lineRule="auto"/>
        <w:rPr>
          <w:b/>
        </w:rPr>
      </w:pPr>
      <w:r>
        <w:rPr>
          <w:b/>
        </w:rPr>
        <w:t>RESULTS</w:t>
      </w:r>
    </w:p>
    <w:p w:rsidR="00954847" w:rsidRPr="001F2127" w:rsidRDefault="00E67ECB" w:rsidP="00E20257">
      <w:pPr>
        <w:spacing w:line="480" w:lineRule="auto"/>
        <w:rPr>
          <w:sz w:val="20"/>
          <w:szCs w:val="20"/>
        </w:rPr>
      </w:pPr>
      <w:r w:rsidRPr="001F2127">
        <w:rPr>
          <w:sz w:val="20"/>
          <w:szCs w:val="20"/>
        </w:rPr>
        <w:t xml:space="preserve">Of </w:t>
      </w:r>
      <w:r w:rsidR="00E077B8" w:rsidRPr="001F2127">
        <w:rPr>
          <w:sz w:val="20"/>
          <w:szCs w:val="20"/>
        </w:rPr>
        <w:t>379 notifications</w:t>
      </w:r>
      <w:r w:rsidRPr="001F2127">
        <w:rPr>
          <w:sz w:val="20"/>
          <w:szCs w:val="20"/>
        </w:rPr>
        <w:t xml:space="preserve">, </w:t>
      </w:r>
      <w:r w:rsidR="00E077B8" w:rsidRPr="001F2127">
        <w:rPr>
          <w:sz w:val="20"/>
          <w:szCs w:val="20"/>
        </w:rPr>
        <w:t>185</w:t>
      </w:r>
      <w:r w:rsidR="00D049E1" w:rsidRPr="001F2127">
        <w:rPr>
          <w:sz w:val="20"/>
          <w:szCs w:val="20"/>
        </w:rPr>
        <w:t xml:space="preserve"> </w:t>
      </w:r>
      <w:r w:rsidR="00E077B8" w:rsidRPr="001F2127">
        <w:rPr>
          <w:sz w:val="20"/>
          <w:szCs w:val="20"/>
        </w:rPr>
        <w:t xml:space="preserve">(49%) </w:t>
      </w:r>
      <w:r w:rsidRPr="001F2127">
        <w:rPr>
          <w:sz w:val="20"/>
          <w:szCs w:val="20"/>
        </w:rPr>
        <w:t>fulfilled the</w:t>
      </w:r>
      <w:r w:rsidR="00822D19" w:rsidRPr="001F2127">
        <w:rPr>
          <w:sz w:val="20"/>
          <w:szCs w:val="20"/>
        </w:rPr>
        <w:t xml:space="preserve"> study</w:t>
      </w:r>
      <w:r w:rsidRPr="001F2127">
        <w:rPr>
          <w:sz w:val="20"/>
          <w:szCs w:val="20"/>
        </w:rPr>
        <w:t xml:space="preserve"> case definition for </w:t>
      </w:r>
      <w:r w:rsidR="00222F96" w:rsidRPr="001F2127">
        <w:rPr>
          <w:sz w:val="20"/>
          <w:szCs w:val="20"/>
        </w:rPr>
        <w:t xml:space="preserve">newly diagnosed </w:t>
      </w:r>
      <w:r w:rsidR="00DD70B8" w:rsidRPr="001F2127">
        <w:rPr>
          <w:sz w:val="20"/>
          <w:szCs w:val="20"/>
        </w:rPr>
        <w:t>PTCS</w:t>
      </w:r>
      <w:r w:rsidR="00D8208A" w:rsidRPr="001F2127">
        <w:rPr>
          <w:sz w:val="20"/>
          <w:szCs w:val="20"/>
        </w:rPr>
        <w:t xml:space="preserve"> </w:t>
      </w:r>
      <w:r w:rsidR="00954847" w:rsidRPr="001F2127">
        <w:rPr>
          <w:sz w:val="20"/>
          <w:szCs w:val="20"/>
        </w:rPr>
        <w:t>(</w:t>
      </w:r>
      <w:r w:rsidR="00846824" w:rsidRPr="001F2127">
        <w:rPr>
          <w:sz w:val="20"/>
          <w:szCs w:val="20"/>
        </w:rPr>
        <w:t xml:space="preserve">Figure </w:t>
      </w:r>
      <w:r w:rsidR="00CF2C2E" w:rsidRPr="001F2127">
        <w:rPr>
          <w:sz w:val="20"/>
          <w:szCs w:val="20"/>
        </w:rPr>
        <w:t>1</w:t>
      </w:r>
      <w:r w:rsidR="00954847" w:rsidRPr="001F2127">
        <w:rPr>
          <w:sz w:val="20"/>
          <w:szCs w:val="20"/>
        </w:rPr>
        <w:t>)</w:t>
      </w:r>
      <w:r w:rsidR="000926E9" w:rsidRPr="001F2127">
        <w:rPr>
          <w:sz w:val="20"/>
          <w:szCs w:val="20"/>
        </w:rPr>
        <w:t xml:space="preserve">. </w:t>
      </w:r>
      <w:r w:rsidR="00D8208A" w:rsidRPr="001F2127">
        <w:rPr>
          <w:sz w:val="20"/>
          <w:szCs w:val="20"/>
        </w:rPr>
        <w:t>Of the</w:t>
      </w:r>
      <w:r w:rsidR="00E16B2A" w:rsidRPr="001F2127">
        <w:rPr>
          <w:sz w:val="20"/>
          <w:szCs w:val="20"/>
        </w:rPr>
        <w:t>se</w:t>
      </w:r>
      <w:r w:rsidR="00D8208A" w:rsidRPr="001F2127">
        <w:rPr>
          <w:sz w:val="20"/>
          <w:szCs w:val="20"/>
        </w:rPr>
        <w:t>, 124</w:t>
      </w:r>
      <w:r w:rsidR="009502D5">
        <w:rPr>
          <w:sz w:val="20"/>
          <w:szCs w:val="20"/>
        </w:rPr>
        <w:t>/185</w:t>
      </w:r>
      <w:r w:rsidR="00D8208A" w:rsidRPr="001F2127">
        <w:rPr>
          <w:sz w:val="20"/>
          <w:szCs w:val="20"/>
        </w:rPr>
        <w:t xml:space="preserve"> (67%) were girls, 167</w:t>
      </w:r>
      <w:r w:rsidR="009502D5">
        <w:rPr>
          <w:sz w:val="20"/>
          <w:szCs w:val="20"/>
        </w:rPr>
        <w:t>/185</w:t>
      </w:r>
      <w:r w:rsidR="00D8208A" w:rsidRPr="001F2127">
        <w:rPr>
          <w:sz w:val="20"/>
          <w:szCs w:val="20"/>
        </w:rPr>
        <w:t xml:space="preserve"> (90%) were of white ethnicity and 157</w:t>
      </w:r>
      <w:r w:rsidR="009502D5">
        <w:rPr>
          <w:sz w:val="20"/>
          <w:szCs w:val="20"/>
        </w:rPr>
        <w:t>/185</w:t>
      </w:r>
      <w:r w:rsidR="00D8208A" w:rsidRPr="001F2127">
        <w:rPr>
          <w:sz w:val="20"/>
          <w:szCs w:val="20"/>
        </w:rPr>
        <w:t xml:space="preserve"> (85%) </w:t>
      </w:r>
      <w:r w:rsidR="00D8208A" w:rsidRPr="00822B5E">
        <w:rPr>
          <w:sz w:val="20"/>
          <w:szCs w:val="20"/>
        </w:rPr>
        <w:t>were</w:t>
      </w:r>
      <w:r w:rsidR="00822B5E" w:rsidRPr="00822B5E">
        <w:rPr>
          <w:sz w:val="20"/>
          <w:szCs w:val="20"/>
        </w:rPr>
        <w:t xml:space="preserve"> directly</w:t>
      </w:r>
      <w:r w:rsidR="00D8208A" w:rsidRPr="00822B5E">
        <w:rPr>
          <w:sz w:val="20"/>
          <w:szCs w:val="20"/>
        </w:rPr>
        <w:t xml:space="preserve"> referred </w:t>
      </w:r>
      <w:r w:rsidR="00B76DB5" w:rsidRPr="00822B5E">
        <w:rPr>
          <w:sz w:val="20"/>
          <w:szCs w:val="20"/>
        </w:rPr>
        <w:t>to</w:t>
      </w:r>
      <w:r w:rsidR="00D8208A" w:rsidRPr="00822B5E">
        <w:rPr>
          <w:sz w:val="20"/>
          <w:szCs w:val="20"/>
        </w:rPr>
        <w:t xml:space="preserve"> general paediatricians. The</w:t>
      </w:r>
      <w:r w:rsidR="00D8208A" w:rsidRPr="001F2127">
        <w:rPr>
          <w:sz w:val="20"/>
          <w:szCs w:val="20"/>
        </w:rPr>
        <w:t xml:space="preserve"> mean </w:t>
      </w:r>
      <w:r w:rsidR="003B2E89" w:rsidRPr="001F2127">
        <w:rPr>
          <w:sz w:val="20"/>
          <w:szCs w:val="20"/>
        </w:rPr>
        <w:t xml:space="preserve">case </w:t>
      </w:r>
      <w:r w:rsidRPr="001F2127">
        <w:rPr>
          <w:sz w:val="20"/>
          <w:szCs w:val="20"/>
        </w:rPr>
        <w:t xml:space="preserve">accrual rate </w:t>
      </w:r>
      <w:r w:rsidR="00D8208A" w:rsidRPr="001F2127">
        <w:rPr>
          <w:sz w:val="20"/>
          <w:szCs w:val="20"/>
        </w:rPr>
        <w:t xml:space="preserve">and percentage </w:t>
      </w:r>
      <w:r w:rsidR="001027D5">
        <w:rPr>
          <w:sz w:val="20"/>
          <w:szCs w:val="20"/>
        </w:rPr>
        <w:t xml:space="preserve">of cases </w:t>
      </w:r>
      <w:r w:rsidR="00D8208A" w:rsidRPr="001F2127">
        <w:rPr>
          <w:sz w:val="20"/>
          <w:szCs w:val="20"/>
        </w:rPr>
        <w:t xml:space="preserve">relative to total notifications </w:t>
      </w:r>
      <w:r w:rsidR="003453BC" w:rsidRPr="001F2127">
        <w:rPr>
          <w:sz w:val="20"/>
          <w:szCs w:val="20"/>
        </w:rPr>
        <w:t xml:space="preserve">for each 6-month period </w:t>
      </w:r>
      <w:r w:rsidR="00D8208A" w:rsidRPr="001F2127">
        <w:rPr>
          <w:sz w:val="20"/>
          <w:szCs w:val="20"/>
        </w:rPr>
        <w:t xml:space="preserve">remained steady </w:t>
      </w:r>
      <w:r w:rsidR="00C42D67">
        <w:rPr>
          <w:sz w:val="20"/>
          <w:szCs w:val="20"/>
        </w:rPr>
        <w:t>throughout</w:t>
      </w:r>
      <w:r w:rsidR="00D8208A" w:rsidRPr="001F2127">
        <w:rPr>
          <w:sz w:val="20"/>
          <w:szCs w:val="20"/>
        </w:rPr>
        <w:t xml:space="preserve"> the 25-month survey at 46 (range 44-48) </w:t>
      </w:r>
      <w:r w:rsidR="00951CC0" w:rsidRPr="001F2127">
        <w:rPr>
          <w:sz w:val="20"/>
          <w:szCs w:val="20"/>
        </w:rPr>
        <w:t xml:space="preserve">cases </w:t>
      </w:r>
      <w:r w:rsidR="00D8208A" w:rsidRPr="001F2127">
        <w:rPr>
          <w:sz w:val="20"/>
          <w:szCs w:val="20"/>
        </w:rPr>
        <w:t>and 50</w:t>
      </w:r>
      <w:r w:rsidR="000777F1">
        <w:rPr>
          <w:sz w:val="20"/>
          <w:szCs w:val="20"/>
        </w:rPr>
        <w:t>%</w:t>
      </w:r>
      <w:r w:rsidR="00D8208A" w:rsidRPr="001F2127">
        <w:rPr>
          <w:sz w:val="20"/>
          <w:szCs w:val="20"/>
        </w:rPr>
        <w:t xml:space="preserve"> (range 42-57</w:t>
      </w:r>
      <w:r w:rsidR="003453BC" w:rsidRPr="001F2127">
        <w:rPr>
          <w:sz w:val="20"/>
          <w:szCs w:val="20"/>
        </w:rPr>
        <w:t>)</w:t>
      </w:r>
      <w:r w:rsidR="00E13EB8">
        <w:rPr>
          <w:sz w:val="20"/>
          <w:szCs w:val="20"/>
        </w:rPr>
        <w:t xml:space="preserve"> </w:t>
      </w:r>
      <w:r w:rsidR="00E16B2A" w:rsidRPr="001F2127">
        <w:rPr>
          <w:sz w:val="20"/>
          <w:szCs w:val="20"/>
        </w:rPr>
        <w:t>respectively</w:t>
      </w:r>
      <w:r w:rsidR="00D8208A" w:rsidRPr="001F2127">
        <w:rPr>
          <w:sz w:val="20"/>
          <w:szCs w:val="20"/>
        </w:rPr>
        <w:t xml:space="preserve">. </w:t>
      </w:r>
      <w:r w:rsidR="00D31BE2" w:rsidRPr="001F2127">
        <w:rPr>
          <w:sz w:val="20"/>
          <w:szCs w:val="20"/>
        </w:rPr>
        <w:t>The diagnosis remained valid in all 163</w:t>
      </w:r>
      <w:r w:rsidR="009502D5">
        <w:rPr>
          <w:sz w:val="20"/>
          <w:szCs w:val="20"/>
        </w:rPr>
        <w:t>/185</w:t>
      </w:r>
      <w:r w:rsidR="00D31BE2" w:rsidRPr="001F2127">
        <w:rPr>
          <w:sz w:val="20"/>
          <w:szCs w:val="20"/>
        </w:rPr>
        <w:t xml:space="preserve"> (88%) </w:t>
      </w:r>
      <w:r w:rsidR="00290DE8" w:rsidRPr="001F2127">
        <w:rPr>
          <w:sz w:val="20"/>
          <w:szCs w:val="20"/>
        </w:rPr>
        <w:t>eligible</w:t>
      </w:r>
      <w:r w:rsidR="00D31BE2" w:rsidRPr="001F2127">
        <w:rPr>
          <w:sz w:val="20"/>
          <w:szCs w:val="20"/>
        </w:rPr>
        <w:t xml:space="preserve"> cases </w:t>
      </w:r>
      <w:r w:rsidR="00CE5022">
        <w:rPr>
          <w:sz w:val="20"/>
          <w:szCs w:val="20"/>
        </w:rPr>
        <w:t xml:space="preserve">for whom </w:t>
      </w:r>
      <w:r w:rsidR="00CF5BA1">
        <w:rPr>
          <w:sz w:val="20"/>
          <w:szCs w:val="20"/>
        </w:rPr>
        <w:t>one year</w:t>
      </w:r>
      <w:r w:rsidR="007B62BE">
        <w:rPr>
          <w:sz w:val="20"/>
          <w:szCs w:val="20"/>
        </w:rPr>
        <w:t xml:space="preserve"> </w:t>
      </w:r>
      <w:r w:rsidR="00290DE8" w:rsidRPr="001F2127">
        <w:rPr>
          <w:sz w:val="20"/>
          <w:szCs w:val="20"/>
        </w:rPr>
        <w:t>follow-</w:t>
      </w:r>
      <w:r w:rsidR="00D31BE2" w:rsidRPr="001F2127">
        <w:rPr>
          <w:sz w:val="20"/>
          <w:szCs w:val="20"/>
        </w:rPr>
        <w:t>up data</w:t>
      </w:r>
      <w:r w:rsidR="006C7823" w:rsidRPr="001F2127">
        <w:rPr>
          <w:sz w:val="20"/>
          <w:szCs w:val="20"/>
        </w:rPr>
        <w:t xml:space="preserve"> </w:t>
      </w:r>
      <w:r w:rsidR="00CE5022">
        <w:rPr>
          <w:sz w:val="20"/>
          <w:szCs w:val="20"/>
        </w:rPr>
        <w:t xml:space="preserve">were available </w:t>
      </w:r>
      <w:r w:rsidR="006C7823" w:rsidRPr="001F2127">
        <w:rPr>
          <w:sz w:val="20"/>
          <w:szCs w:val="20"/>
        </w:rPr>
        <w:t>(Figure</w:t>
      </w:r>
      <w:r w:rsidR="00CF2C2E" w:rsidRPr="001F2127">
        <w:rPr>
          <w:sz w:val="20"/>
          <w:szCs w:val="20"/>
        </w:rPr>
        <w:t xml:space="preserve"> 1</w:t>
      </w:r>
      <w:r w:rsidR="00846824" w:rsidRPr="001F2127">
        <w:rPr>
          <w:sz w:val="20"/>
          <w:szCs w:val="20"/>
        </w:rPr>
        <w:t>)</w:t>
      </w:r>
      <w:r w:rsidR="00D31BE2" w:rsidRPr="001F2127">
        <w:rPr>
          <w:sz w:val="20"/>
          <w:szCs w:val="20"/>
        </w:rPr>
        <w:t xml:space="preserve">. </w:t>
      </w:r>
    </w:p>
    <w:p w:rsidR="00031D9B" w:rsidRPr="00260FEB" w:rsidRDefault="00031D9B" w:rsidP="00E20257">
      <w:pPr>
        <w:spacing w:line="480" w:lineRule="auto"/>
        <w:rPr>
          <w:bCs/>
          <w:iCs/>
          <w:sz w:val="20"/>
          <w:szCs w:val="20"/>
        </w:rPr>
      </w:pPr>
    </w:p>
    <w:p w:rsidR="001673CC" w:rsidRPr="001F2127" w:rsidRDefault="00031D9B" w:rsidP="00E20257">
      <w:pPr>
        <w:spacing w:line="480" w:lineRule="auto"/>
        <w:rPr>
          <w:sz w:val="20"/>
          <w:szCs w:val="20"/>
        </w:rPr>
      </w:pPr>
      <w:r w:rsidRPr="001F2127">
        <w:rPr>
          <w:b/>
          <w:bCs/>
          <w:iCs/>
          <w:sz w:val="20"/>
          <w:szCs w:val="20"/>
        </w:rPr>
        <w:t>Incidence</w:t>
      </w:r>
      <w:r w:rsidR="00040EBF" w:rsidRPr="001F2127">
        <w:rPr>
          <w:b/>
          <w:bCs/>
          <w:iCs/>
          <w:sz w:val="20"/>
          <w:szCs w:val="20"/>
        </w:rPr>
        <w:t xml:space="preserve"> by age</w:t>
      </w:r>
      <w:r w:rsidR="00846824" w:rsidRPr="001F2127">
        <w:rPr>
          <w:b/>
          <w:bCs/>
          <w:iCs/>
          <w:sz w:val="20"/>
          <w:szCs w:val="20"/>
        </w:rPr>
        <w:t xml:space="preserve">, </w:t>
      </w:r>
      <w:r w:rsidR="00B6537E">
        <w:rPr>
          <w:b/>
          <w:bCs/>
          <w:iCs/>
          <w:sz w:val="20"/>
          <w:szCs w:val="20"/>
        </w:rPr>
        <w:t>sex</w:t>
      </w:r>
      <w:r w:rsidR="00040EBF" w:rsidRPr="001F2127">
        <w:rPr>
          <w:b/>
          <w:bCs/>
          <w:iCs/>
          <w:sz w:val="20"/>
          <w:szCs w:val="20"/>
        </w:rPr>
        <w:t xml:space="preserve"> and weight category</w:t>
      </w:r>
    </w:p>
    <w:p w:rsidR="00C42D67" w:rsidRDefault="003C4C36" w:rsidP="00E20257">
      <w:pPr>
        <w:spacing w:line="480" w:lineRule="auto"/>
        <w:rPr>
          <w:sz w:val="20"/>
          <w:szCs w:val="20"/>
        </w:rPr>
      </w:pPr>
      <w:r w:rsidRPr="001F2127">
        <w:rPr>
          <w:sz w:val="20"/>
          <w:szCs w:val="20"/>
        </w:rPr>
        <w:t xml:space="preserve">The annual incidence of PTCS (95% CI) </w:t>
      </w:r>
      <w:r>
        <w:rPr>
          <w:sz w:val="20"/>
          <w:szCs w:val="20"/>
        </w:rPr>
        <w:t>aged</w:t>
      </w:r>
      <w:r w:rsidR="00F5231D">
        <w:rPr>
          <w:sz w:val="20"/>
          <w:szCs w:val="20"/>
        </w:rPr>
        <w:t xml:space="preserve"> 1-16 years was 0.71 (0.57-0.</w:t>
      </w:r>
      <w:r w:rsidRPr="001F2127">
        <w:rPr>
          <w:sz w:val="20"/>
          <w:szCs w:val="20"/>
        </w:rPr>
        <w:t>87)</w:t>
      </w:r>
      <w:r>
        <w:rPr>
          <w:sz w:val="20"/>
          <w:szCs w:val="20"/>
        </w:rPr>
        <w:t xml:space="preserve"> </w:t>
      </w:r>
      <w:r w:rsidRPr="001F2127">
        <w:rPr>
          <w:sz w:val="20"/>
          <w:szCs w:val="20"/>
        </w:rPr>
        <w:t>per 100,000 population</w:t>
      </w:r>
      <w:r>
        <w:rPr>
          <w:sz w:val="20"/>
          <w:szCs w:val="20"/>
        </w:rPr>
        <w:t>.</w:t>
      </w:r>
      <w:r w:rsidRPr="001F2127">
        <w:rPr>
          <w:sz w:val="20"/>
          <w:szCs w:val="20"/>
        </w:rPr>
        <w:t xml:space="preserve"> </w:t>
      </w:r>
      <w:r w:rsidR="00F5231D">
        <w:rPr>
          <w:sz w:val="20"/>
          <w:szCs w:val="20"/>
        </w:rPr>
        <w:t>T</w:t>
      </w:r>
      <w:r w:rsidR="000A5697" w:rsidRPr="001F2127">
        <w:rPr>
          <w:sz w:val="20"/>
          <w:szCs w:val="20"/>
        </w:rPr>
        <w:t>h</w:t>
      </w:r>
      <w:r w:rsidR="00CF2C2E" w:rsidRPr="001F2127">
        <w:rPr>
          <w:sz w:val="20"/>
          <w:szCs w:val="20"/>
        </w:rPr>
        <w:t xml:space="preserve">e age-specific </w:t>
      </w:r>
      <w:r w:rsidR="00D868C5" w:rsidRPr="001F2127">
        <w:rPr>
          <w:sz w:val="20"/>
          <w:szCs w:val="20"/>
        </w:rPr>
        <w:t>incidence</w:t>
      </w:r>
      <w:r w:rsidR="00CF2C2E" w:rsidRPr="001F2127">
        <w:rPr>
          <w:sz w:val="20"/>
          <w:szCs w:val="20"/>
        </w:rPr>
        <w:t xml:space="preserve"> </w:t>
      </w:r>
      <w:r w:rsidR="00B6537E">
        <w:rPr>
          <w:sz w:val="20"/>
          <w:szCs w:val="20"/>
        </w:rPr>
        <w:t xml:space="preserve">increased from </w:t>
      </w:r>
      <w:r w:rsidR="00D868C5" w:rsidRPr="001F2127">
        <w:rPr>
          <w:sz w:val="20"/>
          <w:szCs w:val="20"/>
        </w:rPr>
        <w:t>0</w:t>
      </w:r>
      <w:r w:rsidR="00F5231D">
        <w:rPr>
          <w:sz w:val="20"/>
          <w:szCs w:val="20"/>
        </w:rPr>
        <w:t>.</w:t>
      </w:r>
      <w:r w:rsidR="00D868C5" w:rsidRPr="001F2127">
        <w:rPr>
          <w:sz w:val="20"/>
          <w:szCs w:val="20"/>
        </w:rPr>
        <w:t xml:space="preserve">17, </w:t>
      </w:r>
      <w:r w:rsidR="00B6537E">
        <w:rPr>
          <w:sz w:val="20"/>
          <w:szCs w:val="20"/>
        </w:rPr>
        <w:t xml:space="preserve">to </w:t>
      </w:r>
      <w:r w:rsidR="00D868C5" w:rsidRPr="001F2127">
        <w:rPr>
          <w:sz w:val="20"/>
          <w:szCs w:val="20"/>
        </w:rPr>
        <w:t>0</w:t>
      </w:r>
      <w:r w:rsidR="00F5231D">
        <w:rPr>
          <w:sz w:val="20"/>
          <w:szCs w:val="20"/>
        </w:rPr>
        <w:t>.</w:t>
      </w:r>
      <w:r w:rsidR="00D868C5" w:rsidRPr="001F2127">
        <w:rPr>
          <w:sz w:val="20"/>
          <w:szCs w:val="20"/>
        </w:rPr>
        <w:t xml:space="preserve">75 </w:t>
      </w:r>
      <w:r w:rsidR="00CE5022">
        <w:rPr>
          <w:sz w:val="20"/>
          <w:szCs w:val="20"/>
        </w:rPr>
        <w:t xml:space="preserve">and then </w:t>
      </w:r>
      <w:r w:rsidR="00B6537E">
        <w:rPr>
          <w:sz w:val="20"/>
          <w:szCs w:val="20"/>
        </w:rPr>
        <w:t xml:space="preserve">to </w:t>
      </w:r>
      <w:r w:rsidR="00D868C5" w:rsidRPr="001F2127">
        <w:rPr>
          <w:sz w:val="20"/>
          <w:szCs w:val="20"/>
        </w:rPr>
        <w:t>1</w:t>
      </w:r>
      <w:r w:rsidR="00F5231D">
        <w:rPr>
          <w:sz w:val="20"/>
          <w:szCs w:val="20"/>
        </w:rPr>
        <w:t>.</w:t>
      </w:r>
      <w:r w:rsidR="00D868C5" w:rsidRPr="001F2127">
        <w:rPr>
          <w:sz w:val="20"/>
          <w:szCs w:val="20"/>
        </w:rPr>
        <w:t>32 per 100,000</w:t>
      </w:r>
      <w:r w:rsidR="005B33F5" w:rsidRPr="001F2127">
        <w:rPr>
          <w:sz w:val="20"/>
          <w:szCs w:val="20"/>
        </w:rPr>
        <w:t xml:space="preserve"> </w:t>
      </w:r>
      <w:r w:rsidR="00CF2C2E" w:rsidRPr="001F2127">
        <w:rPr>
          <w:sz w:val="20"/>
          <w:szCs w:val="20"/>
        </w:rPr>
        <w:t xml:space="preserve">in </w:t>
      </w:r>
      <w:r w:rsidR="000A5697" w:rsidRPr="001F2127">
        <w:rPr>
          <w:sz w:val="20"/>
          <w:szCs w:val="20"/>
        </w:rPr>
        <w:t>1-6, 7-11</w:t>
      </w:r>
      <w:r w:rsidR="00DA3EF2">
        <w:rPr>
          <w:sz w:val="20"/>
          <w:szCs w:val="20"/>
        </w:rPr>
        <w:t xml:space="preserve"> </w:t>
      </w:r>
      <w:r w:rsidR="000A5697" w:rsidRPr="001F2127">
        <w:rPr>
          <w:sz w:val="20"/>
          <w:szCs w:val="20"/>
        </w:rPr>
        <w:t xml:space="preserve">and 12-16 year olds </w:t>
      </w:r>
      <w:r w:rsidR="005B33F5" w:rsidRPr="001F2127">
        <w:rPr>
          <w:sz w:val="20"/>
          <w:szCs w:val="20"/>
        </w:rPr>
        <w:t>respectively</w:t>
      </w:r>
      <w:r w:rsidR="00AB4400">
        <w:rPr>
          <w:sz w:val="20"/>
          <w:szCs w:val="20"/>
        </w:rPr>
        <w:t xml:space="preserve"> (</w:t>
      </w:r>
      <w:r w:rsidR="00930361">
        <w:rPr>
          <w:sz w:val="20"/>
          <w:szCs w:val="20"/>
        </w:rPr>
        <w:t>Appendix Figure e1)</w:t>
      </w:r>
      <w:r w:rsidR="00CF2C2E" w:rsidRPr="001F2127">
        <w:rPr>
          <w:sz w:val="20"/>
          <w:szCs w:val="20"/>
        </w:rPr>
        <w:t>.</w:t>
      </w:r>
      <w:r w:rsidR="00D45E08" w:rsidRPr="001F2127">
        <w:rPr>
          <w:sz w:val="20"/>
          <w:szCs w:val="20"/>
        </w:rPr>
        <w:t xml:space="preserve"> </w:t>
      </w:r>
      <w:r w:rsidR="005B33F5" w:rsidRPr="001F2127">
        <w:rPr>
          <w:sz w:val="20"/>
          <w:szCs w:val="20"/>
        </w:rPr>
        <w:t>Incidence</w:t>
      </w:r>
      <w:r w:rsidR="00D45E08" w:rsidRPr="001F2127">
        <w:rPr>
          <w:sz w:val="20"/>
          <w:szCs w:val="20"/>
        </w:rPr>
        <w:t xml:space="preserve"> rates in girls </w:t>
      </w:r>
      <w:r w:rsidR="000A5697" w:rsidRPr="001F2127">
        <w:rPr>
          <w:sz w:val="20"/>
          <w:szCs w:val="20"/>
        </w:rPr>
        <w:t xml:space="preserve">vs boys </w:t>
      </w:r>
      <w:r w:rsidR="00D45E08" w:rsidRPr="001F2127">
        <w:rPr>
          <w:sz w:val="20"/>
          <w:szCs w:val="20"/>
        </w:rPr>
        <w:t>were 0</w:t>
      </w:r>
      <w:r w:rsidR="00F5231D">
        <w:rPr>
          <w:sz w:val="20"/>
          <w:szCs w:val="20"/>
        </w:rPr>
        <w:t>.</w:t>
      </w:r>
      <w:r w:rsidR="00D45E08" w:rsidRPr="001F2127">
        <w:rPr>
          <w:sz w:val="20"/>
          <w:szCs w:val="20"/>
        </w:rPr>
        <w:t>19</w:t>
      </w:r>
      <w:r w:rsidR="000A5697" w:rsidRPr="001F2127">
        <w:rPr>
          <w:sz w:val="20"/>
          <w:szCs w:val="20"/>
        </w:rPr>
        <w:t xml:space="preserve"> vs 0</w:t>
      </w:r>
      <w:r w:rsidR="00F5231D">
        <w:rPr>
          <w:sz w:val="20"/>
          <w:szCs w:val="20"/>
        </w:rPr>
        <w:t>.</w:t>
      </w:r>
      <w:r w:rsidR="000A5697" w:rsidRPr="001F2127">
        <w:rPr>
          <w:sz w:val="20"/>
          <w:szCs w:val="20"/>
        </w:rPr>
        <w:t>16</w:t>
      </w:r>
      <w:r w:rsidR="00D45E08" w:rsidRPr="001F2127">
        <w:rPr>
          <w:sz w:val="20"/>
          <w:szCs w:val="20"/>
        </w:rPr>
        <w:t>, 1</w:t>
      </w:r>
      <w:r w:rsidR="00F5231D">
        <w:rPr>
          <w:sz w:val="20"/>
          <w:szCs w:val="20"/>
        </w:rPr>
        <w:t>.</w:t>
      </w:r>
      <w:r w:rsidR="00D45E08" w:rsidRPr="001F2127">
        <w:rPr>
          <w:sz w:val="20"/>
          <w:szCs w:val="20"/>
        </w:rPr>
        <w:t>06</w:t>
      </w:r>
      <w:r w:rsidR="000A5697" w:rsidRPr="001F2127">
        <w:rPr>
          <w:sz w:val="20"/>
          <w:szCs w:val="20"/>
        </w:rPr>
        <w:t xml:space="preserve"> vs 0</w:t>
      </w:r>
      <w:r w:rsidR="00F5231D">
        <w:rPr>
          <w:sz w:val="20"/>
          <w:szCs w:val="20"/>
        </w:rPr>
        <w:t>.</w:t>
      </w:r>
      <w:r w:rsidR="000A5697" w:rsidRPr="001F2127">
        <w:rPr>
          <w:sz w:val="20"/>
          <w:szCs w:val="20"/>
        </w:rPr>
        <w:t>46</w:t>
      </w:r>
      <w:r w:rsidR="00DA3EF2">
        <w:rPr>
          <w:sz w:val="20"/>
          <w:szCs w:val="20"/>
        </w:rPr>
        <w:t xml:space="preserve"> </w:t>
      </w:r>
      <w:r w:rsidR="00D45E08" w:rsidRPr="001F2127">
        <w:rPr>
          <w:sz w:val="20"/>
          <w:szCs w:val="20"/>
        </w:rPr>
        <w:t>and</w:t>
      </w:r>
      <w:r w:rsidR="005B33F5" w:rsidRPr="001F2127">
        <w:rPr>
          <w:sz w:val="20"/>
          <w:szCs w:val="20"/>
        </w:rPr>
        <w:t xml:space="preserve"> 1</w:t>
      </w:r>
      <w:r w:rsidR="00F5231D">
        <w:rPr>
          <w:sz w:val="20"/>
          <w:szCs w:val="20"/>
        </w:rPr>
        <w:t>.</w:t>
      </w:r>
      <w:r w:rsidR="005B33F5" w:rsidRPr="001F2127">
        <w:rPr>
          <w:sz w:val="20"/>
          <w:szCs w:val="20"/>
        </w:rPr>
        <w:t>85</w:t>
      </w:r>
      <w:r w:rsidR="000A5697" w:rsidRPr="001F2127">
        <w:rPr>
          <w:sz w:val="20"/>
          <w:szCs w:val="20"/>
        </w:rPr>
        <w:t xml:space="preserve"> vs 0</w:t>
      </w:r>
      <w:r w:rsidR="00F5231D">
        <w:rPr>
          <w:sz w:val="20"/>
          <w:szCs w:val="20"/>
        </w:rPr>
        <w:t>.</w:t>
      </w:r>
      <w:r w:rsidR="000A5697" w:rsidRPr="001F2127">
        <w:rPr>
          <w:sz w:val="20"/>
          <w:szCs w:val="20"/>
        </w:rPr>
        <w:t>82</w:t>
      </w:r>
      <w:r w:rsidR="000A5697" w:rsidRPr="001F2127" w:rsidDel="000A5697">
        <w:rPr>
          <w:sz w:val="20"/>
          <w:szCs w:val="20"/>
        </w:rPr>
        <w:t xml:space="preserve"> </w:t>
      </w:r>
      <w:r w:rsidR="005B33F5" w:rsidRPr="001F2127">
        <w:rPr>
          <w:sz w:val="20"/>
          <w:szCs w:val="20"/>
        </w:rPr>
        <w:t>per 100,000</w:t>
      </w:r>
      <w:r w:rsidR="002738A3" w:rsidRPr="001F2127">
        <w:rPr>
          <w:sz w:val="20"/>
          <w:szCs w:val="20"/>
        </w:rPr>
        <w:t xml:space="preserve"> in these respective age categories</w:t>
      </w:r>
      <w:r w:rsidR="00F5231D">
        <w:rPr>
          <w:sz w:val="20"/>
          <w:szCs w:val="20"/>
        </w:rPr>
        <w:t xml:space="preserve"> (Appendix Figure e1)</w:t>
      </w:r>
      <w:r w:rsidR="00CF2C2E" w:rsidRPr="001F2127">
        <w:rPr>
          <w:sz w:val="20"/>
          <w:szCs w:val="20"/>
        </w:rPr>
        <w:t>.</w:t>
      </w:r>
      <w:r w:rsidR="002E609D" w:rsidRPr="001F2127">
        <w:rPr>
          <w:sz w:val="20"/>
          <w:szCs w:val="20"/>
        </w:rPr>
        <w:t xml:space="preserve"> </w:t>
      </w:r>
      <w:r w:rsidR="001165AC" w:rsidRPr="001F2127">
        <w:rPr>
          <w:sz w:val="20"/>
          <w:szCs w:val="20"/>
        </w:rPr>
        <w:t>A</w:t>
      </w:r>
      <w:r w:rsidR="00E8324F" w:rsidRPr="001F2127">
        <w:rPr>
          <w:sz w:val="20"/>
          <w:szCs w:val="20"/>
        </w:rPr>
        <w:t xml:space="preserve">nnual incidence per 100,000 obese population </w:t>
      </w:r>
      <w:r w:rsidR="00994935" w:rsidRPr="001F2127">
        <w:rPr>
          <w:sz w:val="20"/>
          <w:szCs w:val="20"/>
        </w:rPr>
        <w:t xml:space="preserve">increased </w:t>
      </w:r>
      <w:r w:rsidR="00FE4DFB">
        <w:rPr>
          <w:sz w:val="20"/>
          <w:szCs w:val="20"/>
        </w:rPr>
        <w:t xml:space="preserve">with age </w:t>
      </w:r>
      <w:r w:rsidR="005F7AA4">
        <w:rPr>
          <w:sz w:val="20"/>
          <w:szCs w:val="20"/>
        </w:rPr>
        <w:t xml:space="preserve">in </w:t>
      </w:r>
      <w:r w:rsidR="00401CDA">
        <w:rPr>
          <w:sz w:val="20"/>
          <w:szCs w:val="20"/>
        </w:rPr>
        <w:t>4-6, 7-11 and 12-15 year olds</w:t>
      </w:r>
      <w:r w:rsidR="00E32E53">
        <w:rPr>
          <w:sz w:val="20"/>
          <w:szCs w:val="20"/>
        </w:rPr>
        <w:t xml:space="preserve"> from 0</w:t>
      </w:r>
      <w:r w:rsidR="00F5231D">
        <w:rPr>
          <w:sz w:val="20"/>
          <w:szCs w:val="20"/>
        </w:rPr>
        <w:t>.</w:t>
      </w:r>
      <w:r w:rsidR="00401CDA">
        <w:rPr>
          <w:sz w:val="20"/>
          <w:szCs w:val="20"/>
        </w:rPr>
        <w:t>45 to 1</w:t>
      </w:r>
      <w:r w:rsidR="00F5231D">
        <w:rPr>
          <w:sz w:val="20"/>
          <w:szCs w:val="20"/>
        </w:rPr>
        <w:t>.</w:t>
      </w:r>
      <w:r w:rsidR="00E32E53">
        <w:rPr>
          <w:sz w:val="20"/>
          <w:szCs w:val="20"/>
        </w:rPr>
        <w:t xml:space="preserve">24 and </w:t>
      </w:r>
      <w:r w:rsidR="00994935" w:rsidRPr="001F2127">
        <w:rPr>
          <w:sz w:val="20"/>
          <w:szCs w:val="20"/>
        </w:rPr>
        <w:t>t</w:t>
      </w:r>
      <w:r w:rsidR="008B4A0C">
        <w:rPr>
          <w:sz w:val="20"/>
          <w:szCs w:val="20"/>
        </w:rPr>
        <w:t xml:space="preserve">hen </w:t>
      </w:r>
      <w:r w:rsidR="00FE4DFB">
        <w:rPr>
          <w:sz w:val="20"/>
          <w:szCs w:val="20"/>
        </w:rPr>
        <w:t xml:space="preserve">to </w:t>
      </w:r>
      <w:r w:rsidR="007974E9" w:rsidRPr="001F2127">
        <w:rPr>
          <w:sz w:val="20"/>
          <w:szCs w:val="20"/>
        </w:rPr>
        <w:t>4</w:t>
      </w:r>
      <w:r w:rsidR="00F5231D">
        <w:rPr>
          <w:sz w:val="20"/>
          <w:szCs w:val="20"/>
        </w:rPr>
        <w:t>.</w:t>
      </w:r>
      <w:r w:rsidR="007974E9" w:rsidRPr="001F2127">
        <w:rPr>
          <w:sz w:val="20"/>
          <w:szCs w:val="20"/>
        </w:rPr>
        <w:t xml:space="preserve">18 in boys </w:t>
      </w:r>
      <w:r w:rsidR="007974E9">
        <w:rPr>
          <w:sz w:val="20"/>
          <w:szCs w:val="20"/>
        </w:rPr>
        <w:t xml:space="preserve">and </w:t>
      </w:r>
      <w:r w:rsidR="00F5231D">
        <w:rPr>
          <w:sz w:val="20"/>
          <w:szCs w:val="20"/>
        </w:rPr>
        <w:t>from 0.</w:t>
      </w:r>
      <w:r w:rsidR="0033770E">
        <w:rPr>
          <w:sz w:val="20"/>
          <w:szCs w:val="20"/>
        </w:rPr>
        <w:t>56 to 3</w:t>
      </w:r>
      <w:r w:rsidR="00F5231D">
        <w:rPr>
          <w:sz w:val="20"/>
          <w:szCs w:val="20"/>
        </w:rPr>
        <w:t>.</w:t>
      </w:r>
      <w:r w:rsidR="00E32E53">
        <w:rPr>
          <w:sz w:val="20"/>
          <w:szCs w:val="20"/>
        </w:rPr>
        <w:t xml:space="preserve">44 </w:t>
      </w:r>
      <w:r w:rsidR="008B4A0C">
        <w:rPr>
          <w:sz w:val="20"/>
          <w:szCs w:val="20"/>
        </w:rPr>
        <w:t xml:space="preserve">and then </w:t>
      </w:r>
      <w:r w:rsidR="00FE4DFB">
        <w:rPr>
          <w:sz w:val="20"/>
          <w:szCs w:val="20"/>
        </w:rPr>
        <w:t xml:space="preserve">to </w:t>
      </w:r>
      <w:r w:rsidR="00E8324F" w:rsidRPr="001F2127">
        <w:rPr>
          <w:sz w:val="20"/>
          <w:szCs w:val="20"/>
        </w:rPr>
        <w:t>10</w:t>
      </w:r>
      <w:r w:rsidR="00F5231D">
        <w:rPr>
          <w:sz w:val="20"/>
          <w:szCs w:val="20"/>
        </w:rPr>
        <w:t>.</w:t>
      </w:r>
      <w:r w:rsidR="007974E9">
        <w:rPr>
          <w:sz w:val="20"/>
          <w:szCs w:val="20"/>
        </w:rPr>
        <w:t>7</w:t>
      </w:r>
      <w:r w:rsidR="00E8324F" w:rsidRPr="001F2127">
        <w:rPr>
          <w:sz w:val="20"/>
          <w:szCs w:val="20"/>
        </w:rPr>
        <w:t xml:space="preserve"> in girls</w:t>
      </w:r>
      <w:r w:rsidR="00930361">
        <w:rPr>
          <w:sz w:val="20"/>
          <w:szCs w:val="20"/>
        </w:rPr>
        <w:t xml:space="preserve"> (Appendix </w:t>
      </w:r>
      <w:r w:rsidR="00930361">
        <w:rPr>
          <w:sz w:val="20"/>
          <w:szCs w:val="20"/>
        </w:rPr>
        <w:lastRenderedPageBreak/>
        <w:t xml:space="preserve">Figure e1). </w:t>
      </w:r>
      <w:r w:rsidR="00FE4DFB">
        <w:rPr>
          <w:sz w:val="20"/>
          <w:szCs w:val="20"/>
        </w:rPr>
        <w:t xml:space="preserve">The incidence </w:t>
      </w:r>
      <w:r w:rsidR="007974E9">
        <w:rPr>
          <w:sz w:val="20"/>
          <w:szCs w:val="20"/>
        </w:rPr>
        <w:t xml:space="preserve">remained low at </w:t>
      </w:r>
      <w:r w:rsidR="00785612">
        <w:rPr>
          <w:sz w:val="20"/>
          <w:szCs w:val="20"/>
        </w:rPr>
        <w:t>0.</w:t>
      </w:r>
      <w:r w:rsidR="007974E9" w:rsidRPr="001F2127">
        <w:rPr>
          <w:sz w:val="20"/>
          <w:szCs w:val="20"/>
        </w:rPr>
        <w:t>18</w:t>
      </w:r>
      <w:r w:rsidR="001459F6">
        <w:rPr>
          <w:sz w:val="20"/>
          <w:szCs w:val="20"/>
        </w:rPr>
        <w:t xml:space="preserve"> to</w:t>
      </w:r>
      <w:r w:rsidR="007974E9">
        <w:rPr>
          <w:sz w:val="20"/>
          <w:szCs w:val="20"/>
        </w:rPr>
        <w:t xml:space="preserve"> </w:t>
      </w:r>
      <w:r w:rsidR="00785612">
        <w:rPr>
          <w:sz w:val="20"/>
          <w:szCs w:val="20"/>
        </w:rPr>
        <w:t>0.</w:t>
      </w:r>
      <w:r w:rsidR="007974E9" w:rsidRPr="001F2127">
        <w:rPr>
          <w:sz w:val="20"/>
          <w:szCs w:val="20"/>
        </w:rPr>
        <w:t>42</w:t>
      </w:r>
      <w:r w:rsidR="007974E9">
        <w:rPr>
          <w:sz w:val="20"/>
          <w:szCs w:val="20"/>
        </w:rPr>
        <w:t xml:space="preserve"> per 100,000 </w:t>
      </w:r>
      <w:r w:rsidR="001165AC" w:rsidRPr="001F2127">
        <w:rPr>
          <w:sz w:val="20"/>
          <w:szCs w:val="20"/>
        </w:rPr>
        <w:t>among non-overweight boys and girls</w:t>
      </w:r>
      <w:r w:rsidR="007974E9">
        <w:rPr>
          <w:sz w:val="20"/>
          <w:szCs w:val="20"/>
        </w:rPr>
        <w:t xml:space="preserve"> throughout</w:t>
      </w:r>
      <w:r w:rsidR="00401CDA">
        <w:rPr>
          <w:sz w:val="20"/>
          <w:szCs w:val="20"/>
        </w:rPr>
        <w:t xml:space="preserve"> </w:t>
      </w:r>
      <w:r w:rsidR="00CE5022">
        <w:rPr>
          <w:sz w:val="20"/>
          <w:szCs w:val="20"/>
        </w:rPr>
        <w:t xml:space="preserve">the </w:t>
      </w:r>
      <w:r w:rsidR="00401CDA">
        <w:rPr>
          <w:sz w:val="20"/>
          <w:szCs w:val="20"/>
        </w:rPr>
        <w:t>4-15 year</w:t>
      </w:r>
      <w:r w:rsidR="00CE5022">
        <w:rPr>
          <w:sz w:val="20"/>
          <w:szCs w:val="20"/>
        </w:rPr>
        <w:t xml:space="preserve"> age range</w:t>
      </w:r>
      <w:r w:rsidR="007974E9">
        <w:rPr>
          <w:sz w:val="20"/>
          <w:szCs w:val="20"/>
        </w:rPr>
        <w:t xml:space="preserve"> </w:t>
      </w:r>
      <w:r w:rsidR="00C42D67">
        <w:rPr>
          <w:sz w:val="20"/>
          <w:szCs w:val="20"/>
        </w:rPr>
        <w:t xml:space="preserve">(Appendix </w:t>
      </w:r>
      <w:r w:rsidR="000777F1">
        <w:rPr>
          <w:sz w:val="20"/>
          <w:szCs w:val="20"/>
        </w:rPr>
        <w:t xml:space="preserve">Figure </w:t>
      </w:r>
      <w:r w:rsidR="00401CDA">
        <w:rPr>
          <w:sz w:val="20"/>
          <w:szCs w:val="20"/>
        </w:rPr>
        <w:t>e1</w:t>
      </w:r>
      <w:r w:rsidR="00C42D67">
        <w:rPr>
          <w:sz w:val="20"/>
          <w:szCs w:val="20"/>
        </w:rPr>
        <w:t>)</w:t>
      </w:r>
      <w:r w:rsidR="00401CDA">
        <w:rPr>
          <w:sz w:val="20"/>
          <w:szCs w:val="20"/>
        </w:rPr>
        <w:t>.</w:t>
      </w:r>
    </w:p>
    <w:p w:rsidR="00C42D67" w:rsidRDefault="00C42D67" w:rsidP="00E20257">
      <w:pPr>
        <w:spacing w:line="480" w:lineRule="auto"/>
        <w:rPr>
          <w:sz w:val="20"/>
          <w:szCs w:val="20"/>
        </w:rPr>
      </w:pPr>
      <w:r>
        <w:rPr>
          <w:sz w:val="20"/>
          <w:szCs w:val="20"/>
        </w:rPr>
        <w:t xml:space="preserve"> </w:t>
      </w:r>
    </w:p>
    <w:p w:rsidR="00AC4D72" w:rsidRPr="001F2127" w:rsidRDefault="00346FFA" w:rsidP="00E20257">
      <w:pPr>
        <w:spacing w:line="480" w:lineRule="auto"/>
        <w:rPr>
          <w:sz w:val="20"/>
          <w:szCs w:val="20"/>
        </w:rPr>
      </w:pPr>
      <w:r w:rsidRPr="001F2127">
        <w:rPr>
          <w:sz w:val="20"/>
          <w:szCs w:val="20"/>
        </w:rPr>
        <w:t>Weight and height measurements were</w:t>
      </w:r>
      <w:r w:rsidR="00FB3B04" w:rsidRPr="001F2127">
        <w:rPr>
          <w:sz w:val="20"/>
          <w:szCs w:val="20"/>
        </w:rPr>
        <w:t xml:space="preserve"> available </w:t>
      </w:r>
      <w:r w:rsidRPr="001F2127">
        <w:rPr>
          <w:sz w:val="20"/>
          <w:szCs w:val="20"/>
        </w:rPr>
        <w:t xml:space="preserve">in 100% and 94% of cases respectively. </w:t>
      </w:r>
      <w:r w:rsidR="00A247BA">
        <w:rPr>
          <w:sz w:val="20"/>
          <w:szCs w:val="20"/>
        </w:rPr>
        <w:t xml:space="preserve">Twenty-one </w:t>
      </w:r>
      <w:r w:rsidRPr="001F2127">
        <w:rPr>
          <w:sz w:val="20"/>
          <w:szCs w:val="20"/>
        </w:rPr>
        <w:t>(11%) cases were overweight and 120</w:t>
      </w:r>
      <w:r w:rsidR="007A6B6F">
        <w:rPr>
          <w:sz w:val="20"/>
          <w:szCs w:val="20"/>
        </w:rPr>
        <w:t>/185</w:t>
      </w:r>
      <w:r w:rsidRPr="001F2127">
        <w:rPr>
          <w:sz w:val="20"/>
          <w:szCs w:val="20"/>
        </w:rPr>
        <w:t xml:space="preserve"> (65%) were obese</w:t>
      </w:r>
      <w:r w:rsidR="009814CE" w:rsidRPr="001F2127">
        <w:rPr>
          <w:sz w:val="20"/>
          <w:szCs w:val="20"/>
        </w:rPr>
        <w:t xml:space="preserve"> (Figure 2). </w:t>
      </w:r>
      <w:r w:rsidR="00FE4DFB">
        <w:rPr>
          <w:sz w:val="20"/>
          <w:szCs w:val="20"/>
        </w:rPr>
        <w:t>In both sexes, t</w:t>
      </w:r>
      <w:r w:rsidRPr="001F2127">
        <w:rPr>
          <w:sz w:val="20"/>
          <w:szCs w:val="20"/>
        </w:rPr>
        <w:t xml:space="preserve">he percentage of obese cases increased </w:t>
      </w:r>
      <w:r w:rsidR="00FE4DFB">
        <w:rPr>
          <w:sz w:val="20"/>
          <w:szCs w:val="20"/>
        </w:rPr>
        <w:t xml:space="preserve">significantly with age (p&lt;0.01) across the age </w:t>
      </w:r>
      <w:r w:rsidR="00552C6A" w:rsidRPr="001F2127">
        <w:rPr>
          <w:sz w:val="20"/>
          <w:szCs w:val="20"/>
        </w:rPr>
        <w:t>categories</w:t>
      </w:r>
      <w:r w:rsidRPr="001F2127">
        <w:rPr>
          <w:sz w:val="20"/>
          <w:szCs w:val="20"/>
        </w:rPr>
        <w:t xml:space="preserve"> from 41</w:t>
      </w:r>
      <w:r w:rsidR="008C0B67">
        <w:rPr>
          <w:sz w:val="20"/>
          <w:szCs w:val="20"/>
        </w:rPr>
        <w:t>%</w:t>
      </w:r>
      <w:r w:rsidR="00A247BA">
        <w:rPr>
          <w:sz w:val="20"/>
          <w:szCs w:val="20"/>
        </w:rPr>
        <w:t xml:space="preserve"> (7/17)</w:t>
      </w:r>
      <w:r w:rsidRPr="001F2127">
        <w:rPr>
          <w:sz w:val="20"/>
          <w:szCs w:val="20"/>
        </w:rPr>
        <w:t>, to 50</w:t>
      </w:r>
      <w:r w:rsidR="008C0B67">
        <w:rPr>
          <w:sz w:val="20"/>
          <w:szCs w:val="20"/>
        </w:rPr>
        <w:t>%</w:t>
      </w:r>
      <w:r w:rsidR="00A247BA">
        <w:rPr>
          <w:sz w:val="20"/>
          <w:szCs w:val="20"/>
        </w:rPr>
        <w:t xml:space="preserve"> (29/58)</w:t>
      </w:r>
      <w:r w:rsidRPr="001F2127">
        <w:rPr>
          <w:sz w:val="20"/>
          <w:szCs w:val="20"/>
        </w:rPr>
        <w:t xml:space="preserve"> </w:t>
      </w:r>
      <w:r w:rsidR="007974E9">
        <w:rPr>
          <w:sz w:val="20"/>
          <w:szCs w:val="20"/>
        </w:rPr>
        <w:t xml:space="preserve">and then </w:t>
      </w:r>
      <w:r w:rsidR="00FE4DFB">
        <w:rPr>
          <w:sz w:val="20"/>
          <w:szCs w:val="20"/>
        </w:rPr>
        <w:t xml:space="preserve">to </w:t>
      </w:r>
      <w:r w:rsidRPr="001F2127">
        <w:rPr>
          <w:sz w:val="20"/>
          <w:szCs w:val="20"/>
        </w:rPr>
        <w:t xml:space="preserve">76% </w:t>
      </w:r>
      <w:r w:rsidR="00A247BA">
        <w:rPr>
          <w:sz w:val="20"/>
          <w:szCs w:val="20"/>
        </w:rPr>
        <w:t xml:space="preserve">(84/110) </w:t>
      </w:r>
      <w:r w:rsidRPr="001F2127">
        <w:rPr>
          <w:sz w:val="20"/>
          <w:szCs w:val="20"/>
        </w:rPr>
        <w:t>(p&lt;0</w:t>
      </w:r>
      <w:r w:rsidR="00B026C7">
        <w:rPr>
          <w:sz w:val="20"/>
          <w:szCs w:val="20"/>
        </w:rPr>
        <w:t>.</w:t>
      </w:r>
      <w:r w:rsidRPr="001F2127">
        <w:rPr>
          <w:sz w:val="20"/>
          <w:szCs w:val="20"/>
        </w:rPr>
        <w:t>001)</w:t>
      </w:r>
      <w:r w:rsidR="00784E5C" w:rsidRPr="001F2127">
        <w:rPr>
          <w:sz w:val="20"/>
          <w:szCs w:val="20"/>
        </w:rPr>
        <w:t xml:space="preserve">. </w:t>
      </w:r>
      <w:r w:rsidR="00FE4DFB">
        <w:rPr>
          <w:sz w:val="20"/>
          <w:szCs w:val="20"/>
        </w:rPr>
        <w:t>T</w:t>
      </w:r>
      <w:r w:rsidR="00FE4DFB" w:rsidRPr="001F2127">
        <w:rPr>
          <w:sz w:val="20"/>
          <w:szCs w:val="20"/>
        </w:rPr>
        <w:t xml:space="preserve">he </w:t>
      </w:r>
      <w:r w:rsidR="00361ED6">
        <w:rPr>
          <w:sz w:val="20"/>
          <w:szCs w:val="20"/>
        </w:rPr>
        <w:t>relative risk</w:t>
      </w:r>
      <w:r w:rsidR="009463C8">
        <w:rPr>
          <w:sz w:val="20"/>
          <w:szCs w:val="20"/>
        </w:rPr>
        <w:t>s</w:t>
      </w:r>
      <w:r w:rsidR="00361ED6">
        <w:rPr>
          <w:sz w:val="20"/>
          <w:szCs w:val="20"/>
        </w:rPr>
        <w:t xml:space="preserve"> (RR) </w:t>
      </w:r>
      <w:r w:rsidR="00CE5022">
        <w:rPr>
          <w:sz w:val="20"/>
          <w:szCs w:val="20"/>
        </w:rPr>
        <w:t xml:space="preserve">of </w:t>
      </w:r>
      <w:r w:rsidR="00FE4DFB" w:rsidRPr="001F2127">
        <w:rPr>
          <w:sz w:val="20"/>
          <w:szCs w:val="20"/>
        </w:rPr>
        <w:t>PTCS</w:t>
      </w:r>
      <w:r w:rsidR="009463C8">
        <w:rPr>
          <w:sz w:val="20"/>
          <w:szCs w:val="20"/>
        </w:rPr>
        <w:t xml:space="preserve"> </w:t>
      </w:r>
      <w:r w:rsidR="00CE5022">
        <w:rPr>
          <w:sz w:val="20"/>
          <w:szCs w:val="20"/>
        </w:rPr>
        <w:t xml:space="preserve">associated with </w:t>
      </w:r>
      <w:r w:rsidR="00E201FC">
        <w:rPr>
          <w:sz w:val="20"/>
          <w:szCs w:val="20"/>
        </w:rPr>
        <w:t>obes</w:t>
      </w:r>
      <w:r w:rsidR="00CE5022">
        <w:rPr>
          <w:sz w:val="20"/>
          <w:szCs w:val="20"/>
        </w:rPr>
        <w:t xml:space="preserve">ity relative to </w:t>
      </w:r>
      <w:r w:rsidR="00FE4DFB" w:rsidRPr="001F2127">
        <w:rPr>
          <w:sz w:val="20"/>
          <w:szCs w:val="20"/>
        </w:rPr>
        <w:t>non-overweight</w:t>
      </w:r>
      <w:r w:rsidR="00FE4DFB">
        <w:rPr>
          <w:sz w:val="20"/>
          <w:szCs w:val="20"/>
        </w:rPr>
        <w:t xml:space="preserve"> </w:t>
      </w:r>
      <w:r w:rsidR="009463C8">
        <w:rPr>
          <w:sz w:val="20"/>
          <w:szCs w:val="20"/>
        </w:rPr>
        <w:t xml:space="preserve">children of </w:t>
      </w:r>
      <w:r w:rsidR="00FE4DFB" w:rsidRPr="001F2127">
        <w:rPr>
          <w:sz w:val="20"/>
          <w:szCs w:val="20"/>
        </w:rPr>
        <w:t>the same age and sex</w:t>
      </w:r>
      <w:r w:rsidR="008236E0" w:rsidRPr="001F2127">
        <w:rPr>
          <w:sz w:val="20"/>
          <w:szCs w:val="20"/>
        </w:rPr>
        <w:t xml:space="preserve"> </w:t>
      </w:r>
      <w:r w:rsidR="007974E9">
        <w:rPr>
          <w:sz w:val="20"/>
          <w:szCs w:val="20"/>
        </w:rPr>
        <w:t>w</w:t>
      </w:r>
      <w:r w:rsidR="009463C8">
        <w:rPr>
          <w:sz w:val="20"/>
          <w:szCs w:val="20"/>
        </w:rPr>
        <w:t>ere</w:t>
      </w:r>
      <w:r w:rsidR="007974E9">
        <w:rPr>
          <w:sz w:val="20"/>
          <w:szCs w:val="20"/>
        </w:rPr>
        <w:t xml:space="preserve"> </w:t>
      </w:r>
      <w:r w:rsidR="009814CE" w:rsidRPr="001F2127">
        <w:rPr>
          <w:sz w:val="20"/>
          <w:szCs w:val="20"/>
        </w:rPr>
        <w:t>3</w:t>
      </w:r>
      <w:r w:rsidR="00785612">
        <w:rPr>
          <w:sz w:val="20"/>
          <w:szCs w:val="20"/>
        </w:rPr>
        <w:t>.</w:t>
      </w:r>
      <w:r w:rsidR="009814CE" w:rsidRPr="001F2127">
        <w:rPr>
          <w:sz w:val="20"/>
          <w:szCs w:val="20"/>
        </w:rPr>
        <w:t xml:space="preserve">6 </w:t>
      </w:r>
      <w:r w:rsidR="00DF2C3A">
        <w:rPr>
          <w:sz w:val="20"/>
          <w:szCs w:val="20"/>
        </w:rPr>
        <w:t xml:space="preserve">and </w:t>
      </w:r>
      <w:r w:rsidR="00785612">
        <w:rPr>
          <w:sz w:val="20"/>
          <w:szCs w:val="20"/>
        </w:rPr>
        <w:t>8.</w:t>
      </w:r>
      <w:r w:rsidR="00DF2C3A" w:rsidRPr="001F2127">
        <w:rPr>
          <w:sz w:val="20"/>
          <w:szCs w:val="20"/>
        </w:rPr>
        <w:t xml:space="preserve">1 </w:t>
      </w:r>
      <w:r w:rsidR="00FE4DFB">
        <w:rPr>
          <w:sz w:val="20"/>
          <w:szCs w:val="20"/>
        </w:rPr>
        <w:t xml:space="preserve">in </w:t>
      </w:r>
      <w:r w:rsidR="00FE4DFB" w:rsidRPr="00FE4DFB">
        <w:rPr>
          <w:sz w:val="20"/>
          <w:szCs w:val="20"/>
        </w:rPr>
        <w:t xml:space="preserve">7-11 </w:t>
      </w:r>
      <w:r w:rsidR="00FE4DFB">
        <w:rPr>
          <w:sz w:val="20"/>
          <w:szCs w:val="20"/>
        </w:rPr>
        <w:t>year old boys</w:t>
      </w:r>
      <w:r w:rsidR="00DF2C3A">
        <w:rPr>
          <w:sz w:val="20"/>
          <w:szCs w:val="20"/>
        </w:rPr>
        <w:t xml:space="preserve"> and girls respectively</w:t>
      </w:r>
      <w:r w:rsidR="00FE4DFB">
        <w:rPr>
          <w:sz w:val="20"/>
          <w:szCs w:val="20"/>
        </w:rPr>
        <w:t xml:space="preserve"> </w:t>
      </w:r>
      <w:r w:rsidR="00FE4DFB" w:rsidRPr="00FE4DFB">
        <w:rPr>
          <w:sz w:val="20"/>
          <w:szCs w:val="20"/>
        </w:rPr>
        <w:t xml:space="preserve">and </w:t>
      </w:r>
      <w:r w:rsidR="009814CE" w:rsidRPr="001F2127">
        <w:rPr>
          <w:sz w:val="20"/>
          <w:szCs w:val="20"/>
        </w:rPr>
        <w:t>23</w:t>
      </w:r>
      <w:r w:rsidR="00785612">
        <w:rPr>
          <w:sz w:val="20"/>
          <w:szCs w:val="20"/>
        </w:rPr>
        <w:t>.</w:t>
      </w:r>
      <w:r w:rsidR="009814CE" w:rsidRPr="001F2127">
        <w:rPr>
          <w:sz w:val="20"/>
          <w:szCs w:val="20"/>
        </w:rPr>
        <w:t xml:space="preserve">3 </w:t>
      </w:r>
      <w:r w:rsidR="00785612">
        <w:rPr>
          <w:sz w:val="20"/>
          <w:szCs w:val="20"/>
        </w:rPr>
        <w:t>and 26.</w:t>
      </w:r>
      <w:r w:rsidR="00B6537E" w:rsidRPr="001F2127">
        <w:rPr>
          <w:sz w:val="20"/>
          <w:szCs w:val="20"/>
        </w:rPr>
        <w:t xml:space="preserve">2 </w:t>
      </w:r>
      <w:r w:rsidR="00B6537E">
        <w:rPr>
          <w:sz w:val="20"/>
          <w:szCs w:val="20"/>
        </w:rPr>
        <w:t xml:space="preserve">in </w:t>
      </w:r>
      <w:r w:rsidR="00DF2C3A" w:rsidRPr="00FE4DFB">
        <w:rPr>
          <w:sz w:val="20"/>
          <w:szCs w:val="20"/>
        </w:rPr>
        <w:t>12-15 year</w:t>
      </w:r>
      <w:r w:rsidR="00DF2C3A">
        <w:rPr>
          <w:sz w:val="20"/>
          <w:szCs w:val="20"/>
        </w:rPr>
        <w:t xml:space="preserve"> old boys and girls </w:t>
      </w:r>
      <w:r w:rsidR="00FE4DFB">
        <w:rPr>
          <w:sz w:val="20"/>
          <w:szCs w:val="20"/>
        </w:rPr>
        <w:t>respectively</w:t>
      </w:r>
      <w:r w:rsidR="00FE4DFB" w:rsidRPr="00FE4DFB">
        <w:rPr>
          <w:sz w:val="20"/>
          <w:szCs w:val="20"/>
        </w:rPr>
        <w:t xml:space="preserve"> </w:t>
      </w:r>
      <w:r w:rsidRPr="001F2127">
        <w:rPr>
          <w:sz w:val="20"/>
          <w:szCs w:val="20"/>
        </w:rPr>
        <w:t xml:space="preserve">(Figure </w:t>
      </w:r>
      <w:r w:rsidR="009C2BF6">
        <w:rPr>
          <w:sz w:val="20"/>
          <w:szCs w:val="20"/>
        </w:rPr>
        <w:t>3</w:t>
      </w:r>
      <w:r w:rsidRPr="001F2127">
        <w:rPr>
          <w:sz w:val="20"/>
          <w:szCs w:val="20"/>
        </w:rPr>
        <w:t xml:space="preserve">). </w:t>
      </w:r>
      <w:r w:rsidR="00DF2C3A">
        <w:rPr>
          <w:sz w:val="20"/>
          <w:szCs w:val="20"/>
        </w:rPr>
        <w:t xml:space="preserve">Among </w:t>
      </w:r>
      <w:r w:rsidR="00DF2C3A" w:rsidRPr="001F2127">
        <w:rPr>
          <w:sz w:val="20"/>
          <w:szCs w:val="20"/>
        </w:rPr>
        <w:t>overweight</w:t>
      </w:r>
      <w:r w:rsidR="004D0254">
        <w:rPr>
          <w:sz w:val="20"/>
          <w:szCs w:val="20"/>
        </w:rPr>
        <w:t xml:space="preserve"> </w:t>
      </w:r>
      <w:r w:rsidR="001027D5">
        <w:rPr>
          <w:sz w:val="20"/>
          <w:szCs w:val="20"/>
        </w:rPr>
        <w:t xml:space="preserve">(including </w:t>
      </w:r>
      <w:r w:rsidR="004D0254">
        <w:rPr>
          <w:sz w:val="20"/>
          <w:szCs w:val="20"/>
        </w:rPr>
        <w:t>obese</w:t>
      </w:r>
      <w:r w:rsidR="001027D5">
        <w:rPr>
          <w:sz w:val="20"/>
          <w:szCs w:val="20"/>
        </w:rPr>
        <w:t>)</w:t>
      </w:r>
      <w:r w:rsidR="00DF2C3A">
        <w:rPr>
          <w:sz w:val="20"/>
          <w:szCs w:val="20"/>
        </w:rPr>
        <w:t xml:space="preserve"> children, the </w:t>
      </w:r>
      <w:r w:rsidR="00E201FC">
        <w:rPr>
          <w:sz w:val="20"/>
          <w:szCs w:val="20"/>
        </w:rPr>
        <w:t>RR</w:t>
      </w:r>
      <w:r w:rsidR="00361ED6">
        <w:rPr>
          <w:sz w:val="20"/>
          <w:szCs w:val="20"/>
        </w:rPr>
        <w:t xml:space="preserve"> for</w:t>
      </w:r>
      <w:r w:rsidR="00DF2C3A">
        <w:rPr>
          <w:sz w:val="20"/>
          <w:szCs w:val="20"/>
        </w:rPr>
        <w:t xml:space="preserve"> PTCS in girls relative to boys was 3</w:t>
      </w:r>
      <w:r w:rsidR="00785612">
        <w:rPr>
          <w:sz w:val="20"/>
          <w:szCs w:val="20"/>
        </w:rPr>
        <w:t>.</w:t>
      </w:r>
      <w:r w:rsidR="00DF2C3A">
        <w:rPr>
          <w:sz w:val="20"/>
          <w:szCs w:val="20"/>
        </w:rPr>
        <w:t xml:space="preserve">7 in </w:t>
      </w:r>
      <w:r w:rsidR="00E8324F" w:rsidRPr="001F2127">
        <w:rPr>
          <w:sz w:val="20"/>
          <w:szCs w:val="20"/>
        </w:rPr>
        <w:t xml:space="preserve">7-11 </w:t>
      </w:r>
      <w:r w:rsidR="00DF2C3A">
        <w:rPr>
          <w:sz w:val="20"/>
          <w:szCs w:val="20"/>
        </w:rPr>
        <w:t>year olds and 2</w:t>
      </w:r>
      <w:r w:rsidR="00785612">
        <w:rPr>
          <w:sz w:val="20"/>
          <w:szCs w:val="20"/>
        </w:rPr>
        <w:t>.</w:t>
      </w:r>
      <w:r w:rsidR="00DF2C3A">
        <w:rPr>
          <w:sz w:val="20"/>
          <w:szCs w:val="20"/>
        </w:rPr>
        <w:t xml:space="preserve">4 in </w:t>
      </w:r>
      <w:r w:rsidR="00E8324F" w:rsidRPr="001F2127">
        <w:rPr>
          <w:sz w:val="20"/>
          <w:szCs w:val="20"/>
        </w:rPr>
        <w:t>12-15 year</w:t>
      </w:r>
      <w:r w:rsidR="00DF2C3A">
        <w:rPr>
          <w:sz w:val="20"/>
          <w:szCs w:val="20"/>
        </w:rPr>
        <w:t xml:space="preserve"> old</w:t>
      </w:r>
      <w:r w:rsidR="00E8324F" w:rsidRPr="001F2127">
        <w:rPr>
          <w:sz w:val="20"/>
          <w:szCs w:val="20"/>
        </w:rPr>
        <w:t xml:space="preserve">s </w:t>
      </w:r>
      <w:r w:rsidR="009C2BF6">
        <w:rPr>
          <w:sz w:val="20"/>
          <w:szCs w:val="20"/>
        </w:rPr>
        <w:t>(Figure 3</w:t>
      </w:r>
      <w:r w:rsidR="00E8324F" w:rsidRPr="001F2127">
        <w:rPr>
          <w:sz w:val="20"/>
          <w:szCs w:val="20"/>
        </w:rPr>
        <w:t xml:space="preserve">). </w:t>
      </w:r>
    </w:p>
    <w:p w:rsidR="0064448B" w:rsidRPr="001F2127" w:rsidRDefault="0064448B" w:rsidP="00E20257">
      <w:pPr>
        <w:spacing w:line="480" w:lineRule="auto"/>
        <w:rPr>
          <w:sz w:val="20"/>
          <w:szCs w:val="20"/>
        </w:rPr>
      </w:pPr>
    </w:p>
    <w:p w:rsidR="00CB3601" w:rsidRPr="001F2127" w:rsidRDefault="00CC5F40" w:rsidP="00E20257">
      <w:pPr>
        <w:spacing w:line="480" w:lineRule="auto"/>
        <w:rPr>
          <w:sz w:val="20"/>
          <w:szCs w:val="20"/>
        </w:rPr>
      </w:pPr>
      <w:r w:rsidRPr="001F2127">
        <w:rPr>
          <w:b/>
          <w:bCs/>
          <w:iCs/>
          <w:sz w:val="20"/>
          <w:szCs w:val="20"/>
        </w:rPr>
        <w:t xml:space="preserve">Key diagnostic and neurological </w:t>
      </w:r>
      <w:r w:rsidR="0057348A" w:rsidRPr="001F2127">
        <w:rPr>
          <w:b/>
          <w:bCs/>
          <w:iCs/>
          <w:sz w:val="20"/>
          <w:szCs w:val="20"/>
        </w:rPr>
        <w:t xml:space="preserve">features </w:t>
      </w:r>
    </w:p>
    <w:p w:rsidR="0009535F" w:rsidRPr="001F2127" w:rsidRDefault="00F21DA7" w:rsidP="00E20257">
      <w:pPr>
        <w:spacing w:line="480" w:lineRule="auto"/>
        <w:rPr>
          <w:sz w:val="20"/>
          <w:szCs w:val="20"/>
        </w:rPr>
      </w:pPr>
      <w:r w:rsidRPr="001F2127">
        <w:rPr>
          <w:sz w:val="20"/>
          <w:szCs w:val="20"/>
        </w:rPr>
        <w:t>The triad of raised ICP symptoms, papilloedema and elevated CSF pressure, was seen in 83%</w:t>
      </w:r>
      <w:r w:rsidR="00A247BA">
        <w:rPr>
          <w:sz w:val="20"/>
          <w:szCs w:val="20"/>
        </w:rPr>
        <w:t xml:space="preserve"> (153/185)</w:t>
      </w:r>
      <w:r w:rsidRPr="001F2127">
        <w:rPr>
          <w:sz w:val="20"/>
          <w:szCs w:val="20"/>
        </w:rPr>
        <w:t xml:space="preserve"> </w:t>
      </w:r>
      <w:r w:rsidR="001D5D3D" w:rsidRPr="001F2127">
        <w:rPr>
          <w:sz w:val="20"/>
          <w:szCs w:val="20"/>
        </w:rPr>
        <w:t xml:space="preserve">and 73% </w:t>
      </w:r>
      <w:r w:rsidR="001D5D3D">
        <w:rPr>
          <w:sz w:val="20"/>
          <w:szCs w:val="20"/>
        </w:rPr>
        <w:t>(136/185) of those using the study and higher revised</w:t>
      </w:r>
      <w:r w:rsidR="001D5D3D">
        <w:rPr>
          <w:sz w:val="20"/>
          <w:szCs w:val="20"/>
          <w:vertAlign w:val="superscript"/>
        </w:rPr>
        <w:t>14</w:t>
      </w:r>
      <w:r w:rsidR="001D5D3D">
        <w:rPr>
          <w:sz w:val="20"/>
          <w:szCs w:val="20"/>
        </w:rPr>
        <w:t xml:space="preserve"> CSF pressure threshold criteria respectively</w:t>
      </w:r>
      <w:r w:rsidR="009534DC" w:rsidRPr="001F2127">
        <w:rPr>
          <w:sz w:val="20"/>
          <w:szCs w:val="20"/>
        </w:rPr>
        <w:t xml:space="preserve"> </w:t>
      </w:r>
      <w:r w:rsidR="00DF2C3A" w:rsidRPr="00E201FC">
        <w:rPr>
          <w:sz w:val="20"/>
          <w:szCs w:val="20"/>
        </w:rPr>
        <w:t>(Figure 1)</w:t>
      </w:r>
      <w:r w:rsidRPr="001F2127">
        <w:rPr>
          <w:sz w:val="20"/>
          <w:szCs w:val="20"/>
        </w:rPr>
        <w:t xml:space="preserve">. Papilloedema, </w:t>
      </w:r>
      <w:r w:rsidR="00AB578F" w:rsidRPr="001F2127">
        <w:rPr>
          <w:sz w:val="20"/>
          <w:szCs w:val="20"/>
        </w:rPr>
        <w:t>symptoms of</w:t>
      </w:r>
      <w:r w:rsidRPr="001F2127">
        <w:rPr>
          <w:sz w:val="20"/>
          <w:szCs w:val="20"/>
        </w:rPr>
        <w:t xml:space="preserve"> </w:t>
      </w:r>
      <w:r w:rsidR="00AB578F" w:rsidRPr="001F2127">
        <w:rPr>
          <w:sz w:val="20"/>
          <w:szCs w:val="20"/>
        </w:rPr>
        <w:t xml:space="preserve">raised </w:t>
      </w:r>
      <w:r w:rsidRPr="001F2127">
        <w:rPr>
          <w:sz w:val="20"/>
          <w:szCs w:val="20"/>
        </w:rPr>
        <w:t>ICP and elevated CSF pressure were absent in 11</w:t>
      </w:r>
      <w:r w:rsidR="00AB578F" w:rsidRPr="001F2127">
        <w:rPr>
          <w:sz w:val="20"/>
          <w:szCs w:val="20"/>
        </w:rPr>
        <w:t>%</w:t>
      </w:r>
      <w:r w:rsidR="00A247BA">
        <w:rPr>
          <w:sz w:val="20"/>
          <w:szCs w:val="20"/>
        </w:rPr>
        <w:t xml:space="preserve"> (20/185)</w:t>
      </w:r>
      <w:r w:rsidR="00AB578F" w:rsidRPr="001F2127">
        <w:rPr>
          <w:sz w:val="20"/>
          <w:szCs w:val="20"/>
        </w:rPr>
        <w:t xml:space="preserve">, 4% </w:t>
      </w:r>
      <w:r w:rsidR="00A247BA">
        <w:rPr>
          <w:sz w:val="20"/>
          <w:szCs w:val="20"/>
        </w:rPr>
        <w:t>(8/185)</w:t>
      </w:r>
      <w:r w:rsidR="00DA3EF2">
        <w:rPr>
          <w:sz w:val="20"/>
          <w:szCs w:val="20"/>
        </w:rPr>
        <w:t xml:space="preserve"> </w:t>
      </w:r>
      <w:r w:rsidR="00AB578F" w:rsidRPr="001F2127">
        <w:rPr>
          <w:sz w:val="20"/>
          <w:szCs w:val="20"/>
        </w:rPr>
        <w:t>and 2%</w:t>
      </w:r>
      <w:r w:rsidR="00A247BA">
        <w:rPr>
          <w:sz w:val="20"/>
          <w:szCs w:val="20"/>
        </w:rPr>
        <w:t xml:space="preserve"> (4/185)</w:t>
      </w:r>
      <w:r w:rsidR="00AB578F" w:rsidRPr="001F2127">
        <w:rPr>
          <w:sz w:val="20"/>
          <w:szCs w:val="20"/>
        </w:rPr>
        <w:t xml:space="preserve"> </w:t>
      </w:r>
      <w:r w:rsidR="009534DC" w:rsidRPr="001F2127">
        <w:rPr>
          <w:sz w:val="20"/>
          <w:szCs w:val="20"/>
        </w:rPr>
        <w:t xml:space="preserve">respectively </w:t>
      </w:r>
      <w:r w:rsidR="00AB578F" w:rsidRPr="001F2127">
        <w:rPr>
          <w:sz w:val="20"/>
          <w:szCs w:val="20"/>
        </w:rPr>
        <w:t>or</w:t>
      </w:r>
      <w:r w:rsidR="00066B63">
        <w:rPr>
          <w:sz w:val="20"/>
          <w:szCs w:val="20"/>
        </w:rPr>
        <w:t>,</w:t>
      </w:r>
      <w:r w:rsidR="00AB578F" w:rsidRPr="001F2127">
        <w:rPr>
          <w:sz w:val="20"/>
          <w:szCs w:val="20"/>
        </w:rPr>
        <w:t xml:space="preserve"> </w:t>
      </w:r>
      <w:r w:rsidR="00066B63">
        <w:rPr>
          <w:sz w:val="20"/>
          <w:szCs w:val="20"/>
        </w:rPr>
        <w:t xml:space="preserve">using the </w:t>
      </w:r>
      <w:r w:rsidR="00066B63" w:rsidRPr="008B4A0C">
        <w:rPr>
          <w:sz w:val="20"/>
          <w:szCs w:val="20"/>
        </w:rPr>
        <w:t xml:space="preserve">revised </w:t>
      </w:r>
      <w:r w:rsidR="00066B63">
        <w:rPr>
          <w:sz w:val="20"/>
          <w:szCs w:val="20"/>
        </w:rPr>
        <w:t>CSF pressure threshold</w:t>
      </w:r>
      <w:r w:rsidR="00066B63">
        <w:rPr>
          <w:sz w:val="20"/>
          <w:szCs w:val="20"/>
          <w:vertAlign w:val="superscript"/>
        </w:rPr>
        <w:t>14</w:t>
      </w:r>
      <w:r w:rsidR="00066B63" w:rsidRPr="001F2127">
        <w:rPr>
          <w:sz w:val="20"/>
          <w:szCs w:val="20"/>
        </w:rPr>
        <w:t xml:space="preserve"> </w:t>
      </w:r>
      <w:r w:rsidR="00AB578F" w:rsidRPr="001F2127">
        <w:rPr>
          <w:sz w:val="20"/>
          <w:szCs w:val="20"/>
        </w:rPr>
        <w:t>9%</w:t>
      </w:r>
      <w:r w:rsidR="00A247BA">
        <w:rPr>
          <w:sz w:val="20"/>
          <w:szCs w:val="20"/>
        </w:rPr>
        <w:t xml:space="preserve"> (16/185)</w:t>
      </w:r>
      <w:r w:rsidR="00AB578F" w:rsidRPr="001F2127">
        <w:rPr>
          <w:sz w:val="20"/>
          <w:szCs w:val="20"/>
        </w:rPr>
        <w:t>, 4</w:t>
      </w:r>
      <w:r w:rsidRPr="001F2127">
        <w:rPr>
          <w:sz w:val="20"/>
          <w:szCs w:val="20"/>
        </w:rPr>
        <w:t>%</w:t>
      </w:r>
      <w:r w:rsidR="00A247BA">
        <w:rPr>
          <w:sz w:val="20"/>
          <w:szCs w:val="20"/>
        </w:rPr>
        <w:t xml:space="preserve"> (7/185)</w:t>
      </w:r>
      <w:r w:rsidRPr="001F2127">
        <w:rPr>
          <w:sz w:val="20"/>
          <w:szCs w:val="20"/>
        </w:rPr>
        <w:t xml:space="preserve"> and 11%</w:t>
      </w:r>
      <w:r w:rsidR="00A247BA">
        <w:rPr>
          <w:sz w:val="20"/>
          <w:szCs w:val="20"/>
        </w:rPr>
        <w:t xml:space="preserve"> (21/185)</w:t>
      </w:r>
      <w:r w:rsidRPr="001F2127">
        <w:rPr>
          <w:sz w:val="20"/>
          <w:szCs w:val="20"/>
        </w:rPr>
        <w:t xml:space="preserve"> </w:t>
      </w:r>
      <w:r w:rsidR="0047363F" w:rsidRPr="001F2127">
        <w:rPr>
          <w:sz w:val="20"/>
          <w:szCs w:val="20"/>
        </w:rPr>
        <w:t xml:space="preserve">of cases </w:t>
      </w:r>
      <w:r w:rsidR="001459F6">
        <w:rPr>
          <w:sz w:val="20"/>
          <w:szCs w:val="20"/>
        </w:rPr>
        <w:t xml:space="preserve">(Figure 1). </w:t>
      </w:r>
      <w:r w:rsidR="00EE70BF" w:rsidRPr="001F2127">
        <w:rPr>
          <w:sz w:val="20"/>
          <w:szCs w:val="20"/>
        </w:rPr>
        <w:t>There were</w:t>
      </w:r>
      <w:r w:rsidR="00E03B86" w:rsidRPr="001F2127">
        <w:rPr>
          <w:sz w:val="20"/>
          <w:szCs w:val="20"/>
        </w:rPr>
        <w:t xml:space="preserve"> no</w:t>
      </w:r>
      <w:r w:rsidR="00AA5548" w:rsidRPr="001F2127">
        <w:rPr>
          <w:sz w:val="20"/>
          <w:szCs w:val="20"/>
        </w:rPr>
        <w:t xml:space="preserve"> differences between </w:t>
      </w:r>
      <w:r w:rsidR="005F7AA4" w:rsidRPr="001F2127">
        <w:rPr>
          <w:sz w:val="20"/>
          <w:szCs w:val="20"/>
        </w:rPr>
        <w:t xml:space="preserve">cases with and without </w:t>
      </w:r>
      <w:r w:rsidR="005F7AA4">
        <w:rPr>
          <w:sz w:val="20"/>
          <w:szCs w:val="20"/>
        </w:rPr>
        <w:t xml:space="preserve">any </w:t>
      </w:r>
      <w:r w:rsidR="005F7AA4" w:rsidRPr="001F2127">
        <w:rPr>
          <w:sz w:val="20"/>
          <w:szCs w:val="20"/>
        </w:rPr>
        <w:t xml:space="preserve">one of the three diagnostic </w:t>
      </w:r>
      <w:r w:rsidR="005F7AA4">
        <w:rPr>
          <w:sz w:val="20"/>
          <w:szCs w:val="20"/>
        </w:rPr>
        <w:t xml:space="preserve">cardinal features with respect to </w:t>
      </w:r>
      <w:r w:rsidR="0047363F">
        <w:rPr>
          <w:sz w:val="20"/>
          <w:szCs w:val="20"/>
        </w:rPr>
        <w:t xml:space="preserve">other </w:t>
      </w:r>
      <w:r w:rsidR="0047363F" w:rsidRPr="001F2127">
        <w:rPr>
          <w:sz w:val="20"/>
          <w:szCs w:val="20"/>
        </w:rPr>
        <w:t>presenting features</w:t>
      </w:r>
      <w:r w:rsidR="0047363F">
        <w:rPr>
          <w:sz w:val="20"/>
          <w:szCs w:val="20"/>
        </w:rPr>
        <w:t xml:space="preserve">, </w:t>
      </w:r>
      <w:r w:rsidR="004A4018">
        <w:rPr>
          <w:sz w:val="20"/>
          <w:szCs w:val="20"/>
        </w:rPr>
        <w:t>sex</w:t>
      </w:r>
      <w:r w:rsidR="00AA5548" w:rsidRPr="001F2127">
        <w:rPr>
          <w:sz w:val="20"/>
          <w:szCs w:val="20"/>
        </w:rPr>
        <w:t xml:space="preserve">, </w:t>
      </w:r>
      <w:r w:rsidR="00EE70BF" w:rsidRPr="001F2127">
        <w:rPr>
          <w:sz w:val="20"/>
          <w:szCs w:val="20"/>
        </w:rPr>
        <w:t>age</w:t>
      </w:r>
      <w:r w:rsidR="00DA3EF2">
        <w:rPr>
          <w:sz w:val="20"/>
          <w:szCs w:val="20"/>
        </w:rPr>
        <w:t xml:space="preserve"> </w:t>
      </w:r>
      <w:r w:rsidR="00B86A8C" w:rsidRPr="001F2127">
        <w:rPr>
          <w:sz w:val="20"/>
          <w:szCs w:val="20"/>
        </w:rPr>
        <w:t xml:space="preserve">and </w:t>
      </w:r>
      <w:r w:rsidR="00EE70BF" w:rsidRPr="001F2127">
        <w:rPr>
          <w:sz w:val="20"/>
          <w:szCs w:val="20"/>
        </w:rPr>
        <w:t xml:space="preserve">weight </w:t>
      </w:r>
      <w:r w:rsidR="0055463B">
        <w:rPr>
          <w:sz w:val="20"/>
          <w:szCs w:val="20"/>
        </w:rPr>
        <w:t>categories</w:t>
      </w:r>
      <w:r w:rsidR="00AA5548" w:rsidRPr="001F2127">
        <w:rPr>
          <w:sz w:val="20"/>
          <w:szCs w:val="20"/>
        </w:rPr>
        <w:t xml:space="preserve">, </w:t>
      </w:r>
      <w:r w:rsidR="0047363F">
        <w:rPr>
          <w:sz w:val="20"/>
          <w:szCs w:val="20"/>
        </w:rPr>
        <w:t xml:space="preserve">or </w:t>
      </w:r>
      <w:r w:rsidR="00ED1F9A">
        <w:rPr>
          <w:sz w:val="20"/>
          <w:szCs w:val="20"/>
        </w:rPr>
        <w:t>other risk factors</w:t>
      </w:r>
      <w:r w:rsidR="005F7AA4">
        <w:rPr>
          <w:sz w:val="20"/>
          <w:szCs w:val="20"/>
        </w:rPr>
        <w:t>.</w:t>
      </w:r>
    </w:p>
    <w:p w:rsidR="00E03B86" w:rsidRPr="001F2127" w:rsidRDefault="00E03B86" w:rsidP="00E20257">
      <w:pPr>
        <w:spacing w:line="480" w:lineRule="auto"/>
        <w:rPr>
          <w:sz w:val="20"/>
          <w:szCs w:val="20"/>
        </w:rPr>
      </w:pPr>
    </w:p>
    <w:p w:rsidR="00443220" w:rsidRPr="001F2127" w:rsidRDefault="009E5028" w:rsidP="00E20257">
      <w:pPr>
        <w:spacing w:line="480" w:lineRule="auto"/>
        <w:rPr>
          <w:sz w:val="20"/>
          <w:szCs w:val="20"/>
        </w:rPr>
      </w:pPr>
      <w:r w:rsidRPr="001F2127">
        <w:rPr>
          <w:sz w:val="20"/>
          <w:szCs w:val="20"/>
        </w:rPr>
        <w:t xml:space="preserve">Headache was </w:t>
      </w:r>
      <w:r w:rsidR="00336DB9" w:rsidRPr="001F2127">
        <w:rPr>
          <w:sz w:val="20"/>
          <w:szCs w:val="20"/>
        </w:rPr>
        <w:t xml:space="preserve">present </w:t>
      </w:r>
      <w:r w:rsidRPr="001F2127">
        <w:rPr>
          <w:sz w:val="20"/>
          <w:szCs w:val="20"/>
        </w:rPr>
        <w:t>in 161</w:t>
      </w:r>
      <w:r w:rsidR="00A247BA">
        <w:rPr>
          <w:sz w:val="20"/>
          <w:szCs w:val="20"/>
        </w:rPr>
        <w:t>/185</w:t>
      </w:r>
      <w:r w:rsidRPr="001F2127">
        <w:rPr>
          <w:sz w:val="20"/>
          <w:szCs w:val="20"/>
        </w:rPr>
        <w:t xml:space="preserve"> (87%) cases. </w:t>
      </w:r>
      <w:r w:rsidR="003A26C0" w:rsidRPr="001F2127">
        <w:rPr>
          <w:sz w:val="20"/>
          <w:szCs w:val="20"/>
        </w:rPr>
        <w:t>Diplopia, blurring of vision or transient visual loss</w:t>
      </w:r>
      <w:r w:rsidRPr="001F2127">
        <w:rPr>
          <w:bCs/>
          <w:iCs/>
          <w:sz w:val="20"/>
          <w:szCs w:val="20"/>
        </w:rPr>
        <w:t xml:space="preserve"> were reported </w:t>
      </w:r>
      <w:r w:rsidR="008B4A0C">
        <w:rPr>
          <w:bCs/>
          <w:iCs/>
          <w:sz w:val="20"/>
          <w:szCs w:val="20"/>
        </w:rPr>
        <w:t>in</w:t>
      </w:r>
      <w:r w:rsidRPr="001F2127">
        <w:rPr>
          <w:bCs/>
          <w:iCs/>
          <w:sz w:val="20"/>
          <w:szCs w:val="20"/>
        </w:rPr>
        <w:t xml:space="preserve"> 87</w:t>
      </w:r>
      <w:r w:rsidR="00A247BA">
        <w:rPr>
          <w:bCs/>
          <w:iCs/>
          <w:sz w:val="20"/>
          <w:szCs w:val="20"/>
        </w:rPr>
        <w:t>/161</w:t>
      </w:r>
      <w:r w:rsidRPr="001F2127">
        <w:rPr>
          <w:sz w:val="20"/>
          <w:szCs w:val="20"/>
        </w:rPr>
        <w:t xml:space="preserve"> (54%) </w:t>
      </w:r>
      <w:r w:rsidR="0047363F">
        <w:rPr>
          <w:sz w:val="20"/>
          <w:szCs w:val="20"/>
        </w:rPr>
        <w:t xml:space="preserve">with </w:t>
      </w:r>
      <w:r w:rsidR="00930361">
        <w:rPr>
          <w:sz w:val="20"/>
          <w:szCs w:val="20"/>
        </w:rPr>
        <w:t xml:space="preserve">and </w:t>
      </w:r>
      <w:r w:rsidR="001D5D3D" w:rsidRPr="001F2127">
        <w:rPr>
          <w:sz w:val="20"/>
          <w:szCs w:val="20"/>
        </w:rPr>
        <w:t>15</w:t>
      </w:r>
      <w:r w:rsidR="001D5D3D">
        <w:rPr>
          <w:sz w:val="20"/>
          <w:szCs w:val="20"/>
        </w:rPr>
        <w:t>/24</w:t>
      </w:r>
      <w:r w:rsidR="001D5D3D" w:rsidRPr="001F2127">
        <w:rPr>
          <w:sz w:val="20"/>
          <w:szCs w:val="20"/>
        </w:rPr>
        <w:t xml:space="preserve"> (62%) cases </w:t>
      </w:r>
      <w:r w:rsidRPr="001F2127">
        <w:rPr>
          <w:sz w:val="20"/>
          <w:szCs w:val="20"/>
        </w:rPr>
        <w:t>without headache. O</w:t>
      </w:r>
      <w:r w:rsidR="003A26C0" w:rsidRPr="001F2127">
        <w:rPr>
          <w:sz w:val="20"/>
          <w:szCs w:val="20"/>
        </w:rPr>
        <w:t xml:space="preserve">ne or more other </w:t>
      </w:r>
      <w:r w:rsidRPr="001F2127">
        <w:rPr>
          <w:sz w:val="20"/>
          <w:szCs w:val="20"/>
        </w:rPr>
        <w:t xml:space="preserve">neurological </w:t>
      </w:r>
      <w:r w:rsidR="0009535F" w:rsidRPr="001F2127">
        <w:rPr>
          <w:sz w:val="20"/>
          <w:szCs w:val="20"/>
        </w:rPr>
        <w:t xml:space="preserve">features </w:t>
      </w:r>
      <w:r w:rsidR="008D0F39" w:rsidRPr="001F2127">
        <w:rPr>
          <w:sz w:val="20"/>
          <w:szCs w:val="20"/>
        </w:rPr>
        <w:t xml:space="preserve">were reported </w:t>
      </w:r>
      <w:r w:rsidR="008B4A0C">
        <w:rPr>
          <w:sz w:val="20"/>
          <w:szCs w:val="20"/>
        </w:rPr>
        <w:t>in</w:t>
      </w:r>
      <w:r w:rsidR="008D0F39" w:rsidRPr="001F2127">
        <w:rPr>
          <w:sz w:val="20"/>
          <w:szCs w:val="20"/>
        </w:rPr>
        <w:t xml:space="preserve"> 70</w:t>
      </w:r>
      <w:r w:rsidR="00A247BA">
        <w:rPr>
          <w:sz w:val="20"/>
          <w:szCs w:val="20"/>
        </w:rPr>
        <w:t>/185</w:t>
      </w:r>
      <w:r w:rsidR="008D0F39" w:rsidRPr="001F2127">
        <w:rPr>
          <w:sz w:val="20"/>
          <w:szCs w:val="20"/>
        </w:rPr>
        <w:t xml:space="preserve"> (38</w:t>
      </w:r>
      <w:r w:rsidRPr="001F2127">
        <w:rPr>
          <w:sz w:val="20"/>
          <w:szCs w:val="20"/>
        </w:rPr>
        <w:t>%) cases</w:t>
      </w:r>
      <w:r w:rsidR="00D54CD5">
        <w:rPr>
          <w:sz w:val="20"/>
          <w:szCs w:val="20"/>
        </w:rPr>
        <w:t xml:space="preserve"> (</w:t>
      </w:r>
      <w:r w:rsidR="008D0F39" w:rsidRPr="001F2127">
        <w:rPr>
          <w:sz w:val="20"/>
          <w:szCs w:val="20"/>
        </w:rPr>
        <w:t>32 abdu</w:t>
      </w:r>
      <w:r w:rsidR="00B06886">
        <w:rPr>
          <w:sz w:val="20"/>
          <w:szCs w:val="20"/>
        </w:rPr>
        <w:t>c</w:t>
      </w:r>
      <w:r w:rsidR="008D0F39" w:rsidRPr="001F2127">
        <w:rPr>
          <w:sz w:val="20"/>
          <w:szCs w:val="20"/>
        </w:rPr>
        <w:t xml:space="preserve">ens nerve palsy, 19 </w:t>
      </w:r>
      <w:r w:rsidR="00FE5393">
        <w:rPr>
          <w:sz w:val="20"/>
          <w:szCs w:val="20"/>
        </w:rPr>
        <w:t>new present</w:t>
      </w:r>
      <w:r w:rsidR="00C52571">
        <w:rPr>
          <w:sz w:val="20"/>
          <w:szCs w:val="20"/>
        </w:rPr>
        <w:t xml:space="preserve">ation of </w:t>
      </w:r>
      <w:r w:rsidR="008D0F39" w:rsidRPr="001F2127">
        <w:rPr>
          <w:sz w:val="20"/>
          <w:szCs w:val="20"/>
        </w:rPr>
        <w:t>squint, 17</w:t>
      </w:r>
      <w:r w:rsidR="003A26C0" w:rsidRPr="001F2127">
        <w:rPr>
          <w:sz w:val="20"/>
          <w:szCs w:val="20"/>
        </w:rPr>
        <w:t xml:space="preserve"> dizziness, 12 photophobia, </w:t>
      </w:r>
      <w:r w:rsidR="008B4A0C">
        <w:rPr>
          <w:sz w:val="20"/>
          <w:szCs w:val="20"/>
        </w:rPr>
        <w:t>8</w:t>
      </w:r>
      <w:r w:rsidR="008D0F39" w:rsidRPr="001F2127">
        <w:rPr>
          <w:sz w:val="20"/>
          <w:szCs w:val="20"/>
        </w:rPr>
        <w:t xml:space="preserve"> neck stiffness/pain, </w:t>
      </w:r>
      <w:r w:rsidR="008B4A0C">
        <w:rPr>
          <w:sz w:val="20"/>
          <w:szCs w:val="20"/>
        </w:rPr>
        <w:t>5</w:t>
      </w:r>
      <w:r w:rsidR="008D0F39" w:rsidRPr="001F2127">
        <w:rPr>
          <w:sz w:val="20"/>
          <w:szCs w:val="20"/>
        </w:rPr>
        <w:t xml:space="preserve"> ataxia/</w:t>
      </w:r>
      <w:r w:rsidR="003A26C0" w:rsidRPr="001F2127">
        <w:rPr>
          <w:sz w:val="20"/>
          <w:szCs w:val="20"/>
        </w:rPr>
        <w:t xml:space="preserve">falling, </w:t>
      </w:r>
      <w:r w:rsidR="008B4A0C">
        <w:rPr>
          <w:sz w:val="20"/>
          <w:szCs w:val="20"/>
        </w:rPr>
        <w:t>4</w:t>
      </w:r>
      <w:r w:rsidR="00D54CD5">
        <w:rPr>
          <w:sz w:val="20"/>
          <w:szCs w:val="20"/>
        </w:rPr>
        <w:t xml:space="preserve"> tinnitus, </w:t>
      </w:r>
      <w:r w:rsidR="008B4A0C">
        <w:rPr>
          <w:sz w:val="20"/>
          <w:szCs w:val="20"/>
        </w:rPr>
        <w:t>3</w:t>
      </w:r>
      <w:r w:rsidR="00D54CD5">
        <w:rPr>
          <w:sz w:val="20"/>
          <w:szCs w:val="20"/>
        </w:rPr>
        <w:t xml:space="preserve"> vertigo, </w:t>
      </w:r>
      <w:r w:rsidR="008B4A0C">
        <w:rPr>
          <w:sz w:val="20"/>
          <w:szCs w:val="20"/>
        </w:rPr>
        <w:t xml:space="preserve">2 </w:t>
      </w:r>
      <w:r w:rsidR="008D0F39" w:rsidRPr="001F2127">
        <w:rPr>
          <w:sz w:val="20"/>
          <w:szCs w:val="20"/>
        </w:rPr>
        <w:t xml:space="preserve">each </w:t>
      </w:r>
      <w:r w:rsidR="001D5D3D">
        <w:rPr>
          <w:sz w:val="20"/>
          <w:szCs w:val="20"/>
        </w:rPr>
        <w:t xml:space="preserve">of </w:t>
      </w:r>
      <w:r w:rsidR="008D0F39" w:rsidRPr="001F2127">
        <w:rPr>
          <w:sz w:val="20"/>
          <w:szCs w:val="20"/>
        </w:rPr>
        <w:t>facial weakness, torticollis, nystagmus, vertigo, paraesthesia</w:t>
      </w:r>
      <w:r w:rsidR="00DA3EF2">
        <w:rPr>
          <w:sz w:val="20"/>
          <w:szCs w:val="20"/>
        </w:rPr>
        <w:t xml:space="preserve"> </w:t>
      </w:r>
      <w:r w:rsidR="008D0F39" w:rsidRPr="001F2127">
        <w:rPr>
          <w:sz w:val="20"/>
          <w:szCs w:val="20"/>
        </w:rPr>
        <w:t>and pain behind eyes</w:t>
      </w:r>
      <w:r w:rsidR="00816F46" w:rsidRPr="001F2127">
        <w:rPr>
          <w:sz w:val="20"/>
          <w:szCs w:val="20"/>
        </w:rPr>
        <w:t>)</w:t>
      </w:r>
      <w:r w:rsidR="00CD3F01" w:rsidRPr="001F2127">
        <w:rPr>
          <w:sz w:val="20"/>
          <w:szCs w:val="20"/>
        </w:rPr>
        <w:t xml:space="preserve">. </w:t>
      </w:r>
    </w:p>
    <w:p w:rsidR="0043120B" w:rsidRPr="001F2127" w:rsidRDefault="0043120B" w:rsidP="00E20257">
      <w:pPr>
        <w:spacing w:line="480" w:lineRule="auto"/>
        <w:rPr>
          <w:sz w:val="20"/>
          <w:szCs w:val="20"/>
        </w:rPr>
      </w:pPr>
    </w:p>
    <w:p w:rsidR="009A1DBF" w:rsidRPr="001F2127" w:rsidRDefault="009463C8" w:rsidP="00E20257">
      <w:pPr>
        <w:spacing w:line="480" w:lineRule="auto"/>
        <w:rPr>
          <w:sz w:val="20"/>
          <w:szCs w:val="20"/>
        </w:rPr>
      </w:pPr>
      <w:r>
        <w:rPr>
          <w:sz w:val="20"/>
          <w:szCs w:val="20"/>
        </w:rPr>
        <w:t>Papilloedema</w:t>
      </w:r>
      <w:r w:rsidRPr="001F2127">
        <w:rPr>
          <w:sz w:val="20"/>
          <w:szCs w:val="20"/>
        </w:rPr>
        <w:t xml:space="preserve"> </w:t>
      </w:r>
      <w:r>
        <w:rPr>
          <w:sz w:val="20"/>
          <w:szCs w:val="20"/>
        </w:rPr>
        <w:t xml:space="preserve">was reported in </w:t>
      </w:r>
      <w:r w:rsidRPr="001F2127">
        <w:rPr>
          <w:sz w:val="20"/>
          <w:szCs w:val="20"/>
        </w:rPr>
        <w:t>165</w:t>
      </w:r>
      <w:r w:rsidR="00A247BA">
        <w:rPr>
          <w:sz w:val="20"/>
          <w:szCs w:val="20"/>
        </w:rPr>
        <w:t>/185</w:t>
      </w:r>
      <w:r w:rsidRPr="001F2127">
        <w:rPr>
          <w:sz w:val="20"/>
          <w:szCs w:val="20"/>
        </w:rPr>
        <w:t xml:space="preserve"> (89%)</w:t>
      </w:r>
      <w:r w:rsidR="001D5D3D">
        <w:rPr>
          <w:sz w:val="20"/>
          <w:szCs w:val="20"/>
        </w:rPr>
        <w:t>,</w:t>
      </w:r>
      <w:r w:rsidR="001D5D3D" w:rsidRPr="001D5D3D">
        <w:rPr>
          <w:sz w:val="20"/>
          <w:szCs w:val="20"/>
        </w:rPr>
        <w:t xml:space="preserve"> </w:t>
      </w:r>
      <w:r w:rsidR="0047363F">
        <w:rPr>
          <w:sz w:val="20"/>
          <w:szCs w:val="20"/>
        </w:rPr>
        <w:t xml:space="preserve">was unilateral in 13/185 (7%) and was </w:t>
      </w:r>
      <w:r w:rsidR="001D5D3D" w:rsidRPr="001F2127">
        <w:rPr>
          <w:sz w:val="20"/>
          <w:szCs w:val="20"/>
        </w:rPr>
        <w:t>detected incidentally</w:t>
      </w:r>
      <w:r w:rsidR="001D5D3D">
        <w:rPr>
          <w:sz w:val="20"/>
          <w:szCs w:val="20"/>
        </w:rPr>
        <w:t xml:space="preserve"> in 5/185</w:t>
      </w:r>
      <w:r w:rsidR="001D5D3D" w:rsidRPr="001F2127">
        <w:rPr>
          <w:sz w:val="20"/>
          <w:szCs w:val="20"/>
        </w:rPr>
        <w:t xml:space="preserve"> (3%)</w:t>
      </w:r>
      <w:r w:rsidR="001D5D3D">
        <w:rPr>
          <w:sz w:val="20"/>
          <w:szCs w:val="20"/>
        </w:rPr>
        <w:t xml:space="preserve"> asymptomatic cases. Op</w:t>
      </w:r>
      <w:r w:rsidR="00931318">
        <w:rPr>
          <w:sz w:val="20"/>
          <w:szCs w:val="20"/>
        </w:rPr>
        <w:t>h</w:t>
      </w:r>
      <w:r w:rsidR="001D5D3D">
        <w:rPr>
          <w:sz w:val="20"/>
          <w:szCs w:val="20"/>
        </w:rPr>
        <w:t xml:space="preserve">thalmologists confirmed its presence in </w:t>
      </w:r>
      <w:r w:rsidR="00D54CD5">
        <w:rPr>
          <w:sz w:val="20"/>
          <w:szCs w:val="20"/>
        </w:rPr>
        <w:t xml:space="preserve">all but </w:t>
      </w:r>
      <w:r w:rsidR="00920AF1">
        <w:rPr>
          <w:sz w:val="20"/>
          <w:szCs w:val="20"/>
        </w:rPr>
        <w:t>five</w:t>
      </w:r>
      <w:r w:rsidR="00A54591" w:rsidRPr="001F2127">
        <w:rPr>
          <w:sz w:val="20"/>
          <w:szCs w:val="20"/>
        </w:rPr>
        <w:t xml:space="preserve"> </w:t>
      </w:r>
      <w:r w:rsidR="00A247BA">
        <w:rPr>
          <w:sz w:val="20"/>
          <w:szCs w:val="20"/>
        </w:rPr>
        <w:t>cases</w:t>
      </w:r>
      <w:r w:rsidR="001D5D3D" w:rsidRPr="001D5D3D">
        <w:rPr>
          <w:sz w:val="20"/>
          <w:szCs w:val="20"/>
        </w:rPr>
        <w:t xml:space="preserve"> </w:t>
      </w:r>
      <w:r w:rsidR="001D5D3D">
        <w:rPr>
          <w:sz w:val="20"/>
          <w:szCs w:val="20"/>
        </w:rPr>
        <w:t xml:space="preserve">and </w:t>
      </w:r>
      <w:r w:rsidR="0047363F">
        <w:rPr>
          <w:sz w:val="20"/>
          <w:szCs w:val="20"/>
        </w:rPr>
        <w:t xml:space="preserve">also </w:t>
      </w:r>
      <w:r w:rsidR="001D5D3D" w:rsidRPr="001F2127">
        <w:rPr>
          <w:sz w:val="20"/>
          <w:szCs w:val="20"/>
        </w:rPr>
        <w:t xml:space="preserve">affirmed </w:t>
      </w:r>
      <w:r w:rsidR="001D5D3D">
        <w:rPr>
          <w:sz w:val="20"/>
          <w:szCs w:val="20"/>
        </w:rPr>
        <w:t xml:space="preserve">its absence in the </w:t>
      </w:r>
      <w:r w:rsidR="001D5D3D" w:rsidRPr="001F2127">
        <w:rPr>
          <w:sz w:val="20"/>
          <w:szCs w:val="20"/>
        </w:rPr>
        <w:t>20</w:t>
      </w:r>
      <w:r w:rsidR="00930361">
        <w:rPr>
          <w:sz w:val="20"/>
          <w:szCs w:val="20"/>
        </w:rPr>
        <w:t>/185</w:t>
      </w:r>
      <w:r w:rsidR="001D5D3D">
        <w:rPr>
          <w:sz w:val="20"/>
          <w:szCs w:val="20"/>
        </w:rPr>
        <w:t xml:space="preserve"> </w:t>
      </w:r>
      <w:r w:rsidR="001D5D3D" w:rsidRPr="001F2127">
        <w:rPr>
          <w:sz w:val="20"/>
          <w:szCs w:val="20"/>
        </w:rPr>
        <w:t>(11%) case</w:t>
      </w:r>
      <w:r w:rsidR="001D5D3D">
        <w:rPr>
          <w:sz w:val="20"/>
          <w:szCs w:val="20"/>
        </w:rPr>
        <w:t>s without papilloedema</w:t>
      </w:r>
      <w:r w:rsidR="00A54591" w:rsidRPr="001F2127">
        <w:rPr>
          <w:sz w:val="20"/>
          <w:szCs w:val="20"/>
        </w:rPr>
        <w:t xml:space="preserve">. </w:t>
      </w:r>
      <w:r w:rsidR="00931318">
        <w:rPr>
          <w:sz w:val="20"/>
          <w:szCs w:val="20"/>
        </w:rPr>
        <w:t xml:space="preserve">Optic nerve </w:t>
      </w:r>
      <w:r w:rsidR="00864F13">
        <w:rPr>
          <w:sz w:val="20"/>
          <w:szCs w:val="20"/>
        </w:rPr>
        <w:t xml:space="preserve">head </w:t>
      </w:r>
      <w:r w:rsidR="00931318">
        <w:rPr>
          <w:sz w:val="20"/>
          <w:szCs w:val="20"/>
        </w:rPr>
        <w:lastRenderedPageBreak/>
        <w:t>d</w:t>
      </w:r>
      <w:r w:rsidR="00A54591" w:rsidRPr="001F2127">
        <w:rPr>
          <w:sz w:val="20"/>
          <w:szCs w:val="20"/>
        </w:rPr>
        <w:t xml:space="preserve">rusen </w:t>
      </w:r>
      <w:r w:rsidR="00864F13">
        <w:rPr>
          <w:sz w:val="20"/>
          <w:szCs w:val="20"/>
        </w:rPr>
        <w:t xml:space="preserve">(ONHD) </w:t>
      </w:r>
      <w:r w:rsidR="00A54591" w:rsidRPr="001F2127">
        <w:rPr>
          <w:sz w:val="20"/>
          <w:szCs w:val="20"/>
        </w:rPr>
        <w:t>w</w:t>
      </w:r>
      <w:r w:rsidR="001D5D3D">
        <w:rPr>
          <w:sz w:val="20"/>
          <w:szCs w:val="20"/>
        </w:rPr>
        <w:t xml:space="preserve">as </w:t>
      </w:r>
      <w:r w:rsidR="007B62BE" w:rsidRPr="001F2127">
        <w:rPr>
          <w:sz w:val="20"/>
          <w:szCs w:val="20"/>
        </w:rPr>
        <w:t>co-existent with papillo</w:t>
      </w:r>
      <w:r w:rsidR="007B62BE">
        <w:rPr>
          <w:sz w:val="20"/>
          <w:szCs w:val="20"/>
        </w:rPr>
        <w:t>edema in 8</w:t>
      </w:r>
      <w:r w:rsidR="00AD70C5">
        <w:rPr>
          <w:sz w:val="20"/>
          <w:szCs w:val="20"/>
        </w:rPr>
        <w:t>/185</w:t>
      </w:r>
      <w:r w:rsidR="007B62BE" w:rsidRPr="001F2127">
        <w:rPr>
          <w:sz w:val="20"/>
          <w:szCs w:val="20"/>
        </w:rPr>
        <w:t xml:space="preserve"> (4%), </w:t>
      </w:r>
      <w:r w:rsidR="00A54591" w:rsidRPr="001F2127">
        <w:rPr>
          <w:sz w:val="20"/>
          <w:szCs w:val="20"/>
        </w:rPr>
        <w:t>absent in 134</w:t>
      </w:r>
      <w:r w:rsidR="00AD70C5">
        <w:rPr>
          <w:sz w:val="20"/>
          <w:szCs w:val="20"/>
        </w:rPr>
        <w:t>/185</w:t>
      </w:r>
      <w:r w:rsidR="00A54591" w:rsidRPr="001F2127">
        <w:rPr>
          <w:sz w:val="20"/>
          <w:szCs w:val="20"/>
        </w:rPr>
        <w:t xml:space="preserve"> (72%)</w:t>
      </w:r>
      <w:r w:rsidR="00B06886">
        <w:rPr>
          <w:sz w:val="20"/>
          <w:szCs w:val="20"/>
        </w:rPr>
        <w:t>,</w:t>
      </w:r>
      <w:r w:rsidR="005A7A04" w:rsidRPr="001F2127">
        <w:rPr>
          <w:sz w:val="20"/>
          <w:szCs w:val="20"/>
        </w:rPr>
        <w:t xml:space="preserve"> </w:t>
      </w:r>
      <w:r w:rsidR="001D5D3D">
        <w:rPr>
          <w:sz w:val="20"/>
          <w:szCs w:val="20"/>
        </w:rPr>
        <w:t xml:space="preserve">and </w:t>
      </w:r>
      <w:r w:rsidR="00A54591" w:rsidRPr="001F2127">
        <w:rPr>
          <w:sz w:val="20"/>
          <w:szCs w:val="20"/>
        </w:rPr>
        <w:t xml:space="preserve">uncertain </w:t>
      </w:r>
      <w:r w:rsidR="005A7A04" w:rsidRPr="001F2127">
        <w:rPr>
          <w:sz w:val="20"/>
          <w:szCs w:val="20"/>
        </w:rPr>
        <w:t>in 27</w:t>
      </w:r>
      <w:r w:rsidR="00AD70C5">
        <w:rPr>
          <w:sz w:val="20"/>
          <w:szCs w:val="20"/>
        </w:rPr>
        <w:t>/185</w:t>
      </w:r>
      <w:r w:rsidR="005A7A04" w:rsidRPr="001F2127">
        <w:rPr>
          <w:sz w:val="20"/>
          <w:szCs w:val="20"/>
        </w:rPr>
        <w:t xml:space="preserve"> (15%)</w:t>
      </w:r>
      <w:r w:rsidR="00DA3EF2">
        <w:rPr>
          <w:sz w:val="20"/>
          <w:szCs w:val="20"/>
        </w:rPr>
        <w:t xml:space="preserve"> </w:t>
      </w:r>
      <w:r w:rsidR="00785612">
        <w:rPr>
          <w:sz w:val="20"/>
          <w:szCs w:val="20"/>
        </w:rPr>
        <w:t>cases</w:t>
      </w:r>
      <w:r w:rsidR="00DD107D">
        <w:rPr>
          <w:sz w:val="20"/>
          <w:szCs w:val="20"/>
        </w:rPr>
        <w:t xml:space="preserve">. </w:t>
      </w:r>
      <w:r w:rsidR="00A54591" w:rsidRPr="001F2127">
        <w:rPr>
          <w:sz w:val="20"/>
          <w:szCs w:val="20"/>
        </w:rPr>
        <w:t>Of 32</w:t>
      </w:r>
      <w:r w:rsidR="00AD70C5">
        <w:rPr>
          <w:sz w:val="20"/>
          <w:szCs w:val="20"/>
        </w:rPr>
        <w:t>/185</w:t>
      </w:r>
      <w:r w:rsidR="00A54591" w:rsidRPr="001F2127">
        <w:rPr>
          <w:sz w:val="20"/>
          <w:szCs w:val="20"/>
        </w:rPr>
        <w:t xml:space="preserve"> (17%) cases with abducens nerve palsy, 30</w:t>
      </w:r>
      <w:r w:rsidR="00AD70C5">
        <w:rPr>
          <w:sz w:val="20"/>
          <w:szCs w:val="20"/>
        </w:rPr>
        <w:t>/32</w:t>
      </w:r>
      <w:r w:rsidR="00A54591" w:rsidRPr="001F2127">
        <w:rPr>
          <w:sz w:val="20"/>
          <w:szCs w:val="20"/>
        </w:rPr>
        <w:t xml:space="preserve"> (94%) were accompanied by papill</w:t>
      </w:r>
      <w:r w:rsidR="002C2DF7" w:rsidRPr="001F2127">
        <w:rPr>
          <w:sz w:val="20"/>
          <w:szCs w:val="20"/>
        </w:rPr>
        <w:t>o</w:t>
      </w:r>
      <w:r w:rsidR="00A54591" w:rsidRPr="001F2127">
        <w:rPr>
          <w:sz w:val="20"/>
          <w:szCs w:val="20"/>
        </w:rPr>
        <w:t xml:space="preserve">edema. </w:t>
      </w:r>
    </w:p>
    <w:p w:rsidR="009A1DBF" w:rsidRPr="001F2127" w:rsidRDefault="009A1DBF" w:rsidP="00E20257">
      <w:pPr>
        <w:spacing w:line="480" w:lineRule="auto"/>
        <w:rPr>
          <w:sz w:val="20"/>
          <w:szCs w:val="20"/>
        </w:rPr>
      </w:pPr>
    </w:p>
    <w:p w:rsidR="00B86A8C" w:rsidRPr="001F2127" w:rsidRDefault="0095777D" w:rsidP="00E20257">
      <w:pPr>
        <w:spacing w:line="480" w:lineRule="auto"/>
        <w:rPr>
          <w:sz w:val="20"/>
          <w:szCs w:val="20"/>
        </w:rPr>
      </w:pPr>
      <w:r>
        <w:rPr>
          <w:sz w:val="20"/>
          <w:szCs w:val="20"/>
        </w:rPr>
        <w:t>New</w:t>
      </w:r>
      <w:r w:rsidR="00C52571">
        <w:rPr>
          <w:sz w:val="20"/>
          <w:szCs w:val="20"/>
        </w:rPr>
        <w:t xml:space="preserve"> presentation of </w:t>
      </w:r>
      <w:r>
        <w:rPr>
          <w:sz w:val="20"/>
          <w:szCs w:val="20"/>
        </w:rPr>
        <w:t>d</w:t>
      </w:r>
      <w:r w:rsidR="00DC304F" w:rsidRPr="001F2127">
        <w:rPr>
          <w:sz w:val="20"/>
          <w:szCs w:val="20"/>
        </w:rPr>
        <w:t xml:space="preserve">ecreased visual acuity </w:t>
      </w:r>
      <w:r w:rsidR="00FE5393">
        <w:rPr>
          <w:sz w:val="20"/>
          <w:szCs w:val="20"/>
        </w:rPr>
        <w:t>(</w:t>
      </w:r>
      <w:r w:rsidR="00C52571">
        <w:rPr>
          <w:sz w:val="20"/>
          <w:szCs w:val="20"/>
        </w:rPr>
        <w:t>D</w:t>
      </w:r>
      <w:r w:rsidR="00FE5393">
        <w:rPr>
          <w:sz w:val="20"/>
          <w:szCs w:val="20"/>
        </w:rPr>
        <w:t xml:space="preserve">VA) </w:t>
      </w:r>
      <w:r w:rsidR="00DC304F" w:rsidRPr="001F2127">
        <w:rPr>
          <w:sz w:val="20"/>
          <w:szCs w:val="20"/>
        </w:rPr>
        <w:t>and/or restricted visual fields</w:t>
      </w:r>
      <w:r w:rsidR="00FE5393">
        <w:rPr>
          <w:sz w:val="20"/>
          <w:szCs w:val="20"/>
        </w:rPr>
        <w:t xml:space="preserve"> (</w:t>
      </w:r>
      <w:r w:rsidR="00C52571">
        <w:rPr>
          <w:sz w:val="20"/>
          <w:szCs w:val="20"/>
        </w:rPr>
        <w:t>R</w:t>
      </w:r>
      <w:r w:rsidR="00FE5393">
        <w:rPr>
          <w:sz w:val="20"/>
          <w:szCs w:val="20"/>
        </w:rPr>
        <w:t>VF)</w:t>
      </w:r>
      <w:r w:rsidR="00DC304F" w:rsidRPr="001F2127">
        <w:rPr>
          <w:sz w:val="20"/>
          <w:szCs w:val="20"/>
        </w:rPr>
        <w:t xml:space="preserve"> at diagnosis</w:t>
      </w:r>
      <w:r w:rsidR="00DC304F" w:rsidRPr="001F2127">
        <w:rPr>
          <w:b/>
          <w:i/>
          <w:sz w:val="20"/>
          <w:szCs w:val="20"/>
        </w:rPr>
        <w:t xml:space="preserve"> </w:t>
      </w:r>
      <w:r w:rsidR="00DC304F" w:rsidRPr="001F2127">
        <w:rPr>
          <w:bCs/>
          <w:iCs/>
          <w:sz w:val="20"/>
          <w:szCs w:val="20"/>
        </w:rPr>
        <w:t xml:space="preserve">were reported in </w:t>
      </w:r>
      <w:r w:rsidR="00DC304F" w:rsidRPr="001F2127">
        <w:rPr>
          <w:sz w:val="20"/>
          <w:szCs w:val="20"/>
        </w:rPr>
        <w:t>61</w:t>
      </w:r>
      <w:r w:rsidR="00AD70C5">
        <w:rPr>
          <w:sz w:val="20"/>
          <w:szCs w:val="20"/>
        </w:rPr>
        <w:t>/185</w:t>
      </w:r>
      <w:r w:rsidR="00DC304F" w:rsidRPr="001F2127" w:rsidDel="00D02A29">
        <w:rPr>
          <w:sz w:val="20"/>
          <w:szCs w:val="20"/>
        </w:rPr>
        <w:t xml:space="preserve"> </w:t>
      </w:r>
      <w:r w:rsidR="00DC304F" w:rsidRPr="001F2127">
        <w:rPr>
          <w:sz w:val="20"/>
          <w:szCs w:val="20"/>
        </w:rPr>
        <w:t>(33%) of the 182</w:t>
      </w:r>
      <w:r w:rsidR="00AD70C5">
        <w:rPr>
          <w:sz w:val="20"/>
          <w:szCs w:val="20"/>
        </w:rPr>
        <w:t>/185</w:t>
      </w:r>
      <w:r w:rsidR="00DC304F" w:rsidRPr="001F2127">
        <w:rPr>
          <w:sz w:val="20"/>
          <w:szCs w:val="20"/>
        </w:rPr>
        <w:t xml:space="preserve"> (98%) cases whose vision was assessed. </w:t>
      </w:r>
      <w:r w:rsidR="00C52571">
        <w:rPr>
          <w:sz w:val="20"/>
          <w:szCs w:val="20"/>
        </w:rPr>
        <w:t>Seventeen had DVA, 32</w:t>
      </w:r>
      <w:r>
        <w:rPr>
          <w:sz w:val="20"/>
          <w:szCs w:val="20"/>
        </w:rPr>
        <w:t xml:space="preserve"> </w:t>
      </w:r>
      <w:r w:rsidR="00C52571">
        <w:rPr>
          <w:sz w:val="20"/>
          <w:szCs w:val="20"/>
        </w:rPr>
        <w:t>R</w:t>
      </w:r>
      <w:r>
        <w:rPr>
          <w:sz w:val="20"/>
          <w:szCs w:val="20"/>
        </w:rPr>
        <w:t xml:space="preserve">VF, 11 both </w:t>
      </w:r>
      <w:r w:rsidR="00C52571">
        <w:rPr>
          <w:sz w:val="20"/>
          <w:szCs w:val="20"/>
        </w:rPr>
        <w:t>DVA and R</w:t>
      </w:r>
      <w:r>
        <w:rPr>
          <w:sz w:val="20"/>
          <w:szCs w:val="20"/>
        </w:rPr>
        <w:t xml:space="preserve">VF and 1 unspecified visual defects. </w:t>
      </w:r>
      <w:r w:rsidR="009A1DBF" w:rsidRPr="001F2127">
        <w:rPr>
          <w:sz w:val="20"/>
          <w:szCs w:val="20"/>
        </w:rPr>
        <w:t>Of those with a visual deficit, 54</w:t>
      </w:r>
      <w:r w:rsidR="00AD70C5">
        <w:rPr>
          <w:sz w:val="20"/>
          <w:szCs w:val="20"/>
        </w:rPr>
        <w:t>/61</w:t>
      </w:r>
      <w:r w:rsidR="009A1DBF" w:rsidRPr="001F2127">
        <w:rPr>
          <w:sz w:val="20"/>
          <w:szCs w:val="20"/>
        </w:rPr>
        <w:t xml:space="preserve"> (89%) had papilloedema. </w:t>
      </w:r>
      <w:r w:rsidR="000F3699" w:rsidRPr="001F2127">
        <w:rPr>
          <w:sz w:val="20"/>
          <w:szCs w:val="20"/>
        </w:rPr>
        <w:t xml:space="preserve">No differences </w:t>
      </w:r>
      <w:r w:rsidR="008B4A0C">
        <w:rPr>
          <w:sz w:val="20"/>
          <w:szCs w:val="20"/>
        </w:rPr>
        <w:t xml:space="preserve">were </w:t>
      </w:r>
      <w:r w:rsidR="000F3699" w:rsidRPr="001F2127">
        <w:rPr>
          <w:sz w:val="20"/>
          <w:szCs w:val="20"/>
        </w:rPr>
        <w:t xml:space="preserve">detected in </w:t>
      </w:r>
      <w:r w:rsidR="00BA2914">
        <w:rPr>
          <w:sz w:val="20"/>
          <w:szCs w:val="20"/>
        </w:rPr>
        <w:t xml:space="preserve">the </w:t>
      </w:r>
      <w:r w:rsidR="000F3699" w:rsidRPr="001F2127">
        <w:rPr>
          <w:sz w:val="20"/>
          <w:szCs w:val="20"/>
        </w:rPr>
        <w:t xml:space="preserve">proportion of visual deficit between </w:t>
      </w:r>
      <w:r w:rsidR="004931D2">
        <w:rPr>
          <w:sz w:val="20"/>
          <w:szCs w:val="20"/>
        </w:rPr>
        <w:t>sexes</w:t>
      </w:r>
      <w:r w:rsidR="000F3699" w:rsidRPr="001F2127">
        <w:rPr>
          <w:sz w:val="20"/>
          <w:szCs w:val="20"/>
        </w:rPr>
        <w:t xml:space="preserve">, </w:t>
      </w:r>
      <w:r w:rsidR="00C52571">
        <w:rPr>
          <w:sz w:val="20"/>
          <w:szCs w:val="20"/>
        </w:rPr>
        <w:t xml:space="preserve">or </w:t>
      </w:r>
      <w:r w:rsidR="000F3699" w:rsidRPr="001F2127">
        <w:rPr>
          <w:sz w:val="20"/>
          <w:szCs w:val="20"/>
        </w:rPr>
        <w:t xml:space="preserve">age or weight categories. </w:t>
      </w:r>
    </w:p>
    <w:p w:rsidR="004D0254" w:rsidRDefault="004D0254" w:rsidP="00E20257">
      <w:pPr>
        <w:spacing w:line="480" w:lineRule="auto"/>
        <w:rPr>
          <w:b/>
          <w:sz w:val="20"/>
          <w:szCs w:val="20"/>
        </w:rPr>
      </w:pPr>
    </w:p>
    <w:p w:rsidR="004D0254" w:rsidRPr="001F2127" w:rsidRDefault="004D0254" w:rsidP="00E20257">
      <w:pPr>
        <w:spacing w:line="480" w:lineRule="auto"/>
        <w:rPr>
          <w:b/>
          <w:sz w:val="20"/>
          <w:szCs w:val="20"/>
        </w:rPr>
      </w:pPr>
      <w:r w:rsidRPr="001F2127">
        <w:rPr>
          <w:b/>
          <w:sz w:val="20"/>
          <w:szCs w:val="20"/>
        </w:rPr>
        <w:t xml:space="preserve">Comparison of cases fulfilling study and revised diagnostic criteria </w:t>
      </w:r>
    </w:p>
    <w:p w:rsidR="004D0254" w:rsidRPr="001F2127" w:rsidRDefault="00A74641" w:rsidP="00E20257">
      <w:pPr>
        <w:spacing w:line="480" w:lineRule="auto"/>
        <w:rPr>
          <w:sz w:val="20"/>
          <w:szCs w:val="20"/>
        </w:rPr>
      </w:pPr>
      <w:r>
        <w:rPr>
          <w:sz w:val="20"/>
          <w:szCs w:val="20"/>
        </w:rPr>
        <w:t xml:space="preserve">Of the 185 </w:t>
      </w:r>
      <w:r w:rsidR="00DD107D">
        <w:rPr>
          <w:sz w:val="20"/>
          <w:szCs w:val="20"/>
        </w:rPr>
        <w:t xml:space="preserve">valid study </w:t>
      </w:r>
      <w:r>
        <w:rPr>
          <w:sz w:val="20"/>
          <w:szCs w:val="20"/>
        </w:rPr>
        <w:t>cases</w:t>
      </w:r>
      <w:r w:rsidR="004D0254" w:rsidRPr="001F2127">
        <w:rPr>
          <w:sz w:val="20"/>
          <w:szCs w:val="20"/>
        </w:rPr>
        <w:t>, PTCS</w:t>
      </w:r>
      <w:r w:rsidR="00BA2914">
        <w:rPr>
          <w:sz w:val="20"/>
          <w:szCs w:val="20"/>
        </w:rPr>
        <w:t xml:space="preserve"> diagnosis</w:t>
      </w:r>
      <w:r w:rsidR="004D0254" w:rsidRPr="001F2127">
        <w:rPr>
          <w:sz w:val="20"/>
          <w:szCs w:val="20"/>
        </w:rPr>
        <w:t xml:space="preserve"> w</w:t>
      </w:r>
      <w:r w:rsidR="004D0254">
        <w:rPr>
          <w:sz w:val="20"/>
          <w:szCs w:val="20"/>
        </w:rPr>
        <w:t xml:space="preserve">as </w:t>
      </w:r>
      <w:r w:rsidR="004D0254" w:rsidRPr="001F2127">
        <w:rPr>
          <w:sz w:val="20"/>
          <w:szCs w:val="20"/>
        </w:rPr>
        <w:t xml:space="preserve">classified </w:t>
      </w:r>
      <w:r w:rsidR="009463C8">
        <w:rPr>
          <w:sz w:val="20"/>
          <w:szCs w:val="20"/>
        </w:rPr>
        <w:t xml:space="preserve">on revised criteria </w:t>
      </w:r>
      <w:r w:rsidR="004D0254" w:rsidRPr="001F2127">
        <w:rPr>
          <w:sz w:val="20"/>
          <w:szCs w:val="20"/>
        </w:rPr>
        <w:t>as ‘definite’</w:t>
      </w:r>
      <w:r w:rsidR="004D0254">
        <w:rPr>
          <w:sz w:val="20"/>
          <w:szCs w:val="20"/>
        </w:rPr>
        <w:t xml:space="preserve"> </w:t>
      </w:r>
      <w:r w:rsidR="00BA2914">
        <w:rPr>
          <w:sz w:val="20"/>
          <w:szCs w:val="20"/>
        </w:rPr>
        <w:t xml:space="preserve">in 144 (78%), </w:t>
      </w:r>
      <w:r w:rsidR="004D0254" w:rsidRPr="001F2127">
        <w:rPr>
          <w:sz w:val="20"/>
          <w:szCs w:val="20"/>
        </w:rPr>
        <w:t xml:space="preserve">‘probable’ </w:t>
      </w:r>
      <w:r w:rsidR="004D0254">
        <w:rPr>
          <w:sz w:val="20"/>
          <w:szCs w:val="20"/>
        </w:rPr>
        <w:t xml:space="preserve">in </w:t>
      </w:r>
      <w:r w:rsidR="004D0254" w:rsidRPr="001F2127">
        <w:rPr>
          <w:sz w:val="20"/>
          <w:szCs w:val="20"/>
        </w:rPr>
        <w:t>22 (12%)</w:t>
      </w:r>
      <w:r w:rsidR="00B07239">
        <w:rPr>
          <w:sz w:val="20"/>
          <w:szCs w:val="20"/>
        </w:rPr>
        <w:t xml:space="preserve">, not present in </w:t>
      </w:r>
      <w:r w:rsidR="00B07239" w:rsidRPr="001F2127">
        <w:rPr>
          <w:sz w:val="20"/>
          <w:szCs w:val="20"/>
        </w:rPr>
        <w:t>4 (2%) cases</w:t>
      </w:r>
      <w:r w:rsidR="00B07239">
        <w:rPr>
          <w:sz w:val="20"/>
          <w:szCs w:val="20"/>
        </w:rPr>
        <w:t xml:space="preserve"> and </w:t>
      </w:r>
      <w:r w:rsidR="0047363F">
        <w:rPr>
          <w:sz w:val="20"/>
          <w:szCs w:val="20"/>
        </w:rPr>
        <w:t>‘</w:t>
      </w:r>
      <w:r w:rsidR="00B07239">
        <w:rPr>
          <w:sz w:val="20"/>
          <w:szCs w:val="20"/>
        </w:rPr>
        <w:t>undetermined</w:t>
      </w:r>
      <w:r w:rsidR="0047363F">
        <w:rPr>
          <w:sz w:val="20"/>
          <w:szCs w:val="20"/>
        </w:rPr>
        <w:t>’</w:t>
      </w:r>
      <w:r w:rsidR="00B07239">
        <w:rPr>
          <w:sz w:val="20"/>
          <w:szCs w:val="20"/>
        </w:rPr>
        <w:t xml:space="preserve"> in 15 (8%) </w:t>
      </w:r>
      <w:r w:rsidR="004D0254" w:rsidRPr="001F2127">
        <w:rPr>
          <w:sz w:val="20"/>
          <w:szCs w:val="20"/>
        </w:rPr>
        <w:t xml:space="preserve"> </w:t>
      </w:r>
      <w:r w:rsidR="00B07239">
        <w:rPr>
          <w:sz w:val="20"/>
          <w:szCs w:val="20"/>
        </w:rPr>
        <w:t>in whom t</w:t>
      </w:r>
      <w:r w:rsidR="004D0254" w:rsidRPr="001F2127">
        <w:rPr>
          <w:sz w:val="20"/>
          <w:szCs w:val="20"/>
        </w:rPr>
        <w:t xml:space="preserve">he </w:t>
      </w:r>
      <w:r w:rsidR="005F7AA4" w:rsidRPr="001F2127">
        <w:rPr>
          <w:sz w:val="20"/>
          <w:szCs w:val="20"/>
        </w:rPr>
        <w:t xml:space="preserve">presence (or not) of neuroimaging criteria </w:t>
      </w:r>
      <w:r w:rsidR="00B07239">
        <w:rPr>
          <w:sz w:val="20"/>
          <w:szCs w:val="20"/>
        </w:rPr>
        <w:t xml:space="preserve">required for the </w:t>
      </w:r>
      <w:r w:rsidR="005F7AA4" w:rsidRPr="001F2127">
        <w:rPr>
          <w:sz w:val="20"/>
          <w:szCs w:val="20"/>
        </w:rPr>
        <w:t>‘suggestive of PTCS</w:t>
      </w:r>
      <w:r w:rsidR="007A6B6F">
        <w:rPr>
          <w:sz w:val="20"/>
          <w:szCs w:val="20"/>
        </w:rPr>
        <w:t>’</w:t>
      </w:r>
      <w:r w:rsidR="005F7AA4" w:rsidRPr="001F2127">
        <w:rPr>
          <w:sz w:val="20"/>
          <w:szCs w:val="20"/>
        </w:rPr>
        <w:t xml:space="preserve"> </w:t>
      </w:r>
      <w:r w:rsidR="00B07239">
        <w:rPr>
          <w:sz w:val="20"/>
          <w:szCs w:val="20"/>
        </w:rPr>
        <w:t xml:space="preserve">category </w:t>
      </w:r>
      <w:r w:rsidR="005F7AA4" w:rsidRPr="001F2127">
        <w:rPr>
          <w:sz w:val="20"/>
          <w:szCs w:val="20"/>
        </w:rPr>
        <w:t xml:space="preserve">had not been </w:t>
      </w:r>
      <w:r w:rsidR="0047363F">
        <w:rPr>
          <w:sz w:val="20"/>
          <w:szCs w:val="20"/>
        </w:rPr>
        <w:t>assessed</w:t>
      </w:r>
      <w:r w:rsidR="00C72757">
        <w:rPr>
          <w:sz w:val="20"/>
          <w:szCs w:val="20"/>
        </w:rPr>
        <w:t xml:space="preserve"> (Figure 1)</w:t>
      </w:r>
      <w:r w:rsidR="00B07239">
        <w:rPr>
          <w:sz w:val="20"/>
          <w:szCs w:val="20"/>
        </w:rPr>
        <w:t xml:space="preserve">. </w:t>
      </w:r>
      <w:r w:rsidR="005F7AA4" w:rsidRPr="001F2127">
        <w:rPr>
          <w:sz w:val="20"/>
          <w:szCs w:val="20"/>
        </w:rPr>
        <w:t xml:space="preserve"> </w:t>
      </w:r>
      <w:r w:rsidR="00B07239">
        <w:rPr>
          <w:sz w:val="20"/>
          <w:szCs w:val="20"/>
        </w:rPr>
        <w:t xml:space="preserve">The </w:t>
      </w:r>
      <w:r w:rsidR="00B07239" w:rsidRPr="001F2127">
        <w:rPr>
          <w:sz w:val="20"/>
          <w:szCs w:val="20"/>
        </w:rPr>
        <w:t>166</w:t>
      </w:r>
      <w:r w:rsidR="00B07239">
        <w:rPr>
          <w:sz w:val="20"/>
          <w:szCs w:val="20"/>
        </w:rPr>
        <w:t xml:space="preserve"> ‘definite’ or ‘probable’ PTCS cases did not differ from the other 19 cases </w:t>
      </w:r>
      <w:r w:rsidR="004D0254" w:rsidRPr="001F2127">
        <w:rPr>
          <w:sz w:val="20"/>
          <w:szCs w:val="20"/>
        </w:rPr>
        <w:t xml:space="preserve">with respect to age, </w:t>
      </w:r>
      <w:r w:rsidR="004931D2">
        <w:rPr>
          <w:sz w:val="20"/>
          <w:szCs w:val="20"/>
        </w:rPr>
        <w:t>sex</w:t>
      </w:r>
      <w:r w:rsidR="004D0254" w:rsidRPr="001F2127">
        <w:rPr>
          <w:sz w:val="20"/>
          <w:szCs w:val="20"/>
        </w:rPr>
        <w:t>, weigh</w:t>
      </w:r>
      <w:r w:rsidR="00ED1F9A">
        <w:rPr>
          <w:sz w:val="20"/>
          <w:szCs w:val="20"/>
        </w:rPr>
        <w:t xml:space="preserve">t category, other associations or clinical features </w:t>
      </w:r>
      <w:r w:rsidR="004D0254" w:rsidRPr="001F2127">
        <w:rPr>
          <w:sz w:val="20"/>
          <w:szCs w:val="20"/>
        </w:rPr>
        <w:t xml:space="preserve">other than </w:t>
      </w:r>
      <w:r w:rsidR="00B07239">
        <w:rPr>
          <w:sz w:val="20"/>
          <w:szCs w:val="20"/>
        </w:rPr>
        <w:t>p</w:t>
      </w:r>
      <w:r w:rsidR="004D0254" w:rsidRPr="001F2127">
        <w:rPr>
          <w:sz w:val="20"/>
          <w:szCs w:val="20"/>
        </w:rPr>
        <w:t>apilloedema</w:t>
      </w:r>
      <w:r w:rsidR="00B07239">
        <w:rPr>
          <w:sz w:val="20"/>
          <w:szCs w:val="20"/>
        </w:rPr>
        <w:t>.</w:t>
      </w:r>
      <w:r w:rsidR="004D0254" w:rsidRPr="001F2127">
        <w:rPr>
          <w:sz w:val="20"/>
          <w:szCs w:val="20"/>
        </w:rPr>
        <w:t xml:space="preserve"> </w:t>
      </w:r>
    </w:p>
    <w:p w:rsidR="004D0254" w:rsidRDefault="004D0254" w:rsidP="00E20257">
      <w:pPr>
        <w:spacing w:line="480" w:lineRule="auto"/>
        <w:rPr>
          <w:b/>
          <w:sz w:val="20"/>
          <w:szCs w:val="20"/>
        </w:rPr>
      </w:pPr>
    </w:p>
    <w:p w:rsidR="0057348A" w:rsidRPr="001F2127" w:rsidRDefault="00720407" w:rsidP="00E20257">
      <w:pPr>
        <w:spacing w:line="480" w:lineRule="auto"/>
        <w:rPr>
          <w:b/>
          <w:sz w:val="20"/>
          <w:szCs w:val="20"/>
        </w:rPr>
      </w:pPr>
      <w:r w:rsidRPr="001F2127">
        <w:rPr>
          <w:b/>
          <w:sz w:val="20"/>
          <w:szCs w:val="20"/>
        </w:rPr>
        <w:t>Relation of n</w:t>
      </w:r>
      <w:r w:rsidR="0057348A" w:rsidRPr="001F2127">
        <w:rPr>
          <w:b/>
          <w:sz w:val="20"/>
          <w:szCs w:val="20"/>
        </w:rPr>
        <w:t xml:space="preserve">eurological features </w:t>
      </w:r>
      <w:r w:rsidRPr="001F2127">
        <w:rPr>
          <w:b/>
          <w:sz w:val="20"/>
          <w:szCs w:val="20"/>
        </w:rPr>
        <w:t>to</w:t>
      </w:r>
      <w:r w:rsidR="0057348A" w:rsidRPr="001F2127">
        <w:rPr>
          <w:b/>
          <w:sz w:val="20"/>
          <w:szCs w:val="20"/>
        </w:rPr>
        <w:t xml:space="preserve"> age </w:t>
      </w:r>
      <w:r w:rsidR="00AB0B67" w:rsidRPr="001F2127">
        <w:rPr>
          <w:b/>
          <w:sz w:val="20"/>
          <w:szCs w:val="20"/>
        </w:rPr>
        <w:t>and weight</w:t>
      </w:r>
    </w:p>
    <w:p w:rsidR="0057542E" w:rsidRPr="001F2127" w:rsidRDefault="00DD6B21" w:rsidP="00E20257">
      <w:pPr>
        <w:spacing w:line="480" w:lineRule="auto"/>
        <w:rPr>
          <w:sz w:val="20"/>
          <w:szCs w:val="20"/>
        </w:rPr>
      </w:pPr>
      <w:r w:rsidRPr="001F2127">
        <w:rPr>
          <w:sz w:val="20"/>
          <w:szCs w:val="20"/>
        </w:rPr>
        <w:t xml:space="preserve">The </w:t>
      </w:r>
      <w:r w:rsidR="00706D38" w:rsidRPr="001F2127">
        <w:rPr>
          <w:sz w:val="20"/>
          <w:szCs w:val="20"/>
        </w:rPr>
        <w:t>report</w:t>
      </w:r>
      <w:r w:rsidR="00DE33E2">
        <w:rPr>
          <w:sz w:val="20"/>
          <w:szCs w:val="20"/>
        </w:rPr>
        <w:t xml:space="preserve"> of headache increased from 41</w:t>
      </w:r>
      <w:r w:rsidRPr="001F2127">
        <w:rPr>
          <w:sz w:val="20"/>
          <w:szCs w:val="20"/>
        </w:rPr>
        <w:t xml:space="preserve">% </w:t>
      </w:r>
      <w:r w:rsidR="007B1A70">
        <w:rPr>
          <w:sz w:val="20"/>
          <w:szCs w:val="20"/>
        </w:rPr>
        <w:t>(</w:t>
      </w:r>
      <w:r w:rsidR="00DE33E2">
        <w:rPr>
          <w:sz w:val="20"/>
          <w:szCs w:val="20"/>
        </w:rPr>
        <w:t>7</w:t>
      </w:r>
      <w:r w:rsidR="007B1A70">
        <w:rPr>
          <w:sz w:val="20"/>
          <w:szCs w:val="20"/>
        </w:rPr>
        <w:t xml:space="preserve">/17) </w:t>
      </w:r>
      <w:r w:rsidR="004A4018">
        <w:rPr>
          <w:sz w:val="20"/>
          <w:szCs w:val="20"/>
        </w:rPr>
        <w:t xml:space="preserve">of </w:t>
      </w:r>
      <w:r w:rsidR="00033DB7">
        <w:rPr>
          <w:sz w:val="20"/>
          <w:szCs w:val="20"/>
        </w:rPr>
        <w:t>1</w:t>
      </w:r>
      <w:r w:rsidR="004A4018">
        <w:rPr>
          <w:sz w:val="20"/>
          <w:szCs w:val="20"/>
        </w:rPr>
        <w:t xml:space="preserve">-6 year olds </w:t>
      </w:r>
      <w:r w:rsidRPr="001F2127">
        <w:rPr>
          <w:sz w:val="20"/>
          <w:szCs w:val="20"/>
        </w:rPr>
        <w:t xml:space="preserve">to 91% </w:t>
      </w:r>
      <w:r w:rsidR="001415C1">
        <w:rPr>
          <w:sz w:val="20"/>
          <w:szCs w:val="20"/>
        </w:rPr>
        <w:t xml:space="preserve">(53/58) </w:t>
      </w:r>
      <w:r w:rsidR="004A4018">
        <w:rPr>
          <w:sz w:val="20"/>
          <w:szCs w:val="20"/>
        </w:rPr>
        <w:t xml:space="preserve">of 7-11 year olds </w:t>
      </w:r>
      <w:r w:rsidR="00651597">
        <w:rPr>
          <w:sz w:val="20"/>
          <w:szCs w:val="20"/>
        </w:rPr>
        <w:t>and stabilised at</w:t>
      </w:r>
      <w:r w:rsidR="004A4018">
        <w:rPr>
          <w:sz w:val="20"/>
          <w:szCs w:val="20"/>
        </w:rPr>
        <w:t xml:space="preserve"> </w:t>
      </w:r>
      <w:r w:rsidRPr="001F2127">
        <w:rPr>
          <w:sz w:val="20"/>
          <w:szCs w:val="20"/>
        </w:rPr>
        <w:t xml:space="preserve">90% </w:t>
      </w:r>
      <w:r w:rsidR="001415C1">
        <w:rPr>
          <w:sz w:val="20"/>
          <w:szCs w:val="20"/>
        </w:rPr>
        <w:t xml:space="preserve">(99/110) </w:t>
      </w:r>
      <w:r w:rsidR="00B07239">
        <w:rPr>
          <w:sz w:val="20"/>
          <w:szCs w:val="20"/>
        </w:rPr>
        <w:t xml:space="preserve">of </w:t>
      </w:r>
      <w:r w:rsidR="004A4018">
        <w:rPr>
          <w:sz w:val="20"/>
          <w:szCs w:val="20"/>
        </w:rPr>
        <w:t xml:space="preserve">12-15 year olds </w:t>
      </w:r>
      <w:r w:rsidRPr="001F2127">
        <w:rPr>
          <w:sz w:val="20"/>
          <w:szCs w:val="20"/>
        </w:rPr>
        <w:t>(p&lt;0</w:t>
      </w:r>
      <w:r w:rsidR="00326449">
        <w:rPr>
          <w:sz w:val="20"/>
          <w:szCs w:val="20"/>
        </w:rPr>
        <w:t>.</w:t>
      </w:r>
      <w:r w:rsidRPr="001F2127">
        <w:rPr>
          <w:sz w:val="20"/>
          <w:szCs w:val="20"/>
        </w:rPr>
        <w:t xml:space="preserve">001, Figure </w:t>
      </w:r>
      <w:r w:rsidR="009C2BF6">
        <w:rPr>
          <w:sz w:val="20"/>
          <w:szCs w:val="20"/>
        </w:rPr>
        <w:t>4</w:t>
      </w:r>
      <w:r w:rsidRPr="001F2127">
        <w:rPr>
          <w:sz w:val="20"/>
          <w:szCs w:val="20"/>
        </w:rPr>
        <w:t xml:space="preserve">). </w:t>
      </w:r>
      <w:r w:rsidR="0057348A" w:rsidRPr="001F2127">
        <w:rPr>
          <w:sz w:val="20"/>
          <w:szCs w:val="20"/>
        </w:rPr>
        <w:t xml:space="preserve">The incidence of </w:t>
      </w:r>
      <w:r w:rsidRPr="001F2127">
        <w:rPr>
          <w:sz w:val="20"/>
          <w:szCs w:val="20"/>
        </w:rPr>
        <w:t xml:space="preserve">blurring of vision </w:t>
      </w:r>
      <w:r w:rsidR="0057348A" w:rsidRPr="001F2127">
        <w:rPr>
          <w:sz w:val="20"/>
          <w:szCs w:val="20"/>
        </w:rPr>
        <w:t xml:space="preserve">also </w:t>
      </w:r>
      <w:r w:rsidR="00E04262" w:rsidRPr="001F2127">
        <w:rPr>
          <w:sz w:val="20"/>
          <w:szCs w:val="20"/>
        </w:rPr>
        <w:t xml:space="preserve">increased </w:t>
      </w:r>
      <w:r w:rsidR="004A4018">
        <w:rPr>
          <w:sz w:val="20"/>
          <w:szCs w:val="20"/>
        </w:rPr>
        <w:t xml:space="preserve">across </w:t>
      </w:r>
      <w:r w:rsidR="0057348A" w:rsidRPr="001F2127">
        <w:rPr>
          <w:sz w:val="20"/>
          <w:szCs w:val="20"/>
        </w:rPr>
        <w:t xml:space="preserve">these age categories </w:t>
      </w:r>
      <w:r w:rsidRPr="001F2127">
        <w:rPr>
          <w:sz w:val="20"/>
          <w:szCs w:val="20"/>
        </w:rPr>
        <w:t>from 24%</w:t>
      </w:r>
      <w:r w:rsidR="001415C1">
        <w:rPr>
          <w:sz w:val="20"/>
          <w:szCs w:val="20"/>
        </w:rPr>
        <w:t xml:space="preserve"> (4/17)</w:t>
      </w:r>
      <w:r w:rsidRPr="001F2127">
        <w:rPr>
          <w:sz w:val="20"/>
          <w:szCs w:val="20"/>
        </w:rPr>
        <w:t xml:space="preserve"> to 28% </w:t>
      </w:r>
      <w:r w:rsidR="001415C1">
        <w:rPr>
          <w:sz w:val="20"/>
          <w:szCs w:val="20"/>
        </w:rPr>
        <w:t xml:space="preserve">(16/58) </w:t>
      </w:r>
      <w:r w:rsidR="00B06886">
        <w:rPr>
          <w:sz w:val="20"/>
          <w:szCs w:val="20"/>
        </w:rPr>
        <w:t xml:space="preserve">then </w:t>
      </w:r>
      <w:r w:rsidR="00AE66A3">
        <w:rPr>
          <w:sz w:val="20"/>
          <w:szCs w:val="20"/>
        </w:rPr>
        <w:t xml:space="preserve">to </w:t>
      </w:r>
      <w:r w:rsidRPr="001F2127">
        <w:rPr>
          <w:sz w:val="20"/>
          <w:szCs w:val="20"/>
        </w:rPr>
        <w:t>53%</w:t>
      </w:r>
      <w:r w:rsidR="001415C1">
        <w:rPr>
          <w:sz w:val="20"/>
          <w:szCs w:val="20"/>
        </w:rPr>
        <w:t xml:space="preserve"> (58/110)</w:t>
      </w:r>
      <w:r w:rsidRPr="001F2127">
        <w:rPr>
          <w:sz w:val="20"/>
          <w:szCs w:val="20"/>
        </w:rPr>
        <w:t xml:space="preserve"> (p=0</w:t>
      </w:r>
      <w:r w:rsidR="002D5010">
        <w:rPr>
          <w:sz w:val="20"/>
          <w:szCs w:val="20"/>
        </w:rPr>
        <w:t>.</w:t>
      </w:r>
      <w:r w:rsidRPr="001F2127">
        <w:rPr>
          <w:sz w:val="20"/>
          <w:szCs w:val="20"/>
        </w:rPr>
        <w:t xml:space="preserve">002, Figure </w:t>
      </w:r>
      <w:r w:rsidR="009C2BF6">
        <w:rPr>
          <w:sz w:val="20"/>
          <w:szCs w:val="20"/>
        </w:rPr>
        <w:t>4</w:t>
      </w:r>
      <w:r w:rsidR="0009535F" w:rsidRPr="001F2127">
        <w:rPr>
          <w:sz w:val="20"/>
          <w:szCs w:val="20"/>
        </w:rPr>
        <w:t>)</w:t>
      </w:r>
      <w:r w:rsidRPr="001F2127">
        <w:rPr>
          <w:sz w:val="20"/>
          <w:szCs w:val="20"/>
        </w:rPr>
        <w:t xml:space="preserve">. Conversely, there was a reduction in </w:t>
      </w:r>
      <w:r w:rsidR="00AE66A3">
        <w:rPr>
          <w:sz w:val="20"/>
          <w:szCs w:val="20"/>
        </w:rPr>
        <w:t xml:space="preserve">paralytic </w:t>
      </w:r>
      <w:r w:rsidR="000F3699" w:rsidRPr="001F2127">
        <w:rPr>
          <w:sz w:val="20"/>
          <w:szCs w:val="20"/>
        </w:rPr>
        <w:t>squint</w:t>
      </w:r>
      <w:r w:rsidRPr="001F2127">
        <w:rPr>
          <w:sz w:val="20"/>
          <w:szCs w:val="20"/>
        </w:rPr>
        <w:t xml:space="preserve"> </w:t>
      </w:r>
      <w:r w:rsidR="0057348A" w:rsidRPr="001F2127">
        <w:rPr>
          <w:sz w:val="20"/>
          <w:szCs w:val="20"/>
        </w:rPr>
        <w:t xml:space="preserve">with </w:t>
      </w:r>
      <w:r w:rsidR="003A11CF" w:rsidRPr="001F2127">
        <w:rPr>
          <w:sz w:val="20"/>
          <w:szCs w:val="20"/>
        </w:rPr>
        <w:t>successive</w:t>
      </w:r>
      <w:r w:rsidR="0057348A" w:rsidRPr="001F2127">
        <w:rPr>
          <w:sz w:val="20"/>
          <w:szCs w:val="20"/>
        </w:rPr>
        <w:t xml:space="preserve"> age</w:t>
      </w:r>
      <w:r w:rsidR="00E058E1" w:rsidRPr="001F2127">
        <w:rPr>
          <w:sz w:val="20"/>
          <w:szCs w:val="20"/>
        </w:rPr>
        <w:t xml:space="preserve"> categories</w:t>
      </w:r>
      <w:r w:rsidR="0057348A" w:rsidRPr="001F2127">
        <w:rPr>
          <w:sz w:val="20"/>
          <w:szCs w:val="20"/>
        </w:rPr>
        <w:t xml:space="preserve"> </w:t>
      </w:r>
      <w:r w:rsidRPr="001F2127">
        <w:rPr>
          <w:sz w:val="20"/>
          <w:szCs w:val="20"/>
        </w:rPr>
        <w:t>from 29%</w:t>
      </w:r>
      <w:r w:rsidR="001415C1">
        <w:rPr>
          <w:sz w:val="20"/>
          <w:szCs w:val="20"/>
        </w:rPr>
        <w:t xml:space="preserve"> (5/17)</w:t>
      </w:r>
      <w:r w:rsidRPr="001F2127">
        <w:rPr>
          <w:sz w:val="20"/>
          <w:szCs w:val="20"/>
        </w:rPr>
        <w:t xml:space="preserve"> to 9% </w:t>
      </w:r>
      <w:r w:rsidR="001415C1">
        <w:rPr>
          <w:sz w:val="20"/>
          <w:szCs w:val="20"/>
        </w:rPr>
        <w:t xml:space="preserve">(5/58) </w:t>
      </w:r>
      <w:r w:rsidR="00B06886">
        <w:rPr>
          <w:sz w:val="20"/>
          <w:szCs w:val="20"/>
        </w:rPr>
        <w:t xml:space="preserve">then </w:t>
      </w:r>
      <w:r w:rsidR="00AE66A3">
        <w:rPr>
          <w:sz w:val="20"/>
          <w:szCs w:val="20"/>
        </w:rPr>
        <w:t xml:space="preserve">to </w:t>
      </w:r>
      <w:r w:rsidRPr="001F2127">
        <w:rPr>
          <w:sz w:val="20"/>
          <w:szCs w:val="20"/>
        </w:rPr>
        <w:t xml:space="preserve">8% </w:t>
      </w:r>
      <w:r w:rsidR="001415C1">
        <w:rPr>
          <w:sz w:val="20"/>
          <w:szCs w:val="20"/>
        </w:rPr>
        <w:t xml:space="preserve">(9/110) </w:t>
      </w:r>
      <w:r w:rsidRPr="001F2127">
        <w:rPr>
          <w:sz w:val="20"/>
          <w:szCs w:val="20"/>
        </w:rPr>
        <w:t>respectively (p=0</w:t>
      </w:r>
      <w:r w:rsidR="002D5010">
        <w:rPr>
          <w:sz w:val="20"/>
          <w:szCs w:val="20"/>
        </w:rPr>
        <w:t>.</w:t>
      </w:r>
      <w:r w:rsidRPr="001F2127">
        <w:rPr>
          <w:sz w:val="20"/>
          <w:szCs w:val="20"/>
        </w:rPr>
        <w:t>024) and of transient visual loss from 35%</w:t>
      </w:r>
      <w:r w:rsidR="001415C1">
        <w:rPr>
          <w:sz w:val="20"/>
          <w:szCs w:val="20"/>
        </w:rPr>
        <w:t xml:space="preserve"> (6/17)</w:t>
      </w:r>
      <w:r w:rsidRPr="001F2127">
        <w:rPr>
          <w:sz w:val="20"/>
          <w:szCs w:val="20"/>
        </w:rPr>
        <w:t xml:space="preserve"> </w:t>
      </w:r>
      <w:r w:rsidR="003613B9" w:rsidRPr="001F2127">
        <w:rPr>
          <w:sz w:val="20"/>
          <w:szCs w:val="20"/>
        </w:rPr>
        <w:t xml:space="preserve">to 10% </w:t>
      </w:r>
      <w:r w:rsidR="001415C1">
        <w:rPr>
          <w:sz w:val="20"/>
          <w:szCs w:val="20"/>
        </w:rPr>
        <w:t xml:space="preserve">(6/58) </w:t>
      </w:r>
      <w:r w:rsidR="00B06886">
        <w:rPr>
          <w:sz w:val="20"/>
          <w:szCs w:val="20"/>
        </w:rPr>
        <w:t xml:space="preserve">then </w:t>
      </w:r>
      <w:r w:rsidR="00AE66A3">
        <w:rPr>
          <w:sz w:val="20"/>
          <w:szCs w:val="20"/>
        </w:rPr>
        <w:t xml:space="preserve">to </w:t>
      </w:r>
      <w:r w:rsidR="003613B9" w:rsidRPr="001F2127">
        <w:rPr>
          <w:sz w:val="20"/>
          <w:szCs w:val="20"/>
        </w:rPr>
        <w:t xml:space="preserve">9% </w:t>
      </w:r>
      <w:r w:rsidR="001415C1">
        <w:rPr>
          <w:sz w:val="20"/>
          <w:szCs w:val="20"/>
        </w:rPr>
        <w:t xml:space="preserve">(10/110) </w:t>
      </w:r>
      <w:r w:rsidR="002D5010">
        <w:rPr>
          <w:sz w:val="20"/>
          <w:szCs w:val="20"/>
        </w:rPr>
        <w:t>respectively (p=0.</w:t>
      </w:r>
      <w:r w:rsidRPr="001F2127">
        <w:rPr>
          <w:sz w:val="20"/>
          <w:szCs w:val="20"/>
        </w:rPr>
        <w:t xml:space="preserve">007) (Figure </w:t>
      </w:r>
      <w:r w:rsidR="009C2BF6">
        <w:rPr>
          <w:sz w:val="20"/>
          <w:szCs w:val="20"/>
        </w:rPr>
        <w:t>4</w:t>
      </w:r>
      <w:r w:rsidRPr="001F2127">
        <w:rPr>
          <w:sz w:val="20"/>
          <w:szCs w:val="20"/>
        </w:rPr>
        <w:t>).</w:t>
      </w:r>
      <w:r w:rsidR="00AB0B67" w:rsidRPr="001F2127">
        <w:rPr>
          <w:sz w:val="20"/>
          <w:szCs w:val="20"/>
        </w:rPr>
        <w:t xml:space="preserve"> </w:t>
      </w:r>
    </w:p>
    <w:p w:rsidR="003B7C86" w:rsidRPr="001F2127" w:rsidRDefault="003B7C86" w:rsidP="00E20257">
      <w:pPr>
        <w:spacing w:line="480" w:lineRule="auto"/>
        <w:rPr>
          <w:sz w:val="20"/>
          <w:szCs w:val="20"/>
        </w:rPr>
      </w:pPr>
    </w:p>
    <w:p w:rsidR="00DD6B21" w:rsidRPr="001F2127" w:rsidRDefault="000F3699" w:rsidP="00E20257">
      <w:pPr>
        <w:spacing w:line="480" w:lineRule="auto"/>
        <w:rPr>
          <w:sz w:val="20"/>
          <w:szCs w:val="20"/>
        </w:rPr>
      </w:pPr>
      <w:r w:rsidRPr="001F2127">
        <w:rPr>
          <w:b/>
          <w:sz w:val="20"/>
          <w:szCs w:val="20"/>
        </w:rPr>
        <w:t>R</w:t>
      </w:r>
      <w:r w:rsidR="00720407" w:rsidRPr="001F2127">
        <w:rPr>
          <w:b/>
          <w:sz w:val="20"/>
          <w:szCs w:val="20"/>
        </w:rPr>
        <w:t xml:space="preserve">isk factors for </w:t>
      </w:r>
      <w:r w:rsidR="00E04262" w:rsidRPr="001F2127">
        <w:rPr>
          <w:b/>
          <w:sz w:val="20"/>
          <w:szCs w:val="20"/>
        </w:rPr>
        <w:t>PTCS and</w:t>
      </w:r>
      <w:r w:rsidR="00720407" w:rsidRPr="001F2127">
        <w:rPr>
          <w:b/>
          <w:sz w:val="20"/>
          <w:szCs w:val="20"/>
        </w:rPr>
        <w:t xml:space="preserve"> their relation to </w:t>
      </w:r>
      <w:r w:rsidR="00AB0B67" w:rsidRPr="001F2127">
        <w:rPr>
          <w:b/>
          <w:sz w:val="20"/>
          <w:szCs w:val="20"/>
        </w:rPr>
        <w:t>age and sex</w:t>
      </w:r>
    </w:p>
    <w:p w:rsidR="00DD6B21" w:rsidRPr="001F2127" w:rsidRDefault="001027D5" w:rsidP="00E20257">
      <w:pPr>
        <w:spacing w:line="480" w:lineRule="auto"/>
        <w:rPr>
          <w:bCs/>
          <w:iCs/>
          <w:sz w:val="20"/>
          <w:szCs w:val="20"/>
        </w:rPr>
      </w:pPr>
      <w:r w:rsidRPr="001F2127">
        <w:rPr>
          <w:sz w:val="20"/>
          <w:szCs w:val="20"/>
        </w:rPr>
        <w:t xml:space="preserve">Ninety-three (50%) cases had one and 61 (33%) </w:t>
      </w:r>
      <w:r w:rsidR="00B07239">
        <w:rPr>
          <w:sz w:val="20"/>
          <w:szCs w:val="20"/>
        </w:rPr>
        <w:t xml:space="preserve">had more than one </w:t>
      </w:r>
      <w:r w:rsidR="003B7C86">
        <w:rPr>
          <w:sz w:val="20"/>
          <w:szCs w:val="20"/>
        </w:rPr>
        <w:t>recognised</w:t>
      </w:r>
      <w:r w:rsidRPr="001F2127">
        <w:rPr>
          <w:sz w:val="20"/>
          <w:szCs w:val="20"/>
        </w:rPr>
        <w:t xml:space="preserve"> </w:t>
      </w:r>
      <w:r>
        <w:rPr>
          <w:sz w:val="20"/>
          <w:szCs w:val="20"/>
        </w:rPr>
        <w:t xml:space="preserve">risk factor </w:t>
      </w:r>
      <w:r w:rsidR="003B7C86">
        <w:rPr>
          <w:sz w:val="20"/>
          <w:szCs w:val="20"/>
        </w:rPr>
        <w:t xml:space="preserve">at diagnosis </w:t>
      </w:r>
      <w:r w:rsidRPr="001F2127">
        <w:rPr>
          <w:sz w:val="20"/>
          <w:szCs w:val="20"/>
        </w:rPr>
        <w:t>(</w:t>
      </w:r>
      <w:r w:rsidR="005E11C4">
        <w:rPr>
          <w:sz w:val="20"/>
          <w:szCs w:val="20"/>
        </w:rPr>
        <w:t xml:space="preserve">Appendix </w:t>
      </w:r>
      <w:r w:rsidRPr="001F2127">
        <w:rPr>
          <w:sz w:val="20"/>
          <w:szCs w:val="20"/>
        </w:rPr>
        <w:t xml:space="preserve">Table </w:t>
      </w:r>
      <w:r w:rsidR="005E11C4">
        <w:rPr>
          <w:sz w:val="20"/>
          <w:szCs w:val="20"/>
        </w:rPr>
        <w:t>e</w:t>
      </w:r>
      <w:r w:rsidR="009E0C5B">
        <w:rPr>
          <w:sz w:val="20"/>
          <w:szCs w:val="20"/>
        </w:rPr>
        <w:t>1</w:t>
      </w:r>
      <w:r w:rsidRPr="001F2127">
        <w:rPr>
          <w:sz w:val="20"/>
          <w:szCs w:val="20"/>
        </w:rPr>
        <w:t xml:space="preserve">). </w:t>
      </w:r>
      <w:r w:rsidR="008B4A0C">
        <w:rPr>
          <w:sz w:val="20"/>
          <w:szCs w:val="20"/>
        </w:rPr>
        <w:t>O</w:t>
      </w:r>
      <w:r w:rsidR="00AB0B67" w:rsidRPr="001F2127">
        <w:rPr>
          <w:sz w:val="20"/>
          <w:szCs w:val="20"/>
        </w:rPr>
        <w:t>verweight</w:t>
      </w:r>
      <w:r w:rsidR="008B4A0C">
        <w:rPr>
          <w:sz w:val="20"/>
          <w:szCs w:val="20"/>
        </w:rPr>
        <w:t xml:space="preserve"> </w:t>
      </w:r>
      <w:r w:rsidR="00033DB7">
        <w:rPr>
          <w:sz w:val="20"/>
          <w:szCs w:val="20"/>
        </w:rPr>
        <w:t xml:space="preserve">or </w:t>
      </w:r>
      <w:r w:rsidR="00AB0B67" w:rsidRPr="001F2127">
        <w:rPr>
          <w:sz w:val="20"/>
          <w:szCs w:val="20"/>
        </w:rPr>
        <w:t xml:space="preserve">obesity </w:t>
      </w:r>
      <w:r w:rsidR="00B07239">
        <w:rPr>
          <w:sz w:val="20"/>
          <w:szCs w:val="20"/>
        </w:rPr>
        <w:t xml:space="preserve">was </w:t>
      </w:r>
      <w:r w:rsidR="00AB0B67" w:rsidRPr="001F2127">
        <w:rPr>
          <w:sz w:val="20"/>
          <w:szCs w:val="20"/>
        </w:rPr>
        <w:t>the only risk factor in 87</w:t>
      </w:r>
      <w:r w:rsidR="001415C1">
        <w:rPr>
          <w:sz w:val="20"/>
          <w:szCs w:val="20"/>
        </w:rPr>
        <w:t>/185</w:t>
      </w:r>
      <w:r w:rsidR="00AB0B67" w:rsidRPr="001F2127">
        <w:rPr>
          <w:sz w:val="20"/>
          <w:szCs w:val="20"/>
        </w:rPr>
        <w:t xml:space="preserve"> (47%) and </w:t>
      </w:r>
      <w:r w:rsidR="00B07239">
        <w:rPr>
          <w:sz w:val="20"/>
          <w:szCs w:val="20"/>
        </w:rPr>
        <w:t>was</w:t>
      </w:r>
      <w:r w:rsidR="0047363F">
        <w:rPr>
          <w:sz w:val="20"/>
          <w:szCs w:val="20"/>
        </w:rPr>
        <w:t xml:space="preserve"> </w:t>
      </w:r>
      <w:r w:rsidR="00863F3A">
        <w:rPr>
          <w:sz w:val="20"/>
          <w:szCs w:val="20"/>
        </w:rPr>
        <w:t>accompanied</w:t>
      </w:r>
      <w:r w:rsidR="00AB0B67" w:rsidRPr="001F2127">
        <w:rPr>
          <w:sz w:val="20"/>
          <w:szCs w:val="20"/>
        </w:rPr>
        <w:t xml:space="preserve"> </w:t>
      </w:r>
      <w:r w:rsidR="00B07239">
        <w:rPr>
          <w:sz w:val="20"/>
          <w:szCs w:val="20"/>
        </w:rPr>
        <w:t xml:space="preserve">by </w:t>
      </w:r>
      <w:r w:rsidR="00AB0B67" w:rsidRPr="001F2127">
        <w:rPr>
          <w:sz w:val="20"/>
          <w:szCs w:val="20"/>
        </w:rPr>
        <w:t>other</w:t>
      </w:r>
      <w:r w:rsidR="0047363F">
        <w:rPr>
          <w:sz w:val="20"/>
          <w:szCs w:val="20"/>
        </w:rPr>
        <w:t xml:space="preserve"> risk factor</w:t>
      </w:r>
      <w:r w:rsidR="00B07239">
        <w:rPr>
          <w:sz w:val="20"/>
          <w:szCs w:val="20"/>
        </w:rPr>
        <w:t>s</w:t>
      </w:r>
      <w:r w:rsidR="00AB0B67" w:rsidRPr="001F2127">
        <w:rPr>
          <w:sz w:val="20"/>
          <w:szCs w:val="20"/>
        </w:rPr>
        <w:t xml:space="preserve"> in 54</w:t>
      </w:r>
      <w:r w:rsidR="001415C1">
        <w:rPr>
          <w:sz w:val="20"/>
          <w:szCs w:val="20"/>
        </w:rPr>
        <w:t>/185</w:t>
      </w:r>
      <w:r w:rsidR="00AB0B67" w:rsidRPr="001F2127">
        <w:rPr>
          <w:sz w:val="20"/>
          <w:szCs w:val="20"/>
        </w:rPr>
        <w:t xml:space="preserve"> (29%) </w:t>
      </w:r>
      <w:r w:rsidR="00B76ED5">
        <w:rPr>
          <w:sz w:val="20"/>
          <w:szCs w:val="20"/>
        </w:rPr>
        <w:t xml:space="preserve">cases </w:t>
      </w:r>
      <w:r w:rsidR="00AB0B67" w:rsidRPr="001F2127">
        <w:rPr>
          <w:sz w:val="20"/>
          <w:szCs w:val="20"/>
        </w:rPr>
        <w:t>(</w:t>
      </w:r>
      <w:r w:rsidR="005E11C4">
        <w:rPr>
          <w:sz w:val="20"/>
          <w:szCs w:val="20"/>
        </w:rPr>
        <w:t>Appendix Table e</w:t>
      </w:r>
      <w:r w:rsidR="009E0C5B">
        <w:rPr>
          <w:sz w:val="20"/>
          <w:szCs w:val="20"/>
        </w:rPr>
        <w:t>1</w:t>
      </w:r>
      <w:r w:rsidR="00AB0B67" w:rsidRPr="001F2127">
        <w:rPr>
          <w:sz w:val="20"/>
          <w:szCs w:val="20"/>
        </w:rPr>
        <w:t xml:space="preserve">). </w:t>
      </w:r>
      <w:r w:rsidR="00CF3907">
        <w:rPr>
          <w:sz w:val="20"/>
          <w:szCs w:val="20"/>
        </w:rPr>
        <w:t xml:space="preserve">Among 46/185 </w:t>
      </w:r>
      <w:r w:rsidR="00551A96">
        <w:rPr>
          <w:sz w:val="20"/>
          <w:szCs w:val="20"/>
        </w:rPr>
        <w:t>(</w:t>
      </w:r>
      <w:r w:rsidR="00CF3907">
        <w:rPr>
          <w:sz w:val="20"/>
          <w:szCs w:val="20"/>
        </w:rPr>
        <w:t>25%</w:t>
      </w:r>
      <w:r w:rsidR="00551A96">
        <w:rPr>
          <w:sz w:val="20"/>
          <w:szCs w:val="20"/>
        </w:rPr>
        <w:t>)</w:t>
      </w:r>
      <w:r w:rsidR="00CF3907">
        <w:rPr>
          <w:sz w:val="20"/>
          <w:szCs w:val="20"/>
        </w:rPr>
        <w:t xml:space="preserve"> </w:t>
      </w:r>
      <w:r w:rsidR="00CF3907">
        <w:rPr>
          <w:sz w:val="20"/>
          <w:szCs w:val="20"/>
        </w:rPr>
        <w:lastRenderedPageBreak/>
        <w:t xml:space="preserve">cases </w:t>
      </w:r>
      <w:r w:rsidR="00551A96">
        <w:rPr>
          <w:sz w:val="20"/>
          <w:szCs w:val="20"/>
        </w:rPr>
        <w:t>on medication, 16 (9</w:t>
      </w:r>
      <w:r w:rsidR="00CF3907">
        <w:rPr>
          <w:sz w:val="20"/>
          <w:szCs w:val="20"/>
        </w:rPr>
        <w:t xml:space="preserve">%) had a medical condition and girls were overrepresented </w:t>
      </w:r>
      <w:r w:rsidR="00DF0709">
        <w:rPr>
          <w:sz w:val="20"/>
          <w:szCs w:val="20"/>
        </w:rPr>
        <w:t>(40/124</w:t>
      </w:r>
      <w:r w:rsidR="00F804F1">
        <w:rPr>
          <w:sz w:val="20"/>
          <w:szCs w:val="20"/>
        </w:rPr>
        <w:t xml:space="preserve"> or </w:t>
      </w:r>
      <w:r w:rsidR="00CF3907" w:rsidRPr="001F2127">
        <w:rPr>
          <w:sz w:val="20"/>
          <w:szCs w:val="20"/>
        </w:rPr>
        <w:t>32%</w:t>
      </w:r>
      <w:r w:rsidR="00F804F1">
        <w:rPr>
          <w:sz w:val="20"/>
          <w:szCs w:val="20"/>
        </w:rPr>
        <w:t xml:space="preserve"> vs 6/61 or </w:t>
      </w:r>
      <w:r w:rsidR="00CF3907" w:rsidRPr="001F2127">
        <w:rPr>
          <w:sz w:val="20"/>
          <w:szCs w:val="20"/>
        </w:rPr>
        <w:t>10%</w:t>
      </w:r>
      <w:r w:rsidR="00CF3907">
        <w:rPr>
          <w:sz w:val="20"/>
          <w:szCs w:val="20"/>
        </w:rPr>
        <w:t>,</w:t>
      </w:r>
      <w:r w:rsidR="00CF3907" w:rsidRPr="001F2127">
        <w:rPr>
          <w:sz w:val="20"/>
          <w:szCs w:val="20"/>
        </w:rPr>
        <w:t xml:space="preserve"> </w:t>
      </w:r>
      <w:r w:rsidR="002D5010">
        <w:rPr>
          <w:sz w:val="20"/>
          <w:szCs w:val="20"/>
        </w:rPr>
        <w:t>p=0.</w:t>
      </w:r>
      <w:r w:rsidR="00CF3907" w:rsidRPr="001F2127">
        <w:rPr>
          <w:sz w:val="20"/>
          <w:szCs w:val="20"/>
        </w:rPr>
        <w:t xml:space="preserve">001). </w:t>
      </w:r>
      <w:r w:rsidR="0047363F">
        <w:rPr>
          <w:sz w:val="20"/>
          <w:szCs w:val="20"/>
        </w:rPr>
        <w:t xml:space="preserve">A further </w:t>
      </w:r>
      <w:r w:rsidR="00F804F1">
        <w:rPr>
          <w:sz w:val="20"/>
          <w:szCs w:val="20"/>
        </w:rPr>
        <w:t>21cases</w:t>
      </w:r>
      <w:r w:rsidR="00551A96">
        <w:rPr>
          <w:sz w:val="20"/>
          <w:szCs w:val="20"/>
        </w:rPr>
        <w:t xml:space="preserve"> had a medical condition without associated medication.</w:t>
      </w:r>
      <w:r w:rsidR="00551A96" w:rsidRPr="001F2127" w:rsidDel="00CF3907">
        <w:rPr>
          <w:sz w:val="20"/>
          <w:szCs w:val="20"/>
        </w:rPr>
        <w:t xml:space="preserve"> </w:t>
      </w:r>
      <w:r w:rsidR="00AB0B67" w:rsidRPr="001F2127">
        <w:rPr>
          <w:sz w:val="20"/>
          <w:szCs w:val="20"/>
        </w:rPr>
        <w:t xml:space="preserve">The commonest </w:t>
      </w:r>
      <w:r w:rsidR="0047363F">
        <w:rPr>
          <w:sz w:val="20"/>
          <w:szCs w:val="20"/>
        </w:rPr>
        <w:t xml:space="preserve">reported </w:t>
      </w:r>
      <w:r w:rsidR="00AB0B67" w:rsidRPr="001F2127">
        <w:rPr>
          <w:sz w:val="20"/>
          <w:szCs w:val="20"/>
        </w:rPr>
        <w:t xml:space="preserve">medical </w:t>
      </w:r>
      <w:r w:rsidR="00551A96">
        <w:rPr>
          <w:sz w:val="20"/>
          <w:szCs w:val="20"/>
        </w:rPr>
        <w:t>condition</w:t>
      </w:r>
      <w:r w:rsidR="0047363F">
        <w:rPr>
          <w:sz w:val="20"/>
          <w:szCs w:val="20"/>
        </w:rPr>
        <w:t>s</w:t>
      </w:r>
      <w:r w:rsidR="00551A96">
        <w:rPr>
          <w:sz w:val="20"/>
          <w:szCs w:val="20"/>
        </w:rPr>
        <w:t xml:space="preserve"> were </w:t>
      </w:r>
      <w:r w:rsidR="00AB0B67" w:rsidRPr="001F2127">
        <w:rPr>
          <w:sz w:val="20"/>
          <w:szCs w:val="20"/>
        </w:rPr>
        <w:t>migraine</w:t>
      </w:r>
      <w:r w:rsidR="0047363F">
        <w:rPr>
          <w:sz w:val="20"/>
          <w:szCs w:val="20"/>
        </w:rPr>
        <w:t>,</w:t>
      </w:r>
      <w:r w:rsidR="0047363F" w:rsidRPr="001F2127">
        <w:rPr>
          <w:sz w:val="20"/>
          <w:szCs w:val="20"/>
        </w:rPr>
        <w:t xml:space="preserve"> in 18</w:t>
      </w:r>
      <w:r w:rsidR="0047363F">
        <w:rPr>
          <w:sz w:val="20"/>
          <w:szCs w:val="20"/>
        </w:rPr>
        <w:t>/185</w:t>
      </w:r>
      <w:r w:rsidR="0047363F" w:rsidRPr="001F2127">
        <w:rPr>
          <w:sz w:val="20"/>
          <w:szCs w:val="20"/>
        </w:rPr>
        <w:t xml:space="preserve"> (10%)</w:t>
      </w:r>
      <w:r w:rsidR="0047363F">
        <w:rPr>
          <w:sz w:val="20"/>
          <w:szCs w:val="20"/>
        </w:rPr>
        <w:t>,</w:t>
      </w:r>
      <w:r w:rsidR="0047363F" w:rsidRPr="001F2127">
        <w:rPr>
          <w:sz w:val="20"/>
          <w:szCs w:val="20"/>
        </w:rPr>
        <w:t xml:space="preserve"> </w:t>
      </w:r>
      <w:r w:rsidR="00551A96" w:rsidRPr="001F2127">
        <w:rPr>
          <w:sz w:val="20"/>
          <w:szCs w:val="20"/>
        </w:rPr>
        <w:t xml:space="preserve">and </w:t>
      </w:r>
      <w:r w:rsidR="00551A96">
        <w:rPr>
          <w:sz w:val="20"/>
          <w:szCs w:val="20"/>
        </w:rPr>
        <w:t xml:space="preserve">antibiotic use for </w:t>
      </w:r>
      <w:r w:rsidR="00551A96" w:rsidRPr="001F2127">
        <w:rPr>
          <w:sz w:val="20"/>
          <w:szCs w:val="20"/>
        </w:rPr>
        <w:t>acne</w:t>
      </w:r>
      <w:r w:rsidR="00551A96">
        <w:rPr>
          <w:sz w:val="20"/>
          <w:szCs w:val="20"/>
        </w:rPr>
        <w:t xml:space="preserve">, </w:t>
      </w:r>
      <w:r w:rsidR="0047363F">
        <w:rPr>
          <w:sz w:val="20"/>
          <w:szCs w:val="20"/>
        </w:rPr>
        <w:t xml:space="preserve">in </w:t>
      </w:r>
      <w:r w:rsidR="00AB0B67" w:rsidRPr="001F2127">
        <w:rPr>
          <w:sz w:val="20"/>
          <w:szCs w:val="20"/>
        </w:rPr>
        <w:t>10</w:t>
      </w:r>
      <w:r w:rsidR="001415C1">
        <w:rPr>
          <w:sz w:val="20"/>
          <w:szCs w:val="20"/>
        </w:rPr>
        <w:t>/185</w:t>
      </w:r>
      <w:r w:rsidR="00AB0B67" w:rsidRPr="001F2127">
        <w:rPr>
          <w:sz w:val="20"/>
          <w:szCs w:val="20"/>
        </w:rPr>
        <w:t xml:space="preserve"> (5%). </w:t>
      </w:r>
      <w:r w:rsidR="00B07239" w:rsidRPr="001F2127">
        <w:rPr>
          <w:sz w:val="20"/>
          <w:szCs w:val="20"/>
        </w:rPr>
        <w:t xml:space="preserve">The </w:t>
      </w:r>
      <w:r w:rsidR="00B07239">
        <w:rPr>
          <w:sz w:val="20"/>
          <w:szCs w:val="20"/>
        </w:rPr>
        <w:t xml:space="preserve">percentage of cases with risk factors increased </w:t>
      </w:r>
      <w:r w:rsidR="00B07239" w:rsidRPr="001F2127">
        <w:rPr>
          <w:sz w:val="20"/>
          <w:szCs w:val="20"/>
        </w:rPr>
        <w:t xml:space="preserve">with successive age categories from </w:t>
      </w:r>
      <w:r w:rsidR="00B07239" w:rsidRPr="001F2127">
        <w:rPr>
          <w:bCs/>
          <w:iCs/>
          <w:sz w:val="20"/>
          <w:szCs w:val="20"/>
        </w:rPr>
        <w:t>59%</w:t>
      </w:r>
      <w:r w:rsidR="00B07239">
        <w:rPr>
          <w:bCs/>
          <w:iCs/>
          <w:sz w:val="20"/>
          <w:szCs w:val="20"/>
        </w:rPr>
        <w:t xml:space="preserve"> (10/17) </w:t>
      </w:r>
      <w:r w:rsidR="00B07239" w:rsidRPr="001F2127">
        <w:rPr>
          <w:bCs/>
          <w:iCs/>
          <w:sz w:val="20"/>
          <w:szCs w:val="20"/>
        </w:rPr>
        <w:t>to 76%</w:t>
      </w:r>
      <w:r w:rsidR="00B07239">
        <w:rPr>
          <w:bCs/>
          <w:iCs/>
          <w:sz w:val="20"/>
          <w:szCs w:val="20"/>
        </w:rPr>
        <w:t xml:space="preserve"> (44/58)</w:t>
      </w:r>
      <w:r w:rsidR="00B07239" w:rsidRPr="001F2127">
        <w:rPr>
          <w:bCs/>
          <w:iCs/>
          <w:sz w:val="20"/>
          <w:szCs w:val="20"/>
        </w:rPr>
        <w:t xml:space="preserve"> </w:t>
      </w:r>
      <w:r w:rsidR="00B07239">
        <w:rPr>
          <w:bCs/>
          <w:iCs/>
          <w:sz w:val="20"/>
          <w:szCs w:val="20"/>
        </w:rPr>
        <w:t xml:space="preserve">then to </w:t>
      </w:r>
      <w:r w:rsidR="00B07239" w:rsidRPr="001F2127">
        <w:rPr>
          <w:bCs/>
          <w:iCs/>
          <w:sz w:val="20"/>
          <w:szCs w:val="20"/>
        </w:rPr>
        <w:t>91%</w:t>
      </w:r>
      <w:r w:rsidR="00B07239">
        <w:rPr>
          <w:bCs/>
          <w:iCs/>
          <w:sz w:val="20"/>
          <w:szCs w:val="20"/>
        </w:rPr>
        <w:t xml:space="preserve"> (100/110)</w:t>
      </w:r>
      <w:r w:rsidR="00B07239" w:rsidRPr="001F2127">
        <w:rPr>
          <w:bCs/>
          <w:iCs/>
          <w:sz w:val="20"/>
          <w:szCs w:val="20"/>
        </w:rPr>
        <w:t xml:space="preserve"> </w:t>
      </w:r>
      <w:r w:rsidR="002D5010">
        <w:rPr>
          <w:sz w:val="20"/>
          <w:szCs w:val="20"/>
        </w:rPr>
        <w:t>(p=0.</w:t>
      </w:r>
      <w:r w:rsidR="00B07239" w:rsidRPr="001F2127">
        <w:rPr>
          <w:sz w:val="20"/>
          <w:szCs w:val="20"/>
        </w:rPr>
        <w:t>001).</w:t>
      </w:r>
    </w:p>
    <w:p w:rsidR="00DD6B21" w:rsidRDefault="00DD6B21" w:rsidP="00E20257">
      <w:pPr>
        <w:spacing w:line="480" w:lineRule="auto"/>
        <w:rPr>
          <w:sz w:val="20"/>
          <w:szCs w:val="20"/>
        </w:rPr>
      </w:pPr>
    </w:p>
    <w:p w:rsidR="002F3702" w:rsidRPr="001F2127" w:rsidRDefault="00993FAE" w:rsidP="00E20257">
      <w:pPr>
        <w:spacing w:line="480" w:lineRule="auto"/>
        <w:rPr>
          <w:sz w:val="20"/>
          <w:szCs w:val="20"/>
        </w:rPr>
      </w:pPr>
      <w:r w:rsidRPr="001F2127">
        <w:rPr>
          <w:b/>
          <w:sz w:val="20"/>
          <w:szCs w:val="20"/>
        </w:rPr>
        <w:t>Neuroimaging</w:t>
      </w:r>
      <w:r w:rsidR="00225FD5" w:rsidRPr="001F2127">
        <w:rPr>
          <w:b/>
          <w:sz w:val="20"/>
          <w:szCs w:val="20"/>
        </w:rPr>
        <w:t xml:space="preserve"> </w:t>
      </w:r>
      <w:r w:rsidR="00CC5F40" w:rsidRPr="001F2127">
        <w:rPr>
          <w:b/>
          <w:sz w:val="20"/>
          <w:szCs w:val="20"/>
        </w:rPr>
        <w:t xml:space="preserve">and </w:t>
      </w:r>
      <w:r w:rsidR="00AA5548" w:rsidRPr="001F2127">
        <w:rPr>
          <w:b/>
          <w:sz w:val="20"/>
          <w:szCs w:val="20"/>
        </w:rPr>
        <w:t>CSF</w:t>
      </w:r>
      <w:r w:rsidR="00CC5F40" w:rsidRPr="001F2127">
        <w:rPr>
          <w:b/>
          <w:sz w:val="20"/>
          <w:szCs w:val="20"/>
        </w:rPr>
        <w:t xml:space="preserve"> </w:t>
      </w:r>
      <w:r w:rsidR="00043D05">
        <w:rPr>
          <w:b/>
          <w:sz w:val="20"/>
          <w:szCs w:val="20"/>
        </w:rPr>
        <w:t>findings</w:t>
      </w:r>
    </w:p>
    <w:p w:rsidR="00993FAE" w:rsidRDefault="008C43FB" w:rsidP="00E20257">
      <w:pPr>
        <w:spacing w:line="480" w:lineRule="auto"/>
        <w:rPr>
          <w:sz w:val="20"/>
          <w:szCs w:val="20"/>
        </w:rPr>
      </w:pPr>
      <w:r w:rsidRPr="001F2127">
        <w:rPr>
          <w:sz w:val="20"/>
          <w:szCs w:val="20"/>
        </w:rPr>
        <w:t>All cases had</w:t>
      </w:r>
      <w:r w:rsidR="00786977" w:rsidRPr="001F2127">
        <w:rPr>
          <w:sz w:val="20"/>
          <w:szCs w:val="20"/>
        </w:rPr>
        <w:t xml:space="preserve"> </w:t>
      </w:r>
      <w:r w:rsidR="00B76ED5">
        <w:rPr>
          <w:sz w:val="20"/>
          <w:szCs w:val="20"/>
        </w:rPr>
        <w:t>cranial n</w:t>
      </w:r>
      <w:r w:rsidR="009B1AA0">
        <w:rPr>
          <w:sz w:val="20"/>
          <w:szCs w:val="20"/>
        </w:rPr>
        <w:t xml:space="preserve">euroimaging </w:t>
      </w:r>
      <w:r w:rsidR="00CF3907">
        <w:rPr>
          <w:sz w:val="20"/>
          <w:szCs w:val="20"/>
        </w:rPr>
        <w:t xml:space="preserve">and this included </w:t>
      </w:r>
      <w:r w:rsidR="009B1AA0" w:rsidRPr="001F2127">
        <w:rPr>
          <w:sz w:val="20"/>
          <w:szCs w:val="20"/>
        </w:rPr>
        <w:t>venography</w:t>
      </w:r>
      <w:r w:rsidR="009B1AA0">
        <w:rPr>
          <w:sz w:val="20"/>
          <w:szCs w:val="20"/>
        </w:rPr>
        <w:t xml:space="preserve"> in </w:t>
      </w:r>
      <w:r w:rsidR="006B76F2" w:rsidRPr="001F2127">
        <w:rPr>
          <w:sz w:val="20"/>
          <w:szCs w:val="20"/>
        </w:rPr>
        <w:t>111</w:t>
      </w:r>
      <w:r w:rsidR="00731FAD">
        <w:rPr>
          <w:sz w:val="20"/>
          <w:szCs w:val="20"/>
        </w:rPr>
        <w:t>/185</w:t>
      </w:r>
      <w:r w:rsidR="006B76F2" w:rsidRPr="001F2127">
        <w:rPr>
          <w:sz w:val="20"/>
          <w:szCs w:val="20"/>
        </w:rPr>
        <w:t xml:space="preserve"> (60%)</w:t>
      </w:r>
      <w:r w:rsidR="0047363F">
        <w:rPr>
          <w:sz w:val="20"/>
          <w:szCs w:val="20"/>
        </w:rPr>
        <w:t xml:space="preserve">. Those with and without venography </w:t>
      </w:r>
      <w:r w:rsidR="00CF3907">
        <w:rPr>
          <w:sz w:val="20"/>
          <w:szCs w:val="20"/>
        </w:rPr>
        <w:t xml:space="preserve">did not differ </w:t>
      </w:r>
      <w:r w:rsidR="00DC304F" w:rsidRPr="001F2127">
        <w:rPr>
          <w:sz w:val="20"/>
          <w:szCs w:val="20"/>
        </w:rPr>
        <w:t xml:space="preserve">with respect to </w:t>
      </w:r>
      <w:r w:rsidR="00033DB7">
        <w:rPr>
          <w:sz w:val="20"/>
          <w:szCs w:val="20"/>
        </w:rPr>
        <w:t xml:space="preserve">age, sex, weight, </w:t>
      </w:r>
      <w:r w:rsidR="002D5010">
        <w:rPr>
          <w:sz w:val="20"/>
          <w:szCs w:val="20"/>
        </w:rPr>
        <w:t xml:space="preserve">clinical features </w:t>
      </w:r>
      <w:r w:rsidR="00CF3907">
        <w:rPr>
          <w:sz w:val="20"/>
          <w:szCs w:val="20"/>
        </w:rPr>
        <w:t xml:space="preserve">or </w:t>
      </w:r>
      <w:r w:rsidR="00B92295" w:rsidRPr="001F2127">
        <w:rPr>
          <w:sz w:val="20"/>
          <w:szCs w:val="20"/>
        </w:rPr>
        <w:t xml:space="preserve">other </w:t>
      </w:r>
      <w:r w:rsidR="00651D6A">
        <w:rPr>
          <w:sz w:val="20"/>
          <w:szCs w:val="20"/>
        </w:rPr>
        <w:t xml:space="preserve">risk factors. </w:t>
      </w:r>
      <w:r w:rsidR="00B06886">
        <w:rPr>
          <w:sz w:val="20"/>
          <w:szCs w:val="20"/>
        </w:rPr>
        <w:t xml:space="preserve">At least one </w:t>
      </w:r>
      <w:r w:rsidR="00B06886" w:rsidRPr="001F2127">
        <w:rPr>
          <w:sz w:val="20"/>
          <w:szCs w:val="20"/>
        </w:rPr>
        <w:t>neuro</w:t>
      </w:r>
      <w:r w:rsidR="002D5010">
        <w:rPr>
          <w:sz w:val="20"/>
          <w:szCs w:val="20"/>
        </w:rPr>
        <w:t>imaging</w:t>
      </w:r>
      <w:r w:rsidR="00B06886" w:rsidRPr="001F2127">
        <w:rPr>
          <w:sz w:val="20"/>
          <w:szCs w:val="20"/>
        </w:rPr>
        <w:t xml:space="preserve"> </w:t>
      </w:r>
      <w:r w:rsidR="00377CD1">
        <w:rPr>
          <w:sz w:val="20"/>
          <w:szCs w:val="20"/>
        </w:rPr>
        <w:t>criteria</w:t>
      </w:r>
      <w:r w:rsidR="00B06886" w:rsidRPr="001F2127">
        <w:rPr>
          <w:sz w:val="20"/>
          <w:szCs w:val="20"/>
        </w:rPr>
        <w:t xml:space="preserve"> of </w:t>
      </w:r>
      <w:r w:rsidR="00B92295">
        <w:rPr>
          <w:sz w:val="20"/>
          <w:szCs w:val="20"/>
        </w:rPr>
        <w:t>raised ICP</w:t>
      </w:r>
      <w:r w:rsidR="00377CD1">
        <w:rPr>
          <w:sz w:val="20"/>
          <w:szCs w:val="20"/>
          <w:vertAlign w:val="superscript"/>
        </w:rPr>
        <w:t>20</w:t>
      </w:r>
      <w:r w:rsidR="00B92295">
        <w:rPr>
          <w:sz w:val="20"/>
          <w:szCs w:val="20"/>
        </w:rPr>
        <w:t xml:space="preserve"> </w:t>
      </w:r>
      <w:r w:rsidR="006F33B7">
        <w:rPr>
          <w:sz w:val="20"/>
          <w:szCs w:val="20"/>
        </w:rPr>
        <w:t xml:space="preserve">(Table 1B) </w:t>
      </w:r>
      <w:r w:rsidR="00B06886">
        <w:rPr>
          <w:sz w:val="20"/>
          <w:szCs w:val="20"/>
        </w:rPr>
        <w:t xml:space="preserve">was reported in </w:t>
      </w:r>
      <w:r w:rsidR="00F95833" w:rsidRPr="001F2127">
        <w:rPr>
          <w:sz w:val="20"/>
          <w:szCs w:val="20"/>
        </w:rPr>
        <w:t>10</w:t>
      </w:r>
      <w:r w:rsidR="00731FAD">
        <w:rPr>
          <w:sz w:val="20"/>
          <w:szCs w:val="20"/>
        </w:rPr>
        <w:t>/185</w:t>
      </w:r>
      <w:r w:rsidR="00F95833" w:rsidRPr="001F2127">
        <w:rPr>
          <w:sz w:val="20"/>
          <w:szCs w:val="20"/>
        </w:rPr>
        <w:t xml:space="preserve"> (5%) cases</w:t>
      </w:r>
      <w:r w:rsidR="00C23FF3" w:rsidRPr="001F2127">
        <w:rPr>
          <w:sz w:val="20"/>
          <w:szCs w:val="20"/>
        </w:rPr>
        <w:t xml:space="preserve">, all </w:t>
      </w:r>
      <w:r w:rsidR="00B92295">
        <w:rPr>
          <w:sz w:val="20"/>
          <w:szCs w:val="20"/>
        </w:rPr>
        <w:t xml:space="preserve">of whom had </w:t>
      </w:r>
      <w:r w:rsidR="00C23FF3" w:rsidRPr="001F2127">
        <w:rPr>
          <w:sz w:val="20"/>
          <w:szCs w:val="20"/>
        </w:rPr>
        <w:t>papilloedema</w:t>
      </w:r>
      <w:r w:rsidR="00BC2EA7" w:rsidRPr="001F2127">
        <w:rPr>
          <w:sz w:val="20"/>
          <w:szCs w:val="20"/>
        </w:rPr>
        <w:t xml:space="preserve"> </w:t>
      </w:r>
      <w:r w:rsidR="006B76F2" w:rsidRPr="001F2127">
        <w:rPr>
          <w:sz w:val="20"/>
          <w:szCs w:val="20"/>
        </w:rPr>
        <w:t>but</w:t>
      </w:r>
      <w:r w:rsidR="00BC2EA7" w:rsidRPr="001F2127">
        <w:rPr>
          <w:sz w:val="20"/>
          <w:szCs w:val="20"/>
        </w:rPr>
        <w:t xml:space="preserve"> </w:t>
      </w:r>
      <w:r w:rsidR="009B1AA0">
        <w:rPr>
          <w:sz w:val="20"/>
          <w:szCs w:val="20"/>
        </w:rPr>
        <w:t xml:space="preserve">four </w:t>
      </w:r>
      <w:r w:rsidR="00CF3907">
        <w:rPr>
          <w:sz w:val="20"/>
          <w:szCs w:val="20"/>
        </w:rPr>
        <w:t xml:space="preserve">lacked </w:t>
      </w:r>
      <w:r w:rsidR="00B92295">
        <w:rPr>
          <w:sz w:val="20"/>
          <w:szCs w:val="20"/>
        </w:rPr>
        <w:t xml:space="preserve">elevated </w:t>
      </w:r>
      <w:r w:rsidR="00BC2EA7" w:rsidRPr="001F2127">
        <w:rPr>
          <w:sz w:val="20"/>
          <w:szCs w:val="20"/>
        </w:rPr>
        <w:t>CSF pressure</w:t>
      </w:r>
      <w:r w:rsidR="00B92295">
        <w:rPr>
          <w:sz w:val="20"/>
          <w:szCs w:val="20"/>
        </w:rPr>
        <w:t xml:space="preserve"> on revised criteria</w:t>
      </w:r>
      <w:r w:rsidR="00B06886">
        <w:rPr>
          <w:sz w:val="20"/>
          <w:szCs w:val="20"/>
        </w:rPr>
        <w:t xml:space="preserve">. </w:t>
      </w:r>
    </w:p>
    <w:p w:rsidR="00651D6A" w:rsidRPr="001F2127" w:rsidRDefault="00651D6A" w:rsidP="00E20257">
      <w:pPr>
        <w:spacing w:line="480" w:lineRule="auto"/>
        <w:rPr>
          <w:sz w:val="20"/>
          <w:szCs w:val="20"/>
        </w:rPr>
      </w:pPr>
    </w:p>
    <w:p w:rsidR="0025381E" w:rsidRDefault="00993FAE" w:rsidP="00E20257">
      <w:pPr>
        <w:spacing w:line="480" w:lineRule="auto"/>
        <w:rPr>
          <w:sz w:val="20"/>
          <w:szCs w:val="20"/>
        </w:rPr>
      </w:pPr>
      <w:r w:rsidRPr="001F2127">
        <w:rPr>
          <w:sz w:val="20"/>
          <w:szCs w:val="20"/>
        </w:rPr>
        <w:t>The median CSF opening pressure was 35</w:t>
      </w:r>
      <w:r w:rsidR="002D5010">
        <w:rPr>
          <w:sz w:val="20"/>
          <w:szCs w:val="20"/>
        </w:rPr>
        <w:t>.</w:t>
      </w:r>
      <w:r w:rsidRPr="001F2127">
        <w:rPr>
          <w:sz w:val="20"/>
          <w:szCs w:val="20"/>
        </w:rPr>
        <w:t xml:space="preserve">5cm </w:t>
      </w:r>
      <w:r w:rsidR="001A2D32" w:rsidRPr="001F2127">
        <w:rPr>
          <w:sz w:val="20"/>
          <w:szCs w:val="20"/>
        </w:rPr>
        <w:t xml:space="preserve">CSF </w:t>
      </w:r>
      <w:r w:rsidRPr="001F2127">
        <w:rPr>
          <w:sz w:val="20"/>
          <w:szCs w:val="20"/>
        </w:rPr>
        <w:t>(range 12</w:t>
      </w:r>
      <w:r w:rsidR="002D5010">
        <w:rPr>
          <w:sz w:val="20"/>
          <w:szCs w:val="20"/>
        </w:rPr>
        <w:t>.</w:t>
      </w:r>
      <w:r w:rsidRPr="001F2127">
        <w:rPr>
          <w:sz w:val="20"/>
          <w:szCs w:val="20"/>
        </w:rPr>
        <w:t>0</w:t>
      </w:r>
      <w:r w:rsidR="003E7CF1" w:rsidRPr="001F2127">
        <w:rPr>
          <w:sz w:val="20"/>
          <w:szCs w:val="20"/>
        </w:rPr>
        <w:t>-</w:t>
      </w:r>
      <w:r w:rsidRPr="001F2127">
        <w:rPr>
          <w:sz w:val="20"/>
          <w:szCs w:val="20"/>
        </w:rPr>
        <w:t>74</w:t>
      </w:r>
      <w:r w:rsidR="002D5010">
        <w:rPr>
          <w:sz w:val="20"/>
          <w:szCs w:val="20"/>
        </w:rPr>
        <w:t>.</w:t>
      </w:r>
      <w:r w:rsidRPr="001F2127">
        <w:rPr>
          <w:sz w:val="20"/>
          <w:szCs w:val="20"/>
        </w:rPr>
        <w:t xml:space="preserve">0). </w:t>
      </w:r>
      <w:r w:rsidR="00BC2971">
        <w:rPr>
          <w:sz w:val="20"/>
          <w:szCs w:val="20"/>
        </w:rPr>
        <w:t xml:space="preserve">It did not differ significantly </w:t>
      </w:r>
      <w:r w:rsidR="00C23FF3" w:rsidRPr="001F2127">
        <w:rPr>
          <w:sz w:val="20"/>
          <w:szCs w:val="20"/>
        </w:rPr>
        <w:t>between</w:t>
      </w:r>
      <w:r w:rsidR="00406FCA" w:rsidRPr="001F2127">
        <w:rPr>
          <w:sz w:val="20"/>
          <w:szCs w:val="20"/>
        </w:rPr>
        <w:t xml:space="preserve"> </w:t>
      </w:r>
      <w:r w:rsidR="00B92295">
        <w:rPr>
          <w:sz w:val="20"/>
          <w:szCs w:val="20"/>
        </w:rPr>
        <w:t xml:space="preserve">sexes </w:t>
      </w:r>
      <w:r w:rsidR="00C23FF3" w:rsidRPr="001F2127">
        <w:rPr>
          <w:sz w:val="20"/>
          <w:szCs w:val="20"/>
        </w:rPr>
        <w:t>or</w:t>
      </w:r>
      <w:r w:rsidR="00FB3B04" w:rsidRPr="001F2127">
        <w:rPr>
          <w:sz w:val="20"/>
          <w:szCs w:val="20"/>
        </w:rPr>
        <w:t xml:space="preserve"> age categories</w:t>
      </w:r>
      <w:r w:rsidR="00406FCA" w:rsidRPr="001F2127">
        <w:rPr>
          <w:sz w:val="20"/>
          <w:szCs w:val="20"/>
        </w:rPr>
        <w:t xml:space="preserve">, cases with and without headache or </w:t>
      </w:r>
      <w:r w:rsidR="00FB3B04" w:rsidRPr="001F2127">
        <w:rPr>
          <w:sz w:val="20"/>
          <w:szCs w:val="20"/>
        </w:rPr>
        <w:t xml:space="preserve">with and without </w:t>
      </w:r>
      <w:r w:rsidR="002C2DF7" w:rsidRPr="001F2127">
        <w:rPr>
          <w:sz w:val="20"/>
          <w:szCs w:val="20"/>
        </w:rPr>
        <w:t>papilloedema</w:t>
      </w:r>
      <w:r w:rsidR="00BC2971" w:rsidRPr="00BC2971">
        <w:rPr>
          <w:sz w:val="20"/>
          <w:szCs w:val="20"/>
        </w:rPr>
        <w:t xml:space="preserve"> </w:t>
      </w:r>
      <w:r w:rsidR="00BC2971">
        <w:rPr>
          <w:sz w:val="20"/>
          <w:szCs w:val="20"/>
        </w:rPr>
        <w:t xml:space="preserve">but </w:t>
      </w:r>
      <w:r w:rsidR="00BC2971" w:rsidRPr="001F2127">
        <w:rPr>
          <w:sz w:val="20"/>
          <w:szCs w:val="20"/>
        </w:rPr>
        <w:t xml:space="preserve">was significantly higher in obese than </w:t>
      </w:r>
      <w:r w:rsidR="00BC2971">
        <w:rPr>
          <w:sz w:val="20"/>
          <w:szCs w:val="20"/>
        </w:rPr>
        <w:t>other weight categories</w:t>
      </w:r>
      <w:r w:rsidR="00BC2971" w:rsidRPr="001F2127">
        <w:rPr>
          <w:sz w:val="20"/>
          <w:szCs w:val="20"/>
        </w:rPr>
        <w:t xml:space="preserve"> cases (p=0</w:t>
      </w:r>
      <w:r w:rsidR="002D5010">
        <w:rPr>
          <w:sz w:val="20"/>
          <w:szCs w:val="20"/>
        </w:rPr>
        <w:t>.</w:t>
      </w:r>
      <w:r w:rsidR="00BC2971" w:rsidRPr="001F2127">
        <w:rPr>
          <w:sz w:val="20"/>
          <w:szCs w:val="20"/>
        </w:rPr>
        <w:t xml:space="preserve">004) and </w:t>
      </w:r>
      <w:r w:rsidR="0047363F">
        <w:rPr>
          <w:sz w:val="20"/>
          <w:szCs w:val="20"/>
        </w:rPr>
        <w:t xml:space="preserve">in </w:t>
      </w:r>
      <w:r w:rsidR="00C52571">
        <w:rPr>
          <w:sz w:val="20"/>
          <w:szCs w:val="20"/>
        </w:rPr>
        <w:t xml:space="preserve">the 82 </w:t>
      </w:r>
      <w:r w:rsidR="00BC2971" w:rsidRPr="001F2127">
        <w:rPr>
          <w:sz w:val="20"/>
          <w:szCs w:val="20"/>
        </w:rPr>
        <w:t xml:space="preserve">cases </w:t>
      </w:r>
      <w:r w:rsidR="00BC2971">
        <w:rPr>
          <w:sz w:val="20"/>
          <w:szCs w:val="20"/>
        </w:rPr>
        <w:t xml:space="preserve">whose LPs were undertaken </w:t>
      </w:r>
      <w:r w:rsidR="00BC2971" w:rsidRPr="001F2127">
        <w:rPr>
          <w:sz w:val="20"/>
          <w:szCs w:val="20"/>
        </w:rPr>
        <w:t>w</w:t>
      </w:r>
      <w:r w:rsidR="00BC2971">
        <w:rPr>
          <w:sz w:val="20"/>
          <w:szCs w:val="20"/>
        </w:rPr>
        <w:t xml:space="preserve">ith </w:t>
      </w:r>
      <w:r w:rsidR="008B059C">
        <w:rPr>
          <w:sz w:val="20"/>
          <w:szCs w:val="20"/>
        </w:rPr>
        <w:t xml:space="preserve">general anaesthesia (GA) </w:t>
      </w:r>
      <w:r w:rsidR="00C52571">
        <w:rPr>
          <w:sz w:val="20"/>
          <w:szCs w:val="20"/>
        </w:rPr>
        <w:t xml:space="preserve">compared to the 100 case undertaken </w:t>
      </w:r>
      <w:r w:rsidR="00BC2971">
        <w:rPr>
          <w:sz w:val="20"/>
          <w:szCs w:val="20"/>
        </w:rPr>
        <w:t xml:space="preserve">without GA </w:t>
      </w:r>
      <w:r w:rsidR="00BC2971" w:rsidRPr="001F2127">
        <w:rPr>
          <w:sz w:val="20"/>
          <w:szCs w:val="20"/>
        </w:rPr>
        <w:t>(</w:t>
      </w:r>
      <w:r w:rsidR="002D5010">
        <w:rPr>
          <w:sz w:val="20"/>
          <w:szCs w:val="20"/>
        </w:rPr>
        <w:t>p=0.</w:t>
      </w:r>
      <w:r w:rsidR="00BC2971" w:rsidRPr="001F2127">
        <w:rPr>
          <w:sz w:val="20"/>
          <w:szCs w:val="20"/>
        </w:rPr>
        <w:t>001)</w:t>
      </w:r>
      <w:r w:rsidR="00BC2971">
        <w:rPr>
          <w:sz w:val="20"/>
          <w:szCs w:val="20"/>
        </w:rPr>
        <w:t xml:space="preserve"> (Appendix Figure e2)</w:t>
      </w:r>
      <w:r w:rsidR="00BC2971" w:rsidRPr="001F2127">
        <w:rPr>
          <w:sz w:val="20"/>
          <w:szCs w:val="20"/>
        </w:rPr>
        <w:t>.</w:t>
      </w:r>
      <w:r w:rsidR="00973DCB" w:rsidRPr="001F2127">
        <w:rPr>
          <w:sz w:val="20"/>
          <w:szCs w:val="20"/>
        </w:rPr>
        <w:t xml:space="preserve"> </w:t>
      </w:r>
      <w:r w:rsidR="006879A2">
        <w:rPr>
          <w:sz w:val="20"/>
          <w:szCs w:val="20"/>
        </w:rPr>
        <w:t>However, t</w:t>
      </w:r>
      <w:r w:rsidR="006879A2" w:rsidRPr="001F2127">
        <w:rPr>
          <w:sz w:val="20"/>
          <w:szCs w:val="20"/>
        </w:rPr>
        <w:t xml:space="preserve">he percentage of cases whose LP required </w:t>
      </w:r>
      <w:r w:rsidR="006879A2">
        <w:rPr>
          <w:sz w:val="20"/>
          <w:szCs w:val="20"/>
        </w:rPr>
        <w:t xml:space="preserve">GA </w:t>
      </w:r>
      <w:r w:rsidR="006879A2" w:rsidRPr="001F2127">
        <w:rPr>
          <w:sz w:val="20"/>
          <w:szCs w:val="20"/>
        </w:rPr>
        <w:t xml:space="preserve">did not differ between weight categories. </w:t>
      </w:r>
    </w:p>
    <w:p w:rsidR="006879A2" w:rsidRPr="001F2127" w:rsidRDefault="006879A2" w:rsidP="00E20257">
      <w:pPr>
        <w:spacing w:line="480" w:lineRule="auto"/>
        <w:rPr>
          <w:bCs/>
          <w:iCs/>
        </w:rPr>
      </w:pPr>
    </w:p>
    <w:p w:rsidR="00A35529" w:rsidRPr="001F2127" w:rsidRDefault="00D652FA" w:rsidP="00E20257">
      <w:pPr>
        <w:spacing w:line="480" w:lineRule="auto"/>
        <w:rPr>
          <w:b/>
          <w:color w:val="000000"/>
        </w:rPr>
      </w:pPr>
      <w:r>
        <w:rPr>
          <w:b/>
          <w:color w:val="000000"/>
        </w:rPr>
        <w:t>DISCUSSION</w:t>
      </w:r>
    </w:p>
    <w:p w:rsidR="007E4546" w:rsidRDefault="00B26A2C" w:rsidP="00E20257">
      <w:pPr>
        <w:spacing w:line="480" w:lineRule="auto"/>
        <w:rPr>
          <w:sz w:val="20"/>
          <w:szCs w:val="20"/>
        </w:rPr>
      </w:pPr>
      <w:r w:rsidRPr="001F2127">
        <w:rPr>
          <w:sz w:val="20"/>
          <w:szCs w:val="20"/>
        </w:rPr>
        <w:t xml:space="preserve">This </w:t>
      </w:r>
      <w:r w:rsidR="001C6972">
        <w:rPr>
          <w:sz w:val="20"/>
          <w:szCs w:val="20"/>
        </w:rPr>
        <w:t xml:space="preserve">is the </w:t>
      </w:r>
      <w:r w:rsidRPr="001F2127">
        <w:rPr>
          <w:sz w:val="20"/>
          <w:szCs w:val="20"/>
        </w:rPr>
        <w:t xml:space="preserve">largest </w:t>
      </w:r>
      <w:r w:rsidR="00095816">
        <w:rPr>
          <w:sz w:val="20"/>
          <w:szCs w:val="20"/>
        </w:rPr>
        <w:t xml:space="preserve">study of </w:t>
      </w:r>
      <w:r w:rsidR="00131C65" w:rsidRPr="001F2127">
        <w:rPr>
          <w:sz w:val="20"/>
          <w:szCs w:val="20"/>
        </w:rPr>
        <w:t xml:space="preserve">childhood </w:t>
      </w:r>
      <w:r w:rsidR="00B36227" w:rsidRPr="001F2127">
        <w:rPr>
          <w:sz w:val="20"/>
          <w:szCs w:val="20"/>
        </w:rPr>
        <w:t>PTCS</w:t>
      </w:r>
      <w:r w:rsidR="0032421D" w:rsidRPr="001F2127">
        <w:rPr>
          <w:sz w:val="20"/>
          <w:szCs w:val="20"/>
        </w:rPr>
        <w:t xml:space="preserve"> </w:t>
      </w:r>
      <w:r w:rsidR="001C6972">
        <w:rPr>
          <w:sz w:val="20"/>
          <w:szCs w:val="20"/>
        </w:rPr>
        <w:t xml:space="preserve">to date and </w:t>
      </w:r>
      <w:r w:rsidR="008A0EAA">
        <w:rPr>
          <w:sz w:val="20"/>
          <w:szCs w:val="20"/>
        </w:rPr>
        <w:t xml:space="preserve">shows that </w:t>
      </w:r>
      <w:r w:rsidR="00551A96">
        <w:rPr>
          <w:sz w:val="20"/>
          <w:szCs w:val="20"/>
        </w:rPr>
        <w:t xml:space="preserve">the incidence increases eightfold from that </w:t>
      </w:r>
      <w:r w:rsidR="0064748D">
        <w:rPr>
          <w:sz w:val="20"/>
          <w:szCs w:val="20"/>
        </w:rPr>
        <w:t>in</w:t>
      </w:r>
      <w:r w:rsidR="00551A96">
        <w:rPr>
          <w:sz w:val="20"/>
          <w:szCs w:val="20"/>
        </w:rPr>
        <w:t xml:space="preserve"> 1-6 years to that </w:t>
      </w:r>
      <w:r w:rsidR="0064748D">
        <w:rPr>
          <w:sz w:val="20"/>
          <w:szCs w:val="20"/>
        </w:rPr>
        <w:t>in</w:t>
      </w:r>
      <w:r w:rsidR="00551A96">
        <w:rPr>
          <w:sz w:val="20"/>
          <w:szCs w:val="20"/>
        </w:rPr>
        <w:t xml:space="preserve"> 12-16 years and </w:t>
      </w:r>
      <w:r w:rsidR="008A0EAA">
        <w:rPr>
          <w:sz w:val="20"/>
          <w:szCs w:val="20"/>
        </w:rPr>
        <w:t xml:space="preserve">the </w:t>
      </w:r>
      <w:r w:rsidR="00CE0F91">
        <w:rPr>
          <w:sz w:val="20"/>
          <w:szCs w:val="20"/>
        </w:rPr>
        <w:t xml:space="preserve">numbers of girls and boys </w:t>
      </w:r>
      <w:r w:rsidR="00551A96">
        <w:rPr>
          <w:sz w:val="20"/>
          <w:szCs w:val="20"/>
        </w:rPr>
        <w:t xml:space="preserve">changes </w:t>
      </w:r>
      <w:r w:rsidR="008A0EAA">
        <w:rPr>
          <w:sz w:val="20"/>
          <w:szCs w:val="20"/>
        </w:rPr>
        <w:t xml:space="preserve">from </w:t>
      </w:r>
      <w:r w:rsidR="00CE0F91">
        <w:rPr>
          <w:sz w:val="20"/>
          <w:szCs w:val="20"/>
        </w:rPr>
        <w:t xml:space="preserve">being equal </w:t>
      </w:r>
      <w:r w:rsidR="008A0EAA">
        <w:rPr>
          <w:sz w:val="20"/>
          <w:szCs w:val="20"/>
        </w:rPr>
        <w:t xml:space="preserve">under the age of seven to </w:t>
      </w:r>
      <w:r w:rsidR="00CE0F91">
        <w:rPr>
          <w:sz w:val="20"/>
          <w:szCs w:val="20"/>
        </w:rPr>
        <w:t xml:space="preserve">two </w:t>
      </w:r>
      <w:r w:rsidR="00551A96">
        <w:rPr>
          <w:sz w:val="20"/>
          <w:szCs w:val="20"/>
        </w:rPr>
        <w:t>girls</w:t>
      </w:r>
      <w:r w:rsidR="00CE0F91">
        <w:rPr>
          <w:sz w:val="20"/>
          <w:szCs w:val="20"/>
        </w:rPr>
        <w:t xml:space="preserve"> </w:t>
      </w:r>
      <w:r w:rsidR="00551A96">
        <w:rPr>
          <w:sz w:val="20"/>
          <w:szCs w:val="20"/>
        </w:rPr>
        <w:t xml:space="preserve">for each boy </w:t>
      </w:r>
      <w:r w:rsidR="008A0EAA">
        <w:rPr>
          <w:sz w:val="20"/>
          <w:szCs w:val="20"/>
        </w:rPr>
        <w:t xml:space="preserve">thereafter. These </w:t>
      </w:r>
      <w:r w:rsidR="00551A96">
        <w:rPr>
          <w:sz w:val="20"/>
          <w:szCs w:val="20"/>
        </w:rPr>
        <w:t xml:space="preserve">shifts were </w:t>
      </w:r>
      <w:r w:rsidR="008A0EAA">
        <w:rPr>
          <w:sz w:val="20"/>
          <w:szCs w:val="20"/>
        </w:rPr>
        <w:t>linked to overweight</w:t>
      </w:r>
      <w:r w:rsidR="00CE0F91">
        <w:rPr>
          <w:sz w:val="20"/>
          <w:szCs w:val="20"/>
        </w:rPr>
        <w:t xml:space="preserve"> and </w:t>
      </w:r>
      <w:r w:rsidR="00551A96">
        <w:rPr>
          <w:sz w:val="20"/>
          <w:szCs w:val="20"/>
        </w:rPr>
        <w:t>o</w:t>
      </w:r>
      <w:r w:rsidR="00C45218">
        <w:rPr>
          <w:sz w:val="20"/>
          <w:szCs w:val="20"/>
        </w:rPr>
        <w:t xml:space="preserve">besity </w:t>
      </w:r>
      <w:r w:rsidR="0023129F">
        <w:rPr>
          <w:sz w:val="20"/>
          <w:szCs w:val="20"/>
        </w:rPr>
        <w:t xml:space="preserve">accounted for </w:t>
      </w:r>
      <w:r w:rsidR="00C43CB2">
        <w:rPr>
          <w:sz w:val="20"/>
          <w:szCs w:val="20"/>
        </w:rPr>
        <w:t xml:space="preserve">over </w:t>
      </w:r>
      <w:r w:rsidR="00C45218">
        <w:rPr>
          <w:sz w:val="20"/>
          <w:szCs w:val="20"/>
        </w:rPr>
        <w:t xml:space="preserve">four-fifths of the increased incidence among </w:t>
      </w:r>
      <w:r w:rsidR="00CE0F91">
        <w:rPr>
          <w:sz w:val="20"/>
          <w:szCs w:val="20"/>
        </w:rPr>
        <w:t>those aged 12-16 years.</w:t>
      </w:r>
      <w:r w:rsidR="00C45218">
        <w:rPr>
          <w:sz w:val="20"/>
          <w:szCs w:val="20"/>
        </w:rPr>
        <w:t xml:space="preserve"> </w:t>
      </w:r>
      <w:r w:rsidR="00551A96">
        <w:rPr>
          <w:sz w:val="20"/>
          <w:szCs w:val="20"/>
        </w:rPr>
        <w:t>Even with the upwardly revised CSF pressure threshold</w:t>
      </w:r>
      <w:r w:rsidR="001803B1">
        <w:rPr>
          <w:sz w:val="20"/>
          <w:szCs w:val="20"/>
        </w:rPr>
        <w:t>,</w:t>
      </w:r>
      <w:r w:rsidR="00551A96">
        <w:rPr>
          <w:sz w:val="20"/>
          <w:szCs w:val="20"/>
          <w:vertAlign w:val="superscript"/>
        </w:rPr>
        <w:t>14</w:t>
      </w:r>
      <w:r w:rsidR="00551A96">
        <w:rPr>
          <w:sz w:val="20"/>
          <w:szCs w:val="20"/>
        </w:rPr>
        <w:t xml:space="preserve"> n</w:t>
      </w:r>
      <w:r w:rsidR="00523767">
        <w:rPr>
          <w:sz w:val="20"/>
          <w:szCs w:val="20"/>
        </w:rPr>
        <w:t xml:space="preserve">early three-quarter of cases had </w:t>
      </w:r>
      <w:r w:rsidR="00377CD1">
        <w:rPr>
          <w:sz w:val="20"/>
          <w:szCs w:val="20"/>
        </w:rPr>
        <w:t xml:space="preserve">a </w:t>
      </w:r>
      <w:r w:rsidR="00523767">
        <w:rPr>
          <w:sz w:val="20"/>
          <w:szCs w:val="20"/>
        </w:rPr>
        <w:t>classic triad of raised ICP symptoms, papilloedema and elevated CSF pressure</w:t>
      </w:r>
      <w:r w:rsidR="00551A96">
        <w:rPr>
          <w:sz w:val="20"/>
          <w:szCs w:val="20"/>
        </w:rPr>
        <w:t xml:space="preserve"> and t</w:t>
      </w:r>
      <w:r w:rsidR="00AC3AD1">
        <w:rPr>
          <w:sz w:val="20"/>
          <w:szCs w:val="20"/>
        </w:rPr>
        <w:t>he clinical profile</w:t>
      </w:r>
      <w:r w:rsidR="00523767">
        <w:rPr>
          <w:sz w:val="20"/>
          <w:szCs w:val="20"/>
        </w:rPr>
        <w:t xml:space="preserve"> did not differ </w:t>
      </w:r>
      <w:r w:rsidR="00CE0F91">
        <w:rPr>
          <w:sz w:val="20"/>
          <w:szCs w:val="20"/>
        </w:rPr>
        <w:t xml:space="preserve">in other ways </w:t>
      </w:r>
      <w:r w:rsidR="00523767">
        <w:rPr>
          <w:sz w:val="20"/>
          <w:szCs w:val="20"/>
        </w:rPr>
        <w:t xml:space="preserve">between cases with and without any one of the three cardinal features. </w:t>
      </w:r>
      <w:r w:rsidR="00AC3AD1">
        <w:rPr>
          <w:sz w:val="20"/>
          <w:szCs w:val="20"/>
        </w:rPr>
        <w:t xml:space="preserve"> </w:t>
      </w:r>
    </w:p>
    <w:p w:rsidR="00FD5AE8" w:rsidRDefault="00AC3AD1" w:rsidP="00E20257">
      <w:pPr>
        <w:tabs>
          <w:tab w:val="left" w:pos="945"/>
        </w:tabs>
        <w:spacing w:line="480" w:lineRule="auto"/>
        <w:rPr>
          <w:sz w:val="20"/>
          <w:szCs w:val="20"/>
        </w:rPr>
      </w:pPr>
      <w:r>
        <w:rPr>
          <w:sz w:val="20"/>
          <w:szCs w:val="20"/>
        </w:rPr>
        <w:tab/>
      </w:r>
    </w:p>
    <w:p w:rsidR="001864F4" w:rsidRPr="00C0222C" w:rsidRDefault="004B3281" w:rsidP="00E20257">
      <w:pPr>
        <w:spacing w:line="480" w:lineRule="auto"/>
        <w:rPr>
          <w:sz w:val="20"/>
          <w:szCs w:val="20"/>
        </w:rPr>
      </w:pPr>
      <w:r>
        <w:rPr>
          <w:sz w:val="20"/>
          <w:szCs w:val="20"/>
        </w:rPr>
        <w:t xml:space="preserve">On </w:t>
      </w:r>
      <w:r w:rsidRPr="001F2127">
        <w:rPr>
          <w:sz w:val="20"/>
          <w:szCs w:val="20"/>
        </w:rPr>
        <w:t>revised diagnostic criteria</w:t>
      </w:r>
      <w:r w:rsidR="00C52571">
        <w:rPr>
          <w:sz w:val="20"/>
          <w:szCs w:val="20"/>
        </w:rPr>
        <w:t>,</w:t>
      </w:r>
      <w:r>
        <w:rPr>
          <w:sz w:val="20"/>
          <w:szCs w:val="20"/>
          <w:vertAlign w:val="superscript"/>
        </w:rPr>
        <w:t>20</w:t>
      </w:r>
      <w:r w:rsidRPr="001F2127">
        <w:rPr>
          <w:sz w:val="20"/>
          <w:szCs w:val="20"/>
        </w:rPr>
        <w:t xml:space="preserve"> </w:t>
      </w:r>
      <w:r>
        <w:rPr>
          <w:sz w:val="20"/>
          <w:szCs w:val="20"/>
        </w:rPr>
        <w:t xml:space="preserve">90% </w:t>
      </w:r>
      <w:r w:rsidR="001864F4" w:rsidRPr="001F2127">
        <w:rPr>
          <w:sz w:val="20"/>
          <w:szCs w:val="20"/>
        </w:rPr>
        <w:t xml:space="preserve">of cases </w:t>
      </w:r>
      <w:r w:rsidR="001864F4">
        <w:rPr>
          <w:sz w:val="20"/>
          <w:szCs w:val="20"/>
        </w:rPr>
        <w:t xml:space="preserve">captured by the study definition were classified as </w:t>
      </w:r>
      <w:r w:rsidR="001864F4" w:rsidRPr="001F2127">
        <w:rPr>
          <w:sz w:val="20"/>
          <w:szCs w:val="20"/>
        </w:rPr>
        <w:t>‘definite</w:t>
      </w:r>
      <w:r w:rsidR="00F11452">
        <w:rPr>
          <w:sz w:val="20"/>
          <w:szCs w:val="20"/>
        </w:rPr>
        <w:t>’</w:t>
      </w:r>
      <w:r w:rsidR="001864F4" w:rsidRPr="001F2127">
        <w:rPr>
          <w:sz w:val="20"/>
          <w:szCs w:val="20"/>
        </w:rPr>
        <w:t xml:space="preserve"> or ‘probable’ PTCS</w:t>
      </w:r>
      <w:r w:rsidR="001864F4">
        <w:rPr>
          <w:sz w:val="20"/>
          <w:szCs w:val="20"/>
        </w:rPr>
        <w:t xml:space="preserve"> </w:t>
      </w:r>
      <w:r>
        <w:rPr>
          <w:sz w:val="20"/>
          <w:szCs w:val="20"/>
        </w:rPr>
        <w:t xml:space="preserve">and did not differ clinically from the remaining </w:t>
      </w:r>
      <w:r w:rsidR="001864F4" w:rsidRPr="001F2127">
        <w:rPr>
          <w:sz w:val="20"/>
          <w:szCs w:val="20"/>
        </w:rPr>
        <w:t>10%</w:t>
      </w:r>
      <w:r>
        <w:rPr>
          <w:sz w:val="20"/>
          <w:szCs w:val="20"/>
        </w:rPr>
        <w:t xml:space="preserve"> except in </w:t>
      </w:r>
      <w:r>
        <w:rPr>
          <w:sz w:val="20"/>
          <w:szCs w:val="20"/>
        </w:rPr>
        <w:lastRenderedPageBreak/>
        <w:t xml:space="preserve">manifesting </w:t>
      </w:r>
      <w:r w:rsidRPr="001F2127">
        <w:rPr>
          <w:sz w:val="20"/>
          <w:szCs w:val="20"/>
        </w:rPr>
        <w:t>papilloedema</w:t>
      </w:r>
      <w:r>
        <w:rPr>
          <w:sz w:val="20"/>
          <w:szCs w:val="20"/>
        </w:rPr>
        <w:t xml:space="preserve">. This is consistent with </w:t>
      </w:r>
      <w:r w:rsidR="001864F4">
        <w:rPr>
          <w:sz w:val="20"/>
          <w:szCs w:val="20"/>
        </w:rPr>
        <w:t xml:space="preserve">PTCS </w:t>
      </w:r>
      <w:r>
        <w:rPr>
          <w:sz w:val="20"/>
          <w:szCs w:val="20"/>
        </w:rPr>
        <w:t>being a single entity that includes either papilloedema or elevated CSF pressure or both.</w:t>
      </w:r>
      <w:r w:rsidR="001864F4">
        <w:rPr>
          <w:sz w:val="20"/>
          <w:szCs w:val="20"/>
        </w:rPr>
        <w:t xml:space="preserve"> While </w:t>
      </w:r>
      <w:r w:rsidR="001864F4" w:rsidRPr="001F2127">
        <w:rPr>
          <w:sz w:val="20"/>
          <w:szCs w:val="20"/>
        </w:rPr>
        <w:t xml:space="preserve">PTCS is </w:t>
      </w:r>
      <w:r w:rsidR="001864F4">
        <w:rPr>
          <w:sz w:val="20"/>
          <w:szCs w:val="20"/>
        </w:rPr>
        <w:t xml:space="preserve">thus </w:t>
      </w:r>
      <w:r w:rsidR="001864F4" w:rsidRPr="001F2127">
        <w:rPr>
          <w:sz w:val="20"/>
          <w:szCs w:val="20"/>
        </w:rPr>
        <w:t>distinct</w:t>
      </w:r>
      <w:r>
        <w:rPr>
          <w:sz w:val="20"/>
          <w:szCs w:val="20"/>
        </w:rPr>
        <w:t>,</w:t>
      </w:r>
      <w:r w:rsidR="001864F4">
        <w:rPr>
          <w:sz w:val="20"/>
          <w:szCs w:val="20"/>
        </w:rPr>
        <w:t xml:space="preserve"> the findings on </w:t>
      </w:r>
      <w:r w:rsidR="00864F13">
        <w:rPr>
          <w:sz w:val="20"/>
          <w:szCs w:val="20"/>
        </w:rPr>
        <w:t xml:space="preserve">magnetic resonance </w:t>
      </w:r>
      <w:r w:rsidR="001864F4" w:rsidRPr="001F2127">
        <w:rPr>
          <w:sz w:val="20"/>
          <w:szCs w:val="20"/>
        </w:rPr>
        <w:t>venography</w:t>
      </w:r>
      <w:r w:rsidR="00F5683E">
        <w:rPr>
          <w:sz w:val="20"/>
          <w:szCs w:val="20"/>
        </w:rPr>
        <w:t xml:space="preserve"> and CSF </w:t>
      </w:r>
      <w:r w:rsidR="001864F4" w:rsidRPr="001F2127">
        <w:rPr>
          <w:sz w:val="20"/>
          <w:szCs w:val="20"/>
        </w:rPr>
        <w:t>haemodynamics</w:t>
      </w:r>
      <w:r w:rsidR="001864F4">
        <w:rPr>
          <w:sz w:val="20"/>
          <w:szCs w:val="20"/>
        </w:rPr>
        <w:t xml:space="preserve"> </w:t>
      </w:r>
      <w:r w:rsidR="001864F4" w:rsidRPr="001F2127">
        <w:rPr>
          <w:sz w:val="20"/>
          <w:szCs w:val="20"/>
        </w:rPr>
        <w:t xml:space="preserve">are </w:t>
      </w:r>
      <w:r w:rsidR="001864F4">
        <w:rPr>
          <w:sz w:val="20"/>
          <w:szCs w:val="20"/>
        </w:rPr>
        <w:t>s</w:t>
      </w:r>
      <w:r w:rsidR="00F5683E">
        <w:rPr>
          <w:sz w:val="20"/>
          <w:szCs w:val="20"/>
        </w:rPr>
        <w:t xml:space="preserve">imilar to </w:t>
      </w:r>
      <w:r w:rsidR="001864F4">
        <w:rPr>
          <w:sz w:val="20"/>
          <w:szCs w:val="20"/>
        </w:rPr>
        <w:t>th</w:t>
      </w:r>
      <w:r w:rsidR="0095130E">
        <w:rPr>
          <w:sz w:val="20"/>
          <w:szCs w:val="20"/>
        </w:rPr>
        <w:t xml:space="preserve">ose in the </w:t>
      </w:r>
      <w:r w:rsidR="001864F4">
        <w:rPr>
          <w:sz w:val="20"/>
          <w:szCs w:val="20"/>
        </w:rPr>
        <w:t>‘</w:t>
      </w:r>
      <w:r w:rsidR="001864F4" w:rsidRPr="001F2127">
        <w:rPr>
          <w:sz w:val="20"/>
          <w:szCs w:val="20"/>
        </w:rPr>
        <w:t>slit ventricle syndrome</w:t>
      </w:r>
      <w:r w:rsidR="001864F4">
        <w:rPr>
          <w:sz w:val="20"/>
          <w:szCs w:val="20"/>
        </w:rPr>
        <w:t>’</w:t>
      </w:r>
      <w:r w:rsidR="00F5683E">
        <w:rPr>
          <w:sz w:val="20"/>
          <w:szCs w:val="20"/>
        </w:rPr>
        <w:t xml:space="preserve"> of elevated CSF pressure</w:t>
      </w:r>
      <w:r w:rsidR="001864F4">
        <w:rPr>
          <w:sz w:val="20"/>
          <w:szCs w:val="20"/>
        </w:rPr>
        <w:t>.</w:t>
      </w:r>
      <w:r w:rsidR="00F5683E">
        <w:rPr>
          <w:sz w:val="20"/>
          <w:szCs w:val="20"/>
          <w:vertAlign w:val="superscript"/>
        </w:rPr>
        <w:t>2</w:t>
      </w:r>
      <w:r w:rsidR="00E138E0">
        <w:rPr>
          <w:sz w:val="20"/>
          <w:szCs w:val="20"/>
          <w:vertAlign w:val="superscript"/>
        </w:rPr>
        <w:t>6</w:t>
      </w:r>
      <w:r w:rsidR="001864F4">
        <w:rPr>
          <w:sz w:val="20"/>
          <w:szCs w:val="20"/>
          <w:vertAlign w:val="superscript"/>
        </w:rPr>
        <w:t xml:space="preserve"> </w:t>
      </w:r>
      <w:r w:rsidR="00856176">
        <w:rPr>
          <w:sz w:val="20"/>
          <w:szCs w:val="20"/>
          <w:vertAlign w:val="superscript"/>
        </w:rPr>
        <w:t xml:space="preserve">  </w:t>
      </w:r>
      <w:r w:rsidR="00C0222C">
        <w:rPr>
          <w:sz w:val="20"/>
          <w:szCs w:val="20"/>
        </w:rPr>
        <w:t xml:space="preserve">Slit ventricle syndrome is defined in patients </w:t>
      </w:r>
      <w:r w:rsidR="005D129C">
        <w:rPr>
          <w:sz w:val="20"/>
          <w:szCs w:val="20"/>
        </w:rPr>
        <w:t>with</w:t>
      </w:r>
      <w:r w:rsidR="00C0222C">
        <w:rPr>
          <w:sz w:val="20"/>
          <w:szCs w:val="20"/>
        </w:rPr>
        <w:t xml:space="preserve"> symptoms of raised ICP due to intraventricular shunt malfunction with slit-like radiological appearance of small ventricles</w:t>
      </w:r>
      <w:r w:rsidR="00856176">
        <w:rPr>
          <w:sz w:val="20"/>
          <w:szCs w:val="20"/>
        </w:rPr>
        <w:t xml:space="preserve">. This usually arises when </w:t>
      </w:r>
      <w:r w:rsidR="005D129C">
        <w:rPr>
          <w:sz w:val="20"/>
          <w:szCs w:val="20"/>
        </w:rPr>
        <w:t>intermittent and functional shunt obstruction</w:t>
      </w:r>
      <w:r w:rsidR="00C52571">
        <w:rPr>
          <w:sz w:val="20"/>
          <w:szCs w:val="20"/>
        </w:rPr>
        <w:t xml:space="preserve"> </w:t>
      </w:r>
      <w:r w:rsidR="00856176">
        <w:rPr>
          <w:sz w:val="20"/>
          <w:szCs w:val="20"/>
        </w:rPr>
        <w:t xml:space="preserve">is </w:t>
      </w:r>
      <w:r w:rsidR="00C52571">
        <w:rPr>
          <w:sz w:val="20"/>
          <w:szCs w:val="20"/>
        </w:rPr>
        <w:t xml:space="preserve">associated with decreased compliance of the  </w:t>
      </w:r>
      <w:r w:rsidR="00856176">
        <w:rPr>
          <w:sz w:val="20"/>
          <w:szCs w:val="20"/>
        </w:rPr>
        <w:t xml:space="preserve">tissues surrounding the cerebral </w:t>
      </w:r>
      <w:r w:rsidR="00C52571">
        <w:rPr>
          <w:sz w:val="20"/>
          <w:szCs w:val="20"/>
        </w:rPr>
        <w:t>ventric</w:t>
      </w:r>
      <w:r w:rsidR="00856176">
        <w:rPr>
          <w:sz w:val="20"/>
          <w:szCs w:val="20"/>
        </w:rPr>
        <w:t>les</w:t>
      </w:r>
      <w:r w:rsidR="00C0222C">
        <w:rPr>
          <w:sz w:val="20"/>
          <w:szCs w:val="20"/>
        </w:rPr>
        <w:t xml:space="preserve">. </w:t>
      </w:r>
    </w:p>
    <w:p w:rsidR="006F7423" w:rsidRDefault="006F7423" w:rsidP="00E20257">
      <w:pPr>
        <w:spacing w:line="480" w:lineRule="auto"/>
        <w:rPr>
          <w:sz w:val="20"/>
          <w:szCs w:val="20"/>
        </w:rPr>
      </w:pPr>
    </w:p>
    <w:p w:rsidR="006F7423" w:rsidRDefault="006F7423" w:rsidP="00E20257">
      <w:pPr>
        <w:spacing w:line="480" w:lineRule="auto"/>
      </w:pPr>
      <w:r>
        <w:rPr>
          <w:sz w:val="20"/>
          <w:szCs w:val="20"/>
        </w:rPr>
        <w:t xml:space="preserve">Although 90% were of white ethnicity, PTCS cases were reported in all ethnic groups. We believe this truly represents our nationwide paediatric practice. </w:t>
      </w:r>
      <w:r w:rsidR="00071C77">
        <w:rPr>
          <w:sz w:val="20"/>
          <w:szCs w:val="20"/>
        </w:rPr>
        <w:t xml:space="preserve">A smaller series of cases in California found similar relationships </w:t>
      </w:r>
      <w:r w:rsidR="009C04AB">
        <w:rPr>
          <w:sz w:val="20"/>
          <w:szCs w:val="20"/>
        </w:rPr>
        <w:t xml:space="preserve">to those seen in the present study </w:t>
      </w:r>
      <w:r w:rsidR="00071C77">
        <w:rPr>
          <w:sz w:val="20"/>
          <w:szCs w:val="20"/>
        </w:rPr>
        <w:t>between age, sex and overweight and also observed a significant increase in the risk of PTCS higher in non-Hispanic white children relative to that in Hispanic white or Asian/Pacific Island children.</w:t>
      </w:r>
      <w:r w:rsidR="00071C77">
        <w:rPr>
          <w:sz w:val="20"/>
          <w:szCs w:val="20"/>
          <w:vertAlign w:val="superscript"/>
        </w:rPr>
        <w:t xml:space="preserve">27 </w:t>
      </w:r>
    </w:p>
    <w:p w:rsidR="006F7423" w:rsidRDefault="006F7423" w:rsidP="00E20257">
      <w:pPr>
        <w:spacing w:line="480" w:lineRule="auto"/>
        <w:rPr>
          <w:sz w:val="20"/>
          <w:szCs w:val="20"/>
        </w:rPr>
      </w:pPr>
    </w:p>
    <w:p w:rsidR="00802F5E" w:rsidRDefault="004B3281" w:rsidP="00E20257">
      <w:pPr>
        <w:spacing w:line="480" w:lineRule="auto"/>
        <w:rPr>
          <w:sz w:val="20"/>
          <w:szCs w:val="20"/>
        </w:rPr>
      </w:pPr>
      <w:r>
        <w:rPr>
          <w:sz w:val="20"/>
          <w:szCs w:val="20"/>
        </w:rPr>
        <w:t>C</w:t>
      </w:r>
      <w:r w:rsidR="001864F4">
        <w:rPr>
          <w:sz w:val="20"/>
          <w:szCs w:val="20"/>
        </w:rPr>
        <w:t xml:space="preserve">ases </w:t>
      </w:r>
      <w:r w:rsidR="0010613A">
        <w:rPr>
          <w:sz w:val="20"/>
          <w:szCs w:val="20"/>
        </w:rPr>
        <w:t>under</w:t>
      </w:r>
      <w:r w:rsidR="009F747A">
        <w:rPr>
          <w:sz w:val="20"/>
          <w:szCs w:val="20"/>
        </w:rPr>
        <w:t xml:space="preserve"> 7 years </w:t>
      </w:r>
      <w:r w:rsidR="001864F4">
        <w:rPr>
          <w:sz w:val="20"/>
          <w:szCs w:val="20"/>
        </w:rPr>
        <w:t xml:space="preserve">were less likely </w:t>
      </w:r>
      <w:r>
        <w:rPr>
          <w:sz w:val="20"/>
          <w:szCs w:val="20"/>
        </w:rPr>
        <w:t xml:space="preserve">to have identifiable </w:t>
      </w:r>
      <w:r w:rsidR="000A1BD1">
        <w:rPr>
          <w:sz w:val="20"/>
          <w:szCs w:val="20"/>
        </w:rPr>
        <w:t xml:space="preserve">risk factors or </w:t>
      </w:r>
      <w:r>
        <w:rPr>
          <w:sz w:val="20"/>
          <w:szCs w:val="20"/>
        </w:rPr>
        <w:t xml:space="preserve">to </w:t>
      </w:r>
      <w:r w:rsidR="001864F4">
        <w:rPr>
          <w:sz w:val="20"/>
          <w:szCs w:val="20"/>
        </w:rPr>
        <w:t xml:space="preserve">complain of headache or blurred vision but more likely to report transient visual loss and </w:t>
      </w:r>
      <w:r w:rsidR="009C04AB">
        <w:rPr>
          <w:sz w:val="20"/>
          <w:szCs w:val="20"/>
        </w:rPr>
        <w:t xml:space="preserve">to </w:t>
      </w:r>
      <w:r w:rsidR="001864F4">
        <w:rPr>
          <w:sz w:val="20"/>
          <w:szCs w:val="20"/>
        </w:rPr>
        <w:t xml:space="preserve">manifest paralytic squint. Their </w:t>
      </w:r>
      <w:r w:rsidR="000A1BD1">
        <w:rPr>
          <w:sz w:val="20"/>
          <w:szCs w:val="20"/>
        </w:rPr>
        <w:t>immature</w:t>
      </w:r>
      <w:r w:rsidR="001864F4">
        <w:rPr>
          <w:sz w:val="20"/>
          <w:szCs w:val="20"/>
        </w:rPr>
        <w:t xml:space="preserve"> language skills may account for </w:t>
      </w:r>
      <w:r w:rsidR="005125A7">
        <w:rPr>
          <w:sz w:val="20"/>
          <w:szCs w:val="20"/>
        </w:rPr>
        <w:t xml:space="preserve">the differences in expressing symptomatology subjectively. However, their commoner squint presentation and </w:t>
      </w:r>
      <w:r w:rsidR="002810E8">
        <w:rPr>
          <w:sz w:val="20"/>
          <w:szCs w:val="20"/>
        </w:rPr>
        <w:t xml:space="preserve">the </w:t>
      </w:r>
      <w:r w:rsidR="005125A7">
        <w:rPr>
          <w:sz w:val="20"/>
          <w:szCs w:val="20"/>
        </w:rPr>
        <w:t xml:space="preserve">lack of association </w:t>
      </w:r>
      <w:r w:rsidR="009C04AB">
        <w:rPr>
          <w:sz w:val="20"/>
          <w:szCs w:val="20"/>
        </w:rPr>
        <w:t>with sex</w:t>
      </w:r>
      <w:r w:rsidR="005125A7">
        <w:rPr>
          <w:sz w:val="20"/>
          <w:szCs w:val="20"/>
        </w:rPr>
        <w:t xml:space="preserve">, overweight </w:t>
      </w:r>
      <w:r w:rsidR="009C04AB">
        <w:rPr>
          <w:sz w:val="20"/>
          <w:szCs w:val="20"/>
        </w:rPr>
        <w:t xml:space="preserve">or </w:t>
      </w:r>
      <w:r w:rsidR="005125A7">
        <w:rPr>
          <w:sz w:val="20"/>
          <w:szCs w:val="20"/>
        </w:rPr>
        <w:t>medication use  may reflect</w:t>
      </w:r>
      <w:r w:rsidR="000A1BD1">
        <w:rPr>
          <w:sz w:val="20"/>
          <w:szCs w:val="20"/>
        </w:rPr>
        <w:t xml:space="preserve"> </w:t>
      </w:r>
      <w:r w:rsidR="005125A7">
        <w:rPr>
          <w:sz w:val="20"/>
          <w:szCs w:val="20"/>
        </w:rPr>
        <w:t>late presentation and</w:t>
      </w:r>
      <w:r w:rsidR="009C04AB">
        <w:rPr>
          <w:sz w:val="20"/>
          <w:szCs w:val="20"/>
        </w:rPr>
        <w:t xml:space="preserve">/or a different </w:t>
      </w:r>
      <w:r w:rsidR="000A1BD1">
        <w:rPr>
          <w:sz w:val="20"/>
          <w:szCs w:val="20"/>
        </w:rPr>
        <w:t xml:space="preserve"> </w:t>
      </w:r>
      <w:r w:rsidR="001864F4">
        <w:rPr>
          <w:sz w:val="20"/>
          <w:szCs w:val="20"/>
        </w:rPr>
        <w:t>pathophysiology</w:t>
      </w:r>
      <w:r w:rsidR="009C04AB">
        <w:rPr>
          <w:sz w:val="20"/>
          <w:szCs w:val="20"/>
        </w:rPr>
        <w:t>.</w:t>
      </w:r>
      <w:r w:rsidR="00724519">
        <w:rPr>
          <w:sz w:val="20"/>
          <w:szCs w:val="20"/>
        </w:rPr>
        <w:t xml:space="preserve"> </w:t>
      </w:r>
      <w:r w:rsidR="00864F13">
        <w:rPr>
          <w:sz w:val="20"/>
          <w:szCs w:val="20"/>
        </w:rPr>
        <w:t>D</w:t>
      </w:r>
      <w:r w:rsidR="001864F4" w:rsidRPr="001F2127">
        <w:rPr>
          <w:sz w:val="20"/>
          <w:szCs w:val="20"/>
        </w:rPr>
        <w:t xml:space="preserve">ysregulation of glucocorticoid signalling </w:t>
      </w:r>
      <w:r w:rsidR="00D63794">
        <w:rPr>
          <w:sz w:val="20"/>
          <w:szCs w:val="20"/>
        </w:rPr>
        <w:t>can</w:t>
      </w:r>
      <w:r w:rsidR="001864F4">
        <w:rPr>
          <w:sz w:val="20"/>
          <w:szCs w:val="20"/>
        </w:rPr>
        <w:t xml:space="preserve"> alter </w:t>
      </w:r>
      <w:r w:rsidR="001864F4" w:rsidRPr="001F2127">
        <w:rPr>
          <w:sz w:val="20"/>
          <w:szCs w:val="20"/>
        </w:rPr>
        <w:t xml:space="preserve">ICP dynamics and </w:t>
      </w:r>
      <w:r w:rsidR="000A1BD1">
        <w:rPr>
          <w:sz w:val="20"/>
          <w:szCs w:val="20"/>
        </w:rPr>
        <w:t>cause</w:t>
      </w:r>
      <w:r w:rsidR="001864F4">
        <w:rPr>
          <w:sz w:val="20"/>
          <w:szCs w:val="20"/>
        </w:rPr>
        <w:t xml:space="preserve"> elevation of ICP </w:t>
      </w:r>
      <w:r w:rsidR="001864F4" w:rsidRPr="00F51DDB">
        <w:rPr>
          <w:sz w:val="20"/>
          <w:szCs w:val="20"/>
        </w:rPr>
        <w:t>in obes</w:t>
      </w:r>
      <w:r w:rsidR="001864F4">
        <w:rPr>
          <w:sz w:val="20"/>
          <w:szCs w:val="20"/>
        </w:rPr>
        <w:t>e</w:t>
      </w:r>
      <w:r w:rsidR="00802F5E">
        <w:rPr>
          <w:sz w:val="20"/>
          <w:szCs w:val="20"/>
        </w:rPr>
        <w:t xml:space="preserve"> individuals</w:t>
      </w:r>
      <w:r w:rsidR="00802F5E" w:rsidRPr="00F51DDB">
        <w:rPr>
          <w:sz w:val="20"/>
          <w:szCs w:val="20"/>
          <w:vertAlign w:val="superscript"/>
        </w:rPr>
        <w:t>2</w:t>
      </w:r>
      <w:r w:rsidR="00A1452A">
        <w:rPr>
          <w:sz w:val="20"/>
          <w:szCs w:val="20"/>
          <w:vertAlign w:val="superscript"/>
        </w:rPr>
        <w:t>8</w:t>
      </w:r>
      <w:r w:rsidR="00802F5E">
        <w:rPr>
          <w:sz w:val="20"/>
          <w:szCs w:val="20"/>
        </w:rPr>
        <w:t xml:space="preserve"> whereas the mechanisms of PTCS in non-overweight younger children remain unclear. </w:t>
      </w:r>
    </w:p>
    <w:p w:rsidR="004B3281" w:rsidRDefault="004B3281" w:rsidP="00E20257">
      <w:pPr>
        <w:spacing w:line="480" w:lineRule="auto"/>
        <w:rPr>
          <w:sz w:val="20"/>
          <w:szCs w:val="20"/>
        </w:rPr>
      </w:pPr>
    </w:p>
    <w:p w:rsidR="007C481C" w:rsidRDefault="00F31980" w:rsidP="00E20257">
      <w:pPr>
        <w:spacing w:line="480" w:lineRule="auto"/>
        <w:rPr>
          <w:sz w:val="20"/>
          <w:szCs w:val="20"/>
        </w:rPr>
      </w:pPr>
      <w:r>
        <w:rPr>
          <w:sz w:val="20"/>
          <w:szCs w:val="20"/>
        </w:rPr>
        <w:t>A s</w:t>
      </w:r>
      <w:r w:rsidRPr="001F2127">
        <w:rPr>
          <w:sz w:val="20"/>
          <w:szCs w:val="20"/>
        </w:rPr>
        <w:t xml:space="preserve">trength of this study </w:t>
      </w:r>
      <w:r w:rsidR="009C04AB">
        <w:rPr>
          <w:sz w:val="20"/>
          <w:szCs w:val="20"/>
        </w:rPr>
        <w:t xml:space="preserve">is that it is </w:t>
      </w:r>
      <w:r w:rsidR="000B6329">
        <w:rPr>
          <w:sz w:val="20"/>
          <w:szCs w:val="20"/>
        </w:rPr>
        <w:t>potentially free from intentional or unintentional bias</w:t>
      </w:r>
      <w:r w:rsidR="009C04AB">
        <w:rPr>
          <w:sz w:val="20"/>
          <w:szCs w:val="20"/>
        </w:rPr>
        <w:t xml:space="preserve">: </w:t>
      </w:r>
      <w:r w:rsidRPr="001F2127">
        <w:rPr>
          <w:sz w:val="20"/>
          <w:szCs w:val="20"/>
        </w:rPr>
        <w:t xml:space="preserve">the robust BPSU scheme </w:t>
      </w:r>
      <w:r>
        <w:rPr>
          <w:sz w:val="20"/>
          <w:szCs w:val="20"/>
        </w:rPr>
        <w:t xml:space="preserve">for </w:t>
      </w:r>
      <w:r w:rsidRPr="001F2127">
        <w:rPr>
          <w:sz w:val="20"/>
          <w:szCs w:val="20"/>
        </w:rPr>
        <w:t>reporting</w:t>
      </w:r>
      <w:r>
        <w:rPr>
          <w:sz w:val="20"/>
          <w:szCs w:val="20"/>
        </w:rPr>
        <w:t xml:space="preserve"> cases prospectively </w:t>
      </w:r>
      <w:r w:rsidR="009C04AB">
        <w:rPr>
          <w:sz w:val="20"/>
          <w:szCs w:val="20"/>
        </w:rPr>
        <w:t xml:space="preserve">has a </w:t>
      </w:r>
      <w:r w:rsidR="00CC6E48">
        <w:rPr>
          <w:sz w:val="20"/>
          <w:szCs w:val="20"/>
        </w:rPr>
        <w:t>94%</w:t>
      </w:r>
      <w:r w:rsidR="00CE0F91">
        <w:rPr>
          <w:sz w:val="20"/>
          <w:szCs w:val="20"/>
        </w:rPr>
        <w:t xml:space="preserve"> </w:t>
      </w:r>
      <w:r w:rsidRPr="001F2127">
        <w:rPr>
          <w:sz w:val="20"/>
          <w:szCs w:val="20"/>
        </w:rPr>
        <w:t>reporting rate</w:t>
      </w:r>
      <w:r w:rsidR="00D3799F">
        <w:rPr>
          <w:sz w:val="20"/>
          <w:szCs w:val="20"/>
          <w:vertAlign w:val="superscript"/>
        </w:rPr>
        <w:t>29</w:t>
      </w:r>
      <w:r w:rsidRPr="001F2127">
        <w:rPr>
          <w:sz w:val="20"/>
          <w:szCs w:val="20"/>
        </w:rPr>
        <w:t xml:space="preserve"> </w:t>
      </w:r>
      <w:r w:rsidR="009C04AB">
        <w:rPr>
          <w:sz w:val="20"/>
          <w:szCs w:val="20"/>
        </w:rPr>
        <w:t xml:space="preserve">by unselected general and specialised </w:t>
      </w:r>
      <w:r w:rsidR="009C04AB" w:rsidRPr="001F2127">
        <w:rPr>
          <w:sz w:val="20"/>
          <w:szCs w:val="20"/>
        </w:rPr>
        <w:t>paediatricians</w:t>
      </w:r>
      <w:r w:rsidR="009C04AB">
        <w:rPr>
          <w:sz w:val="20"/>
          <w:szCs w:val="20"/>
        </w:rPr>
        <w:t xml:space="preserve"> across the UK and Ireland whose rate of reporting and case detection was consistent throughout the survey period.</w:t>
      </w:r>
      <w:r w:rsidRPr="001F2127">
        <w:rPr>
          <w:sz w:val="20"/>
          <w:szCs w:val="20"/>
        </w:rPr>
        <w:t xml:space="preserve"> </w:t>
      </w:r>
      <w:r w:rsidR="006F5AD5">
        <w:rPr>
          <w:sz w:val="20"/>
          <w:szCs w:val="20"/>
        </w:rPr>
        <w:t>It is very improbable that any confirmed childhood PTCS cases were managed without the involvement of a paediatrician</w:t>
      </w:r>
      <w:r w:rsidR="006F5AD5" w:rsidRPr="001F2127" w:rsidDel="00F31980">
        <w:rPr>
          <w:sz w:val="20"/>
          <w:szCs w:val="20"/>
        </w:rPr>
        <w:t xml:space="preserve"> </w:t>
      </w:r>
      <w:r w:rsidR="006F5AD5">
        <w:rPr>
          <w:sz w:val="20"/>
          <w:szCs w:val="20"/>
        </w:rPr>
        <w:t>and t</w:t>
      </w:r>
      <w:r w:rsidR="006F5AD5" w:rsidRPr="001F2127">
        <w:rPr>
          <w:sz w:val="20"/>
          <w:szCs w:val="20"/>
        </w:rPr>
        <w:t xml:space="preserve">he study case definition was </w:t>
      </w:r>
      <w:r w:rsidR="006F5AD5">
        <w:rPr>
          <w:sz w:val="20"/>
          <w:szCs w:val="20"/>
        </w:rPr>
        <w:t xml:space="preserve">inclusive so this study is likely to have </w:t>
      </w:r>
      <w:r w:rsidR="006F5AD5" w:rsidRPr="001F2127">
        <w:rPr>
          <w:sz w:val="20"/>
          <w:szCs w:val="20"/>
        </w:rPr>
        <w:t>capture</w:t>
      </w:r>
      <w:r w:rsidR="006F5AD5">
        <w:rPr>
          <w:sz w:val="20"/>
          <w:szCs w:val="20"/>
        </w:rPr>
        <w:t>d</w:t>
      </w:r>
      <w:r w:rsidR="006F5AD5" w:rsidRPr="001F2127">
        <w:rPr>
          <w:sz w:val="20"/>
          <w:szCs w:val="20"/>
        </w:rPr>
        <w:t xml:space="preserve"> the </w:t>
      </w:r>
      <w:r w:rsidR="006F5AD5">
        <w:rPr>
          <w:sz w:val="20"/>
          <w:szCs w:val="20"/>
        </w:rPr>
        <w:t xml:space="preserve">full </w:t>
      </w:r>
      <w:r w:rsidR="006F5AD5" w:rsidRPr="001F2127">
        <w:rPr>
          <w:sz w:val="20"/>
          <w:szCs w:val="20"/>
        </w:rPr>
        <w:t xml:space="preserve">spectrum of </w:t>
      </w:r>
      <w:r w:rsidR="006F5AD5">
        <w:rPr>
          <w:sz w:val="20"/>
          <w:szCs w:val="20"/>
        </w:rPr>
        <w:t>newly diagnosed PTCS.</w:t>
      </w:r>
      <w:r w:rsidR="006F5AD5" w:rsidRPr="001F2127">
        <w:rPr>
          <w:sz w:val="20"/>
          <w:szCs w:val="20"/>
        </w:rPr>
        <w:t xml:space="preserve"> </w:t>
      </w:r>
      <w:r>
        <w:rPr>
          <w:sz w:val="20"/>
          <w:szCs w:val="20"/>
        </w:rPr>
        <w:t xml:space="preserve"> </w:t>
      </w:r>
      <w:r w:rsidR="006F5AD5">
        <w:rPr>
          <w:sz w:val="20"/>
          <w:szCs w:val="20"/>
        </w:rPr>
        <w:t>Nevertheless, m</w:t>
      </w:r>
      <w:r w:rsidR="00BE26E5">
        <w:rPr>
          <w:sz w:val="20"/>
          <w:szCs w:val="20"/>
        </w:rPr>
        <w:t xml:space="preserve">issed or unreported </w:t>
      </w:r>
      <w:r>
        <w:rPr>
          <w:sz w:val="20"/>
          <w:szCs w:val="20"/>
        </w:rPr>
        <w:t xml:space="preserve">cases </w:t>
      </w:r>
      <w:r w:rsidR="00BE26E5">
        <w:rPr>
          <w:sz w:val="20"/>
          <w:szCs w:val="20"/>
        </w:rPr>
        <w:t xml:space="preserve">are inevitable with the voluntary BPSU reporting </w:t>
      </w:r>
      <w:r w:rsidR="00D7086C">
        <w:rPr>
          <w:sz w:val="20"/>
          <w:szCs w:val="20"/>
        </w:rPr>
        <w:t>scheme</w:t>
      </w:r>
      <w:r w:rsidR="009C04AB">
        <w:rPr>
          <w:sz w:val="20"/>
          <w:szCs w:val="20"/>
        </w:rPr>
        <w:t xml:space="preserve"> and </w:t>
      </w:r>
      <w:r w:rsidR="00613A7C">
        <w:rPr>
          <w:sz w:val="20"/>
          <w:szCs w:val="20"/>
        </w:rPr>
        <w:t>our estimates should be regarded as an estimate of the minimum incidence rate. W</w:t>
      </w:r>
      <w:r w:rsidR="009C04AB">
        <w:rPr>
          <w:sz w:val="20"/>
          <w:szCs w:val="20"/>
        </w:rPr>
        <w:t xml:space="preserve">e cannot exclude the </w:t>
      </w:r>
      <w:r w:rsidR="009C04AB">
        <w:rPr>
          <w:sz w:val="20"/>
          <w:szCs w:val="20"/>
        </w:rPr>
        <w:lastRenderedPageBreak/>
        <w:t xml:space="preserve">possibility that a higher proportion of all overweight cases were ascertained due to paediatricians having a higher index of suspicion of the disorder in those children. We did not have an alternative source of information from which to estimate incidence or confirm completeness of ascertainment using capture/recapture analysis. </w:t>
      </w:r>
      <w:r w:rsidR="00BE26E5">
        <w:rPr>
          <w:sz w:val="20"/>
          <w:szCs w:val="20"/>
        </w:rPr>
        <w:t xml:space="preserve"> </w:t>
      </w:r>
      <w:r>
        <w:rPr>
          <w:sz w:val="20"/>
          <w:szCs w:val="20"/>
        </w:rPr>
        <w:t xml:space="preserve"> </w:t>
      </w:r>
    </w:p>
    <w:p w:rsidR="001365E7" w:rsidRDefault="001365E7" w:rsidP="00E20257">
      <w:pPr>
        <w:spacing w:line="480" w:lineRule="auto"/>
        <w:rPr>
          <w:sz w:val="20"/>
          <w:szCs w:val="20"/>
        </w:rPr>
      </w:pPr>
    </w:p>
    <w:p w:rsidR="008C4EAF" w:rsidRDefault="0023129F" w:rsidP="00E20257">
      <w:pPr>
        <w:spacing w:line="480" w:lineRule="auto"/>
        <w:rPr>
          <w:sz w:val="20"/>
          <w:szCs w:val="20"/>
        </w:rPr>
      </w:pPr>
      <w:r>
        <w:rPr>
          <w:sz w:val="20"/>
          <w:szCs w:val="20"/>
        </w:rPr>
        <w:t xml:space="preserve">Other strengths of the study were the avoidance of </w:t>
      </w:r>
      <w:r w:rsidR="007C481C" w:rsidRPr="001F2127">
        <w:rPr>
          <w:sz w:val="20"/>
          <w:szCs w:val="20"/>
        </w:rPr>
        <w:t xml:space="preserve">diagnostic error by </w:t>
      </w:r>
      <w:r>
        <w:rPr>
          <w:sz w:val="20"/>
          <w:szCs w:val="20"/>
        </w:rPr>
        <w:t>evaluation</w:t>
      </w:r>
      <w:r w:rsidRPr="001F2127">
        <w:rPr>
          <w:sz w:val="20"/>
          <w:szCs w:val="20"/>
        </w:rPr>
        <w:t xml:space="preserve"> </w:t>
      </w:r>
      <w:r>
        <w:rPr>
          <w:sz w:val="20"/>
          <w:szCs w:val="20"/>
        </w:rPr>
        <w:t xml:space="preserve">of suspected papilloedema </w:t>
      </w:r>
      <w:r w:rsidR="00D638E8">
        <w:rPr>
          <w:sz w:val="20"/>
          <w:szCs w:val="20"/>
        </w:rPr>
        <w:t>drusen (</w:t>
      </w:r>
      <w:r w:rsidR="00864F13">
        <w:rPr>
          <w:sz w:val="20"/>
          <w:szCs w:val="20"/>
        </w:rPr>
        <w:t>ONHD</w:t>
      </w:r>
      <w:r w:rsidR="00D638E8">
        <w:rPr>
          <w:sz w:val="20"/>
          <w:szCs w:val="20"/>
        </w:rPr>
        <w:t>)</w:t>
      </w:r>
      <w:bookmarkStart w:id="0" w:name="_GoBack"/>
      <w:bookmarkEnd w:id="0"/>
      <w:r w:rsidR="00377CD1">
        <w:rPr>
          <w:sz w:val="20"/>
          <w:szCs w:val="20"/>
        </w:rPr>
        <w:t xml:space="preserve"> </w:t>
      </w:r>
      <w:r>
        <w:rPr>
          <w:sz w:val="20"/>
          <w:szCs w:val="20"/>
        </w:rPr>
        <w:t xml:space="preserve">by </w:t>
      </w:r>
      <w:r w:rsidR="00965E2E" w:rsidRPr="001F2127">
        <w:rPr>
          <w:sz w:val="20"/>
          <w:szCs w:val="20"/>
        </w:rPr>
        <w:t>ophthalmologi</w:t>
      </w:r>
      <w:r w:rsidR="00965E2E">
        <w:rPr>
          <w:sz w:val="20"/>
          <w:szCs w:val="20"/>
        </w:rPr>
        <w:t>sts</w:t>
      </w:r>
      <w:r w:rsidR="007C481C" w:rsidRPr="001F2127">
        <w:rPr>
          <w:sz w:val="20"/>
          <w:szCs w:val="20"/>
        </w:rPr>
        <w:t xml:space="preserve">, </w:t>
      </w:r>
      <w:r w:rsidR="00D83B08">
        <w:rPr>
          <w:sz w:val="20"/>
          <w:szCs w:val="20"/>
        </w:rPr>
        <w:t xml:space="preserve">submission of weight and height data, </w:t>
      </w:r>
      <w:r w:rsidR="00BB1FE7">
        <w:rPr>
          <w:sz w:val="20"/>
          <w:szCs w:val="20"/>
        </w:rPr>
        <w:t>documentat</w:t>
      </w:r>
      <w:r w:rsidR="007C481C" w:rsidRPr="001F2127">
        <w:rPr>
          <w:sz w:val="20"/>
          <w:szCs w:val="20"/>
        </w:rPr>
        <w:t xml:space="preserve">ion </w:t>
      </w:r>
      <w:r w:rsidR="00095816">
        <w:rPr>
          <w:sz w:val="20"/>
          <w:szCs w:val="20"/>
        </w:rPr>
        <w:t xml:space="preserve">of </w:t>
      </w:r>
      <w:r w:rsidR="001365E7">
        <w:rPr>
          <w:sz w:val="20"/>
          <w:szCs w:val="20"/>
        </w:rPr>
        <w:t>GA</w:t>
      </w:r>
      <w:r w:rsidR="00E728C1">
        <w:rPr>
          <w:sz w:val="20"/>
          <w:szCs w:val="20"/>
        </w:rPr>
        <w:t xml:space="preserve"> </w:t>
      </w:r>
      <w:r w:rsidR="001365E7">
        <w:rPr>
          <w:sz w:val="20"/>
          <w:szCs w:val="20"/>
        </w:rPr>
        <w:t xml:space="preserve">use </w:t>
      </w:r>
      <w:r w:rsidR="007C481C" w:rsidRPr="001F2127">
        <w:rPr>
          <w:sz w:val="20"/>
          <w:szCs w:val="20"/>
        </w:rPr>
        <w:t xml:space="preserve">at LP, </w:t>
      </w:r>
      <w:r w:rsidR="00CE0F91">
        <w:rPr>
          <w:sz w:val="20"/>
          <w:szCs w:val="20"/>
        </w:rPr>
        <w:t xml:space="preserve">confirmation </w:t>
      </w:r>
      <w:r w:rsidR="00CE0F91" w:rsidRPr="001F2127">
        <w:rPr>
          <w:sz w:val="20"/>
          <w:szCs w:val="20"/>
        </w:rPr>
        <w:t>of the diagnosis</w:t>
      </w:r>
      <w:r w:rsidR="00864F13">
        <w:rPr>
          <w:sz w:val="20"/>
          <w:szCs w:val="20"/>
        </w:rPr>
        <w:t xml:space="preserve"> one year later,</w:t>
      </w:r>
      <w:r w:rsidR="00CE0F91">
        <w:rPr>
          <w:sz w:val="20"/>
          <w:szCs w:val="20"/>
        </w:rPr>
        <w:t xml:space="preserve"> </w:t>
      </w:r>
      <w:r w:rsidR="00BF6A2E">
        <w:rPr>
          <w:sz w:val="20"/>
          <w:szCs w:val="20"/>
        </w:rPr>
        <w:t xml:space="preserve">neuroimaging </w:t>
      </w:r>
      <w:r w:rsidR="00DC3B58">
        <w:rPr>
          <w:sz w:val="20"/>
          <w:szCs w:val="20"/>
        </w:rPr>
        <w:t xml:space="preserve">including </w:t>
      </w:r>
      <w:r w:rsidR="00BF6A2E">
        <w:rPr>
          <w:sz w:val="20"/>
          <w:szCs w:val="20"/>
        </w:rPr>
        <w:t xml:space="preserve">exclusion of CVST </w:t>
      </w:r>
      <w:r w:rsidR="00BF6A2E" w:rsidRPr="001F2127">
        <w:rPr>
          <w:sz w:val="20"/>
          <w:szCs w:val="20"/>
        </w:rPr>
        <w:t>which may be clinically indistinguishable from PTCS</w:t>
      </w:r>
      <w:r w:rsidR="0043099A">
        <w:rPr>
          <w:sz w:val="20"/>
          <w:szCs w:val="20"/>
        </w:rPr>
        <w:t>.</w:t>
      </w:r>
      <w:r w:rsidR="00A1452A">
        <w:rPr>
          <w:sz w:val="20"/>
          <w:szCs w:val="20"/>
          <w:vertAlign w:val="superscript"/>
        </w:rPr>
        <w:t xml:space="preserve">30 </w:t>
      </w:r>
      <w:r w:rsidR="00BF6A2E">
        <w:rPr>
          <w:sz w:val="20"/>
          <w:szCs w:val="20"/>
          <w:vertAlign w:val="superscript"/>
        </w:rPr>
        <w:t>3</w:t>
      </w:r>
      <w:r w:rsidR="00A1452A">
        <w:rPr>
          <w:sz w:val="20"/>
          <w:szCs w:val="20"/>
          <w:vertAlign w:val="superscript"/>
        </w:rPr>
        <w:t>1</w:t>
      </w:r>
      <w:r w:rsidR="00BF6A2E">
        <w:rPr>
          <w:sz w:val="20"/>
          <w:szCs w:val="20"/>
        </w:rPr>
        <w:t xml:space="preserve"> </w:t>
      </w:r>
      <w:r w:rsidR="00465E17">
        <w:rPr>
          <w:sz w:val="20"/>
          <w:szCs w:val="20"/>
        </w:rPr>
        <w:t>L</w:t>
      </w:r>
      <w:r w:rsidR="00095816" w:rsidRPr="001F2127">
        <w:rPr>
          <w:sz w:val="20"/>
          <w:szCs w:val="20"/>
        </w:rPr>
        <w:t>imitation</w:t>
      </w:r>
      <w:r w:rsidR="00465E17">
        <w:rPr>
          <w:sz w:val="20"/>
          <w:szCs w:val="20"/>
        </w:rPr>
        <w:t>s</w:t>
      </w:r>
      <w:r w:rsidR="00095816" w:rsidRPr="001F2127">
        <w:rPr>
          <w:sz w:val="20"/>
          <w:szCs w:val="20"/>
        </w:rPr>
        <w:t xml:space="preserve"> of the study </w:t>
      </w:r>
      <w:r w:rsidR="00465E17">
        <w:rPr>
          <w:sz w:val="20"/>
          <w:szCs w:val="20"/>
        </w:rPr>
        <w:t xml:space="preserve">include </w:t>
      </w:r>
      <w:r w:rsidR="00BE26E5">
        <w:rPr>
          <w:sz w:val="20"/>
          <w:szCs w:val="20"/>
        </w:rPr>
        <w:t xml:space="preserve">the lack of standardisation </w:t>
      </w:r>
      <w:r w:rsidR="00DF7E4B">
        <w:rPr>
          <w:sz w:val="20"/>
          <w:szCs w:val="20"/>
        </w:rPr>
        <w:t xml:space="preserve">in the </w:t>
      </w:r>
      <w:r w:rsidR="009C04AB">
        <w:rPr>
          <w:sz w:val="20"/>
          <w:szCs w:val="20"/>
        </w:rPr>
        <w:t xml:space="preserve">method of </w:t>
      </w:r>
      <w:r w:rsidR="00DF7E4B">
        <w:rPr>
          <w:sz w:val="20"/>
          <w:szCs w:val="20"/>
        </w:rPr>
        <w:t>assessment of opening CSF pressure and</w:t>
      </w:r>
      <w:r w:rsidR="00095816" w:rsidRPr="001F2127">
        <w:rPr>
          <w:sz w:val="20"/>
          <w:szCs w:val="20"/>
        </w:rPr>
        <w:t xml:space="preserve"> </w:t>
      </w:r>
      <w:r w:rsidR="009C04AB">
        <w:rPr>
          <w:sz w:val="20"/>
          <w:szCs w:val="20"/>
        </w:rPr>
        <w:t>the failure of neuro</w:t>
      </w:r>
      <w:r w:rsidR="00221F8E">
        <w:rPr>
          <w:sz w:val="20"/>
          <w:szCs w:val="20"/>
        </w:rPr>
        <w:t>-</w:t>
      </w:r>
      <w:r w:rsidR="009C04AB">
        <w:rPr>
          <w:sz w:val="20"/>
          <w:szCs w:val="20"/>
        </w:rPr>
        <w:t xml:space="preserve">radiological reports, in most cases, </w:t>
      </w:r>
      <w:r w:rsidR="00221F8E">
        <w:rPr>
          <w:sz w:val="20"/>
          <w:szCs w:val="20"/>
        </w:rPr>
        <w:t xml:space="preserve">to give specific consideration to potential </w:t>
      </w:r>
      <w:r w:rsidR="00095816" w:rsidRPr="001F2127">
        <w:rPr>
          <w:sz w:val="20"/>
          <w:szCs w:val="20"/>
        </w:rPr>
        <w:t>specific neuro</w:t>
      </w:r>
      <w:r w:rsidR="00221F8E">
        <w:rPr>
          <w:sz w:val="20"/>
          <w:szCs w:val="20"/>
        </w:rPr>
        <w:t>-</w:t>
      </w:r>
      <w:r w:rsidR="00095816" w:rsidRPr="001F2127">
        <w:rPr>
          <w:sz w:val="20"/>
          <w:szCs w:val="20"/>
        </w:rPr>
        <w:t xml:space="preserve">radiological markers </w:t>
      </w:r>
      <w:r w:rsidR="00CE0F91">
        <w:rPr>
          <w:sz w:val="20"/>
          <w:szCs w:val="20"/>
        </w:rPr>
        <w:t>of raised ICP</w:t>
      </w:r>
      <w:r w:rsidR="00DF7E4B">
        <w:rPr>
          <w:sz w:val="20"/>
          <w:szCs w:val="20"/>
        </w:rPr>
        <w:t xml:space="preserve"> </w:t>
      </w:r>
      <w:r w:rsidR="00CE0F91">
        <w:rPr>
          <w:sz w:val="20"/>
          <w:szCs w:val="20"/>
        </w:rPr>
        <w:t xml:space="preserve"> thus reducing </w:t>
      </w:r>
      <w:r w:rsidR="00221F8E">
        <w:rPr>
          <w:sz w:val="20"/>
          <w:szCs w:val="20"/>
        </w:rPr>
        <w:t xml:space="preserve">the number of </w:t>
      </w:r>
      <w:r w:rsidR="00F0414C">
        <w:rPr>
          <w:sz w:val="20"/>
          <w:szCs w:val="20"/>
        </w:rPr>
        <w:t xml:space="preserve">cases </w:t>
      </w:r>
      <w:r w:rsidR="00CE0F91">
        <w:rPr>
          <w:sz w:val="20"/>
          <w:szCs w:val="20"/>
        </w:rPr>
        <w:t xml:space="preserve">that could be categorised as </w:t>
      </w:r>
      <w:r w:rsidR="00095816">
        <w:rPr>
          <w:sz w:val="20"/>
          <w:szCs w:val="20"/>
        </w:rPr>
        <w:t xml:space="preserve">‘suggestive of </w:t>
      </w:r>
      <w:r w:rsidR="00095816" w:rsidRPr="001F2127">
        <w:rPr>
          <w:sz w:val="20"/>
          <w:szCs w:val="20"/>
        </w:rPr>
        <w:t>PTCS</w:t>
      </w:r>
      <w:r w:rsidR="00095816">
        <w:rPr>
          <w:sz w:val="20"/>
          <w:szCs w:val="20"/>
        </w:rPr>
        <w:t>’</w:t>
      </w:r>
      <w:r w:rsidR="00CE0F91">
        <w:rPr>
          <w:sz w:val="20"/>
          <w:szCs w:val="20"/>
        </w:rPr>
        <w:t>.</w:t>
      </w:r>
      <w:r w:rsidR="00095816" w:rsidRPr="001F2127">
        <w:rPr>
          <w:sz w:val="20"/>
          <w:szCs w:val="20"/>
        </w:rPr>
        <w:t xml:space="preserve"> </w:t>
      </w:r>
    </w:p>
    <w:p w:rsidR="007C481C" w:rsidRDefault="006B1D51" w:rsidP="00E20257">
      <w:pPr>
        <w:tabs>
          <w:tab w:val="left" w:pos="2880"/>
        </w:tabs>
        <w:spacing w:line="480" w:lineRule="auto"/>
        <w:rPr>
          <w:sz w:val="20"/>
          <w:szCs w:val="20"/>
        </w:rPr>
      </w:pPr>
      <w:r>
        <w:rPr>
          <w:sz w:val="20"/>
          <w:szCs w:val="20"/>
        </w:rPr>
        <w:tab/>
      </w:r>
    </w:p>
    <w:p w:rsidR="00965E2E" w:rsidRDefault="00965E2E" w:rsidP="00E20257">
      <w:pPr>
        <w:spacing w:line="480" w:lineRule="auto"/>
        <w:rPr>
          <w:sz w:val="20"/>
          <w:szCs w:val="20"/>
        </w:rPr>
      </w:pPr>
      <w:r>
        <w:rPr>
          <w:sz w:val="20"/>
          <w:szCs w:val="20"/>
        </w:rPr>
        <w:t>O</w:t>
      </w:r>
      <w:r w:rsidRPr="001F2127">
        <w:rPr>
          <w:sz w:val="20"/>
          <w:szCs w:val="20"/>
        </w:rPr>
        <w:t xml:space="preserve">ver-diagnosis </w:t>
      </w:r>
      <w:r w:rsidR="00095816">
        <w:rPr>
          <w:sz w:val="20"/>
          <w:szCs w:val="20"/>
        </w:rPr>
        <w:t>of PTCS</w:t>
      </w:r>
      <w:r w:rsidR="00F31980">
        <w:rPr>
          <w:sz w:val="20"/>
          <w:szCs w:val="20"/>
        </w:rPr>
        <w:t xml:space="preserve"> relative to </w:t>
      </w:r>
      <w:r w:rsidR="0095130E">
        <w:rPr>
          <w:sz w:val="20"/>
          <w:szCs w:val="20"/>
        </w:rPr>
        <w:t xml:space="preserve">the </w:t>
      </w:r>
      <w:r w:rsidR="0095130E" w:rsidRPr="001F2127">
        <w:rPr>
          <w:sz w:val="20"/>
          <w:szCs w:val="20"/>
        </w:rPr>
        <w:t>study case definition</w:t>
      </w:r>
      <w:r w:rsidR="0095130E">
        <w:rPr>
          <w:sz w:val="20"/>
          <w:szCs w:val="20"/>
        </w:rPr>
        <w:t xml:space="preserve"> was present</w:t>
      </w:r>
      <w:r w:rsidR="0095130E" w:rsidRPr="001F2127">
        <w:rPr>
          <w:sz w:val="20"/>
          <w:szCs w:val="20"/>
        </w:rPr>
        <w:t xml:space="preserve"> in 13% of notifications</w:t>
      </w:r>
      <w:r w:rsidR="0095130E">
        <w:rPr>
          <w:sz w:val="20"/>
          <w:szCs w:val="20"/>
        </w:rPr>
        <w:t xml:space="preserve">. This </w:t>
      </w:r>
      <w:r w:rsidR="00095816" w:rsidRPr="001F2127">
        <w:rPr>
          <w:sz w:val="20"/>
          <w:szCs w:val="20"/>
        </w:rPr>
        <w:t>carries a potential risk of harm</w:t>
      </w:r>
      <w:r w:rsidR="0095130E">
        <w:rPr>
          <w:sz w:val="20"/>
          <w:szCs w:val="20"/>
        </w:rPr>
        <w:t xml:space="preserve"> suggesting the need for g</w:t>
      </w:r>
      <w:r w:rsidR="001A690B" w:rsidRPr="001F2127">
        <w:rPr>
          <w:sz w:val="20"/>
          <w:szCs w:val="20"/>
        </w:rPr>
        <w:t xml:space="preserve">reater awareness of the diagnostic </w:t>
      </w:r>
      <w:r w:rsidR="001A690B">
        <w:rPr>
          <w:sz w:val="20"/>
          <w:szCs w:val="20"/>
        </w:rPr>
        <w:t xml:space="preserve">criteria </w:t>
      </w:r>
      <w:r w:rsidR="001A690B" w:rsidRPr="001F2127">
        <w:rPr>
          <w:sz w:val="20"/>
          <w:szCs w:val="20"/>
        </w:rPr>
        <w:t>among paediatricians</w:t>
      </w:r>
      <w:r w:rsidR="001A690B">
        <w:rPr>
          <w:sz w:val="20"/>
          <w:szCs w:val="20"/>
        </w:rPr>
        <w:t>.</w:t>
      </w:r>
      <w:r w:rsidR="001A690B" w:rsidRPr="00965E2E">
        <w:rPr>
          <w:sz w:val="20"/>
          <w:szCs w:val="20"/>
        </w:rPr>
        <w:t xml:space="preserve"> </w:t>
      </w:r>
      <w:r w:rsidR="00F31980">
        <w:rPr>
          <w:sz w:val="20"/>
          <w:szCs w:val="20"/>
        </w:rPr>
        <w:t xml:space="preserve">The higher </w:t>
      </w:r>
      <w:r w:rsidRPr="001F2127">
        <w:rPr>
          <w:sz w:val="20"/>
          <w:szCs w:val="20"/>
        </w:rPr>
        <w:t>CSF opening pressure</w:t>
      </w:r>
      <w:r w:rsidR="0095130E">
        <w:rPr>
          <w:sz w:val="20"/>
          <w:szCs w:val="20"/>
        </w:rPr>
        <w:t xml:space="preserve">s </w:t>
      </w:r>
      <w:r w:rsidR="00F31980">
        <w:rPr>
          <w:sz w:val="20"/>
          <w:szCs w:val="20"/>
        </w:rPr>
        <w:t xml:space="preserve">seen </w:t>
      </w:r>
      <w:r w:rsidR="0095130E">
        <w:rPr>
          <w:sz w:val="20"/>
          <w:szCs w:val="20"/>
        </w:rPr>
        <w:t xml:space="preserve">in children that were </w:t>
      </w:r>
      <w:r>
        <w:rPr>
          <w:sz w:val="20"/>
          <w:szCs w:val="20"/>
        </w:rPr>
        <w:t>obes</w:t>
      </w:r>
      <w:r w:rsidR="0095130E">
        <w:rPr>
          <w:sz w:val="20"/>
          <w:szCs w:val="20"/>
        </w:rPr>
        <w:t>e or had</w:t>
      </w:r>
      <w:r w:rsidRPr="001F2127">
        <w:rPr>
          <w:sz w:val="20"/>
          <w:szCs w:val="20"/>
        </w:rPr>
        <w:t xml:space="preserve"> </w:t>
      </w:r>
      <w:r>
        <w:rPr>
          <w:sz w:val="20"/>
          <w:szCs w:val="20"/>
        </w:rPr>
        <w:t xml:space="preserve">GA </w:t>
      </w:r>
      <w:r w:rsidR="0021146A">
        <w:rPr>
          <w:sz w:val="20"/>
          <w:szCs w:val="20"/>
        </w:rPr>
        <w:t>for LP</w:t>
      </w:r>
      <w:r w:rsidR="00563149">
        <w:rPr>
          <w:sz w:val="20"/>
          <w:szCs w:val="20"/>
        </w:rPr>
        <w:t xml:space="preserve"> </w:t>
      </w:r>
      <w:r w:rsidRPr="001F2127">
        <w:rPr>
          <w:sz w:val="20"/>
          <w:szCs w:val="20"/>
        </w:rPr>
        <w:t xml:space="preserve">support </w:t>
      </w:r>
      <w:r w:rsidR="00D83B08">
        <w:rPr>
          <w:sz w:val="20"/>
          <w:szCs w:val="20"/>
        </w:rPr>
        <w:t xml:space="preserve">the </w:t>
      </w:r>
      <w:r w:rsidR="0095130E">
        <w:rPr>
          <w:sz w:val="20"/>
          <w:szCs w:val="20"/>
        </w:rPr>
        <w:t xml:space="preserve">upwards </w:t>
      </w:r>
      <w:r w:rsidR="0021146A">
        <w:rPr>
          <w:sz w:val="20"/>
          <w:szCs w:val="20"/>
        </w:rPr>
        <w:t>revis</w:t>
      </w:r>
      <w:r w:rsidR="0095130E">
        <w:rPr>
          <w:sz w:val="20"/>
          <w:szCs w:val="20"/>
        </w:rPr>
        <w:t xml:space="preserve">ion of the </w:t>
      </w:r>
      <w:r w:rsidR="00F31980">
        <w:rPr>
          <w:sz w:val="20"/>
          <w:szCs w:val="20"/>
        </w:rPr>
        <w:t xml:space="preserve">diagnostic </w:t>
      </w:r>
      <w:r>
        <w:rPr>
          <w:sz w:val="20"/>
          <w:szCs w:val="20"/>
        </w:rPr>
        <w:t xml:space="preserve">CSF pressure </w:t>
      </w:r>
      <w:r w:rsidR="00F31980">
        <w:rPr>
          <w:sz w:val="20"/>
          <w:szCs w:val="20"/>
        </w:rPr>
        <w:t xml:space="preserve">threshold </w:t>
      </w:r>
      <w:r>
        <w:rPr>
          <w:sz w:val="20"/>
          <w:szCs w:val="20"/>
        </w:rPr>
        <w:t>in these children.</w:t>
      </w:r>
      <w:r w:rsidR="001A690B">
        <w:rPr>
          <w:sz w:val="20"/>
          <w:szCs w:val="20"/>
        </w:rPr>
        <w:t xml:space="preserve"> </w:t>
      </w:r>
    </w:p>
    <w:p w:rsidR="00D83B08" w:rsidRDefault="00D83B08" w:rsidP="00E20257">
      <w:pPr>
        <w:spacing w:line="480" w:lineRule="auto"/>
        <w:rPr>
          <w:sz w:val="20"/>
          <w:szCs w:val="20"/>
        </w:rPr>
      </w:pPr>
    </w:p>
    <w:p w:rsidR="00F717A0" w:rsidRPr="00F717A0" w:rsidRDefault="00BE6DF7" w:rsidP="00E20257">
      <w:pPr>
        <w:spacing w:line="480" w:lineRule="auto"/>
        <w:rPr>
          <w:sz w:val="20"/>
          <w:szCs w:val="20"/>
        </w:rPr>
      </w:pPr>
      <w:r>
        <w:rPr>
          <w:sz w:val="20"/>
          <w:szCs w:val="20"/>
        </w:rPr>
        <w:t>In summary, t</w:t>
      </w:r>
      <w:r w:rsidR="00776D41" w:rsidRPr="001F2127">
        <w:rPr>
          <w:sz w:val="20"/>
          <w:szCs w:val="20"/>
        </w:rPr>
        <w:t xml:space="preserve">his study provides </w:t>
      </w:r>
      <w:r w:rsidR="005E1D9B" w:rsidRPr="001F2127">
        <w:rPr>
          <w:sz w:val="20"/>
          <w:szCs w:val="20"/>
        </w:rPr>
        <w:t xml:space="preserve">three </w:t>
      </w:r>
      <w:r w:rsidR="00EE2DAE">
        <w:rPr>
          <w:sz w:val="20"/>
          <w:szCs w:val="20"/>
        </w:rPr>
        <w:t xml:space="preserve">important </w:t>
      </w:r>
      <w:r w:rsidR="005E1D9B" w:rsidRPr="001F2127">
        <w:rPr>
          <w:sz w:val="20"/>
          <w:szCs w:val="20"/>
        </w:rPr>
        <w:t xml:space="preserve">findings </w:t>
      </w:r>
      <w:r w:rsidR="00EE2DAE">
        <w:rPr>
          <w:sz w:val="20"/>
          <w:szCs w:val="20"/>
        </w:rPr>
        <w:t xml:space="preserve">relating to </w:t>
      </w:r>
      <w:r w:rsidR="00781F72" w:rsidRPr="001F2127">
        <w:rPr>
          <w:sz w:val="20"/>
          <w:szCs w:val="20"/>
        </w:rPr>
        <w:t xml:space="preserve">childhood </w:t>
      </w:r>
      <w:r w:rsidR="005E1D9B" w:rsidRPr="001F2127">
        <w:rPr>
          <w:sz w:val="20"/>
          <w:szCs w:val="20"/>
        </w:rPr>
        <w:t>PTCS</w:t>
      </w:r>
      <w:r>
        <w:rPr>
          <w:sz w:val="20"/>
          <w:szCs w:val="20"/>
        </w:rPr>
        <w:t>.</w:t>
      </w:r>
      <w:r w:rsidR="00DA64C0" w:rsidRPr="001F2127">
        <w:rPr>
          <w:sz w:val="20"/>
          <w:szCs w:val="20"/>
        </w:rPr>
        <w:t xml:space="preserve"> First, </w:t>
      </w:r>
      <w:r w:rsidR="00934876">
        <w:rPr>
          <w:sz w:val="20"/>
          <w:szCs w:val="20"/>
        </w:rPr>
        <w:t xml:space="preserve">it suggests that it is a unitary syndrome and describes its </w:t>
      </w:r>
      <w:r w:rsidR="00934876" w:rsidRPr="001F2127">
        <w:rPr>
          <w:sz w:val="20"/>
          <w:szCs w:val="20"/>
        </w:rPr>
        <w:t>epidemiology</w:t>
      </w:r>
      <w:r w:rsidR="00934876">
        <w:rPr>
          <w:sz w:val="20"/>
          <w:szCs w:val="20"/>
        </w:rPr>
        <w:t xml:space="preserve"> reliably. These</w:t>
      </w:r>
      <w:r w:rsidR="003D4B2B">
        <w:rPr>
          <w:sz w:val="20"/>
          <w:szCs w:val="20"/>
        </w:rPr>
        <w:t xml:space="preserve"> observations should be </w:t>
      </w:r>
      <w:r w:rsidR="00EE2DAE">
        <w:rPr>
          <w:sz w:val="20"/>
          <w:szCs w:val="20"/>
        </w:rPr>
        <w:t>generali</w:t>
      </w:r>
      <w:r w:rsidR="003D4B2B">
        <w:rPr>
          <w:sz w:val="20"/>
          <w:szCs w:val="20"/>
        </w:rPr>
        <w:t>s</w:t>
      </w:r>
      <w:r w:rsidR="00EE2DAE">
        <w:rPr>
          <w:sz w:val="20"/>
          <w:szCs w:val="20"/>
        </w:rPr>
        <w:t xml:space="preserve">able </w:t>
      </w:r>
      <w:r w:rsidR="00EE2DAE" w:rsidRPr="001F2127">
        <w:rPr>
          <w:sz w:val="20"/>
          <w:szCs w:val="20"/>
        </w:rPr>
        <w:t>to population</w:t>
      </w:r>
      <w:r w:rsidR="00EE2DAE">
        <w:rPr>
          <w:sz w:val="20"/>
          <w:szCs w:val="20"/>
        </w:rPr>
        <w:t xml:space="preserve">s </w:t>
      </w:r>
      <w:r w:rsidR="003D4B2B">
        <w:rPr>
          <w:sz w:val="20"/>
          <w:szCs w:val="20"/>
        </w:rPr>
        <w:t xml:space="preserve">of </w:t>
      </w:r>
      <w:r w:rsidR="00802F5E">
        <w:rPr>
          <w:sz w:val="20"/>
          <w:szCs w:val="20"/>
        </w:rPr>
        <w:t xml:space="preserve">similar </w:t>
      </w:r>
      <w:r w:rsidR="00934876">
        <w:rPr>
          <w:sz w:val="20"/>
          <w:szCs w:val="20"/>
        </w:rPr>
        <w:t xml:space="preserve">ethnicity and </w:t>
      </w:r>
      <w:r w:rsidR="00EE2DAE">
        <w:rPr>
          <w:sz w:val="20"/>
          <w:szCs w:val="20"/>
        </w:rPr>
        <w:t>weight</w:t>
      </w:r>
      <w:r w:rsidR="003D4B2B">
        <w:rPr>
          <w:sz w:val="20"/>
          <w:szCs w:val="20"/>
        </w:rPr>
        <w:t xml:space="preserve"> profile</w:t>
      </w:r>
      <w:r w:rsidR="00934876">
        <w:rPr>
          <w:sz w:val="20"/>
          <w:szCs w:val="20"/>
        </w:rPr>
        <w:t>.</w:t>
      </w:r>
      <w:r>
        <w:rPr>
          <w:sz w:val="20"/>
          <w:szCs w:val="20"/>
        </w:rPr>
        <w:t xml:space="preserve"> </w:t>
      </w:r>
      <w:r w:rsidR="00DA64C0" w:rsidRPr="009949E5">
        <w:rPr>
          <w:sz w:val="20"/>
          <w:szCs w:val="20"/>
        </w:rPr>
        <w:t>Second,</w:t>
      </w:r>
      <w:r w:rsidR="00DA64C0" w:rsidRPr="001F2127">
        <w:rPr>
          <w:sz w:val="20"/>
          <w:szCs w:val="20"/>
        </w:rPr>
        <w:t xml:space="preserve"> </w:t>
      </w:r>
      <w:r w:rsidR="00934876">
        <w:rPr>
          <w:sz w:val="20"/>
          <w:szCs w:val="20"/>
        </w:rPr>
        <w:t xml:space="preserve">it established </w:t>
      </w:r>
      <w:r w:rsidR="00EE2DAE" w:rsidRPr="001F2127">
        <w:rPr>
          <w:sz w:val="20"/>
          <w:szCs w:val="20"/>
        </w:rPr>
        <w:t xml:space="preserve">female </w:t>
      </w:r>
      <w:r w:rsidR="00EE2DAE">
        <w:rPr>
          <w:sz w:val="20"/>
          <w:szCs w:val="20"/>
        </w:rPr>
        <w:t xml:space="preserve">sex and </w:t>
      </w:r>
      <w:r w:rsidR="00EE2DAE" w:rsidRPr="001F2127">
        <w:rPr>
          <w:sz w:val="20"/>
          <w:szCs w:val="20"/>
        </w:rPr>
        <w:t>obesity</w:t>
      </w:r>
      <w:r w:rsidR="00EE2DAE">
        <w:rPr>
          <w:sz w:val="20"/>
          <w:szCs w:val="20"/>
        </w:rPr>
        <w:t xml:space="preserve"> </w:t>
      </w:r>
      <w:r w:rsidR="00934876">
        <w:rPr>
          <w:sz w:val="20"/>
          <w:szCs w:val="20"/>
        </w:rPr>
        <w:t xml:space="preserve">as </w:t>
      </w:r>
      <w:r w:rsidR="00EE2DAE">
        <w:rPr>
          <w:sz w:val="20"/>
          <w:szCs w:val="20"/>
        </w:rPr>
        <w:t xml:space="preserve">the dominant risk factors </w:t>
      </w:r>
      <w:r w:rsidR="008616CE">
        <w:rPr>
          <w:sz w:val="20"/>
          <w:szCs w:val="20"/>
        </w:rPr>
        <w:t>from</w:t>
      </w:r>
      <w:r w:rsidR="0095130E">
        <w:rPr>
          <w:sz w:val="20"/>
          <w:szCs w:val="20"/>
        </w:rPr>
        <w:t xml:space="preserve"> </w:t>
      </w:r>
      <w:r w:rsidR="008616CE">
        <w:rPr>
          <w:sz w:val="20"/>
          <w:szCs w:val="20"/>
        </w:rPr>
        <w:t xml:space="preserve">age </w:t>
      </w:r>
      <w:r w:rsidR="0095130E">
        <w:rPr>
          <w:sz w:val="20"/>
          <w:szCs w:val="20"/>
        </w:rPr>
        <w:t xml:space="preserve">7 years. </w:t>
      </w:r>
      <w:r w:rsidR="00DA64C0" w:rsidRPr="001F2127">
        <w:rPr>
          <w:sz w:val="20"/>
          <w:szCs w:val="20"/>
        </w:rPr>
        <w:t>Third</w:t>
      </w:r>
      <w:r w:rsidR="00DA64C0" w:rsidRPr="009949E5">
        <w:rPr>
          <w:sz w:val="20"/>
          <w:szCs w:val="20"/>
        </w:rPr>
        <w:t xml:space="preserve">, </w:t>
      </w:r>
      <w:r w:rsidR="00934876">
        <w:rPr>
          <w:sz w:val="20"/>
          <w:szCs w:val="20"/>
        </w:rPr>
        <w:t xml:space="preserve">it shows that </w:t>
      </w:r>
      <w:r w:rsidR="0095130E">
        <w:rPr>
          <w:sz w:val="20"/>
          <w:szCs w:val="20"/>
        </w:rPr>
        <w:t xml:space="preserve">children </w:t>
      </w:r>
      <w:r w:rsidR="00934876">
        <w:rPr>
          <w:sz w:val="20"/>
          <w:szCs w:val="20"/>
        </w:rPr>
        <w:t xml:space="preserve">aged </w:t>
      </w:r>
      <w:r w:rsidR="0043099A">
        <w:rPr>
          <w:sz w:val="20"/>
          <w:szCs w:val="20"/>
        </w:rPr>
        <w:t>under</w:t>
      </w:r>
      <w:r w:rsidR="00934876">
        <w:rPr>
          <w:sz w:val="20"/>
          <w:szCs w:val="20"/>
        </w:rPr>
        <w:t xml:space="preserve"> </w:t>
      </w:r>
      <w:r w:rsidR="0095130E">
        <w:rPr>
          <w:sz w:val="20"/>
          <w:szCs w:val="20"/>
        </w:rPr>
        <w:t xml:space="preserve">7 years do </w:t>
      </w:r>
      <w:r w:rsidR="008616CE">
        <w:rPr>
          <w:sz w:val="20"/>
          <w:szCs w:val="20"/>
        </w:rPr>
        <w:t xml:space="preserve">not show these risk factors and </w:t>
      </w:r>
      <w:r w:rsidR="00934876">
        <w:rPr>
          <w:sz w:val="20"/>
          <w:szCs w:val="20"/>
        </w:rPr>
        <w:t>may present somewhat differently.</w:t>
      </w:r>
      <w:r w:rsidR="001A690B">
        <w:rPr>
          <w:sz w:val="20"/>
          <w:szCs w:val="20"/>
        </w:rPr>
        <w:t xml:space="preserve"> </w:t>
      </w:r>
      <w:r w:rsidR="00F717A0">
        <w:rPr>
          <w:sz w:val="20"/>
          <w:szCs w:val="20"/>
        </w:rPr>
        <w:t>The</w:t>
      </w:r>
      <w:r w:rsidR="005F0EBE">
        <w:rPr>
          <w:sz w:val="20"/>
          <w:szCs w:val="20"/>
        </w:rPr>
        <w:t xml:space="preserve"> age-, sex- and weight-specific PTCS incidence data</w:t>
      </w:r>
      <w:r w:rsidR="00F717A0">
        <w:rPr>
          <w:sz w:val="20"/>
          <w:szCs w:val="20"/>
        </w:rPr>
        <w:t xml:space="preserve"> </w:t>
      </w:r>
      <w:r w:rsidR="00934876">
        <w:rPr>
          <w:sz w:val="20"/>
          <w:szCs w:val="20"/>
        </w:rPr>
        <w:t xml:space="preserve"> will help investigators to </w:t>
      </w:r>
      <w:r w:rsidR="00221F8E">
        <w:rPr>
          <w:sz w:val="20"/>
          <w:szCs w:val="20"/>
        </w:rPr>
        <w:t>estimate the size of the population required to provide an adequate number of cases to provide a study that is adequately powered to address a treatment question. These data also suggest that the avoidance of over</w:t>
      </w:r>
      <w:r w:rsidR="005F0EBE">
        <w:rPr>
          <w:sz w:val="20"/>
          <w:szCs w:val="20"/>
        </w:rPr>
        <w:t xml:space="preserve">weight </w:t>
      </w:r>
      <w:r w:rsidR="00221F8E">
        <w:rPr>
          <w:sz w:val="20"/>
          <w:szCs w:val="20"/>
        </w:rPr>
        <w:t xml:space="preserve">and weight </w:t>
      </w:r>
      <w:r w:rsidR="005F0EBE">
        <w:rPr>
          <w:sz w:val="20"/>
          <w:szCs w:val="20"/>
        </w:rPr>
        <w:t xml:space="preserve">reduction </w:t>
      </w:r>
      <w:r w:rsidR="00221F8E">
        <w:rPr>
          <w:sz w:val="20"/>
          <w:szCs w:val="20"/>
        </w:rPr>
        <w:t>may have considerable potential impact as primary and secondary preventative measure for PTCS in children over the age of 7 years</w:t>
      </w:r>
      <w:r w:rsidR="00934876">
        <w:rPr>
          <w:sz w:val="20"/>
          <w:szCs w:val="20"/>
        </w:rPr>
        <w:t>.</w:t>
      </w:r>
    </w:p>
    <w:p w:rsidR="00EF67E9" w:rsidRDefault="00EF67E9" w:rsidP="00E20257">
      <w:pPr>
        <w:spacing w:line="480" w:lineRule="auto"/>
        <w:rPr>
          <w:color w:val="000000"/>
        </w:rPr>
      </w:pPr>
    </w:p>
    <w:p w:rsidR="00D652FA" w:rsidRPr="001F2127" w:rsidRDefault="00D652FA" w:rsidP="00E20257">
      <w:pPr>
        <w:spacing w:line="480" w:lineRule="auto"/>
        <w:rPr>
          <w:sz w:val="20"/>
          <w:szCs w:val="20"/>
        </w:rPr>
      </w:pPr>
      <w:r w:rsidRPr="008747AE">
        <w:rPr>
          <w:b/>
          <w:sz w:val="20"/>
          <w:szCs w:val="20"/>
        </w:rPr>
        <w:lastRenderedPageBreak/>
        <w:t>Acknowledgements</w:t>
      </w:r>
      <w:r w:rsidR="008747AE">
        <w:rPr>
          <w:b/>
          <w:sz w:val="20"/>
          <w:szCs w:val="20"/>
        </w:rPr>
        <w:t xml:space="preserve"> </w:t>
      </w:r>
      <w:r w:rsidR="008747AE">
        <w:rPr>
          <w:sz w:val="20"/>
          <w:szCs w:val="20"/>
        </w:rPr>
        <w:t xml:space="preserve">The authors </w:t>
      </w:r>
      <w:r w:rsidRPr="001F2127">
        <w:rPr>
          <w:sz w:val="20"/>
          <w:szCs w:val="20"/>
        </w:rPr>
        <w:t xml:space="preserve">are very grateful to all the </w:t>
      </w:r>
      <w:r>
        <w:rPr>
          <w:sz w:val="20"/>
          <w:szCs w:val="20"/>
        </w:rPr>
        <w:t xml:space="preserve">general and specialised </w:t>
      </w:r>
      <w:r w:rsidRPr="001F2127">
        <w:rPr>
          <w:sz w:val="20"/>
          <w:szCs w:val="20"/>
        </w:rPr>
        <w:t xml:space="preserve">paediatricians in the UK and Ireland who contributed to </w:t>
      </w:r>
      <w:r>
        <w:rPr>
          <w:sz w:val="20"/>
          <w:szCs w:val="20"/>
        </w:rPr>
        <w:t>the</w:t>
      </w:r>
      <w:r w:rsidR="00F44A3A">
        <w:rPr>
          <w:sz w:val="20"/>
          <w:szCs w:val="20"/>
        </w:rPr>
        <w:t xml:space="preserve"> notification and</w:t>
      </w:r>
      <w:r>
        <w:rPr>
          <w:sz w:val="20"/>
          <w:szCs w:val="20"/>
        </w:rPr>
        <w:t xml:space="preserve"> </w:t>
      </w:r>
      <w:r w:rsidRPr="001F2127">
        <w:rPr>
          <w:sz w:val="20"/>
          <w:szCs w:val="20"/>
        </w:rPr>
        <w:t xml:space="preserve">submission </w:t>
      </w:r>
      <w:r>
        <w:rPr>
          <w:sz w:val="20"/>
          <w:szCs w:val="20"/>
        </w:rPr>
        <w:t xml:space="preserve">of survey </w:t>
      </w:r>
      <w:r w:rsidRPr="001F2127">
        <w:rPr>
          <w:sz w:val="20"/>
          <w:szCs w:val="20"/>
        </w:rPr>
        <w:t>questionnaire</w:t>
      </w:r>
      <w:r>
        <w:rPr>
          <w:sz w:val="20"/>
          <w:szCs w:val="20"/>
        </w:rPr>
        <w:t>s</w:t>
      </w:r>
      <w:r w:rsidRPr="001F2127">
        <w:rPr>
          <w:sz w:val="20"/>
          <w:szCs w:val="20"/>
        </w:rPr>
        <w:t xml:space="preserve"> data, BPSU</w:t>
      </w:r>
      <w:r>
        <w:rPr>
          <w:sz w:val="20"/>
          <w:szCs w:val="20"/>
        </w:rPr>
        <w:t xml:space="preserve"> assisted in the development of the study protocol and survey questionnaires</w:t>
      </w:r>
      <w:r w:rsidRPr="001F2127">
        <w:rPr>
          <w:sz w:val="20"/>
          <w:szCs w:val="20"/>
        </w:rPr>
        <w:t xml:space="preserve">, </w:t>
      </w:r>
      <w:r>
        <w:rPr>
          <w:sz w:val="20"/>
          <w:szCs w:val="20"/>
        </w:rPr>
        <w:t xml:space="preserve">to SHINE (Spina Bifida. Hydrocephalus. Information. Networking. Equality, formerly the </w:t>
      </w:r>
      <w:r w:rsidRPr="001F2127">
        <w:rPr>
          <w:sz w:val="20"/>
          <w:szCs w:val="20"/>
        </w:rPr>
        <w:t>Association for Spina Bifida and Hydrocephalus</w:t>
      </w:r>
      <w:r>
        <w:rPr>
          <w:sz w:val="20"/>
          <w:szCs w:val="20"/>
        </w:rPr>
        <w:t xml:space="preserve">) and IIH </w:t>
      </w:r>
      <w:r w:rsidRPr="001F2127">
        <w:rPr>
          <w:sz w:val="20"/>
          <w:szCs w:val="20"/>
        </w:rPr>
        <w:t>UK for their support,</w:t>
      </w:r>
      <w:r w:rsidRPr="002C42FE">
        <w:t xml:space="preserve"> </w:t>
      </w:r>
      <w:r>
        <w:rPr>
          <w:sz w:val="20"/>
          <w:szCs w:val="20"/>
        </w:rPr>
        <w:t xml:space="preserve">to Dr Krystyna Matyka for contribution in the study design and case ascertainment, to </w:t>
      </w:r>
      <w:r w:rsidRPr="001F2127">
        <w:rPr>
          <w:sz w:val="20"/>
          <w:szCs w:val="20"/>
        </w:rPr>
        <w:t>Dr Jim Turner</w:t>
      </w:r>
      <w:r>
        <w:rPr>
          <w:sz w:val="20"/>
          <w:szCs w:val="20"/>
        </w:rPr>
        <w:t>,</w:t>
      </w:r>
      <w:r w:rsidRPr="001F2127">
        <w:rPr>
          <w:sz w:val="20"/>
          <w:szCs w:val="20"/>
        </w:rPr>
        <w:t xml:space="preserve"> Senior Research Fellow</w:t>
      </w:r>
      <w:r>
        <w:rPr>
          <w:sz w:val="20"/>
          <w:szCs w:val="20"/>
        </w:rPr>
        <w:t>,</w:t>
      </w:r>
      <w:r w:rsidRPr="001F2127">
        <w:rPr>
          <w:sz w:val="20"/>
          <w:szCs w:val="20"/>
        </w:rPr>
        <w:t xml:space="preserve"> </w:t>
      </w:r>
      <w:r>
        <w:rPr>
          <w:sz w:val="20"/>
          <w:szCs w:val="20"/>
        </w:rPr>
        <w:t xml:space="preserve">for </w:t>
      </w:r>
      <w:r w:rsidRPr="001F2127">
        <w:rPr>
          <w:sz w:val="20"/>
          <w:szCs w:val="20"/>
        </w:rPr>
        <w:t>statistical support</w:t>
      </w:r>
      <w:r w:rsidR="00DA3EF2">
        <w:rPr>
          <w:sz w:val="20"/>
          <w:szCs w:val="20"/>
        </w:rPr>
        <w:t xml:space="preserve"> </w:t>
      </w:r>
      <w:r>
        <w:rPr>
          <w:sz w:val="20"/>
          <w:szCs w:val="20"/>
        </w:rPr>
        <w:t>and</w:t>
      </w:r>
      <w:r w:rsidRPr="001F2127">
        <w:rPr>
          <w:sz w:val="20"/>
          <w:szCs w:val="20"/>
        </w:rPr>
        <w:t xml:space="preserve"> </w:t>
      </w:r>
      <w:r>
        <w:rPr>
          <w:sz w:val="20"/>
          <w:szCs w:val="20"/>
        </w:rPr>
        <w:t xml:space="preserve">to Mrs </w:t>
      </w:r>
      <w:r w:rsidRPr="001F2127">
        <w:rPr>
          <w:sz w:val="20"/>
          <w:szCs w:val="20"/>
        </w:rPr>
        <w:t xml:space="preserve">Jayne Cooke </w:t>
      </w:r>
      <w:r>
        <w:rPr>
          <w:sz w:val="20"/>
          <w:szCs w:val="20"/>
        </w:rPr>
        <w:t xml:space="preserve">for </w:t>
      </w:r>
      <w:r w:rsidRPr="001F2127">
        <w:rPr>
          <w:sz w:val="20"/>
          <w:szCs w:val="20"/>
        </w:rPr>
        <w:t xml:space="preserve">administrative </w:t>
      </w:r>
      <w:r>
        <w:rPr>
          <w:sz w:val="20"/>
          <w:szCs w:val="20"/>
        </w:rPr>
        <w:t>support.</w:t>
      </w:r>
      <w:r w:rsidRPr="001F2127">
        <w:rPr>
          <w:sz w:val="20"/>
          <w:szCs w:val="20"/>
        </w:rPr>
        <w:t xml:space="preserve"> </w:t>
      </w:r>
    </w:p>
    <w:p w:rsidR="00D652FA" w:rsidRDefault="00D652FA" w:rsidP="00E20257">
      <w:pPr>
        <w:tabs>
          <w:tab w:val="left" w:pos="964"/>
        </w:tabs>
        <w:spacing w:line="480" w:lineRule="auto"/>
        <w:rPr>
          <w:sz w:val="20"/>
          <w:szCs w:val="20"/>
        </w:rPr>
      </w:pPr>
    </w:p>
    <w:p w:rsidR="00195781" w:rsidRPr="001F2127" w:rsidRDefault="008747AE" w:rsidP="00E20257">
      <w:pPr>
        <w:spacing w:line="480" w:lineRule="auto"/>
        <w:rPr>
          <w:bCs/>
          <w:sz w:val="20"/>
          <w:szCs w:val="20"/>
        </w:rPr>
      </w:pPr>
      <w:r w:rsidRPr="008747AE">
        <w:rPr>
          <w:b/>
          <w:bCs/>
          <w:sz w:val="20"/>
          <w:szCs w:val="20"/>
        </w:rPr>
        <w:t>C</w:t>
      </w:r>
      <w:r w:rsidR="00195781" w:rsidRPr="008747AE">
        <w:rPr>
          <w:b/>
          <w:bCs/>
          <w:sz w:val="20"/>
          <w:szCs w:val="20"/>
        </w:rPr>
        <w:t>ontribut</w:t>
      </w:r>
      <w:r w:rsidRPr="008747AE">
        <w:rPr>
          <w:b/>
          <w:bCs/>
          <w:sz w:val="20"/>
          <w:szCs w:val="20"/>
        </w:rPr>
        <w:t>ors</w:t>
      </w:r>
      <w:r w:rsidR="00195781" w:rsidRPr="008747AE">
        <w:rPr>
          <w:b/>
          <w:bCs/>
          <w:sz w:val="20"/>
          <w:szCs w:val="20"/>
        </w:rPr>
        <w:t xml:space="preserve"> </w:t>
      </w:r>
      <w:r w:rsidR="00195781" w:rsidRPr="001F2127">
        <w:rPr>
          <w:bCs/>
          <w:sz w:val="20"/>
          <w:szCs w:val="20"/>
        </w:rPr>
        <w:t>The surveillance study was</w:t>
      </w:r>
      <w:r w:rsidR="00C742F2">
        <w:rPr>
          <w:bCs/>
          <w:sz w:val="20"/>
          <w:szCs w:val="20"/>
        </w:rPr>
        <w:t xml:space="preserve"> </w:t>
      </w:r>
      <w:r w:rsidR="00195781" w:rsidRPr="001F2127">
        <w:rPr>
          <w:bCs/>
          <w:sz w:val="20"/>
          <w:szCs w:val="20"/>
        </w:rPr>
        <w:t>designed by YYM with key input from KMc and FD</w:t>
      </w:r>
      <w:r w:rsidR="00256B17">
        <w:rPr>
          <w:bCs/>
          <w:sz w:val="20"/>
          <w:szCs w:val="20"/>
        </w:rPr>
        <w:t xml:space="preserve"> in development of study protocol and survey questionnaires</w:t>
      </w:r>
      <w:r w:rsidR="00195781" w:rsidRPr="001F2127">
        <w:rPr>
          <w:bCs/>
          <w:sz w:val="20"/>
          <w:szCs w:val="20"/>
        </w:rPr>
        <w:t>. WPW, CRK</w:t>
      </w:r>
      <w:r w:rsidR="00DA3EF2">
        <w:rPr>
          <w:bCs/>
          <w:sz w:val="20"/>
          <w:szCs w:val="20"/>
        </w:rPr>
        <w:t xml:space="preserve"> </w:t>
      </w:r>
      <w:r w:rsidR="00195781" w:rsidRPr="001F2127">
        <w:rPr>
          <w:bCs/>
          <w:sz w:val="20"/>
          <w:szCs w:val="20"/>
        </w:rPr>
        <w:t>and C</w:t>
      </w:r>
      <w:r w:rsidR="00985C78">
        <w:rPr>
          <w:bCs/>
          <w:sz w:val="20"/>
          <w:szCs w:val="20"/>
        </w:rPr>
        <w:t>P</w:t>
      </w:r>
      <w:r w:rsidR="00195781" w:rsidRPr="001F2127">
        <w:rPr>
          <w:bCs/>
          <w:sz w:val="20"/>
          <w:szCs w:val="20"/>
        </w:rPr>
        <w:t>W provided oversight of the surveillance study conducted by YYM. YYM, FD, KMc, C</w:t>
      </w:r>
      <w:r w:rsidR="00985C78">
        <w:rPr>
          <w:bCs/>
          <w:sz w:val="20"/>
          <w:szCs w:val="20"/>
        </w:rPr>
        <w:t>P</w:t>
      </w:r>
      <w:r w:rsidR="00195781" w:rsidRPr="001F2127">
        <w:rPr>
          <w:bCs/>
          <w:sz w:val="20"/>
          <w:szCs w:val="20"/>
        </w:rPr>
        <w:t>W, WPW</w:t>
      </w:r>
      <w:r w:rsidR="00DA3EF2">
        <w:rPr>
          <w:bCs/>
          <w:sz w:val="20"/>
          <w:szCs w:val="20"/>
        </w:rPr>
        <w:t xml:space="preserve"> </w:t>
      </w:r>
      <w:r w:rsidR="00195781" w:rsidRPr="001F2127">
        <w:rPr>
          <w:bCs/>
          <w:sz w:val="20"/>
          <w:szCs w:val="20"/>
        </w:rPr>
        <w:t xml:space="preserve">and CRK </w:t>
      </w:r>
      <w:r w:rsidR="00705872">
        <w:rPr>
          <w:bCs/>
          <w:sz w:val="20"/>
          <w:szCs w:val="20"/>
        </w:rPr>
        <w:t xml:space="preserve">evaluated </w:t>
      </w:r>
      <w:r w:rsidR="00DD5E45">
        <w:rPr>
          <w:bCs/>
          <w:sz w:val="20"/>
          <w:szCs w:val="20"/>
        </w:rPr>
        <w:t xml:space="preserve">the </w:t>
      </w:r>
      <w:r w:rsidR="00705872">
        <w:rPr>
          <w:bCs/>
          <w:sz w:val="20"/>
          <w:szCs w:val="20"/>
        </w:rPr>
        <w:t xml:space="preserve">eligibility </w:t>
      </w:r>
      <w:r w:rsidR="00195781" w:rsidRPr="001F2127">
        <w:rPr>
          <w:bCs/>
          <w:sz w:val="20"/>
          <w:szCs w:val="20"/>
        </w:rPr>
        <w:t xml:space="preserve">of notifications. YYM analysed </w:t>
      </w:r>
      <w:r w:rsidR="00C742F2">
        <w:rPr>
          <w:bCs/>
          <w:sz w:val="20"/>
          <w:szCs w:val="20"/>
        </w:rPr>
        <w:t xml:space="preserve">and interpreted </w:t>
      </w:r>
      <w:r w:rsidR="00195781" w:rsidRPr="001F2127">
        <w:rPr>
          <w:bCs/>
          <w:sz w:val="20"/>
          <w:szCs w:val="20"/>
        </w:rPr>
        <w:t xml:space="preserve">the </w:t>
      </w:r>
      <w:r w:rsidR="00EF67E9">
        <w:rPr>
          <w:bCs/>
          <w:sz w:val="20"/>
          <w:szCs w:val="20"/>
        </w:rPr>
        <w:t>collected</w:t>
      </w:r>
      <w:r w:rsidR="00195781" w:rsidRPr="001F2127">
        <w:rPr>
          <w:bCs/>
          <w:sz w:val="20"/>
          <w:szCs w:val="20"/>
        </w:rPr>
        <w:t xml:space="preserve"> data</w:t>
      </w:r>
      <w:r w:rsidR="00DD5E45">
        <w:rPr>
          <w:bCs/>
          <w:sz w:val="20"/>
          <w:szCs w:val="20"/>
        </w:rPr>
        <w:t xml:space="preserve">. </w:t>
      </w:r>
      <w:r w:rsidR="00195781" w:rsidRPr="001F2127">
        <w:rPr>
          <w:bCs/>
          <w:sz w:val="20"/>
          <w:szCs w:val="20"/>
        </w:rPr>
        <w:t>A</w:t>
      </w:r>
      <w:r w:rsidR="00053217">
        <w:rPr>
          <w:bCs/>
          <w:sz w:val="20"/>
          <w:szCs w:val="20"/>
        </w:rPr>
        <w:t>S</w:t>
      </w:r>
      <w:r w:rsidR="00195781" w:rsidRPr="001F2127">
        <w:rPr>
          <w:bCs/>
          <w:sz w:val="20"/>
          <w:szCs w:val="20"/>
        </w:rPr>
        <w:t xml:space="preserve">R </w:t>
      </w:r>
      <w:r w:rsidR="00C742F2">
        <w:rPr>
          <w:bCs/>
          <w:sz w:val="20"/>
          <w:szCs w:val="20"/>
        </w:rPr>
        <w:t>advised and provided input</w:t>
      </w:r>
      <w:r w:rsidR="00195781" w:rsidRPr="001F2127">
        <w:rPr>
          <w:bCs/>
          <w:sz w:val="20"/>
          <w:szCs w:val="20"/>
        </w:rPr>
        <w:t xml:space="preserve"> in the statistical analysis. YYM did the literature review</w:t>
      </w:r>
      <w:r w:rsidR="00A949C6">
        <w:rPr>
          <w:bCs/>
          <w:sz w:val="20"/>
          <w:szCs w:val="20"/>
        </w:rPr>
        <w:t>s</w:t>
      </w:r>
      <w:r w:rsidR="00705872">
        <w:rPr>
          <w:bCs/>
          <w:sz w:val="20"/>
          <w:szCs w:val="20"/>
        </w:rPr>
        <w:t xml:space="preserve">, </w:t>
      </w:r>
      <w:r w:rsidR="00C742F2">
        <w:rPr>
          <w:bCs/>
          <w:sz w:val="20"/>
          <w:szCs w:val="20"/>
        </w:rPr>
        <w:t>drafted</w:t>
      </w:r>
      <w:r w:rsidR="00DA3EF2">
        <w:rPr>
          <w:bCs/>
          <w:sz w:val="20"/>
          <w:szCs w:val="20"/>
        </w:rPr>
        <w:t xml:space="preserve"> </w:t>
      </w:r>
      <w:r w:rsidR="00195781" w:rsidRPr="001F2127">
        <w:rPr>
          <w:bCs/>
          <w:sz w:val="20"/>
          <w:szCs w:val="20"/>
        </w:rPr>
        <w:t xml:space="preserve">and revised </w:t>
      </w:r>
      <w:r w:rsidR="00C742F2">
        <w:rPr>
          <w:bCs/>
          <w:sz w:val="20"/>
          <w:szCs w:val="20"/>
        </w:rPr>
        <w:t xml:space="preserve">all </w:t>
      </w:r>
      <w:r w:rsidR="00195781" w:rsidRPr="001F2127">
        <w:rPr>
          <w:bCs/>
          <w:sz w:val="20"/>
          <w:szCs w:val="20"/>
        </w:rPr>
        <w:t>versions of the manuscript. CRK together with contributions from all other</w:t>
      </w:r>
      <w:r w:rsidR="0047319E">
        <w:rPr>
          <w:bCs/>
          <w:sz w:val="20"/>
          <w:szCs w:val="20"/>
        </w:rPr>
        <w:t xml:space="preserve">s (WPW, MJL, CPW, FD, KMc, GAS and ASR) </w:t>
      </w:r>
      <w:r w:rsidR="00195781" w:rsidRPr="001F2127">
        <w:rPr>
          <w:bCs/>
          <w:sz w:val="20"/>
          <w:szCs w:val="20"/>
        </w:rPr>
        <w:t xml:space="preserve"> critically </w:t>
      </w:r>
      <w:r w:rsidR="00045D1C">
        <w:rPr>
          <w:bCs/>
          <w:sz w:val="20"/>
          <w:szCs w:val="20"/>
        </w:rPr>
        <w:t xml:space="preserve">involved in </w:t>
      </w:r>
      <w:r w:rsidR="0047319E">
        <w:rPr>
          <w:bCs/>
          <w:sz w:val="20"/>
          <w:szCs w:val="20"/>
        </w:rPr>
        <w:t xml:space="preserve">the </w:t>
      </w:r>
      <w:r w:rsidR="00045D1C">
        <w:rPr>
          <w:bCs/>
          <w:sz w:val="20"/>
          <w:szCs w:val="20"/>
        </w:rPr>
        <w:t>data interpretation</w:t>
      </w:r>
      <w:r w:rsidR="0047319E">
        <w:rPr>
          <w:bCs/>
          <w:sz w:val="20"/>
          <w:szCs w:val="20"/>
        </w:rPr>
        <w:t xml:space="preserve">, </w:t>
      </w:r>
      <w:r w:rsidR="00195781" w:rsidRPr="001F2127">
        <w:rPr>
          <w:bCs/>
          <w:sz w:val="20"/>
          <w:szCs w:val="20"/>
        </w:rPr>
        <w:t xml:space="preserve">revised all versions </w:t>
      </w:r>
      <w:r w:rsidR="00EF67E9">
        <w:rPr>
          <w:bCs/>
          <w:sz w:val="20"/>
          <w:szCs w:val="20"/>
        </w:rPr>
        <w:t xml:space="preserve">and approved the final version </w:t>
      </w:r>
      <w:r w:rsidR="00195781" w:rsidRPr="001F2127">
        <w:rPr>
          <w:bCs/>
          <w:sz w:val="20"/>
          <w:szCs w:val="20"/>
        </w:rPr>
        <w:t xml:space="preserve">of the manuscript.   </w:t>
      </w:r>
    </w:p>
    <w:p w:rsidR="00195781" w:rsidRDefault="00195781" w:rsidP="00E20257">
      <w:pPr>
        <w:spacing w:line="480" w:lineRule="auto"/>
        <w:rPr>
          <w:b/>
          <w:bCs/>
          <w:sz w:val="20"/>
          <w:szCs w:val="20"/>
          <w:highlight w:val="yellow"/>
        </w:rPr>
      </w:pPr>
    </w:p>
    <w:p w:rsidR="00F161F5" w:rsidRDefault="008747AE" w:rsidP="00E20257">
      <w:pPr>
        <w:spacing w:line="480" w:lineRule="auto"/>
      </w:pPr>
      <w:r w:rsidRPr="008747AE">
        <w:rPr>
          <w:b/>
          <w:bCs/>
          <w:sz w:val="20"/>
          <w:szCs w:val="20"/>
        </w:rPr>
        <w:t>Completing</w:t>
      </w:r>
      <w:r w:rsidR="00195781" w:rsidRPr="008747AE">
        <w:rPr>
          <w:b/>
          <w:bCs/>
          <w:sz w:val="20"/>
          <w:szCs w:val="20"/>
        </w:rPr>
        <w:t xml:space="preserve"> interests</w:t>
      </w:r>
      <w:r>
        <w:rPr>
          <w:b/>
          <w:bCs/>
          <w:sz w:val="20"/>
          <w:szCs w:val="20"/>
        </w:rPr>
        <w:t xml:space="preserve"> </w:t>
      </w:r>
      <w:r w:rsidR="00195781" w:rsidRPr="001F2127">
        <w:rPr>
          <w:bCs/>
          <w:sz w:val="20"/>
          <w:szCs w:val="20"/>
        </w:rPr>
        <w:t>M</w:t>
      </w:r>
      <w:r w:rsidR="0010613A">
        <w:rPr>
          <w:bCs/>
          <w:sz w:val="20"/>
          <w:szCs w:val="20"/>
        </w:rPr>
        <w:t>J</w:t>
      </w:r>
      <w:r w:rsidR="00195781" w:rsidRPr="001F2127">
        <w:rPr>
          <w:bCs/>
          <w:sz w:val="20"/>
          <w:szCs w:val="20"/>
        </w:rPr>
        <w:t>L receives research grants from Action Medical Research, DES society, GOSH charity, NIHR, MS Society, SPARKS charity and; receives research support grants from the London Clinical Research Network and Evelina Appeal; has received consultation fees from CSL Behring; received travel grants from Merck Serono; and awarded educational grants to organize meetings by Novartis, Biogen Idec, Merck Serono and Bayer.</w:t>
      </w:r>
      <w:r>
        <w:rPr>
          <w:bCs/>
          <w:sz w:val="20"/>
          <w:szCs w:val="20"/>
        </w:rPr>
        <w:t xml:space="preserve"> </w:t>
      </w:r>
      <w:r w:rsidR="00F161F5">
        <w:rPr>
          <w:bCs/>
          <w:sz w:val="20"/>
          <w:szCs w:val="20"/>
        </w:rPr>
        <w:t>GA</w:t>
      </w:r>
      <w:r w:rsidR="00F161F5" w:rsidRPr="00655578">
        <w:rPr>
          <w:bCs/>
          <w:sz w:val="20"/>
          <w:szCs w:val="20"/>
          <w:lang w:val="en-US"/>
        </w:rPr>
        <w:t xml:space="preserve">S </w:t>
      </w:r>
      <w:r w:rsidR="00F161F5">
        <w:rPr>
          <w:bCs/>
          <w:sz w:val="20"/>
          <w:szCs w:val="20"/>
          <w:lang w:val="en-US"/>
        </w:rPr>
        <w:t>has been an investigator in MPSII</w:t>
      </w:r>
      <w:r w:rsidR="00F161F5" w:rsidRPr="00BE05AD">
        <w:rPr>
          <w:bCs/>
          <w:sz w:val="20"/>
          <w:szCs w:val="20"/>
          <w:lang w:val="en-US"/>
        </w:rPr>
        <w:t xml:space="preserve"> clinical trials</w:t>
      </w:r>
      <w:r w:rsidR="00F161F5">
        <w:rPr>
          <w:bCs/>
          <w:sz w:val="20"/>
          <w:szCs w:val="20"/>
          <w:lang w:val="en-US"/>
        </w:rPr>
        <w:t xml:space="preserve"> with Shire, </w:t>
      </w:r>
      <w:r w:rsidR="00F161F5" w:rsidRPr="00655578">
        <w:rPr>
          <w:bCs/>
          <w:sz w:val="20"/>
          <w:szCs w:val="20"/>
          <w:lang w:val="en-US"/>
        </w:rPr>
        <w:t>has received speaker’s honorarium</w:t>
      </w:r>
      <w:r w:rsidR="00F161F5">
        <w:rPr>
          <w:bCs/>
          <w:sz w:val="20"/>
          <w:szCs w:val="20"/>
          <w:lang w:val="en-US"/>
        </w:rPr>
        <w:t xml:space="preserve"> </w:t>
      </w:r>
      <w:r w:rsidR="00F161F5" w:rsidRPr="00655578">
        <w:rPr>
          <w:bCs/>
          <w:sz w:val="20"/>
          <w:szCs w:val="20"/>
          <w:lang w:val="en-US"/>
        </w:rPr>
        <w:t>and travel support from BioMarin</w:t>
      </w:r>
      <w:r w:rsidR="00F161F5">
        <w:rPr>
          <w:bCs/>
          <w:sz w:val="20"/>
          <w:szCs w:val="20"/>
          <w:lang w:val="en-US"/>
        </w:rPr>
        <w:t>.</w:t>
      </w:r>
    </w:p>
    <w:p w:rsidR="00260FEB" w:rsidRDefault="008747AE" w:rsidP="00E20257">
      <w:pPr>
        <w:spacing w:line="480" w:lineRule="auto"/>
        <w:rPr>
          <w:bCs/>
          <w:sz w:val="20"/>
          <w:szCs w:val="20"/>
        </w:rPr>
      </w:pPr>
      <w:r>
        <w:rPr>
          <w:bCs/>
          <w:sz w:val="20"/>
          <w:szCs w:val="20"/>
        </w:rPr>
        <w:t>None declared by a</w:t>
      </w:r>
      <w:r w:rsidR="00DD5E45">
        <w:rPr>
          <w:bCs/>
          <w:sz w:val="20"/>
          <w:szCs w:val="20"/>
        </w:rPr>
        <w:t>ll o</w:t>
      </w:r>
      <w:r w:rsidR="00A74641">
        <w:rPr>
          <w:bCs/>
          <w:sz w:val="20"/>
          <w:szCs w:val="20"/>
        </w:rPr>
        <w:t>ther authors</w:t>
      </w:r>
      <w:r w:rsidR="00844BEF">
        <w:rPr>
          <w:bCs/>
          <w:sz w:val="20"/>
          <w:szCs w:val="20"/>
        </w:rPr>
        <w:t xml:space="preserve"> (YYM, FD, KMc, ASR, CPW, WPW &amp; CRK)</w:t>
      </w:r>
      <w:r w:rsidR="00A74641">
        <w:rPr>
          <w:bCs/>
          <w:sz w:val="20"/>
          <w:szCs w:val="20"/>
        </w:rPr>
        <w:t xml:space="preserve">. </w:t>
      </w:r>
    </w:p>
    <w:p w:rsidR="00260FEB" w:rsidRDefault="00260FEB" w:rsidP="00E20257">
      <w:pPr>
        <w:spacing w:line="480" w:lineRule="auto"/>
        <w:rPr>
          <w:bCs/>
          <w:sz w:val="20"/>
          <w:szCs w:val="20"/>
        </w:rPr>
      </w:pPr>
    </w:p>
    <w:p w:rsidR="00BF16CF" w:rsidRPr="00260FEB" w:rsidRDefault="00BF16CF" w:rsidP="00E20257">
      <w:pPr>
        <w:spacing w:line="480" w:lineRule="auto"/>
        <w:rPr>
          <w:bCs/>
          <w:sz w:val="20"/>
          <w:szCs w:val="20"/>
        </w:rPr>
      </w:pPr>
      <w:r w:rsidRPr="001F2127">
        <w:rPr>
          <w:b/>
          <w:sz w:val="20"/>
          <w:szCs w:val="20"/>
        </w:rPr>
        <w:t>Funding</w:t>
      </w:r>
      <w:r w:rsidRPr="001F2127">
        <w:rPr>
          <w:sz w:val="20"/>
          <w:szCs w:val="20"/>
        </w:rPr>
        <w:t xml:space="preserve"> </w:t>
      </w:r>
      <w:r w:rsidR="00F468F6">
        <w:rPr>
          <w:sz w:val="20"/>
          <w:szCs w:val="20"/>
        </w:rPr>
        <w:t>This national survey was supported by the</w:t>
      </w:r>
      <w:r w:rsidR="00A56B06">
        <w:rPr>
          <w:sz w:val="20"/>
          <w:szCs w:val="20"/>
        </w:rPr>
        <w:t xml:space="preserve"> BPSU/RCPCH</w:t>
      </w:r>
      <w:r w:rsidR="00F468F6">
        <w:rPr>
          <w:sz w:val="20"/>
          <w:szCs w:val="20"/>
        </w:rPr>
        <w:t xml:space="preserve"> </w:t>
      </w:r>
      <w:r w:rsidRPr="001F2127">
        <w:rPr>
          <w:sz w:val="20"/>
          <w:szCs w:val="20"/>
        </w:rPr>
        <w:t xml:space="preserve">Sir Peter Tizard </w:t>
      </w:r>
      <w:r w:rsidR="00A56B06">
        <w:rPr>
          <w:sz w:val="20"/>
          <w:szCs w:val="20"/>
        </w:rPr>
        <w:t xml:space="preserve">Research </w:t>
      </w:r>
      <w:r w:rsidRPr="001F2127">
        <w:rPr>
          <w:sz w:val="20"/>
          <w:szCs w:val="20"/>
        </w:rPr>
        <w:t>Bursary</w:t>
      </w:r>
      <w:r w:rsidR="00A56B06">
        <w:rPr>
          <w:sz w:val="20"/>
          <w:szCs w:val="20"/>
        </w:rPr>
        <w:t>.</w:t>
      </w:r>
    </w:p>
    <w:p w:rsidR="003F3682" w:rsidRDefault="003F3682" w:rsidP="00E20257">
      <w:pPr>
        <w:spacing w:line="480" w:lineRule="auto"/>
        <w:rPr>
          <w:b/>
        </w:rPr>
      </w:pPr>
    </w:p>
    <w:p w:rsidR="00CA0158" w:rsidRPr="0094268C" w:rsidRDefault="00CA0158" w:rsidP="00E20257">
      <w:pPr>
        <w:shd w:val="clear" w:color="auto" w:fill="FFFFFF"/>
        <w:spacing w:line="480" w:lineRule="auto"/>
        <w:rPr>
          <w:b/>
          <w:color w:val="333333"/>
          <w:sz w:val="20"/>
          <w:szCs w:val="20"/>
        </w:rPr>
      </w:pPr>
    </w:p>
    <w:p w:rsidR="001803B1" w:rsidRDefault="001803B1" w:rsidP="00E20257">
      <w:pPr>
        <w:spacing w:line="480" w:lineRule="auto"/>
        <w:rPr>
          <w:b/>
          <w:bCs/>
          <w:sz w:val="20"/>
          <w:szCs w:val="20"/>
        </w:rPr>
      </w:pPr>
      <w:r>
        <w:rPr>
          <w:b/>
          <w:bCs/>
          <w:sz w:val="20"/>
          <w:szCs w:val="20"/>
        </w:rPr>
        <w:br w:type="page"/>
      </w:r>
    </w:p>
    <w:p w:rsidR="001803B1" w:rsidRDefault="001803B1" w:rsidP="00E20257">
      <w:pPr>
        <w:shd w:val="clear" w:color="auto" w:fill="FFFFFF"/>
        <w:spacing w:line="480" w:lineRule="auto"/>
        <w:outlineLvl w:val="3"/>
        <w:rPr>
          <w:color w:val="333333"/>
          <w:sz w:val="20"/>
          <w:szCs w:val="20"/>
        </w:rPr>
      </w:pPr>
      <w:r>
        <w:rPr>
          <w:b/>
          <w:bCs/>
          <w:sz w:val="20"/>
          <w:szCs w:val="20"/>
        </w:rPr>
        <w:lastRenderedPageBreak/>
        <w:t xml:space="preserve">What is already known on this topic? </w:t>
      </w:r>
      <w:r w:rsidRPr="0094268C">
        <w:rPr>
          <w:color w:val="333333"/>
          <w:sz w:val="20"/>
          <w:szCs w:val="20"/>
        </w:rPr>
        <w:t xml:space="preserve">      </w:t>
      </w:r>
    </w:p>
    <w:p w:rsidR="001803B1" w:rsidRPr="000B4A90" w:rsidRDefault="001803B1" w:rsidP="00E20257">
      <w:pPr>
        <w:pStyle w:val="ListParagraph"/>
        <w:numPr>
          <w:ilvl w:val="0"/>
          <w:numId w:val="32"/>
        </w:numPr>
        <w:shd w:val="clear" w:color="auto" w:fill="FFFFFF"/>
        <w:spacing w:line="480" w:lineRule="auto"/>
        <w:outlineLvl w:val="3"/>
        <w:rPr>
          <w:color w:val="333333"/>
          <w:sz w:val="20"/>
          <w:szCs w:val="20"/>
        </w:rPr>
      </w:pPr>
      <w:r w:rsidRPr="00CA0158">
        <w:rPr>
          <w:sz w:val="20"/>
          <w:szCs w:val="20"/>
        </w:rPr>
        <w:t>Pseudotumor cerebri syndrome (PTCS) is a rare syndrome of intracranial hypertension defined by an evolving diagnostic algorithm</w:t>
      </w:r>
      <w:r>
        <w:rPr>
          <w:sz w:val="20"/>
          <w:szCs w:val="20"/>
        </w:rPr>
        <w:t xml:space="preserve">, most recently revised in 2013. </w:t>
      </w:r>
    </w:p>
    <w:p w:rsidR="001803B1" w:rsidRPr="008F0AF5" w:rsidRDefault="001803B1" w:rsidP="00E20257">
      <w:pPr>
        <w:pStyle w:val="ListParagraph"/>
        <w:numPr>
          <w:ilvl w:val="0"/>
          <w:numId w:val="32"/>
        </w:numPr>
        <w:shd w:val="clear" w:color="auto" w:fill="FFFFFF"/>
        <w:spacing w:line="480" w:lineRule="auto"/>
        <w:outlineLvl w:val="3"/>
        <w:rPr>
          <w:color w:val="333333"/>
          <w:sz w:val="20"/>
          <w:szCs w:val="20"/>
        </w:rPr>
      </w:pPr>
      <w:r>
        <w:rPr>
          <w:sz w:val="20"/>
          <w:szCs w:val="20"/>
        </w:rPr>
        <w:t xml:space="preserve">Risk factors for PTCS including female sex and obesity. </w:t>
      </w:r>
    </w:p>
    <w:p w:rsidR="001803B1" w:rsidRDefault="001803B1" w:rsidP="00E20257">
      <w:pPr>
        <w:pStyle w:val="ListParagraph"/>
        <w:numPr>
          <w:ilvl w:val="0"/>
          <w:numId w:val="32"/>
        </w:numPr>
        <w:spacing w:line="480" w:lineRule="auto"/>
        <w:rPr>
          <w:b/>
          <w:bCs/>
          <w:sz w:val="20"/>
          <w:szCs w:val="20"/>
        </w:rPr>
      </w:pPr>
      <w:r>
        <w:rPr>
          <w:sz w:val="20"/>
          <w:szCs w:val="20"/>
        </w:rPr>
        <w:t xml:space="preserve">The </w:t>
      </w:r>
      <w:r w:rsidR="00F44A3A">
        <w:rPr>
          <w:sz w:val="20"/>
          <w:szCs w:val="20"/>
        </w:rPr>
        <w:t>epidemiology</w:t>
      </w:r>
      <w:r>
        <w:rPr>
          <w:sz w:val="20"/>
          <w:szCs w:val="20"/>
        </w:rPr>
        <w:t xml:space="preserve"> of PTCS in childhood has not been reliably established in a prospective study but is thought to be lower than that in adults. </w:t>
      </w:r>
    </w:p>
    <w:p w:rsidR="001803B1" w:rsidRDefault="001803B1" w:rsidP="00E20257">
      <w:pPr>
        <w:shd w:val="clear" w:color="auto" w:fill="FFFFFF"/>
        <w:spacing w:line="480" w:lineRule="auto"/>
        <w:outlineLvl w:val="3"/>
        <w:rPr>
          <w:b/>
          <w:bCs/>
          <w:sz w:val="20"/>
          <w:szCs w:val="20"/>
        </w:rPr>
      </w:pPr>
    </w:p>
    <w:p w:rsidR="001803B1" w:rsidRPr="0094268C" w:rsidRDefault="001803B1" w:rsidP="00E20257">
      <w:pPr>
        <w:shd w:val="clear" w:color="auto" w:fill="FFFFFF"/>
        <w:spacing w:line="480" w:lineRule="auto"/>
        <w:outlineLvl w:val="3"/>
        <w:rPr>
          <w:b/>
          <w:bCs/>
          <w:sz w:val="20"/>
          <w:szCs w:val="20"/>
        </w:rPr>
      </w:pPr>
      <w:r>
        <w:rPr>
          <w:b/>
          <w:bCs/>
          <w:sz w:val="20"/>
          <w:szCs w:val="20"/>
        </w:rPr>
        <w:t>What this study adds?</w:t>
      </w:r>
    </w:p>
    <w:p w:rsidR="001803B1" w:rsidRPr="00700DF5" w:rsidRDefault="001803B1" w:rsidP="00E20257">
      <w:pPr>
        <w:pStyle w:val="ListParagraph"/>
        <w:numPr>
          <w:ilvl w:val="0"/>
          <w:numId w:val="31"/>
        </w:numPr>
        <w:shd w:val="clear" w:color="auto" w:fill="FFFFFF"/>
        <w:spacing w:after="288" w:line="480" w:lineRule="auto"/>
        <w:rPr>
          <w:sz w:val="20"/>
          <w:szCs w:val="20"/>
        </w:rPr>
      </w:pPr>
      <w:r>
        <w:rPr>
          <w:sz w:val="20"/>
          <w:szCs w:val="20"/>
        </w:rPr>
        <w:t>T</w:t>
      </w:r>
      <w:r w:rsidRPr="00700DF5">
        <w:rPr>
          <w:sz w:val="20"/>
          <w:szCs w:val="20"/>
        </w:rPr>
        <w:t>h</w:t>
      </w:r>
      <w:r>
        <w:rPr>
          <w:sz w:val="20"/>
          <w:szCs w:val="20"/>
        </w:rPr>
        <w:t xml:space="preserve">is prospective survey of all cases in Great Britain and Ireland is the largest study of </w:t>
      </w:r>
      <w:r w:rsidRPr="00700DF5">
        <w:rPr>
          <w:sz w:val="20"/>
          <w:szCs w:val="20"/>
        </w:rPr>
        <w:t xml:space="preserve">PTCS in </w:t>
      </w:r>
      <w:r>
        <w:rPr>
          <w:sz w:val="20"/>
          <w:szCs w:val="20"/>
        </w:rPr>
        <w:t>childhood and establishes,</w:t>
      </w:r>
      <w:r w:rsidRPr="00700DF5">
        <w:rPr>
          <w:sz w:val="20"/>
          <w:szCs w:val="20"/>
        </w:rPr>
        <w:t xml:space="preserve"> for the first time</w:t>
      </w:r>
      <w:r>
        <w:rPr>
          <w:sz w:val="20"/>
          <w:szCs w:val="20"/>
        </w:rPr>
        <w:t>,</w:t>
      </w:r>
      <w:r w:rsidRPr="00700DF5">
        <w:rPr>
          <w:sz w:val="20"/>
          <w:szCs w:val="20"/>
        </w:rPr>
        <w:t xml:space="preserve"> reliable estimates </w:t>
      </w:r>
      <w:r>
        <w:rPr>
          <w:sz w:val="20"/>
          <w:szCs w:val="20"/>
        </w:rPr>
        <w:t xml:space="preserve">of </w:t>
      </w:r>
      <w:r w:rsidRPr="00700DF5">
        <w:rPr>
          <w:sz w:val="20"/>
          <w:szCs w:val="20"/>
        </w:rPr>
        <w:t>age</w:t>
      </w:r>
      <w:r w:rsidR="00A50D72">
        <w:rPr>
          <w:sz w:val="20"/>
          <w:szCs w:val="20"/>
        </w:rPr>
        <w:t>, sex</w:t>
      </w:r>
      <w:r w:rsidR="006F33B7">
        <w:rPr>
          <w:sz w:val="20"/>
          <w:szCs w:val="20"/>
        </w:rPr>
        <w:t xml:space="preserve"> and weight </w:t>
      </w:r>
      <w:r w:rsidRPr="00700DF5">
        <w:rPr>
          <w:sz w:val="20"/>
          <w:szCs w:val="20"/>
        </w:rPr>
        <w:t xml:space="preserve">specific annual incidence rates. </w:t>
      </w:r>
    </w:p>
    <w:p w:rsidR="001803B1" w:rsidRPr="00700DF5" w:rsidRDefault="001803B1" w:rsidP="00E20257">
      <w:pPr>
        <w:pStyle w:val="ListParagraph"/>
        <w:numPr>
          <w:ilvl w:val="0"/>
          <w:numId w:val="31"/>
        </w:numPr>
        <w:shd w:val="clear" w:color="auto" w:fill="FFFFFF"/>
        <w:spacing w:after="288" w:line="480" w:lineRule="auto"/>
        <w:rPr>
          <w:sz w:val="20"/>
          <w:szCs w:val="20"/>
        </w:rPr>
      </w:pPr>
      <w:r>
        <w:rPr>
          <w:sz w:val="20"/>
          <w:szCs w:val="20"/>
        </w:rPr>
        <w:t xml:space="preserve">In a few, childhood PTCS occurs </w:t>
      </w:r>
      <w:r w:rsidR="00F44A3A">
        <w:rPr>
          <w:sz w:val="20"/>
          <w:szCs w:val="20"/>
        </w:rPr>
        <w:t>prior</w:t>
      </w:r>
      <w:r>
        <w:rPr>
          <w:sz w:val="20"/>
          <w:szCs w:val="20"/>
        </w:rPr>
        <w:t xml:space="preserve"> age of 7 years, often without identifiable risk factors and with some distinctive features in its clinical presentation. </w:t>
      </w:r>
    </w:p>
    <w:p w:rsidR="003D3846" w:rsidRPr="009501F0" w:rsidRDefault="00271CB4" w:rsidP="00E20257">
      <w:pPr>
        <w:pStyle w:val="ListParagraph"/>
        <w:numPr>
          <w:ilvl w:val="0"/>
          <w:numId w:val="31"/>
        </w:numPr>
        <w:shd w:val="clear" w:color="auto" w:fill="FFFFFF"/>
        <w:spacing w:after="288" w:line="480" w:lineRule="auto"/>
        <w:rPr>
          <w:b/>
        </w:rPr>
      </w:pPr>
      <w:r w:rsidRPr="009501F0">
        <w:rPr>
          <w:sz w:val="20"/>
          <w:szCs w:val="20"/>
        </w:rPr>
        <w:t xml:space="preserve">Most childhood PTCS occurs </w:t>
      </w:r>
      <w:r w:rsidR="00F44A3A">
        <w:rPr>
          <w:sz w:val="20"/>
          <w:szCs w:val="20"/>
        </w:rPr>
        <w:t>from</w:t>
      </w:r>
      <w:r w:rsidRPr="009501F0">
        <w:rPr>
          <w:sz w:val="20"/>
          <w:szCs w:val="20"/>
        </w:rPr>
        <w:t xml:space="preserve"> age 7 years when it is twice as common in girls and progressively commoner with increasing age and degrees of overweight. More than 80% of PTCS in 12-15 year olds is attributable to obesity.  </w:t>
      </w:r>
    </w:p>
    <w:p w:rsidR="0049062C" w:rsidRDefault="0049062C" w:rsidP="00E20257">
      <w:pPr>
        <w:spacing w:line="480" w:lineRule="auto"/>
        <w:rPr>
          <w:b/>
        </w:rPr>
      </w:pPr>
      <w:r>
        <w:rPr>
          <w:b/>
        </w:rPr>
        <w:br w:type="page"/>
      </w:r>
    </w:p>
    <w:p w:rsidR="00195781" w:rsidRPr="001F2127" w:rsidRDefault="008747AE" w:rsidP="00260FEB">
      <w:pPr>
        <w:spacing w:line="480" w:lineRule="auto"/>
        <w:rPr>
          <w:b/>
        </w:rPr>
      </w:pPr>
      <w:r>
        <w:rPr>
          <w:b/>
        </w:rPr>
        <w:lastRenderedPageBreak/>
        <w:t>REFERENCES</w:t>
      </w:r>
    </w:p>
    <w:p w:rsidR="00372B9E" w:rsidRPr="00F468F6" w:rsidRDefault="009243B5" w:rsidP="00260FEB">
      <w:pPr>
        <w:pStyle w:val="ListParagraph"/>
        <w:numPr>
          <w:ilvl w:val="0"/>
          <w:numId w:val="23"/>
        </w:numPr>
        <w:spacing w:line="480" w:lineRule="auto"/>
        <w:rPr>
          <w:sz w:val="20"/>
          <w:szCs w:val="20"/>
        </w:rPr>
      </w:pPr>
      <w:r w:rsidRPr="00F468F6">
        <w:rPr>
          <w:sz w:val="20"/>
          <w:szCs w:val="20"/>
        </w:rPr>
        <w:t xml:space="preserve">Quincke H. </w:t>
      </w:r>
      <w:r w:rsidRPr="00F468F6">
        <w:rPr>
          <w:color w:val="000000"/>
          <w:sz w:val="20"/>
          <w:szCs w:val="20"/>
        </w:rPr>
        <w:t xml:space="preserve">Über meningitis serosa. </w:t>
      </w:r>
      <w:r w:rsidRPr="00F468F6">
        <w:rPr>
          <w:i/>
          <w:color w:val="000000"/>
          <w:sz w:val="20"/>
          <w:szCs w:val="20"/>
        </w:rPr>
        <w:t xml:space="preserve">Sammlung Klinische Vortrage (Innere Medezin 23) </w:t>
      </w:r>
      <w:r w:rsidRPr="00F468F6">
        <w:rPr>
          <w:color w:val="000000"/>
          <w:sz w:val="20"/>
          <w:szCs w:val="20"/>
        </w:rPr>
        <w:t>1893;67:655-94.</w:t>
      </w:r>
    </w:p>
    <w:p w:rsidR="009100A6" w:rsidRPr="00F468F6" w:rsidRDefault="009100A6" w:rsidP="00260FEB">
      <w:pPr>
        <w:pStyle w:val="ListParagraph"/>
        <w:numPr>
          <w:ilvl w:val="0"/>
          <w:numId w:val="23"/>
        </w:numPr>
        <w:spacing w:line="480" w:lineRule="auto"/>
        <w:rPr>
          <w:sz w:val="20"/>
          <w:szCs w:val="20"/>
        </w:rPr>
      </w:pPr>
      <w:r w:rsidRPr="00F468F6">
        <w:rPr>
          <w:sz w:val="20"/>
          <w:szCs w:val="20"/>
        </w:rPr>
        <w:t xml:space="preserve">Kesler A, Stolovic N, Bluednikov Y, </w:t>
      </w:r>
      <w:r w:rsidR="00F468F6">
        <w:rPr>
          <w:sz w:val="20"/>
          <w:szCs w:val="20"/>
        </w:rPr>
        <w:t>et al</w:t>
      </w:r>
      <w:r w:rsidRPr="00F468F6">
        <w:rPr>
          <w:sz w:val="20"/>
          <w:szCs w:val="20"/>
        </w:rPr>
        <w:t xml:space="preserve">. The incidence of idiopathic intracranial hypertension in Israel from 2005 to 2007: results of a nationwide survey. </w:t>
      </w:r>
      <w:r w:rsidRPr="00F468F6">
        <w:rPr>
          <w:i/>
          <w:sz w:val="20"/>
          <w:szCs w:val="20"/>
        </w:rPr>
        <w:t>Eur J Neurol</w:t>
      </w:r>
      <w:r w:rsidRPr="00F468F6">
        <w:rPr>
          <w:sz w:val="20"/>
          <w:szCs w:val="20"/>
        </w:rPr>
        <w:t xml:space="preserve"> 2014;21:1055-9.</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Raoof N, Sharrack B, Pepper IM, </w:t>
      </w:r>
      <w:r w:rsidR="00F468F6">
        <w:rPr>
          <w:sz w:val="20"/>
          <w:szCs w:val="20"/>
        </w:rPr>
        <w:t>et al</w:t>
      </w:r>
      <w:r w:rsidRPr="00F468F6">
        <w:rPr>
          <w:sz w:val="20"/>
          <w:szCs w:val="20"/>
        </w:rPr>
        <w:t xml:space="preserve">. The incidence and prevalence of idiopathic intracranial hypertension in Sheffield, UK. </w:t>
      </w:r>
      <w:r w:rsidRPr="00F468F6">
        <w:rPr>
          <w:i/>
          <w:sz w:val="20"/>
          <w:szCs w:val="20"/>
        </w:rPr>
        <w:t>Eur J Neurol</w:t>
      </w:r>
      <w:r w:rsidRPr="00F468F6">
        <w:rPr>
          <w:sz w:val="20"/>
          <w:szCs w:val="20"/>
        </w:rPr>
        <w:t xml:space="preserve"> 2011;18:1266-8.</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Idiculla T, Zachariah G, Br K, </w:t>
      </w:r>
      <w:r w:rsidR="00F468F6">
        <w:rPr>
          <w:sz w:val="20"/>
          <w:szCs w:val="20"/>
        </w:rPr>
        <w:t>et al</w:t>
      </w:r>
      <w:r w:rsidRPr="00F468F6">
        <w:rPr>
          <w:sz w:val="20"/>
          <w:szCs w:val="20"/>
        </w:rPr>
        <w:t xml:space="preserve">. The incidence and prevalence of idiopathic intracranial hypertension in south Sharaqiah region, Oman. </w:t>
      </w:r>
      <w:r w:rsidRPr="00F468F6">
        <w:rPr>
          <w:i/>
          <w:sz w:val="20"/>
          <w:szCs w:val="20"/>
        </w:rPr>
        <w:t>Oman J Ophthalmol</w:t>
      </w:r>
      <w:r w:rsidRPr="00F468F6">
        <w:rPr>
          <w:sz w:val="20"/>
          <w:szCs w:val="20"/>
        </w:rPr>
        <w:t xml:space="preserve"> 2013;6:189-92.</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Gordon K. Pediatric pseudotumor cerebri: descriptive epidemiology. </w:t>
      </w:r>
      <w:r w:rsidRPr="00F468F6">
        <w:rPr>
          <w:i/>
          <w:sz w:val="20"/>
          <w:szCs w:val="20"/>
        </w:rPr>
        <w:t>Can J Neurol Sci</w:t>
      </w:r>
      <w:r w:rsidRPr="00F468F6">
        <w:rPr>
          <w:sz w:val="20"/>
          <w:szCs w:val="20"/>
        </w:rPr>
        <w:t xml:space="preserve"> 1997;24:219-21.</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Tibussek D, Distelmaier F, von Kries R, </w:t>
      </w:r>
      <w:r w:rsidR="00F468F6">
        <w:rPr>
          <w:sz w:val="20"/>
          <w:szCs w:val="20"/>
        </w:rPr>
        <w:t>et al</w:t>
      </w:r>
      <w:r w:rsidRPr="00F468F6">
        <w:rPr>
          <w:sz w:val="20"/>
          <w:szCs w:val="20"/>
        </w:rPr>
        <w:t xml:space="preserve">. Pseudotumor cerebri in childhood and adolescence - results of a Germany-wide ESPED-survey. </w:t>
      </w:r>
      <w:r w:rsidRPr="00F468F6">
        <w:rPr>
          <w:i/>
          <w:sz w:val="20"/>
          <w:szCs w:val="20"/>
        </w:rPr>
        <w:t>Klin Padiatr</w:t>
      </w:r>
      <w:r w:rsidR="002B5EDF">
        <w:rPr>
          <w:sz w:val="20"/>
          <w:szCs w:val="20"/>
        </w:rPr>
        <w:t xml:space="preserve"> 2013;</w:t>
      </w:r>
      <w:r w:rsidRPr="00F468F6">
        <w:rPr>
          <w:sz w:val="20"/>
          <w:szCs w:val="20"/>
        </w:rPr>
        <w:t>225:81-5.</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Bursztyn LL, Sharan S, Walsh L, </w:t>
      </w:r>
      <w:r w:rsidR="002B5EDF">
        <w:rPr>
          <w:sz w:val="20"/>
          <w:szCs w:val="20"/>
        </w:rPr>
        <w:t>et al.</w:t>
      </w:r>
      <w:r w:rsidRPr="00F468F6">
        <w:rPr>
          <w:sz w:val="20"/>
          <w:szCs w:val="20"/>
        </w:rPr>
        <w:t xml:space="preserve"> Has rising pediatric obesity increased the incidence of idiopathic intracranial hypertension in children? </w:t>
      </w:r>
      <w:r w:rsidRPr="00F468F6">
        <w:rPr>
          <w:i/>
          <w:sz w:val="20"/>
          <w:szCs w:val="20"/>
        </w:rPr>
        <w:t>Can J Ophthalmol</w:t>
      </w:r>
      <w:r w:rsidRPr="00F468F6">
        <w:rPr>
          <w:sz w:val="20"/>
          <w:szCs w:val="20"/>
        </w:rPr>
        <w:t xml:space="preserve"> 2014;49:87-91.</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Best J, Silvestri G, Burton B, </w:t>
      </w:r>
      <w:r w:rsidR="002B5EDF">
        <w:rPr>
          <w:sz w:val="20"/>
          <w:szCs w:val="20"/>
        </w:rPr>
        <w:t>et al</w:t>
      </w:r>
      <w:r w:rsidRPr="00F468F6">
        <w:rPr>
          <w:sz w:val="20"/>
          <w:szCs w:val="20"/>
        </w:rPr>
        <w:t xml:space="preserve">. The incidence of blindness due to idiopathic intracranial hypertension in the UK. </w:t>
      </w:r>
      <w:r w:rsidRPr="00F468F6">
        <w:rPr>
          <w:i/>
          <w:sz w:val="20"/>
          <w:szCs w:val="20"/>
        </w:rPr>
        <w:t>Open Ophthalmol J</w:t>
      </w:r>
      <w:r w:rsidRPr="00F468F6">
        <w:rPr>
          <w:sz w:val="20"/>
          <w:szCs w:val="20"/>
        </w:rPr>
        <w:t xml:space="preserve"> 2013;7:26-9.</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Wall M, George D. Idiopathic intracranial hypertension. A prospective study of 50 patients. </w:t>
      </w:r>
      <w:r w:rsidRPr="00F468F6">
        <w:rPr>
          <w:i/>
          <w:sz w:val="20"/>
          <w:szCs w:val="20"/>
        </w:rPr>
        <w:t>Brain</w:t>
      </w:r>
      <w:r w:rsidRPr="00F468F6">
        <w:rPr>
          <w:sz w:val="20"/>
          <w:szCs w:val="20"/>
        </w:rPr>
        <w:t xml:space="preserve"> 1991;114:155-80.</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Dandy WE. Intracranial pressure without brain tumor: diagnosis and treatment. </w:t>
      </w:r>
      <w:r w:rsidRPr="00F468F6">
        <w:rPr>
          <w:i/>
          <w:sz w:val="20"/>
          <w:szCs w:val="20"/>
        </w:rPr>
        <w:t>Ann Surg</w:t>
      </w:r>
      <w:r w:rsidRPr="00F468F6">
        <w:rPr>
          <w:sz w:val="20"/>
          <w:szCs w:val="20"/>
        </w:rPr>
        <w:t xml:space="preserve"> 1937;106:492-513.</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Corbett JJ, Mehta MP. Cerebrospinal fluid pressure in normal obese subjects and patients with pseudotumor cerebri. </w:t>
      </w:r>
      <w:r w:rsidRPr="00F468F6">
        <w:rPr>
          <w:i/>
          <w:sz w:val="20"/>
          <w:szCs w:val="20"/>
        </w:rPr>
        <w:t>Neurology</w:t>
      </w:r>
      <w:r w:rsidRPr="00F468F6">
        <w:rPr>
          <w:sz w:val="20"/>
          <w:szCs w:val="20"/>
        </w:rPr>
        <w:t xml:space="preserve"> 1983;33:1386-8</w:t>
      </w:r>
      <w:r w:rsidR="00B57C38">
        <w:rPr>
          <w:sz w:val="20"/>
          <w:szCs w:val="20"/>
        </w:rPr>
        <w:t>.</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Sinclair AJ, Burdon MA, Nightingale PG, et al. Rating papilloedema: an evaluation of the Frisen classification in idiopathic intracranial hypertension. </w:t>
      </w:r>
      <w:r w:rsidRPr="00F468F6">
        <w:rPr>
          <w:i/>
          <w:sz w:val="20"/>
          <w:szCs w:val="20"/>
        </w:rPr>
        <w:t>J Neurol</w:t>
      </w:r>
      <w:r w:rsidRPr="00F468F6">
        <w:rPr>
          <w:sz w:val="20"/>
          <w:szCs w:val="20"/>
        </w:rPr>
        <w:t xml:space="preserve"> 2012;259:1406-12.</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Matthews YY. Drugs used in childhood idiopathic or benign intracranial hypertension. </w:t>
      </w:r>
      <w:r w:rsidRPr="00F468F6">
        <w:rPr>
          <w:i/>
          <w:sz w:val="20"/>
          <w:szCs w:val="20"/>
        </w:rPr>
        <w:t>Arch Dis Child Educ Pract Ed</w:t>
      </w:r>
      <w:r w:rsidRPr="00F468F6">
        <w:rPr>
          <w:sz w:val="20"/>
          <w:szCs w:val="20"/>
        </w:rPr>
        <w:t xml:space="preserve"> 2008;93:19-25.</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Avery RA, Shah SS, Licht DJ, et al. Reference range for cerebrospinal fluid opening pressure in children. </w:t>
      </w:r>
      <w:r w:rsidRPr="00F468F6">
        <w:rPr>
          <w:i/>
          <w:sz w:val="20"/>
          <w:szCs w:val="20"/>
        </w:rPr>
        <w:t>N Engl J</w:t>
      </w:r>
      <w:r w:rsidRPr="00F468F6">
        <w:rPr>
          <w:sz w:val="20"/>
          <w:szCs w:val="20"/>
        </w:rPr>
        <w:t xml:space="preserve"> </w:t>
      </w:r>
      <w:r w:rsidRPr="00F468F6">
        <w:rPr>
          <w:i/>
          <w:sz w:val="20"/>
          <w:szCs w:val="20"/>
        </w:rPr>
        <w:t>Med</w:t>
      </w:r>
      <w:r w:rsidRPr="00F468F6">
        <w:rPr>
          <w:sz w:val="20"/>
          <w:szCs w:val="20"/>
        </w:rPr>
        <w:t xml:space="preserve"> 2010;363:891-3.</w:t>
      </w:r>
    </w:p>
    <w:p w:rsidR="00372B9E" w:rsidRPr="00F468F6" w:rsidRDefault="00372B9E" w:rsidP="00260FEB">
      <w:pPr>
        <w:pStyle w:val="ListParagraph"/>
        <w:numPr>
          <w:ilvl w:val="0"/>
          <w:numId w:val="23"/>
        </w:numPr>
        <w:spacing w:line="480" w:lineRule="auto"/>
        <w:rPr>
          <w:sz w:val="20"/>
          <w:szCs w:val="20"/>
        </w:rPr>
      </w:pPr>
      <w:r w:rsidRPr="00F468F6">
        <w:rPr>
          <w:sz w:val="20"/>
          <w:szCs w:val="20"/>
        </w:rPr>
        <w:lastRenderedPageBreak/>
        <w:t xml:space="preserve">Brodsky MC, Vaphiades M. Magnetic resonance imaging in pseudotumor cerebri. </w:t>
      </w:r>
      <w:r w:rsidRPr="00F468F6">
        <w:rPr>
          <w:i/>
          <w:sz w:val="20"/>
          <w:szCs w:val="20"/>
        </w:rPr>
        <w:t>Ophthalmology</w:t>
      </w:r>
      <w:r w:rsidRPr="00F468F6">
        <w:rPr>
          <w:sz w:val="20"/>
          <w:szCs w:val="20"/>
        </w:rPr>
        <w:t xml:space="preserve"> 1998;105:1686-93.</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Agid R, Farb RI, Willinsky RA, </w:t>
      </w:r>
      <w:r w:rsidR="002B5EDF">
        <w:rPr>
          <w:sz w:val="20"/>
          <w:szCs w:val="20"/>
        </w:rPr>
        <w:t>et al</w:t>
      </w:r>
      <w:r w:rsidRPr="00F468F6">
        <w:rPr>
          <w:sz w:val="20"/>
          <w:szCs w:val="20"/>
        </w:rPr>
        <w:t xml:space="preserve">. Idiopathic intracranial hypertension: the validity of cross-sectional neuroimaging signs. </w:t>
      </w:r>
      <w:r w:rsidRPr="00F468F6">
        <w:rPr>
          <w:i/>
          <w:sz w:val="20"/>
          <w:szCs w:val="20"/>
        </w:rPr>
        <w:t>Neuroradiology</w:t>
      </w:r>
      <w:r w:rsidRPr="00F468F6">
        <w:rPr>
          <w:sz w:val="20"/>
          <w:szCs w:val="20"/>
        </w:rPr>
        <w:t xml:space="preserve"> 2006;48:521-7.</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Lim MJ, Pushparajah K, Jan W, </w:t>
      </w:r>
      <w:r w:rsidR="002B5EDF">
        <w:rPr>
          <w:sz w:val="20"/>
          <w:szCs w:val="20"/>
        </w:rPr>
        <w:t>et al</w:t>
      </w:r>
      <w:r w:rsidRPr="00F468F6">
        <w:rPr>
          <w:sz w:val="20"/>
          <w:szCs w:val="20"/>
        </w:rPr>
        <w:t xml:space="preserve">. Magnetic resonance imaging changes in idiopathic intracranial hypertension in children. </w:t>
      </w:r>
      <w:r w:rsidRPr="00F468F6">
        <w:rPr>
          <w:i/>
          <w:sz w:val="20"/>
          <w:szCs w:val="20"/>
        </w:rPr>
        <w:t>J Child Neurol</w:t>
      </w:r>
      <w:r w:rsidRPr="00F468F6">
        <w:rPr>
          <w:sz w:val="20"/>
          <w:szCs w:val="20"/>
        </w:rPr>
        <w:t xml:space="preserve"> 2010;25:294-9.</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Maralani PJ, Hassanlou M, Torres C, et al. Accuracy of brain imaging in the diagnosis of idiopathic intracranial hypertension. </w:t>
      </w:r>
      <w:r w:rsidRPr="00F468F6">
        <w:rPr>
          <w:i/>
          <w:sz w:val="20"/>
          <w:szCs w:val="20"/>
        </w:rPr>
        <w:t>Clin Radiol</w:t>
      </w:r>
      <w:r w:rsidRPr="00F468F6">
        <w:rPr>
          <w:sz w:val="20"/>
          <w:szCs w:val="20"/>
        </w:rPr>
        <w:t xml:space="preserve"> 2012;67:656-63.</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Hoffman J, Huppertz HJ, Schmidt C, et al. Morphometric and volumetric MRI changes in idiopathic intracranial hypertension. </w:t>
      </w:r>
      <w:r w:rsidRPr="00F468F6">
        <w:rPr>
          <w:i/>
          <w:sz w:val="20"/>
          <w:szCs w:val="20"/>
        </w:rPr>
        <w:t>Cephalalgia</w:t>
      </w:r>
      <w:r w:rsidRPr="00F468F6">
        <w:rPr>
          <w:sz w:val="20"/>
          <w:szCs w:val="20"/>
        </w:rPr>
        <w:t xml:space="preserve"> 2013;33:1075-84.</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Friedman DI, Liu GT, Digre KB. Revised diagnostic criteria for the pseudotumor cerebri syndrome in adults and children. </w:t>
      </w:r>
      <w:r w:rsidRPr="00F468F6">
        <w:rPr>
          <w:i/>
          <w:sz w:val="20"/>
          <w:szCs w:val="20"/>
        </w:rPr>
        <w:t>Neurology</w:t>
      </w:r>
      <w:r w:rsidRPr="00F468F6">
        <w:rPr>
          <w:sz w:val="20"/>
          <w:szCs w:val="20"/>
        </w:rPr>
        <w:t xml:space="preserve"> 2013;81:1159-65.</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Knowles RL, Friend H, Lynn R, </w:t>
      </w:r>
      <w:r w:rsidR="002B5EDF">
        <w:rPr>
          <w:sz w:val="20"/>
          <w:szCs w:val="20"/>
        </w:rPr>
        <w:t>et al</w:t>
      </w:r>
      <w:r w:rsidRPr="00F468F6">
        <w:rPr>
          <w:sz w:val="20"/>
          <w:szCs w:val="20"/>
        </w:rPr>
        <w:t xml:space="preserve">. Surveillance of rare diseases: a public health evaluation of the British Paediatric Surveillance Unit. </w:t>
      </w:r>
      <w:r w:rsidRPr="00F468F6">
        <w:rPr>
          <w:i/>
          <w:sz w:val="20"/>
          <w:szCs w:val="20"/>
        </w:rPr>
        <w:t>J Public Health (Oxf)</w:t>
      </w:r>
      <w:r w:rsidRPr="00F468F6">
        <w:rPr>
          <w:sz w:val="20"/>
          <w:szCs w:val="20"/>
        </w:rPr>
        <w:t xml:space="preserve"> 2012;34:279-86. </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Office for National Statistics. </w:t>
      </w:r>
      <w:r w:rsidRPr="002B5EDF">
        <w:rPr>
          <w:i/>
          <w:sz w:val="20"/>
          <w:szCs w:val="20"/>
        </w:rPr>
        <w:t>Population Estimates Unit. Mid-2009 Population estimates for UK, England and Wales, Scotland and Northern Ireland: Table 1 UK; estimated resident population by single year of age and sex</w:t>
      </w:r>
      <w:r w:rsidRPr="00F468F6">
        <w:rPr>
          <w:sz w:val="20"/>
          <w:szCs w:val="20"/>
        </w:rPr>
        <w:t xml:space="preserve">. </w:t>
      </w:r>
      <w:hyperlink r:id="rId8" w:history="1">
        <w:r w:rsidRPr="00F468F6">
          <w:rPr>
            <w:rStyle w:val="Hyperlink"/>
            <w:sz w:val="20"/>
            <w:szCs w:val="20"/>
          </w:rPr>
          <w:t>https://www.ons.gov.uk/peoplepopulationandcommunity/populationandmigration/populationestimates/datasets/populationestimatesforukenglandandwalesscotlandandnorthernireland</w:t>
        </w:r>
      </w:hyperlink>
      <w:r w:rsidRPr="00F468F6">
        <w:rPr>
          <w:sz w:val="20"/>
          <w:szCs w:val="20"/>
        </w:rPr>
        <w:t xml:space="preserve"> (accessed </w:t>
      </w:r>
      <w:r w:rsidR="002B5EDF">
        <w:rPr>
          <w:sz w:val="20"/>
          <w:szCs w:val="20"/>
        </w:rPr>
        <w:t xml:space="preserve">21 </w:t>
      </w:r>
      <w:r w:rsidRPr="00F468F6">
        <w:rPr>
          <w:sz w:val="20"/>
          <w:szCs w:val="20"/>
        </w:rPr>
        <w:t>Sept 2013)</w:t>
      </w:r>
      <w:r w:rsidR="002B5EDF">
        <w:rPr>
          <w:sz w:val="20"/>
          <w:szCs w:val="20"/>
        </w:rPr>
        <w:t>.</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Central Statistics Office. </w:t>
      </w:r>
      <w:r w:rsidRPr="002B5EDF">
        <w:rPr>
          <w:i/>
          <w:sz w:val="20"/>
          <w:szCs w:val="20"/>
        </w:rPr>
        <w:t>Census 2006 principal demographic results: Table 9 Persons, males and females classified by single year of age</w:t>
      </w:r>
      <w:r w:rsidRPr="00F468F6">
        <w:rPr>
          <w:sz w:val="20"/>
          <w:szCs w:val="20"/>
        </w:rPr>
        <w:t xml:space="preserve">. Ireland: Stationery Office, 2007.  </w:t>
      </w:r>
      <w:hyperlink r:id="rId9" w:history="1">
        <w:r w:rsidRPr="00F468F6">
          <w:rPr>
            <w:rStyle w:val="Hyperlink"/>
            <w:sz w:val="20"/>
            <w:szCs w:val="20"/>
          </w:rPr>
          <w:t>http://www.cso.ie/en/media/csoie/census/documents/Amended_Final_Principal_Demographic_Results_2006.pdf</w:t>
        </w:r>
      </w:hyperlink>
      <w:r w:rsidRPr="00F468F6">
        <w:rPr>
          <w:sz w:val="20"/>
          <w:szCs w:val="20"/>
        </w:rPr>
        <w:t xml:space="preserve"> (accessed </w:t>
      </w:r>
      <w:r w:rsidR="00B57C38">
        <w:rPr>
          <w:sz w:val="20"/>
          <w:szCs w:val="20"/>
        </w:rPr>
        <w:t xml:space="preserve">21 </w:t>
      </w:r>
      <w:r w:rsidRPr="00F468F6">
        <w:rPr>
          <w:sz w:val="20"/>
          <w:szCs w:val="20"/>
        </w:rPr>
        <w:t>Sept 2013)</w:t>
      </w:r>
      <w:r w:rsidR="002B5EDF">
        <w:rPr>
          <w:sz w:val="20"/>
          <w:szCs w:val="20"/>
        </w:rPr>
        <w:t xml:space="preserve">. </w:t>
      </w:r>
    </w:p>
    <w:p w:rsidR="00CA147B" w:rsidRPr="00F468F6" w:rsidRDefault="00CA147B" w:rsidP="00A1452A">
      <w:pPr>
        <w:pStyle w:val="ListParagraph"/>
        <w:numPr>
          <w:ilvl w:val="0"/>
          <w:numId w:val="23"/>
        </w:numPr>
        <w:spacing w:line="480" w:lineRule="auto"/>
        <w:ind w:left="357" w:hanging="357"/>
        <w:rPr>
          <w:sz w:val="20"/>
          <w:szCs w:val="20"/>
        </w:rPr>
      </w:pPr>
      <w:r w:rsidRPr="00F468F6">
        <w:rPr>
          <w:sz w:val="20"/>
          <w:szCs w:val="20"/>
        </w:rPr>
        <w:t xml:space="preserve">Cole TJ, Freeman JV, Preece MA. British 1990 growth reference centiles for weight, height, body mass index and head circumference fitted by maximum penalized likelihood. </w:t>
      </w:r>
      <w:r w:rsidRPr="00F468F6">
        <w:rPr>
          <w:i/>
          <w:sz w:val="20"/>
          <w:szCs w:val="20"/>
        </w:rPr>
        <w:t>Stat Med</w:t>
      </w:r>
      <w:r w:rsidRPr="00F468F6">
        <w:rPr>
          <w:sz w:val="20"/>
          <w:szCs w:val="20"/>
        </w:rPr>
        <w:t xml:space="preserve"> 1998;17:407-29.</w:t>
      </w:r>
    </w:p>
    <w:p w:rsidR="00372B9E" w:rsidRPr="00F468F6" w:rsidRDefault="00372B9E" w:rsidP="00A1452A">
      <w:pPr>
        <w:pStyle w:val="ListParagraph"/>
        <w:numPr>
          <w:ilvl w:val="0"/>
          <w:numId w:val="23"/>
        </w:numPr>
        <w:spacing w:line="480" w:lineRule="auto"/>
        <w:ind w:left="357" w:hanging="357"/>
        <w:rPr>
          <w:sz w:val="20"/>
          <w:szCs w:val="20"/>
        </w:rPr>
      </w:pPr>
      <w:r w:rsidRPr="00F468F6">
        <w:rPr>
          <w:sz w:val="20"/>
          <w:szCs w:val="20"/>
        </w:rPr>
        <w:t xml:space="preserve">National Obesity Observatory. </w:t>
      </w:r>
      <w:r w:rsidRPr="002B5EDF">
        <w:rPr>
          <w:i/>
          <w:sz w:val="20"/>
          <w:szCs w:val="20"/>
        </w:rPr>
        <w:t>International comparisons of obesity prevalence.</w:t>
      </w:r>
      <w:r w:rsidRPr="00F468F6">
        <w:rPr>
          <w:sz w:val="20"/>
          <w:szCs w:val="20"/>
        </w:rPr>
        <w:t xml:space="preserve"> </w:t>
      </w:r>
      <w:r w:rsidR="002B5EDF">
        <w:rPr>
          <w:sz w:val="20"/>
          <w:szCs w:val="20"/>
        </w:rPr>
        <w:t>2009</w:t>
      </w:r>
      <w:r w:rsidR="00B57C38">
        <w:rPr>
          <w:sz w:val="20"/>
          <w:szCs w:val="20"/>
        </w:rPr>
        <w:t>.</w:t>
      </w:r>
      <w:r w:rsidR="002B5EDF">
        <w:rPr>
          <w:sz w:val="20"/>
          <w:szCs w:val="20"/>
        </w:rPr>
        <w:t xml:space="preserve"> </w:t>
      </w:r>
      <w:hyperlink r:id="rId10" w:history="1">
        <w:r w:rsidR="00B57C38" w:rsidRPr="004C467D">
          <w:rPr>
            <w:rStyle w:val="Hyperlink"/>
            <w:sz w:val="20"/>
            <w:szCs w:val="20"/>
          </w:rPr>
          <w:t>http://www.noo.org.uk/uploads/doc799_2_International_Comparisons_Obesity_Prevalen.ce2.pdf</w:t>
        </w:r>
      </w:hyperlink>
      <w:r w:rsidRPr="002B5EDF">
        <w:rPr>
          <w:sz w:val="20"/>
          <w:szCs w:val="20"/>
        </w:rPr>
        <w:t xml:space="preserve">  </w:t>
      </w:r>
      <w:r w:rsidRPr="00F468F6">
        <w:rPr>
          <w:sz w:val="20"/>
          <w:szCs w:val="20"/>
        </w:rPr>
        <w:t xml:space="preserve">(accessed </w:t>
      </w:r>
      <w:r w:rsidR="00B57C38">
        <w:rPr>
          <w:sz w:val="20"/>
          <w:szCs w:val="20"/>
        </w:rPr>
        <w:t xml:space="preserve">26 </w:t>
      </w:r>
      <w:r w:rsidRPr="00F468F6">
        <w:rPr>
          <w:sz w:val="20"/>
          <w:szCs w:val="20"/>
        </w:rPr>
        <w:t xml:space="preserve">Apr 2015). </w:t>
      </w:r>
    </w:p>
    <w:p w:rsidR="00E138E0" w:rsidRDefault="00E138E0" w:rsidP="00A1452A">
      <w:pPr>
        <w:pStyle w:val="ListParagraph"/>
        <w:numPr>
          <w:ilvl w:val="0"/>
          <w:numId w:val="23"/>
        </w:numPr>
        <w:spacing w:line="480" w:lineRule="auto"/>
        <w:ind w:left="357" w:hanging="357"/>
        <w:rPr>
          <w:sz w:val="20"/>
          <w:szCs w:val="20"/>
        </w:rPr>
      </w:pPr>
      <w:r w:rsidRPr="00F468F6">
        <w:rPr>
          <w:sz w:val="20"/>
          <w:szCs w:val="20"/>
        </w:rPr>
        <w:lastRenderedPageBreak/>
        <w:t xml:space="preserve">Bateman GA. Hypertensive slit ventricle syndrome: pseudotumor cerebri with a malfunctioning shunt? </w:t>
      </w:r>
      <w:r w:rsidRPr="00F468F6">
        <w:rPr>
          <w:i/>
          <w:sz w:val="20"/>
          <w:szCs w:val="20"/>
        </w:rPr>
        <w:t>J Neurosurg</w:t>
      </w:r>
      <w:r w:rsidRPr="00F468F6">
        <w:rPr>
          <w:sz w:val="20"/>
          <w:szCs w:val="20"/>
        </w:rPr>
        <w:t xml:space="preserve"> 2013;119:1503-10.</w:t>
      </w:r>
    </w:p>
    <w:p w:rsidR="00A1452A" w:rsidRPr="00A1452A" w:rsidRDefault="00A1452A" w:rsidP="00A1452A">
      <w:pPr>
        <w:pStyle w:val="ListParagraph"/>
        <w:numPr>
          <w:ilvl w:val="0"/>
          <w:numId w:val="23"/>
        </w:numPr>
        <w:spacing w:line="480" w:lineRule="auto"/>
        <w:rPr>
          <w:bCs/>
          <w:noProof/>
          <w:sz w:val="20"/>
          <w:szCs w:val="20"/>
        </w:rPr>
      </w:pPr>
      <w:bookmarkStart w:id="1" w:name="_ENREF_1"/>
      <w:r w:rsidRPr="00A1452A">
        <w:rPr>
          <w:bCs/>
          <w:noProof/>
          <w:sz w:val="20"/>
          <w:szCs w:val="20"/>
        </w:rPr>
        <w:t xml:space="preserve">Brara SM, Koebnick C, Porter AH, Langer-Gould A. Pediatric idiopathic intracranial hypertension and extreme childhood obesity. The </w:t>
      </w:r>
      <w:r w:rsidRPr="004419D3">
        <w:rPr>
          <w:bCs/>
          <w:i/>
          <w:noProof/>
          <w:sz w:val="20"/>
          <w:szCs w:val="20"/>
        </w:rPr>
        <w:t xml:space="preserve">J </w:t>
      </w:r>
      <w:r w:rsidR="00C52571" w:rsidRPr="004419D3">
        <w:rPr>
          <w:bCs/>
          <w:i/>
          <w:noProof/>
          <w:sz w:val="20"/>
          <w:szCs w:val="20"/>
        </w:rPr>
        <w:t>P</w:t>
      </w:r>
      <w:r w:rsidRPr="004419D3">
        <w:rPr>
          <w:bCs/>
          <w:i/>
          <w:noProof/>
          <w:sz w:val="20"/>
          <w:szCs w:val="20"/>
        </w:rPr>
        <w:t>ediatr</w:t>
      </w:r>
      <w:r w:rsidRPr="00A1452A">
        <w:rPr>
          <w:bCs/>
          <w:noProof/>
          <w:sz w:val="20"/>
          <w:szCs w:val="20"/>
        </w:rPr>
        <w:t xml:space="preserve"> 2012 Oct;161(4):602-7. </w:t>
      </w:r>
      <w:bookmarkEnd w:id="1"/>
    </w:p>
    <w:p w:rsidR="00E138E0" w:rsidRPr="00F468F6" w:rsidRDefault="00E138E0" w:rsidP="00A1452A">
      <w:pPr>
        <w:pStyle w:val="ListParagraph"/>
        <w:numPr>
          <w:ilvl w:val="0"/>
          <w:numId w:val="23"/>
        </w:numPr>
        <w:spacing w:line="480" w:lineRule="auto"/>
        <w:rPr>
          <w:sz w:val="20"/>
          <w:szCs w:val="20"/>
        </w:rPr>
      </w:pPr>
      <w:r w:rsidRPr="00A1452A">
        <w:rPr>
          <w:sz w:val="20"/>
          <w:szCs w:val="20"/>
        </w:rPr>
        <w:t>Sinclair AJ, Walker EA, Burdon MA, et al. Cerebrospinal fluid corticosteroid levels and cortisol</w:t>
      </w:r>
      <w:r w:rsidRPr="00F468F6">
        <w:rPr>
          <w:sz w:val="20"/>
          <w:szCs w:val="20"/>
        </w:rPr>
        <w:t xml:space="preserve"> metabolism in patients with idiopathic intracranial hypertension: a link between 11beta-HSD1 and intracranial pressure regulation? </w:t>
      </w:r>
      <w:r w:rsidRPr="00F468F6">
        <w:rPr>
          <w:i/>
          <w:sz w:val="20"/>
          <w:szCs w:val="20"/>
        </w:rPr>
        <w:t>J Clin Endocrinol Metab</w:t>
      </w:r>
      <w:r w:rsidRPr="00F468F6">
        <w:rPr>
          <w:sz w:val="20"/>
          <w:szCs w:val="20"/>
        </w:rPr>
        <w:t xml:space="preserve"> 2010;95:5348-56.</w:t>
      </w:r>
    </w:p>
    <w:p w:rsidR="00CB4DEF" w:rsidRPr="00F468F6" w:rsidRDefault="00CB4DEF" w:rsidP="00260FEB">
      <w:pPr>
        <w:pStyle w:val="ListParagraph"/>
        <w:numPr>
          <w:ilvl w:val="0"/>
          <w:numId w:val="23"/>
        </w:numPr>
        <w:spacing w:line="480" w:lineRule="auto"/>
        <w:rPr>
          <w:sz w:val="20"/>
          <w:szCs w:val="20"/>
        </w:rPr>
      </w:pPr>
      <w:r w:rsidRPr="00F468F6">
        <w:rPr>
          <w:sz w:val="20"/>
          <w:szCs w:val="20"/>
        </w:rPr>
        <w:t xml:space="preserve">British Paediatric Surveillance Unit, Royal College of Paediatrics and Child Health.  </w:t>
      </w:r>
      <w:r w:rsidRPr="00F468F6">
        <w:rPr>
          <w:i/>
          <w:sz w:val="20"/>
          <w:szCs w:val="20"/>
        </w:rPr>
        <w:t>BPSU 23</w:t>
      </w:r>
      <w:r w:rsidRPr="00F468F6">
        <w:rPr>
          <w:i/>
          <w:sz w:val="20"/>
          <w:szCs w:val="20"/>
          <w:vertAlign w:val="superscript"/>
        </w:rPr>
        <w:t>rd</w:t>
      </w:r>
      <w:r w:rsidRPr="00F468F6">
        <w:rPr>
          <w:i/>
          <w:sz w:val="20"/>
          <w:szCs w:val="20"/>
        </w:rPr>
        <w:t xml:space="preserve"> Annual Report 2008-2009</w:t>
      </w:r>
      <w:r w:rsidRPr="00F468F6">
        <w:rPr>
          <w:sz w:val="20"/>
          <w:szCs w:val="20"/>
        </w:rPr>
        <w:t>.  Scientific co-ordinator’s yearly review of activities. p.46</w:t>
      </w:r>
      <w:r w:rsidR="002B5EDF">
        <w:rPr>
          <w:sz w:val="20"/>
          <w:szCs w:val="20"/>
        </w:rPr>
        <w:t>.</w:t>
      </w:r>
      <w:r w:rsidRPr="00F468F6">
        <w:rPr>
          <w:sz w:val="20"/>
          <w:szCs w:val="20"/>
        </w:rPr>
        <w:t xml:space="preserve"> </w:t>
      </w:r>
      <w:hyperlink r:id="rId11" w:history="1">
        <w:r w:rsidRPr="00F468F6">
          <w:rPr>
            <w:rStyle w:val="Hyperlink"/>
            <w:sz w:val="20"/>
            <w:szCs w:val="20"/>
          </w:rPr>
          <w:t>http://www.rcpch.ac.uk/system/files/protected/page/BPSU%20complete%20for%20web.pdf</w:t>
        </w:r>
      </w:hyperlink>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Higgins JN, Gillard JH, Owler BK, </w:t>
      </w:r>
      <w:r w:rsidR="002B5EDF">
        <w:rPr>
          <w:sz w:val="20"/>
          <w:szCs w:val="20"/>
        </w:rPr>
        <w:t>et al</w:t>
      </w:r>
      <w:r w:rsidRPr="00F468F6">
        <w:rPr>
          <w:sz w:val="20"/>
          <w:szCs w:val="20"/>
        </w:rPr>
        <w:t xml:space="preserve">. MR venography in idiopathic intracranial hypertension: unappreciated and misunderstood. </w:t>
      </w:r>
      <w:r w:rsidRPr="00F468F6">
        <w:rPr>
          <w:i/>
          <w:sz w:val="20"/>
          <w:szCs w:val="20"/>
        </w:rPr>
        <w:t>J Neurol</w:t>
      </w:r>
      <w:r w:rsidRPr="00F468F6">
        <w:rPr>
          <w:sz w:val="20"/>
          <w:szCs w:val="20"/>
        </w:rPr>
        <w:t xml:space="preserve"> </w:t>
      </w:r>
      <w:r w:rsidRPr="00F468F6">
        <w:rPr>
          <w:i/>
          <w:sz w:val="20"/>
          <w:szCs w:val="20"/>
        </w:rPr>
        <w:t>Neurosurg Psychiatry</w:t>
      </w:r>
      <w:r w:rsidRPr="00F468F6">
        <w:rPr>
          <w:sz w:val="20"/>
          <w:szCs w:val="20"/>
        </w:rPr>
        <w:t xml:space="preserve"> 2004;75:621-5.</w:t>
      </w:r>
    </w:p>
    <w:p w:rsidR="00372B9E" w:rsidRPr="00F468F6" w:rsidRDefault="00372B9E" w:rsidP="00260FEB">
      <w:pPr>
        <w:pStyle w:val="ListParagraph"/>
        <w:numPr>
          <w:ilvl w:val="0"/>
          <w:numId w:val="23"/>
        </w:numPr>
        <w:spacing w:line="480" w:lineRule="auto"/>
        <w:rPr>
          <w:sz w:val="20"/>
          <w:szCs w:val="20"/>
        </w:rPr>
      </w:pPr>
      <w:r w:rsidRPr="00F468F6">
        <w:rPr>
          <w:sz w:val="20"/>
          <w:szCs w:val="20"/>
        </w:rPr>
        <w:t xml:space="preserve">Lin A, Foroozan R, Danesh-Meyer HV, </w:t>
      </w:r>
      <w:r w:rsidR="002B5EDF">
        <w:rPr>
          <w:sz w:val="20"/>
          <w:szCs w:val="20"/>
        </w:rPr>
        <w:t>et al</w:t>
      </w:r>
      <w:r w:rsidRPr="00F468F6">
        <w:rPr>
          <w:sz w:val="20"/>
          <w:szCs w:val="20"/>
        </w:rPr>
        <w:t xml:space="preserve">. Occurrence of cerebral venous sinus thrombosis in patients with presumed idiopathic intracranial hypertension. </w:t>
      </w:r>
      <w:r w:rsidRPr="00F468F6">
        <w:rPr>
          <w:i/>
          <w:sz w:val="20"/>
          <w:szCs w:val="20"/>
        </w:rPr>
        <w:t>Ophthalmology</w:t>
      </w:r>
      <w:r w:rsidRPr="00F468F6">
        <w:rPr>
          <w:sz w:val="20"/>
          <w:szCs w:val="20"/>
        </w:rPr>
        <w:t xml:space="preserve"> 2006;113:2281-4.</w:t>
      </w:r>
    </w:p>
    <w:p w:rsidR="003F3682" w:rsidRDefault="003F3682" w:rsidP="00260FEB">
      <w:pPr>
        <w:tabs>
          <w:tab w:val="left" w:pos="964"/>
        </w:tabs>
        <w:spacing w:line="480" w:lineRule="auto"/>
        <w:rPr>
          <w:b/>
          <w:bCs/>
        </w:rPr>
      </w:pPr>
    </w:p>
    <w:p w:rsidR="0049062C" w:rsidRDefault="0049062C">
      <w:pPr>
        <w:rPr>
          <w:b/>
          <w:bCs/>
        </w:rPr>
        <w:sectPr w:rsidR="0049062C" w:rsidSect="001150A6">
          <w:footerReference w:type="default" r:id="rId12"/>
          <w:pgSz w:w="11906" w:h="16838" w:code="9"/>
          <w:pgMar w:top="1440" w:right="1797" w:bottom="1440" w:left="1797" w:header="709" w:footer="709" w:gutter="0"/>
          <w:cols w:space="708"/>
          <w:docGrid w:linePitch="360"/>
        </w:sectPr>
      </w:pPr>
      <w:r>
        <w:rPr>
          <w:b/>
          <w:bCs/>
        </w:rPr>
        <w:br w:type="page"/>
      </w:r>
    </w:p>
    <w:tbl>
      <w:tblPr>
        <w:tblStyle w:val="TableGrid"/>
        <w:tblpPr w:leftFromText="180" w:rightFromText="180" w:vertAnchor="text" w:horzAnchor="page" w:tblpX="2160" w:tblpY="172"/>
        <w:tblW w:w="1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301"/>
      </w:tblGrid>
      <w:tr w:rsidR="0049062C" w:rsidTr="0049062C">
        <w:tc>
          <w:tcPr>
            <w:tcW w:w="11271" w:type="dxa"/>
            <w:gridSpan w:val="2"/>
            <w:tcBorders>
              <w:top w:val="single" w:sz="4" w:space="0" w:color="auto"/>
              <w:bottom w:val="single" w:sz="4" w:space="0" w:color="auto"/>
            </w:tcBorders>
            <w:vAlign w:val="center"/>
          </w:tcPr>
          <w:p w:rsidR="0049062C" w:rsidRPr="00F365FF" w:rsidRDefault="0049062C" w:rsidP="0049062C">
            <w:pPr>
              <w:spacing w:before="120" w:after="120"/>
              <w:jc w:val="both"/>
              <w:rPr>
                <w:b/>
                <w:sz w:val="20"/>
                <w:szCs w:val="20"/>
              </w:rPr>
            </w:pPr>
            <w:r w:rsidRPr="00BD4679">
              <w:rPr>
                <w:b/>
              </w:rPr>
              <w:lastRenderedPageBreak/>
              <w:t>Table 1 Diagnostic criteria for pseudotumor cerebri syndrome in children</w:t>
            </w:r>
          </w:p>
        </w:tc>
      </w:tr>
      <w:tr w:rsidR="0049062C" w:rsidTr="0049062C">
        <w:tc>
          <w:tcPr>
            <w:tcW w:w="3970" w:type="dxa"/>
            <w:tcBorders>
              <w:top w:val="single" w:sz="4" w:space="0" w:color="auto"/>
              <w:right w:val="single" w:sz="4" w:space="0" w:color="auto"/>
            </w:tcBorders>
            <w:vAlign w:val="center"/>
          </w:tcPr>
          <w:p w:rsidR="0049062C" w:rsidRPr="00F365FF" w:rsidRDefault="0049062C" w:rsidP="0049062C">
            <w:pPr>
              <w:spacing w:before="60" w:after="60"/>
              <w:rPr>
                <w:b/>
                <w:sz w:val="20"/>
                <w:szCs w:val="20"/>
              </w:rPr>
            </w:pPr>
            <w:r w:rsidRPr="00F365FF">
              <w:rPr>
                <w:b/>
                <w:sz w:val="20"/>
                <w:szCs w:val="20"/>
              </w:rPr>
              <w:t>A: Classical criteria (study case definition)</w:t>
            </w:r>
          </w:p>
        </w:tc>
        <w:tc>
          <w:tcPr>
            <w:tcW w:w="7301" w:type="dxa"/>
            <w:tcBorders>
              <w:top w:val="single" w:sz="4" w:space="0" w:color="auto"/>
              <w:left w:val="single" w:sz="4" w:space="0" w:color="auto"/>
            </w:tcBorders>
          </w:tcPr>
          <w:p w:rsidR="0049062C" w:rsidRPr="00F365FF" w:rsidRDefault="0049062C" w:rsidP="0049062C">
            <w:pPr>
              <w:spacing w:before="60" w:after="60"/>
              <w:rPr>
                <w:b/>
                <w:sz w:val="20"/>
                <w:szCs w:val="20"/>
              </w:rPr>
            </w:pPr>
            <w:r w:rsidRPr="00F365FF">
              <w:rPr>
                <w:b/>
                <w:sz w:val="20"/>
                <w:szCs w:val="20"/>
              </w:rPr>
              <w:t>B: Proposed revised diagnostic criteria (adapted from Friedman et al 2013</w:t>
            </w:r>
            <w:r>
              <w:rPr>
                <w:b/>
                <w:sz w:val="20"/>
                <w:szCs w:val="20"/>
                <w:vertAlign w:val="superscript"/>
              </w:rPr>
              <w:t>20</w:t>
            </w:r>
            <w:r w:rsidRPr="00F365FF">
              <w:rPr>
                <w:b/>
                <w:sz w:val="20"/>
                <w:szCs w:val="20"/>
              </w:rPr>
              <w:t>)</w:t>
            </w:r>
          </w:p>
        </w:tc>
      </w:tr>
      <w:tr w:rsidR="0049062C" w:rsidTr="0049062C">
        <w:tc>
          <w:tcPr>
            <w:tcW w:w="3970" w:type="dxa"/>
            <w:tcBorders>
              <w:right w:val="single" w:sz="4" w:space="0" w:color="auto"/>
            </w:tcBorders>
            <w:vAlign w:val="center"/>
          </w:tcPr>
          <w:p w:rsidR="0049062C" w:rsidRPr="00F365FF" w:rsidRDefault="0049062C" w:rsidP="0049062C">
            <w:pPr>
              <w:spacing w:before="60" w:after="60"/>
              <w:rPr>
                <w:b/>
                <w:sz w:val="20"/>
                <w:szCs w:val="20"/>
              </w:rPr>
            </w:pPr>
            <w:r w:rsidRPr="00F365FF">
              <w:rPr>
                <w:b/>
                <w:sz w:val="20"/>
                <w:szCs w:val="20"/>
              </w:rPr>
              <w:t>All 3 essential criteria</w:t>
            </w:r>
          </w:p>
        </w:tc>
        <w:tc>
          <w:tcPr>
            <w:tcW w:w="7301" w:type="dxa"/>
            <w:tcBorders>
              <w:left w:val="single" w:sz="4" w:space="0" w:color="auto"/>
            </w:tcBorders>
          </w:tcPr>
          <w:p w:rsidR="0049062C" w:rsidRPr="00F365FF" w:rsidRDefault="0049062C" w:rsidP="0049062C">
            <w:pPr>
              <w:spacing w:before="60" w:after="60"/>
              <w:rPr>
                <w:b/>
                <w:sz w:val="20"/>
                <w:szCs w:val="20"/>
              </w:rPr>
            </w:pPr>
            <w:r w:rsidRPr="00F365FF">
              <w:rPr>
                <w:b/>
                <w:sz w:val="20"/>
                <w:szCs w:val="20"/>
              </w:rPr>
              <w:t>All 3 essential criteria</w:t>
            </w:r>
          </w:p>
        </w:tc>
      </w:tr>
      <w:tr w:rsidR="0049062C" w:rsidTr="0049062C">
        <w:tc>
          <w:tcPr>
            <w:tcW w:w="3970" w:type="dxa"/>
            <w:tcBorders>
              <w:right w:val="single" w:sz="4" w:space="0" w:color="auto"/>
            </w:tcBorders>
            <w:vAlign w:val="center"/>
          </w:tcPr>
          <w:p w:rsidR="0049062C" w:rsidRPr="008747AE" w:rsidRDefault="0049062C" w:rsidP="0049062C">
            <w:pPr>
              <w:pStyle w:val="ListParagraph"/>
              <w:numPr>
                <w:ilvl w:val="0"/>
                <w:numId w:val="27"/>
              </w:numPr>
              <w:spacing w:before="60" w:after="60"/>
              <w:ind w:left="363" w:hanging="357"/>
              <w:rPr>
                <w:sz w:val="20"/>
                <w:szCs w:val="20"/>
              </w:rPr>
            </w:pPr>
            <w:r w:rsidRPr="008747AE">
              <w:rPr>
                <w:sz w:val="20"/>
                <w:szCs w:val="20"/>
              </w:rPr>
              <w:t>Normal conscious level</w:t>
            </w:r>
          </w:p>
          <w:p w:rsidR="0049062C" w:rsidRPr="008747AE" w:rsidRDefault="0049062C" w:rsidP="0049062C">
            <w:pPr>
              <w:pStyle w:val="ListParagraph"/>
              <w:numPr>
                <w:ilvl w:val="0"/>
                <w:numId w:val="27"/>
              </w:numPr>
              <w:spacing w:before="60" w:after="60"/>
              <w:ind w:left="363" w:hanging="357"/>
              <w:rPr>
                <w:sz w:val="20"/>
                <w:szCs w:val="20"/>
              </w:rPr>
            </w:pPr>
            <w:r w:rsidRPr="008747AE">
              <w:rPr>
                <w:sz w:val="20"/>
                <w:szCs w:val="20"/>
              </w:rPr>
              <w:t xml:space="preserve">No structural cause for clinical features of raised ICP such as ventricular dilatation, cerebral or vascular lesion or CVST on cranial neuroimaging and/or MR/CT venography </w:t>
            </w:r>
          </w:p>
          <w:p w:rsidR="0049062C" w:rsidRPr="008747AE" w:rsidRDefault="0049062C" w:rsidP="0049062C">
            <w:pPr>
              <w:pStyle w:val="ListParagraph"/>
              <w:numPr>
                <w:ilvl w:val="0"/>
                <w:numId w:val="27"/>
              </w:numPr>
              <w:spacing w:before="60" w:after="60"/>
              <w:ind w:left="363" w:hanging="357"/>
              <w:rPr>
                <w:sz w:val="20"/>
                <w:szCs w:val="20"/>
              </w:rPr>
            </w:pPr>
            <w:r w:rsidRPr="008747AE">
              <w:rPr>
                <w:sz w:val="20"/>
                <w:szCs w:val="20"/>
              </w:rPr>
              <w:t>Normal CSF microscopy and biochemistry</w:t>
            </w:r>
          </w:p>
        </w:tc>
        <w:tc>
          <w:tcPr>
            <w:tcW w:w="7301" w:type="dxa"/>
            <w:tcBorders>
              <w:left w:val="single" w:sz="4" w:space="0" w:color="auto"/>
            </w:tcBorders>
          </w:tcPr>
          <w:p w:rsidR="0049062C" w:rsidRPr="008747AE" w:rsidRDefault="0049062C" w:rsidP="0049062C">
            <w:pPr>
              <w:pStyle w:val="ListParagraph"/>
              <w:numPr>
                <w:ilvl w:val="0"/>
                <w:numId w:val="29"/>
              </w:numPr>
              <w:rPr>
                <w:sz w:val="20"/>
                <w:szCs w:val="20"/>
              </w:rPr>
            </w:pPr>
            <w:r w:rsidRPr="008747AE">
              <w:rPr>
                <w:sz w:val="20"/>
                <w:szCs w:val="20"/>
              </w:rPr>
              <w:t>Normal neurological examination except for specified cranial nerve palsies</w:t>
            </w:r>
          </w:p>
          <w:p w:rsidR="0049062C" w:rsidRPr="008747AE" w:rsidRDefault="0049062C" w:rsidP="0049062C">
            <w:pPr>
              <w:pStyle w:val="ListParagraph"/>
              <w:numPr>
                <w:ilvl w:val="0"/>
                <w:numId w:val="29"/>
              </w:numPr>
              <w:rPr>
                <w:sz w:val="20"/>
                <w:szCs w:val="20"/>
              </w:rPr>
            </w:pPr>
            <w:r w:rsidRPr="008747AE">
              <w:rPr>
                <w:sz w:val="20"/>
                <w:szCs w:val="20"/>
              </w:rPr>
              <w:t>MR or contrast-enhanced CT neuroimaging:</w:t>
            </w:r>
          </w:p>
          <w:p w:rsidR="0049062C" w:rsidRDefault="0049062C" w:rsidP="0049062C">
            <w:pPr>
              <w:pStyle w:val="ListParagraph"/>
              <w:numPr>
                <w:ilvl w:val="0"/>
                <w:numId w:val="30"/>
              </w:numPr>
              <w:rPr>
                <w:sz w:val="20"/>
                <w:szCs w:val="20"/>
              </w:rPr>
            </w:pPr>
            <w:r w:rsidRPr="008747AE">
              <w:rPr>
                <w:sz w:val="20"/>
                <w:szCs w:val="20"/>
              </w:rPr>
              <w:t xml:space="preserve">For typical obese female patients: normal brain parenchyma and no evidence of hydrocephalus, mass, structural lesion or abnormal meningeal enhancement </w:t>
            </w:r>
          </w:p>
          <w:p w:rsidR="0049062C" w:rsidRPr="008747AE" w:rsidRDefault="0049062C" w:rsidP="0049062C">
            <w:pPr>
              <w:pStyle w:val="ListParagraph"/>
              <w:numPr>
                <w:ilvl w:val="0"/>
                <w:numId w:val="30"/>
              </w:numPr>
              <w:rPr>
                <w:sz w:val="20"/>
                <w:szCs w:val="20"/>
              </w:rPr>
            </w:pPr>
            <w:r w:rsidRPr="008747AE">
              <w:rPr>
                <w:sz w:val="20"/>
                <w:szCs w:val="20"/>
              </w:rPr>
              <w:t xml:space="preserve">For atypical non-obese, prepubertal or patients at high risk for CVST: neuroimaging as for typical obese female patients but also exclusion of CVST by venography </w:t>
            </w:r>
          </w:p>
          <w:p w:rsidR="0049062C" w:rsidRPr="00A46EAF" w:rsidRDefault="0049062C" w:rsidP="0049062C">
            <w:pPr>
              <w:pStyle w:val="ListParagraph"/>
              <w:numPr>
                <w:ilvl w:val="0"/>
                <w:numId w:val="29"/>
              </w:numPr>
              <w:rPr>
                <w:sz w:val="20"/>
                <w:szCs w:val="20"/>
              </w:rPr>
            </w:pPr>
            <w:r w:rsidRPr="00A46EAF">
              <w:rPr>
                <w:sz w:val="20"/>
                <w:szCs w:val="20"/>
              </w:rPr>
              <w:t>Normal CSF microscopy and biochemistry</w:t>
            </w:r>
          </w:p>
        </w:tc>
      </w:tr>
      <w:tr w:rsidR="0049062C" w:rsidTr="0049062C">
        <w:tc>
          <w:tcPr>
            <w:tcW w:w="3970" w:type="dxa"/>
            <w:tcBorders>
              <w:right w:val="single" w:sz="4" w:space="0" w:color="auto"/>
            </w:tcBorders>
            <w:vAlign w:val="center"/>
          </w:tcPr>
          <w:p w:rsidR="0049062C" w:rsidRPr="00F365FF" w:rsidRDefault="0049062C" w:rsidP="0049062C">
            <w:pPr>
              <w:spacing w:before="60" w:after="60"/>
              <w:rPr>
                <w:b/>
                <w:sz w:val="20"/>
                <w:szCs w:val="20"/>
              </w:rPr>
            </w:pPr>
            <w:r w:rsidRPr="00F365FF">
              <w:rPr>
                <w:b/>
                <w:sz w:val="20"/>
                <w:szCs w:val="20"/>
              </w:rPr>
              <w:t>A</w:t>
            </w:r>
            <w:r>
              <w:rPr>
                <w:b/>
                <w:sz w:val="20"/>
                <w:szCs w:val="20"/>
              </w:rPr>
              <w:t>ND</w:t>
            </w:r>
          </w:p>
        </w:tc>
        <w:tc>
          <w:tcPr>
            <w:tcW w:w="7301" w:type="dxa"/>
            <w:tcBorders>
              <w:left w:val="single" w:sz="4" w:space="0" w:color="auto"/>
            </w:tcBorders>
          </w:tcPr>
          <w:p w:rsidR="0049062C" w:rsidRPr="00F365FF" w:rsidRDefault="0049062C" w:rsidP="0049062C">
            <w:pPr>
              <w:spacing w:before="60" w:after="60"/>
              <w:rPr>
                <w:b/>
                <w:sz w:val="20"/>
                <w:szCs w:val="20"/>
              </w:rPr>
            </w:pPr>
            <w:r w:rsidRPr="00F365FF">
              <w:rPr>
                <w:b/>
                <w:sz w:val="20"/>
                <w:szCs w:val="20"/>
              </w:rPr>
              <w:t>A</w:t>
            </w:r>
            <w:r>
              <w:rPr>
                <w:b/>
                <w:sz w:val="20"/>
                <w:szCs w:val="20"/>
              </w:rPr>
              <w:t>ND</w:t>
            </w:r>
          </w:p>
        </w:tc>
      </w:tr>
      <w:tr w:rsidR="0049062C" w:rsidTr="0049062C">
        <w:tc>
          <w:tcPr>
            <w:tcW w:w="3970" w:type="dxa"/>
            <w:tcBorders>
              <w:bottom w:val="single" w:sz="4" w:space="0" w:color="auto"/>
              <w:right w:val="single" w:sz="4" w:space="0" w:color="auto"/>
            </w:tcBorders>
            <w:vAlign w:val="center"/>
          </w:tcPr>
          <w:p w:rsidR="0049062C" w:rsidRDefault="0049062C" w:rsidP="0049062C">
            <w:pPr>
              <w:spacing w:before="120"/>
              <w:rPr>
                <w:b/>
                <w:sz w:val="20"/>
                <w:szCs w:val="20"/>
              </w:rPr>
            </w:pPr>
            <w:r w:rsidRPr="00F365FF">
              <w:rPr>
                <w:b/>
                <w:sz w:val="20"/>
                <w:szCs w:val="20"/>
              </w:rPr>
              <w:t>at least 2 of the following 3 key features:</w:t>
            </w:r>
          </w:p>
          <w:p w:rsidR="0049062C" w:rsidRDefault="0049062C" w:rsidP="0049062C">
            <w:pPr>
              <w:rPr>
                <w:b/>
                <w:sz w:val="20"/>
                <w:szCs w:val="20"/>
              </w:rPr>
            </w:pPr>
          </w:p>
          <w:p w:rsidR="0049062C" w:rsidRDefault="0049062C" w:rsidP="0049062C">
            <w:pPr>
              <w:pStyle w:val="ListParagraph"/>
              <w:numPr>
                <w:ilvl w:val="0"/>
                <w:numId w:val="21"/>
              </w:numPr>
              <w:ind w:left="357" w:hanging="357"/>
              <w:rPr>
                <w:sz w:val="20"/>
                <w:szCs w:val="20"/>
              </w:rPr>
            </w:pPr>
            <w:r w:rsidRPr="00A46EAF">
              <w:rPr>
                <w:sz w:val="20"/>
                <w:szCs w:val="20"/>
              </w:rPr>
              <w:t>Symptoms of raised ICP: headache, nausea, vomiting or irritability and/or specific visual symptoms of diplopia, blurring of vision or transient visual loss</w:t>
            </w:r>
          </w:p>
          <w:p w:rsidR="0049062C" w:rsidRDefault="0049062C" w:rsidP="0049062C">
            <w:pPr>
              <w:pStyle w:val="ListParagraph"/>
              <w:spacing w:before="120"/>
              <w:ind w:left="360"/>
              <w:rPr>
                <w:sz w:val="20"/>
                <w:szCs w:val="20"/>
              </w:rPr>
            </w:pPr>
          </w:p>
          <w:p w:rsidR="0049062C" w:rsidRDefault="0049062C" w:rsidP="0049062C">
            <w:pPr>
              <w:pStyle w:val="ListParagraph"/>
              <w:numPr>
                <w:ilvl w:val="0"/>
                <w:numId w:val="21"/>
              </w:numPr>
              <w:spacing w:before="120"/>
              <w:rPr>
                <w:sz w:val="20"/>
                <w:szCs w:val="20"/>
              </w:rPr>
            </w:pPr>
            <w:r w:rsidRPr="00A46EAF">
              <w:rPr>
                <w:sz w:val="20"/>
                <w:szCs w:val="20"/>
              </w:rPr>
              <w:t>Papilloedema (bilateral or unilateral)</w:t>
            </w:r>
          </w:p>
          <w:p w:rsidR="0049062C" w:rsidRPr="00ED719F" w:rsidRDefault="0049062C" w:rsidP="0049062C">
            <w:pPr>
              <w:pStyle w:val="ListParagraph"/>
              <w:rPr>
                <w:sz w:val="20"/>
                <w:szCs w:val="20"/>
              </w:rPr>
            </w:pPr>
          </w:p>
          <w:p w:rsidR="0049062C" w:rsidRDefault="0049062C" w:rsidP="0049062C">
            <w:pPr>
              <w:pStyle w:val="ListParagraph"/>
              <w:numPr>
                <w:ilvl w:val="0"/>
                <w:numId w:val="21"/>
              </w:numPr>
              <w:spacing w:before="120"/>
              <w:rPr>
                <w:sz w:val="20"/>
                <w:szCs w:val="20"/>
              </w:rPr>
            </w:pPr>
            <w:r w:rsidRPr="00A46EAF">
              <w:rPr>
                <w:sz w:val="20"/>
                <w:szCs w:val="20"/>
              </w:rPr>
              <w:t>Elevated LP opening CSF pressure*</w:t>
            </w:r>
            <w:r>
              <w:rPr>
                <w:sz w:val="20"/>
                <w:szCs w:val="20"/>
              </w:rPr>
              <w:t xml:space="preserve"> </w:t>
            </w:r>
          </w:p>
          <w:p w:rsidR="0049062C" w:rsidRDefault="0049062C" w:rsidP="0049062C">
            <w:pPr>
              <w:pStyle w:val="ListParagraph"/>
              <w:spacing w:before="120"/>
              <w:ind w:left="360"/>
              <w:rPr>
                <w:sz w:val="20"/>
                <w:szCs w:val="20"/>
              </w:rPr>
            </w:pPr>
          </w:p>
          <w:p w:rsidR="0049062C" w:rsidRDefault="0049062C" w:rsidP="0049062C">
            <w:pPr>
              <w:pStyle w:val="ListParagraph"/>
              <w:spacing w:before="120"/>
              <w:ind w:left="360"/>
              <w:rPr>
                <w:sz w:val="20"/>
                <w:szCs w:val="20"/>
              </w:rPr>
            </w:pPr>
          </w:p>
          <w:p w:rsidR="0049062C" w:rsidRPr="00ED719F" w:rsidRDefault="0049062C" w:rsidP="0049062C">
            <w:pPr>
              <w:spacing w:before="120"/>
              <w:rPr>
                <w:sz w:val="20"/>
                <w:szCs w:val="20"/>
              </w:rPr>
            </w:pPr>
          </w:p>
        </w:tc>
        <w:tc>
          <w:tcPr>
            <w:tcW w:w="7301" w:type="dxa"/>
            <w:tcBorders>
              <w:left w:val="single" w:sz="4" w:space="0" w:color="auto"/>
              <w:bottom w:val="single" w:sz="4" w:space="0" w:color="auto"/>
            </w:tcBorders>
          </w:tcPr>
          <w:p w:rsidR="0049062C" w:rsidRPr="00F365FF" w:rsidRDefault="0049062C" w:rsidP="0049062C">
            <w:pPr>
              <w:rPr>
                <w:b/>
                <w:sz w:val="20"/>
                <w:szCs w:val="20"/>
              </w:rPr>
            </w:pPr>
            <w:r>
              <w:rPr>
                <w:b/>
                <w:sz w:val="20"/>
                <w:szCs w:val="20"/>
              </w:rPr>
              <w:t>for ‘Definite’ diagnosis</w:t>
            </w:r>
          </w:p>
          <w:p w:rsidR="0049062C" w:rsidRPr="00F365FF" w:rsidRDefault="0049062C" w:rsidP="0049062C">
            <w:pPr>
              <w:rPr>
                <w:sz w:val="20"/>
                <w:szCs w:val="20"/>
              </w:rPr>
            </w:pPr>
            <w:r w:rsidRPr="00BE4177">
              <w:rPr>
                <w:b/>
                <w:sz w:val="20"/>
                <w:szCs w:val="20"/>
              </w:rPr>
              <w:t>Either</w:t>
            </w:r>
            <w:r w:rsidRPr="00F365FF">
              <w:rPr>
                <w:b/>
                <w:sz w:val="20"/>
                <w:szCs w:val="20"/>
              </w:rPr>
              <w:t xml:space="preserve"> </w:t>
            </w:r>
            <w:r w:rsidRPr="00F365FF">
              <w:rPr>
                <w:sz w:val="20"/>
                <w:szCs w:val="20"/>
              </w:rPr>
              <w:t xml:space="preserve">presence of both papilloedema </w:t>
            </w:r>
            <w:r w:rsidRPr="00BE4177">
              <w:rPr>
                <w:bCs/>
                <w:sz w:val="20"/>
                <w:szCs w:val="20"/>
              </w:rPr>
              <w:t>and</w:t>
            </w:r>
            <w:r w:rsidRPr="00F365FF">
              <w:rPr>
                <w:b/>
                <w:bCs/>
                <w:sz w:val="20"/>
                <w:szCs w:val="20"/>
              </w:rPr>
              <w:t xml:space="preserve"> </w:t>
            </w:r>
            <w:r w:rsidRPr="00F365FF">
              <w:rPr>
                <w:sz w:val="20"/>
                <w:szCs w:val="20"/>
              </w:rPr>
              <w:t xml:space="preserve">elevated CSF opening pressure**  </w:t>
            </w:r>
          </w:p>
          <w:p w:rsidR="0049062C" w:rsidRPr="00F365FF" w:rsidRDefault="0049062C" w:rsidP="0049062C">
            <w:pPr>
              <w:rPr>
                <w:sz w:val="20"/>
                <w:szCs w:val="20"/>
              </w:rPr>
            </w:pPr>
            <w:r w:rsidRPr="00F365FF">
              <w:rPr>
                <w:b/>
                <w:bCs/>
                <w:sz w:val="20"/>
                <w:szCs w:val="20"/>
              </w:rPr>
              <w:t xml:space="preserve">Or </w:t>
            </w:r>
            <w:r w:rsidRPr="00F365FF">
              <w:rPr>
                <w:sz w:val="20"/>
                <w:szCs w:val="20"/>
              </w:rPr>
              <w:t xml:space="preserve">if no papilloedema, </w:t>
            </w:r>
            <w:r w:rsidRPr="00F365FF">
              <w:rPr>
                <w:bCs/>
                <w:sz w:val="20"/>
                <w:szCs w:val="20"/>
              </w:rPr>
              <w:t xml:space="preserve">presence of </w:t>
            </w:r>
            <w:r w:rsidRPr="00F365FF">
              <w:rPr>
                <w:sz w:val="20"/>
                <w:szCs w:val="20"/>
              </w:rPr>
              <w:t xml:space="preserve">abducens nerve palsy </w:t>
            </w:r>
            <w:r w:rsidRPr="00BE4177">
              <w:rPr>
                <w:sz w:val="20"/>
                <w:szCs w:val="20"/>
              </w:rPr>
              <w:t>and</w:t>
            </w:r>
            <w:r w:rsidRPr="00F365FF">
              <w:rPr>
                <w:sz w:val="20"/>
                <w:szCs w:val="20"/>
              </w:rPr>
              <w:t xml:space="preserve"> elevated CSF opening pressure**</w:t>
            </w:r>
            <w:r w:rsidRPr="00F365FF">
              <w:rPr>
                <w:b/>
                <w:sz w:val="20"/>
                <w:szCs w:val="20"/>
              </w:rPr>
              <w:t xml:space="preserve"> </w:t>
            </w:r>
          </w:p>
          <w:p w:rsidR="0049062C" w:rsidRDefault="0049062C" w:rsidP="0049062C">
            <w:pPr>
              <w:rPr>
                <w:b/>
                <w:sz w:val="20"/>
                <w:szCs w:val="20"/>
              </w:rPr>
            </w:pPr>
          </w:p>
          <w:p w:rsidR="0049062C" w:rsidRPr="00F365FF" w:rsidRDefault="0049062C" w:rsidP="0049062C">
            <w:pPr>
              <w:rPr>
                <w:sz w:val="20"/>
                <w:szCs w:val="20"/>
              </w:rPr>
            </w:pPr>
            <w:r w:rsidRPr="00F365FF">
              <w:rPr>
                <w:b/>
                <w:sz w:val="20"/>
                <w:szCs w:val="20"/>
              </w:rPr>
              <w:t>for ‘Probable’ diagnosis</w:t>
            </w:r>
          </w:p>
          <w:p w:rsidR="0049062C" w:rsidRPr="00F365FF" w:rsidRDefault="0049062C" w:rsidP="0049062C">
            <w:pPr>
              <w:rPr>
                <w:b/>
                <w:i/>
                <w:sz w:val="20"/>
                <w:szCs w:val="20"/>
              </w:rPr>
            </w:pPr>
            <w:r w:rsidRPr="00F365FF">
              <w:rPr>
                <w:sz w:val="20"/>
                <w:szCs w:val="20"/>
              </w:rPr>
              <w:t>Presence of papilloedema but no elevated CSF opening pressure**</w:t>
            </w:r>
          </w:p>
          <w:p w:rsidR="0049062C" w:rsidRDefault="0049062C" w:rsidP="0049062C">
            <w:pPr>
              <w:rPr>
                <w:b/>
                <w:sz w:val="20"/>
                <w:szCs w:val="20"/>
              </w:rPr>
            </w:pPr>
          </w:p>
          <w:p w:rsidR="0049062C" w:rsidRPr="00F365FF" w:rsidRDefault="0049062C" w:rsidP="0049062C">
            <w:pPr>
              <w:rPr>
                <w:b/>
                <w:sz w:val="20"/>
                <w:szCs w:val="20"/>
              </w:rPr>
            </w:pPr>
            <w:r>
              <w:rPr>
                <w:b/>
                <w:sz w:val="20"/>
                <w:szCs w:val="20"/>
              </w:rPr>
              <w:t xml:space="preserve">for </w:t>
            </w:r>
            <w:r w:rsidRPr="00F365FF">
              <w:rPr>
                <w:b/>
                <w:sz w:val="20"/>
                <w:szCs w:val="20"/>
              </w:rPr>
              <w:t>‘S</w:t>
            </w:r>
            <w:r>
              <w:rPr>
                <w:b/>
                <w:sz w:val="20"/>
                <w:szCs w:val="20"/>
              </w:rPr>
              <w:t>uggestive’ of diagnosis</w:t>
            </w:r>
          </w:p>
          <w:p w:rsidR="0049062C" w:rsidRDefault="0049062C" w:rsidP="0049062C">
            <w:pPr>
              <w:rPr>
                <w:b/>
              </w:rPr>
            </w:pPr>
            <w:r w:rsidRPr="00F365FF">
              <w:rPr>
                <w:iCs/>
                <w:sz w:val="20"/>
                <w:szCs w:val="20"/>
              </w:rPr>
              <w:t xml:space="preserve">If absence of both papilloedema </w:t>
            </w:r>
            <w:r w:rsidRPr="00BE4177">
              <w:rPr>
                <w:iCs/>
                <w:sz w:val="20"/>
                <w:szCs w:val="20"/>
              </w:rPr>
              <w:t>and</w:t>
            </w:r>
            <w:r w:rsidRPr="00F365FF">
              <w:rPr>
                <w:iCs/>
                <w:sz w:val="20"/>
                <w:szCs w:val="20"/>
              </w:rPr>
              <w:t xml:space="preserve"> abducens nerve palsy but p</w:t>
            </w:r>
            <w:r w:rsidRPr="00F365FF">
              <w:rPr>
                <w:sz w:val="20"/>
                <w:szCs w:val="20"/>
              </w:rPr>
              <w:t xml:space="preserve">resence of elevated CSF opening pressure** </w:t>
            </w:r>
            <w:r w:rsidRPr="00BE4177">
              <w:rPr>
                <w:sz w:val="20"/>
                <w:szCs w:val="20"/>
              </w:rPr>
              <w:t>and</w:t>
            </w:r>
            <w:r w:rsidRPr="00F365FF">
              <w:rPr>
                <w:sz w:val="20"/>
                <w:szCs w:val="20"/>
              </w:rPr>
              <w:t xml:space="preserve"> at least 3 out of 4 neuroimaging criteria i.e. empty sella, flattening of the posterior aspect of the globe, transverse venous sinus stenosis and distension of the peri-optic subarachnoid space with or without a tortuous optic nerve</w:t>
            </w:r>
          </w:p>
        </w:tc>
      </w:tr>
      <w:tr w:rsidR="0049062C" w:rsidRPr="0069249E" w:rsidTr="0049062C">
        <w:tc>
          <w:tcPr>
            <w:tcW w:w="11271" w:type="dxa"/>
            <w:gridSpan w:val="2"/>
            <w:tcBorders>
              <w:top w:val="single" w:sz="4" w:space="0" w:color="auto"/>
            </w:tcBorders>
            <w:vAlign w:val="center"/>
          </w:tcPr>
          <w:p w:rsidR="0049062C" w:rsidRPr="0069249E" w:rsidRDefault="0049062C" w:rsidP="0049062C">
            <w:pPr>
              <w:jc w:val="both"/>
              <w:rPr>
                <w:sz w:val="20"/>
                <w:szCs w:val="20"/>
              </w:rPr>
            </w:pPr>
            <w:r w:rsidRPr="0069249E">
              <w:rPr>
                <w:sz w:val="20"/>
                <w:szCs w:val="20"/>
              </w:rPr>
              <w:t xml:space="preserve">ICP, intracranial pressure; CVST, cerebral venous sinus thrombosis; MR, Magnetic Resonance; CT, Computed Tomography; LP, lumbar puncture; CSF, cerebrospinal fluid. </w:t>
            </w:r>
          </w:p>
          <w:p w:rsidR="0049062C" w:rsidRPr="0069249E" w:rsidRDefault="0049062C" w:rsidP="0049062C">
            <w:pPr>
              <w:rPr>
                <w:sz w:val="20"/>
                <w:szCs w:val="20"/>
                <w:vertAlign w:val="superscript"/>
              </w:rPr>
            </w:pPr>
            <w:r w:rsidRPr="0069249E">
              <w:rPr>
                <w:sz w:val="20"/>
                <w:szCs w:val="20"/>
              </w:rPr>
              <w:t>* &gt;20cm CSF based on published consensus for children i.e. the lower value of the upper normal limits in adults</w:t>
            </w:r>
            <w:r w:rsidRPr="0069249E">
              <w:rPr>
                <w:sz w:val="20"/>
                <w:szCs w:val="20"/>
                <w:vertAlign w:val="superscript"/>
              </w:rPr>
              <w:t>11</w:t>
            </w:r>
          </w:p>
          <w:p w:rsidR="0049062C" w:rsidRPr="0069249E" w:rsidRDefault="0049062C" w:rsidP="006F33B7">
            <w:pPr>
              <w:rPr>
                <w:sz w:val="20"/>
                <w:szCs w:val="20"/>
                <w:vertAlign w:val="superscript"/>
              </w:rPr>
            </w:pPr>
            <w:r w:rsidRPr="0069249E">
              <w:rPr>
                <w:sz w:val="20"/>
                <w:szCs w:val="20"/>
              </w:rPr>
              <w:t>** ≥25cm CSF in non-obese and unsedated child or ≥28cm CSF if obese and/or sedated for LP</w:t>
            </w:r>
            <w:r w:rsidRPr="0069249E">
              <w:rPr>
                <w:sz w:val="20"/>
                <w:szCs w:val="20"/>
                <w:vertAlign w:val="superscript"/>
              </w:rPr>
              <w:t>14</w:t>
            </w:r>
          </w:p>
        </w:tc>
      </w:tr>
    </w:tbl>
    <w:p w:rsidR="0049062C" w:rsidRPr="0069249E" w:rsidRDefault="0049062C">
      <w:pPr>
        <w:rPr>
          <w:b/>
          <w:bCs/>
        </w:rPr>
      </w:pPr>
    </w:p>
    <w:p w:rsidR="007D0CAF" w:rsidRDefault="007D0CAF">
      <w:pPr>
        <w:rPr>
          <w:b/>
          <w:bCs/>
          <w:caps/>
        </w:rPr>
        <w:sectPr w:rsidR="007D0CAF" w:rsidSect="0049062C">
          <w:pgSz w:w="16838" w:h="11906" w:orient="landscape" w:code="9"/>
          <w:pgMar w:top="1797" w:right="1440" w:bottom="1797" w:left="1440" w:header="709" w:footer="709" w:gutter="0"/>
          <w:cols w:space="708"/>
          <w:docGrid w:linePitch="360"/>
        </w:sectPr>
      </w:pPr>
    </w:p>
    <w:p w:rsidR="007D0CAF" w:rsidRPr="00A26346" w:rsidRDefault="007D0CAF" w:rsidP="007D0CAF">
      <w:pPr>
        <w:ind w:left="4320" w:firstLine="720"/>
      </w:pPr>
      <w:r w:rsidRPr="00F30C61">
        <w:rPr>
          <w:b/>
        </w:rPr>
        <w:lastRenderedPageBreak/>
        <w:t>Figure 1</w:t>
      </w:r>
    </w:p>
    <w:p w:rsidR="007D0CAF" w:rsidRPr="00DA17DD" w:rsidRDefault="007D0CAF" w:rsidP="007D0CAF">
      <w:pPr>
        <w:rPr>
          <w:b/>
          <w:sz w:val="20"/>
          <w:szCs w:val="20"/>
        </w:rPr>
      </w:pPr>
    </w:p>
    <w:tbl>
      <w:tblPr>
        <w:tblpPr w:leftFromText="180" w:rightFromText="180" w:vertAnchor="text" w:tblpX="-176" w:tblpY="1"/>
        <w:tblOverlap w:val="never"/>
        <w:tblW w:w="1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3359"/>
        <w:gridCol w:w="65"/>
        <w:gridCol w:w="1210"/>
        <w:gridCol w:w="1276"/>
        <w:gridCol w:w="708"/>
        <w:gridCol w:w="3259"/>
        <w:gridCol w:w="1215"/>
        <w:gridCol w:w="1334"/>
        <w:gridCol w:w="8"/>
      </w:tblGrid>
      <w:tr w:rsidR="007D0CAF" w:rsidRPr="00C84714" w:rsidTr="007D0CAF">
        <w:tc>
          <w:tcPr>
            <w:tcW w:w="4535" w:type="dxa"/>
            <w:gridSpan w:val="3"/>
            <w:tcBorders>
              <w:top w:val="single" w:sz="12" w:space="0" w:color="auto"/>
              <w:left w:val="single" w:sz="12" w:space="0" w:color="auto"/>
              <w:bottom w:val="nil"/>
              <w:right w:val="nil"/>
            </w:tcBorders>
            <w:vAlign w:val="center"/>
          </w:tcPr>
          <w:p w:rsidR="007D0CAF" w:rsidRPr="00A26346" w:rsidRDefault="007D0CAF" w:rsidP="007D0CAF">
            <w:pPr>
              <w:spacing w:before="60" w:after="60"/>
              <w:jc w:val="right"/>
              <w:rPr>
                <w:sz w:val="20"/>
                <w:szCs w:val="20"/>
              </w:rPr>
            </w:pPr>
            <w:r w:rsidRPr="00A26346">
              <w:rPr>
                <w:b/>
                <w:sz w:val="20"/>
                <w:szCs w:val="20"/>
              </w:rPr>
              <w:t>Total notifications of newly diagnosed PTCS cases</w:t>
            </w:r>
          </w:p>
        </w:tc>
        <w:tc>
          <w:tcPr>
            <w:tcW w:w="2486" w:type="dxa"/>
            <w:gridSpan w:val="2"/>
            <w:tcBorders>
              <w:top w:val="single" w:sz="12" w:space="0" w:color="auto"/>
              <w:left w:val="nil"/>
              <w:bottom w:val="nil"/>
              <w:right w:val="single" w:sz="12" w:space="0" w:color="auto"/>
            </w:tcBorders>
            <w:vAlign w:val="center"/>
          </w:tcPr>
          <w:p w:rsidR="007D0CAF" w:rsidRPr="00A26346" w:rsidRDefault="007D0CAF" w:rsidP="007D0CAF">
            <w:pPr>
              <w:spacing w:before="60" w:after="60"/>
              <w:rPr>
                <w:sz w:val="20"/>
                <w:szCs w:val="20"/>
              </w:rPr>
            </w:pPr>
            <w:r w:rsidRPr="00A26346">
              <w:rPr>
                <w:b/>
                <w:sz w:val="20"/>
                <w:szCs w:val="20"/>
              </w:rPr>
              <w:t>379</w:t>
            </w:r>
          </w:p>
        </w:tc>
        <w:tc>
          <w:tcPr>
            <w:tcW w:w="708" w:type="dxa"/>
            <w:tcBorders>
              <w:top w:val="nil"/>
              <w:left w:val="single" w:sz="12" w:space="0" w:color="auto"/>
              <w:bottom w:val="nil"/>
              <w:right w:val="single" w:sz="12" w:space="0" w:color="auto"/>
            </w:tcBorders>
          </w:tcPr>
          <w:p w:rsidR="007D0CAF" w:rsidRPr="00A26346" w:rsidRDefault="007D0CAF" w:rsidP="007D0CAF">
            <w:pPr>
              <w:spacing w:before="60" w:after="60"/>
              <w:rPr>
                <w:noProof/>
                <w:sz w:val="20"/>
                <w:szCs w:val="20"/>
              </w:rPr>
            </w:pPr>
          </w:p>
        </w:tc>
        <w:tc>
          <w:tcPr>
            <w:tcW w:w="5816" w:type="dxa"/>
            <w:gridSpan w:val="4"/>
            <w:tcBorders>
              <w:top w:val="single" w:sz="12" w:space="0" w:color="auto"/>
              <w:left w:val="single" w:sz="12" w:space="0" w:color="auto"/>
              <w:right w:val="single" w:sz="12" w:space="0" w:color="auto"/>
            </w:tcBorders>
            <w:vAlign w:val="center"/>
          </w:tcPr>
          <w:p w:rsidR="007D0CAF" w:rsidRPr="00A26346" w:rsidRDefault="007D0CAF" w:rsidP="007D0CAF">
            <w:pPr>
              <w:spacing w:before="60" w:after="60"/>
              <w:jc w:val="center"/>
              <w:rPr>
                <w:b/>
                <w:sz w:val="20"/>
                <w:szCs w:val="20"/>
              </w:rPr>
            </w:pPr>
            <w:r w:rsidRPr="00A26346">
              <w:rPr>
                <w:b/>
                <w:sz w:val="20"/>
                <w:szCs w:val="20"/>
              </w:rPr>
              <w:t>Details of 102 excluded notifications:</w:t>
            </w:r>
          </w:p>
        </w:tc>
      </w:tr>
      <w:tr w:rsidR="007D0CAF" w:rsidRPr="00C84714" w:rsidTr="007D0CAF">
        <w:tc>
          <w:tcPr>
            <w:tcW w:w="4535" w:type="dxa"/>
            <w:gridSpan w:val="3"/>
            <w:tcBorders>
              <w:top w:val="nil"/>
              <w:left w:val="single" w:sz="12" w:space="0" w:color="auto"/>
              <w:bottom w:val="nil"/>
              <w:right w:val="nil"/>
            </w:tcBorders>
            <w:vAlign w:val="center"/>
          </w:tcPr>
          <w:p w:rsidR="007D0CAF" w:rsidRPr="00A26346" w:rsidRDefault="007D0CAF" w:rsidP="007D0CAF">
            <w:pPr>
              <w:spacing w:before="60" w:after="60"/>
              <w:jc w:val="right"/>
              <w:rPr>
                <w:sz w:val="20"/>
                <w:szCs w:val="20"/>
              </w:rPr>
            </w:pPr>
            <w:r w:rsidRPr="00A26346">
              <w:rPr>
                <w:sz w:val="20"/>
                <w:szCs w:val="20"/>
              </w:rPr>
              <w:t>Excluded notifications (full details on the right)</w:t>
            </w:r>
          </w:p>
        </w:tc>
        <w:tc>
          <w:tcPr>
            <w:tcW w:w="2486" w:type="dxa"/>
            <w:gridSpan w:val="2"/>
            <w:tcBorders>
              <w:top w:val="nil"/>
              <w:left w:val="nil"/>
              <w:bottom w:val="nil"/>
              <w:right w:val="single" w:sz="12" w:space="0" w:color="auto"/>
            </w:tcBorders>
            <w:vAlign w:val="center"/>
          </w:tcPr>
          <w:p w:rsidR="007D0CAF" w:rsidRPr="00A26346" w:rsidRDefault="007D0CAF" w:rsidP="007D0CAF">
            <w:pPr>
              <w:spacing w:before="60" w:after="60"/>
              <w:rPr>
                <w:sz w:val="20"/>
                <w:szCs w:val="20"/>
              </w:rPr>
            </w:pPr>
            <w:r w:rsidRPr="00A26346">
              <w:rPr>
                <w:sz w:val="20"/>
                <w:szCs w:val="20"/>
              </w:rPr>
              <w:t>102 (27%)</w:t>
            </w:r>
          </w:p>
        </w:tc>
        <w:tc>
          <w:tcPr>
            <w:tcW w:w="708" w:type="dxa"/>
            <w:tcBorders>
              <w:top w:val="nil"/>
              <w:left w:val="single" w:sz="12" w:space="0" w:color="auto"/>
              <w:bottom w:val="nil"/>
              <w:right w:val="single" w:sz="12" w:space="0" w:color="auto"/>
            </w:tcBorders>
          </w:tcPr>
          <w:p w:rsidR="007D0CAF" w:rsidRPr="00A26346" w:rsidRDefault="00E77B9D" w:rsidP="007D0CAF">
            <w:pPr>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123190</wp:posOffset>
                      </wp:positionV>
                      <wp:extent cx="413385" cy="7620"/>
                      <wp:effectExtent l="19050" t="56515" r="24765" b="692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 cy="76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DB9E1" id="_x0000_t32" coordsize="21600,21600" o:spt="32" o:oned="t" path="m,l21600,21600e" filled="f">
                      <v:path arrowok="t" fillok="f" o:connecttype="none"/>
                      <o:lock v:ext="edit" shapetype="t"/>
                    </v:shapetype>
                    <v:shape id="AutoShape 7" o:spid="_x0000_s1026" type="#_x0000_t32" style="position:absolute;margin-left:-3.95pt;margin-top:9.7pt;width:32.5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" strokeweight="2pt">
                      <v:stroke endarrow="block"/>
                    </v:shape>
                  </w:pict>
                </mc:Fallback>
              </mc:AlternateContent>
            </w:r>
          </w:p>
        </w:tc>
        <w:tc>
          <w:tcPr>
            <w:tcW w:w="3259" w:type="dxa"/>
            <w:tcBorders>
              <w:left w:val="single" w:sz="12" w:space="0" w:color="auto"/>
            </w:tcBorders>
            <w:vAlign w:val="center"/>
          </w:tcPr>
          <w:p w:rsidR="007D0CAF" w:rsidRPr="00A26346" w:rsidRDefault="007D0CAF" w:rsidP="007D0CAF">
            <w:pPr>
              <w:rPr>
                <w:sz w:val="20"/>
                <w:szCs w:val="20"/>
              </w:rPr>
            </w:pPr>
            <w:r w:rsidRPr="00A26346">
              <w:rPr>
                <w:sz w:val="20"/>
                <w:szCs w:val="20"/>
              </w:rPr>
              <w:t>36 Not meeting study case definition</w:t>
            </w:r>
          </w:p>
        </w:tc>
        <w:tc>
          <w:tcPr>
            <w:tcW w:w="2557" w:type="dxa"/>
            <w:gridSpan w:val="3"/>
            <w:tcBorders>
              <w:right w:val="single" w:sz="12" w:space="0" w:color="auto"/>
            </w:tcBorders>
            <w:vAlign w:val="center"/>
          </w:tcPr>
          <w:p w:rsidR="007D0CAF" w:rsidRPr="00A26346" w:rsidRDefault="007D0CAF" w:rsidP="007D0CAF">
            <w:pPr>
              <w:rPr>
                <w:sz w:val="20"/>
                <w:szCs w:val="20"/>
              </w:rPr>
            </w:pPr>
            <w:r w:rsidRPr="00A26346">
              <w:rPr>
                <w:sz w:val="20"/>
                <w:szCs w:val="20"/>
              </w:rPr>
              <w:t>4 CVST</w:t>
            </w:r>
          </w:p>
        </w:tc>
      </w:tr>
      <w:tr w:rsidR="007D0CAF" w:rsidRPr="00C84714" w:rsidTr="007D0CAF">
        <w:tc>
          <w:tcPr>
            <w:tcW w:w="4535" w:type="dxa"/>
            <w:gridSpan w:val="3"/>
            <w:tcBorders>
              <w:top w:val="nil"/>
              <w:left w:val="single" w:sz="12" w:space="0" w:color="auto"/>
              <w:bottom w:val="nil"/>
              <w:right w:val="nil"/>
            </w:tcBorders>
            <w:vAlign w:val="center"/>
          </w:tcPr>
          <w:p w:rsidR="007D0CAF" w:rsidRPr="00A26346" w:rsidRDefault="007D0CAF" w:rsidP="007D0CAF">
            <w:pPr>
              <w:spacing w:before="60" w:after="60"/>
              <w:jc w:val="right"/>
              <w:rPr>
                <w:sz w:val="20"/>
                <w:szCs w:val="20"/>
              </w:rPr>
            </w:pPr>
            <w:r w:rsidRPr="00A26346">
              <w:rPr>
                <w:sz w:val="20"/>
                <w:szCs w:val="20"/>
              </w:rPr>
              <w:t>No questionnaires returned (included 3 duplicates)</w:t>
            </w:r>
          </w:p>
        </w:tc>
        <w:tc>
          <w:tcPr>
            <w:tcW w:w="2486" w:type="dxa"/>
            <w:gridSpan w:val="2"/>
            <w:tcBorders>
              <w:top w:val="nil"/>
              <w:left w:val="nil"/>
              <w:bottom w:val="nil"/>
              <w:right w:val="single" w:sz="12" w:space="0" w:color="auto"/>
            </w:tcBorders>
            <w:vAlign w:val="center"/>
          </w:tcPr>
          <w:p w:rsidR="007D0CAF" w:rsidRPr="00A26346" w:rsidRDefault="007D0CAF" w:rsidP="007D0CAF">
            <w:pPr>
              <w:spacing w:before="60" w:after="60"/>
              <w:rPr>
                <w:sz w:val="20"/>
                <w:szCs w:val="20"/>
              </w:rPr>
            </w:pPr>
            <w:r w:rsidRPr="00A26346">
              <w:rPr>
                <w:sz w:val="20"/>
                <w:szCs w:val="20"/>
              </w:rPr>
              <w:t xml:space="preserve">  46 (12%)</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3259" w:type="dxa"/>
            <w:tcBorders>
              <w:left w:val="single" w:sz="12" w:space="0" w:color="auto"/>
            </w:tcBorders>
            <w:vAlign w:val="center"/>
          </w:tcPr>
          <w:p w:rsidR="007D0CAF" w:rsidRPr="00A26346" w:rsidRDefault="007D0CAF" w:rsidP="007D0CAF">
            <w:pPr>
              <w:rPr>
                <w:sz w:val="20"/>
                <w:szCs w:val="20"/>
              </w:rPr>
            </w:pPr>
            <w:r w:rsidRPr="00A26346">
              <w:rPr>
                <w:sz w:val="20"/>
                <w:szCs w:val="20"/>
              </w:rPr>
              <w:t>29 Historic cases</w:t>
            </w:r>
          </w:p>
        </w:tc>
        <w:tc>
          <w:tcPr>
            <w:tcW w:w="2557" w:type="dxa"/>
            <w:gridSpan w:val="3"/>
            <w:tcBorders>
              <w:right w:val="single" w:sz="12" w:space="0" w:color="auto"/>
            </w:tcBorders>
            <w:vAlign w:val="center"/>
          </w:tcPr>
          <w:p w:rsidR="007D0CAF" w:rsidRPr="00A26346" w:rsidRDefault="007D0CAF" w:rsidP="007D0CAF">
            <w:pPr>
              <w:rPr>
                <w:sz w:val="20"/>
                <w:szCs w:val="20"/>
              </w:rPr>
            </w:pPr>
            <w:r w:rsidRPr="00A26346">
              <w:rPr>
                <w:sz w:val="20"/>
                <w:szCs w:val="20"/>
              </w:rPr>
              <w:t>4 Optic nerve head drusen</w:t>
            </w:r>
          </w:p>
        </w:tc>
      </w:tr>
      <w:tr w:rsidR="007D0CAF" w:rsidRPr="00C84714" w:rsidTr="007D0CAF">
        <w:tc>
          <w:tcPr>
            <w:tcW w:w="4535" w:type="dxa"/>
            <w:gridSpan w:val="3"/>
            <w:tcBorders>
              <w:top w:val="nil"/>
              <w:left w:val="single" w:sz="12" w:space="0" w:color="auto"/>
              <w:bottom w:val="nil"/>
              <w:right w:val="nil"/>
            </w:tcBorders>
            <w:vAlign w:val="center"/>
          </w:tcPr>
          <w:p w:rsidR="007D0CAF" w:rsidRPr="00A26346" w:rsidRDefault="007D0CAF" w:rsidP="007D0CAF">
            <w:pPr>
              <w:spacing w:before="60" w:after="60"/>
              <w:jc w:val="right"/>
              <w:rPr>
                <w:sz w:val="20"/>
                <w:szCs w:val="20"/>
              </w:rPr>
            </w:pPr>
            <w:r w:rsidRPr="00A26346">
              <w:rPr>
                <w:sz w:val="20"/>
                <w:szCs w:val="20"/>
              </w:rPr>
              <w:t xml:space="preserve">Duplicates of eligible PTCS cases </w:t>
            </w:r>
          </w:p>
        </w:tc>
        <w:tc>
          <w:tcPr>
            <w:tcW w:w="2486" w:type="dxa"/>
            <w:gridSpan w:val="2"/>
            <w:tcBorders>
              <w:top w:val="nil"/>
              <w:left w:val="nil"/>
              <w:bottom w:val="nil"/>
              <w:right w:val="single" w:sz="12" w:space="0" w:color="auto"/>
            </w:tcBorders>
            <w:vAlign w:val="center"/>
          </w:tcPr>
          <w:p w:rsidR="007D0CAF" w:rsidRPr="00A26346" w:rsidRDefault="007D0CAF" w:rsidP="007D0CAF">
            <w:pPr>
              <w:spacing w:before="60" w:after="60"/>
              <w:rPr>
                <w:sz w:val="20"/>
                <w:szCs w:val="20"/>
              </w:rPr>
            </w:pPr>
            <w:r w:rsidRPr="00A26346">
              <w:rPr>
                <w:sz w:val="20"/>
                <w:szCs w:val="20"/>
              </w:rPr>
              <w:t xml:space="preserve">  46 (12%)</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3259" w:type="dxa"/>
            <w:tcBorders>
              <w:left w:val="single" w:sz="12" w:space="0" w:color="auto"/>
            </w:tcBorders>
            <w:vAlign w:val="center"/>
          </w:tcPr>
          <w:p w:rsidR="007D0CAF" w:rsidRPr="00A26346" w:rsidRDefault="007D0CAF" w:rsidP="007D0CAF">
            <w:pPr>
              <w:rPr>
                <w:sz w:val="20"/>
                <w:szCs w:val="20"/>
              </w:rPr>
            </w:pPr>
            <w:r w:rsidRPr="00A26346">
              <w:rPr>
                <w:sz w:val="20"/>
                <w:szCs w:val="20"/>
              </w:rPr>
              <w:t>15 Reporting error</w:t>
            </w:r>
          </w:p>
        </w:tc>
        <w:tc>
          <w:tcPr>
            <w:tcW w:w="2557" w:type="dxa"/>
            <w:gridSpan w:val="3"/>
            <w:tcBorders>
              <w:right w:val="single" w:sz="12" w:space="0" w:color="auto"/>
            </w:tcBorders>
            <w:vAlign w:val="center"/>
          </w:tcPr>
          <w:p w:rsidR="007D0CAF" w:rsidRPr="00A26346" w:rsidRDefault="007D0CAF" w:rsidP="007D0CAF">
            <w:pPr>
              <w:rPr>
                <w:sz w:val="20"/>
                <w:szCs w:val="20"/>
              </w:rPr>
            </w:pPr>
            <w:r w:rsidRPr="00A26346">
              <w:rPr>
                <w:sz w:val="20"/>
                <w:szCs w:val="20"/>
              </w:rPr>
              <w:t>1 Optic neuritis</w:t>
            </w:r>
          </w:p>
        </w:tc>
      </w:tr>
      <w:tr w:rsidR="007D0CAF" w:rsidRPr="00C84714" w:rsidTr="007D0CAF">
        <w:tc>
          <w:tcPr>
            <w:tcW w:w="4535" w:type="dxa"/>
            <w:gridSpan w:val="3"/>
            <w:tcBorders>
              <w:top w:val="nil"/>
              <w:left w:val="single" w:sz="12" w:space="0" w:color="auto"/>
              <w:bottom w:val="single" w:sz="12" w:space="0" w:color="auto"/>
              <w:right w:val="nil"/>
            </w:tcBorders>
            <w:vAlign w:val="center"/>
          </w:tcPr>
          <w:p w:rsidR="007D0CAF" w:rsidRPr="00A26346" w:rsidRDefault="007D0CAF" w:rsidP="007D0CAF">
            <w:pPr>
              <w:spacing w:before="60" w:after="60"/>
              <w:jc w:val="right"/>
              <w:rPr>
                <w:sz w:val="20"/>
                <w:szCs w:val="20"/>
              </w:rPr>
            </w:pPr>
            <w:r w:rsidRPr="00A26346">
              <w:rPr>
                <w:sz w:val="20"/>
                <w:szCs w:val="20"/>
              </w:rPr>
              <w:t>Eligible PTCS cases that fulfilled study case definition</w:t>
            </w:r>
            <w:r>
              <w:rPr>
                <w:sz w:val="20"/>
                <w:szCs w:val="20"/>
              </w:rPr>
              <w:t xml:space="preserve"> (Table 1A)</w:t>
            </w:r>
            <w:r w:rsidRPr="00A26346">
              <w:rPr>
                <w:sz w:val="20"/>
                <w:szCs w:val="20"/>
              </w:rPr>
              <w:t xml:space="preserve"> </w:t>
            </w:r>
          </w:p>
        </w:tc>
        <w:tc>
          <w:tcPr>
            <w:tcW w:w="2486" w:type="dxa"/>
            <w:gridSpan w:val="2"/>
            <w:tcBorders>
              <w:top w:val="nil"/>
              <w:left w:val="nil"/>
              <w:bottom w:val="single" w:sz="12" w:space="0" w:color="auto"/>
              <w:right w:val="single" w:sz="12" w:space="0" w:color="auto"/>
            </w:tcBorders>
            <w:vAlign w:val="center"/>
          </w:tcPr>
          <w:p w:rsidR="007D0CAF" w:rsidRPr="00A26346" w:rsidRDefault="007D0CAF" w:rsidP="007D0CAF">
            <w:pPr>
              <w:spacing w:before="60" w:after="60"/>
              <w:rPr>
                <w:sz w:val="20"/>
                <w:szCs w:val="20"/>
              </w:rPr>
            </w:pPr>
            <w:r w:rsidRPr="00A26346">
              <w:rPr>
                <w:sz w:val="20"/>
                <w:szCs w:val="20"/>
              </w:rPr>
              <w:t>185 (49%)</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5816" w:type="dxa"/>
            <w:gridSpan w:val="4"/>
            <w:tcBorders>
              <w:left w:val="single" w:sz="12" w:space="0" w:color="auto"/>
              <w:bottom w:val="single" w:sz="12" w:space="0" w:color="auto"/>
              <w:right w:val="single" w:sz="12" w:space="0" w:color="auto"/>
            </w:tcBorders>
            <w:vAlign w:val="center"/>
          </w:tcPr>
          <w:p w:rsidR="007D0CAF" w:rsidRDefault="007D0CAF" w:rsidP="007D0CAF">
            <w:pPr>
              <w:rPr>
                <w:sz w:val="20"/>
                <w:szCs w:val="20"/>
              </w:rPr>
            </w:pPr>
            <w:r w:rsidRPr="00A26346">
              <w:rPr>
                <w:sz w:val="20"/>
                <w:szCs w:val="20"/>
              </w:rPr>
              <w:t xml:space="preserve">13 Duplicates: </w:t>
            </w:r>
            <w:r>
              <w:rPr>
                <w:sz w:val="20"/>
                <w:szCs w:val="20"/>
              </w:rPr>
              <w:t xml:space="preserve">7 not meeting study case definition, </w:t>
            </w:r>
            <w:r w:rsidRPr="00A26346">
              <w:rPr>
                <w:sz w:val="20"/>
                <w:szCs w:val="20"/>
              </w:rPr>
              <w:t>3 historic cases</w:t>
            </w:r>
            <w:r>
              <w:rPr>
                <w:sz w:val="20"/>
                <w:szCs w:val="20"/>
              </w:rPr>
              <w:t xml:space="preserve"> </w:t>
            </w:r>
          </w:p>
          <w:p w:rsidR="007D0CAF" w:rsidRPr="00A26346" w:rsidRDefault="007D0CAF" w:rsidP="007D0CAF">
            <w:pPr>
              <w:rPr>
                <w:sz w:val="20"/>
                <w:szCs w:val="20"/>
              </w:rPr>
            </w:pPr>
            <w:r>
              <w:rPr>
                <w:sz w:val="20"/>
                <w:szCs w:val="20"/>
              </w:rPr>
              <w:t xml:space="preserve">                         and</w:t>
            </w:r>
            <w:r w:rsidRPr="00A26346">
              <w:rPr>
                <w:sz w:val="20"/>
                <w:szCs w:val="20"/>
              </w:rPr>
              <w:t xml:space="preserve"> 3 reporting error </w:t>
            </w:r>
          </w:p>
        </w:tc>
      </w:tr>
      <w:tr w:rsidR="007D0CAF" w:rsidRPr="00C84714" w:rsidTr="007D0CAF">
        <w:tc>
          <w:tcPr>
            <w:tcW w:w="1111" w:type="dxa"/>
            <w:tcBorders>
              <w:top w:val="single" w:sz="12" w:space="0" w:color="auto"/>
              <w:left w:val="nil"/>
              <w:bottom w:val="single" w:sz="12" w:space="0" w:color="auto"/>
              <w:right w:val="nil"/>
            </w:tcBorders>
          </w:tcPr>
          <w:p w:rsidR="007D0CAF" w:rsidRPr="00A26346" w:rsidRDefault="007D0CAF" w:rsidP="007D0CAF">
            <w:pPr>
              <w:rPr>
                <w:sz w:val="20"/>
                <w:szCs w:val="20"/>
              </w:rPr>
            </w:pPr>
          </w:p>
        </w:tc>
        <w:tc>
          <w:tcPr>
            <w:tcW w:w="5910" w:type="dxa"/>
            <w:gridSpan w:val="4"/>
            <w:tcBorders>
              <w:top w:val="single" w:sz="12" w:space="0" w:color="auto"/>
              <w:left w:val="nil"/>
              <w:bottom w:val="single" w:sz="12" w:space="0" w:color="auto"/>
              <w:right w:val="nil"/>
            </w:tcBorders>
          </w:tcPr>
          <w:p w:rsidR="007D0CAF" w:rsidRPr="00A26346" w:rsidRDefault="00E77B9D" w:rsidP="007D0CAF">
            <w:pPr>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1481455</wp:posOffset>
                      </wp:positionH>
                      <wp:positionV relativeFrom="paragraph">
                        <wp:posOffset>-22860</wp:posOffset>
                      </wp:positionV>
                      <wp:extent cx="214630" cy="351155"/>
                      <wp:effectExtent l="26670" t="12065" r="25400" b="82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51155"/>
                              </a:xfrm>
                              <a:prstGeom prst="downArrow">
                                <a:avLst>
                                  <a:gd name="adj1" fmla="val 50000"/>
                                  <a:gd name="adj2" fmla="val 4090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D30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116.65pt;margin-top:-1.8pt;width:16.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">
                      <v:textbox style="layout-flow:vertical-ideographic"/>
                    </v:shape>
                  </w:pict>
                </mc:Fallback>
              </mc:AlternateContent>
            </w:r>
          </w:p>
        </w:tc>
        <w:tc>
          <w:tcPr>
            <w:tcW w:w="708" w:type="dxa"/>
            <w:tcBorders>
              <w:top w:val="nil"/>
              <w:left w:val="nil"/>
              <w:bottom w:val="nil"/>
              <w:right w:val="nil"/>
            </w:tcBorders>
          </w:tcPr>
          <w:p w:rsidR="007D0CAF" w:rsidRPr="00A26346" w:rsidRDefault="007D0CAF" w:rsidP="007D0CAF">
            <w:pPr>
              <w:rPr>
                <w:sz w:val="20"/>
                <w:szCs w:val="20"/>
              </w:rPr>
            </w:pPr>
          </w:p>
        </w:tc>
        <w:tc>
          <w:tcPr>
            <w:tcW w:w="5816" w:type="dxa"/>
            <w:gridSpan w:val="4"/>
            <w:tcBorders>
              <w:top w:val="single" w:sz="12" w:space="0" w:color="auto"/>
              <w:left w:val="nil"/>
              <w:bottom w:val="single" w:sz="8" w:space="0" w:color="auto"/>
              <w:right w:val="nil"/>
            </w:tcBorders>
          </w:tcPr>
          <w:p w:rsidR="007D0CAF" w:rsidRPr="00A26346" w:rsidRDefault="007D0CAF" w:rsidP="007D0CAF">
            <w:pPr>
              <w:rPr>
                <w:sz w:val="20"/>
                <w:szCs w:val="20"/>
              </w:rPr>
            </w:pPr>
          </w:p>
          <w:p w:rsidR="007D0CAF" w:rsidRPr="00A26346" w:rsidRDefault="007D0CAF" w:rsidP="007D0CAF">
            <w:pPr>
              <w:rPr>
                <w:sz w:val="20"/>
                <w:szCs w:val="20"/>
              </w:rPr>
            </w:pPr>
            <w:r w:rsidRPr="00A26346">
              <w:rPr>
                <w:sz w:val="20"/>
                <w:szCs w:val="20"/>
              </w:rPr>
              <w:t xml:space="preserve">                           </w:t>
            </w:r>
          </w:p>
        </w:tc>
      </w:tr>
      <w:tr w:rsidR="007D0CAF" w:rsidRPr="00C84714" w:rsidTr="007D0CAF">
        <w:trPr>
          <w:gridAfter w:val="1"/>
          <w:wAfter w:w="8" w:type="dxa"/>
        </w:trPr>
        <w:tc>
          <w:tcPr>
            <w:tcW w:w="7021" w:type="dxa"/>
            <w:gridSpan w:val="5"/>
            <w:tcBorders>
              <w:top w:val="single" w:sz="8" w:space="0" w:color="auto"/>
              <w:left w:val="single" w:sz="12" w:space="0" w:color="auto"/>
              <w:right w:val="single" w:sz="12" w:space="0" w:color="auto"/>
            </w:tcBorders>
            <w:vAlign w:val="center"/>
          </w:tcPr>
          <w:p w:rsidR="007D0CAF" w:rsidRPr="00A26346" w:rsidRDefault="007D0CAF" w:rsidP="007D0CAF">
            <w:pPr>
              <w:spacing w:before="120" w:after="120"/>
              <w:jc w:val="center"/>
              <w:rPr>
                <w:sz w:val="20"/>
                <w:szCs w:val="20"/>
              </w:rPr>
            </w:pPr>
            <w:r>
              <w:rPr>
                <w:b/>
                <w:sz w:val="20"/>
                <w:szCs w:val="20"/>
              </w:rPr>
              <w:t>185 cases fulfilling study case definition of PTCS (Table 1A)</w:t>
            </w:r>
          </w:p>
        </w:tc>
        <w:tc>
          <w:tcPr>
            <w:tcW w:w="708" w:type="dxa"/>
            <w:tcBorders>
              <w:top w:val="nil"/>
              <w:left w:val="single" w:sz="12" w:space="0" w:color="auto"/>
              <w:bottom w:val="nil"/>
              <w:right w:val="single" w:sz="12" w:space="0" w:color="auto"/>
            </w:tcBorders>
          </w:tcPr>
          <w:p w:rsidR="007D0CAF" w:rsidRPr="00A26346" w:rsidRDefault="00E77B9D" w:rsidP="007D0CAF">
            <w:pPr>
              <w:rPr>
                <w:noProof/>
                <w:sz w:val="20"/>
                <w:szCs w:val="20"/>
              </w:rPr>
            </w:pP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199390</wp:posOffset>
                      </wp:positionV>
                      <wp:extent cx="413385" cy="7620"/>
                      <wp:effectExtent l="19050" t="59690" r="24765" b="6604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 cy="76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0D073" id="AutoShape 9" o:spid="_x0000_s1026" type="#_x0000_t32" style="position:absolute;margin-left:-3.95pt;margin-top:15.7pt;width:32.55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4POQIAAGA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" strokeweight="2pt">
                      <v:stroke endarrow="block"/>
                    </v:shape>
                  </w:pict>
                </mc:Fallback>
              </mc:AlternateContent>
            </w:r>
          </w:p>
        </w:tc>
        <w:tc>
          <w:tcPr>
            <w:tcW w:w="5808" w:type="dxa"/>
            <w:gridSpan w:val="3"/>
            <w:vMerge w:val="restart"/>
            <w:tcBorders>
              <w:top w:val="single" w:sz="12" w:space="0" w:color="auto"/>
              <w:left w:val="single" w:sz="12" w:space="0" w:color="auto"/>
              <w:right w:val="single" w:sz="12" w:space="0" w:color="auto"/>
            </w:tcBorders>
            <w:vAlign w:val="center"/>
          </w:tcPr>
          <w:p w:rsidR="007D0CAF" w:rsidRPr="00A26346" w:rsidRDefault="007D0CAF" w:rsidP="007D0CAF">
            <w:pPr>
              <w:spacing w:before="60" w:after="60"/>
              <w:jc w:val="center"/>
              <w:rPr>
                <w:b/>
                <w:sz w:val="20"/>
                <w:szCs w:val="20"/>
              </w:rPr>
            </w:pPr>
            <w:r>
              <w:rPr>
                <w:b/>
                <w:sz w:val="20"/>
                <w:szCs w:val="20"/>
              </w:rPr>
              <w:t>185 cases fulfilling study case definition of PTCS (Table 1A)</w:t>
            </w:r>
          </w:p>
        </w:tc>
      </w:tr>
      <w:tr w:rsidR="007D0CAF" w:rsidRPr="00C84714" w:rsidTr="007D0CAF">
        <w:trPr>
          <w:gridAfter w:val="1"/>
          <w:wAfter w:w="8" w:type="dxa"/>
        </w:trPr>
        <w:tc>
          <w:tcPr>
            <w:tcW w:w="4470" w:type="dxa"/>
            <w:gridSpan w:val="2"/>
            <w:vMerge w:val="restart"/>
            <w:tcBorders>
              <w:top w:val="single" w:sz="8" w:space="0" w:color="auto"/>
              <w:left w:val="single" w:sz="12" w:space="0" w:color="auto"/>
              <w:bottom w:val="single" w:sz="8" w:space="0" w:color="auto"/>
              <w:right w:val="single" w:sz="8" w:space="0" w:color="auto"/>
            </w:tcBorders>
            <w:shd w:val="clear" w:color="auto" w:fill="D9D9D9"/>
            <w:vAlign w:val="center"/>
          </w:tcPr>
          <w:p w:rsidR="007D0CAF" w:rsidRPr="00A26346" w:rsidRDefault="007D0CAF" w:rsidP="007D0CAF">
            <w:pPr>
              <w:rPr>
                <w:b/>
                <w:sz w:val="20"/>
                <w:szCs w:val="20"/>
              </w:rPr>
            </w:pPr>
            <w:r>
              <w:rPr>
                <w:b/>
                <w:sz w:val="20"/>
                <w:szCs w:val="20"/>
              </w:rPr>
              <w:t>Categorisation by cardinal features of PTCS</w:t>
            </w:r>
          </w:p>
        </w:tc>
        <w:tc>
          <w:tcPr>
            <w:tcW w:w="2551" w:type="dxa"/>
            <w:gridSpan w:val="3"/>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sidRPr="00A26346">
              <w:rPr>
                <w:b/>
                <w:sz w:val="20"/>
                <w:szCs w:val="20"/>
              </w:rPr>
              <w:t>CSF pressure</w:t>
            </w:r>
            <w:r>
              <w:rPr>
                <w:b/>
                <w:sz w:val="20"/>
                <w:szCs w:val="20"/>
              </w:rPr>
              <w:t xml:space="preserve"> relative to threshold level</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5808" w:type="dxa"/>
            <w:gridSpan w:val="3"/>
            <w:vMerge/>
            <w:tcBorders>
              <w:left w:val="single" w:sz="12" w:space="0" w:color="auto"/>
              <w:bottom w:val="single" w:sz="8" w:space="0" w:color="auto"/>
              <w:right w:val="single" w:sz="12" w:space="0" w:color="auto"/>
            </w:tcBorders>
            <w:vAlign w:val="center"/>
          </w:tcPr>
          <w:p w:rsidR="007D0CAF" w:rsidRPr="00A26346" w:rsidRDefault="007D0CAF" w:rsidP="007D0CAF">
            <w:pPr>
              <w:rPr>
                <w:sz w:val="20"/>
                <w:szCs w:val="20"/>
              </w:rPr>
            </w:pPr>
          </w:p>
        </w:tc>
      </w:tr>
      <w:tr w:rsidR="007D0CAF" w:rsidRPr="00C84714" w:rsidTr="007D0CAF">
        <w:trPr>
          <w:gridAfter w:val="1"/>
          <w:wAfter w:w="8" w:type="dxa"/>
        </w:trPr>
        <w:tc>
          <w:tcPr>
            <w:tcW w:w="4470" w:type="dxa"/>
            <w:gridSpan w:val="2"/>
            <w:vMerge/>
            <w:tcBorders>
              <w:left w:val="single" w:sz="12" w:space="0" w:color="auto"/>
              <w:bottom w:val="single" w:sz="8" w:space="0" w:color="auto"/>
              <w:right w:val="single" w:sz="8" w:space="0" w:color="auto"/>
            </w:tcBorders>
            <w:shd w:val="clear" w:color="auto" w:fill="D9D9D9"/>
            <w:vAlign w:val="center"/>
          </w:tcPr>
          <w:p w:rsidR="007D0CAF" w:rsidRPr="00A26346" w:rsidRDefault="007D0CAF" w:rsidP="007D0CAF">
            <w:pPr>
              <w:rPr>
                <w:sz w:val="20"/>
                <w:szCs w:val="20"/>
              </w:rPr>
            </w:pPr>
          </w:p>
        </w:tc>
        <w:tc>
          <w:tcPr>
            <w:tcW w:w="1275" w:type="dxa"/>
            <w:gridSpan w:val="2"/>
            <w:tcBorders>
              <w:top w:val="single" w:sz="8" w:space="0" w:color="auto"/>
              <w:left w:val="single" w:sz="8" w:space="0" w:color="auto"/>
              <w:bottom w:val="single" w:sz="8" w:space="0" w:color="auto"/>
              <w:right w:val="single" w:sz="8" w:space="0" w:color="auto"/>
            </w:tcBorders>
          </w:tcPr>
          <w:p w:rsidR="007D0CAF" w:rsidRPr="00A26346" w:rsidRDefault="007D0CAF" w:rsidP="007D0CAF">
            <w:pPr>
              <w:spacing w:before="40" w:after="40"/>
              <w:jc w:val="center"/>
              <w:rPr>
                <w:b/>
                <w:sz w:val="20"/>
                <w:szCs w:val="20"/>
              </w:rPr>
            </w:pPr>
            <w:r>
              <w:rPr>
                <w:b/>
                <w:sz w:val="20"/>
                <w:szCs w:val="20"/>
              </w:rPr>
              <w:t>s</w:t>
            </w:r>
            <w:r w:rsidRPr="00A26346">
              <w:rPr>
                <w:b/>
                <w:sz w:val="20"/>
                <w:szCs w:val="20"/>
              </w:rPr>
              <w:t>tudy threshold</w:t>
            </w:r>
            <w:r>
              <w:rPr>
                <w:b/>
                <w:sz w:val="20"/>
                <w:szCs w:val="20"/>
              </w:rPr>
              <w:t xml:space="preserve"> </w:t>
            </w:r>
            <w:r w:rsidRPr="00A26346">
              <w:rPr>
                <w:b/>
                <w:sz w:val="20"/>
                <w:szCs w:val="20"/>
                <w:vertAlign w:val="superscript"/>
              </w:rPr>
              <w:t>a</w:t>
            </w:r>
            <w:r w:rsidRPr="00A26346">
              <w:rPr>
                <w:b/>
                <w:sz w:val="20"/>
                <w:szCs w:val="20"/>
              </w:rPr>
              <w:t xml:space="preserve">         N (%)</w:t>
            </w:r>
          </w:p>
        </w:tc>
        <w:tc>
          <w:tcPr>
            <w:tcW w:w="1276" w:type="dxa"/>
            <w:tcBorders>
              <w:top w:val="single" w:sz="8" w:space="0" w:color="auto"/>
              <w:left w:val="single" w:sz="8" w:space="0" w:color="auto"/>
              <w:bottom w:val="single" w:sz="8" w:space="0" w:color="auto"/>
              <w:right w:val="single" w:sz="12" w:space="0" w:color="auto"/>
            </w:tcBorders>
          </w:tcPr>
          <w:p w:rsidR="007D0CAF" w:rsidRPr="00A26346" w:rsidRDefault="007D0CAF" w:rsidP="007D0CAF">
            <w:pPr>
              <w:spacing w:before="40" w:after="40"/>
              <w:jc w:val="center"/>
              <w:rPr>
                <w:b/>
                <w:sz w:val="20"/>
                <w:szCs w:val="20"/>
              </w:rPr>
            </w:pPr>
            <w:r>
              <w:rPr>
                <w:b/>
                <w:sz w:val="20"/>
                <w:szCs w:val="20"/>
              </w:rPr>
              <w:t>r</w:t>
            </w:r>
            <w:r w:rsidRPr="00A26346">
              <w:rPr>
                <w:b/>
                <w:sz w:val="20"/>
                <w:szCs w:val="20"/>
              </w:rPr>
              <w:t>evised threshold</w:t>
            </w:r>
            <w:r>
              <w:rPr>
                <w:b/>
                <w:sz w:val="20"/>
                <w:szCs w:val="20"/>
              </w:rPr>
              <w:t xml:space="preserve"> </w:t>
            </w:r>
            <w:r w:rsidRPr="00A26346">
              <w:rPr>
                <w:b/>
                <w:sz w:val="20"/>
                <w:szCs w:val="20"/>
                <w:vertAlign w:val="superscript"/>
              </w:rPr>
              <w:t>b</w:t>
            </w:r>
          </w:p>
          <w:p w:rsidR="007D0CAF" w:rsidRPr="00A26346" w:rsidRDefault="007D0CAF" w:rsidP="007D0CAF">
            <w:pPr>
              <w:spacing w:before="40" w:after="40"/>
              <w:jc w:val="center"/>
              <w:rPr>
                <w:b/>
                <w:sz w:val="20"/>
                <w:szCs w:val="20"/>
              </w:rPr>
            </w:pPr>
            <w:r w:rsidRPr="00A26346">
              <w:rPr>
                <w:b/>
                <w:sz w:val="20"/>
                <w:szCs w:val="20"/>
              </w:rPr>
              <w:t>N (%)</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4474" w:type="dxa"/>
            <w:gridSpan w:val="2"/>
            <w:tcBorders>
              <w:top w:val="single" w:sz="8" w:space="0" w:color="auto"/>
              <w:left w:val="single" w:sz="12" w:space="0" w:color="auto"/>
              <w:bottom w:val="single" w:sz="8" w:space="0" w:color="auto"/>
              <w:right w:val="single" w:sz="8" w:space="0" w:color="auto"/>
            </w:tcBorders>
            <w:shd w:val="clear" w:color="auto" w:fill="D9D9D9"/>
            <w:vAlign w:val="center"/>
          </w:tcPr>
          <w:p w:rsidR="007D0CAF" w:rsidRPr="00A26346" w:rsidRDefault="007D0CAF" w:rsidP="007D0CAF">
            <w:pPr>
              <w:rPr>
                <w:sz w:val="20"/>
                <w:szCs w:val="20"/>
              </w:rPr>
            </w:pPr>
            <w:r>
              <w:rPr>
                <w:b/>
                <w:sz w:val="20"/>
                <w:szCs w:val="20"/>
              </w:rPr>
              <w:t>Categorisation by revised diagnostic criteria (Table 1B)</w:t>
            </w:r>
          </w:p>
        </w:tc>
        <w:tc>
          <w:tcPr>
            <w:tcW w:w="1334"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sidRPr="00A26346">
              <w:rPr>
                <w:b/>
                <w:sz w:val="20"/>
                <w:szCs w:val="20"/>
              </w:rPr>
              <w:t>N (%)</w:t>
            </w:r>
          </w:p>
        </w:tc>
      </w:tr>
      <w:tr w:rsidR="007D0CAF" w:rsidRPr="00C84714" w:rsidTr="007D0CAF">
        <w:trPr>
          <w:gridAfter w:val="1"/>
          <w:wAfter w:w="8" w:type="dxa"/>
        </w:trPr>
        <w:tc>
          <w:tcPr>
            <w:tcW w:w="4470" w:type="dxa"/>
            <w:gridSpan w:val="2"/>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r>
              <w:rPr>
                <w:sz w:val="20"/>
                <w:szCs w:val="20"/>
              </w:rPr>
              <w:t xml:space="preserve">Papilloedema, symptoms of </w:t>
            </w:r>
            <w:r w:rsidRPr="00A26346">
              <w:rPr>
                <w:sz w:val="20"/>
                <w:szCs w:val="20"/>
              </w:rPr>
              <w:t>raised ICP &amp; elevat</w:t>
            </w:r>
            <w:r>
              <w:rPr>
                <w:sz w:val="20"/>
                <w:szCs w:val="20"/>
              </w:rPr>
              <w:t>ion  of</w:t>
            </w:r>
            <w:r w:rsidRPr="00A26346">
              <w:rPr>
                <w:sz w:val="20"/>
                <w:szCs w:val="20"/>
              </w:rPr>
              <w:t xml:space="preserve"> CSF pressure</w:t>
            </w:r>
          </w:p>
        </w:tc>
        <w:tc>
          <w:tcPr>
            <w:tcW w:w="1275" w:type="dxa"/>
            <w:gridSpan w:val="2"/>
            <w:tcBorders>
              <w:top w:val="single" w:sz="8" w:space="0" w:color="auto"/>
              <w:left w:val="single" w:sz="8" w:space="0" w:color="auto"/>
              <w:bottom w:val="single" w:sz="8" w:space="0" w:color="auto"/>
              <w:right w:val="single" w:sz="8" w:space="0" w:color="auto"/>
            </w:tcBorders>
            <w:vAlign w:val="center"/>
          </w:tcPr>
          <w:p w:rsidR="007D0CAF" w:rsidRPr="00A26346" w:rsidRDefault="007D0CAF" w:rsidP="007D0CAF">
            <w:pPr>
              <w:jc w:val="center"/>
              <w:rPr>
                <w:sz w:val="20"/>
                <w:szCs w:val="20"/>
              </w:rPr>
            </w:pPr>
            <w:r w:rsidRPr="00A26346">
              <w:rPr>
                <w:sz w:val="20"/>
                <w:szCs w:val="20"/>
              </w:rPr>
              <w:t>153 (83%)</w:t>
            </w:r>
          </w:p>
        </w:tc>
        <w:tc>
          <w:tcPr>
            <w:tcW w:w="1276"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sidRPr="00A26346">
              <w:rPr>
                <w:sz w:val="20"/>
                <w:szCs w:val="20"/>
              </w:rPr>
              <w:t>136 (73%)</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4474" w:type="dxa"/>
            <w:gridSpan w:val="2"/>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vertAlign w:val="superscript"/>
              </w:rPr>
            </w:pPr>
            <w:r w:rsidRPr="00A26346">
              <w:rPr>
                <w:sz w:val="20"/>
                <w:szCs w:val="20"/>
              </w:rPr>
              <w:t>Definite PTCS</w:t>
            </w:r>
            <w:r>
              <w:rPr>
                <w:sz w:val="20"/>
                <w:szCs w:val="20"/>
              </w:rPr>
              <w:t xml:space="preserve">: papilloedema or abducens nerve palsy* &amp; elevation of </w:t>
            </w:r>
            <w:r w:rsidRPr="00A26346">
              <w:rPr>
                <w:sz w:val="20"/>
                <w:szCs w:val="20"/>
              </w:rPr>
              <w:t>CSF pressure</w:t>
            </w:r>
          </w:p>
        </w:tc>
        <w:tc>
          <w:tcPr>
            <w:tcW w:w="1334"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rPr>
                <w:sz w:val="20"/>
                <w:szCs w:val="20"/>
              </w:rPr>
            </w:pPr>
            <w:r>
              <w:rPr>
                <w:sz w:val="20"/>
                <w:szCs w:val="20"/>
              </w:rPr>
              <w:t xml:space="preserve">   </w:t>
            </w:r>
            <w:r w:rsidRPr="00A26346">
              <w:rPr>
                <w:sz w:val="20"/>
                <w:szCs w:val="20"/>
              </w:rPr>
              <w:t>144</w:t>
            </w:r>
            <w:r>
              <w:rPr>
                <w:sz w:val="20"/>
                <w:szCs w:val="20"/>
              </w:rPr>
              <w:t xml:space="preserve"> </w:t>
            </w:r>
            <w:r w:rsidRPr="00A26346">
              <w:rPr>
                <w:sz w:val="20"/>
                <w:szCs w:val="20"/>
              </w:rPr>
              <w:t>(78%)</w:t>
            </w:r>
          </w:p>
        </w:tc>
      </w:tr>
      <w:tr w:rsidR="007D0CAF" w:rsidRPr="00C84714" w:rsidTr="007D0CAF">
        <w:trPr>
          <w:gridAfter w:val="1"/>
          <w:wAfter w:w="8" w:type="dxa"/>
        </w:trPr>
        <w:tc>
          <w:tcPr>
            <w:tcW w:w="4470" w:type="dxa"/>
            <w:gridSpan w:val="2"/>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r>
              <w:rPr>
                <w:sz w:val="20"/>
                <w:szCs w:val="20"/>
              </w:rPr>
              <w:t>Symptoms of raised ICP &amp; elevation of</w:t>
            </w:r>
            <w:r w:rsidRPr="00A26346">
              <w:rPr>
                <w:sz w:val="20"/>
                <w:szCs w:val="20"/>
              </w:rPr>
              <w:t xml:space="preserve"> CSF pressure</w:t>
            </w:r>
            <w:r>
              <w:rPr>
                <w:sz w:val="20"/>
                <w:szCs w:val="20"/>
              </w:rPr>
              <w:t>, n</w:t>
            </w:r>
            <w:r w:rsidRPr="00A26346">
              <w:rPr>
                <w:sz w:val="20"/>
                <w:szCs w:val="20"/>
              </w:rPr>
              <w:t>o papilloedema</w:t>
            </w:r>
          </w:p>
        </w:tc>
        <w:tc>
          <w:tcPr>
            <w:tcW w:w="1275" w:type="dxa"/>
            <w:gridSpan w:val="2"/>
            <w:tcBorders>
              <w:top w:val="single" w:sz="8" w:space="0" w:color="auto"/>
              <w:left w:val="single" w:sz="8" w:space="0" w:color="auto"/>
              <w:bottom w:val="single" w:sz="8" w:space="0" w:color="auto"/>
              <w:right w:val="single" w:sz="8"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20 (11%)</w:t>
            </w:r>
          </w:p>
        </w:tc>
        <w:tc>
          <w:tcPr>
            <w:tcW w:w="1276"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sidRPr="00A26346">
              <w:rPr>
                <w:sz w:val="20"/>
                <w:szCs w:val="20"/>
              </w:rPr>
              <w:t>16 (9%)</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4474" w:type="dxa"/>
            <w:gridSpan w:val="2"/>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r w:rsidRPr="00A26346">
              <w:rPr>
                <w:sz w:val="20"/>
                <w:szCs w:val="20"/>
              </w:rPr>
              <w:t>Probable PTCS</w:t>
            </w:r>
            <w:r>
              <w:rPr>
                <w:sz w:val="20"/>
                <w:szCs w:val="20"/>
              </w:rPr>
              <w:t>: p</w:t>
            </w:r>
            <w:r w:rsidRPr="00A26346">
              <w:rPr>
                <w:sz w:val="20"/>
                <w:szCs w:val="20"/>
              </w:rPr>
              <w:t>apilloedema</w:t>
            </w:r>
            <w:r>
              <w:rPr>
                <w:sz w:val="20"/>
                <w:szCs w:val="20"/>
              </w:rPr>
              <w:t xml:space="preserve">, no </w:t>
            </w:r>
            <w:r w:rsidRPr="00A26346">
              <w:rPr>
                <w:sz w:val="20"/>
                <w:szCs w:val="20"/>
              </w:rPr>
              <w:t>elevat</w:t>
            </w:r>
            <w:r>
              <w:rPr>
                <w:sz w:val="20"/>
                <w:szCs w:val="20"/>
              </w:rPr>
              <w:t>ion of</w:t>
            </w:r>
            <w:r w:rsidRPr="00A26346">
              <w:rPr>
                <w:sz w:val="20"/>
                <w:szCs w:val="20"/>
              </w:rPr>
              <w:t xml:space="preserve"> CSF pressure</w:t>
            </w:r>
          </w:p>
        </w:tc>
        <w:tc>
          <w:tcPr>
            <w:tcW w:w="1334"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22 (12%)</w:t>
            </w:r>
          </w:p>
        </w:tc>
      </w:tr>
      <w:tr w:rsidR="007D0CAF" w:rsidRPr="00C84714" w:rsidTr="007D0CAF">
        <w:trPr>
          <w:gridAfter w:val="1"/>
          <w:wAfter w:w="8" w:type="dxa"/>
        </w:trPr>
        <w:tc>
          <w:tcPr>
            <w:tcW w:w="4470" w:type="dxa"/>
            <w:gridSpan w:val="2"/>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r>
              <w:rPr>
                <w:sz w:val="20"/>
                <w:szCs w:val="20"/>
              </w:rPr>
              <w:t>Papilloedema &amp; elevation of</w:t>
            </w:r>
            <w:r w:rsidRPr="00A26346">
              <w:rPr>
                <w:sz w:val="20"/>
                <w:szCs w:val="20"/>
              </w:rPr>
              <w:t xml:space="preserve"> CSF pressure</w:t>
            </w:r>
            <w:r>
              <w:rPr>
                <w:sz w:val="20"/>
                <w:szCs w:val="20"/>
              </w:rPr>
              <w:t>, n</w:t>
            </w:r>
            <w:r w:rsidRPr="00A26346">
              <w:rPr>
                <w:sz w:val="20"/>
                <w:szCs w:val="20"/>
              </w:rPr>
              <w:t>o symptoms of raised ICP</w:t>
            </w:r>
          </w:p>
        </w:tc>
        <w:tc>
          <w:tcPr>
            <w:tcW w:w="1275" w:type="dxa"/>
            <w:gridSpan w:val="2"/>
            <w:tcBorders>
              <w:top w:val="single" w:sz="8" w:space="0" w:color="auto"/>
              <w:left w:val="single" w:sz="8" w:space="0" w:color="auto"/>
              <w:bottom w:val="single" w:sz="8" w:space="0" w:color="auto"/>
              <w:right w:val="single" w:sz="8"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8 (4%)</w:t>
            </w:r>
          </w:p>
        </w:tc>
        <w:tc>
          <w:tcPr>
            <w:tcW w:w="1276"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7 (4%)</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r>
              <w:rPr>
                <w:sz w:val="20"/>
                <w:szCs w:val="20"/>
              </w:rPr>
              <w:t xml:space="preserve">  </w:t>
            </w:r>
          </w:p>
        </w:tc>
        <w:tc>
          <w:tcPr>
            <w:tcW w:w="4474" w:type="dxa"/>
            <w:gridSpan w:val="2"/>
            <w:vMerge w:val="restart"/>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r>
              <w:rPr>
                <w:sz w:val="20"/>
                <w:szCs w:val="20"/>
              </w:rPr>
              <w:t>Suggestive of PTCS: elevation of CSF pressure, no papilloedema nor abducens nerve palsy. This category was undetermined as neuroimaging data incomplete</w:t>
            </w:r>
          </w:p>
        </w:tc>
        <w:tc>
          <w:tcPr>
            <w:tcW w:w="1334" w:type="dxa"/>
            <w:vMerge w:val="restart"/>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sidRPr="00A26346">
              <w:rPr>
                <w:sz w:val="20"/>
                <w:szCs w:val="20"/>
              </w:rPr>
              <w:t>15 (8%)</w:t>
            </w:r>
          </w:p>
        </w:tc>
      </w:tr>
      <w:tr w:rsidR="007D0CAF" w:rsidRPr="00C84714" w:rsidTr="007D0CAF">
        <w:trPr>
          <w:gridAfter w:val="1"/>
          <w:wAfter w:w="8" w:type="dxa"/>
        </w:trPr>
        <w:tc>
          <w:tcPr>
            <w:tcW w:w="4470" w:type="dxa"/>
            <w:gridSpan w:val="2"/>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r>
              <w:rPr>
                <w:sz w:val="20"/>
                <w:szCs w:val="20"/>
              </w:rPr>
              <w:t>Papilloedema &amp; symptoms of r</w:t>
            </w:r>
            <w:r w:rsidRPr="00A26346">
              <w:rPr>
                <w:sz w:val="20"/>
                <w:szCs w:val="20"/>
              </w:rPr>
              <w:t>aised ICP</w:t>
            </w:r>
            <w:r>
              <w:rPr>
                <w:sz w:val="20"/>
                <w:szCs w:val="20"/>
              </w:rPr>
              <w:t xml:space="preserve">, no </w:t>
            </w:r>
            <w:r w:rsidRPr="00A26346">
              <w:rPr>
                <w:sz w:val="20"/>
                <w:szCs w:val="20"/>
              </w:rPr>
              <w:t>elevat</w:t>
            </w:r>
            <w:r>
              <w:rPr>
                <w:sz w:val="20"/>
                <w:szCs w:val="20"/>
              </w:rPr>
              <w:t>ion of</w:t>
            </w:r>
            <w:r w:rsidRPr="00A26346">
              <w:rPr>
                <w:sz w:val="20"/>
                <w:szCs w:val="20"/>
              </w:rPr>
              <w:t xml:space="preserve"> CSF pressure</w:t>
            </w:r>
          </w:p>
        </w:tc>
        <w:tc>
          <w:tcPr>
            <w:tcW w:w="1275" w:type="dxa"/>
            <w:gridSpan w:val="2"/>
            <w:tcBorders>
              <w:top w:val="single" w:sz="8" w:space="0" w:color="auto"/>
              <w:left w:val="single" w:sz="8" w:space="0" w:color="auto"/>
              <w:bottom w:val="single" w:sz="8" w:space="0" w:color="auto"/>
              <w:right w:val="single" w:sz="8"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4 (2%)</w:t>
            </w:r>
          </w:p>
        </w:tc>
        <w:tc>
          <w:tcPr>
            <w:tcW w:w="1276" w:type="dxa"/>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21 (11%)</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4474" w:type="dxa"/>
            <w:gridSpan w:val="2"/>
            <w:vMerge/>
            <w:tcBorders>
              <w:top w:val="single" w:sz="8" w:space="0" w:color="auto"/>
              <w:left w:val="single" w:sz="12" w:space="0" w:color="auto"/>
              <w:bottom w:val="single" w:sz="8" w:space="0" w:color="auto"/>
              <w:right w:val="single" w:sz="8" w:space="0" w:color="auto"/>
            </w:tcBorders>
            <w:vAlign w:val="center"/>
          </w:tcPr>
          <w:p w:rsidR="007D0CAF" w:rsidRPr="00A26346" w:rsidRDefault="007D0CAF" w:rsidP="007D0CAF">
            <w:pPr>
              <w:rPr>
                <w:sz w:val="20"/>
                <w:szCs w:val="20"/>
              </w:rPr>
            </w:pPr>
          </w:p>
        </w:tc>
        <w:tc>
          <w:tcPr>
            <w:tcW w:w="1334" w:type="dxa"/>
            <w:vMerge/>
            <w:tcBorders>
              <w:top w:val="single" w:sz="8" w:space="0" w:color="auto"/>
              <w:left w:val="single" w:sz="8" w:space="0" w:color="auto"/>
              <w:bottom w:val="single" w:sz="8" w:space="0" w:color="auto"/>
              <w:right w:val="single" w:sz="12" w:space="0" w:color="auto"/>
            </w:tcBorders>
            <w:vAlign w:val="center"/>
          </w:tcPr>
          <w:p w:rsidR="007D0CAF" w:rsidRPr="00A26346" w:rsidRDefault="007D0CAF" w:rsidP="007D0CAF">
            <w:pPr>
              <w:jc w:val="center"/>
              <w:rPr>
                <w:sz w:val="20"/>
                <w:szCs w:val="20"/>
              </w:rPr>
            </w:pPr>
          </w:p>
        </w:tc>
      </w:tr>
      <w:tr w:rsidR="007D0CAF" w:rsidRPr="00C84714" w:rsidTr="007D0CAF">
        <w:trPr>
          <w:gridAfter w:val="1"/>
          <w:wAfter w:w="8" w:type="dxa"/>
        </w:trPr>
        <w:tc>
          <w:tcPr>
            <w:tcW w:w="4470" w:type="dxa"/>
            <w:gridSpan w:val="2"/>
            <w:tcBorders>
              <w:top w:val="single" w:sz="8" w:space="0" w:color="auto"/>
              <w:left w:val="single" w:sz="12" w:space="0" w:color="auto"/>
              <w:bottom w:val="single" w:sz="12" w:space="0" w:color="auto"/>
              <w:right w:val="single" w:sz="8" w:space="0" w:color="auto"/>
            </w:tcBorders>
            <w:vAlign w:val="center"/>
          </w:tcPr>
          <w:p w:rsidR="007D0CAF" w:rsidRPr="00A26346" w:rsidRDefault="007D0CAF" w:rsidP="007D0CAF">
            <w:pPr>
              <w:rPr>
                <w:sz w:val="20"/>
                <w:szCs w:val="20"/>
              </w:rPr>
            </w:pPr>
            <w:r>
              <w:rPr>
                <w:sz w:val="20"/>
                <w:szCs w:val="20"/>
              </w:rPr>
              <w:t>Papilloedema, no sy</w:t>
            </w:r>
            <w:r w:rsidRPr="00A26346">
              <w:rPr>
                <w:sz w:val="20"/>
                <w:szCs w:val="20"/>
              </w:rPr>
              <w:t xml:space="preserve">mptoms of raised ICP </w:t>
            </w:r>
            <w:r>
              <w:rPr>
                <w:sz w:val="20"/>
                <w:szCs w:val="20"/>
              </w:rPr>
              <w:t>nor</w:t>
            </w:r>
            <w:r w:rsidRPr="00A26346">
              <w:rPr>
                <w:sz w:val="20"/>
                <w:szCs w:val="20"/>
              </w:rPr>
              <w:t xml:space="preserve"> elevat</w:t>
            </w:r>
            <w:r>
              <w:rPr>
                <w:sz w:val="20"/>
                <w:szCs w:val="20"/>
              </w:rPr>
              <w:t>ion of</w:t>
            </w:r>
            <w:r w:rsidRPr="00A26346">
              <w:rPr>
                <w:sz w:val="20"/>
                <w:szCs w:val="20"/>
              </w:rPr>
              <w:t xml:space="preserve"> CSF pressure</w:t>
            </w:r>
          </w:p>
        </w:tc>
        <w:tc>
          <w:tcPr>
            <w:tcW w:w="1275" w:type="dxa"/>
            <w:gridSpan w:val="2"/>
            <w:tcBorders>
              <w:top w:val="single" w:sz="8" w:space="0" w:color="auto"/>
              <w:left w:val="single" w:sz="8" w:space="0" w:color="auto"/>
              <w:bottom w:val="single" w:sz="12" w:space="0" w:color="auto"/>
              <w:right w:val="single" w:sz="8" w:space="0" w:color="auto"/>
            </w:tcBorders>
            <w:vAlign w:val="center"/>
          </w:tcPr>
          <w:p w:rsidR="007D0CAF" w:rsidRPr="00A26346" w:rsidRDefault="007D0CAF" w:rsidP="007D0CAF">
            <w:pPr>
              <w:rPr>
                <w:sz w:val="20"/>
                <w:szCs w:val="20"/>
              </w:rPr>
            </w:pPr>
            <w:r w:rsidRPr="00A26346">
              <w:rPr>
                <w:sz w:val="20"/>
                <w:szCs w:val="20"/>
              </w:rPr>
              <w:t xml:space="preserve">         0</w:t>
            </w:r>
          </w:p>
        </w:tc>
        <w:tc>
          <w:tcPr>
            <w:tcW w:w="1276" w:type="dxa"/>
            <w:tcBorders>
              <w:top w:val="single" w:sz="8" w:space="0" w:color="auto"/>
              <w:left w:val="single" w:sz="8" w:space="0" w:color="auto"/>
              <w:bottom w:val="single" w:sz="12" w:space="0" w:color="auto"/>
              <w:right w:val="single" w:sz="12"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5 (3%)</w:t>
            </w:r>
          </w:p>
        </w:tc>
        <w:tc>
          <w:tcPr>
            <w:tcW w:w="708" w:type="dxa"/>
            <w:tcBorders>
              <w:top w:val="nil"/>
              <w:left w:val="single" w:sz="12" w:space="0" w:color="auto"/>
              <w:bottom w:val="nil"/>
              <w:right w:val="single" w:sz="12" w:space="0" w:color="auto"/>
            </w:tcBorders>
          </w:tcPr>
          <w:p w:rsidR="007D0CAF" w:rsidRPr="00A26346" w:rsidRDefault="007D0CAF" w:rsidP="007D0CAF">
            <w:pPr>
              <w:rPr>
                <w:sz w:val="20"/>
                <w:szCs w:val="20"/>
              </w:rPr>
            </w:pPr>
          </w:p>
        </w:tc>
        <w:tc>
          <w:tcPr>
            <w:tcW w:w="4474" w:type="dxa"/>
            <w:gridSpan w:val="2"/>
            <w:tcBorders>
              <w:top w:val="single" w:sz="8" w:space="0" w:color="auto"/>
              <w:left w:val="single" w:sz="12" w:space="0" w:color="auto"/>
              <w:bottom w:val="single" w:sz="12" w:space="0" w:color="auto"/>
              <w:right w:val="single" w:sz="8" w:space="0" w:color="auto"/>
            </w:tcBorders>
            <w:vAlign w:val="center"/>
          </w:tcPr>
          <w:p w:rsidR="007D0CAF" w:rsidRPr="00A26346" w:rsidRDefault="007D0CAF" w:rsidP="007D0CAF">
            <w:pPr>
              <w:rPr>
                <w:sz w:val="20"/>
                <w:szCs w:val="20"/>
              </w:rPr>
            </w:pPr>
            <w:r w:rsidRPr="00A26346">
              <w:rPr>
                <w:sz w:val="20"/>
                <w:szCs w:val="20"/>
              </w:rPr>
              <w:t xml:space="preserve">Not </w:t>
            </w:r>
            <w:r>
              <w:rPr>
                <w:sz w:val="20"/>
                <w:szCs w:val="20"/>
              </w:rPr>
              <w:t>PTCS on revised</w:t>
            </w:r>
            <w:r w:rsidRPr="00A26346">
              <w:rPr>
                <w:sz w:val="20"/>
                <w:szCs w:val="20"/>
              </w:rPr>
              <w:t xml:space="preserve"> criteria</w:t>
            </w:r>
          </w:p>
        </w:tc>
        <w:tc>
          <w:tcPr>
            <w:tcW w:w="1334" w:type="dxa"/>
            <w:tcBorders>
              <w:top w:val="single" w:sz="8" w:space="0" w:color="auto"/>
              <w:left w:val="single" w:sz="8" w:space="0" w:color="auto"/>
              <w:bottom w:val="single" w:sz="12" w:space="0" w:color="auto"/>
              <w:right w:val="single" w:sz="12" w:space="0" w:color="auto"/>
            </w:tcBorders>
            <w:vAlign w:val="center"/>
          </w:tcPr>
          <w:p w:rsidR="007D0CAF" w:rsidRPr="00A26346" w:rsidRDefault="007D0CAF" w:rsidP="007D0CAF">
            <w:pPr>
              <w:jc w:val="center"/>
              <w:rPr>
                <w:sz w:val="20"/>
                <w:szCs w:val="20"/>
              </w:rPr>
            </w:pPr>
            <w:r>
              <w:rPr>
                <w:sz w:val="20"/>
                <w:szCs w:val="20"/>
              </w:rPr>
              <w:t xml:space="preserve"> </w:t>
            </w:r>
            <w:r w:rsidRPr="00A26346">
              <w:rPr>
                <w:sz w:val="20"/>
                <w:szCs w:val="20"/>
              </w:rPr>
              <w:t>4 (2%)</w:t>
            </w:r>
          </w:p>
        </w:tc>
      </w:tr>
      <w:tr w:rsidR="007D0CAF" w:rsidRPr="00C84714" w:rsidTr="007D0CAF">
        <w:trPr>
          <w:gridAfter w:val="1"/>
          <w:wAfter w:w="8" w:type="dxa"/>
          <w:trHeight w:val="558"/>
        </w:trPr>
        <w:tc>
          <w:tcPr>
            <w:tcW w:w="1111" w:type="dxa"/>
            <w:tcBorders>
              <w:top w:val="single" w:sz="12" w:space="0" w:color="auto"/>
              <w:left w:val="nil"/>
              <w:bottom w:val="single" w:sz="12" w:space="0" w:color="auto"/>
              <w:right w:val="nil"/>
            </w:tcBorders>
          </w:tcPr>
          <w:p w:rsidR="007D0CAF" w:rsidRPr="00A26346" w:rsidRDefault="007D0CAF" w:rsidP="007D0CAF">
            <w:pPr>
              <w:rPr>
                <w:sz w:val="20"/>
                <w:szCs w:val="20"/>
              </w:rPr>
            </w:pPr>
          </w:p>
        </w:tc>
        <w:tc>
          <w:tcPr>
            <w:tcW w:w="5910" w:type="dxa"/>
            <w:gridSpan w:val="4"/>
            <w:tcBorders>
              <w:top w:val="single" w:sz="12" w:space="0" w:color="auto"/>
              <w:left w:val="nil"/>
              <w:bottom w:val="single" w:sz="12" w:space="0" w:color="auto"/>
              <w:right w:val="nil"/>
            </w:tcBorders>
          </w:tcPr>
          <w:p w:rsidR="007D0CAF" w:rsidRPr="00A26346" w:rsidRDefault="00E77B9D" w:rsidP="007D0CAF">
            <w:pPr>
              <w:spacing w:before="120" w:after="120"/>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1481455</wp:posOffset>
                      </wp:positionH>
                      <wp:positionV relativeFrom="paragraph">
                        <wp:posOffset>-5080</wp:posOffset>
                      </wp:positionV>
                      <wp:extent cx="214630" cy="342900"/>
                      <wp:effectExtent l="26670" t="13970" r="25400" b="1460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42900"/>
                              </a:xfrm>
                              <a:prstGeom prst="downArrow">
                                <a:avLst>
                                  <a:gd name="adj1" fmla="val 50000"/>
                                  <a:gd name="adj2" fmla="val 399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C891" id="AutoShape 8" o:spid="_x0000_s1026" type="#_x0000_t67" style="position:absolute;margin-left:116.65pt;margin-top:-.4pt;width:16.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">
                      <v:textbox style="layout-flow:vertical-ideographic"/>
                    </v:shape>
                  </w:pict>
                </mc:Fallback>
              </mc:AlternateContent>
            </w:r>
          </w:p>
        </w:tc>
        <w:tc>
          <w:tcPr>
            <w:tcW w:w="708" w:type="dxa"/>
            <w:tcBorders>
              <w:top w:val="nil"/>
              <w:left w:val="nil"/>
              <w:bottom w:val="nil"/>
              <w:right w:val="nil"/>
            </w:tcBorders>
          </w:tcPr>
          <w:p w:rsidR="007D0CAF" w:rsidRPr="00A26346" w:rsidRDefault="007D0CAF" w:rsidP="007D0CAF">
            <w:pPr>
              <w:rPr>
                <w:sz w:val="20"/>
                <w:szCs w:val="20"/>
              </w:rPr>
            </w:pPr>
          </w:p>
        </w:tc>
        <w:tc>
          <w:tcPr>
            <w:tcW w:w="4474" w:type="dxa"/>
            <w:gridSpan w:val="2"/>
            <w:tcBorders>
              <w:top w:val="single" w:sz="12" w:space="0" w:color="auto"/>
              <w:left w:val="nil"/>
              <w:bottom w:val="nil"/>
              <w:right w:val="nil"/>
            </w:tcBorders>
          </w:tcPr>
          <w:p w:rsidR="007D0CAF" w:rsidRPr="00A26346" w:rsidRDefault="007D0CAF" w:rsidP="007D0CAF">
            <w:pPr>
              <w:rPr>
                <w:sz w:val="20"/>
                <w:szCs w:val="20"/>
              </w:rPr>
            </w:pPr>
          </w:p>
        </w:tc>
        <w:tc>
          <w:tcPr>
            <w:tcW w:w="1334" w:type="dxa"/>
            <w:tcBorders>
              <w:top w:val="single" w:sz="12" w:space="0" w:color="auto"/>
              <w:left w:val="nil"/>
              <w:bottom w:val="nil"/>
              <w:right w:val="nil"/>
            </w:tcBorders>
          </w:tcPr>
          <w:p w:rsidR="007D0CAF" w:rsidRPr="00A26346" w:rsidRDefault="007D0CAF" w:rsidP="007D0CAF">
            <w:pPr>
              <w:rPr>
                <w:sz w:val="20"/>
                <w:szCs w:val="20"/>
              </w:rPr>
            </w:pPr>
          </w:p>
        </w:tc>
      </w:tr>
      <w:tr w:rsidR="007D0CAF" w:rsidRPr="00C84714" w:rsidTr="007D0CAF">
        <w:trPr>
          <w:gridAfter w:val="1"/>
          <w:wAfter w:w="8" w:type="dxa"/>
        </w:trPr>
        <w:tc>
          <w:tcPr>
            <w:tcW w:w="7021" w:type="dxa"/>
            <w:gridSpan w:val="5"/>
            <w:tcBorders>
              <w:top w:val="single" w:sz="12" w:space="0" w:color="auto"/>
              <w:left w:val="single" w:sz="12" w:space="0" w:color="auto"/>
              <w:bottom w:val="nil"/>
              <w:right w:val="single" w:sz="12" w:space="0" w:color="auto"/>
            </w:tcBorders>
            <w:vAlign w:val="center"/>
          </w:tcPr>
          <w:p w:rsidR="007D0CAF" w:rsidRPr="00A26346" w:rsidRDefault="007D0CAF" w:rsidP="007D0CAF">
            <w:pPr>
              <w:spacing w:before="40" w:after="40"/>
              <w:jc w:val="center"/>
              <w:rPr>
                <w:sz w:val="20"/>
                <w:szCs w:val="20"/>
              </w:rPr>
            </w:pPr>
            <w:r w:rsidRPr="00A26346">
              <w:rPr>
                <w:b/>
                <w:sz w:val="20"/>
                <w:szCs w:val="20"/>
              </w:rPr>
              <w:t>Follow-up data at 1 year post-diagnosis of PTCS</w:t>
            </w:r>
          </w:p>
        </w:tc>
        <w:tc>
          <w:tcPr>
            <w:tcW w:w="708" w:type="dxa"/>
            <w:tcBorders>
              <w:top w:val="nil"/>
              <w:left w:val="single" w:sz="12" w:space="0" w:color="auto"/>
              <w:bottom w:val="nil"/>
              <w:right w:val="nil"/>
            </w:tcBorders>
          </w:tcPr>
          <w:p w:rsidR="007D0CAF" w:rsidRPr="00A26346" w:rsidRDefault="007D0CAF" w:rsidP="007D0CAF">
            <w:pPr>
              <w:spacing w:before="60" w:after="60"/>
              <w:rPr>
                <w:sz w:val="20"/>
                <w:szCs w:val="20"/>
              </w:rPr>
            </w:pPr>
          </w:p>
        </w:tc>
        <w:tc>
          <w:tcPr>
            <w:tcW w:w="4474" w:type="dxa"/>
            <w:gridSpan w:val="2"/>
            <w:tcBorders>
              <w:top w:val="nil"/>
              <w:left w:val="nil"/>
              <w:bottom w:val="nil"/>
              <w:right w:val="nil"/>
            </w:tcBorders>
          </w:tcPr>
          <w:p w:rsidR="007D0CAF" w:rsidRPr="00A26346" w:rsidRDefault="007D0CAF" w:rsidP="007D0CAF">
            <w:pPr>
              <w:rPr>
                <w:sz w:val="20"/>
                <w:szCs w:val="20"/>
              </w:rPr>
            </w:pPr>
          </w:p>
        </w:tc>
        <w:tc>
          <w:tcPr>
            <w:tcW w:w="1334" w:type="dxa"/>
            <w:tcBorders>
              <w:top w:val="nil"/>
              <w:left w:val="nil"/>
              <w:bottom w:val="nil"/>
              <w:right w:val="nil"/>
            </w:tcBorders>
          </w:tcPr>
          <w:p w:rsidR="007D0CAF" w:rsidRPr="00A26346" w:rsidRDefault="007D0CAF" w:rsidP="007D0CAF">
            <w:pPr>
              <w:rPr>
                <w:sz w:val="20"/>
                <w:szCs w:val="20"/>
              </w:rPr>
            </w:pPr>
          </w:p>
        </w:tc>
      </w:tr>
      <w:tr w:rsidR="007D0CAF" w:rsidRPr="00C84714" w:rsidTr="007D0CAF">
        <w:tc>
          <w:tcPr>
            <w:tcW w:w="4535" w:type="dxa"/>
            <w:gridSpan w:val="3"/>
            <w:tcBorders>
              <w:top w:val="nil"/>
              <w:left w:val="single" w:sz="12" w:space="0" w:color="auto"/>
              <w:bottom w:val="nil"/>
              <w:right w:val="nil"/>
            </w:tcBorders>
          </w:tcPr>
          <w:p w:rsidR="007D0CAF" w:rsidRPr="00A26346" w:rsidRDefault="007D0CAF" w:rsidP="007D0CAF">
            <w:pPr>
              <w:spacing w:before="40" w:after="40"/>
              <w:jc w:val="right"/>
              <w:rPr>
                <w:sz w:val="20"/>
                <w:szCs w:val="20"/>
              </w:rPr>
            </w:pPr>
            <w:r w:rsidRPr="00A26346">
              <w:rPr>
                <w:sz w:val="20"/>
                <w:szCs w:val="20"/>
              </w:rPr>
              <w:t>Confirmed PTCS diagnosis remained valid</w:t>
            </w:r>
          </w:p>
        </w:tc>
        <w:tc>
          <w:tcPr>
            <w:tcW w:w="2486" w:type="dxa"/>
            <w:gridSpan w:val="2"/>
            <w:tcBorders>
              <w:top w:val="nil"/>
              <w:left w:val="nil"/>
              <w:bottom w:val="nil"/>
              <w:right w:val="single" w:sz="12" w:space="0" w:color="auto"/>
            </w:tcBorders>
          </w:tcPr>
          <w:p w:rsidR="007D0CAF" w:rsidRPr="00A26346" w:rsidRDefault="007D0CAF" w:rsidP="007D0CAF">
            <w:pPr>
              <w:spacing w:before="40" w:after="40"/>
              <w:rPr>
                <w:sz w:val="20"/>
                <w:szCs w:val="20"/>
              </w:rPr>
            </w:pPr>
            <w:r w:rsidRPr="00A26346">
              <w:rPr>
                <w:sz w:val="20"/>
                <w:szCs w:val="20"/>
              </w:rPr>
              <w:t>163 (88%)</w:t>
            </w:r>
          </w:p>
        </w:tc>
        <w:tc>
          <w:tcPr>
            <w:tcW w:w="708" w:type="dxa"/>
            <w:tcBorders>
              <w:top w:val="nil"/>
              <w:left w:val="single" w:sz="12" w:space="0" w:color="auto"/>
              <w:bottom w:val="nil"/>
              <w:right w:val="nil"/>
            </w:tcBorders>
          </w:tcPr>
          <w:p w:rsidR="007D0CAF" w:rsidRPr="00A26346" w:rsidRDefault="007D0CAF" w:rsidP="007D0CAF">
            <w:pPr>
              <w:spacing w:before="60" w:after="60"/>
              <w:rPr>
                <w:sz w:val="20"/>
                <w:szCs w:val="20"/>
              </w:rPr>
            </w:pPr>
          </w:p>
        </w:tc>
        <w:tc>
          <w:tcPr>
            <w:tcW w:w="4474" w:type="dxa"/>
            <w:gridSpan w:val="2"/>
            <w:tcBorders>
              <w:top w:val="nil"/>
              <w:left w:val="nil"/>
              <w:bottom w:val="nil"/>
              <w:right w:val="nil"/>
            </w:tcBorders>
          </w:tcPr>
          <w:p w:rsidR="007D0CAF" w:rsidRPr="00A26346" w:rsidRDefault="007D0CAF" w:rsidP="007D0CAF">
            <w:pPr>
              <w:rPr>
                <w:sz w:val="20"/>
                <w:szCs w:val="20"/>
              </w:rPr>
            </w:pPr>
          </w:p>
        </w:tc>
        <w:tc>
          <w:tcPr>
            <w:tcW w:w="1342" w:type="dxa"/>
            <w:gridSpan w:val="2"/>
            <w:tcBorders>
              <w:top w:val="nil"/>
              <w:left w:val="nil"/>
              <w:bottom w:val="nil"/>
              <w:right w:val="nil"/>
            </w:tcBorders>
          </w:tcPr>
          <w:p w:rsidR="007D0CAF" w:rsidRPr="00A26346" w:rsidRDefault="007D0CAF" w:rsidP="007D0CAF">
            <w:pPr>
              <w:rPr>
                <w:sz w:val="20"/>
                <w:szCs w:val="20"/>
              </w:rPr>
            </w:pPr>
          </w:p>
        </w:tc>
      </w:tr>
      <w:tr w:rsidR="007D0CAF" w:rsidRPr="00C84714" w:rsidTr="007D0CAF">
        <w:tc>
          <w:tcPr>
            <w:tcW w:w="4535" w:type="dxa"/>
            <w:gridSpan w:val="3"/>
            <w:tcBorders>
              <w:top w:val="nil"/>
              <w:left w:val="single" w:sz="12" w:space="0" w:color="auto"/>
              <w:bottom w:val="nil"/>
              <w:right w:val="nil"/>
            </w:tcBorders>
          </w:tcPr>
          <w:p w:rsidR="007D0CAF" w:rsidRPr="00A26346" w:rsidRDefault="007D0CAF" w:rsidP="007D0CAF">
            <w:pPr>
              <w:spacing w:before="40" w:after="40"/>
              <w:jc w:val="right"/>
              <w:rPr>
                <w:sz w:val="20"/>
                <w:szCs w:val="20"/>
              </w:rPr>
            </w:pPr>
            <w:r>
              <w:rPr>
                <w:sz w:val="20"/>
                <w:szCs w:val="20"/>
              </w:rPr>
              <w:t>Reported lost to follow-</w:t>
            </w:r>
            <w:r w:rsidRPr="00A26346">
              <w:rPr>
                <w:sz w:val="20"/>
                <w:szCs w:val="20"/>
              </w:rPr>
              <w:t>up</w:t>
            </w:r>
          </w:p>
        </w:tc>
        <w:tc>
          <w:tcPr>
            <w:tcW w:w="2486" w:type="dxa"/>
            <w:gridSpan w:val="2"/>
            <w:tcBorders>
              <w:top w:val="nil"/>
              <w:left w:val="nil"/>
              <w:bottom w:val="nil"/>
              <w:right w:val="single" w:sz="12" w:space="0" w:color="auto"/>
            </w:tcBorders>
          </w:tcPr>
          <w:p w:rsidR="007D0CAF" w:rsidRPr="00A26346" w:rsidRDefault="007D0CAF" w:rsidP="007D0CAF">
            <w:pPr>
              <w:spacing w:before="40" w:after="40"/>
              <w:rPr>
                <w:sz w:val="20"/>
                <w:szCs w:val="20"/>
              </w:rPr>
            </w:pPr>
            <w:r>
              <w:rPr>
                <w:sz w:val="20"/>
                <w:szCs w:val="20"/>
              </w:rPr>
              <w:t xml:space="preserve">     8 </w:t>
            </w:r>
            <w:r w:rsidRPr="00A26346">
              <w:rPr>
                <w:sz w:val="20"/>
                <w:szCs w:val="20"/>
              </w:rPr>
              <w:t>(4%)</w:t>
            </w:r>
          </w:p>
        </w:tc>
        <w:tc>
          <w:tcPr>
            <w:tcW w:w="708" w:type="dxa"/>
            <w:tcBorders>
              <w:top w:val="nil"/>
              <w:left w:val="single" w:sz="12" w:space="0" w:color="auto"/>
              <w:bottom w:val="nil"/>
              <w:right w:val="nil"/>
            </w:tcBorders>
          </w:tcPr>
          <w:p w:rsidR="007D0CAF" w:rsidRPr="00A26346" w:rsidRDefault="007D0CAF" w:rsidP="007D0CAF">
            <w:pPr>
              <w:spacing w:before="60" w:after="60"/>
              <w:rPr>
                <w:sz w:val="20"/>
                <w:szCs w:val="20"/>
              </w:rPr>
            </w:pPr>
          </w:p>
        </w:tc>
        <w:tc>
          <w:tcPr>
            <w:tcW w:w="4474" w:type="dxa"/>
            <w:gridSpan w:val="2"/>
            <w:tcBorders>
              <w:top w:val="nil"/>
              <w:left w:val="nil"/>
              <w:bottom w:val="nil"/>
              <w:right w:val="nil"/>
            </w:tcBorders>
          </w:tcPr>
          <w:p w:rsidR="007D0CAF" w:rsidRPr="00A26346" w:rsidRDefault="007D0CAF" w:rsidP="007D0CAF">
            <w:pPr>
              <w:rPr>
                <w:sz w:val="20"/>
                <w:szCs w:val="20"/>
              </w:rPr>
            </w:pPr>
          </w:p>
        </w:tc>
        <w:tc>
          <w:tcPr>
            <w:tcW w:w="1342" w:type="dxa"/>
            <w:gridSpan w:val="2"/>
            <w:tcBorders>
              <w:top w:val="nil"/>
              <w:left w:val="nil"/>
              <w:bottom w:val="nil"/>
              <w:right w:val="nil"/>
            </w:tcBorders>
          </w:tcPr>
          <w:p w:rsidR="007D0CAF" w:rsidRPr="00A26346" w:rsidRDefault="007D0CAF" w:rsidP="007D0CAF">
            <w:pPr>
              <w:rPr>
                <w:sz w:val="20"/>
                <w:szCs w:val="20"/>
              </w:rPr>
            </w:pPr>
          </w:p>
        </w:tc>
      </w:tr>
      <w:tr w:rsidR="007D0CAF" w:rsidRPr="00C84714" w:rsidTr="007D0CAF">
        <w:tc>
          <w:tcPr>
            <w:tcW w:w="4535" w:type="dxa"/>
            <w:gridSpan w:val="3"/>
            <w:tcBorders>
              <w:top w:val="nil"/>
              <w:left w:val="single" w:sz="12" w:space="0" w:color="auto"/>
              <w:bottom w:val="single" w:sz="12" w:space="0" w:color="auto"/>
              <w:right w:val="nil"/>
            </w:tcBorders>
          </w:tcPr>
          <w:p w:rsidR="007D0CAF" w:rsidRPr="00A26346" w:rsidRDefault="007D0CAF" w:rsidP="007D0CAF">
            <w:pPr>
              <w:spacing w:before="40" w:after="40"/>
              <w:jc w:val="right"/>
              <w:rPr>
                <w:sz w:val="20"/>
                <w:szCs w:val="20"/>
              </w:rPr>
            </w:pPr>
            <w:r w:rsidRPr="00A26346">
              <w:rPr>
                <w:sz w:val="20"/>
                <w:szCs w:val="20"/>
              </w:rPr>
              <w:t>No information available</w:t>
            </w:r>
          </w:p>
        </w:tc>
        <w:tc>
          <w:tcPr>
            <w:tcW w:w="2486" w:type="dxa"/>
            <w:gridSpan w:val="2"/>
            <w:tcBorders>
              <w:top w:val="nil"/>
              <w:left w:val="nil"/>
              <w:bottom w:val="single" w:sz="12" w:space="0" w:color="auto"/>
              <w:right w:val="single" w:sz="12" w:space="0" w:color="auto"/>
            </w:tcBorders>
          </w:tcPr>
          <w:p w:rsidR="007D0CAF" w:rsidRPr="00A26346" w:rsidRDefault="007D0CAF" w:rsidP="007D0CAF">
            <w:pPr>
              <w:spacing w:before="40" w:after="40"/>
              <w:rPr>
                <w:sz w:val="20"/>
                <w:szCs w:val="20"/>
              </w:rPr>
            </w:pPr>
            <w:r w:rsidRPr="00A26346">
              <w:rPr>
                <w:sz w:val="20"/>
                <w:szCs w:val="20"/>
              </w:rPr>
              <w:t xml:space="preserve">   14 (8%)</w:t>
            </w:r>
          </w:p>
        </w:tc>
        <w:tc>
          <w:tcPr>
            <w:tcW w:w="708" w:type="dxa"/>
            <w:tcBorders>
              <w:top w:val="nil"/>
              <w:left w:val="single" w:sz="12" w:space="0" w:color="auto"/>
              <w:bottom w:val="nil"/>
              <w:right w:val="nil"/>
            </w:tcBorders>
          </w:tcPr>
          <w:p w:rsidR="007D0CAF" w:rsidRPr="00A26346" w:rsidRDefault="007D0CAF" w:rsidP="007D0CAF">
            <w:pPr>
              <w:spacing w:before="60" w:after="60"/>
              <w:rPr>
                <w:sz w:val="20"/>
                <w:szCs w:val="20"/>
              </w:rPr>
            </w:pPr>
          </w:p>
        </w:tc>
        <w:tc>
          <w:tcPr>
            <w:tcW w:w="4474" w:type="dxa"/>
            <w:gridSpan w:val="2"/>
            <w:tcBorders>
              <w:top w:val="nil"/>
              <w:left w:val="nil"/>
              <w:bottom w:val="nil"/>
              <w:right w:val="nil"/>
            </w:tcBorders>
          </w:tcPr>
          <w:p w:rsidR="007D0CAF" w:rsidRPr="00A26346" w:rsidRDefault="007D0CAF" w:rsidP="007D0CAF">
            <w:pPr>
              <w:rPr>
                <w:sz w:val="20"/>
                <w:szCs w:val="20"/>
              </w:rPr>
            </w:pPr>
          </w:p>
        </w:tc>
        <w:tc>
          <w:tcPr>
            <w:tcW w:w="1342" w:type="dxa"/>
            <w:gridSpan w:val="2"/>
            <w:tcBorders>
              <w:top w:val="nil"/>
              <w:left w:val="nil"/>
              <w:bottom w:val="nil"/>
              <w:right w:val="nil"/>
            </w:tcBorders>
          </w:tcPr>
          <w:p w:rsidR="007D0CAF" w:rsidRPr="00A26346" w:rsidRDefault="007D0CAF" w:rsidP="007D0CAF">
            <w:pPr>
              <w:rPr>
                <w:sz w:val="20"/>
                <w:szCs w:val="20"/>
              </w:rPr>
            </w:pPr>
          </w:p>
        </w:tc>
      </w:tr>
    </w:tbl>
    <w:p w:rsidR="007D0CAF" w:rsidRDefault="007D0CAF" w:rsidP="007D0CAF"/>
    <w:p w:rsidR="007D0CAF" w:rsidRDefault="007D0CAF" w:rsidP="007D0CAF">
      <w:pPr>
        <w:autoSpaceDE w:val="0"/>
        <w:autoSpaceDN w:val="0"/>
        <w:adjustRightInd w:val="0"/>
        <w:jc w:val="center"/>
        <w:rPr>
          <w:sz w:val="22"/>
          <w:szCs w:val="22"/>
        </w:rPr>
      </w:pPr>
    </w:p>
    <w:p w:rsidR="007D0CAF" w:rsidRDefault="007D0CAF">
      <w:pPr>
        <w:rPr>
          <w:b/>
          <w:bCs/>
          <w:caps/>
        </w:rPr>
      </w:pPr>
    </w:p>
    <w:p w:rsidR="007D0CAF" w:rsidRDefault="007D0CAF">
      <w:pPr>
        <w:rPr>
          <w:b/>
          <w:bCs/>
          <w:caps/>
        </w:rPr>
      </w:pPr>
      <w:r>
        <w:rPr>
          <w:b/>
          <w:bCs/>
          <w:caps/>
        </w:rPr>
        <w:br w:type="page"/>
      </w:r>
    </w:p>
    <w:p w:rsidR="007D0CAF" w:rsidRDefault="007D0CAF" w:rsidP="007D0CAF">
      <w:pPr>
        <w:autoSpaceDE w:val="0"/>
        <w:autoSpaceDN w:val="0"/>
        <w:adjustRightInd w:val="0"/>
        <w:ind w:left="5760" w:firstLine="720"/>
        <w:rPr>
          <w:b/>
        </w:rPr>
      </w:pPr>
      <w:r>
        <w:rPr>
          <w:b/>
        </w:rPr>
        <w:lastRenderedPageBreak/>
        <w:t>Figure 2</w:t>
      </w:r>
    </w:p>
    <w:p w:rsidR="007D0CAF" w:rsidRPr="00BB5FA8" w:rsidRDefault="007D0CAF" w:rsidP="007D4FBE">
      <w:pPr>
        <w:autoSpaceDE w:val="0"/>
        <w:autoSpaceDN w:val="0"/>
        <w:adjustRightInd w:val="0"/>
        <w:rPr>
          <w:b/>
        </w:rPr>
      </w:pPr>
    </w:p>
    <w:p w:rsidR="007D0CAF" w:rsidRDefault="007D0CAF" w:rsidP="007D0CAF">
      <w:pPr>
        <w:rPr>
          <w:b/>
          <w:bCs/>
          <w:caps/>
        </w:rPr>
      </w:pPr>
      <w:r>
        <w:rPr>
          <w:noProof/>
          <w:sz w:val="22"/>
          <w:szCs w:val="22"/>
        </w:rPr>
        <w:drawing>
          <wp:inline distT="0" distB="0" distL="0" distR="0">
            <wp:extent cx="9250238" cy="3198900"/>
            <wp:effectExtent l="19050" t="0" r="806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250710" cy="3199063"/>
                    </a:xfrm>
                    <a:prstGeom prst="rect">
                      <a:avLst/>
                    </a:prstGeom>
                    <a:noFill/>
                    <a:ln w="9525">
                      <a:noFill/>
                      <a:miter lim="800000"/>
                      <a:headEnd/>
                      <a:tailEnd/>
                    </a:ln>
                  </pic:spPr>
                </pic:pic>
              </a:graphicData>
            </a:graphic>
          </wp:inline>
        </w:drawing>
      </w:r>
    </w:p>
    <w:p w:rsidR="007D4FBE" w:rsidRDefault="007D4FBE" w:rsidP="007D0CAF">
      <w:pPr>
        <w:autoSpaceDE w:val="0"/>
        <w:autoSpaceDN w:val="0"/>
        <w:adjustRightInd w:val="0"/>
        <w:ind w:left="5760" w:firstLine="720"/>
        <w:rPr>
          <w:b/>
          <w:bCs/>
          <w:caps/>
        </w:rPr>
      </w:pPr>
    </w:p>
    <w:p w:rsidR="007D4FBE" w:rsidRDefault="007D4FBE" w:rsidP="007D0CAF">
      <w:pPr>
        <w:autoSpaceDE w:val="0"/>
        <w:autoSpaceDN w:val="0"/>
        <w:adjustRightInd w:val="0"/>
        <w:ind w:left="5760" w:firstLine="720"/>
        <w:rPr>
          <w:b/>
          <w:bCs/>
          <w:caps/>
        </w:rPr>
      </w:pPr>
    </w:p>
    <w:p w:rsidR="007D4FBE" w:rsidRDefault="007D4FBE" w:rsidP="007D4FBE">
      <w:pPr>
        <w:tabs>
          <w:tab w:val="left" w:pos="964"/>
        </w:tabs>
        <w:rPr>
          <w:b/>
          <w:bCs/>
          <w:sz w:val="20"/>
          <w:szCs w:val="20"/>
        </w:rPr>
      </w:pPr>
    </w:p>
    <w:p w:rsidR="007D0CAF" w:rsidRDefault="007D0CAF" w:rsidP="007D0CAF">
      <w:pPr>
        <w:autoSpaceDE w:val="0"/>
        <w:autoSpaceDN w:val="0"/>
        <w:adjustRightInd w:val="0"/>
        <w:ind w:left="5760" w:firstLine="720"/>
        <w:rPr>
          <w:b/>
        </w:rPr>
      </w:pPr>
      <w:r>
        <w:rPr>
          <w:b/>
          <w:bCs/>
          <w:caps/>
        </w:rPr>
        <w:br w:type="page"/>
      </w:r>
      <w:r>
        <w:rPr>
          <w:b/>
        </w:rPr>
        <w:lastRenderedPageBreak/>
        <w:t xml:space="preserve">Figure 3 </w:t>
      </w:r>
    </w:p>
    <w:p w:rsidR="007D0CAF" w:rsidRDefault="007D0CAF" w:rsidP="007D0CAF">
      <w:pPr>
        <w:rPr>
          <w:b/>
        </w:rPr>
      </w:pPr>
      <w:r>
        <w:rPr>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gridCol w:w="1287"/>
        <w:gridCol w:w="1276"/>
      </w:tblGrid>
      <w:tr w:rsidR="00D70D0B" w:rsidTr="00190DCB">
        <w:trPr>
          <w:trHeight w:val="301"/>
          <w:jc w:val="center"/>
        </w:trPr>
        <w:tc>
          <w:tcPr>
            <w:tcW w:w="9622" w:type="dxa"/>
            <w:vMerge w:val="restart"/>
            <w:shd w:val="clear" w:color="auto" w:fill="auto"/>
          </w:tcPr>
          <w:p w:rsidR="00D70D0B" w:rsidRDefault="00D70D0B" w:rsidP="00C0222C">
            <w:r>
              <w:object w:dxaOrig="10200" w:dyaOrig="3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pt;height:183.95pt" o:ole="">
                  <v:imagedata r:id="rId14" o:title=""/>
                </v:shape>
                <o:OLEObject Type="Embed" ProgID="PBrush" ShapeID="_x0000_i1025" DrawAspect="Content" ObjectID="_1545986205" r:id="rId15"/>
              </w:object>
            </w:r>
          </w:p>
        </w:tc>
        <w:tc>
          <w:tcPr>
            <w:tcW w:w="1287" w:type="dxa"/>
            <w:shd w:val="clear" w:color="auto" w:fill="auto"/>
            <w:vAlign w:val="center"/>
          </w:tcPr>
          <w:p w:rsidR="00D70D0B" w:rsidRPr="00311458" w:rsidRDefault="00D70D0B" w:rsidP="00C0222C">
            <w:pPr>
              <w:autoSpaceDE w:val="0"/>
              <w:autoSpaceDN w:val="0"/>
              <w:adjustRightInd w:val="0"/>
              <w:spacing w:before="120" w:after="120"/>
              <w:jc w:val="center"/>
              <w:rPr>
                <w:b/>
                <w:sz w:val="20"/>
                <w:szCs w:val="20"/>
                <w:vertAlign w:val="superscript"/>
              </w:rPr>
            </w:pPr>
            <w:r w:rsidRPr="00311458">
              <w:rPr>
                <w:b/>
                <w:sz w:val="20"/>
                <w:szCs w:val="20"/>
              </w:rPr>
              <w:t>PAR</w:t>
            </w:r>
            <w:r>
              <w:rPr>
                <w:b/>
                <w:sz w:val="20"/>
                <w:szCs w:val="20"/>
                <w:vertAlign w:val="superscript"/>
              </w:rPr>
              <w:t>1</w:t>
            </w:r>
          </w:p>
        </w:tc>
        <w:tc>
          <w:tcPr>
            <w:tcW w:w="1276" w:type="dxa"/>
            <w:shd w:val="clear" w:color="auto" w:fill="auto"/>
            <w:vAlign w:val="center"/>
          </w:tcPr>
          <w:p w:rsidR="00D70D0B" w:rsidRPr="00311458" w:rsidRDefault="00D70D0B" w:rsidP="00C0222C">
            <w:pPr>
              <w:autoSpaceDE w:val="0"/>
              <w:autoSpaceDN w:val="0"/>
              <w:adjustRightInd w:val="0"/>
              <w:spacing w:before="120" w:after="120"/>
              <w:jc w:val="center"/>
              <w:rPr>
                <w:b/>
                <w:sz w:val="20"/>
                <w:szCs w:val="20"/>
              </w:rPr>
            </w:pPr>
            <w:r w:rsidRPr="00311458">
              <w:rPr>
                <w:b/>
                <w:sz w:val="20"/>
                <w:szCs w:val="20"/>
              </w:rPr>
              <w:t>%PAR</w:t>
            </w:r>
            <w:r>
              <w:rPr>
                <w:b/>
                <w:sz w:val="20"/>
                <w:szCs w:val="20"/>
                <w:vertAlign w:val="superscript"/>
              </w:rPr>
              <w:t>1</w:t>
            </w:r>
          </w:p>
        </w:tc>
      </w:tr>
      <w:tr w:rsidR="00D70D0B" w:rsidTr="00190DCB">
        <w:trPr>
          <w:trHeight w:val="3236"/>
          <w:jc w:val="center"/>
        </w:trPr>
        <w:tc>
          <w:tcPr>
            <w:tcW w:w="9622" w:type="dxa"/>
            <w:vMerge/>
            <w:tcBorders>
              <w:bottom w:val="single" w:sz="4" w:space="0" w:color="auto"/>
            </w:tcBorders>
            <w:shd w:val="clear" w:color="auto" w:fill="auto"/>
          </w:tcPr>
          <w:p w:rsidR="00D70D0B" w:rsidRDefault="00D70D0B" w:rsidP="00C0222C"/>
        </w:tc>
        <w:tc>
          <w:tcPr>
            <w:tcW w:w="1287" w:type="dxa"/>
            <w:tcBorders>
              <w:bottom w:val="single" w:sz="4" w:space="0" w:color="auto"/>
            </w:tcBorders>
            <w:shd w:val="clear" w:color="auto" w:fill="auto"/>
          </w:tcPr>
          <w:p w:rsidR="00D70D0B" w:rsidRPr="00B0555F" w:rsidRDefault="00840797" w:rsidP="00D70D0B">
            <w:pPr>
              <w:autoSpaceDE w:val="0"/>
              <w:autoSpaceDN w:val="0"/>
              <w:adjustRightInd w:val="0"/>
              <w:spacing w:before="80" w:after="60"/>
              <w:jc w:val="center"/>
              <w:rPr>
                <w:b/>
                <w:sz w:val="20"/>
                <w:szCs w:val="20"/>
              </w:rPr>
            </w:pPr>
            <w:r>
              <w:rPr>
                <w:b/>
                <w:sz w:val="20"/>
                <w:szCs w:val="20"/>
              </w:rPr>
              <w:t>1.</w:t>
            </w:r>
            <w:r w:rsidR="00D70D0B" w:rsidRPr="00B0555F">
              <w:rPr>
                <w:b/>
                <w:sz w:val="20"/>
                <w:szCs w:val="20"/>
              </w:rPr>
              <w:t>88</w:t>
            </w:r>
            <w:r w:rsidR="00D70D0B">
              <w:rPr>
                <w:b/>
                <w:sz w:val="20"/>
                <w:szCs w:val="20"/>
              </w:rPr>
              <w:t>*</w:t>
            </w:r>
          </w:p>
          <w:p w:rsidR="00D70D0B" w:rsidRPr="00B0555F" w:rsidRDefault="00840797" w:rsidP="00D70D0B">
            <w:pPr>
              <w:autoSpaceDE w:val="0"/>
              <w:autoSpaceDN w:val="0"/>
              <w:adjustRightInd w:val="0"/>
              <w:spacing w:before="140" w:after="60"/>
              <w:jc w:val="center"/>
              <w:rPr>
                <w:b/>
                <w:sz w:val="20"/>
                <w:szCs w:val="20"/>
              </w:rPr>
            </w:pPr>
            <w:r>
              <w:rPr>
                <w:b/>
                <w:sz w:val="20"/>
                <w:szCs w:val="20"/>
              </w:rPr>
              <w:t>0.</w:t>
            </w:r>
            <w:r w:rsidR="00D70D0B" w:rsidRPr="00B0555F">
              <w:rPr>
                <w:b/>
                <w:sz w:val="20"/>
                <w:szCs w:val="20"/>
              </w:rPr>
              <w:t>87</w:t>
            </w:r>
            <w:r w:rsidR="00D70D0B">
              <w:rPr>
                <w:b/>
                <w:sz w:val="20"/>
                <w:szCs w:val="20"/>
              </w:rPr>
              <w:t>*</w:t>
            </w:r>
          </w:p>
          <w:p w:rsidR="00D70D0B" w:rsidRPr="00B0555F" w:rsidRDefault="00D70D0B" w:rsidP="00D70D0B">
            <w:pPr>
              <w:autoSpaceDE w:val="0"/>
              <w:autoSpaceDN w:val="0"/>
              <w:adjustRightInd w:val="0"/>
              <w:spacing w:before="120" w:after="60"/>
              <w:jc w:val="center"/>
              <w:rPr>
                <w:b/>
                <w:sz w:val="20"/>
                <w:szCs w:val="20"/>
              </w:rPr>
            </w:pPr>
            <w:r w:rsidRPr="00B0555F">
              <w:rPr>
                <w:b/>
                <w:sz w:val="20"/>
                <w:szCs w:val="20"/>
              </w:rPr>
              <w:t>0</w:t>
            </w:r>
            <w:r w:rsidR="00840797">
              <w:rPr>
                <w:b/>
                <w:sz w:val="20"/>
                <w:szCs w:val="20"/>
              </w:rPr>
              <w:t>.</w:t>
            </w:r>
            <w:r w:rsidRPr="00B0555F">
              <w:rPr>
                <w:b/>
                <w:sz w:val="20"/>
                <w:szCs w:val="20"/>
              </w:rPr>
              <w:t>55</w:t>
            </w:r>
            <w:r>
              <w:rPr>
                <w:b/>
                <w:sz w:val="20"/>
                <w:szCs w:val="20"/>
              </w:rPr>
              <w:t>*</w:t>
            </w:r>
          </w:p>
          <w:p w:rsidR="00D70D0B" w:rsidRPr="00B0555F" w:rsidRDefault="00D70D0B" w:rsidP="00D70D0B">
            <w:pPr>
              <w:autoSpaceDE w:val="0"/>
              <w:autoSpaceDN w:val="0"/>
              <w:adjustRightInd w:val="0"/>
              <w:spacing w:before="140" w:after="60"/>
              <w:jc w:val="center"/>
              <w:rPr>
                <w:b/>
                <w:sz w:val="20"/>
                <w:szCs w:val="20"/>
              </w:rPr>
            </w:pPr>
            <w:r w:rsidRPr="00B0555F">
              <w:rPr>
                <w:b/>
                <w:sz w:val="20"/>
                <w:szCs w:val="20"/>
              </w:rPr>
              <w:t>0</w:t>
            </w:r>
            <w:r w:rsidR="00840797">
              <w:rPr>
                <w:b/>
                <w:sz w:val="20"/>
                <w:szCs w:val="20"/>
              </w:rPr>
              <w:t>.</w:t>
            </w:r>
            <w:r w:rsidRPr="00B0555F">
              <w:rPr>
                <w:b/>
                <w:sz w:val="20"/>
                <w:szCs w:val="20"/>
              </w:rPr>
              <w:t>20</w:t>
            </w:r>
            <w:r>
              <w:rPr>
                <w:b/>
                <w:sz w:val="20"/>
                <w:szCs w:val="20"/>
              </w:rPr>
              <w:t>*</w:t>
            </w:r>
          </w:p>
          <w:p w:rsidR="00D70D0B" w:rsidRPr="00B0555F" w:rsidRDefault="00840797" w:rsidP="00D70D0B">
            <w:pPr>
              <w:autoSpaceDE w:val="0"/>
              <w:autoSpaceDN w:val="0"/>
              <w:adjustRightInd w:val="0"/>
              <w:spacing w:before="120" w:after="60"/>
              <w:rPr>
                <w:sz w:val="20"/>
                <w:szCs w:val="20"/>
              </w:rPr>
            </w:pPr>
            <w:r>
              <w:rPr>
                <w:sz w:val="20"/>
                <w:szCs w:val="20"/>
              </w:rPr>
              <w:t xml:space="preserve">        </w:t>
            </w:r>
            <w:r w:rsidR="00D70D0B" w:rsidRPr="00B0555F">
              <w:rPr>
                <w:sz w:val="20"/>
                <w:szCs w:val="20"/>
              </w:rPr>
              <w:t>0</w:t>
            </w:r>
            <w:r>
              <w:rPr>
                <w:sz w:val="20"/>
                <w:szCs w:val="20"/>
              </w:rPr>
              <w:t>.</w:t>
            </w:r>
            <w:r w:rsidR="00D70D0B" w:rsidRPr="00B0555F">
              <w:rPr>
                <w:sz w:val="20"/>
                <w:szCs w:val="20"/>
              </w:rPr>
              <w:t>06</w:t>
            </w:r>
          </w:p>
          <w:p w:rsidR="00D70D0B" w:rsidRPr="00B0555F" w:rsidRDefault="00D70D0B" w:rsidP="00D70D0B">
            <w:pPr>
              <w:autoSpaceDE w:val="0"/>
              <w:autoSpaceDN w:val="0"/>
              <w:adjustRightInd w:val="0"/>
              <w:spacing w:before="140" w:after="60"/>
              <w:rPr>
                <w:sz w:val="20"/>
                <w:szCs w:val="20"/>
              </w:rPr>
            </w:pPr>
            <w:r>
              <w:rPr>
                <w:sz w:val="20"/>
                <w:szCs w:val="20"/>
              </w:rPr>
              <w:t xml:space="preserve">        </w:t>
            </w:r>
            <w:r w:rsidRPr="00B0555F">
              <w:rPr>
                <w:sz w:val="20"/>
                <w:szCs w:val="20"/>
              </w:rPr>
              <w:t>0</w:t>
            </w:r>
            <w:r w:rsidR="00840797">
              <w:rPr>
                <w:b/>
                <w:sz w:val="20"/>
                <w:szCs w:val="20"/>
              </w:rPr>
              <w:t>.</w:t>
            </w:r>
            <w:r w:rsidRPr="00B0555F">
              <w:rPr>
                <w:sz w:val="20"/>
                <w:szCs w:val="20"/>
              </w:rPr>
              <w:t>04</w:t>
            </w:r>
          </w:p>
          <w:p w:rsidR="00D70D0B" w:rsidRPr="00B0555F" w:rsidRDefault="00D70D0B" w:rsidP="00C0222C">
            <w:pPr>
              <w:autoSpaceDE w:val="0"/>
              <w:autoSpaceDN w:val="0"/>
              <w:adjustRightInd w:val="0"/>
              <w:spacing w:before="80" w:after="60"/>
              <w:jc w:val="center"/>
            </w:pPr>
          </w:p>
        </w:tc>
        <w:tc>
          <w:tcPr>
            <w:tcW w:w="1276" w:type="dxa"/>
            <w:tcBorders>
              <w:bottom w:val="single" w:sz="4" w:space="0" w:color="auto"/>
            </w:tcBorders>
            <w:shd w:val="clear" w:color="auto" w:fill="auto"/>
          </w:tcPr>
          <w:p w:rsidR="00D70D0B" w:rsidRPr="00B0555F" w:rsidRDefault="00D70D0B" w:rsidP="00D70D0B">
            <w:pPr>
              <w:autoSpaceDE w:val="0"/>
              <w:autoSpaceDN w:val="0"/>
              <w:adjustRightInd w:val="0"/>
              <w:spacing w:before="80" w:after="60"/>
              <w:jc w:val="center"/>
              <w:rPr>
                <w:b/>
                <w:sz w:val="20"/>
                <w:szCs w:val="20"/>
              </w:rPr>
            </w:pPr>
            <w:r w:rsidRPr="00B0555F">
              <w:rPr>
                <w:b/>
                <w:sz w:val="20"/>
                <w:szCs w:val="20"/>
              </w:rPr>
              <w:t>82%</w:t>
            </w:r>
          </w:p>
          <w:p w:rsidR="00D70D0B" w:rsidRPr="00B0555F" w:rsidRDefault="00D70D0B" w:rsidP="00D70D0B">
            <w:pPr>
              <w:tabs>
                <w:tab w:val="left" w:pos="330"/>
                <w:tab w:val="center" w:pos="643"/>
              </w:tabs>
              <w:autoSpaceDE w:val="0"/>
              <w:autoSpaceDN w:val="0"/>
              <w:adjustRightInd w:val="0"/>
              <w:spacing w:before="140" w:after="60"/>
              <w:jc w:val="center"/>
              <w:rPr>
                <w:b/>
                <w:sz w:val="20"/>
                <w:szCs w:val="20"/>
              </w:rPr>
            </w:pPr>
            <w:r w:rsidRPr="00B0555F">
              <w:rPr>
                <w:b/>
                <w:sz w:val="20"/>
                <w:szCs w:val="20"/>
              </w:rPr>
              <w:t>83%</w:t>
            </w:r>
          </w:p>
          <w:p w:rsidR="00D70D0B" w:rsidRPr="00B0555F" w:rsidRDefault="00D70D0B" w:rsidP="00D70D0B">
            <w:pPr>
              <w:autoSpaceDE w:val="0"/>
              <w:autoSpaceDN w:val="0"/>
              <w:adjustRightInd w:val="0"/>
              <w:spacing w:before="120" w:after="60"/>
              <w:jc w:val="center"/>
              <w:rPr>
                <w:b/>
                <w:sz w:val="20"/>
                <w:szCs w:val="20"/>
              </w:rPr>
            </w:pPr>
            <w:r w:rsidRPr="00B0555F">
              <w:rPr>
                <w:b/>
                <w:sz w:val="20"/>
                <w:szCs w:val="20"/>
              </w:rPr>
              <w:t>57%</w:t>
            </w:r>
          </w:p>
          <w:p w:rsidR="00D70D0B" w:rsidRPr="00B0555F" w:rsidRDefault="00D70D0B" w:rsidP="00D70D0B">
            <w:pPr>
              <w:autoSpaceDE w:val="0"/>
              <w:autoSpaceDN w:val="0"/>
              <w:adjustRightInd w:val="0"/>
              <w:spacing w:before="140" w:after="60"/>
              <w:jc w:val="center"/>
              <w:rPr>
                <w:b/>
                <w:sz w:val="20"/>
                <w:szCs w:val="20"/>
              </w:rPr>
            </w:pPr>
            <w:r w:rsidRPr="00B0555F">
              <w:rPr>
                <w:b/>
                <w:sz w:val="20"/>
                <w:szCs w:val="20"/>
              </w:rPr>
              <w:t>36%</w:t>
            </w:r>
          </w:p>
          <w:p w:rsidR="00D70D0B" w:rsidRPr="00B0555F" w:rsidRDefault="00D70D0B" w:rsidP="00D70D0B">
            <w:pPr>
              <w:autoSpaceDE w:val="0"/>
              <w:autoSpaceDN w:val="0"/>
              <w:adjustRightInd w:val="0"/>
              <w:spacing w:before="120" w:after="60"/>
              <w:rPr>
                <w:sz w:val="20"/>
                <w:szCs w:val="20"/>
              </w:rPr>
            </w:pPr>
            <w:r>
              <w:rPr>
                <w:sz w:val="20"/>
                <w:szCs w:val="20"/>
              </w:rPr>
              <w:t xml:space="preserve">       </w:t>
            </w:r>
            <w:r w:rsidRPr="00B0555F">
              <w:rPr>
                <w:sz w:val="20"/>
                <w:szCs w:val="20"/>
              </w:rPr>
              <w:t>18%</w:t>
            </w:r>
          </w:p>
          <w:p w:rsidR="00D70D0B" w:rsidRPr="00B0555F" w:rsidRDefault="00840797" w:rsidP="00D70D0B">
            <w:pPr>
              <w:autoSpaceDE w:val="0"/>
              <w:autoSpaceDN w:val="0"/>
              <w:adjustRightInd w:val="0"/>
              <w:spacing w:before="140" w:after="60"/>
              <w:rPr>
                <w:sz w:val="20"/>
                <w:szCs w:val="20"/>
              </w:rPr>
            </w:pPr>
            <w:r>
              <w:rPr>
                <w:sz w:val="20"/>
                <w:szCs w:val="20"/>
              </w:rPr>
              <w:t xml:space="preserve">       </w:t>
            </w:r>
            <w:r w:rsidR="00D70D0B" w:rsidRPr="00B0555F">
              <w:rPr>
                <w:sz w:val="20"/>
                <w:szCs w:val="20"/>
              </w:rPr>
              <w:t>15%</w:t>
            </w:r>
          </w:p>
          <w:p w:rsidR="00D70D0B" w:rsidRPr="00B0555F" w:rsidRDefault="00D70D0B" w:rsidP="00C0222C">
            <w:pPr>
              <w:autoSpaceDE w:val="0"/>
              <w:autoSpaceDN w:val="0"/>
              <w:adjustRightInd w:val="0"/>
              <w:spacing w:before="80" w:after="60"/>
              <w:jc w:val="center"/>
            </w:pPr>
          </w:p>
        </w:tc>
      </w:tr>
    </w:tbl>
    <w:p w:rsidR="00D70D0B" w:rsidRDefault="00D70D0B" w:rsidP="007D0CAF">
      <w:pPr>
        <w:rPr>
          <w:b/>
        </w:rPr>
      </w:pPr>
    </w:p>
    <w:p w:rsidR="00D70D0B" w:rsidRDefault="00D70D0B" w:rsidP="007D0CAF">
      <w:pPr>
        <w:rPr>
          <w:b/>
        </w:rPr>
      </w:pPr>
    </w:p>
    <w:tbl>
      <w:tblPr>
        <w:tblpPr w:leftFromText="180" w:rightFromText="180" w:vertAnchor="text" w:horzAnchor="page" w:tblpX="265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1384"/>
        <w:gridCol w:w="1276"/>
      </w:tblGrid>
      <w:tr w:rsidR="00840797" w:rsidTr="00190DCB">
        <w:trPr>
          <w:trHeight w:val="657"/>
        </w:trPr>
        <w:tc>
          <w:tcPr>
            <w:tcW w:w="9639" w:type="dxa"/>
            <w:vMerge w:val="restart"/>
            <w:shd w:val="clear" w:color="auto" w:fill="auto"/>
          </w:tcPr>
          <w:p w:rsidR="00840797" w:rsidRPr="005979CB" w:rsidRDefault="00840797" w:rsidP="00190DCB">
            <w:r>
              <w:object w:dxaOrig="9990" w:dyaOrig="3855">
                <v:shape id="_x0000_i1026" type="#_x0000_t75" style="width:474.45pt;height:180.2pt" o:ole="">
                  <v:imagedata r:id="rId16" o:title=""/>
                </v:shape>
                <o:OLEObject Type="Embed" ProgID="PBrush" ShapeID="_x0000_i1026" DrawAspect="Content" ObjectID="_1545986206" r:id="rId17"/>
              </w:object>
            </w:r>
          </w:p>
        </w:tc>
        <w:tc>
          <w:tcPr>
            <w:tcW w:w="1384" w:type="dxa"/>
            <w:shd w:val="clear" w:color="auto" w:fill="auto"/>
            <w:vAlign w:val="center"/>
          </w:tcPr>
          <w:p w:rsidR="00840797" w:rsidRPr="00311458" w:rsidRDefault="00840797" w:rsidP="00190DCB">
            <w:pPr>
              <w:autoSpaceDE w:val="0"/>
              <w:autoSpaceDN w:val="0"/>
              <w:adjustRightInd w:val="0"/>
              <w:spacing w:before="120" w:after="120"/>
              <w:jc w:val="center"/>
              <w:rPr>
                <w:b/>
                <w:sz w:val="20"/>
                <w:szCs w:val="20"/>
              </w:rPr>
            </w:pPr>
            <w:r w:rsidRPr="00311458">
              <w:rPr>
                <w:b/>
                <w:sz w:val="20"/>
                <w:szCs w:val="20"/>
              </w:rPr>
              <w:t>PAR</w:t>
            </w:r>
          </w:p>
        </w:tc>
        <w:tc>
          <w:tcPr>
            <w:tcW w:w="1276" w:type="dxa"/>
            <w:shd w:val="clear" w:color="auto" w:fill="auto"/>
            <w:vAlign w:val="center"/>
          </w:tcPr>
          <w:p w:rsidR="00840797" w:rsidRPr="00311458" w:rsidRDefault="00840797" w:rsidP="00190DCB">
            <w:pPr>
              <w:autoSpaceDE w:val="0"/>
              <w:autoSpaceDN w:val="0"/>
              <w:adjustRightInd w:val="0"/>
              <w:spacing w:before="120" w:after="120"/>
              <w:jc w:val="center"/>
              <w:rPr>
                <w:b/>
                <w:sz w:val="20"/>
                <w:szCs w:val="20"/>
                <w:vertAlign w:val="superscript"/>
              </w:rPr>
            </w:pPr>
            <w:r w:rsidRPr="00311458">
              <w:rPr>
                <w:b/>
                <w:sz w:val="20"/>
                <w:szCs w:val="20"/>
              </w:rPr>
              <w:t>%PAR</w:t>
            </w:r>
          </w:p>
        </w:tc>
      </w:tr>
      <w:tr w:rsidR="00840797" w:rsidTr="00190DCB">
        <w:trPr>
          <w:trHeight w:val="1530"/>
        </w:trPr>
        <w:tc>
          <w:tcPr>
            <w:tcW w:w="9639" w:type="dxa"/>
            <w:vMerge/>
            <w:tcBorders>
              <w:bottom w:val="single" w:sz="4" w:space="0" w:color="auto"/>
            </w:tcBorders>
            <w:shd w:val="clear" w:color="auto" w:fill="auto"/>
          </w:tcPr>
          <w:p w:rsidR="00840797" w:rsidRDefault="00840797" w:rsidP="00190DCB"/>
        </w:tc>
        <w:tc>
          <w:tcPr>
            <w:tcW w:w="1384" w:type="dxa"/>
            <w:tcBorders>
              <w:bottom w:val="single" w:sz="4" w:space="0" w:color="auto"/>
            </w:tcBorders>
            <w:shd w:val="clear" w:color="auto" w:fill="auto"/>
          </w:tcPr>
          <w:p w:rsidR="00840797" w:rsidRPr="00B0555F" w:rsidRDefault="00840797" w:rsidP="00190DCB">
            <w:pPr>
              <w:autoSpaceDE w:val="0"/>
              <w:autoSpaceDN w:val="0"/>
              <w:adjustRightInd w:val="0"/>
              <w:spacing w:before="120"/>
              <w:rPr>
                <w:sz w:val="20"/>
                <w:szCs w:val="20"/>
              </w:rPr>
            </w:pPr>
            <w:r>
              <w:rPr>
                <w:sz w:val="20"/>
                <w:szCs w:val="20"/>
              </w:rPr>
              <w:t xml:space="preserve">          </w:t>
            </w:r>
            <w:r w:rsidRPr="00B0555F">
              <w:rPr>
                <w:sz w:val="20"/>
                <w:szCs w:val="20"/>
              </w:rPr>
              <w:t>0</w:t>
            </w:r>
            <w:r>
              <w:rPr>
                <w:sz w:val="20"/>
                <w:szCs w:val="20"/>
              </w:rPr>
              <w:t>.</w:t>
            </w:r>
            <w:r w:rsidRPr="00B0555F">
              <w:rPr>
                <w:sz w:val="20"/>
                <w:szCs w:val="20"/>
              </w:rPr>
              <w:t>11</w:t>
            </w:r>
          </w:p>
          <w:p w:rsidR="00840797" w:rsidRPr="00B0555F" w:rsidRDefault="00840797" w:rsidP="00190DCB">
            <w:pPr>
              <w:autoSpaceDE w:val="0"/>
              <w:autoSpaceDN w:val="0"/>
              <w:adjustRightInd w:val="0"/>
              <w:spacing w:before="60"/>
              <w:jc w:val="center"/>
              <w:rPr>
                <w:b/>
                <w:sz w:val="20"/>
                <w:szCs w:val="20"/>
              </w:rPr>
            </w:pPr>
            <w:r>
              <w:rPr>
                <w:b/>
                <w:sz w:val="20"/>
                <w:szCs w:val="20"/>
              </w:rPr>
              <w:t xml:space="preserve">    </w:t>
            </w:r>
            <w:r w:rsidRPr="00B0555F">
              <w:rPr>
                <w:b/>
                <w:sz w:val="20"/>
                <w:szCs w:val="20"/>
              </w:rPr>
              <w:t>1</w:t>
            </w:r>
            <w:r>
              <w:rPr>
                <w:b/>
                <w:sz w:val="20"/>
                <w:szCs w:val="20"/>
              </w:rPr>
              <w:t>.</w:t>
            </w:r>
            <w:r w:rsidRPr="00B0555F">
              <w:rPr>
                <w:b/>
                <w:sz w:val="20"/>
                <w:szCs w:val="20"/>
              </w:rPr>
              <w:t>65*</w:t>
            </w:r>
          </w:p>
          <w:p w:rsidR="00840797" w:rsidRPr="00B0555F" w:rsidRDefault="00840797" w:rsidP="00190DCB">
            <w:pPr>
              <w:autoSpaceDE w:val="0"/>
              <w:autoSpaceDN w:val="0"/>
              <w:adjustRightInd w:val="0"/>
              <w:spacing w:before="100"/>
              <w:rPr>
                <w:sz w:val="20"/>
                <w:szCs w:val="20"/>
              </w:rPr>
            </w:pPr>
            <w:r>
              <w:rPr>
                <w:sz w:val="20"/>
                <w:szCs w:val="20"/>
              </w:rPr>
              <w:t xml:space="preserve">          </w:t>
            </w:r>
            <w:r w:rsidRPr="00B0555F">
              <w:rPr>
                <w:sz w:val="20"/>
                <w:szCs w:val="20"/>
              </w:rPr>
              <w:t>0</w:t>
            </w:r>
            <w:r>
              <w:rPr>
                <w:sz w:val="20"/>
                <w:szCs w:val="20"/>
              </w:rPr>
              <w:t>.</w:t>
            </w:r>
            <w:r w:rsidRPr="00B0555F">
              <w:rPr>
                <w:sz w:val="20"/>
                <w:szCs w:val="20"/>
              </w:rPr>
              <w:t>04</w:t>
            </w:r>
          </w:p>
          <w:p w:rsidR="00840797" w:rsidRPr="00B0555F" w:rsidRDefault="00840797" w:rsidP="00190DCB">
            <w:pPr>
              <w:autoSpaceDE w:val="0"/>
              <w:autoSpaceDN w:val="0"/>
              <w:adjustRightInd w:val="0"/>
              <w:spacing w:before="120"/>
              <w:jc w:val="center"/>
              <w:rPr>
                <w:b/>
                <w:sz w:val="20"/>
                <w:szCs w:val="20"/>
              </w:rPr>
            </w:pPr>
            <w:r>
              <w:rPr>
                <w:b/>
                <w:sz w:val="20"/>
                <w:szCs w:val="20"/>
              </w:rPr>
              <w:t xml:space="preserve">    </w:t>
            </w:r>
            <w:r w:rsidRPr="00B0555F">
              <w:rPr>
                <w:b/>
                <w:sz w:val="20"/>
                <w:szCs w:val="20"/>
              </w:rPr>
              <w:t>0</w:t>
            </w:r>
            <w:r>
              <w:rPr>
                <w:b/>
                <w:sz w:val="20"/>
                <w:szCs w:val="20"/>
              </w:rPr>
              <w:t>.</w:t>
            </w:r>
            <w:r w:rsidRPr="00B0555F">
              <w:rPr>
                <w:b/>
                <w:sz w:val="20"/>
                <w:szCs w:val="20"/>
              </w:rPr>
              <w:t>83*</w:t>
            </w:r>
          </w:p>
          <w:p w:rsidR="00840797" w:rsidRPr="00B0555F" w:rsidRDefault="00840797" w:rsidP="00190DCB">
            <w:pPr>
              <w:autoSpaceDE w:val="0"/>
              <w:autoSpaceDN w:val="0"/>
              <w:adjustRightInd w:val="0"/>
              <w:spacing w:before="100"/>
              <w:jc w:val="center"/>
              <w:rPr>
                <w:sz w:val="20"/>
                <w:szCs w:val="20"/>
              </w:rPr>
            </w:pPr>
            <w:r>
              <w:rPr>
                <w:sz w:val="20"/>
                <w:szCs w:val="20"/>
              </w:rPr>
              <w:t xml:space="preserve">    </w:t>
            </w:r>
            <w:r w:rsidRPr="00B0555F">
              <w:rPr>
                <w:sz w:val="20"/>
                <w:szCs w:val="20"/>
              </w:rPr>
              <w:t>0</w:t>
            </w:r>
            <w:r>
              <w:rPr>
                <w:b/>
                <w:sz w:val="20"/>
                <w:szCs w:val="20"/>
              </w:rPr>
              <w:t>.</w:t>
            </w:r>
            <w:r w:rsidRPr="00B0555F">
              <w:rPr>
                <w:sz w:val="20"/>
                <w:szCs w:val="20"/>
              </w:rPr>
              <w:t>001</w:t>
            </w:r>
          </w:p>
          <w:p w:rsidR="00840797" w:rsidRPr="00B0555F" w:rsidRDefault="00840797" w:rsidP="00190DCB">
            <w:pPr>
              <w:autoSpaceDE w:val="0"/>
              <w:autoSpaceDN w:val="0"/>
              <w:adjustRightInd w:val="0"/>
              <w:spacing w:before="100"/>
              <w:rPr>
                <w:sz w:val="20"/>
                <w:szCs w:val="20"/>
              </w:rPr>
            </w:pPr>
            <w:r>
              <w:rPr>
                <w:sz w:val="20"/>
                <w:szCs w:val="20"/>
              </w:rPr>
              <w:t xml:space="preserve">          </w:t>
            </w:r>
            <w:r w:rsidRPr="00B0555F">
              <w:rPr>
                <w:sz w:val="20"/>
                <w:szCs w:val="20"/>
              </w:rPr>
              <w:t>0</w:t>
            </w:r>
            <w:r>
              <w:rPr>
                <w:sz w:val="20"/>
                <w:szCs w:val="20"/>
              </w:rPr>
              <w:t>.</w:t>
            </w:r>
            <w:r w:rsidRPr="00B0555F">
              <w:rPr>
                <w:sz w:val="20"/>
                <w:szCs w:val="20"/>
              </w:rPr>
              <w:t>08</w:t>
            </w:r>
          </w:p>
        </w:tc>
        <w:tc>
          <w:tcPr>
            <w:tcW w:w="1276" w:type="dxa"/>
            <w:tcBorders>
              <w:bottom w:val="single" w:sz="4" w:space="0" w:color="auto"/>
            </w:tcBorders>
            <w:shd w:val="clear" w:color="auto" w:fill="auto"/>
          </w:tcPr>
          <w:p w:rsidR="00840797" w:rsidRPr="00B0555F" w:rsidRDefault="00840797" w:rsidP="00190DCB">
            <w:pPr>
              <w:autoSpaceDE w:val="0"/>
              <w:autoSpaceDN w:val="0"/>
              <w:adjustRightInd w:val="0"/>
              <w:spacing w:before="120"/>
              <w:rPr>
                <w:sz w:val="20"/>
                <w:szCs w:val="20"/>
              </w:rPr>
            </w:pPr>
            <w:r>
              <w:rPr>
                <w:sz w:val="20"/>
                <w:szCs w:val="20"/>
              </w:rPr>
              <w:t xml:space="preserve">       </w:t>
            </w:r>
            <w:r w:rsidRPr="00B0555F">
              <w:rPr>
                <w:sz w:val="20"/>
                <w:szCs w:val="20"/>
              </w:rPr>
              <w:t>39%</w:t>
            </w:r>
          </w:p>
          <w:p w:rsidR="00840797" w:rsidRPr="00B0555F" w:rsidRDefault="00840797" w:rsidP="00190DCB">
            <w:pPr>
              <w:autoSpaceDE w:val="0"/>
              <w:autoSpaceDN w:val="0"/>
              <w:adjustRightInd w:val="0"/>
              <w:spacing w:before="60"/>
              <w:jc w:val="center"/>
              <w:rPr>
                <w:b/>
                <w:sz w:val="20"/>
                <w:szCs w:val="20"/>
              </w:rPr>
            </w:pPr>
            <w:r w:rsidRPr="00B0555F">
              <w:rPr>
                <w:b/>
                <w:sz w:val="20"/>
                <w:szCs w:val="20"/>
              </w:rPr>
              <w:t>40%</w:t>
            </w:r>
          </w:p>
          <w:p w:rsidR="00840797" w:rsidRPr="00B0555F" w:rsidRDefault="00840797" w:rsidP="00190DCB">
            <w:pPr>
              <w:autoSpaceDE w:val="0"/>
              <w:autoSpaceDN w:val="0"/>
              <w:adjustRightInd w:val="0"/>
              <w:spacing w:before="100"/>
              <w:rPr>
                <w:sz w:val="20"/>
                <w:szCs w:val="20"/>
              </w:rPr>
            </w:pPr>
            <w:r>
              <w:rPr>
                <w:sz w:val="20"/>
                <w:szCs w:val="20"/>
              </w:rPr>
              <w:t xml:space="preserve">       </w:t>
            </w:r>
            <w:r w:rsidRPr="00B0555F">
              <w:rPr>
                <w:sz w:val="20"/>
                <w:szCs w:val="20"/>
              </w:rPr>
              <w:t>10%</w:t>
            </w:r>
          </w:p>
          <w:p w:rsidR="00840797" w:rsidRPr="00B0555F" w:rsidRDefault="00840797" w:rsidP="00190DCB">
            <w:pPr>
              <w:autoSpaceDE w:val="0"/>
              <w:autoSpaceDN w:val="0"/>
              <w:adjustRightInd w:val="0"/>
              <w:spacing w:before="120"/>
              <w:jc w:val="center"/>
              <w:rPr>
                <w:b/>
                <w:sz w:val="20"/>
                <w:szCs w:val="20"/>
              </w:rPr>
            </w:pPr>
            <w:r>
              <w:rPr>
                <w:b/>
                <w:sz w:val="20"/>
                <w:szCs w:val="20"/>
              </w:rPr>
              <w:t xml:space="preserve"> </w:t>
            </w:r>
            <w:r w:rsidRPr="00B0555F">
              <w:rPr>
                <w:b/>
                <w:sz w:val="20"/>
                <w:szCs w:val="20"/>
              </w:rPr>
              <w:t>56%</w:t>
            </w:r>
          </w:p>
          <w:p w:rsidR="00840797" w:rsidRPr="00B0555F" w:rsidRDefault="00840797" w:rsidP="00190DCB">
            <w:pPr>
              <w:autoSpaceDE w:val="0"/>
              <w:autoSpaceDN w:val="0"/>
              <w:adjustRightInd w:val="0"/>
              <w:spacing w:before="100"/>
              <w:jc w:val="center"/>
              <w:rPr>
                <w:sz w:val="20"/>
                <w:szCs w:val="20"/>
              </w:rPr>
            </w:pPr>
            <w:r>
              <w:rPr>
                <w:sz w:val="20"/>
                <w:szCs w:val="20"/>
              </w:rPr>
              <w:t xml:space="preserve">  </w:t>
            </w:r>
            <w:r w:rsidRPr="00B0555F">
              <w:rPr>
                <w:sz w:val="20"/>
                <w:szCs w:val="20"/>
              </w:rPr>
              <w:t>0</w:t>
            </w:r>
            <w:r>
              <w:rPr>
                <w:b/>
                <w:sz w:val="20"/>
                <w:szCs w:val="20"/>
              </w:rPr>
              <w:t>.</w:t>
            </w:r>
            <w:r w:rsidRPr="00B0555F">
              <w:rPr>
                <w:sz w:val="20"/>
                <w:szCs w:val="20"/>
              </w:rPr>
              <w:t>3%</w:t>
            </w:r>
          </w:p>
          <w:p w:rsidR="00840797" w:rsidRPr="00B0555F" w:rsidRDefault="00840797" w:rsidP="00190DCB">
            <w:pPr>
              <w:autoSpaceDE w:val="0"/>
              <w:autoSpaceDN w:val="0"/>
              <w:adjustRightInd w:val="0"/>
              <w:spacing w:before="100"/>
              <w:rPr>
                <w:sz w:val="20"/>
                <w:szCs w:val="20"/>
              </w:rPr>
            </w:pPr>
            <w:r>
              <w:rPr>
                <w:sz w:val="20"/>
                <w:szCs w:val="20"/>
              </w:rPr>
              <w:t xml:space="preserve">        </w:t>
            </w:r>
            <w:r w:rsidRPr="00B0555F">
              <w:rPr>
                <w:sz w:val="20"/>
                <w:szCs w:val="20"/>
              </w:rPr>
              <w:t>25%</w:t>
            </w:r>
          </w:p>
        </w:tc>
      </w:tr>
    </w:tbl>
    <w:p w:rsidR="007D0CAF" w:rsidRDefault="007D0CAF" w:rsidP="007D0CAF">
      <w:pPr>
        <w:autoSpaceDE w:val="0"/>
        <w:autoSpaceDN w:val="0"/>
        <w:adjustRightInd w:val="0"/>
        <w:ind w:left="6480" w:firstLine="720"/>
        <w:rPr>
          <w:b/>
          <w:bCs/>
          <w:iCs/>
        </w:rPr>
      </w:pPr>
    </w:p>
    <w:p w:rsidR="007D0CAF" w:rsidRDefault="007D0CAF">
      <w:pPr>
        <w:rPr>
          <w:b/>
          <w:bCs/>
          <w:caps/>
        </w:rPr>
      </w:pPr>
    </w:p>
    <w:p w:rsidR="007D0CAF" w:rsidRDefault="007D0CAF">
      <w:pPr>
        <w:rPr>
          <w:b/>
          <w:bCs/>
          <w:caps/>
        </w:rPr>
      </w:pPr>
      <w:r>
        <w:rPr>
          <w:b/>
          <w:bCs/>
          <w:caps/>
        </w:rPr>
        <w:br w:type="page"/>
      </w:r>
    </w:p>
    <w:p w:rsidR="007D0CAF" w:rsidRDefault="007D0CAF" w:rsidP="007D0CAF">
      <w:pPr>
        <w:jc w:val="center"/>
        <w:rPr>
          <w:b/>
        </w:rPr>
      </w:pPr>
      <w:r>
        <w:rPr>
          <w:b/>
        </w:rPr>
        <w:lastRenderedPageBreak/>
        <w:t>Figure 4</w:t>
      </w:r>
    </w:p>
    <w:p w:rsidR="007D0CAF" w:rsidRDefault="007D0CAF" w:rsidP="007D0CAF">
      <w:pPr>
        <w:jc w:val="center"/>
      </w:pPr>
    </w:p>
    <w:p w:rsidR="007D0CAF" w:rsidRDefault="007D0CAF" w:rsidP="007D0CAF">
      <w:pPr>
        <w:sectPr w:rsidR="007D0CAF" w:rsidSect="007D0CAF">
          <w:pgSz w:w="16838" w:h="11906" w:orient="landscape" w:code="9"/>
          <w:pgMar w:top="993" w:right="820" w:bottom="709" w:left="1440" w:header="709" w:footer="709" w:gutter="0"/>
          <w:cols w:space="708"/>
          <w:docGrid w:linePitch="360"/>
        </w:sectPr>
      </w:pPr>
      <w:r>
        <w:tab/>
      </w:r>
      <w:r>
        <w:rPr>
          <w:noProof/>
        </w:rPr>
        <w:drawing>
          <wp:inline distT="0" distB="0" distL="0" distR="0">
            <wp:extent cx="7442200" cy="5677535"/>
            <wp:effectExtent l="1905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rcRect/>
                    <a:stretch>
                      <a:fillRect/>
                    </a:stretch>
                  </pic:blipFill>
                  <pic:spPr bwMode="auto">
                    <a:xfrm>
                      <a:off x="0" y="0"/>
                      <a:ext cx="7442200" cy="5677535"/>
                    </a:xfrm>
                    <a:prstGeom prst="rect">
                      <a:avLst/>
                    </a:prstGeom>
                    <a:noFill/>
                    <a:ln w="9525">
                      <a:noFill/>
                      <a:miter lim="800000"/>
                      <a:headEnd/>
                      <a:tailEnd/>
                    </a:ln>
                  </pic:spPr>
                </pic:pic>
              </a:graphicData>
            </a:graphic>
          </wp:inline>
        </w:drawing>
      </w:r>
    </w:p>
    <w:p w:rsidR="00190DCB" w:rsidRDefault="00190DCB" w:rsidP="007D0CAF">
      <w:pPr>
        <w:rPr>
          <w:b/>
          <w:bCs/>
          <w:caps/>
        </w:rPr>
      </w:pPr>
    </w:p>
    <w:p w:rsidR="00FD529F" w:rsidRPr="003F3682" w:rsidRDefault="00246DFD" w:rsidP="007D0CAF">
      <w:pPr>
        <w:rPr>
          <w:b/>
          <w:bCs/>
          <w:caps/>
        </w:rPr>
      </w:pPr>
      <w:r w:rsidRPr="003F3682">
        <w:rPr>
          <w:b/>
          <w:bCs/>
          <w:caps/>
        </w:rPr>
        <w:t>Figure Legends</w:t>
      </w:r>
    </w:p>
    <w:p w:rsidR="007D0CAF" w:rsidRDefault="007D0CAF" w:rsidP="00260FEB">
      <w:pPr>
        <w:tabs>
          <w:tab w:val="left" w:pos="964"/>
        </w:tabs>
        <w:spacing w:line="480" w:lineRule="auto"/>
        <w:rPr>
          <w:b/>
          <w:sz w:val="20"/>
          <w:szCs w:val="20"/>
        </w:rPr>
      </w:pPr>
    </w:p>
    <w:p w:rsidR="00FD529F" w:rsidRDefault="00246DFD" w:rsidP="00260FEB">
      <w:pPr>
        <w:tabs>
          <w:tab w:val="left" w:pos="964"/>
        </w:tabs>
        <w:spacing w:line="480" w:lineRule="auto"/>
        <w:rPr>
          <w:b/>
          <w:sz w:val="20"/>
          <w:szCs w:val="20"/>
        </w:rPr>
      </w:pPr>
      <w:r w:rsidRPr="00246DFD">
        <w:rPr>
          <w:b/>
          <w:sz w:val="20"/>
          <w:szCs w:val="20"/>
        </w:rPr>
        <w:t>Figure 1</w:t>
      </w:r>
    </w:p>
    <w:p w:rsidR="00CA0158" w:rsidRDefault="00246DFD" w:rsidP="00CA0158">
      <w:pPr>
        <w:tabs>
          <w:tab w:val="left" w:pos="964"/>
        </w:tabs>
        <w:rPr>
          <w:sz w:val="20"/>
          <w:szCs w:val="20"/>
        </w:rPr>
      </w:pPr>
      <w:r w:rsidRPr="00246DFD">
        <w:rPr>
          <w:b/>
          <w:sz w:val="20"/>
          <w:szCs w:val="20"/>
        </w:rPr>
        <w:t>Notifications</w:t>
      </w:r>
      <w:r w:rsidR="004463F6">
        <w:rPr>
          <w:b/>
          <w:sz w:val="20"/>
          <w:szCs w:val="20"/>
        </w:rPr>
        <w:t xml:space="preserve"> and </w:t>
      </w:r>
      <w:r w:rsidRPr="00246DFD">
        <w:rPr>
          <w:b/>
          <w:sz w:val="20"/>
          <w:szCs w:val="20"/>
        </w:rPr>
        <w:t xml:space="preserve">cases </w:t>
      </w:r>
      <w:r w:rsidR="004463F6">
        <w:rPr>
          <w:b/>
          <w:sz w:val="20"/>
          <w:szCs w:val="20"/>
        </w:rPr>
        <w:t xml:space="preserve">fulfilling diagnostic criteria for </w:t>
      </w:r>
      <w:r w:rsidRPr="00246DFD">
        <w:rPr>
          <w:b/>
          <w:sz w:val="20"/>
          <w:szCs w:val="20"/>
        </w:rPr>
        <w:t>pseudotumor cerebri syndrome</w:t>
      </w:r>
    </w:p>
    <w:p w:rsidR="00CA0158" w:rsidRDefault="00CA0158" w:rsidP="00CA0158">
      <w:pPr>
        <w:tabs>
          <w:tab w:val="left" w:pos="964"/>
        </w:tabs>
        <w:rPr>
          <w:sz w:val="20"/>
          <w:szCs w:val="20"/>
        </w:rPr>
      </w:pPr>
    </w:p>
    <w:p w:rsidR="00246DFD" w:rsidRPr="00E42CFB" w:rsidRDefault="007430B0" w:rsidP="00CA0158">
      <w:pPr>
        <w:tabs>
          <w:tab w:val="left" w:pos="964"/>
        </w:tabs>
        <w:rPr>
          <w:sz w:val="20"/>
          <w:szCs w:val="20"/>
        </w:rPr>
      </w:pPr>
      <w:r w:rsidRPr="00E42CFB">
        <w:rPr>
          <w:sz w:val="20"/>
          <w:szCs w:val="20"/>
        </w:rPr>
        <w:t>CVST Cerebral Venous Sinus Thrombosis</w:t>
      </w:r>
    </w:p>
    <w:p w:rsidR="004463F6" w:rsidRPr="00E42CFB" w:rsidRDefault="007430B0" w:rsidP="00CA0158">
      <w:pPr>
        <w:tabs>
          <w:tab w:val="left" w:pos="964"/>
        </w:tabs>
        <w:rPr>
          <w:sz w:val="20"/>
          <w:szCs w:val="20"/>
        </w:rPr>
      </w:pPr>
      <w:r w:rsidRPr="00E42CFB">
        <w:rPr>
          <w:sz w:val="20"/>
          <w:szCs w:val="20"/>
          <w:vertAlign w:val="superscript"/>
        </w:rPr>
        <w:t>a</w:t>
      </w:r>
      <w:r w:rsidRPr="00E42CFB">
        <w:rPr>
          <w:sz w:val="20"/>
          <w:szCs w:val="20"/>
        </w:rPr>
        <w:t>: &gt;20cm of CSF.</w:t>
      </w:r>
      <w:r w:rsidRPr="00E42CFB">
        <w:rPr>
          <w:sz w:val="20"/>
          <w:szCs w:val="20"/>
          <w:vertAlign w:val="superscript"/>
        </w:rPr>
        <w:t>11</w:t>
      </w:r>
      <w:r w:rsidRPr="00E42CFB">
        <w:rPr>
          <w:sz w:val="20"/>
          <w:szCs w:val="20"/>
        </w:rPr>
        <w:t xml:space="preserve"> </w:t>
      </w:r>
    </w:p>
    <w:p w:rsidR="00246DFD" w:rsidRPr="00E42CFB" w:rsidRDefault="007430B0" w:rsidP="00CA0158">
      <w:pPr>
        <w:tabs>
          <w:tab w:val="left" w:pos="964"/>
        </w:tabs>
        <w:rPr>
          <w:sz w:val="20"/>
          <w:szCs w:val="20"/>
          <w:vertAlign w:val="superscript"/>
        </w:rPr>
      </w:pPr>
      <w:r w:rsidRPr="00E42CFB">
        <w:rPr>
          <w:sz w:val="20"/>
          <w:szCs w:val="20"/>
          <w:vertAlign w:val="superscript"/>
        </w:rPr>
        <w:t>b</w:t>
      </w:r>
      <w:r w:rsidRPr="00E42CFB">
        <w:rPr>
          <w:sz w:val="20"/>
          <w:szCs w:val="20"/>
        </w:rPr>
        <w:t>:  ≥25cm CSF in non-obese and unsedated child; ≥28cm CSF if obese and/or sedated for LP.</w:t>
      </w:r>
      <w:r w:rsidRPr="00E42CFB">
        <w:rPr>
          <w:sz w:val="20"/>
          <w:szCs w:val="20"/>
          <w:vertAlign w:val="superscript"/>
        </w:rPr>
        <w:t xml:space="preserve"> 14</w:t>
      </w:r>
    </w:p>
    <w:p w:rsidR="00246DFD" w:rsidRPr="00E42CFB" w:rsidRDefault="007430B0" w:rsidP="00CA0158">
      <w:pPr>
        <w:tabs>
          <w:tab w:val="left" w:pos="964"/>
        </w:tabs>
        <w:rPr>
          <w:sz w:val="20"/>
          <w:szCs w:val="20"/>
        </w:rPr>
      </w:pPr>
      <w:r w:rsidRPr="00E42CFB">
        <w:rPr>
          <w:sz w:val="20"/>
          <w:szCs w:val="20"/>
        </w:rPr>
        <w:t>* One definite PTCS case without papilloedema had abducens nerve palsy &amp; elevated CSF pressure</w:t>
      </w:r>
    </w:p>
    <w:p w:rsidR="003F3682" w:rsidRDefault="003F3682" w:rsidP="00260FEB">
      <w:pPr>
        <w:tabs>
          <w:tab w:val="left" w:pos="964"/>
        </w:tabs>
        <w:spacing w:line="480" w:lineRule="auto"/>
        <w:rPr>
          <w:b/>
          <w:bCs/>
          <w:sz w:val="20"/>
          <w:szCs w:val="20"/>
        </w:rPr>
      </w:pPr>
    </w:p>
    <w:p w:rsidR="005A2C1B" w:rsidRDefault="005A2C1B" w:rsidP="00260FEB">
      <w:pPr>
        <w:tabs>
          <w:tab w:val="left" w:pos="964"/>
        </w:tabs>
        <w:spacing w:line="480" w:lineRule="auto"/>
        <w:rPr>
          <w:sz w:val="20"/>
          <w:szCs w:val="20"/>
        </w:rPr>
      </w:pPr>
      <w:r w:rsidRPr="00246DFD">
        <w:rPr>
          <w:b/>
          <w:bCs/>
          <w:sz w:val="20"/>
          <w:szCs w:val="20"/>
        </w:rPr>
        <w:t xml:space="preserve">Figure </w:t>
      </w:r>
      <w:r>
        <w:rPr>
          <w:b/>
          <w:bCs/>
          <w:sz w:val="20"/>
          <w:szCs w:val="20"/>
        </w:rPr>
        <w:t>2</w:t>
      </w:r>
    </w:p>
    <w:p w:rsidR="005A2C1B" w:rsidRDefault="005A2C1B" w:rsidP="00260FEB">
      <w:pPr>
        <w:tabs>
          <w:tab w:val="left" w:pos="964"/>
        </w:tabs>
        <w:spacing w:line="480" w:lineRule="auto"/>
        <w:rPr>
          <w:b/>
          <w:sz w:val="20"/>
          <w:szCs w:val="20"/>
        </w:rPr>
      </w:pPr>
      <w:r w:rsidRPr="00246DFD">
        <w:rPr>
          <w:b/>
          <w:sz w:val="20"/>
          <w:szCs w:val="20"/>
        </w:rPr>
        <w:t xml:space="preserve">Number of cases of pseudotumor cerebri syndrome </w:t>
      </w:r>
      <w:r w:rsidRPr="00246DFD">
        <w:rPr>
          <w:b/>
          <w:bCs/>
          <w:sz w:val="20"/>
          <w:szCs w:val="20"/>
        </w:rPr>
        <w:t>by age, sex and weight category</w:t>
      </w:r>
    </w:p>
    <w:p w:rsidR="005A2C1B" w:rsidRPr="00E42CFB" w:rsidRDefault="002B1600" w:rsidP="00CA0158">
      <w:pPr>
        <w:tabs>
          <w:tab w:val="left" w:pos="964"/>
        </w:tabs>
        <w:rPr>
          <w:sz w:val="20"/>
          <w:szCs w:val="20"/>
        </w:rPr>
      </w:pPr>
      <w:r>
        <w:rPr>
          <w:sz w:val="20"/>
          <w:szCs w:val="20"/>
        </w:rPr>
        <w:t xml:space="preserve">Non </w:t>
      </w:r>
      <w:r w:rsidR="005A2C1B" w:rsidRPr="00E42CFB">
        <w:rPr>
          <w:sz w:val="20"/>
          <w:szCs w:val="20"/>
        </w:rPr>
        <w:t xml:space="preserve">overweight: </w:t>
      </w:r>
      <w:r w:rsidR="005A2C1B" w:rsidRPr="00E42CFB">
        <w:rPr>
          <w:sz w:val="20"/>
          <w:szCs w:val="20"/>
        </w:rPr>
        <w:tab/>
        <w:t xml:space="preserve">BMI or weight Z-score &lt;1.04 </w:t>
      </w:r>
      <w:r>
        <w:rPr>
          <w:sz w:val="20"/>
          <w:szCs w:val="20"/>
        </w:rPr>
        <w:t xml:space="preserve">= </w:t>
      </w:r>
      <w:r w:rsidR="005A2C1B" w:rsidRPr="00E42CFB">
        <w:rPr>
          <w:sz w:val="20"/>
          <w:szCs w:val="20"/>
        </w:rPr>
        <w:t>&lt;85</w:t>
      </w:r>
      <w:r w:rsidR="005A2C1B" w:rsidRPr="00E42CFB">
        <w:rPr>
          <w:sz w:val="20"/>
          <w:szCs w:val="20"/>
          <w:vertAlign w:val="superscript"/>
        </w:rPr>
        <w:t>th</w:t>
      </w:r>
      <w:r>
        <w:rPr>
          <w:sz w:val="20"/>
          <w:szCs w:val="20"/>
        </w:rPr>
        <w:t xml:space="preserve"> percentile</w:t>
      </w:r>
    </w:p>
    <w:p w:rsidR="005A2C1B" w:rsidRPr="00E42CFB" w:rsidRDefault="005A2C1B" w:rsidP="00CA0158">
      <w:pPr>
        <w:tabs>
          <w:tab w:val="left" w:pos="964"/>
        </w:tabs>
        <w:rPr>
          <w:sz w:val="20"/>
          <w:szCs w:val="20"/>
        </w:rPr>
      </w:pPr>
      <w:r w:rsidRPr="00E42CFB">
        <w:rPr>
          <w:sz w:val="20"/>
          <w:szCs w:val="20"/>
        </w:rPr>
        <w:t>Overw</w:t>
      </w:r>
      <w:r w:rsidR="002B1600">
        <w:rPr>
          <w:sz w:val="20"/>
          <w:szCs w:val="20"/>
        </w:rPr>
        <w:t xml:space="preserve">eight: </w:t>
      </w:r>
      <w:r w:rsidR="002B1600">
        <w:rPr>
          <w:sz w:val="20"/>
          <w:szCs w:val="20"/>
        </w:rPr>
        <w:tab/>
        <w:t>BMI or weight Z-score ≥</w:t>
      </w:r>
      <w:r w:rsidRPr="00E42CFB">
        <w:rPr>
          <w:sz w:val="20"/>
          <w:szCs w:val="20"/>
        </w:rPr>
        <w:t xml:space="preserve">1.04 to &lt;1.64 </w:t>
      </w:r>
      <w:r w:rsidR="002B1600">
        <w:rPr>
          <w:sz w:val="20"/>
          <w:szCs w:val="20"/>
        </w:rPr>
        <w:t xml:space="preserve">= </w:t>
      </w:r>
      <w:r w:rsidRPr="00E42CFB">
        <w:rPr>
          <w:sz w:val="20"/>
          <w:szCs w:val="20"/>
        </w:rPr>
        <w:t>≥85</w:t>
      </w:r>
      <w:r w:rsidRPr="00E42CFB">
        <w:rPr>
          <w:sz w:val="20"/>
          <w:szCs w:val="20"/>
          <w:vertAlign w:val="superscript"/>
        </w:rPr>
        <w:t>th</w:t>
      </w:r>
      <w:r w:rsidRPr="00E42CFB">
        <w:rPr>
          <w:sz w:val="20"/>
          <w:szCs w:val="20"/>
        </w:rPr>
        <w:t xml:space="preserve"> to &lt;95</w:t>
      </w:r>
      <w:r w:rsidRPr="00E42CFB">
        <w:rPr>
          <w:sz w:val="20"/>
          <w:szCs w:val="20"/>
          <w:vertAlign w:val="superscript"/>
        </w:rPr>
        <w:t>th</w:t>
      </w:r>
      <w:r w:rsidR="002B1600">
        <w:rPr>
          <w:sz w:val="20"/>
          <w:szCs w:val="20"/>
        </w:rPr>
        <w:t xml:space="preserve"> percentile</w:t>
      </w:r>
    </w:p>
    <w:p w:rsidR="005A2C1B" w:rsidRPr="00E42CFB" w:rsidRDefault="005A2C1B" w:rsidP="00CA0158">
      <w:pPr>
        <w:tabs>
          <w:tab w:val="left" w:pos="964"/>
        </w:tabs>
        <w:rPr>
          <w:sz w:val="20"/>
          <w:szCs w:val="20"/>
        </w:rPr>
      </w:pPr>
      <w:r w:rsidRPr="00E42CFB">
        <w:rPr>
          <w:sz w:val="20"/>
          <w:szCs w:val="20"/>
        </w:rPr>
        <w:t xml:space="preserve">Obese: </w:t>
      </w:r>
      <w:r w:rsidRPr="00E42CFB">
        <w:rPr>
          <w:sz w:val="20"/>
          <w:szCs w:val="20"/>
        </w:rPr>
        <w:tab/>
      </w:r>
      <w:r w:rsidRPr="00E42CFB">
        <w:rPr>
          <w:sz w:val="20"/>
          <w:szCs w:val="20"/>
        </w:rPr>
        <w:tab/>
        <w:t xml:space="preserve">BMI or weight Z-score ≥1.64 </w:t>
      </w:r>
      <w:r w:rsidR="002B1600">
        <w:rPr>
          <w:sz w:val="20"/>
          <w:szCs w:val="20"/>
        </w:rPr>
        <w:t xml:space="preserve">= </w:t>
      </w:r>
      <w:r w:rsidRPr="00E42CFB">
        <w:rPr>
          <w:sz w:val="20"/>
          <w:szCs w:val="20"/>
        </w:rPr>
        <w:t>≥95</w:t>
      </w:r>
      <w:r w:rsidRPr="00E42CFB">
        <w:rPr>
          <w:sz w:val="20"/>
          <w:szCs w:val="20"/>
          <w:vertAlign w:val="superscript"/>
        </w:rPr>
        <w:t>th</w:t>
      </w:r>
      <w:r w:rsidRPr="00E42CFB">
        <w:rPr>
          <w:sz w:val="20"/>
          <w:szCs w:val="20"/>
        </w:rPr>
        <w:t xml:space="preserve"> percentile</w:t>
      </w:r>
    </w:p>
    <w:p w:rsidR="00E42CFB" w:rsidRDefault="00E42CFB" w:rsidP="00260FEB">
      <w:pPr>
        <w:tabs>
          <w:tab w:val="left" w:pos="964"/>
        </w:tabs>
        <w:spacing w:line="480" w:lineRule="auto"/>
        <w:rPr>
          <w:b/>
          <w:sz w:val="20"/>
          <w:szCs w:val="20"/>
        </w:rPr>
      </w:pPr>
    </w:p>
    <w:p w:rsidR="00FD529F" w:rsidRPr="00E42CFB" w:rsidRDefault="009C2BF6" w:rsidP="00260FEB">
      <w:pPr>
        <w:tabs>
          <w:tab w:val="left" w:pos="964"/>
        </w:tabs>
        <w:spacing w:line="480" w:lineRule="auto"/>
        <w:rPr>
          <w:b/>
          <w:bCs/>
          <w:sz w:val="20"/>
          <w:szCs w:val="20"/>
        </w:rPr>
      </w:pPr>
      <w:r>
        <w:rPr>
          <w:b/>
          <w:bCs/>
          <w:sz w:val="20"/>
          <w:szCs w:val="20"/>
        </w:rPr>
        <w:t>Figure 3</w:t>
      </w:r>
    </w:p>
    <w:p w:rsidR="00190DCB" w:rsidRPr="00E42CFB" w:rsidRDefault="00190DCB" w:rsidP="00190DCB">
      <w:pPr>
        <w:tabs>
          <w:tab w:val="left" w:pos="964"/>
        </w:tabs>
        <w:spacing w:line="480" w:lineRule="auto"/>
        <w:rPr>
          <w:b/>
          <w:sz w:val="20"/>
          <w:szCs w:val="20"/>
        </w:rPr>
      </w:pPr>
      <w:r w:rsidRPr="00E42CFB">
        <w:rPr>
          <w:b/>
          <w:bCs/>
          <w:sz w:val="20"/>
          <w:szCs w:val="20"/>
        </w:rPr>
        <w:t xml:space="preserve">Risk of </w:t>
      </w:r>
      <w:r w:rsidRPr="00E42CFB">
        <w:rPr>
          <w:b/>
          <w:sz w:val="20"/>
          <w:szCs w:val="20"/>
        </w:rPr>
        <w:t xml:space="preserve">pseudotumor cerebri syndrome associated with </w:t>
      </w:r>
      <w:r w:rsidRPr="00E42CFB">
        <w:rPr>
          <w:b/>
          <w:bCs/>
          <w:sz w:val="20"/>
          <w:szCs w:val="20"/>
        </w:rPr>
        <w:t>obesity and female sex by age</w:t>
      </w:r>
    </w:p>
    <w:p w:rsidR="00190DCB" w:rsidRPr="00E42CFB" w:rsidRDefault="00190DCB" w:rsidP="00190DCB">
      <w:pPr>
        <w:tabs>
          <w:tab w:val="left" w:pos="964"/>
        </w:tabs>
        <w:rPr>
          <w:sz w:val="20"/>
          <w:szCs w:val="20"/>
        </w:rPr>
      </w:pPr>
      <w:r>
        <w:rPr>
          <w:sz w:val="20"/>
          <w:szCs w:val="20"/>
        </w:rPr>
        <w:t xml:space="preserve">RR, </w:t>
      </w:r>
      <w:r w:rsidRPr="00E42CFB">
        <w:rPr>
          <w:sz w:val="20"/>
          <w:szCs w:val="20"/>
        </w:rPr>
        <w:t>Relative Risk; error bar</w:t>
      </w:r>
      <w:r>
        <w:rPr>
          <w:sz w:val="20"/>
          <w:szCs w:val="20"/>
        </w:rPr>
        <w:t>,</w:t>
      </w:r>
      <w:r w:rsidRPr="00E42CFB">
        <w:rPr>
          <w:sz w:val="20"/>
          <w:szCs w:val="20"/>
        </w:rPr>
        <w:t xml:space="preserve"> 95% confidence interval</w:t>
      </w:r>
      <w:r>
        <w:rPr>
          <w:sz w:val="20"/>
          <w:szCs w:val="20"/>
        </w:rPr>
        <w:t xml:space="preserve"> (CI)</w:t>
      </w:r>
      <w:r w:rsidRPr="00E42CFB">
        <w:rPr>
          <w:sz w:val="20"/>
          <w:szCs w:val="20"/>
        </w:rPr>
        <w:t>; PAR</w:t>
      </w:r>
      <w:r>
        <w:rPr>
          <w:sz w:val="20"/>
          <w:szCs w:val="20"/>
        </w:rPr>
        <w:t>,</w:t>
      </w:r>
      <w:r w:rsidRPr="00E42CFB">
        <w:rPr>
          <w:sz w:val="20"/>
          <w:szCs w:val="20"/>
        </w:rPr>
        <w:t xml:space="preserve"> Population Attributable Risk. </w:t>
      </w:r>
    </w:p>
    <w:p w:rsidR="00190DCB" w:rsidRPr="00E42CFB" w:rsidRDefault="00190DCB" w:rsidP="00190DCB">
      <w:pPr>
        <w:tabs>
          <w:tab w:val="left" w:pos="964"/>
        </w:tabs>
        <w:rPr>
          <w:sz w:val="20"/>
          <w:szCs w:val="20"/>
        </w:rPr>
      </w:pPr>
      <w:r w:rsidRPr="00E42CFB">
        <w:rPr>
          <w:sz w:val="20"/>
          <w:szCs w:val="20"/>
        </w:rPr>
        <w:t>* the observed RR is statistically significant i.e. 95% CI does not include unity.</w:t>
      </w:r>
    </w:p>
    <w:p w:rsidR="00190DCB" w:rsidRDefault="00190DCB" w:rsidP="00190DCB">
      <w:pPr>
        <w:tabs>
          <w:tab w:val="left" w:pos="964"/>
        </w:tabs>
        <w:rPr>
          <w:b/>
          <w:sz w:val="20"/>
          <w:szCs w:val="20"/>
        </w:rPr>
      </w:pPr>
    </w:p>
    <w:p w:rsidR="00190DCB" w:rsidRPr="00E42CFB" w:rsidRDefault="00190DCB" w:rsidP="00190DCB">
      <w:pPr>
        <w:tabs>
          <w:tab w:val="left" w:pos="964"/>
        </w:tabs>
        <w:rPr>
          <w:sz w:val="20"/>
          <w:szCs w:val="20"/>
        </w:rPr>
      </w:pPr>
      <w:r w:rsidRPr="00E42CFB">
        <w:rPr>
          <w:b/>
          <w:sz w:val="20"/>
          <w:szCs w:val="20"/>
        </w:rPr>
        <w:t>Upper panel:</w:t>
      </w:r>
      <w:r w:rsidRPr="00E42CFB">
        <w:rPr>
          <w:sz w:val="20"/>
          <w:szCs w:val="20"/>
        </w:rPr>
        <w:t xml:space="preserve"> Association between obesity and incidence of pseudotumor cerebri syndrome by sex and age category. </w:t>
      </w:r>
    </w:p>
    <w:p w:rsidR="00190DCB" w:rsidRPr="00E42CFB" w:rsidRDefault="00190DCB" w:rsidP="00190DCB">
      <w:pPr>
        <w:tabs>
          <w:tab w:val="left" w:pos="964"/>
        </w:tabs>
        <w:rPr>
          <w:sz w:val="20"/>
          <w:szCs w:val="20"/>
        </w:rPr>
      </w:pPr>
      <w:r w:rsidRPr="00E42CFB">
        <w:rPr>
          <w:sz w:val="20"/>
          <w:szCs w:val="20"/>
        </w:rPr>
        <w:t xml:space="preserve">RR of PTCS in obese versus non-overweight children is the ratio of the annual PTCS incidences in obese and non-overweight children, adjusted for age category and sex. </w:t>
      </w:r>
    </w:p>
    <w:p w:rsidR="00190DCB" w:rsidRPr="00E42CFB" w:rsidRDefault="00190DCB" w:rsidP="00190DCB">
      <w:pPr>
        <w:tabs>
          <w:tab w:val="left" w:pos="964"/>
        </w:tabs>
        <w:rPr>
          <w:sz w:val="20"/>
          <w:szCs w:val="20"/>
        </w:rPr>
      </w:pPr>
      <w:r w:rsidRPr="00E42CFB">
        <w:rPr>
          <w:sz w:val="20"/>
          <w:szCs w:val="20"/>
        </w:rPr>
        <w:t xml:space="preserve">PAR </w:t>
      </w:r>
      <w:r>
        <w:rPr>
          <w:sz w:val="20"/>
          <w:szCs w:val="20"/>
        </w:rPr>
        <w:t>of obesity</w:t>
      </w:r>
      <w:r w:rsidRPr="00E42CFB">
        <w:rPr>
          <w:sz w:val="20"/>
          <w:szCs w:val="20"/>
        </w:rPr>
        <w:t xml:space="preserve"> = annual PTCS incidence</w:t>
      </w:r>
      <w:r>
        <w:rPr>
          <w:sz w:val="20"/>
          <w:szCs w:val="20"/>
        </w:rPr>
        <w:t>s</w:t>
      </w:r>
      <w:r w:rsidRPr="00E42CFB">
        <w:rPr>
          <w:sz w:val="20"/>
          <w:szCs w:val="20"/>
        </w:rPr>
        <w:t xml:space="preserve"> in obese and non-overweight children – annual PTCS incide</w:t>
      </w:r>
      <w:r>
        <w:rPr>
          <w:sz w:val="20"/>
          <w:szCs w:val="20"/>
        </w:rPr>
        <w:t>nce in non-overweight children</w:t>
      </w:r>
    </w:p>
    <w:p w:rsidR="00190DCB" w:rsidRPr="00E42CFB" w:rsidRDefault="00190DCB" w:rsidP="00190DCB">
      <w:pPr>
        <w:tabs>
          <w:tab w:val="left" w:pos="964"/>
        </w:tabs>
        <w:rPr>
          <w:sz w:val="20"/>
          <w:szCs w:val="20"/>
        </w:rPr>
      </w:pPr>
      <w:r w:rsidRPr="00E42CFB">
        <w:rPr>
          <w:sz w:val="20"/>
          <w:szCs w:val="20"/>
        </w:rPr>
        <w:t xml:space="preserve">%PAR </w:t>
      </w:r>
      <w:r>
        <w:rPr>
          <w:sz w:val="20"/>
          <w:szCs w:val="20"/>
        </w:rPr>
        <w:t>of obesity</w:t>
      </w:r>
      <w:r w:rsidRPr="00E42CFB">
        <w:rPr>
          <w:sz w:val="20"/>
          <w:szCs w:val="20"/>
        </w:rPr>
        <w:t xml:space="preserve"> = (PAR </w:t>
      </w:r>
      <w:r>
        <w:rPr>
          <w:sz w:val="20"/>
          <w:szCs w:val="20"/>
        </w:rPr>
        <w:t>of obesity</w:t>
      </w:r>
      <w:r w:rsidRPr="00E42CFB">
        <w:rPr>
          <w:sz w:val="20"/>
          <w:szCs w:val="20"/>
          <w:vertAlign w:val="superscript"/>
        </w:rPr>
        <w:t xml:space="preserve"> </w:t>
      </w:r>
      <w:r w:rsidRPr="00E42CFB">
        <w:rPr>
          <w:sz w:val="20"/>
          <w:szCs w:val="20"/>
        </w:rPr>
        <w:t xml:space="preserve">x 100)/annual PTCS incidence in obese and non-overweight children. </w:t>
      </w:r>
    </w:p>
    <w:p w:rsidR="00190DCB" w:rsidRPr="00E42CFB" w:rsidRDefault="00190DCB" w:rsidP="00190DCB">
      <w:pPr>
        <w:tabs>
          <w:tab w:val="left" w:pos="964"/>
        </w:tabs>
        <w:rPr>
          <w:b/>
          <w:sz w:val="20"/>
          <w:szCs w:val="20"/>
        </w:rPr>
      </w:pPr>
    </w:p>
    <w:p w:rsidR="00190DCB" w:rsidRPr="00E42CFB" w:rsidRDefault="00190DCB" w:rsidP="00190DCB">
      <w:pPr>
        <w:tabs>
          <w:tab w:val="left" w:pos="964"/>
        </w:tabs>
        <w:rPr>
          <w:sz w:val="20"/>
          <w:szCs w:val="20"/>
        </w:rPr>
      </w:pPr>
      <w:r w:rsidRPr="00E42CFB">
        <w:rPr>
          <w:b/>
          <w:sz w:val="20"/>
          <w:szCs w:val="20"/>
        </w:rPr>
        <w:t>Lower panel:</w:t>
      </w:r>
      <w:r w:rsidRPr="00E42CFB">
        <w:rPr>
          <w:sz w:val="20"/>
          <w:szCs w:val="20"/>
        </w:rPr>
        <w:t xml:space="preserve"> Association between female sex and incidence of pseudotumor cerebri syndrome by age and weight categories</w:t>
      </w:r>
    </w:p>
    <w:p w:rsidR="00190DCB" w:rsidRPr="00E42CFB" w:rsidRDefault="00190DCB" w:rsidP="00190DCB">
      <w:pPr>
        <w:tabs>
          <w:tab w:val="left" w:pos="964"/>
        </w:tabs>
        <w:rPr>
          <w:sz w:val="20"/>
          <w:szCs w:val="20"/>
        </w:rPr>
      </w:pPr>
      <w:r w:rsidRPr="00E42CFB">
        <w:rPr>
          <w:sz w:val="20"/>
          <w:szCs w:val="20"/>
        </w:rPr>
        <w:t xml:space="preserve">RR in girls versus boys is the ratio of annual PTCS incidence rates in girls and boys, adjusted for age and weight categories. </w:t>
      </w:r>
    </w:p>
    <w:p w:rsidR="00190DCB" w:rsidRPr="00E42CFB" w:rsidRDefault="00190DCB" w:rsidP="00190DCB">
      <w:pPr>
        <w:tabs>
          <w:tab w:val="left" w:pos="964"/>
        </w:tabs>
        <w:rPr>
          <w:sz w:val="20"/>
          <w:szCs w:val="20"/>
        </w:rPr>
      </w:pPr>
      <w:r w:rsidRPr="00E42CFB">
        <w:rPr>
          <w:sz w:val="20"/>
          <w:szCs w:val="20"/>
        </w:rPr>
        <w:t>PAR of female sex = annual PTCS incidence in all child population – annual PTCS incidence in boys</w:t>
      </w:r>
    </w:p>
    <w:p w:rsidR="00190DCB" w:rsidRPr="00E42CFB" w:rsidRDefault="00190DCB" w:rsidP="00190DCB">
      <w:pPr>
        <w:tabs>
          <w:tab w:val="left" w:pos="964"/>
        </w:tabs>
        <w:rPr>
          <w:sz w:val="20"/>
          <w:szCs w:val="20"/>
        </w:rPr>
      </w:pPr>
      <w:r w:rsidRPr="00E42CFB">
        <w:rPr>
          <w:sz w:val="20"/>
          <w:szCs w:val="20"/>
        </w:rPr>
        <w:t>%PAR of female sex = (PAR</w:t>
      </w:r>
      <w:r w:rsidRPr="00E42CFB">
        <w:rPr>
          <w:sz w:val="20"/>
          <w:szCs w:val="20"/>
          <w:vertAlign w:val="superscript"/>
        </w:rPr>
        <w:t xml:space="preserve"> </w:t>
      </w:r>
      <w:r>
        <w:rPr>
          <w:sz w:val="20"/>
          <w:szCs w:val="20"/>
        </w:rPr>
        <w:t>of female sex x</w:t>
      </w:r>
      <w:r w:rsidRPr="00E42CFB">
        <w:rPr>
          <w:sz w:val="20"/>
          <w:szCs w:val="20"/>
        </w:rPr>
        <w:t xml:space="preserve"> 100)/annual PTCS incidence of the total child population</w:t>
      </w:r>
    </w:p>
    <w:p w:rsidR="003F3682" w:rsidRDefault="003F3682" w:rsidP="00CA0158">
      <w:pPr>
        <w:tabs>
          <w:tab w:val="left" w:pos="964"/>
        </w:tabs>
        <w:rPr>
          <w:b/>
          <w:bCs/>
          <w:sz w:val="20"/>
          <w:szCs w:val="20"/>
        </w:rPr>
      </w:pPr>
    </w:p>
    <w:p w:rsidR="0074384C" w:rsidRDefault="0074384C" w:rsidP="00260FEB">
      <w:pPr>
        <w:tabs>
          <w:tab w:val="left" w:pos="964"/>
        </w:tabs>
        <w:spacing w:line="480" w:lineRule="auto"/>
        <w:rPr>
          <w:b/>
          <w:bCs/>
          <w:sz w:val="20"/>
          <w:szCs w:val="20"/>
        </w:rPr>
      </w:pPr>
    </w:p>
    <w:p w:rsidR="00FD529F" w:rsidRDefault="009C2BF6" w:rsidP="00260FEB">
      <w:pPr>
        <w:tabs>
          <w:tab w:val="left" w:pos="964"/>
        </w:tabs>
        <w:spacing w:line="480" w:lineRule="auto"/>
        <w:rPr>
          <w:b/>
          <w:bCs/>
          <w:sz w:val="20"/>
          <w:szCs w:val="20"/>
        </w:rPr>
      </w:pPr>
      <w:r>
        <w:rPr>
          <w:b/>
          <w:bCs/>
          <w:sz w:val="20"/>
          <w:szCs w:val="20"/>
        </w:rPr>
        <w:t>Figure 4</w:t>
      </w:r>
    </w:p>
    <w:p w:rsidR="00FD529F" w:rsidRDefault="00B8379B" w:rsidP="00260FEB">
      <w:pPr>
        <w:tabs>
          <w:tab w:val="left" w:pos="964"/>
        </w:tabs>
        <w:spacing w:line="480" w:lineRule="auto"/>
        <w:rPr>
          <w:b/>
          <w:bCs/>
          <w:sz w:val="20"/>
          <w:szCs w:val="20"/>
        </w:rPr>
      </w:pPr>
      <w:r>
        <w:rPr>
          <w:b/>
          <w:bCs/>
          <w:sz w:val="20"/>
          <w:szCs w:val="20"/>
        </w:rPr>
        <w:t>Number and percentage of n</w:t>
      </w:r>
      <w:r w:rsidR="00246DFD" w:rsidRPr="00246DFD">
        <w:rPr>
          <w:b/>
          <w:bCs/>
          <w:sz w:val="20"/>
          <w:szCs w:val="20"/>
        </w:rPr>
        <w:t>eurological features and risk factors of childhood pseudotumor cerebri by age category</w:t>
      </w:r>
    </w:p>
    <w:p w:rsidR="00A1452A" w:rsidRDefault="007430B0" w:rsidP="00CA0158">
      <w:pPr>
        <w:rPr>
          <w:bCs/>
          <w:sz w:val="20"/>
          <w:szCs w:val="20"/>
        </w:rPr>
      </w:pPr>
      <w:r w:rsidRPr="00E42CFB">
        <w:rPr>
          <w:bCs/>
          <w:sz w:val="20"/>
          <w:szCs w:val="20"/>
        </w:rPr>
        <w:t>*</w:t>
      </w:r>
      <w:r w:rsidR="00B8379B">
        <w:rPr>
          <w:bCs/>
          <w:sz w:val="20"/>
          <w:szCs w:val="20"/>
        </w:rPr>
        <w:t xml:space="preserve"> </w:t>
      </w:r>
      <w:r w:rsidRPr="00E42CFB">
        <w:rPr>
          <w:bCs/>
          <w:sz w:val="20"/>
          <w:szCs w:val="20"/>
        </w:rPr>
        <w:t>p&lt;0.05</w:t>
      </w:r>
    </w:p>
    <w:p w:rsidR="00A1452A" w:rsidRDefault="00A1452A" w:rsidP="00CA0158">
      <w:pPr>
        <w:rPr>
          <w:bCs/>
          <w:sz w:val="20"/>
          <w:szCs w:val="20"/>
        </w:rPr>
      </w:pPr>
    </w:p>
    <w:p w:rsidR="00E42CFB" w:rsidRDefault="00A1452A" w:rsidP="00CA0158">
      <w:pPr>
        <w:rPr>
          <w:bCs/>
          <w:sz w:val="20"/>
          <w:szCs w:val="20"/>
        </w:rPr>
      </w:pPr>
      <w:r>
        <w:rPr>
          <w:bCs/>
          <w:sz w:val="20"/>
          <w:szCs w:val="20"/>
        </w:rPr>
        <w:fldChar w:fldCharType="begin"/>
      </w:r>
      <w:r>
        <w:rPr>
          <w:bCs/>
          <w:sz w:val="20"/>
          <w:szCs w:val="20"/>
        </w:rPr>
        <w:instrText xml:space="preserve"> ADDIN EN.REFLIST </w:instrText>
      </w:r>
      <w:r>
        <w:rPr>
          <w:bCs/>
          <w:sz w:val="20"/>
          <w:szCs w:val="20"/>
        </w:rPr>
        <w:fldChar w:fldCharType="end"/>
      </w:r>
    </w:p>
    <w:sectPr w:rsidR="00E42CFB" w:rsidSect="007D0CAF">
      <w:pgSz w:w="11906" w:h="16838" w:code="9"/>
      <w:pgMar w:top="820" w:right="709" w:bottom="144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9D" w:rsidRDefault="00E77B9D" w:rsidP="003E4BD4">
      <w:r>
        <w:separator/>
      </w:r>
    </w:p>
  </w:endnote>
  <w:endnote w:type="continuationSeparator" w:id="0">
    <w:p w:rsidR="00E77B9D" w:rsidRDefault="00E77B9D" w:rsidP="003E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AB" w:rsidRDefault="009C04AB">
    <w:pPr>
      <w:pStyle w:val="Footer"/>
      <w:jc w:val="right"/>
    </w:pPr>
    <w:r>
      <w:fldChar w:fldCharType="begin"/>
    </w:r>
    <w:r>
      <w:instrText xml:space="preserve"> PAGE   \* MERGEFORMAT </w:instrText>
    </w:r>
    <w:r>
      <w:fldChar w:fldCharType="separate"/>
    </w:r>
    <w:r w:rsidR="00023989">
      <w:rPr>
        <w:noProof/>
      </w:rPr>
      <w:t>20</w:t>
    </w:r>
    <w:r>
      <w:rPr>
        <w:noProof/>
      </w:rPr>
      <w:fldChar w:fldCharType="end"/>
    </w:r>
  </w:p>
  <w:p w:rsidR="009C04AB" w:rsidRDefault="009C0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9D" w:rsidRDefault="00E77B9D" w:rsidP="003E4BD4">
      <w:r>
        <w:separator/>
      </w:r>
    </w:p>
  </w:footnote>
  <w:footnote w:type="continuationSeparator" w:id="0">
    <w:p w:rsidR="00E77B9D" w:rsidRDefault="00E77B9D" w:rsidP="003E4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6854"/>
    <w:multiLevelType w:val="hybridMultilevel"/>
    <w:tmpl w:val="91C0E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A296C"/>
    <w:multiLevelType w:val="hybridMultilevel"/>
    <w:tmpl w:val="B13CE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53125"/>
    <w:multiLevelType w:val="hybridMultilevel"/>
    <w:tmpl w:val="8DB2829A"/>
    <w:lvl w:ilvl="0" w:tplc="0809000F">
      <w:start w:val="1"/>
      <w:numFmt w:val="decimal"/>
      <w:lvlText w:val="%1."/>
      <w:lvlJc w:val="left"/>
      <w:pPr>
        <w:ind w:left="366" w:hanging="360"/>
      </w:p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3" w15:restartNumberingAfterBreak="0">
    <w:nsid w:val="1202186C"/>
    <w:multiLevelType w:val="hybridMultilevel"/>
    <w:tmpl w:val="53C880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0E575C"/>
    <w:multiLevelType w:val="hybridMultilevel"/>
    <w:tmpl w:val="046E30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592777"/>
    <w:multiLevelType w:val="hybridMultilevel"/>
    <w:tmpl w:val="66E024AE"/>
    <w:lvl w:ilvl="0" w:tplc="77F20B2E">
      <w:start w:val="1"/>
      <w:numFmt w:val="decimal"/>
      <w:lvlText w:val="%1."/>
      <w:lvlJc w:val="left"/>
      <w:pPr>
        <w:tabs>
          <w:tab w:val="num" w:pos="360"/>
        </w:tabs>
        <w:ind w:left="360" w:hanging="360"/>
      </w:pPr>
      <w:rPr>
        <w:rFonts w:ascii="Times New Roman" w:eastAsia="Times New Roman" w:hAnsi="Times New Roman" w:cs="Times New Roman"/>
        <w:sz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0ED6E09"/>
    <w:multiLevelType w:val="hybridMultilevel"/>
    <w:tmpl w:val="8198272C"/>
    <w:lvl w:ilvl="0" w:tplc="70FCD616">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7" w15:restartNumberingAfterBreak="0">
    <w:nsid w:val="27CD2291"/>
    <w:multiLevelType w:val="hybridMultilevel"/>
    <w:tmpl w:val="79F4EC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B254B8"/>
    <w:multiLevelType w:val="hybridMultilevel"/>
    <w:tmpl w:val="714035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609DC"/>
    <w:multiLevelType w:val="hybridMultilevel"/>
    <w:tmpl w:val="2C201266"/>
    <w:lvl w:ilvl="0" w:tplc="210086F0">
      <w:start w:val="1"/>
      <w:numFmt w:val="decimal"/>
      <w:lvlText w:val="%1."/>
      <w:lvlJc w:val="left"/>
      <w:pPr>
        <w:tabs>
          <w:tab w:val="num" w:pos="6"/>
        </w:tabs>
        <w:ind w:left="6" w:hanging="360"/>
      </w:pPr>
      <w:rPr>
        <w:rFonts w:ascii="Times New Roman" w:eastAsia="Times New Roman" w:hAnsi="Times New Roman" w:cs="Times New Roman"/>
      </w:rPr>
    </w:lvl>
    <w:lvl w:ilvl="1" w:tplc="08090019" w:tentative="1">
      <w:start w:val="1"/>
      <w:numFmt w:val="lowerLetter"/>
      <w:lvlText w:val="%2."/>
      <w:lvlJc w:val="left"/>
      <w:pPr>
        <w:tabs>
          <w:tab w:val="num" w:pos="726"/>
        </w:tabs>
        <w:ind w:left="726" w:hanging="360"/>
      </w:pPr>
    </w:lvl>
    <w:lvl w:ilvl="2" w:tplc="0809001B" w:tentative="1">
      <w:start w:val="1"/>
      <w:numFmt w:val="lowerRoman"/>
      <w:lvlText w:val="%3."/>
      <w:lvlJc w:val="right"/>
      <w:pPr>
        <w:tabs>
          <w:tab w:val="num" w:pos="1446"/>
        </w:tabs>
        <w:ind w:left="1446" w:hanging="180"/>
      </w:pPr>
    </w:lvl>
    <w:lvl w:ilvl="3" w:tplc="0809000F" w:tentative="1">
      <w:start w:val="1"/>
      <w:numFmt w:val="decimal"/>
      <w:lvlText w:val="%4."/>
      <w:lvlJc w:val="left"/>
      <w:pPr>
        <w:tabs>
          <w:tab w:val="num" w:pos="2166"/>
        </w:tabs>
        <w:ind w:left="2166" w:hanging="360"/>
      </w:pPr>
    </w:lvl>
    <w:lvl w:ilvl="4" w:tplc="08090019" w:tentative="1">
      <w:start w:val="1"/>
      <w:numFmt w:val="lowerLetter"/>
      <w:lvlText w:val="%5."/>
      <w:lvlJc w:val="left"/>
      <w:pPr>
        <w:tabs>
          <w:tab w:val="num" w:pos="2886"/>
        </w:tabs>
        <w:ind w:left="2886" w:hanging="360"/>
      </w:pPr>
    </w:lvl>
    <w:lvl w:ilvl="5" w:tplc="0809001B" w:tentative="1">
      <w:start w:val="1"/>
      <w:numFmt w:val="lowerRoman"/>
      <w:lvlText w:val="%6."/>
      <w:lvlJc w:val="right"/>
      <w:pPr>
        <w:tabs>
          <w:tab w:val="num" w:pos="3606"/>
        </w:tabs>
        <w:ind w:left="3606" w:hanging="180"/>
      </w:pPr>
    </w:lvl>
    <w:lvl w:ilvl="6" w:tplc="0809000F" w:tentative="1">
      <w:start w:val="1"/>
      <w:numFmt w:val="decimal"/>
      <w:lvlText w:val="%7."/>
      <w:lvlJc w:val="left"/>
      <w:pPr>
        <w:tabs>
          <w:tab w:val="num" w:pos="4326"/>
        </w:tabs>
        <w:ind w:left="4326" w:hanging="360"/>
      </w:pPr>
    </w:lvl>
    <w:lvl w:ilvl="7" w:tplc="08090019" w:tentative="1">
      <w:start w:val="1"/>
      <w:numFmt w:val="lowerLetter"/>
      <w:lvlText w:val="%8."/>
      <w:lvlJc w:val="left"/>
      <w:pPr>
        <w:tabs>
          <w:tab w:val="num" w:pos="5046"/>
        </w:tabs>
        <w:ind w:left="5046" w:hanging="360"/>
      </w:pPr>
    </w:lvl>
    <w:lvl w:ilvl="8" w:tplc="0809001B" w:tentative="1">
      <w:start w:val="1"/>
      <w:numFmt w:val="lowerRoman"/>
      <w:lvlText w:val="%9."/>
      <w:lvlJc w:val="right"/>
      <w:pPr>
        <w:tabs>
          <w:tab w:val="num" w:pos="5766"/>
        </w:tabs>
        <w:ind w:left="5766" w:hanging="180"/>
      </w:pPr>
    </w:lvl>
  </w:abstractNum>
  <w:abstractNum w:abstractNumId="10" w15:restartNumberingAfterBreak="0">
    <w:nsid w:val="38530ADE"/>
    <w:multiLevelType w:val="hybridMultilevel"/>
    <w:tmpl w:val="4DD072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725D9C"/>
    <w:multiLevelType w:val="hybridMultilevel"/>
    <w:tmpl w:val="A4805C78"/>
    <w:lvl w:ilvl="0" w:tplc="DE54E1F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66672"/>
    <w:multiLevelType w:val="hybridMultilevel"/>
    <w:tmpl w:val="E8940762"/>
    <w:lvl w:ilvl="0" w:tplc="210086F0">
      <w:start w:val="1"/>
      <w:numFmt w:val="decimal"/>
      <w:lvlText w:val="%1."/>
      <w:lvlJc w:val="left"/>
      <w:pPr>
        <w:tabs>
          <w:tab w:val="num" w:pos="6"/>
        </w:tabs>
        <w:ind w:left="6"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C116B3"/>
    <w:multiLevelType w:val="hybridMultilevel"/>
    <w:tmpl w:val="8EFE12A4"/>
    <w:lvl w:ilvl="0" w:tplc="A3BE535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463B9"/>
    <w:multiLevelType w:val="hybridMultilevel"/>
    <w:tmpl w:val="B7F0ECFC"/>
    <w:lvl w:ilvl="0" w:tplc="DE54E1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F50BC"/>
    <w:multiLevelType w:val="hybridMultilevel"/>
    <w:tmpl w:val="E53A6C8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4E34FE"/>
    <w:multiLevelType w:val="hybridMultilevel"/>
    <w:tmpl w:val="61FC69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1A2211"/>
    <w:multiLevelType w:val="hybridMultilevel"/>
    <w:tmpl w:val="28AE06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046398"/>
    <w:multiLevelType w:val="hybridMultilevel"/>
    <w:tmpl w:val="21C03EF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3E424FA"/>
    <w:multiLevelType w:val="hybridMultilevel"/>
    <w:tmpl w:val="6BC8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86490"/>
    <w:multiLevelType w:val="hybridMultilevel"/>
    <w:tmpl w:val="7D7E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3517F"/>
    <w:multiLevelType w:val="hybridMultilevel"/>
    <w:tmpl w:val="90E4FFF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9F3E43"/>
    <w:multiLevelType w:val="hybridMultilevel"/>
    <w:tmpl w:val="04BAB0C0"/>
    <w:lvl w:ilvl="0" w:tplc="A09CF5E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B9013E"/>
    <w:multiLevelType w:val="hybridMultilevel"/>
    <w:tmpl w:val="793EA7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22231B"/>
    <w:multiLevelType w:val="hybridMultilevel"/>
    <w:tmpl w:val="D3F4E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01AB9"/>
    <w:multiLevelType w:val="hybridMultilevel"/>
    <w:tmpl w:val="E3C8FA20"/>
    <w:lvl w:ilvl="0" w:tplc="5D82C938">
      <w:start w:val="1"/>
      <w:numFmt w:val="lowerLetter"/>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6" w15:restartNumberingAfterBreak="0">
    <w:nsid w:val="71592B92"/>
    <w:multiLevelType w:val="hybridMultilevel"/>
    <w:tmpl w:val="895AABD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54763"/>
    <w:multiLevelType w:val="hybridMultilevel"/>
    <w:tmpl w:val="B7EEB6C8"/>
    <w:lvl w:ilvl="0" w:tplc="DE54E1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92A42"/>
    <w:multiLevelType w:val="hybridMultilevel"/>
    <w:tmpl w:val="1EF4F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B2341E"/>
    <w:multiLevelType w:val="hybridMultilevel"/>
    <w:tmpl w:val="3A2C11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633B52"/>
    <w:multiLevelType w:val="hybridMultilevel"/>
    <w:tmpl w:val="9716A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338C3"/>
    <w:multiLevelType w:val="hybridMultilevel"/>
    <w:tmpl w:val="824E52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4"/>
  </w:num>
  <w:num w:numId="2">
    <w:abstractNumId w:val="21"/>
  </w:num>
  <w:num w:numId="3">
    <w:abstractNumId w:val="30"/>
  </w:num>
  <w:num w:numId="4">
    <w:abstractNumId w:val="0"/>
  </w:num>
  <w:num w:numId="5">
    <w:abstractNumId w:val="26"/>
  </w:num>
  <w:num w:numId="6">
    <w:abstractNumId w:val="19"/>
  </w:num>
  <w:num w:numId="7">
    <w:abstractNumId w:val="1"/>
  </w:num>
  <w:num w:numId="8">
    <w:abstractNumId w:val="7"/>
  </w:num>
  <w:num w:numId="9">
    <w:abstractNumId w:val="10"/>
  </w:num>
  <w:num w:numId="10">
    <w:abstractNumId w:val="29"/>
  </w:num>
  <w:num w:numId="11">
    <w:abstractNumId w:val="15"/>
  </w:num>
  <w:num w:numId="12">
    <w:abstractNumId w:val="18"/>
  </w:num>
  <w:num w:numId="13">
    <w:abstractNumId w:val="17"/>
  </w:num>
  <w:num w:numId="14">
    <w:abstractNumId w:val="8"/>
  </w:num>
  <w:num w:numId="15">
    <w:abstractNumId w:val="28"/>
  </w:num>
  <w:num w:numId="16">
    <w:abstractNumId w:val="13"/>
  </w:num>
  <w:num w:numId="17">
    <w:abstractNumId w:val="14"/>
  </w:num>
  <w:num w:numId="18">
    <w:abstractNumId w:val="27"/>
  </w:num>
  <w:num w:numId="19">
    <w:abstractNumId w:val="11"/>
  </w:num>
  <w:num w:numId="20">
    <w:abstractNumId w:val="9"/>
  </w:num>
  <w:num w:numId="21">
    <w:abstractNumId w:val="5"/>
  </w:num>
  <w:num w:numId="22">
    <w:abstractNumId w:val="31"/>
  </w:num>
  <w:num w:numId="23">
    <w:abstractNumId w:val="22"/>
  </w:num>
  <w:num w:numId="24">
    <w:abstractNumId w:val="3"/>
  </w:num>
  <w:num w:numId="25">
    <w:abstractNumId w:val="4"/>
  </w:num>
  <w:num w:numId="26">
    <w:abstractNumId w:val="12"/>
  </w:num>
  <w:num w:numId="27">
    <w:abstractNumId w:val="2"/>
  </w:num>
  <w:num w:numId="28">
    <w:abstractNumId w:val="20"/>
  </w:num>
  <w:num w:numId="29">
    <w:abstractNumId w:val="6"/>
  </w:num>
  <w:num w:numId="30">
    <w:abstractNumId w:val="25"/>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GB" w:vendorID="64" w:dllVersion="131078" w:nlCheck="1" w:checkStyle="0"/>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v0sx9wdppswvcex5r9x0rthreed9rv0wfte&quot;&gt;IIH&lt;record-ids&gt;&lt;item&gt;39&lt;/item&gt;&lt;/record-ids&gt;&lt;/item&gt;&lt;/Libraries&gt;"/>
  </w:docVars>
  <w:rsids>
    <w:rsidRoot w:val="00E077B8"/>
    <w:rsid w:val="0000045B"/>
    <w:rsid w:val="00001C72"/>
    <w:rsid w:val="000032C6"/>
    <w:rsid w:val="0000378D"/>
    <w:rsid w:val="00003A31"/>
    <w:rsid w:val="000042D5"/>
    <w:rsid w:val="000046B7"/>
    <w:rsid w:val="00005BA8"/>
    <w:rsid w:val="00006B34"/>
    <w:rsid w:val="00010991"/>
    <w:rsid w:val="00010E3B"/>
    <w:rsid w:val="00011B78"/>
    <w:rsid w:val="00014376"/>
    <w:rsid w:val="00016517"/>
    <w:rsid w:val="00016AAD"/>
    <w:rsid w:val="00016CE5"/>
    <w:rsid w:val="00017BB0"/>
    <w:rsid w:val="00020D05"/>
    <w:rsid w:val="0002214E"/>
    <w:rsid w:val="00022536"/>
    <w:rsid w:val="00022B7F"/>
    <w:rsid w:val="00023989"/>
    <w:rsid w:val="00026AFF"/>
    <w:rsid w:val="00026F94"/>
    <w:rsid w:val="0002763E"/>
    <w:rsid w:val="00027B84"/>
    <w:rsid w:val="0003132A"/>
    <w:rsid w:val="00031D9B"/>
    <w:rsid w:val="00031FEA"/>
    <w:rsid w:val="00033DB7"/>
    <w:rsid w:val="00033F67"/>
    <w:rsid w:val="00034C82"/>
    <w:rsid w:val="00035175"/>
    <w:rsid w:val="00035254"/>
    <w:rsid w:val="000354AC"/>
    <w:rsid w:val="00036048"/>
    <w:rsid w:val="00036D94"/>
    <w:rsid w:val="000376A1"/>
    <w:rsid w:val="00040AEE"/>
    <w:rsid w:val="00040EBF"/>
    <w:rsid w:val="0004317C"/>
    <w:rsid w:val="00043D05"/>
    <w:rsid w:val="00043F8C"/>
    <w:rsid w:val="000454DE"/>
    <w:rsid w:val="00045D1C"/>
    <w:rsid w:val="000463C5"/>
    <w:rsid w:val="000465BE"/>
    <w:rsid w:val="000510D8"/>
    <w:rsid w:val="00053217"/>
    <w:rsid w:val="000544EE"/>
    <w:rsid w:val="000564FB"/>
    <w:rsid w:val="0005676A"/>
    <w:rsid w:val="0005681A"/>
    <w:rsid w:val="00057217"/>
    <w:rsid w:val="00060305"/>
    <w:rsid w:val="000609BF"/>
    <w:rsid w:val="0006112A"/>
    <w:rsid w:val="00061578"/>
    <w:rsid w:val="0006198F"/>
    <w:rsid w:val="00063663"/>
    <w:rsid w:val="00063884"/>
    <w:rsid w:val="00066B63"/>
    <w:rsid w:val="00071C77"/>
    <w:rsid w:val="0007318E"/>
    <w:rsid w:val="00076198"/>
    <w:rsid w:val="000774F6"/>
    <w:rsid w:val="000777F1"/>
    <w:rsid w:val="00081D56"/>
    <w:rsid w:val="000830B2"/>
    <w:rsid w:val="00083F1C"/>
    <w:rsid w:val="000846B9"/>
    <w:rsid w:val="00085545"/>
    <w:rsid w:val="00085EA6"/>
    <w:rsid w:val="00085FF9"/>
    <w:rsid w:val="000863B1"/>
    <w:rsid w:val="0008649A"/>
    <w:rsid w:val="0008739B"/>
    <w:rsid w:val="00087F1E"/>
    <w:rsid w:val="00090497"/>
    <w:rsid w:val="000926E9"/>
    <w:rsid w:val="000927A3"/>
    <w:rsid w:val="00092E91"/>
    <w:rsid w:val="00093401"/>
    <w:rsid w:val="0009535F"/>
    <w:rsid w:val="000956EB"/>
    <w:rsid w:val="00095816"/>
    <w:rsid w:val="00096F3E"/>
    <w:rsid w:val="000978A1"/>
    <w:rsid w:val="000A0DBE"/>
    <w:rsid w:val="000A1BD1"/>
    <w:rsid w:val="000A1FB3"/>
    <w:rsid w:val="000A362C"/>
    <w:rsid w:val="000A5697"/>
    <w:rsid w:val="000A57AB"/>
    <w:rsid w:val="000B254B"/>
    <w:rsid w:val="000B2657"/>
    <w:rsid w:val="000B2EC3"/>
    <w:rsid w:val="000B38F4"/>
    <w:rsid w:val="000B458E"/>
    <w:rsid w:val="000B480C"/>
    <w:rsid w:val="000B5738"/>
    <w:rsid w:val="000B6186"/>
    <w:rsid w:val="000B6329"/>
    <w:rsid w:val="000B6D1F"/>
    <w:rsid w:val="000B70CD"/>
    <w:rsid w:val="000B76ED"/>
    <w:rsid w:val="000B7BCA"/>
    <w:rsid w:val="000C0111"/>
    <w:rsid w:val="000C0656"/>
    <w:rsid w:val="000C21DE"/>
    <w:rsid w:val="000C328E"/>
    <w:rsid w:val="000C3980"/>
    <w:rsid w:val="000C4909"/>
    <w:rsid w:val="000C5015"/>
    <w:rsid w:val="000C5467"/>
    <w:rsid w:val="000C5D77"/>
    <w:rsid w:val="000C79F4"/>
    <w:rsid w:val="000C7DFB"/>
    <w:rsid w:val="000C7E6E"/>
    <w:rsid w:val="000D127F"/>
    <w:rsid w:val="000D22DC"/>
    <w:rsid w:val="000D4099"/>
    <w:rsid w:val="000E137A"/>
    <w:rsid w:val="000E3D4F"/>
    <w:rsid w:val="000E5681"/>
    <w:rsid w:val="000E64F3"/>
    <w:rsid w:val="000F04CA"/>
    <w:rsid w:val="000F1995"/>
    <w:rsid w:val="000F1A43"/>
    <w:rsid w:val="000F23D6"/>
    <w:rsid w:val="000F3699"/>
    <w:rsid w:val="000F4614"/>
    <w:rsid w:val="000F56BE"/>
    <w:rsid w:val="001022CA"/>
    <w:rsid w:val="0010244A"/>
    <w:rsid w:val="001027D5"/>
    <w:rsid w:val="0010305D"/>
    <w:rsid w:val="00103935"/>
    <w:rsid w:val="00104129"/>
    <w:rsid w:val="00105E7E"/>
    <w:rsid w:val="0010613A"/>
    <w:rsid w:val="0010625B"/>
    <w:rsid w:val="00107F44"/>
    <w:rsid w:val="0011092B"/>
    <w:rsid w:val="001116C9"/>
    <w:rsid w:val="001124B9"/>
    <w:rsid w:val="00114189"/>
    <w:rsid w:val="00114528"/>
    <w:rsid w:val="00114A72"/>
    <w:rsid w:val="001150A6"/>
    <w:rsid w:val="001151B8"/>
    <w:rsid w:val="001152BD"/>
    <w:rsid w:val="00115B66"/>
    <w:rsid w:val="001165AC"/>
    <w:rsid w:val="00125B31"/>
    <w:rsid w:val="00127E60"/>
    <w:rsid w:val="00130386"/>
    <w:rsid w:val="00131C65"/>
    <w:rsid w:val="00131F04"/>
    <w:rsid w:val="00132C9A"/>
    <w:rsid w:val="0013331A"/>
    <w:rsid w:val="00134CD2"/>
    <w:rsid w:val="0013580E"/>
    <w:rsid w:val="001359D4"/>
    <w:rsid w:val="001365E7"/>
    <w:rsid w:val="001415C1"/>
    <w:rsid w:val="00141B3C"/>
    <w:rsid w:val="00142773"/>
    <w:rsid w:val="0014280E"/>
    <w:rsid w:val="001459F6"/>
    <w:rsid w:val="00145BD6"/>
    <w:rsid w:val="001460D9"/>
    <w:rsid w:val="00146275"/>
    <w:rsid w:val="0014647B"/>
    <w:rsid w:val="001514EF"/>
    <w:rsid w:val="00151E3E"/>
    <w:rsid w:val="001522A8"/>
    <w:rsid w:val="00153140"/>
    <w:rsid w:val="0015349A"/>
    <w:rsid w:val="0015462F"/>
    <w:rsid w:val="0015475A"/>
    <w:rsid w:val="001555D4"/>
    <w:rsid w:val="00156C1E"/>
    <w:rsid w:val="00160080"/>
    <w:rsid w:val="001640F5"/>
    <w:rsid w:val="00164A05"/>
    <w:rsid w:val="00164E07"/>
    <w:rsid w:val="001673CC"/>
    <w:rsid w:val="00172CAE"/>
    <w:rsid w:val="00174172"/>
    <w:rsid w:val="00174235"/>
    <w:rsid w:val="00175043"/>
    <w:rsid w:val="00176A20"/>
    <w:rsid w:val="00176B0B"/>
    <w:rsid w:val="0017749B"/>
    <w:rsid w:val="00177BE6"/>
    <w:rsid w:val="001803B1"/>
    <w:rsid w:val="001829FC"/>
    <w:rsid w:val="00182DC9"/>
    <w:rsid w:val="0018474F"/>
    <w:rsid w:val="00184780"/>
    <w:rsid w:val="00185781"/>
    <w:rsid w:val="00185CDF"/>
    <w:rsid w:val="0018610E"/>
    <w:rsid w:val="001864F4"/>
    <w:rsid w:val="0018700A"/>
    <w:rsid w:val="00187F95"/>
    <w:rsid w:val="001900BC"/>
    <w:rsid w:val="00190DCB"/>
    <w:rsid w:val="00190EF6"/>
    <w:rsid w:val="00191CFA"/>
    <w:rsid w:val="001928B8"/>
    <w:rsid w:val="00192A25"/>
    <w:rsid w:val="0019409B"/>
    <w:rsid w:val="00194430"/>
    <w:rsid w:val="00194912"/>
    <w:rsid w:val="00195399"/>
    <w:rsid w:val="00195781"/>
    <w:rsid w:val="001966CE"/>
    <w:rsid w:val="001A1FD7"/>
    <w:rsid w:val="001A2506"/>
    <w:rsid w:val="001A2B0D"/>
    <w:rsid w:val="001A2D32"/>
    <w:rsid w:val="001A499E"/>
    <w:rsid w:val="001A56BD"/>
    <w:rsid w:val="001A6067"/>
    <w:rsid w:val="001A690B"/>
    <w:rsid w:val="001B0DB4"/>
    <w:rsid w:val="001B1862"/>
    <w:rsid w:val="001B3BC1"/>
    <w:rsid w:val="001B46DC"/>
    <w:rsid w:val="001B57EE"/>
    <w:rsid w:val="001B5DA1"/>
    <w:rsid w:val="001B72CA"/>
    <w:rsid w:val="001B7490"/>
    <w:rsid w:val="001C0CD1"/>
    <w:rsid w:val="001C214E"/>
    <w:rsid w:val="001C2D64"/>
    <w:rsid w:val="001C4310"/>
    <w:rsid w:val="001C52F6"/>
    <w:rsid w:val="001C66DB"/>
    <w:rsid w:val="001C6972"/>
    <w:rsid w:val="001D0EAC"/>
    <w:rsid w:val="001D1588"/>
    <w:rsid w:val="001D1D73"/>
    <w:rsid w:val="001D1FD6"/>
    <w:rsid w:val="001D2B38"/>
    <w:rsid w:val="001D4734"/>
    <w:rsid w:val="001D56C2"/>
    <w:rsid w:val="001D5CC9"/>
    <w:rsid w:val="001D5D3D"/>
    <w:rsid w:val="001D6067"/>
    <w:rsid w:val="001D664C"/>
    <w:rsid w:val="001D6F26"/>
    <w:rsid w:val="001D760E"/>
    <w:rsid w:val="001E129D"/>
    <w:rsid w:val="001E408A"/>
    <w:rsid w:val="001E49EC"/>
    <w:rsid w:val="001E55A1"/>
    <w:rsid w:val="001E5CC8"/>
    <w:rsid w:val="001E7517"/>
    <w:rsid w:val="001E7876"/>
    <w:rsid w:val="001F16B0"/>
    <w:rsid w:val="001F2127"/>
    <w:rsid w:val="001F25DB"/>
    <w:rsid w:val="001F3205"/>
    <w:rsid w:val="001F54CA"/>
    <w:rsid w:val="00200E38"/>
    <w:rsid w:val="00200FD4"/>
    <w:rsid w:val="00203F1C"/>
    <w:rsid w:val="00204395"/>
    <w:rsid w:val="002046F1"/>
    <w:rsid w:val="00206915"/>
    <w:rsid w:val="00206C59"/>
    <w:rsid w:val="002072E3"/>
    <w:rsid w:val="00210F81"/>
    <w:rsid w:val="0021146A"/>
    <w:rsid w:val="00211F61"/>
    <w:rsid w:val="00213071"/>
    <w:rsid w:val="002140C9"/>
    <w:rsid w:val="002153BF"/>
    <w:rsid w:val="00216F32"/>
    <w:rsid w:val="00220677"/>
    <w:rsid w:val="00220E6F"/>
    <w:rsid w:val="00221250"/>
    <w:rsid w:val="00221864"/>
    <w:rsid w:val="002218E8"/>
    <w:rsid w:val="00221F8E"/>
    <w:rsid w:val="00222EB9"/>
    <w:rsid w:val="00222EEC"/>
    <w:rsid w:val="00222F96"/>
    <w:rsid w:val="00223649"/>
    <w:rsid w:val="00224AB9"/>
    <w:rsid w:val="00225F2E"/>
    <w:rsid w:val="00225FD5"/>
    <w:rsid w:val="0023054D"/>
    <w:rsid w:val="0023129F"/>
    <w:rsid w:val="00231433"/>
    <w:rsid w:val="00235755"/>
    <w:rsid w:val="0023756F"/>
    <w:rsid w:val="00242605"/>
    <w:rsid w:val="002434B4"/>
    <w:rsid w:val="00244B36"/>
    <w:rsid w:val="00245ADC"/>
    <w:rsid w:val="00245FF6"/>
    <w:rsid w:val="00246DFD"/>
    <w:rsid w:val="00251487"/>
    <w:rsid w:val="00252D99"/>
    <w:rsid w:val="00252ED3"/>
    <w:rsid w:val="002534BC"/>
    <w:rsid w:val="0025381E"/>
    <w:rsid w:val="00253A94"/>
    <w:rsid w:val="00254EA9"/>
    <w:rsid w:val="00256592"/>
    <w:rsid w:val="00256B17"/>
    <w:rsid w:val="00257023"/>
    <w:rsid w:val="00257E48"/>
    <w:rsid w:val="0026045F"/>
    <w:rsid w:val="00260FEB"/>
    <w:rsid w:val="002613F1"/>
    <w:rsid w:val="00261697"/>
    <w:rsid w:val="00261A8B"/>
    <w:rsid w:val="00261D3F"/>
    <w:rsid w:val="00262793"/>
    <w:rsid w:val="00263B32"/>
    <w:rsid w:val="00264361"/>
    <w:rsid w:val="00264B66"/>
    <w:rsid w:val="002657BD"/>
    <w:rsid w:val="00266317"/>
    <w:rsid w:val="00266640"/>
    <w:rsid w:val="002668BD"/>
    <w:rsid w:val="00266EB7"/>
    <w:rsid w:val="00266F34"/>
    <w:rsid w:val="00267119"/>
    <w:rsid w:val="002676F7"/>
    <w:rsid w:val="002678D3"/>
    <w:rsid w:val="00267A41"/>
    <w:rsid w:val="00267CFF"/>
    <w:rsid w:val="0027009F"/>
    <w:rsid w:val="00270AB4"/>
    <w:rsid w:val="00271CB4"/>
    <w:rsid w:val="002738A3"/>
    <w:rsid w:val="00273DAB"/>
    <w:rsid w:val="002745BA"/>
    <w:rsid w:val="002805E8"/>
    <w:rsid w:val="002810E8"/>
    <w:rsid w:val="00282B17"/>
    <w:rsid w:val="00282BA0"/>
    <w:rsid w:val="00282DBA"/>
    <w:rsid w:val="00283107"/>
    <w:rsid w:val="0028334E"/>
    <w:rsid w:val="00284349"/>
    <w:rsid w:val="00284EB6"/>
    <w:rsid w:val="002856A4"/>
    <w:rsid w:val="00286C2B"/>
    <w:rsid w:val="00287E90"/>
    <w:rsid w:val="00290DE8"/>
    <w:rsid w:val="002916E5"/>
    <w:rsid w:val="00292DF7"/>
    <w:rsid w:val="00295A10"/>
    <w:rsid w:val="00297486"/>
    <w:rsid w:val="002A11DF"/>
    <w:rsid w:val="002A3C0F"/>
    <w:rsid w:val="002A4286"/>
    <w:rsid w:val="002A50C8"/>
    <w:rsid w:val="002A5252"/>
    <w:rsid w:val="002A5EAF"/>
    <w:rsid w:val="002A5F88"/>
    <w:rsid w:val="002B07F9"/>
    <w:rsid w:val="002B1536"/>
    <w:rsid w:val="002B1600"/>
    <w:rsid w:val="002B1A02"/>
    <w:rsid w:val="002B2002"/>
    <w:rsid w:val="002B274B"/>
    <w:rsid w:val="002B5EDF"/>
    <w:rsid w:val="002C0744"/>
    <w:rsid w:val="002C2DF7"/>
    <w:rsid w:val="002C2F8A"/>
    <w:rsid w:val="002C385A"/>
    <w:rsid w:val="002C42FE"/>
    <w:rsid w:val="002C6B67"/>
    <w:rsid w:val="002C6F75"/>
    <w:rsid w:val="002C73C9"/>
    <w:rsid w:val="002D3CF6"/>
    <w:rsid w:val="002D3D05"/>
    <w:rsid w:val="002D4972"/>
    <w:rsid w:val="002D5010"/>
    <w:rsid w:val="002D54F8"/>
    <w:rsid w:val="002D6308"/>
    <w:rsid w:val="002D640D"/>
    <w:rsid w:val="002D71BA"/>
    <w:rsid w:val="002E012E"/>
    <w:rsid w:val="002E2E86"/>
    <w:rsid w:val="002E4EAF"/>
    <w:rsid w:val="002E52E3"/>
    <w:rsid w:val="002E6046"/>
    <w:rsid w:val="002E609D"/>
    <w:rsid w:val="002F04FA"/>
    <w:rsid w:val="002F0CD8"/>
    <w:rsid w:val="002F0E70"/>
    <w:rsid w:val="002F2786"/>
    <w:rsid w:val="002F3702"/>
    <w:rsid w:val="002F4385"/>
    <w:rsid w:val="002F43F4"/>
    <w:rsid w:val="002F4A62"/>
    <w:rsid w:val="002F652F"/>
    <w:rsid w:val="0030001A"/>
    <w:rsid w:val="0030073D"/>
    <w:rsid w:val="00300FCE"/>
    <w:rsid w:val="00301753"/>
    <w:rsid w:val="003017BF"/>
    <w:rsid w:val="00302171"/>
    <w:rsid w:val="00304F5D"/>
    <w:rsid w:val="00307313"/>
    <w:rsid w:val="00307E0A"/>
    <w:rsid w:val="003106F9"/>
    <w:rsid w:val="00311A17"/>
    <w:rsid w:val="00314944"/>
    <w:rsid w:val="00316CB0"/>
    <w:rsid w:val="003179F6"/>
    <w:rsid w:val="003205E1"/>
    <w:rsid w:val="00320719"/>
    <w:rsid w:val="00322163"/>
    <w:rsid w:val="003227FC"/>
    <w:rsid w:val="00322AA0"/>
    <w:rsid w:val="00322ACB"/>
    <w:rsid w:val="00322D42"/>
    <w:rsid w:val="0032421D"/>
    <w:rsid w:val="003262B8"/>
    <w:rsid w:val="00326449"/>
    <w:rsid w:val="00326784"/>
    <w:rsid w:val="003272CE"/>
    <w:rsid w:val="00331816"/>
    <w:rsid w:val="00331BB0"/>
    <w:rsid w:val="003339F5"/>
    <w:rsid w:val="003343EB"/>
    <w:rsid w:val="00334EA3"/>
    <w:rsid w:val="00335862"/>
    <w:rsid w:val="003358E5"/>
    <w:rsid w:val="00335A06"/>
    <w:rsid w:val="003361A5"/>
    <w:rsid w:val="00336829"/>
    <w:rsid w:val="00336DB9"/>
    <w:rsid w:val="0033770E"/>
    <w:rsid w:val="00337FC0"/>
    <w:rsid w:val="00341F6D"/>
    <w:rsid w:val="003453BC"/>
    <w:rsid w:val="00346FFA"/>
    <w:rsid w:val="00350377"/>
    <w:rsid w:val="0035090E"/>
    <w:rsid w:val="0035126B"/>
    <w:rsid w:val="00352612"/>
    <w:rsid w:val="00352A55"/>
    <w:rsid w:val="00352F8B"/>
    <w:rsid w:val="00353073"/>
    <w:rsid w:val="00353C9E"/>
    <w:rsid w:val="00354336"/>
    <w:rsid w:val="003568C7"/>
    <w:rsid w:val="003601D5"/>
    <w:rsid w:val="003602A4"/>
    <w:rsid w:val="003613B9"/>
    <w:rsid w:val="00361ED6"/>
    <w:rsid w:val="00362CEE"/>
    <w:rsid w:val="003633E3"/>
    <w:rsid w:val="0036341D"/>
    <w:rsid w:val="0036441A"/>
    <w:rsid w:val="003655D0"/>
    <w:rsid w:val="00365CB6"/>
    <w:rsid w:val="00366576"/>
    <w:rsid w:val="003713FB"/>
    <w:rsid w:val="003714CA"/>
    <w:rsid w:val="00372B9E"/>
    <w:rsid w:val="003733FC"/>
    <w:rsid w:val="00374AC1"/>
    <w:rsid w:val="00374EC3"/>
    <w:rsid w:val="00374F8C"/>
    <w:rsid w:val="00376741"/>
    <w:rsid w:val="00376F6B"/>
    <w:rsid w:val="00377011"/>
    <w:rsid w:val="00377CD1"/>
    <w:rsid w:val="00380B93"/>
    <w:rsid w:val="00383521"/>
    <w:rsid w:val="0038479A"/>
    <w:rsid w:val="00385D62"/>
    <w:rsid w:val="0038692C"/>
    <w:rsid w:val="003869F9"/>
    <w:rsid w:val="00387923"/>
    <w:rsid w:val="00393CEB"/>
    <w:rsid w:val="00394166"/>
    <w:rsid w:val="00394646"/>
    <w:rsid w:val="003A04FC"/>
    <w:rsid w:val="003A11CF"/>
    <w:rsid w:val="003A193B"/>
    <w:rsid w:val="003A1DB2"/>
    <w:rsid w:val="003A23D7"/>
    <w:rsid w:val="003A26C0"/>
    <w:rsid w:val="003A2762"/>
    <w:rsid w:val="003A3D7C"/>
    <w:rsid w:val="003A6B67"/>
    <w:rsid w:val="003B0374"/>
    <w:rsid w:val="003B0C5D"/>
    <w:rsid w:val="003B1DF5"/>
    <w:rsid w:val="003B27AA"/>
    <w:rsid w:val="003B2E89"/>
    <w:rsid w:val="003B346E"/>
    <w:rsid w:val="003B50CA"/>
    <w:rsid w:val="003B62BD"/>
    <w:rsid w:val="003B7C86"/>
    <w:rsid w:val="003C02B4"/>
    <w:rsid w:val="003C1A27"/>
    <w:rsid w:val="003C1A87"/>
    <w:rsid w:val="003C2C05"/>
    <w:rsid w:val="003C3191"/>
    <w:rsid w:val="003C36E0"/>
    <w:rsid w:val="003C3792"/>
    <w:rsid w:val="003C48BC"/>
    <w:rsid w:val="003C4C36"/>
    <w:rsid w:val="003C52CB"/>
    <w:rsid w:val="003C55D1"/>
    <w:rsid w:val="003D0F44"/>
    <w:rsid w:val="003D107E"/>
    <w:rsid w:val="003D1332"/>
    <w:rsid w:val="003D312E"/>
    <w:rsid w:val="003D3563"/>
    <w:rsid w:val="003D3728"/>
    <w:rsid w:val="003D3846"/>
    <w:rsid w:val="003D3DC5"/>
    <w:rsid w:val="003D4B2B"/>
    <w:rsid w:val="003D5374"/>
    <w:rsid w:val="003D5AA3"/>
    <w:rsid w:val="003E181D"/>
    <w:rsid w:val="003E28E6"/>
    <w:rsid w:val="003E4484"/>
    <w:rsid w:val="003E4BD4"/>
    <w:rsid w:val="003E4F86"/>
    <w:rsid w:val="003E5FDA"/>
    <w:rsid w:val="003E6690"/>
    <w:rsid w:val="003E67D5"/>
    <w:rsid w:val="003E70E8"/>
    <w:rsid w:val="003E7CF1"/>
    <w:rsid w:val="003F1FD7"/>
    <w:rsid w:val="003F3017"/>
    <w:rsid w:val="003F3682"/>
    <w:rsid w:val="003F4E12"/>
    <w:rsid w:val="003F5DE4"/>
    <w:rsid w:val="003F6B10"/>
    <w:rsid w:val="00400A45"/>
    <w:rsid w:val="00401CDA"/>
    <w:rsid w:val="00402C12"/>
    <w:rsid w:val="0040372E"/>
    <w:rsid w:val="00404A4A"/>
    <w:rsid w:val="00404B70"/>
    <w:rsid w:val="004055E1"/>
    <w:rsid w:val="00405A69"/>
    <w:rsid w:val="00406086"/>
    <w:rsid w:val="00406FCA"/>
    <w:rsid w:val="00407365"/>
    <w:rsid w:val="004075D5"/>
    <w:rsid w:val="0041028E"/>
    <w:rsid w:val="004118D0"/>
    <w:rsid w:val="0041236A"/>
    <w:rsid w:val="0041251E"/>
    <w:rsid w:val="00413091"/>
    <w:rsid w:val="00413276"/>
    <w:rsid w:val="00414EAC"/>
    <w:rsid w:val="004167AD"/>
    <w:rsid w:val="00416F28"/>
    <w:rsid w:val="00417573"/>
    <w:rsid w:val="004179DF"/>
    <w:rsid w:val="00421B54"/>
    <w:rsid w:val="004230C1"/>
    <w:rsid w:val="00423A17"/>
    <w:rsid w:val="0042537F"/>
    <w:rsid w:val="00425562"/>
    <w:rsid w:val="0042724B"/>
    <w:rsid w:val="0043099A"/>
    <w:rsid w:val="0043120B"/>
    <w:rsid w:val="00434B2A"/>
    <w:rsid w:val="00435557"/>
    <w:rsid w:val="0043688F"/>
    <w:rsid w:val="00436B9C"/>
    <w:rsid w:val="00437A47"/>
    <w:rsid w:val="00440C53"/>
    <w:rsid w:val="00440DFC"/>
    <w:rsid w:val="004419D3"/>
    <w:rsid w:val="00443220"/>
    <w:rsid w:val="0044415A"/>
    <w:rsid w:val="00445BE1"/>
    <w:rsid w:val="004463F6"/>
    <w:rsid w:val="00447159"/>
    <w:rsid w:val="00453D8F"/>
    <w:rsid w:val="004545A0"/>
    <w:rsid w:val="00457021"/>
    <w:rsid w:val="00460619"/>
    <w:rsid w:val="00461FB6"/>
    <w:rsid w:val="00462C2A"/>
    <w:rsid w:val="00462EF0"/>
    <w:rsid w:val="00464817"/>
    <w:rsid w:val="00465E17"/>
    <w:rsid w:val="00466AB9"/>
    <w:rsid w:val="00466CC2"/>
    <w:rsid w:val="00470E12"/>
    <w:rsid w:val="00472D92"/>
    <w:rsid w:val="0047319E"/>
    <w:rsid w:val="0047363F"/>
    <w:rsid w:val="00474D27"/>
    <w:rsid w:val="0047514A"/>
    <w:rsid w:val="0047770F"/>
    <w:rsid w:val="00481792"/>
    <w:rsid w:val="004817E3"/>
    <w:rsid w:val="00481A1D"/>
    <w:rsid w:val="0048271B"/>
    <w:rsid w:val="00490241"/>
    <w:rsid w:val="0049062C"/>
    <w:rsid w:val="0049156A"/>
    <w:rsid w:val="004919CD"/>
    <w:rsid w:val="004931D2"/>
    <w:rsid w:val="00493898"/>
    <w:rsid w:val="00494E84"/>
    <w:rsid w:val="00496EBA"/>
    <w:rsid w:val="00497080"/>
    <w:rsid w:val="004972DC"/>
    <w:rsid w:val="00497778"/>
    <w:rsid w:val="004A0B42"/>
    <w:rsid w:val="004A0E3E"/>
    <w:rsid w:val="004A3BD5"/>
    <w:rsid w:val="004A3C0A"/>
    <w:rsid w:val="004A3F93"/>
    <w:rsid w:val="004A4018"/>
    <w:rsid w:val="004A47C7"/>
    <w:rsid w:val="004A5C1C"/>
    <w:rsid w:val="004A6099"/>
    <w:rsid w:val="004A6EDD"/>
    <w:rsid w:val="004A7E83"/>
    <w:rsid w:val="004A7EEE"/>
    <w:rsid w:val="004B1F4F"/>
    <w:rsid w:val="004B2D4E"/>
    <w:rsid w:val="004B3281"/>
    <w:rsid w:val="004B3D8A"/>
    <w:rsid w:val="004B535B"/>
    <w:rsid w:val="004C09E6"/>
    <w:rsid w:val="004C1721"/>
    <w:rsid w:val="004C1D80"/>
    <w:rsid w:val="004C41A1"/>
    <w:rsid w:val="004C4ED4"/>
    <w:rsid w:val="004C51C6"/>
    <w:rsid w:val="004C5368"/>
    <w:rsid w:val="004C6D9E"/>
    <w:rsid w:val="004D0254"/>
    <w:rsid w:val="004D396A"/>
    <w:rsid w:val="004D4F0A"/>
    <w:rsid w:val="004D680C"/>
    <w:rsid w:val="004D697B"/>
    <w:rsid w:val="004D6C58"/>
    <w:rsid w:val="004D753B"/>
    <w:rsid w:val="004E1E91"/>
    <w:rsid w:val="004E216F"/>
    <w:rsid w:val="004E282F"/>
    <w:rsid w:val="004E4F8F"/>
    <w:rsid w:val="004E6E1D"/>
    <w:rsid w:val="004E7A50"/>
    <w:rsid w:val="004F2BCD"/>
    <w:rsid w:val="004F2CC4"/>
    <w:rsid w:val="004F3294"/>
    <w:rsid w:val="004F4FA2"/>
    <w:rsid w:val="004F5494"/>
    <w:rsid w:val="004F5B06"/>
    <w:rsid w:val="004F7862"/>
    <w:rsid w:val="00500A2E"/>
    <w:rsid w:val="00500FDF"/>
    <w:rsid w:val="00501E6D"/>
    <w:rsid w:val="0050267B"/>
    <w:rsid w:val="00502900"/>
    <w:rsid w:val="005034F5"/>
    <w:rsid w:val="00503589"/>
    <w:rsid w:val="005038E2"/>
    <w:rsid w:val="00506EA3"/>
    <w:rsid w:val="005113B3"/>
    <w:rsid w:val="005125A7"/>
    <w:rsid w:val="00512837"/>
    <w:rsid w:val="005132CA"/>
    <w:rsid w:val="00513FC4"/>
    <w:rsid w:val="00514721"/>
    <w:rsid w:val="0051674B"/>
    <w:rsid w:val="005169F7"/>
    <w:rsid w:val="00517BEA"/>
    <w:rsid w:val="00520136"/>
    <w:rsid w:val="0052106E"/>
    <w:rsid w:val="00522E17"/>
    <w:rsid w:val="00523767"/>
    <w:rsid w:val="00524583"/>
    <w:rsid w:val="00524908"/>
    <w:rsid w:val="00525DD7"/>
    <w:rsid w:val="005274BA"/>
    <w:rsid w:val="00527FA3"/>
    <w:rsid w:val="00530967"/>
    <w:rsid w:val="00530F6B"/>
    <w:rsid w:val="0053184B"/>
    <w:rsid w:val="005326FA"/>
    <w:rsid w:val="00533113"/>
    <w:rsid w:val="00535289"/>
    <w:rsid w:val="00541490"/>
    <w:rsid w:val="0054588D"/>
    <w:rsid w:val="0054619E"/>
    <w:rsid w:val="005463FA"/>
    <w:rsid w:val="00547E6E"/>
    <w:rsid w:val="005503F7"/>
    <w:rsid w:val="00550540"/>
    <w:rsid w:val="00550FAF"/>
    <w:rsid w:val="005515D2"/>
    <w:rsid w:val="00551A96"/>
    <w:rsid w:val="005521EF"/>
    <w:rsid w:val="00552C6A"/>
    <w:rsid w:val="0055463B"/>
    <w:rsid w:val="00556FE0"/>
    <w:rsid w:val="005578CF"/>
    <w:rsid w:val="00560C8D"/>
    <w:rsid w:val="00561CB8"/>
    <w:rsid w:val="00561F19"/>
    <w:rsid w:val="00562DBA"/>
    <w:rsid w:val="00563149"/>
    <w:rsid w:val="005640B9"/>
    <w:rsid w:val="00565A14"/>
    <w:rsid w:val="005670EA"/>
    <w:rsid w:val="00570DD3"/>
    <w:rsid w:val="00570F1E"/>
    <w:rsid w:val="00571269"/>
    <w:rsid w:val="00572320"/>
    <w:rsid w:val="0057348A"/>
    <w:rsid w:val="00573B24"/>
    <w:rsid w:val="00573F68"/>
    <w:rsid w:val="0057542E"/>
    <w:rsid w:val="005765B8"/>
    <w:rsid w:val="005767BC"/>
    <w:rsid w:val="00576D9B"/>
    <w:rsid w:val="005774D0"/>
    <w:rsid w:val="00577EB7"/>
    <w:rsid w:val="00580CCE"/>
    <w:rsid w:val="005824E5"/>
    <w:rsid w:val="0058327E"/>
    <w:rsid w:val="0058743D"/>
    <w:rsid w:val="00593B20"/>
    <w:rsid w:val="00594F52"/>
    <w:rsid w:val="00595325"/>
    <w:rsid w:val="00595424"/>
    <w:rsid w:val="00596BB5"/>
    <w:rsid w:val="00596C56"/>
    <w:rsid w:val="005A0F06"/>
    <w:rsid w:val="005A1114"/>
    <w:rsid w:val="005A187C"/>
    <w:rsid w:val="005A2C1B"/>
    <w:rsid w:val="005A315C"/>
    <w:rsid w:val="005A4C62"/>
    <w:rsid w:val="005A7A04"/>
    <w:rsid w:val="005B015F"/>
    <w:rsid w:val="005B08D8"/>
    <w:rsid w:val="005B33F5"/>
    <w:rsid w:val="005B3B1D"/>
    <w:rsid w:val="005B3F4A"/>
    <w:rsid w:val="005B42FD"/>
    <w:rsid w:val="005B47C2"/>
    <w:rsid w:val="005B7121"/>
    <w:rsid w:val="005B728A"/>
    <w:rsid w:val="005B7ED8"/>
    <w:rsid w:val="005C02E1"/>
    <w:rsid w:val="005C1117"/>
    <w:rsid w:val="005C1AD8"/>
    <w:rsid w:val="005C1ECE"/>
    <w:rsid w:val="005C2DDA"/>
    <w:rsid w:val="005C43F4"/>
    <w:rsid w:val="005C577E"/>
    <w:rsid w:val="005D0943"/>
    <w:rsid w:val="005D10C8"/>
    <w:rsid w:val="005D129C"/>
    <w:rsid w:val="005D208F"/>
    <w:rsid w:val="005D4218"/>
    <w:rsid w:val="005D4A9B"/>
    <w:rsid w:val="005D50B0"/>
    <w:rsid w:val="005D5AC3"/>
    <w:rsid w:val="005D5BD5"/>
    <w:rsid w:val="005D668F"/>
    <w:rsid w:val="005D7702"/>
    <w:rsid w:val="005E11C4"/>
    <w:rsid w:val="005E1D9B"/>
    <w:rsid w:val="005E5E3B"/>
    <w:rsid w:val="005E5E47"/>
    <w:rsid w:val="005F0EBE"/>
    <w:rsid w:val="005F28A2"/>
    <w:rsid w:val="005F65A0"/>
    <w:rsid w:val="005F793C"/>
    <w:rsid w:val="005F7AA4"/>
    <w:rsid w:val="0060114C"/>
    <w:rsid w:val="00601287"/>
    <w:rsid w:val="006025B1"/>
    <w:rsid w:val="00604404"/>
    <w:rsid w:val="0060476D"/>
    <w:rsid w:val="00604CF3"/>
    <w:rsid w:val="00605A0D"/>
    <w:rsid w:val="006066A5"/>
    <w:rsid w:val="00607C06"/>
    <w:rsid w:val="006100DF"/>
    <w:rsid w:val="00610EFF"/>
    <w:rsid w:val="00611364"/>
    <w:rsid w:val="00612203"/>
    <w:rsid w:val="00612470"/>
    <w:rsid w:val="00613A7C"/>
    <w:rsid w:val="0061446D"/>
    <w:rsid w:val="00614877"/>
    <w:rsid w:val="0061614E"/>
    <w:rsid w:val="00616D13"/>
    <w:rsid w:val="00620171"/>
    <w:rsid w:val="00620ADB"/>
    <w:rsid w:val="0062180E"/>
    <w:rsid w:val="00622CB9"/>
    <w:rsid w:val="00623924"/>
    <w:rsid w:val="00623CE0"/>
    <w:rsid w:val="006269F8"/>
    <w:rsid w:val="00627AAA"/>
    <w:rsid w:val="00632EE9"/>
    <w:rsid w:val="00633B77"/>
    <w:rsid w:val="00635C4D"/>
    <w:rsid w:val="00636348"/>
    <w:rsid w:val="006420BD"/>
    <w:rsid w:val="006423E8"/>
    <w:rsid w:val="00642480"/>
    <w:rsid w:val="0064448B"/>
    <w:rsid w:val="00644B11"/>
    <w:rsid w:val="006452DF"/>
    <w:rsid w:val="00645FCD"/>
    <w:rsid w:val="006467E4"/>
    <w:rsid w:val="0064748D"/>
    <w:rsid w:val="0065122E"/>
    <w:rsid w:val="00651597"/>
    <w:rsid w:val="00651AC1"/>
    <w:rsid w:val="00651D6A"/>
    <w:rsid w:val="00653194"/>
    <w:rsid w:val="00654773"/>
    <w:rsid w:val="00655086"/>
    <w:rsid w:val="006558B7"/>
    <w:rsid w:val="00656D63"/>
    <w:rsid w:val="00660BD2"/>
    <w:rsid w:val="00662181"/>
    <w:rsid w:val="0066221D"/>
    <w:rsid w:val="006644FA"/>
    <w:rsid w:val="00664546"/>
    <w:rsid w:val="0066459C"/>
    <w:rsid w:val="0066496B"/>
    <w:rsid w:val="00665D60"/>
    <w:rsid w:val="00665D86"/>
    <w:rsid w:val="0067066D"/>
    <w:rsid w:val="006712BF"/>
    <w:rsid w:val="00671812"/>
    <w:rsid w:val="00671EF8"/>
    <w:rsid w:val="0067285A"/>
    <w:rsid w:val="00674476"/>
    <w:rsid w:val="00675937"/>
    <w:rsid w:val="00677C31"/>
    <w:rsid w:val="0068141E"/>
    <w:rsid w:val="006819CD"/>
    <w:rsid w:val="00684D98"/>
    <w:rsid w:val="006855B0"/>
    <w:rsid w:val="00685B8F"/>
    <w:rsid w:val="006870E0"/>
    <w:rsid w:val="00687248"/>
    <w:rsid w:val="006879A2"/>
    <w:rsid w:val="00690C91"/>
    <w:rsid w:val="0069249E"/>
    <w:rsid w:val="0069264F"/>
    <w:rsid w:val="0069439A"/>
    <w:rsid w:val="00695949"/>
    <w:rsid w:val="006967AA"/>
    <w:rsid w:val="00697161"/>
    <w:rsid w:val="00697585"/>
    <w:rsid w:val="00697DB0"/>
    <w:rsid w:val="006A0108"/>
    <w:rsid w:val="006A03A4"/>
    <w:rsid w:val="006A35CE"/>
    <w:rsid w:val="006A561F"/>
    <w:rsid w:val="006A606D"/>
    <w:rsid w:val="006A609C"/>
    <w:rsid w:val="006A656C"/>
    <w:rsid w:val="006B1D51"/>
    <w:rsid w:val="006B206F"/>
    <w:rsid w:val="006B2B66"/>
    <w:rsid w:val="006B72D0"/>
    <w:rsid w:val="006B76F2"/>
    <w:rsid w:val="006B7BED"/>
    <w:rsid w:val="006C1A53"/>
    <w:rsid w:val="006C2173"/>
    <w:rsid w:val="006C37C8"/>
    <w:rsid w:val="006C37FA"/>
    <w:rsid w:val="006C3CEF"/>
    <w:rsid w:val="006C4D38"/>
    <w:rsid w:val="006C4F04"/>
    <w:rsid w:val="006C55A4"/>
    <w:rsid w:val="006C7261"/>
    <w:rsid w:val="006C73DB"/>
    <w:rsid w:val="006C7751"/>
    <w:rsid w:val="006C7823"/>
    <w:rsid w:val="006D071B"/>
    <w:rsid w:val="006D0F47"/>
    <w:rsid w:val="006D1D51"/>
    <w:rsid w:val="006D2AFB"/>
    <w:rsid w:val="006D3246"/>
    <w:rsid w:val="006D3FA7"/>
    <w:rsid w:val="006D4A84"/>
    <w:rsid w:val="006D544B"/>
    <w:rsid w:val="006D674C"/>
    <w:rsid w:val="006D6B14"/>
    <w:rsid w:val="006E0A63"/>
    <w:rsid w:val="006E105F"/>
    <w:rsid w:val="006E306E"/>
    <w:rsid w:val="006E6600"/>
    <w:rsid w:val="006E6636"/>
    <w:rsid w:val="006E687F"/>
    <w:rsid w:val="006F1E2C"/>
    <w:rsid w:val="006F33B7"/>
    <w:rsid w:val="006F5AD5"/>
    <w:rsid w:val="006F64D0"/>
    <w:rsid w:val="006F6EFA"/>
    <w:rsid w:val="006F7423"/>
    <w:rsid w:val="006F7631"/>
    <w:rsid w:val="006F7E79"/>
    <w:rsid w:val="00700DF5"/>
    <w:rsid w:val="00702254"/>
    <w:rsid w:val="00702FBB"/>
    <w:rsid w:val="0070334B"/>
    <w:rsid w:val="00703DF3"/>
    <w:rsid w:val="00704B6C"/>
    <w:rsid w:val="00704BA6"/>
    <w:rsid w:val="00705872"/>
    <w:rsid w:val="00706D38"/>
    <w:rsid w:val="00707509"/>
    <w:rsid w:val="007100E3"/>
    <w:rsid w:val="00710990"/>
    <w:rsid w:val="00710BB4"/>
    <w:rsid w:val="0071195A"/>
    <w:rsid w:val="00711D43"/>
    <w:rsid w:val="0071241D"/>
    <w:rsid w:val="00712E67"/>
    <w:rsid w:val="0071401D"/>
    <w:rsid w:val="007144D7"/>
    <w:rsid w:val="00716298"/>
    <w:rsid w:val="007163FB"/>
    <w:rsid w:val="00717158"/>
    <w:rsid w:val="00717C33"/>
    <w:rsid w:val="00720407"/>
    <w:rsid w:val="00720CA6"/>
    <w:rsid w:val="00723CE0"/>
    <w:rsid w:val="007240DA"/>
    <w:rsid w:val="00724519"/>
    <w:rsid w:val="00724E40"/>
    <w:rsid w:val="0072618D"/>
    <w:rsid w:val="0072792E"/>
    <w:rsid w:val="00727E43"/>
    <w:rsid w:val="007301D3"/>
    <w:rsid w:val="00731139"/>
    <w:rsid w:val="00731FAD"/>
    <w:rsid w:val="0073210B"/>
    <w:rsid w:val="00732510"/>
    <w:rsid w:val="007339ED"/>
    <w:rsid w:val="00734BB7"/>
    <w:rsid w:val="00736D3B"/>
    <w:rsid w:val="00737B51"/>
    <w:rsid w:val="0074131A"/>
    <w:rsid w:val="00741439"/>
    <w:rsid w:val="00741A22"/>
    <w:rsid w:val="007428C6"/>
    <w:rsid w:val="007430B0"/>
    <w:rsid w:val="00743350"/>
    <w:rsid w:val="0074384C"/>
    <w:rsid w:val="007500AD"/>
    <w:rsid w:val="00751D57"/>
    <w:rsid w:val="0075391C"/>
    <w:rsid w:val="007557EB"/>
    <w:rsid w:val="007602C6"/>
    <w:rsid w:val="00767ACA"/>
    <w:rsid w:val="0077031B"/>
    <w:rsid w:val="00773271"/>
    <w:rsid w:val="0077353C"/>
    <w:rsid w:val="00774000"/>
    <w:rsid w:val="00775173"/>
    <w:rsid w:val="00776345"/>
    <w:rsid w:val="00776D41"/>
    <w:rsid w:val="007770BA"/>
    <w:rsid w:val="007777BB"/>
    <w:rsid w:val="00777907"/>
    <w:rsid w:val="00781BDA"/>
    <w:rsid w:val="00781F72"/>
    <w:rsid w:val="00783239"/>
    <w:rsid w:val="00784E5C"/>
    <w:rsid w:val="00785612"/>
    <w:rsid w:val="0078605B"/>
    <w:rsid w:val="00786977"/>
    <w:rsid w:val="00786A63"/>
    <w:rsid w:val="00787ADD"/>
    <w:rsid w:val="00787ED9"/>
    <w:rsid w:val="007901DA"/>
    <w:rsid w:val="00790AAC"/>
    <w:rsid w:val="00791B9C"/>
    <w:rsid w:val="00792D5D"/>
    <w:rsid w:val="00792F4B"/>
    <w:rsid w:val="007936F6"/>
    <w:rsid w:val="0079384D"/>
    <w:rsid w:val="00793A3E"/>
    <w:rsid w:val="00794CF4"/>
    <w:rsid w:val="007950BD"/>
    <w:rsid w:val="00795230"/>
    <w:rsid w:val="007954D9"/>
    <w:rsid w:val="00795E85"/>
    <w:rsid w:val="007966E0"/>
    <w:rsid w:val="007974E9"/>
    <w:rsid w:val="007A24F0"/>
    <w:rsid w:val="007A4FA3"/>
    <w:rsid w:val="007A5A86"/>
    <w:rsid w:val="007A6B6F"/>
    <w:rsid w:val="007A714D"/>
    <w:rsid w:val="007B0622"/>
    <w:rsid w:val="007B19D1"/>
    <w:rsid w:val="007B1A70"/>
    <w:rsid w:val="007B25D3"/>
    <w:rsid w:val="007B559D"/>
    <w:rsid w:val="007B5A58"/>
    <w:rsid w:val="007B62BE"/>
    <w:rsid w:val="007B6632"/>
    <w:rsid w:val="007B67AB"/>
    <w:rsid w:val="007B6AA4"/>
    <w:rsid w:val="007B6AE1"/>
    <w:rsid w:val="007B6DB1"/>
    <w:rsid w:val="007B6DF0"/>
    <w:rsid w:val="007B74F1"/>
    <w:rsid w:val="007B7A80"/>
    <w:rsid w:val="007C076C"/>
    <w:rsid w:val="007C2361"/>
    <w:rsid w:val="007C33AC"/>
    <w:rsid w:val="007C481C"/>
    <w:rsid w:val="007C51F6"/>
    <w:rsid w:val="007C5A91"/>
    <w:rsid w:val="007C6F78"/>
    <w:rsid w:val="007D0599"/>
    <w:rsid w:val="007D0CAF"/>
    <w:rsid w:val="007D11E6"/>
    <w:rsid w:val="007D148E"/>
    <w:rsid w:val="007D186B"/>
    <w:rsid w:val="007D2313"/>
    <w:rsid w:val="007D2AEF"/>
    <w:rsid w:val="007D4639"/>
    <w:rsid w:val="007D4FBE"/>
    <w:rsid w:val="007D553C"/>
    <w:rsid w:val="007D7AF9"/>
    <w:rsid w:val="007E1015"/>
    <w:rsid w:val="007E255A"/>
    <w:rsid w:val="007E2CE2"/>
    <w:rsid w:val="007E4546"/>
    <w:rsid w:val="007E4945"/>
    <w:rsid w:val="007E5C30"/>
    <w:rsid w:val="007E63FD"/>
    <w:rsid w:val="007E78DA"/>
    <w:rsid w:val="007F1636"/>
    <w:rsid w:val="007F2E35"/>
    <w:rsid w:val="007F409D"/>
    <w:rsid w:val="007F418E"/>
    <w:rsid w:val="007F467F"/>
    <w:rsid w:val="007F765A"/>
    <w:rsid w:val="00800BA9"/>
    <w:rsid w:val="00800ECB"/>
    <w:rsid w:val="00801298"/>
    <w:rsid w:val="0080156F"/>
    <w:rsid w:val="0080277C"/>
    <w:rsid w:val="00802967"/>
    <w:rsid w:val="00802F5E"/>
    <w:rsid w:val="00804029"/>
    <w:rsid w:val="00804E72"/>
    <w:rsid w:val="00805B8D"/>
    <w:rsid w:val="00806C64"/>
    <w:rsid w:val="0081049F"/>
    <w:rsid w:val="00810734"/>
    <w:rsid w:val="00810F99"/>
    <w:rsid w:val="008125C0"/>
    <w:rsid w:val="00816F46"/>
    <w:rsid w:val="008171C3"/>
    <w:rsid w:val="00820EFD"/>
    <w:rsid w:val="00822B5E"/>
    <w:rsid w:val="00822D19"/>
    <w:rsid w:val="008236E0"/>
    <w:rsid w:val="00825E26"/>
    <w:rsid w:val="00825E48"/>
    <w:rsid w:val="00826A47"/>
    <w:rsid w:val="00827361"/>
    <w:rsid w:val="00827E8B"/>
    <w:rsid w:val="00831765"/>
    <w:rsid w:val="00833D13"/>
    <w:rsid w:val="0083474D"/>
    <w:rsid w:val="00834D94"/>
    <w:rsid w:val="0083600F"/>
    <w:rsid w:val="00836DFE"/>
    <w:rsid w:val="00837A0F"/>
    <w:rsid w:val="00837A59"/>
    <w:rsid w:val="008403CB"/>
    <w:rsid w:val="00840747"/>
    <w:rsid w:val="00840797"/>
    <w:rsid w:val="00840888"/>
    <w:rsid w:val="00841167"/>
    <w:rsid w:val="00841B0A"/>
    <w:rsid w:val="00841EF5"/>
    <w:rsid w:val="00842CD3"/>
    <w:rsid w:val="00844BEF"/>
    <w:rsid w:val="0084634B"/>
    <w:rsid w:val="00846824"/>
    <w:rsid w:val="00847052"/>
    <w:rsid w:val="00847790"/>
    <w:rsid w:val="00847D68"/>
    <w:rsid w:val="0085190C"/>
    <w:rsid w:val="008528B2"/>
    <w:rsid w:val="00853464"/>
    <w:rsid w:val="00853558"/>
    <w:rsid w:val="00854158"/>
    <w:rsid w:val="008555E1"/>
    <w:rsid w:val="00855A58"/>
    <w:rsid w:val="00856176"/>
    <w:rsid w:val="008570EB"/>
    <w:rsid w:val="0086012A"/>
    <w:rsid w:val="008606F6"/>
    <w:rsid w:val="008616CE"/>
    <w:rsid w:val="00861B1B"/>
    <w:rsid w:val="00862555"/>
    <w:rsid w:val="00862F46"/>
    <w:rsid w:val="00863EDF"/>
    <w:rsid w:val="00863F3A"/>
    <w:rsid w:val="00864590"/>
    <w:rsid w:val="00864F13"/>
    <w:rsid w:val="00867403"/>
    <w:rsid w:val="00870778"/>
    <w:rsid w:val="00871F15"/>
    <w:rsid w:val="0087235A"/>
    <w:rsid w:val="00872A1F"/>
    <w:rsid w:val="00873587"/>
    <w:rsid w:val="008736E0"/>
    <w:rsid w:val="008747AE"/>
    <w:rsid w:val="00874FF9"/>
    <w:rsid w:val="00876AEF"/>
    <w:rsid w:val="00880575"/>
    <w:rsid w:val="008816B8"/>
    <w:rsid w:val="00884BD0"/>
    <w:rsid w:val="00887624"/>
    <w:rsid w:val="0089265C"/>
    <w:rsid w:val="008928BC"/>
    <w:rsid w:val="008932BA"/>
    <w:rsid w:val="00895160"/>
    <w:rsid w:val="00895211"/>
    <w:rsid w:val="0089559A"/>
    <w:rsid w:val="00896B03"/>
    <w:rsid w:val="008A08F2"/>
    <w:rsid w:val="008A0EAA"/>
    <w:rsid w:val="008A21B6"/>
    <w:rsid w:val="008A33F7"/>
    <w:rsid w:val="008A5C72"/>
    <w:rsid w:val="008A68C1"/>
    <w:rsid w:val="008A762A"/>
    <w:rsid w:val="008B059C"/>
    <w:rsid w:val="008B10D2"/>
    <w:rsid w:val="008B25F7"/>
    <w:rsid w:val="008B2ED2"/>
    <w:rsid w:val="008B3DC0"/>
    <w:rsid w:val="008B4A0C"/>
    <w:rsid w:val="008B5B5B"/>
    <w:rsid w:val="008B5BF8"/>
    <w:rsid w:val="008C01FC"/>
    <w:rsid w:val="008C0B67"/>
    <w:rsid w:val="008C1967"/>
    <w:rsid w:val="008C24BE"/>
    <w:rsid w:val="008C3C10"/>
    <w:rsid w:val="008C43FB"/>
    <w:rsid w:val="008C4EAF"/>
    <w:rsid w:val="008C4FC4"/>
    <w:rsid w:val="008C5CCB"/>
    <w:rsid w:val="008C7650"/>
    <w:rsid w:val="008C7A4E"/>
    <w:rsid w:val="008D00BF"/>
    <w:rsid w:val="008D0F39"/>
    <w:rsid w:val="008D1AAB"/>
    <w:rsid w:val="008D2C8A"/>
    <w:rsid w:val="008D3579"/>
    <w:rsid w:val="008D40A5"/>
    <w:rsid w:val="008D4509"/>
    <w:rsid w:val="008D4618"/>
    <w:rsid w:val="008E05F9"/>
    <w:rsid w:val="008E21BF"/>
    <w:rsid w:val="008E2FBF"/>
    <w:rsid w:val="008E3E6F"/>
    <w:rsid w:val="008E689B"/>
    <w:rsid w:val="008F00E8"/>
    <w:rsid w:val="008F0A10"/>
    <w:rsid w:val="008F0AF5"/>
    <w:rsid w:val="008F1734"/>
    <w:rsid w:val="008F1C61"/>
    <w:rsid w:val="008F28F2"/>
    <w:rsid w:val="008F5A96"/>
    <w:rsid w:val="008F5B2E"/>
    <w:rsid w:val="008F5D6E"/>
    <w:rsid w:val="008F6F23"/>
    <w:rsid w:val="008F7323"/>
    <w:rsid w:val="008F79CF"/>
    <w:rsid w:val="008F7F8C"/>
    <w:rsid w:val="00901C68"/>
    <w:rsid w:val="009028BC"/>
    <w:rsid w:val="009047C1"/>
    <w:rsid w:val="009060B0"/>
    <w:rsid w:val="00907E2F"/>
    <w:rsid w:val="009100A6"/>
    <w:rsid w:val="00912031"/>
    <w:rsid w:val="0091335B"/>
    <w:rsid w:val="0091390D"/>
    <w:rsid w:val="00914A99"/>
    <w:rsid w:val="00916F72"/>
    <w:rsid w:val="00920093"/>
    <w:rsid w:val="00920AF1"/>
    <w:rsid w:val="00920F7E"/>
    <w:rsid w:val="00922CDE"/>
    <w:rsid w:val="00923AC3"/>
    <w:rsid w:val="009243B5"/>
    <w:rsid w:val="00924E3E"/>
    <w:rsid w:val="00925CC2"/>
    <w:rsid w:val="00925FDF"/>
    <w:rsid w:val="00926251"/>
    <w:rsid w:val="0092675B"/>
    <w:rsid w:val="0092715F"/>
    <w:rsid w:val="0092724C"/>
    <w:rsid w:val="009273EB"/>
    <w:rsid w:val="00930361"/>
    <w:rsid w:val="00930CA0"/>
    <w:rsid w:val="009310D9"/>
    <w:rsid w:val="0093116E"/>
    <w:rsid w:val="00931318"/>
    <w:rsid w:val="009316C1"/>
    <w:rsid w:val="00933B0C"/>
    <w:rsid w:val="00934026"/>
    <w:rsid w:val="00934876"/>
    <w:rsid w:val="009408F0"/>
    <w:rsid w:val="0094123F"/>
    <w:rsid w:val="00942477"/>
    <w:rsid w:val="0094268C"/>
    <w:rsid w:val="00943E8E"/>
    <w:rsid w:val="00944129"/>
    <w:rsid w:val="009456DA"/>
    <w:rsid w:val="00945DAB"/>
    <w:rsid w:val="009463C8"/>
    <w:rsid w:val="009468CF"/>
    <w:rsid w:val="00947147"/>
    <w:rsid w:val="00947229"/>
    <w:rsid w:val="00947580"/>
    <w:rsid w:val="0094763B"/>
    <w:rsid w:val="009501F0"/>
    <w:rsid w:val="009502D5"/>
    <w:rsid w:val="00950F70"/>
    <w:rsid w:val="009510F8"/>
    <w:rsid w:val="0095130E"/>
    <w:rsid w:val="00951A1F"/>
    <w:rsid w:val="00951CC0"/>
    <w:rsid w:val="009532A5"/>
    <w:rsid w:val="009534DC"/>
    <w:rsid w:val="00954014"/>
    <w:rsid w:val="00954847"/>
    <w:rsid w:val="0095557A"/>
    <w:rsid w:val="009574F3"/>
    <w:rsid w:val="0095777D"/>
    <w:rsid w:val="009629A6"/>
    <w:rsid w:val="00964818"/>
    <w:rsid w:val="00965E2E"/>
    <w:rsid w:val="00966F1A"/>
    <w:rsid w:val="0096737E"/>
    <w:rsid w:val="00967B8F"/>
    <w:rsid w:val="00967CEC"/>
    <w:rsid w:val="00970843"/>
    <w:rsid w:val="0097226F"/>
    <w:rsid w:val="00972C2B"/>
    <w:rsid w:val="00973DCB"/>
    <w:rsid w:val="009744FA"/>
    <w:rsid w:val="00974682"/>
    <w:rsid w:val="00975E65"/>
    <w:rsid w:val="009765A7"/>
    <w:rsid w:val="009801A1"/>
    <w:rsid w:val="009814CE"/>
    <w:rsid w:val="00981924"/>
    <w:rsid w:val="00982180"/>
    <w:rsid w:val="009824A6"/>
    <w:rsid w:val="00983B72"/>
    <w:rsid w:val="0098433E"/>
    <w:rsid w:val="00985C78"/>
    <w:rsid w:val="00985E30"/>
    <w:rsid w:val="00987EFB"/>
    <w:rsid w:val="00991002"/>
    <w:rsid w:val="009928DC"/>
    <w:rsid w:val="00993FAE"/>
    <w:rsid w:val="00994935"/>
    <w:rsid w:val="009949E5"/>
    <w:rsid w:val="00995A26"/>
    <w:rsid w:val="00997A84"/>
    <w:rsid w:val="009A00BF"/>
    <w:rsid w:val="009A0C4F"/>
    <w:rsid w:val="009A0FFC"/>
    <w:rsid w:val="009A1DBF"/>
    <w:rsid w:val="009A2341"/>
    <w:rsid w:val="009A3770"/>
    <w:rsid w:val="009A4724"/>
    <w:rsid w:val="009A49FB"/>
    <w:rsid w:val="009A5C59"/>
    <w:rsid w:val="009A68F9"/>
    <w:rsid w:val="009A6BCB"/>
    <w:rsid w:val="009A7BE3"/>
    <w:rsid w:val="009B10DC"/>
    <w:rsid w:val="009B1AA0"/>
    <w:rsid w:val="009B1B85"/>
    <w:rsid w:val="009B28CB"/>
    <w:rsid w:val="009B3C55"/>
    <w:rsid w:val="009B4BD2"/>
    <w:rsid w:val="009B6EB6"/>
    <w:rsid w:val="009B7ABD"/>
    <w:rsid w:val="009B7D38"/>
    <w:rsid w:val="009B7EB8"/>
    <w:rsid w:val="009C04AB"/>
    <w:rsid w:val="009C09A7"/>
    <w:rsid w:val="009C16F5"/>
    <w:rsid w:val="009C1791"/>
    <w:rsid w:val="009C197A"/>
    <w:rsid w:val="009C2BF6"/>
    <w:rsid w:val="009C3A3D"/>
    <w:rsid w:val="009C4E07"/>
    <w:rsid w:val="009C742B"/>
    <w:rsid w:val="009D0656"/>
    <w:rsid w:val="009D2C71"/>
    <w:rsid w:val="009D485A"/>
    <w:rsid w:val="009D4AB6"/>
    <w:rsid w:val="009D6180"/>
    <w:rsid w:val="009D6645"/>
    <w:rsid w:val="009E0C5B"/>
    <w:rsid w:val="009E2E9E"/>
    <w:rsid w:val="009E5028"/>
    <w:rsid w:val="009E6060"/>
    <w:rsid w:val="009E63E8"/>
    <w:rsid w:val="009F1377"/>
    <w:rsid w:val="009F40A8"/>
    <w:rsid w:val="009F433C"/>
    <w:rsid w:val="009F44B1"/>
    <w:rsid w:val="009F6958"/>
    <w:rsid w:val="009F747A"/>
    <w:rsid w:val="00A0079A"/>
    <w:rsid w:val="00A02752"/>
    <w:rsid w:val="00A0279D"/>
    <w:rsid w:val="00A02ECC"/>
    <w:rsid w:val="00A03418"/>
    <w:rsid w:val="00A06776"/>
    <w:rsid w:val="00A06A5C"/>
    <w:rsid w:val="00A06CA7"/>
    <w:rsid w:val="00A06CE2"/>
    <w:rsid w:val="00A1452A"/>
    <w:rsid w:val="00A202E9"/>
    <w:rsid w:val="00A214B9"/>
    <w:rsid w:val="00A23D5D"/>
    <w:rsid w:val="00A247BA"/>
    <w:rsid w:val="00A24EC2"/>
    <w:rsid w:val="00A254E0"/>
    <w:rsid w:val="00A268F6"/>
    <w:rsid w:val="00A31583"/>
    <w:rsid w:val="00A33BF4"/>
    <w:rsid w:val="00A34478"/>
    <w:rsid w:val="00A35529"/>
    <w:rsid w:val="00A37DC3"/>
    <w:rsid w:val="00A40020"/>
    <w:rsid w:val="00A401DF"/>
    <w:rsid w:val="00A40E0D"/>
    <w:rsid w:val="00A417B4"/>
    <w:rsid w:val="00A4383C"/>
    <w:rsid w:val="00A43934"/>
    <w:rsid w:val="00A45268"/>
    <w:rsid w:val="00A45E74"/>
    <w:rsid w:val="00A46205"/>
    <w:rsid w:val="00A46C11"/>
    <w:rsid w:val="00A46D8D"/>
    <w:rsid w:val="00A46EAF"/>
    <w:rsid w:val="00A47A39"/>
    <w:rsid w:val="00A50D1B"/>
    <w:rsid w:val="00A50D72"/>
    <w:rsid w:val="00A511FA"/>
    <w:rsid w:val="00A51B2E"/>
    <w:rsid w:val="00A54591"/>
    <w:rsid w:val="00A55DFC"/>
    <w:rsid w:val="00A567F3"/>
    <w:rsid w:val="00A56B06"/>
    <w:rsid w:val="00A578E6"/>
    <w:rsid w:val="00A5791C"/>
    <w:rsid w:val="00A57AB5"/>
    <w:rsid w:val="00A57E39"/>
    <w:rsid w:val="00A60166"/>
    <w:rsid w:val="00A6207A"/>
    <w:rsid w:val="00A62129"/>
    <w:rsid w:val="00A6248C"/>
    <w:rsid w:val="00A6249A"/>
    <w:rsid w:val="00A63305"/>
    <w:rsid w:val="00A63460"/>
    <w:rsid w:val="00A636DC"/>
    <w:rsid w:val="00A63837"/>
    <w:rsid w:val="00A64C60"/>
    <w:rsid w:val="00A65CFC"/>
    <w:rsid w:val="00A66638"/>
    <w:rsid w:val="00A739F8"/>
    <w:rsid w:val="00A74641"/>
    <w:rsid w:val="00A7582D"/>
    <w:rsid w:val="00A77543"/>
    <w:rsid w:val="00A804C3"/>
    <w:rsid w:val="00A804CA"/>
    <w:rsid w:val="00A81257"/>
    <w:rsid w:val="00A82774"/>
    <w:rsid w:val="00A8295E"/>
    <w:rsid w:val="00A82A99"/>
    <w:rsid w:val="00A82C14"/>
    <w:rsid w:val="00A8320F"/>
    <w:rsid w:val="00A834E7"/>
    <w:rsid w:val="00A836CB"/>
    <w:rsid w:val="00A84A8C"/>
    <w:rsid w:val="00A86336"/>
    <w:rsid w:val="00A86DF9"/>
    <w:rsid w:val="00A90E18"/>
    <w:rsid w:val="00A9106E"/>
    <w:rsid w:val="00A91E40"/>
    <w:rsid w:val="00A924B9"/>
    <w:rsid w:val="00A949C6"/>
    <w:rsid w:val="00A95330"/>
    <w:rsid w:val="00A95957"/>
    <w:rsid w:val="00A96344"/>
    <w:rsid w:val="00AA0C04"/>
    <w:rsid w:val="00AA11F8"/>
    <w:rsid w:val="00AA17C5"/>
    <w:rsid w:val="00AA4C9A"/>
    <w:rsid w:val="00AA5548"/>
    <w:rsid w:val="00AA6011"/>
    <w:rsid w:val="00AA712B"/>
    <w:rsid w:val="00AB0AF5"/>
    <w:rsid w:val="00AB0B67"/>
    <w:rsid w:val="00AB1708"/>
    <w:rsid w:val="00AB1752"/>
    <w:rsid w:val="00AB2AB0"/>
    <w:rsid w:val="00AB2AF6"/>
    <w:rsid w:val="00AB3C48"/>
    <w:rsid w:val="00AB4400"/>
    <w:rsid w:val="00AB4719"/>
    <w:rsid w:val="00AB4F0B"/>
    <w:rsid w:val="00AB53F7"/>
    <w:rsid w:val="00AB578F"/>
    <w:rsid w:val="00AB5F6E"/>
    <w:rsid w:val="00AB704B"/>
    <w:rsid w:val="00AB7A98"/>
    <w:rsid w:val="00AC0444"/>
    <w:rsid w:val="00AC1581"/>
    <w:rsid w:val="00AC160D"/>
    <w:rsid w:val="00AC2BE9"/>
    <w:rsid w:val="00AC3AD1"/>
    <w:rsid w:val="00AC4D72"/>
    <w:rsid w:val="00AC540C"/>
    <w:rsid w:val="00AC5E65"/>
    <w:rsid w:val="00AC6939"/>
    <w:rsid w:val="00AD1283"/>
    <w:rsid w:val="00AD1438"/>
    <w:rsid w:val="00AD5B64"/>
    <w:rsid w:val="00AD6E52"/>
    <w:rsid w:val="00AD70C5"/>
    <w:rsid w:val="00AD72CD"/>
    <w:rsid w:val="00AD7D7C"/>
    <w:rsid w:val="00AE02C0"/>
    <w:rsid w:val="00AE17DF"/>
    <w:rsid w:val="00AE224A"/>
    <w:rsid w:val="00AE31E8"/>
    <w:rsid w:val="00AE4BC0"/>
    <w:rsid w:val="00AE51E4"/>
    <w:rsid w:val="00AE532C"/>
    <w:rsid w:val="00AE60A0"/>
    <w:rsid w:val="00AE6693"/>
    <w:rsid w:val="00AE66A3"/>
    <w:rsid w:val="00AE767C"/>
    <w:rsid w:val="00AF1AF5"/>
    <w:rsid w:val="00AF1F8E"/>
    <w:rsid w:val="00AF464B"/>
    <w:rsid w:val="00AF4A70"/>
    <w:rsid w:val="00AF4CE6"/>
    <w:rsid w:val="00AF5F44"/>
    <w:rsid w:val="00AF6439"/>
    <w:rsid w:val="00AF6C07"/>
    <w:rsid w:val="00AF6FAA"/>
    <w:rsid w:val="00AF7029"/>
    <w:rsid w:val="00B01642"/>
    <w:rsid w:val="00B01833"/>
    <w:rsid w:val="00B01A93"/>
    <w:rsid w:val="00B026C7"/>
    <w:rsid w:val="00B0303B"/>
    <w:rsid w:val="00B03EED"/>
    <w:rsid w:val="00B04737"/>
    <w:rsid w:val="00B04A5F"/>
    <w:rsid w:val="00B05C6A"/>
    <w:rsid w:val="00B0653E"/>
    <w:rsid w:val="00B06886"/>
    <w:rsid w:val="00B06E77"/>
    <w:rsid w:val="00B07239"/>
    <w:rsid w:val="00B07A0B"/>
    <w:rsid w:val="00B07E7E"/>
    <w:rsid w:val="00B07F5B"/>
    <w:rsid w:val="00B10C79"/>
    <w:rsid w:val="00B1155B"/>
    <w:rsid w:val="00B11DA8"/>
    <w:rsid w:val="00B13E85"/>
    <w:rsid w:val="00B152B1"/>
    <w:rsid w:val="00B1780A"/>
    <w:rsid w:val="00B20222"/>
    <w:rsid w:val="00B210E5"/>
    <w:rsid w:val="00B21AC5"/>
    <w:rsid w:val="00B24442"/>
    <w:rsid w:val="00B25C06"/>
    <w:rsid w:val="00B26A2C"/>
    <w:rsid w:val="00B26BF0"/>
    <w:rsid w:val="00B27842"/>
    <w:rsid w:val="00B27847"/>
    <w:rsid w:val="00B27CC6"/>
    <w:rsid w:val="00B27EF9"/>
    <w:rsid w:val="00B3065F"/>
    <w:rsid w:val="00B31172"/>
    <w:rsid w:val="00B33E37"/>
    <w:rsid w:val="00B35068"/>
    <w:rsid w:val="00B360B8"/>
    <w:rsid w:val="00B36227"/>
    <w:rsid w:val="00B36713"/>
    <w:rsid w:val="00B37207"/>
    <w:rsid w:val="00B4013A"/>
    <w:rsid w:val="00B4185F"/>
    <w:rsid w:val="00B4244E"/>
    <w:rsid w:val="00B42596"/>
    <w:rsid w:val="00B447CB"/>
    <w:rsid w:val="00B4515E"/>
    <w:rsid w:val="00B46622"/>
    <w:rsid w:val="00B527EA"/>
    <w:rsid w:val="00B56F31"/>
    <w:rsid w:val="00B57C38"/>
    <w:rsid w:val="00B57F42"/>
    <w:rsid w:val="00B60683"/>
    <w:rsid w:val="00B61340"/>
    <w:rsid w:val="00B61C18"/>
    <w:rsid w:val="00B62F43"/>
    <w:rsid w:val="00B63EAB"/>
    <w:rsid w:val="00B6537E"/>
    <w:rsid w:val="00B66447"/>
    <w:rsid w:val="00B6712C"/>
    <w:rsid w:val="00B67609"/>
    <w:rsid w:val="00B67D73"/>
    <w:rsid w:val="00B70A64"/>
    <w:rsid w:val="00B71A37"/>
    <w:rsid w:val="00B729A6"/>
    <w:rsid w:val="00B72A9A"/>
    <w:rsid w:val="00B73568"/>
    <w:rsid w:val="00B74A25"/>
    <w:rsid w:val="00B75A20"/>
    <w:rsid w:val="00B75D95"/>
    <w:rsid w:val="00B766E3"/>
    <w:rsid w:val="00B76DB5"/>
    <w:rsid w:val="00B76ED5"/>
    <w:rsid w:val="00B770E1"/>
    <w:rsid w:val="00B81076"/>
    <w:rsid w:val="00B8153E"/>
    <w:rsid w:val="00B82DC8"/>
    <w:rsid w:val="00B8379B"/>
    <w:rsid w:val="00B8457A"/>
    <w:rsid w:val="00B854A2"/>
    <w:rsid w:val="00B86A8C"/>
    <w:rsid w:val="00B87485"/>
    <w:rsid w:val="00B877EB"/>
    <w:rsid w:val="00B916F9"/>
    <w:rsid w:val="00B92295"/>
    <w:rsid w:val="00B93A37"/>
    <w:rsid w:val="00B9445D"/>
    <w:rsid w:val="00B95298"/>
    <w:rsid w:val="00B95324"/>
    <w:rsid w:val="00B97236"/>
    <w:rsid w:val="00B973E5"/>
    <w:rsid w:val="00BA2914"/>
    <w:rsid w:val="00BA2FF6"/>
    <w:rsid w:val="00BA4E8F"/>
    <w:rsid w:val="00BA58B7"/>
    <w:rsid w:val="00BA5D34"/>
    <w:rsid w:val="00BA67E4"/>
    <w:rsid w:val="00BB004B"/>
    <w:rsid w:val="00BB0797"/>
    <w:rsid w:val="00BB1FE7"/>
    <w:rsid w:val="00BB22D0"/>
    <w:rsid w:val="00BB3C4F"/>
    <w:rsid w:val="00BB4C17"/>
    <w:rsid w:val="00BB4D80"/>
    <w:rsid w:val="00BB58CA"/>
    <w:rsid w:val="00BB5DB1"/>
    <w:rsid w:val="00BB6549"/>
    <w:rsid w:val="00BB6CD9"/>
    <w:rsid w:val="00BB78EA"/>
    <w:rsid w:val="00BC1013"/>
    <w:rsid w:val="00BC2971"/>
    <w:rsid w:val="00BC2BBB"/>
    <w:rsid w:val="00BC2EA7"/>
    <w:rsid w:val="00BC3DC0"/>
    <w:rsid w:val="00BC4E1D"/>
    <w:rsid w:val="00BC6C72"/>
    <w:rsid w:val="00BC73C9"/>
    <w:rsid w:val="00BD2CEE"/>
    <w:rsid w:val="00BD3758"/>
    <w:rsid w:val="00BD3932"/>
    <w:rsid w:val="00BD3C21"/>
    <w:rsid w:val="00BD6470"/>
    <w:rsid w:val="00BD65FD"/>
    <w:rsid w:val="00BD6705"/>
    <w:rsid w:val="00BD714B"/>
    <w:rsid w:val="00BD716B"/>
    <w:rsid w:val="00BE1F2B"/>
    <w:rsid w:val="00BE246B"/>
    <w:rsid w:val="00BE26E5"/>
    <w:rsid w:val="00BE2FB3"/>
    <w:rsid w:val="00BE3931"/>
    <w:rsid w:val="00BE4177"/>
    <w:rsid w:val="00BE6161"/>
    <w:rsid w:val="00BE63EF"/>
    <w:rsid w:val="00BE6DF7"/>
    <w:rsid w:val="00BF07C5"/>
    <w:rsid w:val="00BF16CF"/>
    <w:rsid w:val="00BF45B3"/>
    <w:rsid w:val="00BF4C07"/>
    <w:rsid w:val="00BF5647"/>
    <w:rsid w:val="00BF5839"/>
    <w:rsid w:val="00BF594E"/>
    <w:rsid w:val="00BF5D91"/>
    <w:rsid w:val="00BF64C0"/>
    <w:rsid w:val="00BF6A2E"/>
    <w:rsid w:val="00BF7211"/>
    <w:rsid w:val="00BF7717"/>
    <w:rsid w:val="00C00D65"/>
    <w:rsid w:val="00C0141E"/>
    <w:rsid w:val="00C01E03"/>
    <w:rsid w:val="00C01EAE"/>
    <w:rsid w:val="00C0222C"/>
    <w:rsid w:val="00C026D7"/>
    <w:rsid w:val="00C03AF1"/>
    <w:rsid w:val="00C04DDE"/>
    <w:rsid w:val="00C04F23"/>
    <w:rsid w:val="00C059EB"/>
    <w:rsid w:val="00C0752D"/>
    <w:rsid w:val="00C0783F"/>
    <w:rsid w:val="00C122E5"/>
    <w:rsid w:val="00C1524D"/>
    <w:rsid w:val="00C15493"/>
    <w:rsid w:val="00C15757"/>
    <w:rsid w:val="00C21F85"/>
    <w:rsid w:val="00C22EA9"/>
    <w:rsid w:val="00C23FF3"/>
    <w:rsid w:val="00C244E1"/>
    <w:rsid w:val="00C25E7C"/>
    <w:rsid w:val="00C2685F"/>
    <w:rsid w:val="00C27E69"/>
    <w:rsid w:val="00C27F9B"/>
    <w:rsid w:val="00C350E1"/>
    <w:rsid w:val="00C358D7"/>
    <w:rsid w:val="00C36192"/>
    <w:rsid w:val="00C37787"/>
    <w:rsid w:val="00C413C3"/>
    <w:rsid w:val="00C41896"/>
    <w:rsid w:val="00C42645"/>
    <w:rsid w:val="00C42D67"/>
    <w:rsid w:val="00C43CB2"/>
    <w:rsid w:val="00C4430D"/>
    <w:rsid w:val="00C44F2A"/>
    <w:rsid w:val="00C45218"/>
    <w:rsid w:val="00C457E7"/>
    <w:rsid w:val="00C46290"/>
    <w:rsid w:val="00C4649C"/>
    <w:rsid w:val="00C464F2"/>
    <w:rsid w:val="00C47F1C"/>
    <w:rsid w:val="00C500DD"/>
    <w:rsid w:val="00C52571"/>
    <w:rsid w:val="00C53109"/>
    <w:rsid w:val="00C53697"/>
    <w:rsid w:val="00C553CE"/>
    <w:rsid w:val="00C56986"/>
    <w:rsid w:val="00C57325"/>
    <w:rsid w:val="00C5781A"/>
    <w:rsid w:val="00C57D28"/>
    <w:rsid w:val="00C57DA0"/>
    <w:rsid w:val="00C57F6C"/>
    <w:rsid w:val="00C60D91"/>
    <w:rsid w:val="00C61E44"/>
    <w:rsid w:val="00C62E15"/>
    <w:rsid w:val="00C62E88"/>
    <w:rsid w:val="00C63664"/>
    <w:rsid w:val="00C6375E"/>
    <w:rsid w:val="00C64E2F"/>
    <w:rsid w:val="00C65FBA"/>
    <w:rsid w:val="00C66916"/>
    <w:rsid w:val="00C66CA2"/>
    <w:rsid w:val="00C6709A"/>
    <w:rsid w:val="00C705E7"/>
    <w:rsid w:val="00C70726"/>
    <w:rsid w:val="00C71339"/>
    <w:rsid w:val="00C7250C"/>
    <w:rsid w:val="00C72757"/>
    <w:rsid w:val="00C73B2D"/>
    <w:rsid w:val="00C742F2"/>
    <w:rsid w:val="00C7586C"/>
    <w:rsid w:val="00C758F2"/>
    <w:rsid w:val="00C7591D"/>
    <w:rsid w:val="00C75C5B"/>
    <w:rsid w:val="00C76A7D"/>
    <w:rsid w:val="00C77F03"/>
    <w:rsid w:val="00C808FD"/>
    <w:rsid w:val="00C80976"/>
    <w:rsid w:val="00C82408"/>
    <w:rsid w:val="00C82556"/>
    <w:rsid w:val="00C85908"/>
    <w:rsid w:val="00C85A30"/>
    <w:rsid w:val="00C86F1F"/>
    <w:rsid w:val="00C9181F"/>
    <w:rsid w:val="00C93606"/>
    <w:rsid w:val="00C95689"/>
    <w:rsid w:val="00CA0158"/>
    <w:rsid w:val="00CA066D"/>
    <w:rsid w:val="00CA147B"/>
    <w:rsid w:val="00CA3042"/>
    <w:rsid w:val="00CA311C"/>
    <w:rsid w:val="00CA40C0"/>
    <w:rsid w:val="00CA6282"/>
    <w:rsid w:val="00CA6EFC"/>
    <w:rsid w:val="00CB1151"/>
    <w:rsid w:val="00CB28E0"/>
    <w:rsid w:val="00CB3601"/>
    <w:rsid w:val="00CB41B2"/>
    <w:rsid w:val="00CB475B"/>
    <w:rsid w:val="00CB4CE2"/>
    <w:rsid w:val="00CB4DEF"/>
    <w:rsid w:val="00CB4E83"/>
    <w:rsid w:val="00CB59C5"/>
    <w:rsid w:val="00CC0C12"/>
    <w:rsid w:val="00CC5F40"/>
    <w:rsid w:val="00CC6E48"/>
    <w:rsid w:val="00CC6F76"/>
    <w:rsid w:val="00CC7647"/>
    <w:rsid w:val="00CD055D"/>
    <w:rsid w:val="00CD1752"/>
    <w:rsid w:val="00CD3F01"/>
    <w:rsid w:val="00CD4A83"/>
    <w:rsid w:val="00CD68E4"/>
    <w:rsid w:val="00CD7E7D"/>
    <w:rsid w:val="00CE0A6B"/>
    <w:rsid w:val="00CE0F91"/>
    <w:rsid w:val="00CE1162"/>
    <w:rsid w:val="00CE1D0F"/>
    <w:rsid w:val="00CE3921"/>
    <w:rsid w:val="00CE453A"/>
    <w:rsid w:val="00CE5022"/>
    <w:rsid w:val="00CE5C7F"/>
    <w:rsid w:val="00CE6260"/>
    <w:rsid w:val="00CF18B0"/>
    <w:rsid w:val="00CF2C2E"/>
    <w:rsid w:val="00CF3907"/>
    <w:rsid w:val="00CF3B22"/>
    <w:rsid w:val="00CF4966"/>
    <w:rsid w:val="00CF5BA1"/>
    <w:rsid w:val="00CF7B5F"/>
    <w:rsid w:val="00CF7E82"/>
    <w:rsid w:val="00D02398"/>
    <w:rsid w:val="00D02737"/>
    <w:rsid w:val="00D02A29"/>
    <w:rsid w:val="00D02CE2"/>
    <w:rsid w:val="00D0398F"/>
    <w:rsid w:val="00D046CC"/>
    <w:rsid w:val="00D049E1"/>
    <w:rsid w:val="00D058E1"/>
    <w:rsid w:val="00D07E36"/>
    <w:rsid w:val="00D105EF"/>
    <w:rsid w:val="00D11D27"/>
    <w:rsid w:val="00D12F51"/>
    <w:rsid w:val="00D13431"/>
    <w:rsid w:val="00D15E7C"/>
    <w:rsid w:val="00D16D60"/>
    <w:rsid w:val="00D2030A"/>
    <w:rsid w:val="00D21FB8"/>
    <w:rsid w:val="00D22897"/>
    <w:rsid w:val="00D22D32"/>
    <w:rsid w:val="00D23A91"/>
    <w:rsid w:val="00D240D6"/>
    <w:rsid w:val="00D2451A"/>
    <w:rsid w:val="00D25C68"/>
    <w:rsid w:val="00D2713F"/>
    <w:rsid w:val="00D27D18"/>
    <w:rsid w:val="00D30B47"/>
    <w:rsid w:val="00D31BE2"/>
    <w:rsid w:val="00D32958"/>
    <w:rsid w:val="00D3466E"/>
    <w:rsid w:val="00D3560E"/>
    <w:rsid w:val="00D3799F"/>
    <w:rsid w:val="00D40FCE"/>
    <w:rsid w:val="00D42F27"/>
    <w:rsid w:val="00D44EED"/>
    <w:rsid w:val="00D45058"/>
    <w:rsid w:val="00D45A93"/>
    <w:rsid w:val="00D45E08"/>
    <w:rsid w:val="00D46D4F"/>
    <w:rsid w:val="00D4756F"/>
    <w:rsid w:val="00D512CF"/>
    <w:rsid w:val="00D52597"/>
    <w:rsid w:val="00D53678"/>
    <w:rsid w:val="00D54B24"/>
    <w:rsid w:val="00D54CD5"/>
    <w:rsid w:val="00D54ECE"/>
    <w:rsid w:val="00D557AB"/>
    <w:rsid w:val="00D55C3B"/>
    <w:rsid w:val="00D568D0"/>
    <w:rsid w:val="00D57A7D"/>
    <w:rsid w:val="00D60253"/>
    <w:rsid w:val="00D61D4D"/>
    <w:rsid w:val="00D63095"/>
    <w:rsid w:val="00D63794"/>
    <w:rsid w:val="00D638E8"/>
    <w:rsid w:val="00D65026"/>
    <w:rsid w:val="00D652FA"/>
    <w:rsid w:val="00D66354"/>
    <w:rsid w:val="00D672FE"/>
    <w:rsid w:val="00D67D24"/>
    <w:rsid w:val="00D7086C"/>
    <w:rsid w:val="00D70D0B"/>
    <w:rsid w:val="00D71B67"/>
    <w:rsid w:val="00D71E4A"/>
    <w:rsid w:val="00D7288C"/>
    <w:rsid w:val="00D73299"/>
    <w:rsid w:val="00D74D77"/>
    <w:rsid w:val="00D75014"/>
    <w:rsid w:val="00D76ABA"/>
    <w:rsid w:val="00D76C0C"/>
    <w:rsid w:val="00D76C31"/>
    <w:rsid w:val="00D76CDD"/>
    <w:rsid w:val="00D8208A"/>
    <w:rsid w:val="00D83AA2"/>
    <w:rsid w:val="00D83B08"/>
    <w:rsid w:val="00D84307"/>
    <w:rsid w:val="00D84B8C"/>
    <w:rsid w:val="00D85ADD"/>
    <w:rsid w:val="00D85DFD"/>
    <w:rsid w:val="00D868C5"/>
    <w:rsid w:val="00D86EF5"/>
    <w:rsid w:val="00D871DB"/>
    <w:rsid w:val="00D87267"/>
    <w:rsid w:val="00D8764D"/>
    <w:rsid w:val="00D901DA"/>
    <w:rsid w:val="00D950D1"/>
    <w:rsid w:val="00D95875"/>
    <w:rsid w:val="00D95BD3"/>
    <w:rsid w:val="00D968A4"/>
    <w:rsid w:val="00DA0EDC"/>
    <w:rsid w:val="00DA12E9"/>
    <w:rsid w:val="00DA3EF2"/>
    <w:rsid w:val="00DA3F71"/>
    <w:rsid w:val="00DA42CE"/>
    <w:rsid w:val="00DA4362"/>
    <w:rsid w:val="00DA4DD5"/>
    <w:rsid w:val="00DA64C0"/>
    <w:rsid w:val="00DA76E0"/>
    <w:rsid w:val="00DA7FDB"/>
    <w:rsid w:val="00DB03E1"/>
    <w:rsid w:val="00DB0485"/>
    <w:rsid w:val="00DB0B56"/>
    <w:rsid w:val="00DB0BAE"/>
    <w:rsid w:val="00DB23BB"/>
    <w:rsid w:val="00DB5AD5"/>
    <w:rsid w:val="00DB6B67"/>
    <w:rsid w:val="00DC2376"/>
    <w:rsid w:val="00DC304F"/>
    <w:rsid w:val="00DC3B58"/>
    <w:rsid w:val="00DC47EB"/>
    <w:rsid w:val="00DC4866"/>
    <w:rsid w:val="00DC4A0F"/>
    <w:rsid w:val="00DC6BEF"/>
    <w:rsid w:val="00DC745F"/>
    <w:rsid w:val="00DD06E7"/>
    <w:rsid w:val="00DD107D"/>
    <w:rsid w:val="00DD10E7"/>
    <w:rsid w:val="00DD1174"/>
    <w:rsid w:val="00DD27EA"/>
    <w:rsid w:val="00DD5269"/>
    <w:rsid w:val="00DD5E45"/>
    <w:rsid w:val="00DD5F46"/>
    <w:rsid w:val="00DD68D5"/>
    <w:rsid w:val="00DD6B21"/>
    <w:rsid w:val="00DD6E79"/>
    <w:rsid w:val="00DD70B8"/>
    <w:rsid w:val="00DD7860"/>
    <w:rsid w:val="00DD7BF3"/>
    <w:rsid w:val="00DE25DA"/>
    <w:rsid w:val="00DE2C4A"/>
    <w:rsid w:val="00DE2D29"/>
    <w:rsid w:val="00DE33E2"/>
    <w:rsid w:val="00DE593D"/>
    <w:rsid w:val="00DE5D51"/>
    <w:rsid w:val="00DE63F5"/>
    <w:rsid w:val="00DE65F6"/>
    <w:rsid w:val="00DF0709"/>
    <w:rsid w:val="00DF09F2"/>
    <w:rsid w:val="00DF0E1D"/>
    <w:rsid w:val="00DF1DA4"/>
    <w:rsid w:val="00DF2C3A"/>
    <w:rsid w:val="00DF3A6C"/>
    <w:rsid w:val="00DF55F6"/>
    <w:rsid w:val="00DF6DF5"/>
    <w:rsid w:val="00DF7E4B"/>
    <w:rsid w:val="00DF7F49"/>
    <w:rsid w:val="00E01293"/>
    <w:rsid w:val="00E01714"/>
    <w:rsid w:val="00E021EE"/>
    <w:rsid w:val="00E025C3"/>
    <w:rsid w:val="00E02F13"/>
    <w:rsid w:val="00E03036"/>
    <w:rsid w:val="00E032F0"/>
    <w:rsid w:val="00E03B86"/>
    <w:rsid w:val="00E04262"/>
    <w:rsid w:val="00E053B7"/>
    <w:rsid w:val="00E05881"/>
    <w:rsid w:val="00E058E1"/>
    <w:rsid w:val="00E068C1"/>
    <w:rsid w:val="00E06DD5"/>
    <w:rsid w:val="00E077B8"/>
    <w:rsid w:val="00E12240"/>
    <w:rsid w:val="00E13107"/>
    <w:rsid w:val="00E13481"/>
    <w:rsid w:val="00E138E0"/>
    <w:rsid w:val="00E13EB8"/>
    <w:rsid w:val="00E158CD"/>
    <w:rsid w:val="00E160FB"/>
    <w:rsid w:val="00E16B2A"/>
    <w:rsid w:val="00E17873"/>
    <w:rsid w:val="00E178CC"/>
    <w:rsid w:val="00E201FC"/>
    <w:rsid w:val="00E20257"/>
    <w:rsid w:val="00E2171E"/>
    <w:rsid w:val="00E224C2"/>
    <w:rsid w:val="00E22D70"/>
    <w:rsid w:val="00E25A5A"/>
    <w:rsid w:val="00E25BA2"/>
    <w:rsid w:val="00E262F1"/>
    <w:rsid w:val="00E26811"/>
    <w:rsid w:val="00E26A1F"/>
    <w:rsid w:val="00E27E89"/>
    <w:rsid w:val="00E32E53"/>
    <w:rsid w:val="00E332B4"/>
    <w:rsid w:val="00E35171"/>
    <w:rsid w:val="00E35FEA"/>
    <w:rsid w:val="00E36194"/>
    <w:rsid w:val="00E37917"/>
    <w:rsid w:val="00E40853"/>
    <w:rsid w:val="00E41708"/>
    <w:rsid w:val="00E42CFB"/>
    <w:rsid w:val="00E4328A"/>
    <w:rsid w:val="00E4417F"/>
    <w:rsid w:val="00E4430E"/>
    <w:rsid w:val="00E45EEF"/>
    <w:rsid w:val="00E46F55"/>
    <w:rsid w:val="00E47F6D"/>
    <w:rsid w:val="00E51A84"/>
    <w:rsid w:val="00E55712"/>
    <w:rsid w:val="00E55937"/>
    <w:rsid w:val="00E5606B"/>
    <w:rsid w:val="00E563A2"/>
    <w:rsid w:val="00E56B0C"/>
    <w:rsid w:val="00E56C91"/>
    <w:rsid w:val="00E57A87"/>
    <w:rsid w:val="00E57E80"/>
    <w:rsid w:val="00E619D5"/>
    <w:rsid w:val="00E6283C"/>
    <w:rsid w:val="00E63131"/>
    <w:rsid w:val="00E63881"/>
    <w:rsid w:val="00E6563A"/>
    <w:rsid w:val="00E6564B"/>
    <w:rsid w:val="00E66096"/>
    <w:rsid w:val="00E67ECB"/>
    <w:rsid w:val="00E70847"/>
    <w:rsid w:val="00E710CB"/>
    <w:rsid w:val="00E728C1"/>
    <w:rsid w:val="00E72F79"/>
    <w:rsid w:val="00E743B8"/>
    <w:rsid w:val="00E74ACF"/>
    <w:rsid w:val="00E75C55"/>
    <w:rsid w:val="00E75DD7"/>
    <w:rsid w:val="00E75FC1"/>
    <w:rsid w:val="00E77B9D"/>
    <w:rsid w:val="00E814D3"/>
    <w:rsid w:val="00E81D2F"/>
    <w:rsid w:val="00E81DD1"/>
    <w:rsid w:val="00E8324F"/>
    <w:rsid w:val="00E835E5"/>
    <w:rsid w:val="00E85AED"/>
    <w:rsid w:val="00E85CF3"/>
    <w:rsid w:val="00E86CA0"/>
    <w:rsid w:val="00E872D0"/>
    <w:rsid w:val="00E87327"/>
    <w:rsid w:val="00E90514"/>
    <w:rsid w:val="00E91614"/>
    <w:rsid w:val="00E91C84"/>
    <w:rsid w:val="00E92492"/>
    <w:rsid w:val="00E927D0"/>
    <w:rsid w:val="00E92B54"/>
    <w:rsid w:val="00E94ADF"/>
    <w:rsid w:val="00E9515F"/>
    <w:rsid w:val="00E95DAB"/>
    <w:rsid w:val="00E96B63"/>
    <w:rsid w:val="00E96C04"/>
    <w:rsid w:val="00E97E0B"/>
    <w:rsid w:val="00EA04CE"/>
    <w:rsid w:val="00EA0824"/>
    <w:rsid w:val="00EA239C"/>
    <w:rsid w:val="00EA29D6"/>
    <w:rsid w:val="00EA42C7"/>
    <w:rsid w:val="00EA7627"/>
    <w:rsid w:val="00EB06AC"/>
    <w:rsid w:val="00EB11FE"/>
    <w:rsid w:val="00EB12FA"/>
    <w:rsid w:val="00EB1315"/>
    <w:rsid w:val="00EB25A5"/>
    <w:rsid w:val="00EB273D"/>
    <w:rsid w:val="00EB2ABF"/>
    <w:rsid w:val="00EB431F"/>
    <w:rsid w:val="00EB44DA"/>
    <w:rsid w:val="00EB59F6"/>
    <w:rsid w:val="00EB5BFD"/>
    <w:rsid w:val="00EB7174"/>
    <w:rsid w:val="00EB7F4C"/>
    <w:rsid w:val="00EC13F7"/>
    <w:rsid w:val="00EC1D3E"/>
    <w:rsid w:val="00EC266A"/>
    <w:rsid w:val="00EC2CB7"/>
    <w:rsid w:val="00EC3340"/>
    <w:rsid w:val="00EC39BF"/>
    <w:rsid w:val="00EC3D2B"/>
    <w:rsid w:val="00EC4505"/>
    <w:rsid w:val="00EC4A34"/>
    <w:rsid w:val="00EC4DA9"/>
    <w:rsid w:val="00EC6AA9"/>
    <w:rsid w:val="00EC7C43"/>
    <w:rsid w:val="00ED0CD4"/>
    <w:rsid w:val="00ED1F9A"/>
    <w:rsid w:val="00ED29AB"/>
    <w:rsid w:val="00ED39F6"/>
    <w:rsid w:val="00ED3ECA"/>
    <w:rsid w:val="00ED4756"/>
    <w:rsid w:val="00ED626A"/>
    <w:rsid w:val="00ED719F"/>
    <w:rsid w:val="00ED7524"/>
    <w:rsid w:val="00ED7575"/>
    <w:rsid w:val="00EE1457"/>
    <w:rsid w:val="00EE196E"/>
    <w:rsid w:val="00EE1F87"/>
    <w:rsid w:val="00EE2DAE"/>
    <w:rsid w:val="00EE4113"/>
    <w:rsid w:val="00EE4AC4"/>
    <w:rsid w:val="00EE5EF9"/>
    <w:rsid w:val="00EE60BE"/>
    <w:rsid w:val="00EE6FB0"/>
    <w:rsid w:val="00EE70BF"/>
    <w:rsid w:val="00EF00DC"/>
    <w:rsid w:val="00EF0624"/>
    <w:rsid w:val="00EF0DA2"/>
    <w:rsid w:val="00EF1358"/>
    <w:rsid w:val="00EF1719"/>
    <w:rsid w:val="00EF1A8F"/>
    <w:rsid w:val="00EF1F1B"/>
    <w:rsid w:val="00EF32EF"/>
    <w:rsid w:val="00EF3B7C"/>
    <w:rsid w:val="00EF3C69"/>
    <w:rsid w:val="00EF46C8"/>
    <w:rsid w:val="00EF5C56"/>
    <w:rsid w:val="00EF61CD"/>
    <w:rsid w:val="00EF67E9"/>
    <w:rsid w:val="00EF6A2B"/>
    <w:rsid w:val="00F00550"/>
    <w:rsid w:val="00F01217"/>
    <w:rsid w:val="00F0414C"/>
    <w:rsid w:val="00F04FB7"/>
    <w:rsid w:val="00F05167"/>
    <w:rsid w:val="00F05C30"/>
    <w:rsid w:val="00F06E05"/>
    <w:rsid w:val="00F10FF8"/>
    <w:rsid w:val="00F11452"/>
    <w:rsid w:val="00F1181F"/>
    <w:rsid w:val="00F11AB0"/>
    <w:rsid w:val="00F13173"/>
    <w:rsid w:val="00F1421D"/>
    <w:rsid w:val="00F1538A"/>
    <w:rsid w:val="00F153D6"/>
    <w:rsid w:val="00F15E40"/>
    <w:rsid w:val="00F161F5"/>
    <w:rsid w:val="00F17BCC"/>
    <w:rsid w:val="00F21536"/>
    <w:rsid w:val="00F21DA7"/>
    <w:rsid w:val="00F22D90"/>
    <w:rsid w:val="00F23517"/>
    <w:rsid w:val="00F243F6"/>
    <w:rsid w:val="00F2514E"/>
    <w:rsid w:val="00F30F8F"/>
    <w:rsid w:val="00F31044"/>
    <w:rsid w:val="00F31980"/>
    <w:rsid w:val="00F3724D"/>
    <w:rsid w:val="00F3741C"/>
    <w:rsid w:val="00F41084"/>
    <w:rsid w:val="00F43B4F"/>
    <w:rsid w:val="00F44A3A"/>
    <w:rsid w:val="00F45437"/>
    <w:rsid w:val="00F468F6"/>
    <w:rsid w:val="00F47BF7"/>
    <w:rsid w:val="00F51771"/>
    <w:rsid w:val="00F51DDB"/>
    <w:rsid w:val="00F52197"/>
    <w:rsid w:val="00F5231D"/>
    <w:rsid w:val="00F53FEA"/>
    <w:rsid w:val="00F547A9"/>
    <w:rsid w:val="00F55AF3"/>
    <w:rsid w:val="00F5683E"/>
    <w:rsid w:val="00F569F6"/>
    <w:rsid w:val="00F5756A"/>
    <w:rsid w:val="00F578D0"/>
    <w:rsid w:val="00F60E99"/>
    <w:rsid w:val="00F61558"/>
    <w:rsid w:val="00F624DB"/>
    <w:rsid w:val="00F62C4C"/>
    <w:rsid w:val="00F63185"/>
    <w:rsid w:val="00F63F02"/>
    <w:rsid w:val="00F66EDA"/>
    <w:rsid w:val="00F70A4A"/>
    <w:rsid w:val="00F717A0"/>
    <w:rsid w:val="00F75231"/>
    <w:rsid w:val="00F77706"/>
    <w:rsid w:val="00F7771D"/>
    <w:rsid w:val="00F804F1"/>
    <w:rsid w:val="00F853FD"/>
    <w:rsid w:val="00F86507"/>
    <w:rsid w:val="00F87C10"/>
    <w:rsid w:val="00F903AF"/>
    <w:rsid w:val="00F9046F"/>
    <w:rsid w:val="00F90D63"/>
    <w:rsid w:val="00F912F7"/>
    <w:rsid w:val="00F95710"/>
    <w:rsid w:val="00F95833"/>
    <w:rsid w:val="00F95E49"/>
    <w:rsid w:val="00F97822"/>
    <w:rsid w:val="00FA1A9C"/>
    <w:rsid w:val="00FA2394"/>
    <w:rsid w:val="00FA2E82"/>
    <w:rsid w:val="00FA2F1B"/>
    <w:rsid w:val="00FA35E0"/>
    <w:rsid w:val="00FA4220"/>
    <w:rsid w:val="00FA4BBA"/>
    <w:rsid w:val="00FA6A99"/>
    <w:rsid w:val="00FA717A"/>
    <w:rsid w:val="00FB020A"/>
    <w:rsid w:val="00FB073E"/>
    <w:rsid w:val="00FB1AEE"/>
    <w:rsid w:val="00FB1DA6"/>
    <w:rsid w:val="00FB1DC0"/>
    <w:rsid w:val="00FB3B04"/>
    <w:rsid w:val="00FB44D6"/>
    <w:rsid w:val="00FB4718"/>
    <w:rsid w:val="00FB51A5"/>
    <w:rsid w:val="00FB68C4"/>
    <w:rsid w:val="00FB6EC1"/>
    <w:rsid w:val="00FB7387"/>
    <w:rsid w:val="00FC1B80"/>
    <w:rsid w:val="00FC2037"/>
    <w:rsid w:val="00FC3524"/>
    <w:rsid w:val="00FC3F69"/>
    <w:rsid w:val="00FC4714"/>
    <w:rsid w:val="00FC6A51"/>
    <w:rsid w:val="00FD0C2F"/>
    <w:rsid w:val="00FD0DBC"/>
    <w:rsid w:val="00FD17E0"/>
    <w:rsid w:val="00FD18FC"/>
    <w:rsid w:val="00FD1BD5"/>
    <w:rsid w:val="00FD529F"/>
    <w:rsid w:val="00FD530E"/>
    <w:rsid w:val="00FD5AE8"/>
    <w:rsid w:val="00FD61F0"/>
    <w:rsid w:val="00FD6293"/>
    <w:rsid w:val="00FD6978"/>
    <w:rsid w:val="00FE0A5C"/>
    <w:rsid w:val="00FE0FBE"/>
    <w:rsid w:val="00FE29D8"/>
    <w:rsid w:val="00FE2C55"/>
    <w:rsid w:val="00FE32BB"/>
    <w:rsid w:val="00FE3455"/>
    <w:rsid w:val="00FE34F7"/>
    <w:rsid w:val="00FE3F54"/>
    <w:rsid w:val="00FE420D"/>
    <w:rsid w:val="00FE4DFB"/>
    <w:rsid w:val="00FE5393"/>
    <w:rsid w:val="00FE685E"/>
    <w:rsid w:val="00FE7F94"/>
    <w:rsid w:val="00FF207C"/>
    <w:rsid w:val="00FF2138"/>
    <w:rsid w:val="00FF2CAD"/>
    <w:rsid w:val="00FF3309"/>
    <w:rsid w:val="00FF5139"/>
    <w:rsid w:val="00FF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1" type="connector" idref="#_x0000_s1031"/>
        <o:r id="V:Rule2" type="connector" idref="#_x0000_s1033"/>
      </o:rules>
    </o:shapelayout>
  </w:shapeDefaults>
  <w:decimalSymbol w:val="."/>
  <w:listSeparator w:val=","/>
  <w15:docId w15:val="{9D08266A-0E8D-4D4E-B10B-8BF6B6D2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E077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rsid w:val="00E077B8"/>
    <w:rPr>
      <w:color w:val="0000FF"/>
      <w:u w:val="single"/>
    </w:rPr>
  </w:style>
  <w:style w:type="character" w:styleId="Strong">
    <w:name w:val="Strong"/>
    <w:qFormat/>
    <w:rsid w:val="00ED0CD4"/>
    <w:rPr>
      <w:b/>
      <w:bCs/>
    </w:rPr>
  </w:style>
  <w:style w:type="paragraph" w:styleId="BalloonText">
    <w:name w:val="Balloon Text"/>
    <w:basedOn w:val="Normal"/>
    <w:semiHidden/>
    <w:rsid w:val="00B42596"/>
    <w:rPr>
      <w:rFonts w:ascii="Tahoma" w:hAnsi="Tahoma" w:cs="Tahoma"/>
      <w:sz w:val="16"/>
      <w:szCs w:val="16"/>
    </w:rPr>
  </w:style>
  <w:style w:type="character" w:styleId="CommentReference">
    <w:name w:val="annotation reference"/>
    <w:rsid w:val="00576D9B"/>
    <w:rPr>
      <w:sz w:val="16"/>
      <w:szCs w:val="16"/>
    </w:rPr>
  </w:style>
  <w:style w:type="paragraph" w:styleId="CommentText">
    <w:name w:val="annotation text"/>
    <w:basedOn w:val="Normal"/>
    <w:link w:val="CommentTextChar"/>
    <w:rsid w:val="00576D9B"/>
    <w:rPr>
      <w:sz w:val="20"/>
      <w:szCs w:val="20"/>
    </w:rPr>
  </w:style>
  <w:style w:type="character" w:customStyle="1" w:styleId="CommentTextChar">
    <w:name w:val="Comment Text Char"/>
    <w:basedOn w:val="DefaultParagraphFont"/>
    <w:link w:val="CommentText"/>
    <w:rsid w:val="00576D9B"/>
  </w:style>
  <w:style w:type="paragraph" w:styleId="CommentSubject">
    <w:name w:val="annotation subject"/>
    <w:basedOn w:val="CommentText"/>
    <w:next w:val="CommentText"/>
    <w:link w:val="CommentSubjectChar"/>
    <w:rsid w:val="00576D9B"/>
    <w:rPr>
      <w:b/>
      <w:bCs/>
    </w:rPr>
  </w:style>
  <w:style w:type="character" w:customStyle="1" w:styleId="CommentSubjectChar">
    <w:name w:val="Comment Subject Char"/>
    <w:link w:val="CommentSubject"/>
    <w:rsid w:val="00576D9B"/>
    <w:rPr>
      <w:b/>
      <w:bCs/>
    </w:rPr>
  </w:style>
  <w:style w:type="table" w:styleId="TableGrid">
    <w:name w:val="Table Grid"/>
    <w:basedOn w:val="TableNormal"/>
    <w:rsid w:val="00C9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EE9"/>
    <w:rPr>
      <w:sz w:val="24"/>
      <w:szCs w:val="24"/>
    </w:rPr>
  </w:style>
  <w:style w:type="paragraph" w:styleId="Header">
    <w:name w:val="header"/>
    <w:basedOn w:val="Normal"/>
    <w:link w:val="HeaderChar"/>
    <w:rsid w:val="003E4BD4"/>
    <w:pPr>
      <w:tabs>
        <w:tab w:val="center" w:pos="4513"/>
        <w:tab w:val="right" w:pos="9026"/>
      </w:tabs>
    </w:pPr>
  </w:style>
  <w:style w:type="character" w:customStyle="1" w:styleId="HeaderChar">
    <w:name w:val="Header Char"/>
    <w:link w:val="Header"/>
    <w:rsid w:val="003E4BD4"/>
    <w:rPr>
      <w:sz w:val="24"/>
      <w:szCs w:val="24"/>
    </w:rPr>
  </w:style>
  <w:style w:type="paragraph" w:styleId="Footer">
    <w:name w:val="footer"/>
    <w:basedOn w:val="Normal"/>
    <w:link w:val="FooterChar"/>
    <w:uiPriority w:val="99"/>
    <w:rsid w:val="003E4BD4"/>
    <w:pPr>
      <w:tabs>
        <w:tab w:val="center" w:pos="4513"/>
        <w:tab w:val="right" w:pos="9026"/>
      </w:tabs>
    </w:pPr>
  </w:style>
  <w:style w:type="character" w:customStyle="1" w:styleId="FooterChar">
    <w:name w:val="Footer Char"/>
    <w:link w:val="Footer"/>
    <w:uiPriority w:val="99"/>
    <w:rsid w:val="003E4BD4"/>
    <w:rPr>
      <w:sz w:val="24"/>
      <w:szCs w:val="24"/>
    </w:rPr>
  </w:style>
  <w:style w:type="paragraph" w:styleId="ListParagraph">
    <w:name w:val="List Paragraph"/>
    <w:basedOn w:val="Normal"/>
    <w:uiPriority w:val="34"/>
    <w:qFormat/>
    <w:rsid w:val="00195781"/>
    <w:pPr>
      <w:ind w:left="720"/>
      <w:contextualSpacing/>
    </w:pPr>
  </w:style>
  <w:style w:type="character" w:customStyle="1" w:styleId="journal9">
    <w:name w:val="journal9"/>
    <w:basedOn w:val="DefaultParagraphFont"/>
    <w:rsid w:val="009243B5"/>
    <w:rPr>
      <w:i/>
      <w:iCs/>
    </w:rPr>
  </w:style>
  <w:style w:type="character" w:customStyle="1" w:styleId="jnumber1">
    <w:name w:val="jnumber1"/>
    <w:basedOn w:val="DefaultParagraphFont"/>
    <w:rsid w:val="009243B5"/>
    <w:rPr>
      <w:b/>
      <w:bCs/>
    </w:rPr>
  </w:style>
  <w:style w:type="character" w:customStyle="1" w:styleId="pagecontents1">
    <w:name w:val="pagecontents1"/>
    <w:basedOn w:val="DefaultParagraphFont"/>
    <w:rsid w:val="007901DA"/>
    <w:rPr>
      <w:rFonts w:ascii="Arial" w:hAnsi="Arial" w:cs="Arial" w:hint="default"/>
      <w:color w:val="60606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8211">
      <w:bodyDiv w:val="1"/>
      <w:marLeft w:val="0"/>
      <w:marRight w:val="0"/>
      <w:marTop w:val="0"/>
      <w:marBottom w:val="0"/>
      <w:divBdr>
        <w:top w:val="none" w:sz="0" w:space="0" w:color="auto"/>
        <w:left w:val="none" w:sz="0" w:space="0" w:color="auto"/>
        <w:bottom w:val="none" w:sz="0" w:space="0" w:color="auto"/>
        <w:right w:val="none" w:sz="0" w:space="0" w:color="auto"/>
      </w:divBdr>
    </w:div>
    <w:div w:id="510998455">
      <w:bodyDiv w:val="1"/>
      <w:marLeft w:val="0"/>
      <w:marRight w:val="0"/>
      <w:marTop w:val="0"/>
      <w:marBottom w:val="0"/>
      <w:divBdr>
        <w:top w:val="none" w:sz="0" w:space="0" w:color="auto"/>
        <w:left w:val="none" w:sz="0" w:space="0" w:color="auto"/>
        <w:bottom w:val="none" w:sz="0" w:space="0" w:color="auto"/>
        <w:right w:val="none" w:sz="0" w:space="0" w:color="auto"/>
      </w:divBdr>
    </w:div>
    <w:div w:id="1092747662">
      <w:bodyDiv w:val="1"/>
      <w:marLeft w:val="0"/>
      <w:marRight w:val="0"/>
      <w:marTop w:val="0"/>
      <w:marBottom w:val="0"/>
      <w:divBdr>
        <w:top w:val="none" w:sz="0" w:space="0" w:color="auto"/>
        <w:left w:val="none" w:sz="0" w:space="0" w:color="auto"/>
        <w:bottom w:val="none" w:sz="0" w:space="0" w:color="auto"/>
        <w:right w:val="none" w:sz="0" w:space="0" w:color="auto"/>
      </w:divBdr>
    </w:div>
    <w:div w:id="1328243620">
      <w:bodyDiv w:val="1"/>
      <w:marLeft w:val="0"/>
      <w:marRight w:val="0"/>
      <w:marTop w:val="0"/>
      <w:marBottom w:val="0"/>
      <w:divBdr>
        <w:top w:val="none" w:sz="0" w:space="0" w:color="auto"/>
        <w:left w:val="none" w:sz="0" w:space="0" w:color="auto"/>
        <w:bottom w:val="none" w:sz="0" w:space="0" w:color="auto"/>
        <w:right w:val="none" w:sz="0" w:space="0" w:color="auto"/>
      </w:divBdr>
    </w:div>
    <w:div w:id="15997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populationandmigration/populationestimates/datasets/populationestimatesforukenglandandwalesscotlandandnorthernireland" TargetMode="Externa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pch.ac.uk/system/files/protected/page/BPSU%20complete%20for%20web.pdf"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noo.org.uk/uploads/doc799_2_International_Comparisons_Obesity_Prevalen.ce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o.ie/en/media/csoie/census/documents/Amended_Final_Principal_Demographic_Results_2006.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67CA5-7E33-4F89-B80B-97A6F1E5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5489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Method:</vt:lpstr>
    </vt:vector>
  </TitlesOfParts>
  <Company>North East Wales NHS Trust</Company>
  <LinksUpToDate>false</LinksUpToDate>
  <CharactersWithSpaces>37560</CharactersWithSpaces>
  <SharedDoc>false</SharedDoc>
  <HLinks>
    <vt:vector size="12" baseType="variant">
      <vt:variant>
        <vt:i4>4980847</vt:i4>
      </vt:variant>
      <vt:variant>
        <vt:i4>3</vt:i4>
      </vt:variant>
      <vt:variant>
        <vt:i4>0</vt:i4>
      </vt:variant>
      <vt:variant>
        <vt:i4>5</vt:i4>
      </vt:variant>
      <vt:variant>
        <vt:lpwstr>http://www.noo.org.uk/uploads/doc799_2_International_Comparisons_Obesity_Prevalence2.pdf</vt:lpwstr>
      </vt:variant>
      <vt:variant>
        <vt:lpwstr/>
      </vt:variant>
      <vt:variant>
        <vt:i4>1704001</vt:i4>
      </vt:variant>
      <vt:variant>
        <vt:i4>0</vt:i4>
      </vt:variant>
      <vt:variant>
        <vt:i4>0</vt:i4>
      </vt:variant>
      <vt:variant>
        <vt:i4>5</vt:i4>
      </vt:variant>
      <vt:variant>
        <vt:lpwstr>http://www.noo.org.uk/NOO_about_obesity/measurement/children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dc:title>
  <dc:creator>Kennedy C.R.</dc:creator>
  <cp:lastModifiedBy>Kennedy C.R.</cp:lastModifiedBy>
  <cp:revision>2</cp:revision>
  <cp:lastPrinted>2016-01-19T11:17:00Z</cp:lastPrinted>
  <dcterms:created xsi:type="dcterms:W3CDTF">2017-01-15T10:02:00Z</dcterms:created>
  <dcterms:modified xsi:type="dcterms:W3CDTF">2017-01-15T11:50:00Z</dcterms:modified>
</cp:coreProperties>
</file>