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BB8C1" w14:textId="5B196458" w:rsidR="00043DD3" w:rsidRPr="00E50F9D" w:rsidRDefault="00043DD3" w:rsidP="00FC2B95">
      <w:pPr>
        <w:autoSpaceDE w:val="0"/>
        <w:autoSpaceDN w:val="0"/>
        <w:adjustRightInd w:val="0"/>
        <w:spacing w:after="0" w:line="240" w:lineRule="auto"/>
        <w:jc w:val="center"/>
        <w:rPr>
          <w:rFonts w:ascii="Times New Roman" w:hAnsi="Times New Roman" w:cs="Times New Roman"/>
          <w:b/>
          <w:bCs/>
          <w:color w:val="000000"/>
          <w:sz w:val="32"/>
          <w:szCs w:val="32"/>
          <w:u w:val="single"/>
          <w:lang w:val="en-GB"/>
        </w:rPr>
      </w:pPr>
      <w:r w:rsidRPr="00E50F9D">
        <w:rPr>
          <w:rFonts w:ascii="Times New Roman" w:hAnsi="Times New Roman" w:cs="Times New Roman"/>
          <w:b/>
          <w:bCs/>
          <w:color w:val="000000"/>
          <w:sz w:val="32"/>
          <w:szCs w:val="32"/>
          <w:lang w:val="en-GB" w:eastAsia="en-US"/>
        </w:rPr>
        <w:t xml:space="preserve">Branching, lending and </w:t>
      </w:r>
      <w:r w:rsidR="00FC2B95" w:rsidRPr="00E50F9D">
        <w:rPr>
          <w:rFonts w:ascii="Times New Roman" w:hAnsi="Times New Roman" w:cs="Times New Roman"/>
          <w:b/>
          <w:bCs/>
          <w:color w:val="000000"/>
          <w:sz w:val="32"/>
          <w:szCs w:val="32"/>
          <w:lang w:val="en-GB" w:eastAsia="en-US"/>
        </w:rPr>
        <w:t>competition in</w:t>
      </w:r>
      <w:r w:rsidRPr="00E50F9D">
        <w:rPr>
          <w:rFonts w:ascii="Times New Roman" w:hAnsi="Times New Roman" w:cs="Times New Roman"/>
          <w:b/>
          <w:bCs/>
          <w:color w:val="000000"/>
          <w:sz w:val="32"/>
          <w:szCs w:val="32"/>
          <w:lang w:val="en-GB" w:eastAsia="en-US"/>
        </w:rPr>
        <w:t xml:space="preserve"> Italian banking </w:t>
      </w:r>
    </w:p>
    <w:p w14:paraId="53DB769D" w14:textId="77777777" w:rsidR="00043DD3" w:rsidRPr="00E50F9D" w:rsidRDefault="00043DD3" w:rsidP="00043DD3">
      <w:pPr>
        <w:autoSpaceDE w:val="0"/>
        <w:autoSpaceDN w:val="0"/>
        <w:adjustRightInd w:val="0"/>
        <w:spacing w:after="0" w:line="480" w:lineRule="auto"/>
        <w:contextualSpacing/>
        <w:rPr>
          <w:rFonts w:ascii="Times New Roman" w:hAnsi="Times New Roman" w:cs="Times New Roman"/>
          <w:b/>
          <w:bCs/>
          <w:sz w:val="24"/>
          <w:szCs w:val="24"/>
          <w:lang w:val="en-GB"/>
        </w:rPr>
      </w:pPr>
    </w:p>
    <w:p w14:paraId="25624F36" w14:textId="77777777" w:rsidR="00043DD3" w:rsidRPr="00E50F9D" w:rsidRDefault="00043DD3" w:rsidP="00043DD3">
      <w:pPr>
        <w:autoSpaceDE w:val="0"/>
        <w:autoSpaceDN w:val="0"/>
        <w:adjustRightInd w:val="0"/>
        <w:spacing w:after="0" w:line="480" w:lineRule="auto"/>
        <w:contextualSpacing/>
        <w:rPr>
          <w:rFonts w:ascii="Times New Roman" w:hAnsi="Times New Roman" w:cs="Times New Roman"/>
          <w:b/>
          <w:bCs/>
          <w:sz w:val="24"/>
          <w:szCs w:val="24"/>
          <w:lang w:val="en-GB"/>
        </w:rPr>
      </w:pPr>
    </w:p>
    <w:p w14:paraId="47858CDB" w14:textId="77777777" w:rsidR="00043DD3" w:rsidRPr="00E50F9D" w:rsidRDefault="00043DD3" w:rsidP="00043DD3">
      <w:pPr>
        <w:autoSpaceDE w:val="0"/>
        <w:autoSpaceDN w:val="0"/>
        <w:adjustRightInd w:val="0"/>
        <w:spacing w:after="0" w:line="240" w:lineRule="auto"/>
        <w:jc w:val="center"/>
        <w:rPr>
          <w:rFonts w:ascii="Times New Roman" w:hAnsi="Times New Roman" w:cs="Times New Roman"/>
          <w:b/>
          <w:color w:val="000000"/>
          <w:sz w:val="24"/>
          <w:szCs w:val="24"/>
          <w:lang w:val="en-US"/>
        </w:rPr>
      </w:pPr>
      <w:r w:rsidRPr="00E50F9D">
        <w:rPr>
          <w:rFonts w:ascii="Times New Roman" w:hAnsi="Times New Roman" w:cs="Times New Roman"/>
          <w:b/>
          <w:color w:val="000000"/>
          <w:sz w:val="24"/>
          <w:szCs w:val="24"/>
          <w:lang w:val="en-US"/>
        </w:rPr>
        <w:t>ABSTRACT</w:t>
      </w:r>
    </w:p>
    <w:p w14:paraId="0F8749DD" w14:textId="77777777" w:rsidR="0084008D" w:rsidRPr="00E50F9D" w:rsidRDefault="0084008D" w:rsidP="00043DD3">
      <w:pPr>
        <w:autoSpaceDE w:val="0"/>
        <w:autoSpaceDN w:val="0"/>
        <w:adjustRightInd w:val="0"/>
        <w:spacing w:after="0" w:line="240" w:lineRule="auto"/>
        <w:jc w:val="center"/>
        <w:rPr>
          <w:rFonts w:ascii="Times New Roman" w:hAnsi="Times New Roman" w:cs="Times New Roman"/>
          <w:b/>
          <w:color w:val="000000"/>
          <w:sz w:val="24"/>
          <w:szCs w:val="24"/>
          <w:lang w:val="en-US"/>
        </w:rPr>
      </w:pPr>
    </w:p>
    <w:p w14:paraId="7515E6DC" w14:textId="2F396C29" w:rsidR="00670261" w:rsidRPr="00E50F9D" w:rsidRDefault="00670261" w:rsidP="00670261">
      <w:pPr>
        <w:pStyle w:val="Default"/>
        <w:jc w:val="both"/>
        <w:rPr>
          <w:rFonts w:ascii="Times New Roman" w:hAnsi="Times New Roman" w:cs="Times New Roman"/>
          <w:lang w:val="en-US"/>
        </w:rPr>
      </w:pPr>
      <w:r w:rsidRPr="00E50F9D">
        <w:rPr>
          <w:rFonts w:asciiTheme="majorBidi" w:hAnsiTheme="majorBidi" w:cstheme="majorBidi"/>
          <w:lang w:val="en-US"/>
        </w:rPr>
        <w:t xml:space="preserve">With </w:t>
      </w:r>
      <w:r w:rsidRPr="00E50F9D">
        <w:rPr>
          <w:rFonts w:asciiTheme="majorBidi" w:hAnsiTheme="majorBidi" w:cstheme="majorBidi"/>
          <w:lang w:val="en-GB"/>
        </w:rPr>
        <w:t>t</w:t>
      </w:r>
      <w:r w:rsidRPr="00E50F9D">
        <w:rPr>
          <w:rFonts w:asciiTheme="majorBidi" w:hAnsiTheme="majorBidi" w:cstheme="majorBidi"/>
          <w:lang w:val="en-US"/>
        </w:rPr>
        <w:t>he liberalization of legal barriers to bank branching in the early 1990s, both market structure and competitive conditions</w:t>
      </w:r>
      <w:r w:rsidR="00696101" w:rsidRPr="00E50F9D">
        <w:rPr>
          <w:rFonts w:asciiTheme="majorBidi" w:hAnsiTheme="majorBidi" w:cstheme="majorBidi"/>
          <w:lang w:val="en-US"/>
        </w:rPr>
        <w:t xml:space="preserve"> in Italy</w:t>
      </w:r>
      <w:r w:rsidRPr="00E50F9D">
        <w:rPr>
          <w:rFonts w:asciiTheme="majorBidi" w:hAnsiTheme="majorBidi" w:cstheme="majorBidi"/>
          <w:lang w:val="en-US"/>
        </w:rPr>
        <w:t xml:space="preserve"> changed</w:t>
      </w:r>
      <w:r w:rsidR="00696101" w:rsidRPr="00E50F9D">
        <w:rPr>
          <w:rFonts w:asciiTheme="majorBidi" w:hAnsiTheme="majorBidi" w:cstheme="majorBidi"/>
          <w:lang w:val="en-US"/>
        </w:rPr>
        <w:t xml:space="preserve"> profoundly</w:t>
      </w:r>
      <w:r w:rsidRPr="00E50F9D">
        <w:rPr>
          <w:rFonts w:asciiTheme="majorBidi" w:hAnsiTheme="majorBidi" w:cstheme="majorBidi"/>
          <w:lang w:val="en-US"/>
        </w:rPr>
        <w:t xml:space="preserve"> as banks expanded their branching networks. </w:t>
      </w:r>
      <w:r w:rsidRPr="00E50F9D">
        <w:rPr>
          <w:rFonts w:ascii="Times New Roman" w:hAnsi="Times New Roman" w:cs="Times New Roman"/>
          <w:lang w:val="en-US"/>
        </w:rPr>
        <w:t>This paper provides novel empirical evidence on how changes of the branch network structure at the province level affect the performance and lending activity</w:t>
      </w:r>
      <w:r w:rsidR="00372AB0" w:rsidRPr="00E50F9D">
        <w:rPr>
          <w:rFonts w:ascii="Times New Roman" w:hAnsi="Times New Roman" w:cs="Times New Roman"/>
          <w:lang w:val="en-US"/>
        </w:rPr>
        <w:t xml:space="preserve"> of banks</w:t>
      </w:r>
      <w:r w:rsidR="00696101" w:rsidRPr="00E50F9D">
        <w:rPr>
          <w:rFonts w:ascii="Times New Roman" w:hAnsi="Times New Roman" w:cs="Times New Roman"/>
          <w:lang w:val="en-US"/>
        </w:rPr>
        <w:t xml:space="preserve"> across the period 1993-2011</w:t>
      </w:r>
      <w:r w:rsidRPr="00E50F9D">
        <w:rPr>
          <w:rFonts w:ascii="Times New Roman" w:hAnsi="Times New Roman" w:cs="Times New Roman"/>
          <w:lang w:val="en-US"/>
        </w:rPr>
        <w:t xml:space="preserve">. </w:t>
      </w:r>
      <w:r w:rsidR="00372AB0" w:rsidRPr="00E50F9D">
        <w:rPr>
          <w:rFonts w:ascii="Times New Roman" w:hAnsi="Times New Roman" w:cs="Times New Roman"/>
          <w:lang w:val="en-US"/>
        </w:rPr>
        <w:t xml:space="preserve">In particular, we </w:t>
      </w:r>
      <w:r w:rsidRPr="00E50F9D">
        <w:rPr>
          <w:rFonts w:ascii="Times New Roman" w:hAnsi="Times New Roman" w:cs="Times New Roman"/>
          <w:lang w:val="en-US"/>
        </w:rPr>
        <w:t>ado</w:t>
      </w:r>
      <w:r w:rsidR="00123DAE" w:rsidRPr="00E50F9D">
        <w:rPr>
          <w:rFonts w:ascii="Times New Roman" w:hAnsi="Times New Roman" w:cs="Times New Roman"/>
          <w:lang w:val="en-US"/>
        </w:rPr>
        <w:t>pt two modes of analysis</w:t>
      </w:r>
      <w:r w:rsidR="00696101" w:rsidRPr="00E50F9D">
        <w:rPr>
          <w:rFonts w:ascii="Times New Roman" w:hAnsi="Times New Roman" w:cs="Times New Roman"/>
          <w:lang w:val="en-US"/>
        </w:rPr>
        <w:t>.</w:t>
      </w:r>
      <w:r w:rsidR="00123DAE" w:rsidRPr="00E50F9D">
        <w:rPr>
          <w:rFonts w:ascii="Times New Roman" w:hAnsi="Times New Roman" w:cs="Times New Roman"/>
          <w:lang w:val="en-US"/>
        </w:rPr>
        <w:t xml:space="preserve"> </w:t>
      </w:r>
      <w:r w:rsidRPr="00E50F9D">
        <w:rPr>
          <w:rFonts w:ascii="Times New Roman" w:hAnsi="Times New Roman" w:cs="Times New Roman"/>
          <w:lang w:val="en-US"/>
        </w:rPr>
        <w:t xml:space="preserve">The first focuses on the impact of diversification strategies at the province level on performance, lending and funding strategies. </w:t>
      </w:r>
      <w:r w:rsidR="00F70CA7" w:rsidRPr="00E50F9D">
        <w:rPr>
          <w:rFonts w:ascii="Times New Roman" w:hAnsi="Times New Roman" w:cs="Times New Roman"/>
          <w:lang w:val="en-US"/>
        </w:rPr>
        <w:t>While t</w:t>
      </w:r>
      <w:r w:rsidRPr="00E50F9D">
        <w:rPr>
          <w:rFonts w:ascii="Times New Roman" w:hAnsi="Times New Roman" w:cs="Times New Roman"/>
          <w:lang w:val="en-US"/>
        </w:rPr>
        <w:t xml:space="preserve">he second one </w:t>
      </w:r>
      <w:r w:rsidR="00483C75" w:rsidRPr="00E50F9D">
        <w:rPr>
          <w:rFonts w:ascii="Times New Roman" w:hAnsi="Times New Roman" w:cs="Times New Roman"/>
          <w:lang w:val="en-US"/>
        </w:rPr>
        <w:t>examines</w:t>
      </w:r>
      <w:r w:rsidRPr="00E50F9D">
        <w:rPr>
          <w:rFonts w:ascii="Times New Roman" w:hAnsi="Times New Roman" w:cs="Times New Roman"/>
          <w:lang w:val="en-US"/>
        </w:rPr>
        <w:t xml:space="preserve"> </w:t>
      </w:r>
      <w:r w:rsidRPr="00E50F9D">
        <w:rPr>
          <w:rFonts w:ascii="Times New Roman" w:eastAsiaTheme="minorEastAsia" w:hAnsi="Times New Roman" w:cs="Times New Roman"/>
          <w:lang w:val="en-GB" w:eastAsia="zh-CN"/>
        </w:rPr>
        <w:t xml:space="preserve">how the increase of big banks’ local presence </w:t>
      </w:r>
      <w:r w:rsidR="00001A1A" w:rsidRPr="00E50F9D">
        <w:rPr>
          <w:rFonts w:ascii="Times New Roman" w:eastAsiaTheme="minorEastAsia" w:hAnsi="Times New Roman" w:cs="Times New Roman"/>
          <w:lang w:val="en-GB" w:eastAsia="zh-CN"/>
        </w:rPr>
        <w:t>affects</w:t>
      </w:r>
      <w:r w:rsidRPr="00E50F9D">
        <w:rPr>
          <w:rFonts w:ascii="Times New Roman" w:hAnsi="Times New Roman" w:cs="Times New Roman"/>
          <w:lang w:val="en-US"/>
        </w:rPr>
        <w:t xml:space="preserve"> sing</w:t>
      </w:r>
      <w:r w:rsidR="00F70CA7" w:rsidRPr="00E50F9D">
        <w:rPr>
          <w:rFonts w:ascii="Times New Roman" w:hAnsi="Times New Roman" w:cs="Times New Roman"/>
          <w:lang w:val="en-US"/>
        </w:rPr>
        <w:t>le-market bank</w:t>
      </w:r>
      <w:r w:rsidRPr="00E50F9D">
        <w:rPr>
          <w:rFonts w:ascii="Times New Roman" w:hAnsi="Times New Roman" w:cs="Times New Roman"/>
          <w:lang w:val="en-US"/>
        </w:rPr>
        <w:t xml:space="preserve"> performance and lending strategies. Our results show that </w:t>
      </w:r>
      <w:r w:rsidRPr="00E50F9D">
        <w:rPr>
          <w:rFonts w:ascii="Times New Roman" w:hAnsi="Times New Roman" w:cs="Times New Roman"/>
          <w:lang w:val="en-GB"/>
        </w:rPr>
        <w:t xml:space="preserve">geographical diversification strategies can reduce </w:t>
      </w:r>
      <w:r w:rsidR="001F6F2F" w:rsidRPr="00E50F9D">
        <w:rPr>
          <w:rFonts w:ascii="Times New Roman" w:hAnsi="Times New Roman" w:cs="Times New Roman"/>
          <w:lang w:val="en-GB"/>
        </w:rPr>
        <w:t xml:space="preserve">performance, </w:t>
      </w:r>
      <w:r w:rsidRPr="00E50F9D">
        <w:rPr>
          <w:rFonts w:ascii="Times New Roman" w:hAnsi="Times New Roman" w:cs="Times New Roman"/>
          <w:lang w:val="en-GB"/>
        </w:rPr>
        <w:t xml:space="preserve">the </w:t>
      </w:r>
      <w:r w:rsidR="00723700" w:rsidRPr="00E50F9D">
        <w:rPr>
          <w:rFonts w:ascii="Times New Roman" w:hAnsi="Times New Roman" w:cs="Times New Roman"/>
          <w:lang w:val="en-GB"/>
        </w:rPr>
        <w:t xml:space="preserve">adjusted Lerner Index </w:t>
      </w:r>
      <w:r w:rsidRPr="00E50F9D">
        <w:rPr>
          <w:rFonts w:ascii="Times New Roman" w:hAnsi="Times New Roman" w:cs="Times New Roman"/>
          <w:lang w:val="en-GB"/>
        </w:rPr>
        <w:t>of banks</w:t>
      </w:r>
      <w:r w:rsidR="009512DA" w:rsidRPr="00E50F9D">
        <w:rPr>
          <w:rFonts w:ascii="Times New Roman" w:hAnsi="Times New Roman" w:cs="Times New Roman"/>
          <w:lang w:val="en-GB"/>
        </w:rPr>
        <w:t xml:space="preserve"> and lending activities</w:t>
      </w:r>
      <w:r w:rsidRPr="00E50F9D">
        <w:rPr>
          <w:rFonts w:ascii="Times New Roman" w:hAnsi="Times New Roman" w:cs="Times New Roman"/>
          <w:lang w:val="en-GB"/>
        </w:rPr>
        <w:t xml:space="preserve">, </w:t>
      </w:r>
      <w:r w:rsidR="00192D5D" w:rsidRPr="00E50F9D">
        <w:rPr>
          <w:rFonts w:ascii="Times New Roman" w:hAnsi="Times New Roman" w:cs="Times New Roman"/>
          <w:lang w:val="en-GB"/>
        </w:rPr>
        <w:t xml:space="preserve">but increase the Lerner </w:t>
      </w:r>
      <w:r w:rsidR="00696101" w:rsidRPr="00E50F9D">
        <w:rPr>
          <w:rFonts w:ascii="Times New Roman" w:hAnsi="Times New Roman" w:cs="Times New Roman"/>
          <w:lang w:val="en-GB"/>
        </w:rPr>
        <w:t>I</w:t>
      </w:r>
      <w:r w:rsidR="00192D5D" w:rsidRPr="00E50F9D">
        <w:rPr>
          <w:rFonts w:ascii="Times New Roman" w:hAnsi="Times New Roman" w:cs="Times New Roman"/>
          <w:lang w:val="en-GB"/>
        </w:rPr>
        <w:t xml:space="preserve">ndex in </w:t>
      </w:r>
      <w:r w:rsidRPr="00E50F9D">
        <w:rPr>
          <w:rFonts w:ascii="Times New Roman" w:hAnsi="Times New Roman" w:cs="Times New Roman"/>
          <w:lang w:val="en-GB"/>
        </w:rPr>
        <w:t xml:space="preserve">deposit markets. Furthermore, we find that the expansion of </w:t>
      </w:r>
      <w:r w:rsidR="004D24D4" w:rsidRPr="00E50F9D">
        <w:rPr>
          <w:rFonts w:ascii="Times New Roman" w:hAnsi="Times New Roman" w:cs="Times New Roman"/>
          <w:lang w:val="en-GB"/>
        </w:rPr>
        <w:t xml:space="preserve">branches by </w:t>
      </w:r>
      <w:r w:rsidRPr="00E50F9D">
        <w:rPr>
          <w:rFonts w:ascii="Times New Roman" w:hAnsi="Times New Roman" w:cs="Times New Roman"/>
          <w:lang w:val="en-GB"/>
        </w:rPr>
        <w:t xml:space="preserve">large-medium sized banks </w:t>
      </w:r>
      <w:r w:rsidR="006E261B" w:rsidRPr="00E50F9D">
        <w:rPr>
          <w:rFonts w:ascii="Times New Roman" w:hAnsi="Times New Roman" w:cs="Times New Roman"/>
          <w:lang w:val="en-GB"/>
        </w:rPr>
        <w:t>in concentrated market</w:t>
      </w:r>
      <w:r w:rsidR="00192D5D" w:rsidRPr="00E50F9D">
        <w:rPr>
          <w:rFonts w:ascii="Times New Roman" w:hAnsi="Times New Roman" w:cs="Times New Roman"/>
          <w:lang w:val="en-GB"/>
        </w:rPr>
        <w:t>s</w:t>
      </w:r>
      <w:r w:rsidR="006E261B" w:rsidRPr="00E50F9D">
        <w:rPr>
          <w:rFonts w:ascii="Times New Roman" w:hAnsi="Times New Roman" w:cs="Times New Roman"/>
          <w:lang w:val="en-GB"/>
        </w:rPr>
        <w:t xml:space="preserve"> </w:t>
      </w:r>
      <w:r w:rsidRPr="00E50F9D">
        <w:rPr>
          <w:rFonts w:ascii="Times New Roman" w:hAnsi="Times New Roman" w:cs="Times New Roman"/>
          <w:lang w:val="en-GB"/>
        </w:rPr>
        <w:t xml:space="preserve">can reduce </w:t>
      </w:r>
      <w:r w:rsidR="006E261B" w:rsidRPr="00E50F9D">
        <w:rPr>
          <w:rFonts w:ascii="Times New Roman" w:hAnsi="Times New Roman" w:cs="Times New Roman"/>
          <w:lang w:val="en-GB"/>
        </w:rPr>
        <w:t>the Lerner Index for</w:t>
      </w:r>
      <w:r w:rsidR="00F70CA7" w:rsidRPr="00E50F9D">
        <w:rPr>
          <w:rFonts w:ascii="Times New Roman" w:hAnsi="Times New Roman" w:cs="Times New Roman"/>
          <w:lang w:val="en-GB"/>
        </w:rPr>
        <w:t xml:space="preserve"> the</w:t>
      </w:r>
      <w:r w:rsidR="00A74327" w:rsidRPr="00E50F9D">
        <w:rPr>
          <w:rFonts w:ascii="Times New Roman" w:hAnsi="Times New Roman" w:cs="Times New Roman"/>
          <w:lang w:val="en-GB"/>
        </w:rPr>
        <w:t xml:space="preserve"> deposit market</w:t>
      </w:r>
      <w:r w:rsidR="006E261B" w:rsidRPr="00E50F9D">
        <w:rPr>
          <w:rFonts w:ascii="Times New Roman" w:hAnsi="Times New Roman" w:cs="Times New Roman"/>
          <w:lang w:val="en-GB"/>
        </w:rPr>
        <w:t xml:space="preserve"> and the amount of</w:t>
      </w:r>
      <w:r w:rsidRPr="00E50F9D">
        <w:rPr>
          <w:rFonts w:ascii="Times New Roman" w:hAnsi="Times New Roman" w:cs="Times New Roman"/>
          <w:lang w:val="en-GB"/>
        </w:rPr>
        <w:t xml:space="preserve"> loan</w:t>
      </w:r>
      <w:r w:rsidR="006E261B" w:rsidRPr="00E50F9D">
        <w:rPr>
          <w:rFonts w:ascii="Times New Roman" w:hAnsi="Times New Roman" w:cs="Times New Roman"/>
          <w:lang w:val="en-GB"/>
        </w:rPr>
        <w:t>s</w:t>
      </w:r>
      <w:r w:rsidR="00192D5D" w:rsidRPr="00E50F9D">
        <w:rPr>
          <w:rFonts w:ascii="Times New Roman" w:hAnsi="Times New Roman" w:cs="Times New Roman"/>
          <w:lang w:val="en-GB"/>
        </w:rPr>
        <w:t xml:space="preserve"> </w:t>
      </w:r>
      <w:r w:rsidR="006E261B" w:rsidRPr="00E50F9D">
        <w:rPr>
          <w:rFonts w:ascii="Times New Roman" w:hAnsi="Times New Roman" w:cs="Times New Roman"/>
          <w:lang w:val="en-GB"/>
        </w:rPr>
        <w:t xml:space="preserve">offered by single-market banks. </w:t>
      </w:r>
    </w:p>
    <w:p w14:paraId="4C9BA456" w14:textId="77777777" w:rsidR="00417489" w:rsidRPr="00E50F9D" w:rsidRDefault="00417489" w:rsidP="00043DD3">
      <w:pPr>
        <w:autoSpaceDE w:val="0"/>
        <w:autoSpaceDN w:val="0"/>
        <w:adjustRightInd w:val="0"/>
        <w:spacing w:after="0" w:line="240" w:lineRule="auto"/>
        <w:jc w:val="both"/>
        <w:rPr>
          <w:rFonts w:asciiTheme="majorBidi" w:hAnsiTheme="majorBidi" w:cstheme="majorBidi"/>
          <w:sz w:val="24"/>
          <w:szCs w:val="24"/>
          <w:lang w:val="en-US"/>
        </w:rPr>
      </w:pPr>
    </w:p>
    <w:p w14:paraId="1DCD2A04" w14:textId="77777777" w:rsidR="00043DD3" w:rsidRPr="00E50F9D" w:rsidRDefault="00043DD3" w:rsidP="00043DD3">
      <w:pPr>
        <w:autoSpaceDE w:val="0"/>
        <w:autoSpaceDN w:val="0"/>
        <w:adjustRightInd w:val="0"/>
        <w:spacing w:after="0" w:line="480" w:lineRule="auto"/>
        <w:jc w:val="both"/>
        <w:rPr>
          <w:rFonts w:ascii="Times New Roman" w:hAnsi="Times New Roman" w:cs="Times New Roman"/>
          <w:b/>
          <w:bCs/>
          <w:sz w:val="24"/>
          <w:szCs w:val="24"/>
          <w:lang w:val="en-GB"/>
        </w:rPr>
      </w:pPr>
    </w:p>
    <w:p w14:paraId="62D1A40F" w14:textId="77777777" w:rsidR="00043DD3" w:rsidRPr="00E50F9D" w:rsidRDefault="00043DD3" w:rsidP="00043DD3">
      <w:pPr>
        <w:autoSpaceDE w:val="0"/>
        <w:autoSpaceDN w:val="0"/>
        <w:adjustRightInd w:val="0"/>
        <w:spacing w:after="0" w:line="480" w:lineRule="auto"/>
        <w:jc w:val="both"/>
        <w:rPr>
          <w:rFonts w:ascii="Times New Roman" w:hAnsi="Times New Roman" w:cs="Times New Roman"/>
          <w:b/>
          <w:bCs/>
          <w:sz w:val="24"/>
          <w:szCs w:val="24"/>
          <w:lang w:val="en-GB"/>
        </w:rPr>
      </w:pPr>
      <w:r w:rsidRPr="00E50F9D">
        <w:rPr>
          <w:rFonts w:ascii="Times New Roman" w:hAnsi="Times New Roman" w:cs="Times New Roman"/>
          <w:b/>
          <w:bCs/>
          <w:sz w:val="24"/>
          <w:szCs w:val="24"/>
          <w:lang w:val="en-GB"/>
        </w:rPr>
        <w:t>JEL CODES: G21, L11, R32</w:t>
      </w:r>
    </w:p>
    <w:p w14:paraId="1F8FADAA" w14:textId="3C2614E7" w:rsidR="00043DD3" w:rsidRPr="00E50F9D" w:rsidRDefault="00043DD3" w:rsidP="00F86A1D">
      <w:pPr>
        <w:autoSpaceDE w:val="0"/>
        <w:autoSpaceDN w:val="0"/>
        <w:adjustRightInd w:val="0"/>
        <w:spacing w:after="0" w:line="480" w:lineRule="auto"/>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 xml:space="preserve">Keywords: Branching, Market structure, Banking, </w:t>
      </w:r>
      <w:r w:rsidR="00F86A1D" w:rsidRPr="00E50F9D">
        <w:rPr>
          <w:rFonts w:ascii="Times New Roman" w:hAnsi="Times New Roman" w:cs="Times New Roman"/>
          <w:sz w:val="24"/>
          <w:szCs w:val="24"/>
          <w:lang w:val="en-GB"/>
        </w:rPr>
        <w:t>Competition</w:t>
      </w:r>
    </w:p>
    <w:p w14:paraId="660620E8" w14:textId="77777777" w:rsidR="00043DD3" w:rsidRPr="00E50F9D" w:rsidRDefault="00043DD3" w:rsidP="00043DD3">
      <w:pPr>
        <w:autoSpaceDE w:val="0"/>
        <w:autoSpaceDN w:val="0"/>
        <w:adjustRightInd w:val="0"/>
        <w:spacing w:after="0" w:line="480" w:lineRule="auto"/>
        <w:jc w:val="both"/>
        <w:rPr>
          <w:rFonts w:ascii="Times New Roman" w:hAnsi="Times New Roman" w:cs="Times New Roman"/>
          <w:b/>
          <w:bCs/>
          <w:sz w:val="24"/>
          <w:szCs w:val="24"/>
          <w:lang w:val="en-GB"/>
        </w:rPr>
      </w:pPr>
    </w:p>
    <w:p w14:paraId="14294F6F" w14:textId="77777777" w:rsidR="00043DD3" w:rsidRPr="00E50F9D" w:rsidRDefault="00043DD3" w:rsidP="00043DD3">
      <w:pPr>
        <w:autoSpaceDE w:val="0"/>
        <w:autoSpaceDN w:val="0"/>
        <w:adjustRightInd w:val="0"/>
        <w:spacing w:after="0" w:line="480" w:lineRule="auto"/>
        <w:jc w:val="both"/>
        <w:rPr>
          <w:rFonts w:ascii="Times New Roman" w:hAnsi="Times New Roman" w:cs="Times New Roman"/>
          <w:b/>
          <w:bCs/>
          <w:sz w:val="24"/>
          <w:szCs w:val="24"/>
          <w:lang w:val="en-GB"/>
        </w:rPr>
      </w:pPr>
    </w:p>
    <w:p w14:paraId="0FD8FF10" w14:textId="77777777" w:rsidR="00043DD3" w:rsidRPr="00E50F9D" w:rsidRDefault="00043DD3" w:rsidP="00043DD3">
      <w:pPr>
        <w:autoSpaceDE w:val="0"/>
        <w:autoSpaceDN w:val="0"/>
        <w:adjustRightInd w:val="0"/>
        <w:spacing w:after="0" w:line="480" w:lineRule="auto"/>
        <w:jc w:val="both"/>
        <w:rPr>
          <w:rFonts w:ascii="Times New Roman" w:hAnsi="Times New Roman" w:cs="Times New Roman"/>
          <w:b/>
          <w:bCs/>
          <w:sz w:val="24"/>
          <w:szCs w:val="24"/>
          <w:lang w:val="en-GB"/>
        </w:rPr>
      </w:pPr>
      <w:bookmarkStart w:id="0" w:name="_GoBack"/>
      <w:bookmarkEnd w:id="0"/>
    </w:p>
    <w:p w14:paraId="12BDC2F6" w14:textId="77777777" w:rsidR="00043DD3" w:rsidRPr="00E50F9D" w:rsidRDefault="00043DD3" w:rsidP="00043DD3">
      <w:pPr>
        <w:rPr>
          <w:lang w:val="en-GB"/>
        </w:rPr>
      </w:pPr>
    </w:p>
    <w:p w14:paraId="14ED090C" w14:textId="77777777" w:rsidR="00043DD3" w:rsidRPr="00E50F9D" w:rsidRDefault="00043DD3" w:rsidP="001B0144">
      <w:pPr>
        <w:pStyle w:val="Default"/>
        <w:rPr>
          <w:rFonts w:ascii="Times New Roman" w:hAnsi="Times New Roman" w:cs="Times New Roman"/>
          <w:b/>
          <w:bCs/>
          <w:sz w:val="32"/>
          <w:szCs w:val="32"/>
          <w:lang w:val="en-GB" w:eastAsia="en-US"/>
        </w:rPr>
      </w:pPr>
    </w:p>
    <w:p w14:paraId="6480D53E" w14:textId="77777777" w:rsidR="00153341" w:rsidRPr="00E50F9D" w:rsidRDefault="00153341" w:rsidP="00852367">
      <w:pPr>
        <w:autoSpaceDE w:val="0"/>
        <w:autoSpaceDN w:val="0"/>
        <w:adjustRightInd w:val="0"/>
        <w:spacing w:after="0" w:line="480" w:lineRule="auto"/>
        <w:jc w:val="both"/>
        <w:rPr>
          <w:rFonts w:ascii="Times New Roman" w:hAnsi="Times New Roman" w:cs="Times New Roman"/>
          <w:b/>
          <w:bCs/>
          <w:sz w:val="24"/>
          <w:szCs w:val="24"/>
          <w:lang w:val="en-GB"/>
        </w:rPr>
      </w:pPr>
    </w:p>
    <w:p w14:paraId="3D819B18" w14:textId="77777777" w:rsidR="008F6EC5" w:rsidRPr="00E50F9D" w:rsidRDefault="008F6EC5" w:rsidP="00852367">
      <w:pPr>
        <w:autoSpaceDE w:val="0"/>
        <w:autoSpaceDN w:val="0"/>
        <w:adjustRightInd w:val="0"/>
        <w:spacing w:after="0" w:line="480" w:lineRule="auto"/>
        <w:jc w:val="both"/>
        <w:rPr>
          <w:rFonts w:ascii="Times New Roman" w:hAnsi="Times New Roman" w:cs="Times New Roman"/>
          <w:b/>
          <w:bCs/>
          <w:sz w:val="24"/>
          <w:szCs w:val="24"/>
          <w:lang w:val="en-GB"/>
        </w:rPr>
      </w:pPr>
    </w:p>
    <w:p w14:paraId="3027ACF4" w14:textId="77777777" w:rsidR="008F6EC5" w:rsidRPr="00E50F9D" w:rsidRDefault="008F6EC5" w:rsidP="00852367">
      <w:pPr>
        <w:autoSpaceDE w:val="0"/>
        <w:autoSpaceDN w:val="0"/>
        <w:adjustRightInd w:val="0"/>
        <w:spacing w:after="0" w:line="480" w:lineRule="auto"/>
        <w:jc w:val="both"/>
        <w:rPr>
          <w:rFonts w:ascii="Times New Roman" w:hAnsi="Times New Roman" w:cs="Times New Roman"/>
          <w:b/>
          <w:bCs/>
          <w:sz w:val="24"/>
          <w:szCs w:val="24"/>
          <w:lang w:val="en-GB"/>
        </w:rPr>
      </w:pPr>
    </w:p>
    <w:p w14:paraId="7D22E02F" w14:textId="77777777" w:rsidR="00BA6BCB" w:rsidRPr="00E50F9D" w:rsidRDefault="00BA6BCB" w:rsidP="00852367">
      <w:pPr>
        <w:autoSpaceDE w:val="0"/>
        <w:autoSpaceDN w:val="0"/>
        <w:adjustRightInd w:val="0"/>
        <w:spacing w:after="0" w:line="480" w:lineRule="auto"/>
        <w:jc w:val="both"/>
        <w:rPr>
          <w:rFonts w:ascii="Times New Roman" w:hAnsi="Times New Roman" w:cs="Times New Roman"/>
          <w:b/>
          <w:bCs/>
          <w:sz w:val="24"/>
          <w:szCs w:val="24"/>
          <w:lang w:val="en-GB"/>
        </w:rPr>
      </w:pPr>
    </w:p>
    <w:p w14:paraId="3DFF5938" w14:textId="77777777" w:rsidR="00BA6BCB" w:rsidRPr="00E50F9D" w:rsidRDefault="00BA6BCB" w:rsidP="00852367">
      <w:pPr>
        <w:autoSpaceDE w:val="0"/>
        <w:autoSpaceDN w:val="0"/>
        <w:adjustRightInd w:val="0"/>
        <w:spacing w:after="0" w:line="480" w:lineRule="auto"/>
        <w:jc w:val="both"/>
        <w:rPr>
          <w:rFonts w:ascii="Times New Roman" w:hAnsi="Times New Roman" w:cs="Times New Roman"/>
          <w:b/>
          <w:bCs/>
          <w:sz w:val="24"/>
          <w:szCs w:val="24"/>
          <w:lang w:val="en-GB"/>
        </w:rPr>
      </w:pPr>
    </w:p>
    <w:p w14:paraId="11311644" w14:textId="77777777" w:rsidR="00256D97" w:rsidRPr="00E50F9D" w:rsidRDefault="00256D97" w:rsidP="00852367">
      <w:pPr>
        <w:autoSpaceDE w:val="0"/>
        <w:autoSpaceDN w:val="0"/>
        <w:adjustRightInd w:val="0"/>
        <w:spacing w:after="0" w:line="480" w:lineRule="auto"/>
        <w:jc w:val="both"/>
        <w:rPr>
          <w:rFonts w:ascii="Times New Roman" w:hAnsi="Times New Roman" w:cs="Times New Roman"/>
          <w:b/>
          <w:bCs/>
          <w:sz w:val="24"/>
          <w:szCs w:val="24"/>
          <w:lang w:val="en-GB"/>
        </w:rPr>
      </w:pPr>
    </w:p>
    <w:p w14:paraId="080E93C9" w14:textId="77777777" w:rsidR="00BA6BCB" w:rsidRPr="00E50F9D" w:rsidRDefault="00BA6BCB" w:rsidP="00852367">
      <w:pPr>
        <w:autoSpaceDE w:val="0"/>
        <w:autoSpaceDN w:val="0"/>
        <w:adjustRightInd w:val="0"/>
        <w:spacing w:after="0" w:line="480" w:lineRule="auto"/>
        <w:jc w:val="both"/>
        <w:rPr>
          <w:rFonts w:ascii="Times New Roman" w:hAnsi="Times New Roman" w:cs="Times New Roman"/>
          <w:b/>
          <w:bCs/>
          <w:sz w:val="24"/>
          <w:szCs w:val="24"/>
          <w:lang w:val="en-GB"/>
        </w:rPr>
      </w:pPr>
    </w:p>
    <w:p w14:paraId="4BFECCB6" w14:textId="77777777" w:rsidR="00614E95" w:rsidRPr="00E50F9D" w:rsidRDefault="00614E95" w:rsidP="00852367">
      <w:pPr>
        <w:autoSpaceDE w:val="0"/>
        <w:autoSpaceDN w:val="0"/>
        <w:adjustRightInd w:val="0"/>
        <w:spacing w:after="0" w:line="480" w:lineRule="auto"/>
        <w:jc w:val="both"/>
        <w:rPr>
          <w:rFonts w:ascii="Times New Roman" w:hAnsi="Times New Roman" w:cs="Times New Roman"/>
          <w:b/>
          <w:bCs/>
          <w:sz w:val="24"/>
          <w:szCs w:val="24"/>
          <w:lang w:val="en-GB"/>
        </w:rPr>
      </w:pPr>
    </w:p>
    <w:p w14:paraId="324842B6" w14:textId="77777777" w:rsidR="00D1649B" w:rsidRPr="00E50F9D" w:rsidRDefault="00852367" w:rsidP="00C50E0A">
      <w:pPr>
        <w:pStyle w:val="ListParagraph"/>
        <w:numPr>
          <w:ilvl w:val="0"/>
          <w:numId w:val="1"/>
        </w:numPr>
        <w:autoSpaceDE w:val="0"/>
        <w:autoSpaceDN w:val="0"/>
        <w:adjustRightInd w:val="0"/>
        <w:spacing w:after="0" w:line="480" w:lineRule="auto"/>
        <w:ind w:left="357" w:hanging="357"/>
        <w:jc w:val="both"/>
        <w:rPr>
          <w:rFonts w:asciiTheme="majorBidi" w:hAnsiTheme="majorBidi" w:cstheme="majorBidi"/>
          <w:b/>
          <w:bCs/>
          <w:color w:val="000000"/>
          <w:sz w:val="24"/>
          <w:szCs w:val="24"/>
          <w:shd w:val="clear" w:color="auto" w:fill="FFFFFF"/>
          <w:lang w:val="en-GB"/>
        </w:rPr>
      </w:pPr>
      <w:r w:rsidRPr="00E50F9D">
        <w:rPr>
          <w:rFonts w:asciiTheme="majorBidi" w:hAnsiTheme="majorBidi" w:cstheme="majorBidi"/>
          <w:b/>
          <w:bCs/>
          <w:color w:val="000000"/>
          <w:sz w:val="24"/>
          <w:szCs w:val="24"/>
          <w:shd w:val="clear" w:color="auto" w:fill="FFFFFF"/>
          <w:lang w:val="en-GB"/>
        </w:rPr>
        <w:t>Introduction</w:t>
      </w:r>
    </w:p>
    <w:p w14:paraId="19341EE7" w14:textId="7B47B58B" w:rsidR="007056C2" w:rsidRPr="00E50F9D" w:rsidRDefault="00C50E0A" w:rsidP="00810C6D">
      <w:pPr>
        <w:autoSpaceDE w:val="0"/>
        <w:autoSpaceDN w:val="0"/>
        <w:adjustRightInd w:val="0"/>
        <w:spacing w:after="0" w:line="480" w:lineRule="auto"/>
        <w:ind w:firstLine="567"/>
        <w:jc w:val="both"/>
        <w:rPr>
          <w:rFonts w:asciiTheme="majorBidi" w:hAnsiTheme="majorBidi" w:cstheme="majorBidi"/>
          <w:sz w:val="24"/>
          <w:szCs w:val="24"/>
          <w:lang w:val="en-GB"/>
        </w:rPr>
      </w:pPr>
      <w:r w:rsidRPr="00E50F9D">
        <w:rPr>
          <w:rFonts w:asciiTheme="majorBidi" w:hAnsiTheme="majorBidi" w:cstheme="majorBidi"/>
          <w:sz w:val="24"/>
          <w:szCs w:val="24"/>
          <w:lang w:val="en-US"/>
        </w:rPr>
        <w:t xml:space="preserve">With </w:t>
      </w:r>
      <w:r w:rsidR="00DA0092" w:rsidRPr="00E50F9D">
        <w:rPr>
          <w:rFonts w:asciiTheme="majorBidi" w:hAnsiTheme="majorBidi" w:cstheme="majorBidi"/>
          <w:sz w:val="24"/>
          <w:szCs w:val="24"/>
          <w:lang w:val="en-GB"/>
        </w:rPr>
        <w:t>t</w:t>
      </w:r>
      <w:r w:rsidR="00E552F0" w:rsidRPr="00E50F9D">
        <w:rPr>
          <w:rFonts w:asciiTheme="majorBidi" w:hAnsiTheme="majorBidi" w:cstheme="majorBidi"/>
          <w:sz w:val="24"/>
          <w:szCs w:val="24"/>
          <w:lang w:val="en-US"/>
        </w:rPr>
        <w:t xml:space="preserve">he liberalization of legal barriers to </w:t>
      </w:r>
      <w:r w:rsidR="00B35BD9" w:rsidRPr="00E50F9D">
        <w:rPr>
          <w:rFonts w:asciiTheme="majorBidi" w:hAnsiTheme="majorBidi" w:cstheme="majorBidi"/>
          <w:sz w:val="24"/>
          <w:szCs w:val="24"/>
          <w:lang w:val="en-US"/>
        </w:rPr>
        <w:t xml:space="preserve">the opening of </w:t>
      </w:r>
      <w:r w:rsidR="00E552F0" w:rsidRPr="00E50F9D">
        <w:rPr>
          <w:rFonts w:asciiTheme="majorBidi" w:hAnsiTheme="majorBidi" w:cstheme="majorBidi"/>
          <w:sz w:val="24"/>
          <w:szCs w:val="24"/>
          <w:lang w:val="en-US"/>
        </w:rPr>
        <w:t>bank branch</w:t>
      </w:r>
      <w:r w:rsidR="00696101" w:rsidRPr="00E50F9D">
        <w:rPr>
          <w:rFonts w:asciiTheme="majorBidi" w:hAnsiTheme="majorBidi" w:cstheme="majorBidi"/>
          <w:sz w:val="24"/>
          <w:szCs w:val="24"/>
          <w:lang w:val="en-US"/>
        </w:rPr>
        <w:t>es</w:t>
      </w:r>
      <w:r w:rsidR="00E552F0" w:rsidRPr="00E50F9D">
        <w:rPr>
          <w:rFonts w:asciiTheme="majorBidi" w:hAnsiTheme="majorBidi" w:cstheme="majorBidi"/>
          <w:sz w:val="24"/>
          <w:szCs w:val="24"/>
          <w:lang w:val="en-US"/>
        </w:rPr>
        <w:t xml:space="preserve"> in 1990 and the </w:t>
      </w:r>
      <w:r w:rsidRPr="00E50F9D">
        <w:rPr>
          <w:rFonts w:asciiTheme="majorBidi" w:hAnsiTheme="majorBidi" w:cstheme="majorBidi"/>
          <w:sz w:val="24"/>
          <w:szCs w:val="24"/>
          <w:lang w:val="en-US"/>
        </w:rPr>
        <w:t>elimination</w:t>
      </w:r>
      <w:r w:rsidR="00583B83" w:rsidRPr="00E50F9D">
        <w:rPr>
          <w:rFonts w:asciiTheme="majorBidi" w:hAnsiTheme="majorBidi" w:cstheme="majorBidi"/>
          <w:sz w:val="24"/>
          <w:szCs w:val="24"/>
          <w:lang w:val="en-US"/>
        </w:rPr>
        <w:t xml:space="preserve"> of geographic constraints </w:t>
      </w:r>
      <w:r w:rsidR="00363ECE" w:rsidRPr="00E50F9D">
        <w:rPr>
          <w:rFonts w:asciiTheme="majorBidi" w:hAnsiTheme="majorBidi" w:cstheme="majorBidi"/>
          <w:sz w:val="24"/>
          <w:szCs w:val="24"/>
          <w:lang w:val="en-US"/>
        </w:rPr>
        <w:t xml:space="preserve">on </w:t>
      </w:r>
      <w:r w:rsidR="00583B83" w:rsidRPr="00E50F9D">
        <w:rPr>
          <w:rFonts w:asciiTheme="majorBidi" w:hAnsiTheme="majorBidi" w:cstheme="majorBidi"/>
          <w:sz w:val="24"/>
          <w:szCs w:val="24"/>
          <w:lang w:val="en-US"/>
        </w:rPr>
        <w:t xml:space="preserve">banking organizations, </w:t>
      </w:r>
      <w:r w:rsidR="007C1389" w:rsidRPr="00E50F9D">
        <w:rPr>
          <w:rFonts w:asciiTheme="majorBidi" w:hAnsiTheme="majorBidi" w:cstheme="majorBidi"/>
          <w:sz w:val="24"/>
          <w:szCs w:val="24"/>
          <w:lang w:val="en-US"/>
        </w:rPr>
        <w:t>medium to large size banks</w:t>
      </w:r>
      <w:r w:rsidR="00A41114" w:rsidRPr="00E50F9D">
        <w:rPr>
          <w:rFonts w:asciiTheme="majorBidi" w:hAnsiTheme="majorBidi" w:cstheme="majorBidi"/>
          <w:sz w:val="24"/>
          <w:szCs w:val="24"/>
          <w:lang w:val="en-US"/>
        </w:rPr>
        <w:t xml:space="preserve"> </w:t>
      </w:r>
      <w:r w:rsidR="007C1389" w:rsidRPr="00E50F9D">
        <w:rPr>
          <w:rFonts w:asciiTheme="majorBidi" w:hAnsiTheme="majorBidi" w:cstheme="majorBidi"/>
          <w:sz w:val="24"/>
          <w:szCs w:val="24"/>
          <w:lang w:val="en-US"/>
        </w:rPr>
        <w:t>expand</w:t>
      </w:r>
      <w:r w:rsidR="00A65B08" w:rsidRPr="00E50F9D">
        <w:rPr>
          <w:rFonts w:asciiTheme="majorBidi" w:hAnsiTheme="majorBidi" w:cstheme="majorBidi"/>
          <w:sz w:val="24"/>
          <w:szCs w:val="24"/>
          <w:lang w:val="en-US"/>
        </w:rPr>
        <w:t>ed</w:t>
      </w:r>
      <w:r w:rsidR="007C1389" w:rsidRPr="00E50F9D">
        <w:rPr>
          <w:rFonts w:asciiTheme="majorBidi" w:hAnsiTheme="majorBidi" w:cstheme="majorBidi"/>
          <w:sz w:val="24"/>
          <w:szCs w:val="24"/>
          <w:lang w:val="en-US"/>
        </w:rPr>
        <w:t xml:space="preserve"> their branching network</w:t>
      </w:r>
      <w:r w:rsidR="00363ECE" w:rsidRPr="00E50F9D">
        <w:rPr>
          <w:rFonts w:asciiTheme="majorBidi" w:hAnsiTheme="majorBidi" w:cstheme="majorBidi"/>
          <w:sz w:val="24"/>
          <w:szCs w:val="24"/>
          <w:lang w:val="en-US"/>
        </w:rPr>
        <w:t>s</w:t>
      </w:r>
      <w:r w:rsidR="007C1389" w:rsidRPr="00E50F9D">
        <w:rPr>
          <w:rFonts w:asciiTheme="majorBidi" w:hAnsiTheme="majorBidi" w:cstheme="majorBidi"/>
          <w:sz w:val="24"/>
          <w:szCs w:val="24"/>
          <w:lang w:val="en-US"/>
        </w:rPr>
        <w:t xml:space="preserve"> to </w:t>
      </w:r>
      <w:r w:rsidR="00583B83" w:rsidRPr="00E50F9D">
        <w:rPr>
          <w:rFonts w:asciiTheme="majorBidi" w:hAnsiTheme="majorBidi" w:cstheme="majorBidi"/>
          <w:sz w:val="24"/>
          <w:szCs w:val="24"/>
          <w:lang w:val="en-US"/>
        </w:rPr>
        <w:t>new markets</w:t>
      </w:r>
      <w:r w:rsidR="00B863AE" w:rsidRPr="00E50F9D">
        <w:rPr>
          <w:rFonts w:asciiTheme="majorBidi" w:hAnsiTheme="majorBidi" w:cstheme="majorBidi"/>
          <w:sz w:val="24"/>
          <w:szCs w:val="24"/>
          <w:lang w:val="en-US"/>
        </w:rPr>
        <w:t xml:space="preserve"> </w:t>
      </w:r>
      <w:r w:rsidR="007C1389" w:rsidRPr="00E50F9D">
        <w:rPr>
          <w:rFonts w:asciiTheme="majorBidi" w:hAnsiTheme="majorBidi" w:cstheme="majorBidi"/>
          <w:sz w:val="24"/>
          <w:szCs w:val="24"/>
          <w:lang w:val="en-US"/>
        </w:rPr>
        <w:t xml:space="preserve">in order to exploit economies of scale and consolidate their </w:t>
      </w:r>
      <w:r w:rsidR="000524FC" w:rsidRPr="00E50F9D">
        <w:rPr>
          <w:rFonts w:asciiTheme="majorBidi" w:hAnsiTheme="majorBidi" w:cstheme="majorBidi"/>
          <w:sz w:val="24"/>
          <w:szCs w:val="24"/>
          <w:lang w:val="en-US"/>
        </w:rPr>
        <w:t xml:space="preserve">local </w:t>
      </w:r>
      <w:r w:rsidR="007C1389" w:rsidRPr="00E50F9D">
        <w:rPr>
          <w:rFonts w:asciiTheme="majorBidi" w:hAnsiTheme="majorBidi" w:cstheme="majorBidi"/>
          <w:sz w:val="24"/>
          <w:szCs w:val="24"/>
          <w:lang w:val="en-US"/>
        </w:rPr>
        <w:t>market</w:t>
      </w:r>
      <w:r w:rsidR="000524FC" w:rsidRPr="00E50F9D">
        <w:rPr>
          <w:rFonts w:asciiTheme="majorBidi" w:hAnsiTheme="majorBidi" w:cstheme="majorBidi"/>
          <w:sz w:val="24"/>
          <w:szCs w:val="24"/>
          <w:lang w:val="en-US"/>
        </w:rPr>
        <w:t xml:space="preserve"> share</w:t>
      </w:r>
      <w:r w:rsidR="00583B83" w:rsidRPr="00E50F9D">
        <w:rPr>
          <w:rFonts w:asciiTheme="majorBidi" w:hAnsiTheme="majorBidi" w:cstheme="majorBidi"/>
          <w:sz w:val="24"/>
          <w:szCs w:val="24"/>
          <w:lang w:val="en-US"/>
        </w:rPr>
        <w:t>.</w:t>
      </w:r>
      <w:r w:rsidR="007C1389" w:rsidRPr="00E50F9D">
        <w:rPr>
          <w:rFonts w:asciiTheme="majorBidi" w:hAnsiTheme="majorBidi" w:cstheme="majorBidi"/>
          <w:sz w:val="24"/>
          <w:szCs w:val="24"/>
          <w:lang w:val="en-US"/>
        </w:rPr>
        <w:t xml:space="preserve"> </w:t>
      </w:r>
      <w:r w:rsidR="00A65B08" w:rsidRPr="00E50F9D">
        <w:rPr>
          <w:rFonts w:asciiTheme="majorBidi" w:hAnsiTheme="majorBidi" w:cstheme="majorBidi"/>
          <w:sz w:val="24"/>
          <w:szCs w:val="24"/>
          <w:lang w:val="en-US"/>
        </w:rPr>
        <w:t xml:space="preserve">However, this expansion has brought with it not only benefits but also costs. </w:t>
      </w:r>
      <w:r w:rsidR="00363ECE" w:rsidRPr="00E50F9D">
        <w:rPr>
          <w:rFonts w:asciiTheme="majorBidi" w:hAnsiTheme="majorBidi" w:cstheme="majorBidi"/>
          <w:sz w:val="24"/>
          <w:szCs w:val="24"/>
          <w:lang w:val="en-US"/>
        </w:rPr>
        <w:t>T</w:t>
      </w:r>
      <w:r w:rsidR="00A41114" w:rsidRPr="00E50F9D">
        <w:rPr>
          <w:rFonts w:asciiTheme="majorBidi" w:hAnsiTheme="majorBidi" w:cstheme="majorBidi"/>
          <w:sz w:val="24"/>
          <w:szCs w:val="24"/>
          <w:lang w:val="en-US"/>
        </w:rPr>
        <w:t>hough</w:t>
      </w:r>
      <w:r w:rsidR="00852367" w:rsidRPr="00E50F9D">
        <w:rPr>
          <w:rFonts w:asciiTheme="majorBidi" w:hAnsiTheme="majorBidi" w:cstheme="majorBidi"/>
          <w:sz w:val="24"/>
          <w:szCs w:val="24"/>
          <w:lang w:val="en-US"/>
        </w:rPr>
        <w:t xml:space="preserve"> banks gain market power </w:t>
      </w:r>
      <w:r w:rsidR="00295654" w:rsidRPr="00E50F9D">
        <w:rPr>
          <w:rFonts w:asciiTheme="majorBidi" w:hAnsiTheme="majorBidi" w:cstheme="majorBidi"/>
          <w:sz w:val="24"/>
          <w:szCs w:val="24"/>
          <w:lang w:val="en-US"/>
        </w:rPr>
        <w:t>through</w:t>
      </w:r>
      <w:r w:rsidR="00852367" w:rsidRPr="00E50F9D">
        <w:rPr>
          <w:rFonts w:asciiTheme="majorBidi" w:hAnsiTheme="majorBidi" w:cstheme="majorBidi"/>
          <w:sz w:val="24"/>
          <w:szCs w:val="24"/>
          <w:lang w:val="en-US"/>
        </w:rPr>
        <w:t xml:space="preserve"> their relative physical proximity to borrowing firms and from the private information they obtain from and about firms during the lending r</w:t>
      </w:r>
      <w:r w:rsidR="0078704E" w:rsidRPr="00E50F9D">
        <w:rPr>
          <w:rFonts w:asciiTheme="majorBidi" w:hAnsiTheme="majorBidi" w:cstheme="majorBidi"/>
          <w:sz w:val="24"/>
          <w:szCs w:val="24"/>
          <w:lang w:val="en-US"/>
        </w:rPr>
        <w:t>elationship (Degryse and Ongena</w:t>
      </w:r>
      <w:r w:rsidR="005E259E" w:rsidRPr="00E50F9D">
        <w:rPr>
          <w:rFonts w:asciiTheme="majorBidi" w:hAnsiTheme="majorBidi" w:cstheme="majorBidi"/>
          <w:sz w:val="24"/>
          <w:szCs w:val="24"/>
          <w:lang w:val="en-US"/>
        </w:rPr>
        <w:t>,</w:t>
      </w:r>
      <w:r w:rsidR="00852367" w:rsidRPr="00E50F9D">
        <w:rPr>
          <w:rFonts w:asciiTheme="majorBidi" w:hAnsiTheme="majorBidi" w:cstheme="majorBidi"/>
          <w:sz w:val="24"/>
          <w:szCs w:val="24"/>
          <w:lang w:val="en-US"/>
        </w:rPr>
        <w:t xml:space="preserve"> 2005), </w:t>
      </w:r>
      <w:r w:rsidR="0089690A" w:rsidRPr="00E50F9D">
        <w:rPr>
          <w:rFonts w:asciiTheme="majorBidi" w:hAnsiTheme="majorBidi" w:cstheme="majorBidi"/>
          <w:sz w:val="24"/>
          <w:szCs w:val="24"/>
          <w:lang w:val="en-US"/>
        </w:rPr>
        <w:t>it has been demonstrated</w:t>
      </w:r>
      <w:r w:rsidR="00A65B08" w:rsidRPr="00E50F9D">
        <w:rPr>
          <w:rFonts w:asciiTheme="majorBidi" w:hAnsiTheme="majorBidi" w:cstheme="majorBidi"/>
          <w:sz w:val="24"/>
          <w:szCs w:val="24"/>
          <w:lang w:val="en-US"/>
        </w:rPr>
        <w:t xml:space="preserve"> that </w:t>
      </w:r>
      <w:r w:rsidR="00A41114" w:rsidRPr="00E50F9D">
        <w:rPr>
          <w:rFonts w:asciiTheme="majorBidi" w:hAnsiTheme="majorBidi" w:cstheme="majorBidi"/>
          <w:sz w:val="24"/>
          <w:szCs w:val="24"/>
          <w:lang w:val="en-US"/>
        </w:rPr>
        <w:t xml:space="preserve">their </w:t>
      </w:r>
      <w:r w:rsidR="00852367" w:rsidRPr="00E50F9D">
        <w:rPr>
          <w:rFonts w:asciiTheme="majorBidi" w:hAnsiTheme="majorBidi" w:cstheme="majorBidi"/>
          <w:sz w:val="24"/>
          <w:szCs w:val="24"/>
          <w:lang w:val="en-US"/>
        </w:rPr>
        <w:t>organizat</w:t>
      </w:r>
      <w:r w:rsidR="00ED339C" w:rsidRPr="00E50F9D">
        <w:rPr>
          <w:rFonts w:asciiTheme="majorBidi" w:hAnsiTheme="majorBidi" w:cstheme="majorBidi"/>
          <w:sz w:val="24"/>
          <w:szCs w:val="24"/>
          <w:lang w:val="en-US"/>
        </w:rPr>
        <w:t xml:space="preserve">ional costs </w:t>
      </w:r>
      <w:r w:rsidR="00A65B08" w:rsidRPr="00E50F9D">
        <w:rPr>
          <w:rFonts w:asciiTheme="majorBidi" w:hAnsiTheme="majorBidi" w:cstheme="majorBidi"/>
          <w:sz w:val="24"/>
          <w:szCs w:val="24"/>
          <w:lang w:val="en-US"/>
        </w:rPr>
        <w:t>can</w:t>
      </w:r>
      <w:r w:rsidR="00852367" w:rsidRPr="00E50F9D">
        <w:rPr>
          <w:rFonts w:asciiTheme="majorBidi" w:hAnsiTheme="majorBidi" w:cstheme="majorBidi"/>
          <w:sz w:val="24"/>
          <w:szCs w:val="24"/>
          <w:lang w:val="en-US"/>
        </w:rPr>
        <w:t xml:space="preserve"> increase as well</w:t>
      </w:r>
      <w:r w:rsidR="004C6CFD" w:rsidRPr="00E50F9D">
        <w:rPr>
          <w:rFonts w:asciiTheme="majorBidi" w:hAnsiTheme="majorBidi" w:cstheme="majorBidi"/>
          <w:sz w:val="24"/>
          <w:szCs w:val="24"/>
          <w:lang w:val="en-US"/>
        </w:rPr>
        <w:t xml:space="preserve"> (Berger and DeYoung, 2006)</w:t>
      </w:r>
      <w:r w:rsidR="00043DD3" w:rsidRPr="00E50F9D">
        <w:rPr>
          <w:rFonts w:asciiTheme="majorBidi" w:hAnsiTheme="majorBidi" w:cstheme="majorBidi"/>
          <w:sz w:val="24"/>
          <w:szCs w:val="24"/>
          <w:lang w:val="en-US"/>
        </w:rPr>
        <w:t>.</w:t>
      </w:r>
      <w:r w:rsidR="00CE01E4" w:rsidRPr="00E50F9D">
        <w:rPr>
          <w:rFonts w:asciiTheme="majorBidi" w:hAnsiTheme="majorBidi" w:cstheme="majorBidi"/>
          <w:lang w:val="en-GB"/>
        </w:rPr>
        <w:t xml:space="preserve"> </w:t>
      </w:r>
      <w:r w:rsidR="00CE01E4" w:rsidRPr="00E50F9D">
        <w:rPr>
          <w:rFonts w:asciiTheme="majorBidi" w:hAnsiTheme="majorBidi" w:cstheme="majorBidi"/>
          <w:sz w:val="24"/>
          <w:szCs w:val="24"/>
          <w:lang w:val="en-GB"/>
        </w:rPr>
        <w:t xml:space="preserve">In general, there seems to be a trade-off in the benefits of relationship-lending between firms and banks, mainly associated </w:t>
      </w:r>
      <w:r w:rsidR="007070FC" w:rsidRPr="00E50F9D">
        <w:rPr>
          <w:rFonts w:asciiTheme="majorBidi" w:hAnsiTheme="majorBidi" w:cstheme="majorBidi"/>
          <w:sz w:val="24"/>
          <w:szCs w:val="24"/>
          <w:lang w:val="en-GB"/>
        </w:rPr>
        <w:t>with</w:t>
      </w:r>
      <w:r w:rsidR="00CE01E4" w:rsidRPr="00E50F9D">
        <w:rPr>
          <w:rFonts w:asciiTheme="majorBidi" w:hAnsiTheme="majorBidi" w:cstheme="majorBidi"/>
          <w:sz w:val="24"/>
          <w:szCs w:val="24"/>
          <w:lang w:val="en-GB"/>
        </w:rPr>
        <w:t xml:space="preserve"> the proximity of banks to </w:t>
      </w:r>
      <w:r w:rsidR="00043DD3" w:rsidRPr="00E50F9D">
        <w:rPr>
          <w:rFonts w:asciiTheme="majorBidi" w:hAnsiTheme="majorBidi" w:cstheme="majorBidi"/>
          <w:sz w:val="24"/>
          <w:szCs w:val="24"/>
          <w:lang w:val="en-GB"/>
        </w:rPr>
        <w:t xml:space="preserve">prospective </w:t>
      </w:r>
      <w:r w:rsidR="00CE01E4" w:rsidRPr="00E50F9D">
        <w:rPr>
          <w:rFonts w:asciiTheme="majorBidi" w:hAnsiTheme="majorBidi" w:cstheme="majorBidi"/>
          <w:sz w:val="24"/>
          <w:szCs w:val="24"/>
          <w:lang w:val="en-GB"/>
        </w:rPr>
        <w:t xml:space="preserve">clients, </w:t>
      </w:r>
      <w:r w:rsidR="00363ECE" w:rsidRPr="00E50F9D">
        <w:rPr>
          <w:rFonts w:asciiTheme="majorBidi" w:hAnsiTheme="majorBidi" w:cstheme="majorBidi"/>
          <w:sz w:val="24"/>
          <w:szCs w:val="24"/>
          <w:lang w:val="en-GB"/>
        </w:rPr>
        <w:t xml:space="preserve">versus </w:t>
      </w:r>
      <w:r w:rsidR="00CE01E4" w:rsidRPr="00E50F9D">
        <w:rPr>
          <w:rFonts w:asciiTheme="majorBidi" w:hAnsiTheme="majorBidi" w:cstheme="majorBidi"/>
          <w:sz w:val="24"/>
          <w:szCs w:val="24"/>
          <w:lang w:val="en-GB"/>
        </w:rPr>
        <w:t xml:space="preserve">the risks and costs that come with opening multiple branches in order to attain this </w:t>
      </w:r>
      <w:r w:rsidR="00043DD3" w:rsidRPr="00E50F9D">
        <w:rPr>
          <w:rFonts w:asciiTheme="majorBidi" w:hAnsiTheme="majorBidi" w:cstheme="majorBidi"/>
          <w:sz w:val="24"/>
          <w:szCs w:val="24"/>
          <w:lang w:val="en-GB"/>
        </w:rPr>
        <w:t>proximity. Consequently</w:t>
      </w:r>
      <w:r w:rsidR="00363ECE" w:rsidRPr="00E50F9D">
        <w:rPr>
          <w:rFonts w:asciiTheme="majorBidi" w:hAnsiTheme="majorBidi" w:cstheme="majorBidi"/>
          <w:sz w:val="24"/>
          <w:szCs w:val="24"/>
          <w:lang w:val="en-GB"/>
        </w:rPr>
        <w:t xml:space="preserve">, </w:t>
      </w:r>
      <w:r w:rsidR="00CE01E4" w:rsidRPr="00E50F9D">
        <w:rPr>
          <w:rFonts w:asciiTheme="majorBidi" w:hAnsiTheme="majorBidi" w:cstheme="majorBidi"/>
          <w:sz w:val="24"/>
          <w:szCs w:val="24"/>
          <w:lang w:val="en-GB"/>
        </w:rPr>
        <w:t xml:space="preserve">it is not certain that </w:t>
      </w:r>
      <w:r w:rsidR="00363ECE" w:rsidRPr="00E50F9D">
        <w:rPr>
          <w:rFonts w:asciiTheme="majorBidi" w:hAnsiTheme="majorBidi" w:cstheme="majorBidi"/>
          <w:sz w:val="24"/>
          <w:szCs w:val="24"/>
          <w:lang w:val="en-GB"/>
        </w:rPr>
        <w:t>these banks will enjoy an</w:t>
      </w:r>
      <w:r w:rsidR="00CE01E4" w:rsidRPr="00E50F9D">
        <w:rPr>
          <w:rFonts w:asciiTheme="majorBidi" w:hAnsiTheme="majorBidi" w:cstheme="majorBidi"/>
          <w:sz w:val="24"/>
          <w:szCs w:val="24"/>
          <w:lang w:val="en-GB"/>
        </w:rPr>
        <w:t xml:space="preserve"> </w:t>
      </w:r>
      <w:r w:rsidR="00363ECE" w:rsidRPr="00E50F9D">
        <w:rPr>
          <w:rFonts w:asciiTheme="majorBidi" w:hAnsiTheme="majorBidi" w:cstheme="majorBidi"/>
          <w:sz w:val="24"/>
          <w:szCs w:val="24"/>
          <w:lang w:val="en-GB"/>
        </w:rPr>
        <w:t xml:space="preserve">increase in </w:t>
      </w:r>
      <w:r w:rsidR="00CE01E4" w:rsidRPr="00E50F9D">
        <w:rPr>
          <w:rFonts w:asciiTheme="majorBidi" w:hAnsiTheme="majorBidi" w:cstheme="majorBidi"/>
          <w:sz w:val="24"/>
          <w:szCs w:val="24"/>
          <w:lang w:val="en-GB"/>
        </w:rPr>
        <w:t>overall profitability</w:t>
      </w:r>
      <w:r w:rsidR="00FC2B95" w:rsidRPr="00E50F9D">
        <w:rPr>
          <w:rFonts w:asciiTheme="majorBidi" w:hAnsiTheme="majorBidi" w:cstheme="majorBidi"/>
          <w:sz w:val="24"/>
          <w:szCs w:val="24"/>
          <w:lang w:val="en-GB"/>
        </w:rPr>
        <w:t xml:space="preserve"> and monopoly market power in loan</w:t>
      </w:r>
      <w:r w:rsidR="0004363F" w:rsidRPr="00E50F9D">
        <w:rPr>
          <w:rFonts w:asciiTheme="majorBidi" w:hAnsiTheme="majorBidi" w:cstheme="majorBidi"/>
          <w:sz w:val="24"/>
          <w:szCs w:val="24"/>
          <w:lang w:val="en-GB"/>
        </w:rPr>
        <w:t xml:space="preserve"> </w:t>
      </w:r>
      <w:r w:rsidR="00FC2B95" w:rsidRPr="00E50F9D">
        <w:rPr>
          <w:rFonts w:asciiTheme="majorBidi" w:hAnsiTheme="majorBidi" w:cstheme="majorBidi"/>
          <w:sz w:val="24"/>
          <w:szCs w:val="24"/>
          <w:lang w:val="en-GB"/>
        </w:rPr>
        <w:t>and deposit market</w:t>
      </w:r>
      <w:r w:rsidR="00810C6D" w:rsidRPr="00E50F9D">
        <w:rPr>
          <w:rFonts w:asciiTheme="majorBidi" w:hAnsiTheme="majorBidi" w:cstheme="majorBidi"/>
          <w:sz w:val="24"/>
          <w:szCs w:val="24"/>
          <w:lang w:val="en-GB"/>
        </w:rPr>
        <w:t>s</w:t>
      </w:r>
      <w:r w:rsidR="00FC2B95" w:rsidRPr="00E50F9D">
        <w:rPr>
          <w:rFonts w:asciiTheme="majorBidi" w:hAnsiTheme="majorBidi" w:cstheme="majorBidi"/>
          <w:sz w:val="24"/>
          <w:szCs w:val="24"/>
          <w:lang w:val="en-GB"/>
        </w:rPr>
        <w:t>.</w:t>
      </w:r>
    </w:p>
    <w:p w14:paraId="2BD91C06" w14:textId="446B7ABD" w:rsidR="0089690A" w:rsidRPr="00E50F9D" w:rsidRDefault="00810C6D" w:rsidP="004A3CE4">
      <w:pPr>
        <w:autoSpaceDE w:val="0"/>
        <w:autoSpaceDN w:val="0"/>
        <w:adjustRightInd w:val="0"/>
        <w:spacing w:after="0" w:line="480" w:lineRule="auto"/>
        <w:ind w:firstLine="567"/>
        <w:jc w:val="both"/>
        <w:rPr>
          <w:rFonts w:asciiTheme="majorBidi" w:hAnsiTheme="majorBidi" w:cstheme="majorBidi"/>
          <w:sz w:val="24"/>
          <w:szCs w:val="24"/>
          <w:lang w:val="en-US"/>
        </w:rPr>
      </w:pPr>
      <w:r w:rsidRPr="00E50F9D">
        <w:rPr>
          <w:rFonts w:asciiTheme="majorBidi" w:hAnsiTheme="majorBidi" w:cstheme="majorBidi"/>
          <w:sz w:val="24"/>
          <w:szCs w:val="24"/>
          <w:lang w:val="en-US"/>
        </w:rPr>
        <w:t>E</w:t>
      </w:r>
      <w:r w:rsidR="00F22539" w:rsidRPr="00E50F9D">
        <w:rPr>
          <w:rFonts w:asciiTheme="majorBidi" w:hAnsiTheme="majorBidi" w:cstheme="majorBidi"/>
          <w:sz w:val="24"/>
          <w:szCs w:val="24"/>
          <w:lang w:val="en-US"/>
        </w:rPr>
        <w:t>xpansio</w:t>
      </w:r>
      <w:r w:rsidR="0089690A" w:rsidRPr="00E50F9D">
        <w:rPr>
          <w:rFonts w:asciiTheme="majorBidi" w:hAnsiTheme="majorBidi" w:cstheme="majorBidi"/>
          <w:sz w:val="24"/>
          <w:szCs w:val="24"/>
          <w:lang w:val="en-US"/>
        </w:rPr>
        <w:t xml:space="preserve">n and contraction </w:t>
      </w:r>
      <w:r w:rsidRPr="00E50F9D">
        <w:rPr>
          <w:rFonts w:asciiTheme="majorBidi" w:hAnsiTheme="majorBidi" w:cstheme="majorBidi"/>
          <w:sz w:val="24"/>
          <w:szCs w:val="24"/>
          <w:lang w:val="en-US"/>
        </w:rPr>
        <w:t>in</w:t>
      </w:r>
      <w:r w:rsidR="0089690A" w:rsidRPr="00E50F9D">
        <w:rPr>
          <w:rFonts w:asciiTheme="majorBidi" w:hAnsiTheme="majorBidi" w:cstheme="majorBidi"/>
          <w:sz w:val="24"/>
          <w:szCs w:val="24"/>
          <w:lang w:val="en-US"/>
        </w:rPr>
        <w:t xml:space="preserve"> </w:t>
      </w:r>
      <w:r w:rsidR="003959AB" w:rsidRPr="00E50F9D">
        <w:rPr>
          <w:rFonts w:asciiTheme="majorBidi" w:hAnsiTheme="majorBidi" w:cstheme="majorBidi"/>
          <w:sz w:val="24"/>
          <w:szCs w:val="24"/>
          <w:lang w:val="en-US"/>
        </w:rPr>
        <w:t>a</w:t>
      </w:r>
      <w:r w:rsidR="0089690A" w:rsidRPr="00E50F9D">
        <w:rPr>
          <w:rFonts w:asciiTheme="majorBidi" w:hAnsiTheme="majorBidi" w:cstheme="majorBidi"/>
          <w:sz w:val="24"/>
          <w:szCs w:val="24"/>
          <w:lang w:val="en-US"/>
        </w:rPr>
        <w:t xml:space="preserve"> bank branching network</w:t>
      </w:r>
      <w:r w:rsidR="00C22E84" w:rsidRPr="00E50F9D">
        <w:rPr>
          <w:rFonts w:asciiTheme="majorBidi" w:hAnsiTheme="majorBidi" w:cstheme="majorBidi"/>
          <w:sz w:val="24"/>
          <w:szCs w:val="24"/>
          <w:lang w:val="en-US"/>
        </w:rPr>
        <w:t xml:space="preserve"> </w:t>
      </w:r>
      <w:r w:rsidR="00696101" w:rsidRPr="00E50F9D">
        <w:rPr>
          <w:rFonts w:asciiTheme="majorBidi" w:hAnsiTheme="majorBidi" w:cstheme="majorBidi"/>
          <w:sz w:val="24"/>
          <w:szCs w:val="24"/>
          <w:lang w:val="en-US"/>
        </w:rPr>
        <w:t xml:space="preserve">also </w:t>
      </w:r>
      <w:r w:rsidR="003959AB" w:rsidRPr="00E50F9D">
        <w:rPr>
          <w:rFonts w:asciiTheme="majorBidi" w:hAnsiTheme="majorBidi" w:cstheme="majorBidi"/>
          <w:sz w:val="24"/>
          <w:szCs w:val="24"/>
          <w:lang w:val="en-US"/>
        </w:rPr>
        <w:t>has</w:t>
      </w:r>
      <w:r w:rsidR="007F472C" w:rsidRPr="00E50F9D">
        <w:rPr>
          <w:rFonts w:asciiTheme="majorBidi" w:hAnsiTheme="majorBidi" w:cstheme="majorBidi"/>
          <w:sz w:val="24"/>
          <w:szCs w:val="24"/>
          <w:lang w:val="en-US"/>
        </w:rPr>
        <w:t xml:space="preserve"> </w:t>
      </w:r>
      <w:r w:rsidR="00F22539" w:rsidRPr="00E50F9D">
        <w:rPr>
          <w:rFonts w:asciiTheme="majorBidi" w:hAnsiTheme="majorBidi" w:cstheme="majorBidi"/>
          <w:sz w:val="24"/>
          <w:szCs w:val="24"/>
          <w:lang w:val="en-US"/>
        </w:rPr>
        <w:t>important implication</w:t>
      </w:r>
      <w:r w:rsidR="00BE474E" w:rsidRPr="00E50F9D">
        <w:rPr>
          <w:rFonts w:asciiTheme="majorBidi" w:hAnsiTheme="majorBidi" w:cstheme="majorBidi"/>
          <w:sz w:val="24"/>
          <w:szCs w:val="24"/>
          <w:lang w:val="en-US"/>
        </w:rPr>
        <w:t>s</w:t>
      </w:r>
      <w:r w:rsidR="00124FCF" w:rsidRPr="00E50F9D">
        <w:rPr>
          <w:rFonts w:asciiTheme="majorBidi" w:hAnsiTheme="majorBidi" w:cstheme="majorBidi"/>
          <w:sz w:val="24"/>
          <w:szCs w:val="24"/>
          <w:lang w:val="en-US"/>
        </w:rPr>
        <w:t xml:space="preserve"> for </w:t>
      </w:r>
      <w:r w:rsidRPr="00E50F9D">
        <w:rPr>
          <w:rFonts w:asciiTheme="majorBidi" w:hAnsiTheme="majorBidi" w:cstheme="majorBidi"/>
          <w:sz w:val="24"/>
          <w:szCs w:val="24"/>
          <w:lang w:val="en-US"/>
        </w:rPr>
        <w:t xml:space="preserve">the </w:t>
      </w:r>
      <w:r w:rsidR="00F22539" w:rsidRPr="00E50F9D">
        <w:rPr>
          <w:rFonts w:asciiTheme="majorBidi" w:hAnsiTheme="majorBidi" w:cstheme="majorBidi"/>
          <w:sz w:val="24"/>
          <w:szCs w:val="24"/>
          <w:lang w:val="en-US"/>
        </w:rPr>
        <w:t>competitive dynamics</w:t>
      </w:r>
      <w:r w:rsidRPr="00E50F9D">
        <w:rPr>
          <w:rFonts w:asciiTheme="majorBidi" w:hAnsiTheme="majorBidi" w:cstheme="majorBidi"/>
          <w:sz w:val="24"/>
          <w:szCs w:val="24"/>
          <w:lang w:val="en-US"/>
        </w:rPr>
        <w:t xml:space="preserve"> of a local market</w:t>
      </w:r>
      <w:r w:rsidR="006B4C8B" w:rsidRPr="00E50F9D">
        <w:rPr>
          <w:rFonts w:asciiTheme="majorBidi" w:hAnsiTheme="majorBidi" w:cstheme="majorBidi"/>
          <w:sz w:val="24"/>
          <w:szCs w:val="24"/>
          <w:lang w:val="en-US"/>
        </w:rPr>
        <w:t xml:space="preserve"> and</w:t>
      </w:r>
      <w:r w:rsidR="00852367" w:rsidRPr="00E50F9D">
        <w:rPr>
          <w:rFonts w:asciiTheme="majorBidi" w:hAnsiTheme="majorBidi" w:cstheme="majorBidi"/>
          <w:sz w:val="24"/>
          <w:szCs w:val="24"/>
          <w:lang w:val="en-US"/>
        </w:rPr>
        <w:t xml:space="preserve"> </w:t>
      </w:r>
      <w:r w:rsidR="000A5D58" w:rsidRPr="00E50F9D">
        <w:rPr>
          <w:rFonts w:asciiTheme="majorBidi" w:hAnsiTheme="majorBidi" w:cstheme="majorBidi"/>
          <w:sz w:val="24"/>
          <w:szCs w:val="24"/>
          <w:lang w:val="en-US"/>
        </w:rPr>
        <w:t xml:space="preserve">the </w:t>
      </w:r>
      <w:r w:rsidR="00852367" w:rsidRPr="00E50F9D">
        <w:rPr>
          <w:rFonts w:asciiTheme="majorBidi" w:hAnsiTheme="majorBidi" w:cstheme="majorBidi"/>
          <w:sz w:val="24"/>
          <w:szCs w:val="24"/>
          <w:lang w:val="en-US"/>
        </w:rPr>
        <w:t>local market power</w:t>
      </w:r>
      <w:r w:rsidR="00363ECE" w:rsidRPr="00E50F9D">
        <w:rPr>
          <w:rFonts w:asciiTheme="majorBidi" w:hAnsiTheme="majorBidi" w:cstheme="majorBidi"/>
          <w:sz w:val="24"/>
          <w:szCs w:val="24"/>
          <w:lang w:val="en-US"/>
        </w:rPr>
        <w:t xml:space="preserve"> for small banks</w:t>
      </w:r>
      <w:r w:rsidR="006B4C8B" w:rsidRPr="00E50F9D">
        <w:rPr>
          <w:rFonts w:asciiTheme="majorBidi" w:hAnsiTheme="majorBidi" w:cstheme="majorBidi"/>
          <w:sz w:val="24"/>
          <w:szCs w:val="24"/>
          <w:lang w:val="en-US"/>
        </w:rPr>
        <w:t xml:space="preserve"> (e.g. Winston, 1993; Jayaratne and Strahan, 1998; Kroszner and Strahan, 1999)</w:t>
      </w:r>
      <w:r w:rsidR="00852367" w:rsidRPr="00E50F9D">
        <w:rPr>
          <w:rFonts w:asciiTheme="majorBidi" w:hAnsiTheme="majorBidi" w:cstheme="majorBidi"/>
          <w:sz w:val="24"/>
          <w:szCs w:val="24"/>
          <w:lang w:val="en-US"/>
        </w:rPr>
        <w:t>.</w:t>
      </w:r>
      <w:r w:rsidR="00F21E1A" w:rsidRPr="00E50F9D">
        <w:rPr>
          <w:rFonts w:asciiTheme="majorBidi" w:hAnsiTheme="majorBidi" w:cstheme="majorBidi"/>
          <w:sz w:val="24"/>
          <w:szCs w:val="24"/>
          <w:lang w:val="en-US"/>
        </w:rPr>
        <w:t xml:space="preserve"> </w:t>
      </w:r>
      <w:r w:rsidR="006B4C8B" w:rsidRPr="00E50F9D">
        <w:rPr>
          <w:rFonts w:asciiTheme="majorBidi" w:hAnsiTheme="majorBidi" w:cstheme="majorBidi"/>
          <w:sz w:val="24"/>
          <w:szCs w:val="24"/>
          <w:lang w:val="en-US"/>
        </w:rPr>
        <w:t>T</w:t>
      </w:r>
      <w:r w:rsidR="00295654" w:rsidRPr="00E50F9D">
        <w:rPr>
          <w:rFonts w:asciiTheme="majorBidi" w:hAnsiTheme="majorBidi" w:cstheme="majorBidi"/>
          <w:sz w:val="24"/>
          <w:szCs w:val="24"/>
          <w:lang w:val="en-US"/>
        </w:rPr>
        <w:t xml:space="preserve">he weakening of </w:t>
      </w:r>
      <w:r w:rsidR="00731C18" w:rsidRPr="00E50F9D">
        <w:rPr>
          <w:rFonts w:asciiTheme="majorBidi" w:hAnsiTheme="majorBidi" w:cstheme="majorBidi"/>
          <w:sz w:val="24"/>
          <w:szCs w:val="24"/>
          <w:lang w:val="en-US"/>
        </w:rPr>
        <w:t>s</w:t>
      </w:r>
      <w:r w:rsidR="008523D4" w:rsidRPr="00E50F9D">
        <w:rPr>
          <w:rFonts w:asciiTheme="majorBidi" w:hAnsiTheme="majorBidi" w:cstheme="majorBidi"/>
          <w:sz w:val="24"/>
          <w:szCs w:val="24"/>
          <w:lang w:val="en-US"/>
        </w:rPr>
        <w:t>mall banks</w:t>
      </w:r>
      <w:r w:rsidR="00295654" w:rsidRPr="00E50F9D">
        <w:rPr>
          <w:rFonts w:asciiTheme="majorBidi" w:hAnsiTheme="majorBidi" w:cstheme="majorBidi"/>
          <w:sz w:val="24"/>
          <w:szCs w:val="24"/>
          <w:lang w:val="en-US"/>
        </w:rPr>
        <w:t>’ market power</w:t>
      </w:r>
      <w:r w:rsidR="002D1458" w:rsidRPr="00E50F9D">
        <w:rPr>
          <w:rFonts w:asciiTheme="majorBidi" w:hAnsiTheme="majorBidi" w:cstheme="majorBidi"/>
          <w:sz w:val="24"/>
          <w:szCs w:val="24"/>
          <w:lang w:val="en-US"/>
        </w:rPr>
        <w:t xml:space="preserve">, in response to an increase in </w:t>
      </w:r>
      <w:r w:rsidR="00160618" w:rsidRPr="00E50F9D">
        <w:rPr>
          <w:rFonts w:asciiTheme="majorBidi" w:hAnsiTheme="majorBidi" w:cstheme="majorBidi"/>
          <w:sz w:val="24"/>
          <w:szCs w:val="24"/>
          <w:lang w:val="en-US"/>
        </w:rPr>
        <w:t xml:space="preserve">the number of </w:t>
      </w:r>
      <w:r w:rsidR="002D1458" w:rsidRPr="00E50F9D">
        <w:rPr>
          <w:rFonts w:asciiTheme="majorBidi" w:hAnsiTheme="majorBidi" w:cstheme="majorBidi"/>
          <w:sz w:val="24"/>
          <w:szCs w:val="24"/>
          <w:lang w:val="en-US"/>
        </w:rPr>
        <w:t>branches of medium and large banks,</w:t>
      </w:r>
      <w:r w:rsidR="00663527" w:rsidRPr="00E50F9D">
        <w:rPr>
          <w:rFonts w:asciiTheme="majorBidi" w:hAnsiTheme="majorBidi" w:cstheme="majorBidi"/>
          <w:sz w:val="24"/>
          <w:szCs w:val="24"/>
          <w:lang w:val="en-US"/>
        </w:rPr>
        <w:t xml:space="preserve"> can</w:t>
      </w:r>
      <w:r w:rsidR="00295654" w:rsidRPr="00E50F9D">
        <w:rPr>
          <w:rFonts w:asciiTheme="majorBidi" w:hAnsiTheme="majorBidi" w:cstheme="majorBidi"/>
          <w:sz w:val="24"/>
          <w:szCs w:val="24"/>
          <w:lang w:val="en-US"/>
        </w:rPr>
        <w:t xml:space="preserve"> generate negative externalities for </w:t>
      </w:r>
      <w:r w:rsidR="00B80BF3" w:rsidRPr="00E50F9D">
        <w:rPr>
          <w:rFonts w:asciiTheme="majorBidi" w:hAnsiTheme="majorBidi" w:cstheme="majorBidi"/>
          <w:sz w:val="24"/>
          <w:szCs w:val="24"/>
          <w:lang w:val="en-US"/>
        </w:rPr>
        <w:t xml:space="preserve">local economies </w:t>
      </w:r>
      <w:r w:rsidR="00295654" w:rsidRPr="00E50F9D">
        <w:rPr>
          <w:rFonts w:asciiTheme="majorBidi" w:hAnsiTheme="majorBidi" w:cstheme="majorBidi"/>
          <w:sz w:val="24"/>
          <w:szCs w:val="24"/>
          <w:lang w:val="en-US"/>
        </w:rPr>
        <w:t xml:space="preserve">where </w:t>
      </w:r>
      <w:r w:rsidR="00B80BF3" w:rsidRPr="00E50F9D">
        <w:rPr>
          <w:rFonts w:asciiTheme="majorBidi" w:hAnsiTheme="majorBidi" w:cstheme="majorBidi"/>
          <w:sz w:val="24"/>
          <w:szCs w:val="24"/>
          <w:lang w:val="en-US"/>
        </w:rPr>
        <w:t xml:space="preserve">the presence of </w:t>
      </w:r>
      <w:r w:rsidR="00D977F1" w:rsidRPr="00E50F9D">
        <w:rPr>
          <w:rFonts w:asciiTheme="majorBidi" w:hAnsiTheme="majorBidi" w:cstheme="majorBidi"/>
          <w:sz w:val="24"/>
          <w:szCs w:val="24"/>
          <w:lang w:val="en-US"/>
        </w:rPr>
        <w:t>S</w:t>
      </w:r>
      <w:r w:rsidR="00881157" w:rsidRPr="00E50F9D">
        <w:rPr>
          <w:rFonts w:asciiTheme="majorBidi" w:hAnsiTheme="majorBidi" w:cstheme="majorBidi"/>
          <w:sz w:val="24"/>
          <w:szCs w:val="24"/>
          <w:lang w:val="en-US"/>
        </w:rPr>
        <w:t xml:space="preserve">mall and </w:t>
      </w:r>
      <w:r w:rsidR="00D977F1" w:rsidRPr="00E50F9D">
        <w:rPr>
          <w:rFonts w:asciiTheme="majorBidi" w:hAnsiTheme="majorBidi" w:cstheme="majorBidi"/>
          <w:sz w:val="24"/>
          <w:szCs w:val="24"/>
          <w:lang w:val="en-US"/>
        </w:rPr>
        <w:t>M</w:t>
      </w:r>
      <w:r w:rsidR="00881157" w:rsidRPr="00E50F9D">
        <w:rPr>
          <w:rFonts w:asciiTheme="majorBidi" w:hAnsiTheme="majorBidi" w:cstheme="majorBidi"/>
          <w:sz w:val="24"/>
          <w:szCs w:val="24"/>
          <w:lang w:val="en-US"/>
        </w:rPr>
        <w:t>edium Enterprises (</w:t>
      </w:r>
      <w:r w:rsidR="00B80BF3" w:rsidRPr="00E50F9D">
        <w:rPr>
          <w:rFonts w:asciiTheme="majorBidi" w:hAnsiTheme="majorBidi" w:cstheme="majorBidi"/>
          <w:sz w:val="24"/>
          <w:szCs w:val="24"/>
          <w:lang w:val="en-US"/>
        </w:rPr>
        <w:t>SMEs</w:t>
      </w:r>
      <w:r w:rsidR="00881157" w:rsidRPr="00E50F9D">
        <w:rPr>
          <w:rFonts w:asciiTheme="majorBidi" w:hAnsiTheme="majorBidi" w:cstheme="majorBidi"/>
          <w:sz w:val="24"/>
          <w:szCs w:val="24"/>
          <w:lang w:val="en-US"/>
        </w:rPr>
        <w:t>)</w:t>
      </w:r>
      <w:r w:rsidR="00B80BF3" w:rsidRPr="00E50F9D">
        <w:rPr>
          <w:rFonts w:asciiTheme="majorBidi" w:hAnsiTheme="majorBidi" w:cstheme="majorBidi"/>
          <w:sz w:val="24"/>
          <w:szCs w:val="24"/>
          <w:lang w:val="en-US"/>
        </w:rPr>
        <w:t xml:space="preserve"> i</w:t>
      </w:r>
      <w:r w:rsidR="00295654" w:rsidRPr="00E50F9D">
        <w:rPr>
          <w:rFonts w:asciiTheme="majorBidi" w:hAnsiTheme="majorBidi" w:cstheme="majorBidi"/>
          <w:sz w:val="24"/>
          <w:szCs w:val="24"/>
          <w:lang w:val="en-US"/>
        </w:rPr>
        <w:t xml:space="preserve">s more spread out. </w:t>
      </w:r>
      <w:r w:rsidR="00363ECE" w:rsidRPr="00E50F9D">
        <w:rPr>
          <w:rFonts w:asciiTheme="majorBidi" w:hAnsiTheme="majorBidi" w:cstheme="majorBidi"/>
          <w:sz w:val="24"/>
          <w:szCs w:val="24"/>
          <w:lang w:val="en-US"/>
        </w:rPr>
        <w:t>S</w:t>
      </w:r>
      <w:r w:rsidR="00295654" w:rsidRPr="00E50F9D">
        <w:rPr>
          <w:rFonts w:asciiTheme="majorBidi" w:hAnsiTheme="majorBidi" w:cstheme="majorBidi"/>
          <w:sz w:val="24"/>
          <w:szCs w:val="24"/>
          <w:lang w:val="en-US"/>
        </w:rPr>
        <w:t>mall banks</w:t>
      </w:r>
      <w:r w:rsidR="00B80BF3" w:rsidRPr="00E50F9D">
        <w:rPr>
          <w:rFonts w:asciiTheme="majorBidi" w:hAnsiTheme="majorBidi" w:cstheme="majorBidi"/>
          <w:sz w:val="24"/>
          <w:szCs w:val="24"/>
          <w:lang w:val="en-US"/>
        </w:rPr>
        <w:t xml:space="preserve"> are </w:t>
      </w:r>
      <w:r w:rsidR="008523D4" w:rsidRPr="00E50F9D">
        <w:rPr>
          <w:rFonts w:asciiTheme="majorBidi" w:hAnsiTheme="majorBidi" w:cstheme="majorBidi"/>
          <w:sz w:val="24"/>
          <w:szCs w:val="24"/>
          <w:lang w:val="en-US"/>
        </w:rPr>
        <w:t xml:space="preserve">more prone to lend to small businesses </w:t>
      </w:r>
      <w:r w:rsidR="0089690A" w:rsidRPr="00E50F9D">
        <w:rPr>
          <w:rFonts w:asciiTheme="majorBidi" w:hAnsiTheme="majorBidi" w:cstheme="majorBidi"/>
          <w:sz w:val="24"/>
          <w:szCs w:val="24"/>
          <w:lang w:val="en-US"/>
        </w:rPr>
        <w:t xml:space="preserve">because </w:t>
      </w:r>
      <w:r w:rsidR="00295654" w:rsidRPr="00E50F9D">
        <w:rPr>
          <w:rFonts w:asciiTheme="majorBidi" w:hAnsiTheme="majorBidi" w:cstheme="majorBidi"/>
          <w:sz w:val="24"/>
          <w:szCs w:val="24"/>
          <w:lang w:val="en-US"/>
        </w:rPr>
        <w:t xml:space="preserve">they </w:t>
      </w:r>
      <w:r w:rsidR="008523D4" w:rsidRPr="00E50F9D">
        <w:rPr>
          <w:rFonts w:asciiTheme="majorBidi" w:hAnsiTheme="majorBidi" w:cstheme="majorBidi"/>
          <w:sz w:val="24"/>
          <w:szCs w:val="24"/>
          <w:lang w:val="en-US"/>
        </w:rPr>
        <w:t>can meet the</w:t>
      </w:r>
      <w:r w:rsidR="003959AB" w:rsidRPr="00E50F9D">
        <w:rPr>
          <w:rFonts w:asciiTheme="majorBidi" w:hAnsiTheme="majorBidi" w:cstheme="majorBidi"/>
          <w:sz w:val="24"/>
          <w:szCs w:val="24"/>
          <w:lang w:val="en-US"/>
        </w:rPr>
        <w:t>ir</w:t>
      </w:r>
      <w:r w:rsidR="008523D4" w:rsidRPr="00E50F9D">
        <w:rPr>
          <w:rFonts w:asciiTheme="majorBidi" w:hAnsiTheme="majorBidi" w:cstheme="majorBidi"/>
          <w:sz w:val="24"/>
          <w:szCs w:val="24"/>
          <w:lang w:val="en-US"/>
        </w:rPr>
        <w:t xml:space="preserve"> credit needs more effectively</w:t>
      </w:r>
      <w:r w:rsidR="00160618" w:rsidRPr="00E50F9D">
        <w:rPr>
          <w:rFonts w:asciiTheme="majorBidi" w:hAnsiTheme="majorBidi" w:cstheme="majorBidi"/>
          <w:sz w:val="24"/>
          <w:szCs w:val="24"/>
          <w:lang w:val="en-US"/>
        </w:rPr>
        <w:t>.</w:t>
      </w:r>
      <w:r w:rsidR="003959AB" w:rsidRPr="00E50F9D">
        <w:rPr>
          <w:rFonts w:asciiTheme="majorBidi" w:hAnsiTheme="majorBidi" w:cstheme="majorBidi"/>
          <w:sz w:val="24"/>
          <w:szCs w:val="24"/>
          <w:lang w:val="en-US"/>
        </w:rPr>
        <w:t xml:space="preserve"> </w:t>
      </w:r>
      <w:r w:rsidR="00160618" w:rsidRPr="00E50F9D">
        <w:rPr>
          <w:rFonts w:asciiTheme="majorBidi" w:hAnsiTheme="majorBidi" w:cstheme="majorBidi"/>
          <w:sz w:val="24"/>
          <w:szCs w:val="24"/>
          <w:lang w:val="en-US"/>
        </w:rPr>
        <w:t>T</w:t>
      </w:r>
      <w:r w:rsidR="003959AB" w:rsidRPr="00E50F9D">
        <w:rPr>
          <w:rFonts w:asciiTheme="majorBidi" w:hAnsiTheme="majorBidi" w:cstheme="majorBidi"/>
          <w:sz w:val="24"/>
          <w:szCs w:val="24"/>
          <w:lang w:val="en-US"/>
        </w:rPr>
        <w:t>his is</w:t>
      </w:r>
      <w:r w:rsidR="008523D4" w:rsidRPr="00E50F9D">
        <w:rPr>
          <w:rFonts w:asciiTheme="majorBidi" w:hAnsiTheme="majorBidi" w:cstheme="majorBidi"/>
          <w:sz w:val="24"/>
          <w:szCs w:val="24"/>
          <w:lang w:val="en-US"/>
        </w:rPr>
        <w:t xml:space="preserve"> due to </w:t>
      </w:r>
      <w:r w:rsidR="003959AB" w:rsidRPr="00E50F9D">
        <w:rPr>
          <w:rFonts w:asciiTheme="majorBidi" w:hAnsiTheme="majorBidi" w:cstheme="majorBidi"/>
          <w:sz w:val="24"/>
          <w:szCs w:val="24"/>
          <w:lang w:val="en-US"/>
        </w:rPr>
        <w:t xml:space="preserve">having </w:t>
      </w:r>
      <w:r w:rsidR="008523D4" w:rsidRPr="00E50F9D">
        <w:rPr>
          <w:rFonts w:asciiTheme="majorBidi" w:hAnsiTheme="majorBidi" w:cstheme="majorBidi"/>
          <w:sz w:val="24"/>
          <w:szCs w:val="24"/>
          <w:lang w:val="en-US"/>
        </w:rPr>
        <w:t>access to better credit information than large banks</w:t>
      </w:r>
      <w:r w:rsidR="001D5CEA" w:rsidRPr="00E50F9D">
        <w:rPr>
          <w:rFonts w:asciiTheme="majorBidi" w:hAnsiTheme="majorBidi" w:cstheme="majorBidi"/>
          <w:sz w:val="24"/>
          <w:szCs w:val="24"/>
          <w:lang w:val="en-US"/>
        </w:rPr>
        <w:t xml:space="preserve"> (Berger and Udell</w:t>
      </w:r>
      <w:r w:rsidR="005E259E" w:rsidRPr="00E50F9D">
        <w:rPr>
          <w:rFonts w:asciiTheme="majorBidi" w:hAnsiTheme="majorBidi" w:cstheme="majorBidi"/>
          <w:sz w:val="24"/>
          <w:szCs w:val="24"/>
          <w:lang w:val="en-US"/>
        </w:rPr>
        <w:t>,</w:t>
      </w:r>
      <w:r w:rsidR="001D5CEA" w:rsidRPr="00E50F9D">
        <w:rPr>
          <w:rFonts w:asciiTheme="majorBidi" w:hAnsiTheme="majorBidi" w:cstheme="majorBidi"/>
          <w:sz w:val="24"/>
          <w:szCs w:val="24"/>
          <w:lang w:val="en-US"/>
        </w:rPr>
        <w:t xml:space="preserve"> 2002).</w:t>
      </w:r>
      <w:r w:rsidR="00295654" w:rsidRPr="00E50F9D">
        <w:rPr>
          <w:rFonts w:asciiTheme="majorBidi" w:hAnsiTheme="majorBidi" w:cstheme="majorBidi"/>
          <w:sz w:val="24"/>
          <w:szCs w:val="24"/>
          <w:lang w:val="en-US"/>
        </w:rPr>
        <w:t xml:space="preserve"> </w:t>
      </w:r>
      <w:r w:rsidR="007F472C" w:rsidRPr="00E50F9D">
        <w:rPr>
          <w:rFonts w:asciiTheme="majorBidi" w:hAnsiTheme="majorBidi" w:cstheme="majorBidi"/>
          <w:sz w:val="24"/>
          <w:szCs w:val="24"/>
          <w:lang w:val="en-US"/>
        </w:rPr>
        <w:t xml:space="preserve">Recent papers (Berger et al., 2007; Coccorrese, 2009; Hannan and Prager, 2009; Scott and Dunkelberg, 2010) have shown that the entry of larger and more efficient banking organizations into local </w:t>
      </w:r>
      <w:r w:rsidR="007F472C" w:rsidRPr="00E50F9D">
        <w:rPr>
          <w:rFonts w:asciiTheme="majorBidi" w:hAnsiTheme="majorBidi" w:cstheme="majorBidi"/>
          <w:sz w:val="24"/>
          <w:szCs w:val="24"/>
          <w:lang w:val="en-US"/>
        </w:rPr>
        <w:lastRenderedPageBreak/>
        <w:t xml:space="preserve">markets can reduce the performance of small banks. </w:t>
      </w:r>
      <w:r w:rsidR="00F25251" w:rsidRPr="00E50F9D">
        <w:rPr>
          <w:rFonts w:asciiTheme="majorBidi" w:hAnsiTheme="majorBidi" w:cstheme="majorBidi"/>
          <w:sz w:val="24"/>
          <w:szCs w:val="24"/>
          <w:lang w:val="en-US"/>
        </w:rPr>
        <w:t>However</w:t>
      </w:r>
      <w:r w:rsidR="00AF6265" w:rsidRPr="00E50F9D">
        <w:rPr>
          <w:rFonts w:asciiTheme="majorBidi" w:hAnsiTheme="majorBidi" w:cstheme="majorBidi"/>
          <w:sz w:val="24"/>
          <w:szCs w:val="24"/>
          <w:lang w:val="en-US"/>
        </w:rPr>
        <w:t>,</w:t>
      </w:r>
      <w:r w:rsidR="007F472C" w:rsidRPr="00E50F9D">
        <w:rPr>
          <w:rFonts w:asciiTheme="majorBidi" w:hAnsiTheme="majorBidi" w:cstheme="majorBidi"/>
          <w:sz w:val="24"/>
          <w:szCs w:val="24"/>
          <w:lang w:val="en-US"/>
        </w:rPr>
        <w:t xml:space="preserve"> </w:t>
      </w:r>
      <w:r w:rsidR="00AF6265" w:rsidRPr="00E50F9D">
        <w:rPr>
          <w:rFonts w:asciiTheme="majorBidi" w:hAnsiTheme="majorBidi" w:cstheme="majorBidi"/>
          <w:sz w:val="24"/>
          <w:szCs w:val="24"/>
          <w:lang w:val="en-US"/>
        </w:rPr>
        <w:t>they have devoted less attention to</w:t>
      </w:r>
      <w:r w:rsidR="00AD09E5" w:rsidRPr="00E50F9D">
        <w:rPr>
          <w:rFonts w:asciiTheme="majorBidi" w:hAnsiTheme="majorBidi" w:cstheme="majorBidi"/>
          <w:sz w:val="24"/>
          <w:szCs w:val="24"/>
          <w:lang w:val="en-US"/>
        </w:rPr>
        <w:t xml:space="preserve"> </w:t>
      </w:r>
      <w:r w:rsidR="007F472C" w:rsidRPr="00E50F9D">
        <w:rPr>
          <w:rFonts w:asciiTheme="majorBidi" w:hAnsiTheme="majorBidi" w:cstheme="majorBidi"/>
          <w:sz w:val="24"/>
          <w:szCs w:val="24"/>
          <w:lang w:val="en-US"/>
        </w:rPr>
        <w:t xml:space="preserve">the effect on small banks’ lending strategies of the entry of large/medium banks in the local market through </w:t>
      </w:r>
      <w:r w:rsidR="003B5CD2" w:rsidRPr="00E50F9D">
        <w:rPr>
          <w:rFonts w:asciiTheme="majorBidi" w:hAnsiTheme="majorBidi" w:cstheme="majorBidi"/>
          <w:sz w:val="24"/>
          <w:szCs w:val="24"/>
          <w:lang w:val="en-US"/>
        </w:rPr>
        <w:t>the opening of branches on</w:t>
      </w:r>
      <w:r w:rsidR="007F472C" w:rsidRPr="00E50F9D">
        <w:rPr>
          <w:rFonts w:asciiTheme="majorBidi" w:hAnsiTheme="majorBidi" w:cstheme="majorBidi"/>
          <w:sz w:val="24"/>
          <w:szCs w:val="24"/>
          <w:lang w:val="en-US"/>
        </w:rPr>
        <w:t xml:space="preserve"> small</w:t>
      </w:r>
      <w:r w:rsidR="003B5CD2" w:rsidRPr="00E50F9D">
        <w:rPr>
          <w:rFonts w:asciiTheme="majorBidi" w:hAnsiTheme="majorBidi" w:cstheme="majorBidi"/>
          <w:sz w:val="24"/>
          <w:szCs w:val="24"/>
          <w:lang w:val="en-US"/>
        </w:rPr>
        <w:t xml:space="preserve"> local</w:t>
      </w:r>
      <w:r w:rsidR="007F472C" w:rsidRPr="00E50F9D">
        <w:rPr>
          <w:rFonts w:asciiTheme="majorBidi" w:hAnsiTheme="majorBidi" w:cstheme="majorBidi"/>
          <w:sz w:val="24"/>
          <w:szCs w:val="24"/>
          <w:lang w:val="en-US"/>
        </w:rPr>
        <w:t xml:space="preserve"> banks. </w:t>
      </w:r>
      <w:r w:rsidR="00B66424" w:rsidRPr="00E50F9D">
        <w:rPr>
          <w:rFonts w:asciiTheme="majorBidi" w:hAnsiTheme="majorBidi" w:cstheme="majorBidi"/>
          <w:sz w:val="24"/>
          <w:szCs w:val="24"/>
          <w:lang w:val="en-US"/>
        </w:rPr>
        <w:t xml:space="preserve">This paper </w:t>
      </w:r>
      <w:r w:rsidR="00696101" w:rsidRPr="00E50F9D">
        <w:rPr>
          <w:rFonts w:asciiTheme="majorBidi" w:hAnsiTheme="majorBidi" w:cstheme="majorBidi"/>
          <w:sz w:val="24"/>
          <w:szCs w:val="24"/>
          <w:lang w:val="en-US"/>
        </w:rPr>
        <w:t>bridges</w:t>
      </w:r>
      <w:r w:rsidR="007F472C" w:rsidRPr="00E50F9D">
        <w:rPr>
          <w:rFonts w:asciiTheme="majorBidi" w:hAnsiTheme="majorBidi" w:cstheme="majorBidi"/>
          <w:sz w:val="24"/>
          <w:szCs w:val="24"/>
          <w:lang w:val="en-US"/>
        </w:rPr>
        <w:t xml:space="preserve"> this gap and </w:t>
      </w:r>
      <w:r w:rsidR="00B66424" w:rsidRPr="00E50F9D">
        <w:rPr>
          <w:rFonts w:asciiTheme="majorBidi" w:hAnsiTheme="majorBidi" w:cstheme="majorBidi"/>
          <w:sz w:val="24"/>
          <w:szCs w:val="24"/>
          <w:lang w:val="en-US"/>
        </w:rPr>
        <w:t xml:space="preserve">contributes to the existing </w:t>
      </w:r>
      <w:r w:rsidR="00696101" w:rsidRPr="00E50F9D">
        <w:rPr>
          <w:rFonts w:asciiTheme="majorBidi" w:hAnsiTheme="majorBidi" w:cstheme="majorBidi"/>
          <w:sz w:val="24"/>
          <w:szCs w:val="24"/>
          <w:lang w:val="en-US"/>
        </w:rPr>
        <w:t>literature</w:t>
      </w:r>
      <w:r w:rsidR="00B66424" w:rsidRPr="00E50F9D">
        <w:rPr>
          <w:rFonts w:asciiTheme="majorBidi" w:hAnsiTheme="majorBidi" w:cstheme="majorBidi"/>
          <w:sz w:val="24"/>
          <w:szCs w:val="24"/>
          <w:lang w:val="en-US"/>
        </w:rPr>
        <w:t xml:space="preserve"> in several ways. </w:t>
      </w:r>
      <w:r w:rsidR="007F472C" w:rsidRPr="00E50F9D">
        <w:rPr>
          <w:rFonts w:asciiTheme="majorBidi" w:hAnsiTheme="majorBidi" w:cstheme="majorBidi"/>
          <w:sz w:val="24"/>
          <w:szCs w:val="24"/>
          <w:lang w:val="en-US"/>
        </w:rPr>
        <w:t>First</w:t>
      </w:r>
      <w:r w:rsidR="00790E0E" w:rsidRPr="00E50F9D">
        <w:rPr>
          <w:rFonts w:asciiTheme="majorBidi" w:hAnsiTheme="majorBidi" w:cstheme="majorBidi"/>
          <w:sz w:val="24"/>
          <w:szCs w:val="24"/>
          <w:lang w:val="en-US"/>
        </w:rPr>
        <w:t>,</w:t>
      </w:r>
      <w:r w:rsidR="007F472C" w:rsidRPr="00E50F9D">
        <w:rPr>
          <w:rFonts w:asciiTheme="majorBidi" w:hAnsiTheme="majorBidi" w:cstheme="majorBidi"/>
          <w:sz w:val="24"/>
          <w:szCs w:val="24"/>
          <w:lang w:val="en-US"/>
        </w:rPr>
        <w:t xml:space="preserve"> we examine</w:t>
      </w:r>
      <w:r w:rsidR="004A3CE4" w:rsidRPr="00E50F9D">
        <w:rPr>
          <w:rFonts w:asciiTheme="majorBidi" w:hAnsiTheme="majorBidi" w:cstheme="majorBidi"/>
          <w:sz w:val="24"/>
          <w:szCs w:val="24"/>
          <w:lang w:val="en-US"/>
        </w:rPr>
        <w:t xml:space="preserve"> the impact of diversification strategies through branches on the monopoly market power for loans and deposits, and </w:t>
      </w:r>
      <w:r w:rsidR="00696101" w:rsidRPr="00E50F9D">
        <w:rPr>
          <w:rFonts w:asciiTheme="majorBidi" w:hAnsiTheme="majorBidi" w:cstheme="majorBidi"/>
          <w:sz w:val="24"/>
          <w:szCs w:val="24"/>
          <w:lang w:val="en-US"/>
        </w:rPr>
        <w:t xml:space="preserve">on the </w:t>
      </w:r>
      <w:r w:rsidR="004A3CE4" w:rsidRPr="00E50F9D">
        <w:rPr>
          <w:rFonts w:asciiTheme="majorBidi" w:hAnsiTheme="majorBidi" w:cstheme="majorBidi"/>
          <w:sz w:val="24"/>
          <w:szCs w:val="24"/>
          <w:lang w:val="en-US"/>
        </w:rPr>
        <w:t>amount of loans and deposits</w:t>
      </w:r>
      <w:r w:rsidR="007F1B75" w:rsidRPr="00E50F9D">
        <w:rPr>
          <w:rFonts w:asciiTheme="majorBidi" w:hAnsiTheme="majorBidi" w:cstheme="majorBidi"/>
          <w:sz w:val="24"/>
          <w:szCs w:val="24"/>
          <w:lang w:val="en-US"/>
        </w:rPr>
        <w:t xml:space="preserve"> for all banks</w:t>
      </w:r>
      <w:r w:rsidR="004A3CE4" w:rsidRPr="00E50F9D">
        <w:rPr>
          <w:rFonts w:asciiTheme="majorBidi" w:hAnsiTheme="majorBidi" w:cstheme="majorBidi"/>
          <w:sz w:val="24"/>
          <w:szCs w:val="24"/>
          <w:lang w:val="en-US"/>
        </w:rPr>
        <w:t xml:space="preserve">. </w:t>
      </w:r>
      <w:r w:rsidR="007F472C" w:rsidRPr="00E50F9D">
        <w:rPr>
          <w:rFonts w:asciiTheme="majorBidi" w:hAnsiTheme="majorBidi" w:cstheme="majorBidi"/>
          <w:sz w:val="24"/>
          <w:szCs w:val="24"/>
          <w:lang w:val="en-US"/>
        </w:rPr>
        <w:t xml:space="preserve">Next, as a further contribution, we examine how and to what extent the expansion of branches in local markets can affect performance, monopoly market power for loans and deposits, and lending activities of small local competitor banks. </w:t>
      </w:r>
      <w:r w:rsidR="00463F7F" w:rsidRPr="00E50F9D">
        <w:rPr>
          <w:rFonts w:asciiTheme="majorBidi" w:hAnsiTheme="majorBidi" w:cstheme="majorBidi"/>
          <w:sz w:val="24"/>
          <w:szCs w:val="24"/>
          <w:lang w:val="en-US"/>
        </w:rPr>
        <w:t>Understanding the competitive viability of small banks in local markets is particularly important in the European context, where SMEs represent 99% of businesses.</w:t>
      </w:r>
      <w:r w:rsidR="00313484" w:rsidRPr="00E50F9D">
        <w:rPr>
          <w:rFonts w:asciiTheme="majorBidi" w:hAnsiTheme="majorBidi" w:cstheme="majorBidi"/>
          <w:sz w:val="24"/>
          <w:szCs w:val="24"/>
          <w:lang w:val="en-US"/>
        </w:rPr>
        <w:t xml:space="preserve"> </w:t>
      </w:r>
      <w:r w:rsidR="00E552F0" w:rsidRPr="00E50F9D">
        <w:rPr>
          <w:rFonts w:asciiTheme="majorBidi" w:hAnsiTheme="majorBidi" w:cstheme="majorBidi"/>
          <w:sz w:val="24"/>
          <w:szCs w:val="24"/>
          <w:lang w:val="en-US"/>
        </w:rPr>
        <w:t xml:space="preserve">From a methodological </w:t>
      </w:r>
      <w:r w:rsidR="007F472C" w:rsidRPr="00E50F9D">
        <w:rPr>
          <w:rFonts w:asciiTheme="majorBidi" w:hAnsiTheme="majorBidi" w:cstheme="majorBidi"/>
          <w:sz w:val="24"/>
          <w:szCs w:val="24"/>
          <w:lang w:val="en-US"/>
        </w:rPr>
        <w:t>viewpoint,</w:t>
      </w:r>
      <w:r w:rsidR="00E552F0" w:rsidRPr="00E50F9D">
        <w:rPr>
          <w:rFonts w:asciiTheme="majorBidi" w:hAnsiTheme="majorBidi" w:cstheme="majorBidi"/>
          <w:sz w:val="24"/>
          <w:szCs w:val="24"/>
          <w:lang w:val="en-US"/>
        </w:rPr>
        <w:t xml:space="preserve"> we make use </w:t>
      </w:r>
      <w:r w:rsidR="004D24D4" w:rsidRPr="00E50F9D">
        <w:rPr>
          <w:rFonts w:asciiTheme="majorBidi" w:hAnsiTheme="majorBidi" w:cstheme="majorBidi"/>
          <w:sz w:val="24"/>
          <w:szCs w:val="24"/>
          <w:lang w:val="en-US"/>
        </w:rPr>
        <w:t xml:space="preserve">of </w:t>
      </w:r>
      <w:r w:rsidR="00E552F0" w:rsidRPr="00E50F9D">
        <w:rPr>
          <w:rFonts w:asciiTheme="majorBidi" w:hAnsiTheme="majorBidi" w:cstheme="majorBidi"/>
          <w:sz w:val="24"/>
          <w:szCs w:val="24"/>
          <w:lang w:val="en-US"/>
        </w:rPr>
        <w:t xml:space="preserve">both </w:t>
      </w:r>
      <w:r w:rsidR="005B5520" w:rsidRPr="00E50F9D">
        <w:rPr>
          <w:rFonts w:asciiTheme="majorBidi" w:hAnsiTheme="majorBidi" w:cstheme="majorBidi"/>
          <w:sz w:val="24"/>
          <w:szCs w:val="24"/>
          <w:lang w:val="en-US"/>
        </w:rPr>
        <w:t xml:space="preserve">the conventional </w:t>
      </w:r>
      <w:r w:rsidR="00313484" w:rsidRPr="00E50F9D">
        <w:rPr>
          <w:rFonts w:asciiTheme="majorBidi" w:hAnsiTheme="majorBidi" w:cstheme="majorBidi"/>
          <w:sz w:val="24"/>
          <w:szCs w:val="24"/>
          <w:lang w:val="en-US"/>
        </w:rPr>
        <w:t xml:space="preserve">Lerner </w:t>
      </w:r>
      <w:r w:rsidRPr="00E50F9D">
        <w:rPr>
          <w:rFonts w:asciiTheme="majorBidi" w:hAnsiTheme="majorBidi" w:cstheme="majorBidi"/>
          <w:sz w:val="24"/>
          <w:szCs w:val="24"/>
          <w:lang w:val="en-US"/>
        </w:rPr>
        <w:t>index</w:t>
      </w:r>
      <w:r w:rsidR="00313484" w:rsidRPr="00E50F9D">
        <w:rPr>
          <w:rFonts w:asciiTheme="majorBidi" w:hAnsiTheme="majorBidi" w:cstheme="majorBidi"/>
          <w:sz w:val="24"/>
          <w:szCs w:val="24"/>
          <w:lang w:val="en-US"/>
        </w:rPr>
        <w:t xml:space="preserve"> to measure the monopoly market power of banks in the market </w:t>
      </w:r>
      <w:r w:rsidRPr="00E50F9D">
        <w:rPr>
          <w:rFonts w:asciiTheme="majorBidi" w:hAnsiTheme="majorBidi" w:cstheme="majorBidi"/>
          <w:sz w:val="24"/>
          <w:szCs w:val="24"/>
          <w:lang w:val="en-US"/>
        </w:rPr>
        <w:t xml:space="preserve">for </w:t>
      </w:r>
      <w:r w:rsidR="00313484" w:rsidRPr="00E50F9D">
        <w:rPr>
          <w:rFonts w:asciiTheme="majorBidi" w:hAnsiTheme="majorBidi" w:cstheme="majorBidi"/>
          <w:sz w:val="24"/>
          <w:szCs w:val="24"/>
          <w:lang w:val="en-US"/>
        </w:rPr>
        <w:t xml:space="preserve">loans and deposits, </w:t>
      </w:r>
      <w:r w:rsidR="00E552F0" w:rsidRPr="00E50F9D">
        <w:rPr>
          <w:rFonts w:asciiTheme="majorBidi" w:hAnsiTheme="majorBidi" w:cstheme="majorBidi"/>
          <w:sz w:val="24"/>
          <w:szCs w:val="24"/>
          <w:lang w:val="en-US"/>
        </w:rPr>
        <w:t xml:space="preserve">and the new efficiency-adjusted Lerner index proposed by </w:t>
      </w:r>
      <w:r w:rsidR="00313484" w:rsidRPr="00E50F9D">
        <w:rPr>
          <w:rFonts w:asciiTheme="majorBidi" w:hAnsiTheme="majorBidi" w:cstheme="majorBidi"/>
          <w:sz w:val="24"/>
          <w:szCs w:val="24"/>
          <w:lang w:val="en-US"/>
        </w:rPr>
        <w:t>Koetter et al. (2012)</w:t>
      </w:r>
      <w:r w:rsidR="00E552F0" w:rsidRPr="00E50F9D">
        <w:rPr>
          <w:rFonts w:asciiTheme="majorBidi" w:hAnsiTheme="majorBidi" w:cstheme="majorBidi"/>
          <w:sz w:val="24"/>
          <w:szCs w:val="24"/>
          <w:lang w:val="en-US"/>
        </w:rPr>
        <w:t>.</w:t>
      </w:r>
      <w:r w:rsidR="00D7478D" w:rsidRPr="00E50F9D">
        <w:rPr>
          <w:rFonts w:asciiTheme="majorBidi" w:hAnsiTheme="majorBidi" w:cstheme="majorBidi"/>
          <w:sz w:val="24"/>
          <w:szCs w:val="24"/>
          <w:lang w:val="en-US"/>
        </w:rPr>
        <w:t xml:space="preserve"> We also run </w:t>
      </w:r>
      <w:r w:rsidR="00C268F5" w:rsidRPr="00E50F9D">
        <w:rPr>
          <w:rFonts w:asciiTheme="majorBidi" w:hAnsiTheme="majorBidi" w:cstheme="majorBidi"/>
          <w:sz w:val="24"/>
          <w:szCs w:val="24"/>
          <w:lang w:val="en-US"/>
        </w:rPr>
        <w:t xml:space="preserve">a </w:t>
      </w:r>
      <w:r w:rsidR="00D7478D" w:rsidRPr="00E50F9D">
        <w:rPr>
          <w:rFonts w:asciiTheme="majorBidi" w:hAnsiTheme="majorBidi" w:cstheme="majorBidi"/>
          <w:color w:val="000000"/>
          <w:sz w:val="24"/>
          <w:szCs w:val="24"/>
          <w:lang w:val="en-US"/>
        </w:rPr>
        <w:t xml:space="preserve">panel data analysis fixed effect and </w:t>
      </w:r>
      <w:r w:rsidR="00C268F5" w:rsidRPr="00E50F9D">
        <w:rPr>
          <w:rFonts w:asciiTheme="majorBidi" w:hAnsiTheme="majorBidi" w:cstheme="majorBidi"/>
          <w:color w:val="000000"/>
          <w:sz w:val="24"/>
          <w:szCs w:val="24"/>
          <w:lang w:val="en-US"/>
        </w:rPr>
        <w:t xml:space="preserve">an </w:t>
      </w:r>
      <w:r w:rsidR="00D7478D" w:rsidRPr="00E50F9D">
        <w:rPr>
          <w:rFonts w:asciiTheme="majorBidi" w:hAnsiTheme="majorBidi" w:cstheme="majorBidi"/>
          <w:color w:val="000000"/>
          <w:sz w:val="24"/>
          <w:szCs w:val="24"/>
          <w:lang w:val="en-US"/>
        </w:rPr>
        <w:t>unconditional instrumental variables (IV) quantile regression, to verify the robustness of the effect of geographical diversification strategies on performance, adjusted Lerner index, lending and funding strategies</w:t>
      </w:r>
      <w:r w:rsidR="00790E0E" w:rsidRPr="00E50F9D">
        <w:rPr>
          <w:rFonts w:asciiTheme="majorBidi" w:hAnsiTheme="majorBidi" w:cstheme="majorBidi"/>
          <w:color w:val="000000"/>
          <w:sz w:val="24"/>
          <w:szCs w:val="24"/>
          <w:lang w:val="en-US"/>
        </w:rPr>
        <w:t xml:space="preserve">. </w:t>
      </w:r>
      <w:r w:rsidR="00790E0E" w:rsidRPr="00E50F9D">
        <w:rPr>
          <w:rFonts w:asciiTheme="majorBidi" w:hAnsiTheme="majorBidi" w:cstheme="majorBidi"/>
          <w:sz w:val="24"/>
          <w:szCs w:val="24"/>
          <w:lang w:val="en-US"/>
        </w:rPr>
        <w:t xml:space="preserve">Finally, unlike previous studies that </w:t>
      </w:r>
      <w:r w:rsidR="008E5BD9" w:rsidRPr="00E50F9D">
        <w:rPr>
          <w:rFonts w:asciiTheme="majorBidi" w:hAnsiTheme="majorBidi" w:cstheme="majorBidi"/>
          <w:sz w:val="24"/>
          <w:szCs w:val="24"/>
          <w:lang w:val="en-US"/>
        </w:rPr>
        <w:t>are</w:t>
      </w:r>
      <w:r w:rsidR="00790E0E" w:rsidRPr="00E50F9D">
        <w:rPr>
          <w:rFonts w:asciiTheme="majorBidi" w:hAnsiTheme="majorBidi" w:cstheme="majorBidi"/>
          <w:sz w:val="24"/>
          <w:szCs w:val="24"/>
          <w:lang w:val="en-US"/>
        </w:rPr>
        <w:t xml:space="preserve"> fragmented a</w:t>
      </w:r>
      <w:r w:rsidR="00696101" w:rsidRPr="00E50F9D">
        <w:rPr>
          <w:rFonts w:asciiTheme="majorBidi" w:hAnsiTheme="majorBidi" w:cstheme="majorBidi"/>
          <w:sz w:val="24"/>
          <w:szCs w:val="24"/>
          <w:lang w:val="en-US"/>
        </w:rPr>
        <w:t>nd in many cases</w:t>
      </w:r>
      <w:r w:rsidR="00790E0E" w:rsidRPr="00E50F9D">
        <w:rPr>
          <w:rFonts w:asciiTheme="majorBidi" w:hAnsiTheme="majorBidi" w:cstheme="majorBidi"/>
          <w:sz w:val="24"/>
          <w:szCs w:val="24"/>
          <w:lang w:val="en-US"/>
        </w:rPr>
        <w:t xml:space="preserve"> restricted in the scope of their analysis to either efficiency, risk, or performance, </w:t>
      </w:r>
      <w:r w:rsidR="004A3CE4" w:rsidRPr="00E50F9D">
        <w:rPr>
          <w:rFonts w:asciiTheme="majorBidi" w:hAnsiTheme="majorBidi" w:cstheme="majorBidi"/>
          <w:sz w:val="24"/>
          <w:szCs w:val="24"/>
          <w:lang w:val="en-US"/>
        </w:rPr>
        <w:t>we</w:t>
      </w:r>
      <w:r w:rsidR="00790E0E" w:rsidRPr="00E50F9D">
        <w:rPr>
          <w:rFonts w:asciiTheme="majorBidi" w:hAnsiTheme="majorBidi" w:cstheme="majorBidi"/>
          <w:sz w:val="24"/>
          <w:szCs w:val="24"/>
          <w:lang w:val="en-US"/>
        </w:rPr>
        <w:t xml:space="preserve"> instead</w:t>
      </w:r>
      <w:r w:rsidR="00B66424" w:rsidRPr="00E50F9D">
        <w:rPr>
          <w:rFonts w:asciiTheme="majorBidi" w:hAnsiTheme="majorBidi" w:cstheme="majorBidi"/>
          <w:sz w:val="24"/>
          <w:szCs w:val="24"/>
          <w:lang w:val="en-US"/>
        </w:rPr>
        <w:t xml:space="preserve"> take into consideration several geographical measures to examine performance, market power (competition) in loan and deposit markets, and the lending behavior of banks. </w:t>
      </w:r>
    </w:p>
    <w:p w14:paraId="7CB5A8E4" w14:textId="4F7F378A" w:rsidR="00D036B1" w:rsidRPr="00E50F9D" w:rsidRDefault="00D036B1" w:rsidP="007D25F2">
      <w:pPr>
        <w:autoSpaceDE w:val="0"/>
        <w:autoSpaceDN w:val="0"/>
        <w:adjustRightInd w:val="0"/>
        <w:spacing w:after="0" w:line="480" w:lineRule="auto"/>
        <w:ind w:firstLine="567"/>
        <w:jc w:val="both"/>
        <w:rPr>
          <w:rFonts w:asciiTheme="majorBidi" w:hAnsiTheme="majorBidi" w:cstheme="majorBidi"/>
          <w:sz w:val="24"/>
          <w:szCs w:val="24"/>
          <w:lang w:val="en-US"/>
        </w:rPr>
      </w:pPr>
      <w:r w:rsidRPr="00E50F9D">
        <w:rPr>
          <w:rFonts w:asciiTheme="majorBidi" w:hAnsiTheme="majorBidi" w:cstheme="majorBidi"/>
          <w:sz w:val="24"/>
          <w:szCs w:val="24"/>
          <w:lang w:val="en-US"/>
        </w:rPr>
        <w:t xml:space="preserve">To investigate the effects of </w:t>
      </w:r>
      <w:r w:rsidR="003711CB" w:rsidRPr="00E50F9D">
        <w:rPr>
          <w:rFonts w:asciiTheme="majorBidi" w:hAnsiTheme="majorBidi" w:cstheme="majorBidi"/>
          <w:sz w:val="24"/>
          <w:szCs w:val="24"/>
          <w:lang w:val="en-US"/>
        </w:rPr>
        <w:t>changes in branch geography on performance and lending strategies</w:t>
      </w:r>
      <w:r w:rsidRPr="00E50F9D">
        <w:rPr>
          <w:rFonts w:asciiTheme="majorBidi" w:hAnsiTheme="majorBidi" w:cstheme="majorBidi"/>
          <w:sz w:val="24"/>
          <w:szCs w:val="24"/>
          <w:lang w:val="en-US"/>
        </w:rPr>
        <w:t>, we focus on the Italian banking sector for the period 1993-201</w:t>
      </w:r>
      <w:r w:rsidR="00810C6D" w:rsidRPr="00E50F9D">
        <w:rPr>
          <w:rFonts w:asciiTheme="majorBidi" w:hAnsiTheme="majorBidi" w:cstheme="majorBidi"/>
          <w:sz w:val="24"/>
          <w:szCs w:val="24"/>
          <w:lang w:val="en-US"/>
        </w:rPr>
        <w:t>1</w:t>
      </w:r>
      <w:r w:rsidRPr="00E50F9D">
        <w:rPr>
          <w:rFonts w:asciiTheme="majorBidi" w:hAnsiTheme="majorBidi" w:cstheme="majorBidi"/>
          <w:sz w:val="24"/>
          <w:szCs w:val="24"/>
          <w:lang w:val="en-US"/>
        </w:rPr>
        <w:t xml:space="preserve">. </w:t>
      </w:r>
      <w:r w:rsidR="00372AB0" w:rsidRPr="00E50F9D">
        <w:rPr>
          <w:rFonts w:asciiTheme="majorBidi" w:hAnsiTheme="majorBidi" w:cstheme="majorBidi"/>
          <w:sz w:val="24"/>
          <w:szCs w:val="24"/>
          <w:lang w:val="en-US"/>
        </w:rPr>
        <w:t>The Italian banking market represents an ideal natural laboratory for our specific concerns</w:t>
      </w:r>
      <w:r w:rsidR="00F70CA7" w:rsidRPr="00E50F9D">
        <w:rPr>
          <w:rFonts w:asciiTheme="majorBidi" w:hAnsiTheme="majorBidi" w:cstheme="majorBidi"/>
          <w:sz w:val="24"/>
          <w:szCs w:val="24"/>
          <w:lang w:val="en-US"/>
        </w:rPr>
        <w:t xml:space="preserve"> and</w:t>
      </w:r>
      <w:r w:rsidR="00372AB0" w:rsidRPr="00E50F9D">
        <w:rPr>
          <w:rFonts w:asciiTheme="majorBidi" w:hAnsiTheme="majorBidi" w:cstheme="majorBidi"/>
          <w:sz w:val="24"/>
          <w:szCs w:val="24"/>
          <w:lang w:val="en-US"/>
        </w:rPr>
        <w:t xml:space="preserve"> for more than one reason. The first is that after the removal of legal restrictions to the opening of branches in 1990, the number of branches increased </w:t>
      </w:r>
      <w:r w:rsidR="00160618" w:rsidRPr="00E50F9D">
        <w:rPr>
          <w:rFonts w:asciiTheme="majorBidi" w:hAnsiTheme="majorBidi" w:cstheme="majorBidi"/>
          <w:sz w:val="24"/>
          <w:szCs w:val="24"/>
          <w:lang w:val="en-US"/>
        </w:rPr>
        <w:t>substantially</w:t>
      </w:r>
      <w:r w:rsidR="00372AB0" w:rsidRPr="00E50F9D">
        <w:rPr>
          <w:rFonts w:asciiTheme="majorBidi" w:hAnsiTheme="majorBidi" w:cstheme="majorBidi"/>
          <w:sz w:val="24"/>
          <w:szCs w:val="24"/>
          <w:lang w:val="en-US"/>
        </w:rPr>
        <w:t xml:space="preserve"> from 17,721 to 34,146 in 2008, while it </w:t>
      </w:r>
      <w:r w:rsidR="00372AB0" w:rsidRPr="00E50F9D">
        <w:rPr>
          <w:rFonts w:asciiTheme="majorBidi" w:hAnsiTheme="majorBidi" w:cstheme="majorBidi"/>
          <w:sz w:val="24"/>
          <w:szCs w:val="24"/>
          <w:lang w:val="en-US"/>
        </w:rPr>
        <w:lastRenderedPageBreak/>
        <w:t>decreased slightly to 32,881 in 2012, in line with other European market trends.</w:t>
      </w:r>
      <w:r w:rsidR="00F70CA7" w:rsidRPr="00E50F9D">
        <w:rPr>
          <w:rStyle w:val="EndnoteReference"/>
          <w:rFonts w:asciiTheme="majorBidi" w:hAnsiTheme="majorBidi" w:cstheme="majorBidi"/>
          <w:sz w:val="24"/>
          <w:szCs w:val="24"/>
          <w:lang w:val="en-US"/>
        </w:rPr>
        <w:endnoteReference w:id="1"/>
      </w:r>
      <w:r w:rsidR="00372AB0" w:rsidRPr="00E50F9D">
        <w:rPr>
          <w:rFonts w:asciiTheme="majorBidi" w:hAnsiTheme="majorBidi" w:cstheme="majorBidi"/>
          <w:sz w:val="24"/>
          <w:szCs w:val="24"/>
          <w:lang w:val="en-US"/>
        </w:rPr>
        <w:t xml:space="preserve"> This means that there </w:t>
      </w:r>
      <w:r w:rsidR="00F70CA7" w:rsidRPr="00E50F9D">
        <w:rPr>
          <w:rFonts w:asciiTheme="majorBidi" w:hAnsiTheme="majorBidi" w:cstheme="majorBidi"/>
          <w:sz w:val="24"/>
          <w:szCs w:val="24"/>
          <w:lang w:val="en-US"/>
        </w:rPr>
        <w:t>has been</w:t>
      </w:r>
      <w:r w:rsidR="00372AB0" w:rsidRPr="00E50F9D">
        <w:rPr>
          <w:rFonts w:asciiTheme="majorBidi" w:hAnsiTheme="majorBidi" w:cstheme="majorBidi"/>
          <w:sz w:val="24"/>
          <w:szCs w:val="24"/>
          <w:lang w:val="en-US"/>
        </w:rPr>
        <w:t xml:space="preserve"> consistent change in the geography of the </w:t>
      </w:r>
      <w:r w:rsidR="003C3350" w:rsidRPr="00E50F9D">
        <w:rPr>
          <w:rFonts w:asciiTheme="majorBidi" w:hAnsiTheme="majorBidi" w:cstheme="majorBidi"/>
          <w:sz w:val="24"/>
          <w:szCs w:val="24"/>
          <w:lang w:val="en-US"/>
        </w:rPr>
        <w:t xml:space="preserve">Italian </w:t>
      </w:r>
      <w:r w:rsidR="00372AB0" w:rsidRPr="00E50F9D">
        <w:rPr>
          <w:rFonts w:asciiTheme="majorBidi" w:hAnsiTheme="majorBidi" w:cstheme="majorBidi"/>
          <w:sz w:val="24"/>
          <w:szCs w:val="24"/>
          <w:lang w:val="en-US"/>
        </w:rPr>
        <w:t xml:space="preserve">banking system at the province level </w:t>
      </w:r>
      <w:r w:rsidR="00F70CA7" w:rsidRPr="00E50F9D">
        <w:rPr>
          <w:rFonts w:asciiTheme="majorBidi" w:hAnsiTheme="majorBidi" w:cstheme="majorBidi"/>
          <w:sz w:val="24"/>
          <w:szCs w:val="24"/>
          <w:lang w:val="en-US"/>
        </w:rPr>
        <w:t>since</w:t>
      </w:r>
      <w:r w:rsidR="0074422C" w:rsidRPr="00E50F9D">
        <w:rPr>
          <w:rFonts w:asciiTheme="majorBidi" w:hAnsiTheme="majorBidi" w:cstheme="majorBidi"/>
          <w:sz w:val="24"/>
          <w:szCs w:val="24"/>
          <w:lang w:val="en-US"/>
        </w:rPr>
        <w:t xml:space="preserve"> </w:t>
      </w:r>
      <w:r w:rsidR="00372AB0" w:rsidRPr="00E50F9D">
        <w:rPr>
          <w:rFonts w:asciiTheme="majorBidi" w:hAnsiTheme="majorBidi" w:cstheme="majorBidi"/>
          <w:sz w:val="24"/>
          <w:szCs w:val="24"/>
          <w:lang w:val="en-US"/>
        </w:rPr>
        <w:t xml:space="preserve">1990. </w:t>
      </w:r>
      <w:r w:rsidR="004D24D4" w:rsidRPr="00E50F9D">
        <w:rPr>
          <w:rFonts w:asciiTheme="majorBidi" w:hAnsiTheme="majorBidi" w:cstheme="majorBidi"/>
          <w:sz w:val="24"/>
          <w:szCs w:val="24"/>
          <w:lang w:val="en-US"/>
        </w:rPr>
        <w:t>Under</w:t>
      </w:r>
      <w:r w:rsidR="00372AB0" w:rsidRPr="00E50F9D">
        <w:rPr>
          <w:rFonts w:asciiTheme="majorBidi" w:hAnsiTheme="majorBidi" w:cstheme="majorBidi"/>
          <w:sz w:val="24"/>
          <w:szCs w:val="24"/>
          <w:lang w:val="en-US"/>
        </w:rPr>
        <w:t xml:space="preserve"> the 1936 banking law, lending activities of each bank were geographically restricted to a geographical area of competence. In addition, the law strongly limited the opening of new branches. As a co</w:t>
      </w:r>
      <w:r w:rsidR="004D24D4" w:rsidRPr="00E50F9D">
        <w:rPr>
          <w:rFonts w:asciiTheme="majorBidi" w:hAnsiTheme="majorBidi" w:cstheme="majorBidi"/>
          <w:sz w:val="24"/>
          <w:szCs w:val="24"/>
          <w:lang w:val="en-US"/>
        </w:rPr>
        <w:t xml:space="preserve">nsequence, the distribution of </w:t>
      </w:r>
      <w:r w:rsidR="00372AB0" w:rsidRPr="00E50F9D">
        <w:rPr>
          <w:rFonts w:asciiTheme="majorBidi" w:hAnsiTheme="majorBidi" w:cstheme="majorBidi"/>
          <w:sz w:val="24"/>
          <w:szCs w:val="24"/>
          <w:lang w:val="en-US"/>
        </w:rPr>
        <w:t>branches at the province level in 1990 was very similar to that in 1936 (</w:t>
      </w:r>
      <w:r w:rsidR="00160618" w:rsidRPr="00E50F9D">
        <w:rPr>
          <w:rFonts w:asciiTheme="majorBidi" w:hAnsiTheme="majorBidi" w:cstheme="majorBidi"/>
          <w:sz w:val="24"/>
          <w:szCs w:val="24"/>
          <w:lang w:val="en-US"/>
        </w:rPr>
        <w:t xml:space="preserve">Guiso et al., 2004; </w:t>
      </w:r>
      <w:r w:rsidR="00372AB0" w:rsidRPr="00E50F9D">
        <w:rPr>
          <w:rFonts w:asciiTheme="majorBidi" w:hAnsiTheme="majorBidi" w:cstheme="majorBidi"/>
          <w:sz w:val="24"/>
          <w:szCs w:val="24"/>
          <w:lang w:val="en-US"/>
        </w:rPr>
        <w:t>Minetti et al. 2015)</w:t>
      </w:r>
      <w:r w:rsidR="00D27C9E" w:rsidRPr="00E50F9D">
        <w:rPr>
          <w:rFonts w:asciiTheme="majorBidi" w:hAnsiTheme="majorBidi" w:cstheme="majorBidi"/>
          <w:sz w:val="24"/>
          <w:szCs w:val="24"/>
          <w:lang w:val="en-US"/>
        </w:rPr>
        <w:t>.</w:t>
      </w:r>
      <w:r w:rsidR="004D24D4" w:rsidRPr="00E50F9D">
        <w:rPr>
          <w:rFonts w:asciiTheme="majorBidi" w:hAnsiTheme="majorBidi" w:cstheme="majorBidi"/>
          <w:sz w:val="24"/>
          <w:szCs w:val="24"/>
          <w:lang w:val="en-US"/>
        </w:rPr>
        <w:t xml:space="preserve"> Thus,</w:t>
      </w:r>
      <w:r w:rsidR="00D27C9E" w:rsidRPr="00E50F9D">
        <w:rPr>
          <w:rFonts w:asciiTheme="majorBidi" w:hAnsiTheme="majorBidi" w:cstheme="majorBidi"/>
          <w:sz w:val="24"/>
          <w:szCs w:val="24"/>
          <w:lang w:val="en-US"/>
        </w:rPr>
        <w:t xml:space="preserve"> </w:t>
      </w:r>
      <w:r w:rsidR="004D24D4" w:rsidRPr="00E50F9D">
        <w:rPr>
          <w:rFonts w:ascii="Times New Roman" w:hAnsi="Times New Roman" w:cs="Times New Roman"/>
          <w:sz w:val="24"/>
          <w:szCs w:val="24"/>
        </w:rPr>
        <w:t>t</w:t>
      </w:r>
      <w:r w:rsidR="00D27C9E" w:rsidRPr="00E50F9D">
        <w:rPr>
          <w:rFonts w:ascii="Times New Roman" w:hAnsi="Times New Roman" w:cs="Times New Roman"/>
          <w:sz w:val="24"/>
          <w:szCs w:val="24"/>
        </w:rPr>
        <w:t>he liberalization process in 1990 represents the starting point of our analysis, which focuses on the changes of the geography and market structure of the banking system at the province level.</w:t>
      </w:r>
      <w:r w:rsidR="007D25F2" w:rsidRPr="00E50F9D">
        <w:rPr>
          <w:rFonts w:asciiTheme="majorBidi" w:hAnsiTheme="majorBidi" w:cstheme="majorBidi"/>
          <w:sz w:val="24"/>
          <w:szCs w:val="24"/>
          <w:lang w:val="en-US"/>
        </w:rPr>
        <w:t xml:space="preserve"> </w:t>
      </w:r>
      <w:r w:rsidR="00160618" w:rsidRPr="00E50F9D">
        <w:rPr>
          <w:rFonts w:asciiTheme="majorBidi" w:hAnsiTheme="majorBidi" w:cstheme="majorBidi"/>
          <w:sz w:val="24"/>
          <w:szCs w:val="24"/>
          <w:lang w:val="en-US"/>
        </w:rPr>
        <w:t>Next</w:t>
      </w:r>
      <w:r w:rsidRPr="00E50F9D">
        <w:rPr>
          <w:rFonts w:asciiTheme="majorBidi" w:hAnsiTheme="majorBidi" w:cstheme="majorBidi"/>
          <w:sz w:val="24"/>
          <w:szCs w:val="24"/>
          <w:lang w:val="en-US"/>
        </w:rPr>
        <w:t>, Italy is divided into 20 regions and 110 provinces that are characterized by different levels of productivity (the northern part of Italy is typically more developed than the other geographic</w:t>
      </w:r>
      <w:r w:rsidR="004D24D4" w:rsidRPr="00E50F9D">
        <w:rPr>
          <w:rFonts w:asciiTheme="majorBidi" w:hAnsiTheme="majorBidi" w:cstheme="majorBidi"/>
          <w:sz w:val="24"/>
          <w:szCs w:val="24"/>
          <w:lang w:val="en-US"/>
        </w:rPr>
        <w:t>al</w:t>
      </w:r>
      <w:r w:rsidRPr="00E50F9D">
        <w:rPr>
          <w:rFonts w:asciiTheme="majorBidi" w:hAnsiTheme="majorBidi" w:cstheme="majorBidi"/>
          <w:sz w:val="24"/>
          <w:szCs w:val="24"/>
          <w:lang w:val="en-US"/>
        </w:rPr>
        <w:t xml:space="preserve"> areas).</w:t>
      </w:r>
      <w:r w:rsidR="00160618" w:rsidRPr="00E50F9D">
        <w:rPr>
          <w:rFonts w:asciiTheme="majorBidi" w:hAnsiTheme="majorBidi" w:cstheme="majorBidi"/>
          <w:sz w:val="24"/>
          <w:szCs w:val="24"/>
          <w:lang w:val="en-US"/>
        </w:rPr>
        <w:t xml:space="preserve"> Therefore</w:t>
      </w:r>
      <w:r w:rsidR="00162993" w:rsidRPr="00E50F9D">
        <w:rPr>
          <w:rFonts w:asciiTheme="majorBidi" w:hAnsiTheme="majorBidi" w:cstheme="majorBidi"/>
          <w:sz w:val="24"/>
          <w:szCs w:val="24"/>
          <w:lang w:val="en-US"/>
        </w:rPr>
        <w:t xml:space="preserve">, </w:t>
      </w:r>
      <w:r w:rsidR="00160618" w:rsidRPr="00E50F9D">
        <w:rPr>
          <w:rFonts w:asciiTheme="majorBidi" w:hAnsiTheme="majorBidi" w:cstheme="majorBidi"/>
          <w:sz w:val="24"/>
          <w:szCs w:val="24"/>
          <w:lang w:val="en-US"/>
        </w:rPr>
        <w:t xml:space="preserve">we are able to examine the changes of </w:t>
      </w:r>
      <w:r w:rsidR="00696101" w:rsidRPr="00E50F9D">
        <w:rPr>
          <w:rFonts w:asciiTheme="majorBidi" w:hAnsiTheme="majorBidi" w:cstheme="majorBidi"/>
          <w:sz w:val="24"/>
          <w:szCs w:val="24"/>
          <w:lang w:val="en-US"/>
        </w:rPr>
        <w:t xml:space="preserve">the </w:t>
      </w:r>
      <w:r w:rsidR="00160618" w:rsidRPr="00E50F9D">
        <w:rPr>
          <w:rFonts w:asciiTheme="majorBidi" w:hAnsiTheme="majorBidi" w:cstheme="majorBidi"/>
          <w:sz w:val="24"/>
          <w:szCs w:val="24"/>
          <w:lang w:val="en-US"/>
        </w:rPr>
        <w:t>local banking structure in provinces with differen</w:t>
      </w:r>
      <w:r w:rsidR="00696101" w:rsidRPr="00E50F9D">
        <w:rPr>
          <w:rFonts w:asciiTheme="majorBidi" w:hAnsiTheme="majorBidi" w:cstheme="majorBidi"/>
          <w:sz w:val="24"/>
          <w:szCs w:val="24"/>
          <w:lang w:val="en-US"/>
        </w:rPr>
        <w:t>t</w:t>
      </w:r>
      <w:r w:rsidR="00160618" w:rsidRPr="00E50F9D">
        <w:rPr>
          <w:rFonts w:asciiTheme="majorBidi" w:hAnsiTheme="majorBidi" w:cstheme="majorBidi"/>
          <w:sz w:val="24"/>
          <w:szCs w:val="24"/>
          <w:lang w:val="en-US"/>
        </w:rPr>
        <w:t xml:space="preserve"> local economies.</w:t>
      </w:r>
      <w:r w:rsidRPr="00E50F9D">
        <w:rPr>
          <w:rFonts w:asciiTheme="majorBidi" w:hAnsiTheme="majorBidi" w:cstheme="majorBidi"/>
          <w:sz w:val="24"/>
          <w:szCs w:val="24"/>
          <w:lang w:val="en-US"/>
        </w:rPr>
        <w:t xml:space="preserve"> </w:t>
      </w:r>
      <w:r w:rsidR="00160618" w:rsidRPr="00E50F9D">
        <w:rPr>
          <w:rFonts w:asciiTheme="majorBidi" w:hAnsiTheme="majorBidi" w:cstheme="majorBidi"/>
          <w:sz w:val="24"/>
          <w:szCs w:val="24"/>
          <w:lang w:val="en-US"/>
        </w:rPr>
        <w:t>Finally</w:t>
      </w:r>
      <w:r w:rsidRPr="00E50F9D">
        <w:rPr>
          <w:rFonts w:asciiTheme="majorBidi" w:hAnsiTheme="majorBidi" w:cstheme="majorBidi"/>
          <w:sz w:val="24"/>
          <w:szCs w:val="24"/>
          <w:lang w:val="en-US"/>
        </w:rPr>
        <w:t xml:space="preserve">, the Italian banking system consists of a combination of local and large/interregional banks, as is the </w:t>
      </w:r>
      <w:r w:rsidR="00810C6D" w:rsidRPr="00E50F9D">
        <w:rPr>
          <w:rFonts w:asciiTheme="majorBidi" w:hAnsiTheme="majorBidi" w:cstheme="majorBidi"/>
          <w:sz w:val="24"/>
          <w:szCs w:val="24"/>
          <w:lang w:val="en-US"/>
        </w:rPr>
        <w:t>case</w:t>
      </w:r>
      <w:r w:rsidRPr="00E50F9D">
        <w:rPr>
          <w:rFonts w:asciiTheme="majorBidi" w:hAnsiTheme="majorBidi" w:cstheme="majorBidi"/>
          <w:sz w:val="24"/>
          <w:szCs w:val="24"/>
          <w:lang w:val="en-US"/>
        </w:rPr>
        <w:t xml:space="preserve"> in other European Countries (</w:t>
      </w:r>
      <w:r w:rsidR="004A3CE4" w:rsidRPr="00E50F9D">
        <w:rPr>
          <w:rFonts w:asciiTheme="majorBidi" w:hAnsiTheme="majorBidi" w:cstheme="majorBidi"/>
          <w:sz w:val="24"/>
          <w:szCs w:val="24"/>
          <w:lang w:val="en-US"/>
        </w:rPr>
        <w:t>for example</w:t>
      </w:r>
      <w:r w:rsidRPr="00E50F9D">
        <w:rPr>
          <w:rFonts w:asciiTheme="majorBidi" w:hAnsiTheme="majorBidi" w:cstheme="majorBidi"/>
          <w:sz w:val="24"/>
          <w:szCs w:val="24"/>
          <w:lang w:val="en-US"/>
        </w:rPr>
        <w:t xml:space="preserve"> Germany).</w:t>
      </w:r>
      <w:r w:rsidR="000B18C0" w:rsidRPr="00E50F9D">
        <w:rPr>
          <w:rStyle w:val="EndnoteReference"/>
          <w:rFonts w:asciiTheme="majorBidi" w:hAnsiTheme="majorBidi" w:cstheme="majorBidi"/>
          <w:sz w:val="24"/>
          <w:szCs w:val="24"/>
          <w:lang w:val="en-US"/>
        </w:rPr>
        <w:endnoteReference w:id="2"/>
      </w:r>
      <w:r w:rsidRPr="00E50F9D">
        <w:rPr>
          <w:rFonts w:asciiTheme="majorBidi" w:hAnsiTheme="majorBidi" w:cstheme="majorBidi"/>
          <w:sz w:val="24"/>
          <w:szCs w:val="24"/>
          <w:lang w:val="en-US"/>
        </w:rPr>
        <w:t xml:space="preserve"> </w:t>
      </w:r>
      <w:r w:rsidR="00160618" w:rsidRPr="00E50F9D">
        <w:rPr>
          <w:rFonts w:asciiTheme="majorBidi" w:hAnsiTheme="majorBidi" w:cstheme="majorBidi"/>
          <w:sz w:val="24"/>
          <w:szCs w:val="24"/>
          <w:lang w:val="en-US"/>
        </w:rPr>
        <w:t xml:space="preserve"> This allows us to </w:t>
      </w:r>
      <w:r w:rsidR="00162993" w:rsidRPr="00E50F9D">
        <w:rPr>
          <w:rFonts w:asciiTheme="majorBidi" w:hAnsiTheme="majorBidi" w:cstheme="majorBidi"/>
          <w:sz w:val="24"/>
          <w:szCs w:val="24"/>
          <w:lang w:val="en-US"/>
        </w:rPr>
        <w:t>investigate</w:t>
      </w:r>
      <w:r w:rsidR="00E92897" w:rsidRPr="00E50F9D">
        <w:rPr>
          <w:rFonts w:asciiTheme="majorBidi" w:hAnsiTheme="majorBidi" w:cstheme="majorBidi"/>
          <w:sz w:val="24"/>
          <w:szCs w:val="24"/>
          <w:lang w:val="en-US"/>
        </w:rPr>
        <w:t xml:space="preserve"> </w:t>
      </w:r>
      <w:r w:rsidR="00160618" w:rsidRPr="00E50F9D">
        <w:rPr>
          <w:rFonts w:asciiTheme="majorBidi" w:hAnsiTheme="majorBidi" w:cstheme="majorBidi"/>
          <w:sz w:val="24"/>
          <w:szCs w:val="24"/>
          <w:lang w:val="en-US"/>
        </w:rPr>
        <w:t xml:space="preserve">the effect of the entrance of large banks in each local market on the performance, lending and funding strategies </w:t>
      </w:r>
      <w:r w:rsidR="00162993" w:rsidRPr="00E50F9D">
        <w:rPr>
          <w:rFonts w:asciiTheme="majorBidi" w:hAnsiTheme="majorBidi" w:cstheme="majorBidi"/>
          <w:sz w:val="24"/>
          <w:szCs w:val="24"/>
          <w:lang w:val="en-US"/>
        </w:rPr>
        <w:t>on different type</w:t>
      </w:r>
      <w:r w:rsidR="00696101" w:rsidRPr="00E50F9D">
        <w:rPr>
          <w:rFonts w:asciiTheme="majorBidi" w:hAnsiTheme="majorBidi" w:cstheme="majorBidi"/>
          <w:sz w:val="24"/>
          <w:szCs w:val="24"/>
          <w:lang w:val="en-US"/>
        </w:rPr>
        <w:t>s</w:t>
      </w:r>
      <w:r w:rsidR="00162993" w:rsidRPr="00E50F9D">
        <w:rPr>
          <w:rFonts w:asciiTheme="majorBidi" w:hAnsiTheme="majorBidi" w:cstheme="majorBidi"/>
          <w:sz w:val="24"/>
          <w:szCs w:val="24"/>
          <w:lang w:val="en-US"/>
        </w:rPr>
        <w:t xml:space="preserve"> of banks, </w:t>
      </w:r>
      <w:r w:rsidR="005067D8" w:rsidRPr="00E50F9D">
        <w:rPr>
          <w:rFonts w:asciiTheme="majorBidi" w:hAnsiTheme="majorBidi" w:cstheme="majorBidi"/>
          <w:sz w:val="24"/>
          <w:szCs w:val="24"/>
          <w:lang w:val="en-US"/>
        </w:rPr>
        <w:t>for example</w:t>
      </w:r>
      <w:r w:rsidR="00696101" w:rsidRPr="00E50F9D">
        <w:rPr>
          <w:rFonts w:asciiTheme="majorBidi" w:hAnsiTheme="majorBidi" w:cstheme="majorBidi"/>
          <w:sz w:val="24"/>
          <w:szCs w:val="24"/>
          <w:lang w:val="en-US"/>
        </w:rPr>
        <w:t xml:space="preserve"> </w:t>
      </w:r>
      <w:r w:rsidR="00162993" w:rsidRPr="00E50F9D">
        <w:rPr>
          <w:rFonts w:asciiTheme="majorBidi" w:hAnsiTheme="majorBidi" w:cstheme="majorBidi"/>
          <w:sz w:val="24"/>
          <w:szCs w:val="24"/>
          <w:lang w:val="en-US"/>
        </w:rPr>
        <w:t>large and</w:t>
      </w:r>
      <w:r w:rsidR="00160618" w:rsidRPr="00E50F9D">
        <w:rPr>
          <w:rFonts w:asciiTheme="majorBidi" w:hAnsiTheme="majorBidi" w:cstheme="majorBidi"/>
          <w:sz w:val="24"/>
          <w:szCs w:val="24"/>
          <w:lang w:val="en-US"/>
        </w:rPr>
        <w:t xml:space="preserve"> local </w:t>
      </w:r>
      <w:r w:rsidR="00162993" w:rsidRPr="00E50F9D">
        <w:rPr>
          <w:rFonts w:asciiTheme="majorBidi" w:hAnsiTheme="majorBidi" w:cstheme="majorBidi"/>
          <w:sz w:val="24"/>
          <w:szCs w:val="24"/>
          <w:lang w:val="en-US"/>
        </w:rPr>
        <w:t>ones</w:t>
      </w:r>
      <w:r w:rsidR="00160618" w:rsidRPr="00E50F9D">
        <w:rPr>
          <w:rFonts w:asciiTheme="majorBidi" w:hAnsiTheme="majorBidi" w:cstheme="majorBidi"/>
          <w:sz w:val="24"/>
          <w:szCs w:val="24"/>
          <w:lang w:val="en-US"/>
        </w:rPr>
        <w:t>.</w:t>
      </w:r>
    </w:p>
    <w:p w14:paraId="67D19289" w14:textId="3BEE8C73" w:rsidR="00852367" w:rsidRPr="00E50F9D" w:rsidRDefault="00852367" w:rsidP="001634B3">
      <w:pPr>
        <w:autoSpaceDE w:val="0"/>
        <w:autoSpaceDN w:val="0"/>
        <w:adjustRightInd w:val="0"/>
        <w:spacing w:after="0" w:line="480" w:lineRule="auto"/>
        <w:ind w:firstLine="567"/>
        <w:jc w:val="both"/>
        <w:rPr>
          <w:rFonts w:asciiTheme="majorBidi" w:hAnsiTheme="majorBidi" w:cstheme="majorBidi"/>
          <w:sz w:val="24"/>
          <w:szCs w:val="24"/>
          <w:lang w:val="en-US"/>
        </w:rPr>
      </w:pPr>
      <w:r w:rsidRPr="00E50F9D">
        <w:rPr>
          <w:rFonts w:asciiTheme="majorBidi" w:hAnsiTheme="majorBidi" w:cstheme="majorBidi"/>
          <w:sz w:val="24"/>
          <w:szCs w:val="24"/>
          <w:lang w:val="en-US"/>
        </w:rPr>
        <w:t>The principal findings are as follows</w:t>
      </w:r>
      <w:r w:rsidR="001F31F6" w:rsidRPr="00E50F9D">
        <w:rPr>
          <w:rFonts w:asciiTheme="majorBidi" w:hAnsiTheme="majorBidi" w:cstheme="majorBidi"/>
          <w:sz w:val="24"/>
          <w:szCs w:val="24"/>
          <w:lang w:val="en-US"/>
        </w:rPr>
        <w:t>:</w:t>
      </w:r>
      <w:r w:rsidRPr="00E50F9D">
        <w:rPr>
          <w:rFonts w:asciiTheme="majorBidi" w:hAnsiTheme="majorBidi" w:cstheme="majorBidi"/>
          <w:sz w:val="24"/>
          <w:szCs w:val="24"/>
          <w:lang w:val="en-US"/>
        </w:rPr>
        <w:t xml:space="preserve"> geographic </w:t>
      </w:r>
      <w:r w:rsidR="00A829BF" w:rsidRPr="00E50F9D">
        <w:rPr>
          <w:rFonts w:asciiTheme="majorBidi" w:hAnsiTheme="majorBidi" w:cstheme="majorBidi"/>
          <w:sz w:val="24"/>
          <w:szCs w:val="24"/>
          <w:lang w:val="en-US"/>
        </w:rPr>
        <w:t>diversification strategies</w:t>
      </w:r>
      <w:r w:rsidR="006E261B" w:rsidRPr="00E50F9D">
        <w:rPr>
          <w:rFonts w:asciiTheme="majorBidi" w:hAnsiTheme="majorBidi" w:cstheme="majorBidi"/>
          <w:sz w:val="24"/>
          <w:szCs w:val="24"/>
          <w:lang w:val="en-US"/>
        </w:rPr>
        <w:t>, and in particular the distance between a bank’s headquarter</w:t>
      </w:r>
      <w:r w:rsidR="00A829BF" w:rsidRPr="00E50F9D">
        <w:rPr>
          <w:rFonts w:asciiTheme="majorBidi" w:hAnsiTheme="majorBidi" w:cstheme="majorBidi"/>
          <w:sz w:val="24"/>
          <w:szCs w:val="24"/>
          <w:lang w:val="en-US"/>
        </w:rPr>
        <w:t>s</w:t>
      </w:r>
      <w:r w:rsidR="006E261B" w:rsidRPr="00E50F9D">
        <w:rPr>
          <w:rFonts w:asciiTheme="majorBidi" w:hAnsiTheme="majorBidi" w:cstheme="majorBidi"/>
          <w:sz w:val="24"/>
          <w:szCs w:val="24"/>
          <w:lang w:val="en-US"/>
        </w:rPr>
        <w:t xml:space="preserve"> and its branches,</w:t>
      </w:r>
      <w:r w:rsidR="00313484" w:rsidRPr="00E50F9D">
        <w:rPr>
          <w:rFonts w:asciiTheme="majorBidi" w:hAnsiTheme="majorBidi" w:cstheme="majorBidi"/>
          <w:sz w:val="24"/>
          <w:szCs w:val="24"/>
          <w:lang w:val="en-US"/>
        </w:rPr>
        <w:t xml:space="preserve"> appear to </w:t>
      </w:r>
      <w:r w:rsidR="00C47B4D" w:rsidRPr="00E50F9D">
        <w:rPr>
          <w:rFonts w:asciiTheme="majorBidi" w:hAnsiTheme="majorBidi" w:cstheme="majorBidi"/>
          <w:sz w:val="24"/>
          <w:szCs w:val="24"/>
          <w:lang w:val="en-US"/>
        </w:rPr>
        <w:t xml:space="preserve">reduce </w:t>
      </w:r>
      <w:r w:rsidR="00313484" w:rsidRPr="00E50F9D">
        <w:rPr>
          <w:rFonts w:asciiTheme="majorBidi" w:hAnsiTheme="majorBidi" w:cstheme="majorBidi"/>
          <w:sz w:val="24"/>
          <w:szCs w:val="24"/>
          <w:lang w:val="en-US"/>
        </w:rPr>
        <w:t>the</w:t>
      </w:r>
      <w:r w:rsidRPr="00E50F9D">
        <w:rPr>
          <w:rFonts w:asciiTheme="majorBidi" w:hAnsiTheme="majorBidi" w:cstheme="majorBidi"/>
          <w:sz w:val="24"/>
          <w:szCs w:val="24"/>
          <w:lang w:val="en-US"/>
        </w:rPr>
        <w:t xml:space="preserve"> </w:t>
      </w:r>
      <w:r w:rsidR="00AF6265" w:rsidRPr="00E50F9D">
        <w:rPr>
          <w:rFonts w:asciiTheme="majorBidi" w:hAnsiTheme="majorBidi" w:cstheme="majorBidi"/>
          <w:sz w:val="24"/>
          <w:szCs w:val="24"/>
          <w:lang w:val="en-US"/>
        </w:rPr>
        <w:t xml:space="preserve">performance and </w:t>
      </w:r>
      <w:r w:rsidR="00313484" w:rsidRPr="00E50F9D">
        <w:rPr>
          <w:rFonts w:asciiTheme="majorBidi" w:hAnsiTheme="majorBidi" w:cstheme="majorBidi"/>
          <w:sz w:val="24"/>
          <w:szCs w:val="24"/>
          <w:lang w:val="en-US"/>
        </w:rPr>
        <w:t>efficiency-adjusted Lerner index</w:t>
      </w:r>
      <w:r w:rsidR="00372AB0" w:rsidRPr="00E50F9D">
        <w:rPr>
          <w:rFonts w:asciiTheme="majorBidi" w:hAnsiTheme="majorBidi" w:cstheme="majorBidi"/>
          <w:sz w:val="24"/>
          <w:szCs w:val="24"/>
          <w:lang w:val="en-US"/>
        </w:rPr>
        <w:t xml:space="preserve">. </w:t>
      </w:r>
      <w:r w:rsidR="00B43E26" w:rsidRPr="00E50F9D">
        <w:rPr>
          <w:rFonts w:asciiTheme="majorBidi" w:hAnsiTheme="majorBidi" w:cstheme="majorBidi"/>
          <w:sz w:val="24"/>
          <w:szCs w:val="24"/>
          <w:lang w:val="en-US"/>
        </w:rPr>
        <w:t xml:space="preserve">Banks that are more geographically diversified </w:t>
      </w:r>
      <w:r w:rsidR="006E261B" w:rsidRPr="00E50F9D">
        <w:rPr>
          <w:rFonts w:asciiTheme="majorBidi" w:hAnsiTheme="majorBidi" w:cstheme="majorBidi"/>
          <w:sz w:val="24"/>
          <w:szCs w:val="24"/>
          <w:lang w:val="en-US"/>
        </w:rPr>
        <w:t>in terms of distan</w:t>
      </w:r>
      <w:r w:rsidR="00A829BF" w:rsidRPr="00E50F9D">
        <w:rPr>
          <w:rFonts w:asciiTheme="majorBidi" w:hAnsiTheme="majorBidi" w:cstheme="majorBidi"/>
          <w:sz w:val="24"/>
          <w:szCs w:val="24"/>
          <w:lang w:val="en-US"/>
        </w:rPr>
        <w:t xml:space="preserve">ce between </w:t>
      </w:r>
      <w:r w:rsidR="006E261B" w:rsidRPr="00E50F9D">
        <w:rPr>
          <w:rFonts w:asciiTheme="majorBidi" w:hAnsiTheme="majorBidi" w:cstheme="majorBidi"/>
          <w:sz w:val="24"/>
          <w:szCs w:val="24"/>
          <w:lang w:val="en-US"/>
        </w:rPr>
        <w:t>headquarter</w:t>
      </w:r>
      <w:r w:rsidR="00A829BF" w:rsidRPr="00E50F9D">
        <w:rPr>
          <w:rFonts w:asciiTheme="majorBidi" w:hAnsiTheme="majorBidi" w:cstheme="majorBidi"/>
          <w:sz w:val="24"/>
          <w:szCs w:val="24"/>
          <w:lang w:val="en-US"/>
        </w:rPr>
        <w:t xml:space="preserve">s and </w:t>
      </w:r>
      <w:r w:rsidR="006E261B" w:rsidRPr="00E50F9D">
        <w:rPr>
          <w:rFonts w:asciiTheme="majorBidi" w:hAnsiTheme="majorBidi" w:cstheme="majorBidi"/>
          <w:sz w:val="24"/>
          <w:szCs w:val="24"/>
          <w:lang w:val="en-US"/>
        </w:rPr>
        <w:t xml:space="preserve">branches </w:t>
      </w:r>
      <w:r w:rsidR="00B43E26" w:rsidRPr="00E50F9D">
        <w:rPr>
          <w:rFonts w:asciiTheme="majorBidi" w:hAnsiTheme="majorBidi" w:cstheme="majorBidi"/>
          <w:sz w:val="24"/>
          <w:szCs w:val="24"/>
          <w:lang w:val="en-US"/>
        </w:rPr>
        <w:t xml:space="preserve">tend to experience a </w:t>
      </w:r>
      <w:r w:rsidR="009512DA" w:rsidRPr="00E50F9D">
        <w:rPr>
          <w:rFonts w:asciiTheme="majorBidi" w:hAnsiTheme="majorBidi" w:cstheme="majorBidi"/>
          <w:sz w:val="24"/>
          <w:szCs w:val="24"/>
          <w:lang w:val="en-US"/>
        </w:rPr>
        <w:t>lower</w:t>
      </w:r>
      <w:r w:rsidR="00B43E26" w:rsidRPr="00E50F9D">
        <w:rPr>
          <w:rFonts w:asciiTheme="majorBidi" w:hAnsiTheme="majorBidi" w:cstheme="majorBidi"/>
          <w:sz w:val="24"/>
          <w:szCs w:val="24"/>
          <w:lang w:val="en-US"/>
        </w:rPr>
        <w:t xml:space="preserve"> increase in their loan volume</w:t>
      </w:r>
      <w:r w:rsidR="00A829BF" w:rsidRPr="00E50F9D">
        <w:rPr>
          <w:rFonts w:asciiTheme="majorBidi" w:hAnsiTheme="majorBidi" w:cstheme="majorBidi"/>
          <w:sz w:val="24"/>
          <w:szCs w:val="24"/>
          <w:lang w:val="en-US"/>
        </w:rPr>
        <w:t>s</w:t>
      </w:r>
      <w:r w:rsidR="00B43E26" w:rsidRPr="00E50F9D">
        <w:rPr>
          <w:rFonts w:asciiTheme="majorBidi" w:hAnsiTheme="majorBidi" w:cstheme="majorBidi"/>
          <w:sz w:val="24"/>
          <w:szCs w:val="24"/>
          <w:lang w:val="en-US"/>
        </w:rPr>
        <w:t xml:space="preserve">. </w:t>
      </w:r>
      <w:r w:rsidR="00F70CA7" w:rsidRPr="00E50F9D">
        <w:rPr>
          <w:rFonts w:asciiTheme="majorBidi" w:hAnsiTheme="majorBidi" w:cstheme="majorBidi"/>
          <w:sz w:val="24"/>
          <w:szCs w:val="24"/>
          <w:lang w:val="en-US"/>
        </w:rPr>
        <w:t>In addition, o</w:t>
      </w:r>
      <w:r w:rsidR="00B43E26" w:rsidRPr="00E50F9D">
        <w:rPr>
          <w:rFonts w:asciiTheme="majorBidi" w:hAnsiTheme="majorBidi" w:cstheme="majorBidi"/>
          <w:sz w:val="24"/>
          <w:szCs w:val="24"/>
          <w:lang w:val="en-US"/>
        </w:rPr>
        <w:t xml:space="preserve">ur results also suggest that a high </w:t>
      </w:r>
      <w:r w:rsidR="00F70CA7" w:rsidRPr="00E50F9D">
        <w:rPr>
          <w:rFonts w:asciiTheme="majorBidi" w:hAnsiTheme="majorBidi" w:cstheme="majorBidi"/>
          <w:sz w:val="24"/>
          <w:szCs w:val="24"/>
          <w:lang w:val="en-US"/>
        </w:rPr>
        <w:t>level</w:t>
      </w:r>
      <w:r w:rsidR="00B43E26" w:rsidRPr="00E50F9D">
        <w:rPr>
          <w:rFonts w:asciiTheme="majorBidi" w:hAnsiTheme="majorBidi" w:cstheme="majorBidi"/>
          <w:sz w:val="24"/>
          <w:szCs w:val="24"/>
          <w:lang w:val="en-US"/>
        </w:rPr>
        <w:t xml:space="preserve"> of</w:t>
      </w:r>
      <w:r w:rsidR="00F70CA7" w:rsidRPr="00E50F9D">
        <w:rPr>
          <w:rFonts w:asciiTheme="majorBidi" w:hAnsiTheme="majorBidi" w:cstheme="majorBidi"/>
          <w:sz w:val="24"/>
          <w:szCs w:val="24"/>
          <w:lang w:val="en-US"/>
        </w:rPr>
        <w:t xml:space="preserve"> bank</w:t>
      </w:r>
      <w:r w:rsidR="00B43E26" w:rsidRPr="00E50F9D">
        <w:rPr>
          <w:rFonts w:asciiTheme="majorBidi" w:hAnsiTheme="majorBidi" w:cstheme="majorBidi"/>
          <w:sz w:val="24"/>
          <w:szCs w:val="24"/>
          <w:lang w:val="en-US"/>
        </w:rPr>
        <w:t xml:space="preserve"> equity can </w:t>
      </w:r>
      <w:r w:rsidR="009512DA" w:rsidRPr="00E50F9D">
        <w:rPr>
          <w:rFonts w:asciiTheme="majorBidi" w:hAnsiTheme="majorBidi" w:cstheme="majorBidi"/>
          <w:sz w:val="24"/>
          <w:szCs w:val="24"/>
          <w:lang w:val="en-US"/>
        </w:rPr>
        <w:t>enhance</w:t>
      </w:r>
      <w:r w:rsidR="004D24D4" w:rsidRPr="00E50F9D">
        <w:rPr>
          <w:rFonts w:asciiTheme="majorBidi" w:hAnsiTheme="majorBidi" w:cstheme="majorBidi"/>
          <w:sz w:val="24"/>
          <w:szCs w:val="24"/>
          <w:lang w:val="en-US"/>
        </w:rPr>
        <w:t xml:space="preserve"> bank</w:t>
      </w:r>
      <w:r w:rsidR="00B43E26" w:rsidRPr="00E50F9D">
        <w:rPr>
          <w:rFonts w:asciiTheme="majorBidi" w:hAnsiTheme="majorBidi" w:cstheme="majorBidi"/>
          <w:sz w:val="24"/>
          <w:szCs w:val="24"/>
          <w:lang w:val="en-US"/>
        </w:rPr>
        <w:t xml:space="preserve"> lending activities</w:t>
      </w:r>
      <w:r w:rsidR="009512DA" w:rsidRPr="00E50F9D">
        <w:rPr>
          <w:rFonts w:asciiTheme="majorBidi" w:hAnsiTheme="majorBidi" w:cstheme="majorBidi"/>
          <w:sz w:val="24"/>
          <w:szCs w:val="24"/>
          <w:lang w:val="en-US"/>
        </w:rPr>
        <w:t>, but harm</w:t>
      </w:r>
      <w:r w:rsidR="00F70CA7" w:rsidRPr="00E50F9D">
        <w:rPr>
          <w:rFonts w:asciiTheme="majorBidi" w:hAnsiTheme="majorBidi" w:cstheme="majorBidi"/>
          <w:sz w:val="24"/>
          <w:szCs w:val="24"/>
          <w:lang w:val="en-US"/>
        </w:rPr>
        <w:t xml:space="preserve"> </w:t>
      </w:r>
      <w:r w:rsidR="006E261B" w:rsidRPr="00E50F9D">
        <w:rPr>
          <w:rFonts w:asciiTheme="majorBidi" w:hAnsiTheme="majorBidi" w:cstheme="majorBidi"/>
          <w:sz w:val="24"/>
          <w:szCs w:val="24"/>
          <w:lang w:val="en-US"/>
        </w:rPr>
        <w:t>monopoly market power in the loan market</w:t>
      </w:r>
      <w:r w:rsidR="003C3350" w:rsidRPr="00E50F9D">
        <w:rPr>
          <w:rFonts w:asciiTheme="majorBidi" w:hAnsiTheme="majorBidi" w:cstheme="majorBidi"/>
          <w:sz w:val="24"/>
          <w:szCs w:val="24"/>
          <w:lang w:val="en-US"/>
        </w:rPr>
        <w:t xml:space="preserve"> and deposit market</w:t>
      </w:r>
      <w:r w:rsidR="00B43E26" w:rsidRPr="00E50F9D">
        <w:rPr>
          <w:rFonts w:asciiTheme="majorBidi" w:hAnsiTheme="majorBidi" w:cstheme="majorBidi"/>
          <w:sz w:val="24"/>
          <w:szCs w:val="24"/>
          <w:lang w:val="en-US"/>
        </w:rPr>
        <w:t xml:space="preserve">. </w:t>
      </w:r>
      <w:r w:rsidR="00373804" w:rsidRPr="00E50F9D">
        <w:rPr>
          <w:rFonts w:asciiTheme="majorBidi" w:hAnsiTheme="majorBidi" w:cstheme="majorBidi"/>
          <w:sz w:val="24"/>
          <w:szCs w:val="24"/>
          <w:lang w:val="en-US"/>
        </w:rPr>
        <w:t xml:space="preserve">Finally, a </w:t>
      </w:r>
      <w:r w:rsidRPr="00E50F9D">
        <w:rPr>
          <w:rFonts w:asciiTheme="majorBidi" w:hAnsiTheme="majorBidi" w:cstheme="majorBidi"/>
          <w:sz w:val="24"/>
          <w:szCs w:val="24"/>
          <w:lang w:val="en-US"/>
        </w:rPr>
        <w:t xml:space="preserve">high presence of medium </w:t>
      </w:r>
      <w:r w:rsidR="00C51B5F" w:rsidRPr="00E50F9D">
        <w:rPr>
          <w:rFonts w:asciiTheme="majorBidi" w:hAnsiTheme="majorBidi" w:cstheme="majorBidi"/>
          <w:sz w:val="24"/>
          <w:szCs w:val="24"/>
          <w:lang w:val="en-US"/>
        </w:rPr>
        <w:t xml:space="preserve">and large </w:t>
      </w:r>
      <w:r w:rsidRPr="00E50F9D">
        <w:rPr>
          <w:rFonts w:asciiTheme="majorBidi" w:hAnsiTheme="majorBidi" w:cstheme="majorBidi"/>
          <w:sz w:val="24"/>
          <w:szCs w:val="24"/>
          <w:lang w:val="en-US"/>
        </w:rPr>
        <w:t xml:space="preserve">banks in a </w:t>
      </w:r>
      <w:r w:rsidR="006E261B" w:rsidRPr="00E50F9D">
        <w:rPr>
          <w:rFonts w:asciiTheme="majorBidi" w:hAnsiTheme="majorBidi" w:cstheme="majorBidi"/>
          <w:sz w:val="24"/>
          <w:szCs w:val="24"/>
          <w:lang w:val="en-US"/>
        </w:rPr>
        <w:t>concentrated</w:t>
      </w:r>
      <w:r w:rsidRPr="00E50F9D">
        <w:rPr>
          <w:rFonts w:asciiTheme="majorBidi" w:hAnsiTheme="majorBidi" w:cstheme="majorBidi"/>
          <w:sz w:val="24"/>
          <w:szCs w:val="24"/>
          <w:lang w:val="en-US"/>
        </w:rPr>
        <w:t xml:space="preserve"> market </w:t>
      </w:r>
      <w:r w:rsidR="00A9110B" w:rsidRPr="00E50F9D">
        <w:rPr>
          <w:rFonts w:asciiTheme="majorBidi" w:hAnsiTheme="majorBidi" w:cstheme="majorBidi"/>
          <w:sz w:val="24"/>
          <w:szCs w:val="24"/>
          <w:lang w:val="en-US"/>
        </w:rPr>
        <w:t>appear</w:t>
      </w:r>
      <w:r w:rsidR="00A829BF" w:rsidRPr="00E50F9D">
        <w:rPr>
          <w:rFonts w:asciiTheme="majorBidi" w:hAnsiTheme="majorBidi" w:cstheme="majorBidi"/>
          <w:sz w:val="24"/>
          <w:szCs w:val="24"/>
          <w:lang w:val="en-US"/>
        </w:rPr>
        <w:t>s</w:t>
      </w:r>
      <w:r w:rsidR="00313484" w:rsidRPr="00E50F9D">
        <w:rPr>
          <w:rFonts w:asciiTheme="majorBidi" w:hAnsiTheme="majorBidi" w:cstheme="majorBidi"/>
          <w:sz w:val="24"/>
          <w:szCs w:val="24"/>
          <w:lang w:val="en-US"/>
        </w:rPr>
        <w:t xml:space="preserve"> </w:t>
      </w:r>
      <w:r w:rsidRPr="00E50F9D">
        <w:rPr>
          <w:rFonts w:asciiTheme="majorBidi" w:hAnsiTheme="majorBidi" w:cstheme="majorBidi"/>
          <w:sz w:val="24"/>
          <w:szCs w:val="24"/>
          <w:lang w:val="en-US"/>
        </w:rPr>
        <w:t xml:space="preserve">to </w:t>
      </w:r>
      <w:r w:rsidR="006E261B" w:rsidRPr="00E50F9D">
        <w:rPr>
          <w:rFonts w:asciiTheme="majorBidi" w:hAnsiTheme="majorBidi" w:cstheme="majorBidi"/>
          <w:sz w:val="24"/>
          <w:szCs w:val="24"/>
          <w:lang w:val="en-US"/>
        </w:rPr>
        <w:t>enhance</w:t>
      </w:r>
      <w:r w:rsidR="00373804" w:rsidRPr="00E50F9D">
        <w:rPr>
          <w:rFonts w:asciiTheme="majorBidi" w:hAnsiTheme="majorBidi" w:cstheme="majorBidi"/>
          <w:sz w:val="24"/>
          <w:szCs w:val="24"/>
          <w:lang w:val="en-US"/>
        </w:rPr>
        <w:t xml:space="preserve"> </w:t>
      </w:r>
      <w:r w:rsidRPr="00E50F9D">
        <w:rPr>
          <w:rFonts w:asciiTheme="majorBidi" w:hAnsiTheme="majorBidi" w:cstheme="majorBidi"/>
          <w:sz w:val="24"/>
          <w:szCs w:val="24"/>
          <w:lang w:val="en-US"/>
        </w:rPr>
        <w:t xml:space="preserve">the </w:t>
      </w:r>
      <w:r w:rsidR="00A9110B" w:rsidRPr="00E50F9D">
        <w:rPr>
          <w:rFonts w:asciiTheme="majorBidi" w:hAnsiTheme="majorBidi" w:cstheme="majorBidi"/>
          <w:sz w:val="24"/>
          <w:szCs w:val="24"/>
          <w:lang w:val="en-US"/>
        </w:rPr>
        <w:t xml:space="preserve">performance </w:t>
      </w:r>
      <w:r w:rsidR="006E261B" w:rsidRPr="00E50F9D">
        <w:rPr>
          <w:rFonts w:asciiTheme="majorBidi" w:hAnsiTheme="majorBidi" w:cstheme="majorBidi"/>
          <w:sz w:val="24"/>
          <w:szCs w:val="24"/>
          <w:lang w:val="en-US"/>
        </w:rPr>
        <w:t>of</w:t>
      </w:r>
      <w:r w:rsidRPr="00E50F9D">
        <w:rPr>
          <w:rFonts w:asciiTheme="majorBidi" w:hAnsiTheme="majorBidi" w:cstheme="majorBidi"/>
          <w:sz w:val="24"/>
          <w:szCs w:val="24"/>
          <w:lang w:val="en-US"/>
        </w:rPr>
        <w:t xml:space="preserve"> single-market bank</w:t>
      </w:r>
      <w:r w:rsidR="006E261B" w:rsidRPr="00E50F9D">
        <w:rPr>
          <w:rFonts w:asciiTheme="majorBidi" w:hAnsiTheme="majorBidi" w:cstheme="majorBidi"/>
          <w:sz w:val="24"/>
          <w:szCs w:val="24"/>
          <w:lang w:val="en-US"/>
        </w:rPr>
        <w:t>s, but at the same time reduce</w:t>
      </w:r>
      <w:r w:rsidR="00A829BF" w:rsidRPr="00E50F9D">
        <w:rPr>
          <w:rFonts w:asciiTheme="majorBidi" w:hAnsiTheme="majorBidi" w:cstheme="majorBidi"/>
          <w:sz w:val="24"/>
          <w:szCs w:val="24"/>
          <w:lang w:val="en-US"/>
        </w:rPr>
        <w:t>s</w:t>
      </w:r>
      <w:r w:rsidR="006E261B" w:rsidRPr="00E50F9D">
        <w:rPr>
          <w:rFonts w:asciiTheme="majorBidi" w:hAnsiTheme="majorBidi" w:cstheme="majorBidi"/>
          <w:sz w:val="24"/>
          <w:szCs w:val="24"/>
          <w:lang w:val="en-US"/>
        </w:rPr>
        <w:t xml:space="preserve"> their loans. I</w:t>
      </w:r>
      <w:r w:rsidR="004D24D4" w:rsidRPr="00E50F9D">
        <w:rPr>
          <w:rFonts w:asciiTheme="majorBidi" w:hAnsiTheme="majorBidi" w:cstheme="majorBidi"/>
          <w:sz w:val="24"/>
          <w:szCs w:val="24"/>
          <w:lang w:val="en-US"/>
        </w:rPr>
        <w:t>n addition</w:t>
      </w:r>
      <w:r w:rsidR="006E261B" w:rsidRPr="00E50F9D">
        <w:rPr>
          <w:rFonts w:asciiTheme="majorBidi" w:hAnsiTheme="majorBidi" w:cstheme="majorBidi"/>
          <w:sz w:val="24"/>
          <w:szCs w:val="24"/>
          <w:lang w:val="en-US"/>
        </w:rPr>
        <w:t>, it does not affect their monopoly market power in the loan market, while it reduce</w:t>
      </w:r>
      <w:r w:rsidR="004D24D4" w:rsidRPr="00E50F9D">
        <w:rPr>
          <w:rFonts w:asciiTheme="majorBidi" w:hAnsiTheme="majorBidi" w:cstheme="majorBidi"/>
          <w:sz w:val="24"/>
          <w:szCs w:val="24"/>
          <w:lang w:val="en-US"/>
        </w:rPr>
        <w:t>s</w:t>
      </w:r>
      <w:r w:rsidR="006E261B" w:rsidRPr="00E50F9D">
        <w:rPr>
          <w:rFonts w:asciiTheme="majorBidi" w:hAnsiTheme="majorBidi" w:cstheme="majorBidi"/>
          <w:sz w:val="24"/>
          <w:szCs w:val="24"/>
          <w:lang w:val="en-US"/>
        </w:rPr>
        <w:t xml:space="preserve"> the Lerner Index for the deposit market. </w:t>
      </w:r>
    </w:p>
    <w:p w14:paraId="7A03DED4" w14:textId="51460C5A" w:rsidR="000A5D58" w:rsidRPr="00E50F9D" w:rsidRDefault="00C47B4D" w:rsidP="00C268F5">
      <w:pPr>
        <w:autoSpaceDE w:val="0"/>
        <w:autoSpaceDN w:val="0"/>
        <w:adjustRightInd w:val="0"/>
        <w:spacing w:after="240" w:line="480" w:lineRule="auto"/>
        <w:ind w:firstLine="567"/>
        <w:jc w:val="both"/>
        <w:rPr>
          <w:rFonts w:asciiTheme="majorBidi" w:hAnsiTheme="majorBidi" w:cstheme="majorBidi"/>
          <w:sz w:val="24"/>
          <w:szCs w:val="24"/>
          <w:lang w:val="en-US"/>
        </w:rPr>
      </w:pPr>
      <w:r w:rsidRPr="00E50F9D">
        <w:rPr>
          <w:rFonts w:asciiTheme="majorBidi" w:hAnsiTheme="majorBidi" w:cstheme="majorBidi"/>
          <w:sz w:val="24"/>
          <w:szCs w:val="24"/>
          <w:lang w:val="en-US"/>
        </w:rPr>
        <w:t>The rest of the paper is organized as follows</w:t>
      </w:r>
      <w:r w:rsidR="00852367" w:rsidRPr="00E50F9D">
        <w:rPr>
          <w:rFonts w:asciiTheme="majorBidi" w:hAnsiTheme="majorBidi" w:cstheme="majorBidi"/>
          <w:sz w:val="24"/>
          <w:szCs w:val="24"/>
          <w:lang w:val="en-US"/>
        </w:rPr>
        <w:t>: Section 2 reviews the literature; Se</w:t>
      </w:r>
      <w:r w:rsidR="00B25DF0" w:rsidRPr="00E50F9D">
        <w:rPr>
          <w:rFonts w:asciiTheme="majorBidi" w:hAnsiTheme="majorBidi" w:cstheme="majorBidi"/>
          <w:sz w:val="24"/>
          <w:szCs w:val="24"/>
          <w:lang w:val="en-US"/>
        </w:rPr>
        <w:t>ct</w:t>
      </w:r>
      <w:r w:rsidR="00852367" w:rsidRPr="00E50F9D">
        <w:rPr>
          <w:rFonts w:asciiTheme="majorBidi" w:hAnsiTheme="majorBidi" w:cstheme="majorBidi"/>
          <w:sz w:val="24"/>
          <w:szCs w:val="24"/>
          <w:lang w:val="en-US"/>
        </w:rPr>
        <w:t xml:space="preserve">ion </w:t>
      </w:r>
      <w:r w:rsidR="004D179D" w:rsidRPr="00E50F9D">
        <w:rPr>
          <w:rFonts w:asciiTheme="majorBidi" w:hAnsiTheme="majorBidi" w:cstheme="majorBidi"/>
          <w:sz w:val="24"/>
          <w:szCs w:val="24"/>
          <w:lang w:val="en-US"/>
        </w:rPr>
        <w:t>3</w:t>
      </w:r>
      <w:r w:rsidR="00852367" w:rsidRPr="00E50F9D">
        <w:rPr>
          <w:rFonts w:asciiTheme="majorBidi" w:hAnsiTheme="majorBidi" w:cstheme="majorBidi"/>
          <w:sz w:val="24"/>
          <w:szCs w:val="24"/>
          <w:lang w:val="en-US"/>
        </w:rPr>
        <w:t xml:space="preserve"> discusses the models and the variables used in our empirical analysis; </w:t>
      </w:r>
      <w:r w:rsidR="004D179D" w:rsidRPr="00E50F9D">
        <w:rPr>
          <w:rFonts w:asciiTheme="majorBidi" w:hAnsiTheme="majorBidi" w:cstheme="majorBidi"/>
          <w:sz w:val="24"/>
          <w:szCs w:val="24"/>
          <w:lang w:val="en-US"/>
        </w:rPr>
        <w:t xml:space="preserve">Section 4 describes </w:t>
      </w:r>
      <w:r w:rsidR="00B25DF0" w:rsidRPr="00E50F9D">
        <w:rPr>
          <w:rFonts w:asciiTheme="majorBidi" w:hAnsiTheme="majorBidi" w:cstheme="majorBidi"/>
          <w:sz w:val="24"/>
          <w:szCs w:val="24"/>
          <w:lang w:val="en-US"/>
        </w:rPr>
        <w:t xml:space="preserve">the </w:t>
      </w:r>
      <w:r w:rsidR="004D179D" w:rsidRPr="00E50F9D">
        <w:rPr>
          <w:rFonts w:asciiTheme="majorBidi" w:hAnsiTheme="majorBidi" w:cstheme="majorBidi"/>
          <w:sz w:val="24"/>
          <w:szCs w:val="24"/>
          <w:lang w:val="en-US"/>
        </w:rPr>
        <w:t xml:space="preserve">data; </w:t>
      </w:r>
      <w:r w:rsidR="00852367" w:rsidRPr="00E50F9D">
        <w:rPr>
          <w:rFonts w:asciiTheme="majorBidi" w:hAnsiTheme="majorBidi" w:cstheme="majorBidi"/>
          <w:sz w:val="24"/>
          <w:szCs w:val="24"/>
          <w:lang w:val="en-US"/>
        </w:rPr>
        <w:t xml:space="preserve">Section </w:t>
      </w:r>
      <w:r w:rsidR="007958C6" w:rsidRPr="00E50F9D">
        <w:rPr>
          <w:rFonts w:asciiTheme="majorBidi" w:hAnsiTheme="majorBidi" w:cstheme="majorBidi"/>
          <w:sz w:val="24"/>
          <w:szCs w:val="24"/>
          <w:lang w:val="en-US"/>
        </w:rPr>
        <w:t>5</w:t>
      </w:r>
      <w:r w:rsidR="00852367" w:rsidRPr="00E50F9D">
        <w:rPr>
          <w:rFonts w:asciiTheme="majorBidi" w:hAnsiTheme="majorBidi" w:cstheme="majorBidi"/>
          <w:sz w:val="24"/>
          <w:szCs w:val="24"/>
          <w:lang w:val="en-US"/>
        </w:rPr>
        <w:t xml:space="preserve"> displays and discusses the empirical results; and lastly, Section </w:t>
      </w:r>
      <w:r w:rsidR="007958C6" w:rsidRPr="00E50F9D">
        <w:rPr>
          <w:rFonts w:asciiTheme="majorBidi" w:hAnsiTheme="majorBidi" w:cstheme="majorBidi"/>
          <w:sz w:val="24"/>
          <w:szCs w:val="24"/>
          <w:lang w:val="en-US"/>
        </w:rPr>
        <w:t>6</w:t>
      </w:r>
      <w:r w:rsidR="00731C18" w:rsidRPr="00E50F9D">
        <w:rPr>
          <w:rFonts w:asciiTheme="majorBidi" w:hAnsiTheme="majorBidi" w:cstheme="majorBidi"/>
          <w:sz w:val="24"/>
          <w:szCs w:val="24"/>
          <w:lang w:val="en-US"/>
        </w:rPr>
        <w:t xml:space="preserve"> </w:t>
      </w:r>
      <w:r w:rsidR="001B0144" w:rsidRPr="00E50F9D">
        <w:rPr>
          <w:rFonts w:asciiTheme="majorBidi" w:hAnsiTheme="majorBidi" w:cstheme="majorBidi"/>
          <w:sz w:val="24"/>
          <w:szCs w:val="24"/>
          <w:lang w:val="en-US"/>
        </w:rPr>
        <w:t>c</w:t>
      </w:r>
      <w:r w:rsidR="00D036B1" w:rsidRPr="00E50F9D">
        <w:rPr>
          <w:rFonts w:asciiTheme="majorBidi" w:hAnsiTheme="majorBidi" w:cstheme="majorBidi"/>
          <w:sz w:val="24"/>
          <w:szCs w:val="24"/>
          <w:lang w:val="en-US"/>
        </w:rPr>
        <w:t>oncludes</w:t>
      </w:r>
      <w:r w:rsidR="00463F7F" w:rsidRPr="00E50F9D">
        <w:rPr>
          <w:rFonts w:asciiTheme="majorBidi" w:hAnsiTheme="majorBidi" w:cstheme="majorBidi"/>
          <w:sz w:val="24"/>
          <w:szCs w:val="24"/>
          <w:lang w:val="en-US"/>
        </w:rPr>
        <w:t>.</w:t>
      </w:r>
    </w:p>
    <w:p w14:paraId="4801D0B5" w14:textId="4EFA1049" w:rsidR="002F325A" w:rsidRPr="00E50F9D" w:rsidRDefault="00D036B1" w:rsidP="00CB1267">
      <w:pPr>
        <w:rPr>
          <w:rFonts w:asciiTheme="majorBidi" w:hAnsiTheme="majorBidi" w:cstheme="majorBidi"/>
          <w:b/>
          <w:bCs/>
          <w:sz w:val="24"/>
          <w:szCs w:val="24"/>
          <w:lang w:val="en-US"/>
        </w:rPr>
      </w:pPr>
      <w:r w:rsidRPr="00E50F9D">
        <w:rPr>
          <w:rFonts w:asciiTheme="majorBidi" w:hAnsiTheme="majorBidi" w:cstheme="majorBidi"/>
          <w:b/>
          <w:bCs/>
          <w:sz w:val="24"/>
          <w:szCs w:val="24"/>
          <w:lang w:val="en-US"/>
        </w:rPr>
        <w:t>2.</w:t>
      </w:r>
      <w:r w:rsidR="00463F7F" w:rsidRPr="00E50F9D">
        <w:rPr>
          <w:rFonts w:asciiTheme="majorBidi" w:hAnsiTheme="majorBidi" w:cstheme="majorBidi"/>
          <w:b/>
          <w:bCs/>
          <w:sz w:val="24"/>
          <w:szCs w:val="24"/>
          <w:lang w:val="en-US"/>
        </w:rPr>
        <w:t xml:space="preserve"> </w:t>
      </w:r>
      <w:r w:rsidR="001B0144" w:rsidRPr="00E50F9D">
        <w:rPr>
          <w:rFonts w:asciiTheme="majorBidi" w:hAnsiTheme="majorBidi" w:cstheme="majorBidi"/>
          <w:b/>
          <w:bCs/>
          <w:sz w:val="24"/>
          <w:szCs w:val="24"/>
          <w:lang w:val="en-US"/>
        </w:rPr>
        <w:t>Literature</w:t>
      </w:r>
      <w:r w:rsidR="009216C8" w:rsidRPr="00E50F9D">
        <w:rPr>
          <w:rFonts w:asciiTheme="majorBidi" w:hAnsiTheme="majorBidi" w:cstheme="majorBidi"/>
          <w:b/>
          <w:bCs/>
          <w:sz w:val="24"/>
          <w:szCs w:val="24"/>
          <w:lang w:val="en-US"/>
        </w:rPr>
        <w:t xml:space="preserve"> Review</w:t>
      </w:r>
    </w:p>
    <w:p w14:paraId="08B088B3" w14:textId="5F9AA419" w:rsidR="0044017A" w:rsidRPr="00E50F9D" w:rsidRDefault="00F501D7" w:rsidP="002109A5">
      <w:pPr>
        <w:autoSpaceDE w:val="0"/>
        <w:autoSpaceDN w:val="0"/>
        <w:adjustRightInd w:val="0"/>
        <w:spacing w:after="0" w:line="480" w:lineRule="auto"/>
        <w:ind w:firstLine="567"/>
        <w:jc w:val="both"/>
        <w:rPr>
          <w:rFonts w:asciiTheme="majorBidi" w:hAnsiTheme="majorBidi" w:cstheme="majorBidi"/>
          <w:b/>
          <w:bCs/>
          <w:sz w:val="24"/>
          <w:szCs w:val="24"/>
          <w:lang w:val="en-US"/>
        </w:rPr>
      </w:pPr>
      <w:r w:rsidRPr="00E50F9D">
        <w:rPr>
          <w:rFonts w:asciiTheme="majorBidi" w:hAnsiTheme="majorBidi" w:cstheme="majorBidi"/>
          <w:sz w:val="24"/>
          <w:szCs w:val="24"/>
          <w:lang w:val="en-US"/>
        </w:rPr>
        <w:t xml:space="preserve">A consensus </w:t>
      </w:r>
      <w:r w:rsidR="00852367" w:rsidRPr="00E50F9D">
        <w:rPr>
          <w:rFonts w:asciiTheme="majorBidi" w:hAnsiTheme="majorBidi" w:cstheme="majorBidi"/>
          <w:sz w:val="24"/>
          <w:szCs w:val="24"/>
          <w:lang w:val="en-US"/>
        </w:rPr>
        <w:t xml:space="preserve">on the benefits of branch diversification is still lacking in the literature. </w:t>
      </w:r>
      <w:r w:rsidR="00253532" w:rsidRPr="00E50F9D">
        <w:rPr>
          <w:rFonts w:asciiTheme="majorBidi" w:hAnsiTheme="majorBidi" w:cstheme="majorBidi"/>
          <w:sz w:val="24"/>
          <w:szCs w:val="24"/>
          <w:lang w:val="en-US"/>
        </w:rPr>
        <w:t>Even t</w:t>
      </w:r>
      <w:r w:rsidR="004142D4" w:rsidRPr="00E50F9D">
        <w:rPr>
          <w:rFonts w:asciiTheme="majorBidi" w:hAnsiTheme="majorBidi" w:cstheme="majorBidi"/>
          <w:sz w:val="24"/>
          <w:szCs w:val="24"/>
          <w:lang w:val="en-US"/>
        </w:rPr>
        <w:t>h</w:t>
      </w:r>
      <w:r w:rsidR="00253532" w:rsidRPr="00E50F9D">
        <w:rPr>
          <w:rFonts w:asciiTheme="majorBidi" w:hAnsiTheme="majorBidi" w:cstheme="majorBidi"/>
          <w:sz w:val="24"/>
          <w:szCs w:val="24"/>
          <w:lang w:val="en-US"/>
        </w:rPr>
        <w:t>ough t</w:t>
      </w:r>
      <w:r w:rsidR="00852367" w:rsidRPr="00E50F9D">
        <w:rPr>
          <w:rFonts w:asciiTheme="majorBidi" w:hAnsiTheme="majorBidi" w:cstheme="majorBidi"/>
          <w:sz w:val="24"/>
          <w:szCs w:val="24"/>
          <w:lang w:val="en-US"/>
        </w:rPr>
        <w:t xml:space="preserve">he exploitation of geographic diversification can </w:t>
      </w:r>
      <w:r w:rsidRPr="00E50F9D">
        <w:rPr>
          <w:rFonts w:asciiTheme="majorBidi" w:hAnsiTheme="majorBidi" w:cstheme="majorBidi"/>
          <w:sz w:val="24"/>
          <w:szCs w:val="24"/>
          <w:lang w:val="en-US"/>
        </w:rPr>
        <w:t>be important</w:t>
      </w:r>
      <w:r w:rsidR="00852367" w:rsidRPr="00E50F9D">
        <w:rPr>
          <w:rFonts w:asciiTheme="majorBidi" w:hAnsiTheme="majorBidi" w:cstheme="majorBidi"/>
          <w:sz w:val="24"/>
          <w:szCs w:val="24"/>
          <w:lang w:val="en-US"/>
        </w:rPr>
        <w:t xml:space="preserve"> for the competitive viability of a firm (</w:t>
      </w:r>
      <w:r w:rsidR="00174468" w:rsidRPr="00E50F9D">
        <w:rPr>
          <w:rFonts w:asciiTheme="majorBidi" w:hAnsiTheme="majorBidi" w:cstheme="majorBidi"/>
          <w:sz w:val="24"/>
          <w:szCs w:val="24"/>
          <w:lang w:val="en-US"/>
        </w:rPr>
        <w:t>Porter</w:t>
      </w:r>
      <w:r w:rsidR="005E259E" w:rsidRPr="00E50F9D">
        <w:rPr>
          <w:rFonts w:asciiTheme="majorBidi" w:hAnsiTheme="majorBidi" w:cstheme="majorBidi"/>
          <w:sz w:val="24"/>
          <w:szCs w:val="24"/>
          <w:lang w:val="en-US"/>
        </w:rPr>
        <w:t>,</w:t>
      </w:r>
      <w:r w:rsidR="00852367" w:rsidRPr="00E50F9D">
        <w:rPr>
          <w:rFonts w:asciiTheme="majorBidi" w:hAnsiTheme="majorBidi" w:cstheme="majorBidi"/>
          <w:sz w:val="24"/>
          <w:szCs w:val="24"/>
          <w:lang w:val="en-US"/>
        </w:rPr>
        <w:t xml:space="preserve"> 1996</w:t>
      </w:r>
      <w:r w:rsidR="00174468" w:rsidRPr="00E50F9D">
        <w:rPr>
          <w:rFonts w:asciiTheme="majorBidi" w:hAnsiTheme="majorBidi" w:cstheme="majorBidi"/>
          <w:sz w:val="24"/>
          <w:szCs w:val="24"/>
          <w:lang w:val="en-US"/>
        </w:rPr>
        <w:t>; Ramaswamy</w:t>
      </w:r>
      <w:r w:rsidR="005E259E" w:rsidRPr="00E50F9D">
        <w:rPr>
          <w:rFonts w:asciiTheme="majorBidi" w:hAnsiTheme="majorBidi" w:cstheme="majorBidi"/>
          <w:sz w:val="24"/>
          <w:szCs w:val="24"/>
          <w:lang w:val="en-US"/>
        </w:rPr>
        <w:t>,</w:t>
      </w:r>
      <w:r w:rsidR="0044017A" w:rsidRPr="00E50F9D">
        <w:rPr>
          <w:rFonts w:asciiTheme="majorBidi" w:hAnsiTheme="majorBidi" w:cstheme="majorBidi"/>
          <w:sz w:val="24"/>
          <w:szCs w:val="24"/>
          <w:lang w:val="en-US"/>
        </w:rPr>
        <w:t xml:space="preserve"> 1995)</w:t>
      </w:r>
      <w:r w:rsidR="00253532" w:rsidRPr="00E50F9D">
        <w:rPr>
          <w:rFonts w:asciiTheme="majorBidi" w:hAnsiTheme="majorBidi" w:cstheme="majorBidi"/>
          <w:sz w:val="24"/>
          <w:szCs w:val="24"/>
          <w:lang w:val="en-US"/>
        </w:rPr>
        <w:t xml:space="preserve">, it </w:t>
      </w:r>
      <w:r w:rsidR="004142D4" w:rsidRPr="00E50F9D">
        <w:rPr>
          <w:rFonts w:asciiTheme="majorBidi" w:hAnsiTheme="majorBidi" w:cstheme="majorBidi"/>
          <w:sz w:val="24"/>
          <w:szCs w:val="24"/>
          <w:lang w:val="en-US"/>
        </w:rPr>
        <w:t xml:space="preserve">can </w:t>
      </w:r>
      <w:r w:rsidR="00253532" w:rsidRPr="00E50F9D">
        <w:rPr>
          <w:rFonts w:asciiTheme="majorBidi" w:hAnsiTheme="majorBidi" w:cstheme="majorBidi"/>
          <w:sz w:val="24"/>
          <w:szCs w:val="24"/>
          <w:lang w:val="en-US"/>
        </w:rPr>
        <w:t>also</w:t>
      </w:r>
      <w:r w:rsidR="0044017A" w:rsidRPr="00E50F9D">
        <w:rPr>
          <w:rFonts w:asciiTheme="majorBidi" w:hAnsiTheme="majorBidi" w:cstheme="majorBidi"/>
          <w:sz w:val="24"/>
          <w:szCs w:val="24"/>
          <w:lang w:val="en-US"/>
        </w:rPr>
        <w:t xml:space="preserve"> </w:t>
      </w:r>
      <w:r w:rsidR="00852367" w:rsidRPr="00E50F9D">
        <w:rPr>
          <w:rFonts w:asciiTheme="majorBidi" w:hAnsiTheme="majorBidi" w:cstheme="majorBidi"/>
          <w:sz w:val="24"/>
          <w:szCs w:val="24"/>
          <w:lang w:val="en-US"/>
        </w:rPr>
        <w:t xml:space="preserve">lead to “coordination difficulties, information asymmetry </w:t>
      </w:r>
      <w:r w:rsidR="00B25DF0" w:rsidRPr="00E50F9D">
        <w:rPr>
          <w:rFonts w:asciiTheme="majorBidi" w:hAnsiTheme="majorBidi" w:cstheme="majorBidi"/>
          <w:sz w:val="24"/>
          <w:szCs w:val="24"/>
          <w:lang w:val="en-US"/>
        </w:rPr>
        <w:t xml:space="preserve">and </w:t>
      </w:r>
      <w:r w:rsidR="00852367" w:rsidRPr="00E50F9D">
        <w:rPr>
          <w:rFonts w:asciiTheme="majorBidi" w:hAnsiTheme="majorBidi" w:cstheme="majorBidi"/>
          <w:sz w:val="24"/>
          <w:szCs w:val="24"/>
          <w:lang w:val="en-US"/>
        </w:rPr>
        <w:t>incentive misalignment between headquarter</w:t>
      </w:r>
      <w:r w:rsidRPr="00E50F9D">
        <w:rPr>
          <w:rFonts w:asciiTheme="majorBidi" w:hAnsiTheme="majorBidi" w:cstheme="majorBidi"/>
          <w:sz w:val="24"/>
          <w:szCs w:val="24"/>
          <w:lang w:val="en-US"/>
        </w:rPr>
        <w:t>s</w:t>
      </w:r>
      <w:r w:rsidR="00852367" w:rsidRPr="00E50F9D">
        <w:rPr>
          <w:rFonts w:asciiTheme="majorBidi" w:hAnsiTheme="majorBidi" w:cstheme="majorBidi"/>
          <w:sz w:val="24"/>
          <w:szCs w:val="24"/>
          <w:lang w:val="en-US"/>
        </w:rPr>
        <w:t xml:space="preserve"> managers and divisional mana</w:t>
      </w:r>
      <w:r w:rsidR="00174468" w:rsidRPr="00E50F9D">
        <w:rPr>
          <w:rFonts w:asciiTheme="majorBidi" w:hAnsiTheme="majorBidi" w:cstheme="majorBidi"/>
          <w:sz w:val="24"/>
          <w:szCs w:val="24"/>
          <w:lang w:val="en-US"/>
        </w:rPr>
        <w:t>gers” (Lu and Beamish</w:t>
      </w:r>
      <w:r w:rsidR="005E259E" w:rsidRPr="00E50F9D">
        <w:rPr>
          <w:rFonts w:asciiTheme="majorBidi" w:hAnsiTheme="majorBidi" w:cstheme="majorBidi"/>
          <w:sz w:val="24"/>
          <w:szCs w:val="24"/>
          <w:lang w:val="en-US"/>
        </w:rPr>
        <w:t>,</w:t>
      </w:r>
      <w:r w:rsidR="00852367" w:rsidRPr="00E50F9D">
        <w:rPr>
          <w:rFonts w:asciiTheme="majorBidi" w:hAnsiTheme="majorBidi" w:cstheme="majorBidi"/>
          <w:sz w:val="24"/>
          <w:szCs w:val="24"/>
          <w:lang w:val="en-US"/>
        </w:rPr>
        <w:t xml:space="preserve"> 2004</w:t>
      </w:r>
      <w:r w:rsidR="002A68ED" w:rsidRPr="00E50F9D">
        <w:rPr>
          <w:rFonts w:asciiTheme="majorBidi" w:hAnsiTheme="majorBidi" w:cstheme="majorBidi"/>
          <w:sz w:val="24"/>
          <w:szCs w:val="24"/>
          <w:lang w:val="en-US"/>
        </w:rPr>
        <w:t>, p. 600</w:t>
      </w:r>
      <w:r w:rsidR="00253532" w:rsidRPr="00E50F9D">
        <w:rPr>
          <w:rFonts w:asciiTheme="majorBidi" w:hAnsiTheme="majorBidi" w:cstheme="majorBidi"/>
          <w:sz w:val="24"/>
          <w:szCs w:val="24"/>
          <w:lang w:val="en-US"/>
        </w:rPr>
        <w:t xml:space="preserve">). Diversification can </w:t>
      </w:r>
      <w:r w:rsidR="00852367" w:rsidRPr="00E50F9D">
        <w:rPr>
          <w:rFonts w:asciiTheme="majorBidi" w:hAnsiTheme="majorBidi" w:cstheme="majorBidi"/>
          <w:sz w:val="24"/>
          <w:szCs w:val="24"/>
          <w:lang w:val="en-US"/>
        </w:rPr>
        <w:t>induce value loss because of lea</w:t>
      </w:r>
      <w:r w:rsidR="00174468" w:rsidRPr="00E50F9D">
        <w:rPr>
          <w:rFonts w:asciiTheme="majorBidi" w:hAnsiTheme="majorBidi" w:cstheme="majorBidi"/>
          <w:sz w:val="24"/>
          <w:szCs w:val="24"/>
          <w:lang w:val="en-US"/>
        </w:rPr>
        <w:t>rning costs (Deng and Elyasiani</w:t>
      </w:r>
      <w:r w:rsidR="005E259E" w:rsidRPr="00E50F9D">
        <w:rPr>
          <w:rFonts w:asciiTheme="majorBidi" w:hAnsiTheme="majorBidi" w:cstheme="majorBidi"/>
          <w:sz w:val="24"/>
          <w:szCs w:val="24"/>
          <w:lang w:val="en-US"/>
        </w:rPr>
        <w:t>,</w:t>
      </w:r>
      <w:r w:rsidR="00852367" w:rsidRPr="00E50F9D">
        <w:rPr>
          <w:rFonts w:asciiTheme="majorBidi" w:hAnsiTheme="majorBidi" w:cstheme="majorBidi"/>
          <w:sz w:val="24"/>
          <w:szCs w:val="24"/>
          <w:lang w:val="en-US"/>
        </w:rPr>
        <w:t xml:space="preserve"> 2008), and the reduction of economic performance because of a high degree of competition and lack of lending experience (</w:t>
      </w:r>
      <w:r w:rsidR="00174468" w:rsidRPr="00E50F9D">
        <w:rPr>
          <w:rFonts w:asciiTheme="majorBidi" w:hAnsiTheme="majorBidi" w:cstheme="majorBidi"/>
          <w:sz w:val="24"/>
          <w:szCs w:val="24"/>
          <w:lang w:val="en-US"/>
        </w:rPr>
        <w:t>Acharya et al.</w:t>
      </w:r>
      <w:r w:rsidR="005E259E" w:rsidRPr="00E50F9D">
        <w:rPr>
          <w:rFonts w:asciiTheme="majorBidi" w:hAnsiTheme="majorBidi" w:cstheme="majorBidi"/>
          <w:sz w:val="24"/>
          <w:szCs w:val="24"/>
          <w:lang w:val="en-US"/>
        </w:rPr>
        <w:t>,</w:t>
      </w:r>
      <w:r w:rsidR="00852367" w:rsidRPr="00E50F9D">
        <w:rPr>
          <w:rFonts w:asciiTheme="majorBidi" w:hAnsiTheme="majorBidi" w:cstheme="majorBidi"/>
          <w:sz w:val="24"/>
          <w:szCs w:val="24"/>
          <w:lang w:val="en-US"/>
        </w:rPr>
        <w:t xml:space="preserve"> 2006</w:t>
      </w:r>
      <w:r w:rsidR="001F5D34" w:rsidRPr="00E50F9D">
        <w:rPr>
          <w:rFonts w:asciiTheme="majorBidi" w:hAnsiTheme="majorBidi" w:cstheme="majorBidi"/>
          <w:sz w:val="24"/>
          <w:szCs w:val="24"/>
          <w:lang w:val="en-US"/>
        </w:rPr>
        <w:t>;</w:t>
      </w:r>
      <w:r w:rsidR="00852367" w:rsidRPr="00E50F9D">
        <w:rPr>
          <w:rFonts w:asciiTheme="majorBidi" w:hAnsiTheme="majorBidi" w:cstheme="majorBidi"/>
          <w:sz w:val="24"/>
          <w:szCs w:val="24"/>
          <w:lang w:val="en-US"/>
        </w:rPr>
        <w:t xml:space="preserve"> </w:t>
      </w:r>
      <w:r w:rsidR="00174468" w:rsidRPr="00E50F9D">
        <w:rPr>
          <w:rFonts w:asciiTheme="majorBidi" w:hAnsiTheme="majorBidi" w:cstheme="majorBidi"/>
          <w:sz w:val="24"/>
          <w:szCs w:val="24"/>
          <w:lang w:val="en-US"/>
        </w:rPr>
        <w:t>DeLong</w:t>
      </w:r>
      <w:r w:rsidR="005E259E" w:rsidRPr="00E50F9D">
        <w:rPr>
          <w:rFonts w:asciiTheme="majorBidi" w:hAnsiTheme="majorBidi" w:cstheme="majorBidi"/>
          <w:sz w:val="24"/>
          <w:szCs w:val="24"/>
          <w:lang w:val="en-US"/>
        </w:rPr>
        <w:t>,</w:t>
      </w:r>
      <w:r w:rsidR="00852367" w:rsidRPr="00E50F9D">
        <w:rPr>
          <w:rFonts w:asciiTheme="majorBidi" w:hAnsiTheme="majorBidi" w:cstheme="majorBidi"/>
          <w:sz w:val="24"/>
          <w:szCs w:val="24"/>
          <w:lang w:val="en-US"/>
        </w:rPr>
        <w:t xml:space="preserve"> 2001</w:t>
      </w:r>
      <w:r w:rsidR="001F31F6" w:rsidRPr="00E50F9D">
        <w:rPr>
          <w:rFonts w:asciiTheme="majorBidi" w:hAnsiTheme="majorBidi" w:cstheme="majorBidi"/>
          <w:sz w:val="24"/>
          <w:szCs w:val="24"/>
          <w:lang w:val="en-US"/>
        </w:rPr>
        <w:t>).</w:t>
      </w:r>
      <w:r w:rsidR="0044017A" w:rsidRPr="00E50F9D">
        <w:rPr>
          <w:rFonts w:asciiTheme="majorBidi" w:hAnsiTheme="majorBidi" w:cstheme="majorBidi"/>
          <w:b/>
          <w:bCs/>
          <w:sz w:val="24"/>
          <w:szCs w:val="24"/>
          <w:lang w:val="en-US"/>
        </w:rPr>
        <w:t xml:space="preserve"> </w:t>
      </w:r>
    </w:p>
    <w:p w14:paraId="7778DF70" w14:textId="77777777" w:rsidR="00852367" w:rsidRPr="00E50F9D" w:rsidRDefault="00852367" w:rsidP="0044017A">
      <w:pPr>
        <w:autoSpaceDE w:val="0"/>
        <w:autoSpaceDN w:val="0"/>
        <w:adjustRightInd w:val="0"/>
        <w:spacing w:after="0" w:line="480" w:lineRule="auto"/>
        <w:ind w:firstLine="567"/>
        <w:jc w:val="both"/>
        <w:rPr>
          <w:rFonts w:asciiTheme="majorBidi" w:hAnsiTheme="majorBidi" w:cstheme="majorBidi"/>
          <w:b/>
          <w:bCs/>
          <w:sz w:val="24"/>
          <w:szCs w:val="24"/>
          <w:lang w:val="en-US"/>
        </w:rPr>
      </w:pPr>
      <w:r w:rsidRPr="00E50F9D">
        <w:rPr>
          <w:rFonts w:asciiTheme="majorBidi" w:hAnsiTheme="majorBidi" w:cstheme="majorBidi"/>
          <w:sz w:val="24"/>
          <w:szCs w:val="24"/>
          <w:lang w:val="en-US"/>
        </w:rPr>
        <w:t xml:space="preserve">Berger and DeYoung (2001) find that geographic expansion is not associated </w:t>
      </w:r>
      <w:r w:rsidR="001F31F6" w:rsidRPr="00E50F9D">
        <w:rPr>
          <w:rFonts w:asciiTheme="majorBidi" w:hAnsiTheme="majorBidi" w:cstheme="majorBidi"/>
          <w:sz w:val="24"/>
          <w:szCs w:val="24"/>
          <w:lang w:val="en-US"/>
        </w:rPr>
        <w:t>with</w:t>
      </w:r>
      <w:r w:rsidRPr="00E50F9D">
        <w:rPr>
          <w:rFonts w:asciiTheme="majorBidi" w:hAnsiTheme="majorBidi" w:cstheme="majorBidi"/>
          <w:sz w:val="24"/>
          <w:szCs w:val="24"/>
          <w:lang w:val="en-US"/>
        </w:rPr>
        <w:t xml:space="preserve"> optimal geographic scope because some banks operate efficiently within a single region, while others operate efficiently at the national level or even at an international level. Hirtle (2007) shows that banks with mid-sized branch networks have lower deposits per branch than organizations with both larger and smaller branch networks</w:t>
      </w:r>
      <w:r w:rsidR="006368C5" w:rsidRPr="00E50F9D">
        <w:rPr>
          <w:rFonts w:asciiTheme="majorBidi" w:hAnsiTheme="majorBidi" w:cstheme="majorBidi"/>
          <w:sz w:val="24"/>
          <w:szCs w:val="24"/>
          <w:lang w:val="en-US"/>
        </w:rPr>
        <w:t>,</w:t>
      </w:r>
      <w:r w:rsidRPr="00E50F9D">
        <w:rPr>
          <w:rFonts w:asciiTheme="majorBidi" w:hAnsiTheme="majorBidi" w:cstheme="majorBidi"/>
          <w:sz w:val="24"/>
          <w:szCs w:val="24"/>
          <w:lang w:val="en-US"/>
        </w:rPr>
        <w:t xml:space="preserve"> and do not achieve cost advantages with respect to larger institutions. </w:t>
      </w:r>
      <w:r w:rsidR="006368C5" w:rsidRPr="00E50F9D">
        <w:rPr>
          <w:rFonts w:asciiTheme="majorBidi" w:hAnsiTheme="majorBidi" w:cstheme="majorBidi"/>
          <w:sz w:val="24"/>
          <w:szCs w:val="24"/>
          <w:lang w:val="en-US"/>
        </w:rPr>
        <w:t>He also</w:t>
      </w:r>
      <w:r w:rsidRPr="00E50F9D">
        <w:rPr>
          <w:rFonts w:asciiTheme="majorBidi" w:hAnsiTheme="majorBidi" w:cstheme="majorBidi"/>
          <w:sz w:val="24"/>
          <w:szCs w:val="24"/>
          <w:lang w:val="en-US"/>
        </w:rPr>
        <w:t xml:space="preserve"> </w:t>
      </w:r>
      <w:r w:rsidR="00310CA7" w:rsidRPr="00E50F9D">
        <w:rPr>
          <w:rFonts w:asciiTheme="majorBidi" w:hAnsiTheme="majorBidi" w:cstheme="majorBidi"/>
          <w:sz w:val="24"/>
          <w:szCs w:val="24"/>
          <w:lang w:val="en-US"/>
        </w:rPr>
        <w:t>observes</w:t>
      </w:r>
      <w:r w:rsidRPr="00E50F9D">
        <w:rPr>
          <w:rFonts w:asciiTheme="majorBidi" w:hAnsiTheme="majorBidi" w:cstheme="majorBidi"/>
          <w:sz w:val="24"/>
          <w:szCs w:val="24"/>
          <w:lang w:val="en-US"/>
        </w:rPr>
        <w:t xml:space="preserve"> that institutions with mid-sized branch networks have no deposit expense advantage compared to larger institutions. Paradi et al. (2011), focusing on Canadian banks’ national branch networks, show that large branches are less efficient in terms of production, profitability and intermediation efficiency compared to smaller branches, in this way suggesting a decrease in the potential benefits of mergers and acquisitions due to </w:t>
      </w:r>
      <w:r w:rsidR="00310CA7" w:rsidRPr="00E50F9D">
        <w:rPr>
          <w:rFonts w:asciiTheme="majorBidi" w:hAnsiTheme="majorBidi" w:cstheme="majorBidi"/>
          <w:sz w:val="24"/>
          <w:szCs w:val="24"/>
          <w:lang w:val="en-US"/>
        </w:rPr>
        <w:t>an</w:t>
      </w:r>
      <w:r w:rsidRPr="00E50F9D">
        <w:rPr>
          <w:rFonts w:asciiTheme="majorBidi" w:hAnsiTheme="majorBidi" w:cstheme="majorBidi"/>
          <w:sz w:val="24"/>
          <w:szCs w:val="24"/>
          <w:lang w:val="en-US"/>
        </w:rPr>
        <w:t xml:space="preserve"> organization’s operating complexity. </w:t>
      </w:r>
    </w:p>
    <w:p w14:paraId="7320D687" w14:textId="6F0FDAC5" w:rsidR="00310CA7" w:rsidRPr="00E50F9D" w:rsidRDefault="00852367" w:rsidP="003117A4">
      <w:pPr>
        <w:autoSpaceDE w:val="0"/>
        <w:autoSpaceDN w:val="0"/>
        <w:adjustRightInd w:val="0"/>
        <w:spacing w:after="0" w:line="480" w:lineRule="auto"/>
        <w:ind w:firstLine="567"/>
        <w:jc w:val="both"/>
        <w:rPr>
          <w:rFonts w:asciiTheme="majorBidi" w:hAnsiTheme="majorBidi" w:cstheme="majorBidi"/>
          <w:sz w:val="24"/>
          <w:szCs w:val="24"/>
          <w:lang w:val="en-US"/>
        </w:rPr>
      </w:pPr>
      <w:r w:rsidRPr="00E50F9D">
        <w:rPr>
          <w:rFonts w:asciiTheme="majorBidi" w:hAnsiTheme="majorBidi" w:cstheme="majorBidi"/>
          <w:sz w:val="24"/>
          <w:szCs w:val="24"/>
          <w:lang w:val="en-US"/>
        </w:rPr>
        <w:t xml:space="preserve">Part of the contrasting results on the effect of branching networks can be </w:t>
      </w:r>
      <w:r w:rsidR="00F501D7" w:rsidRPr="00E50F9D">
        <w:rPr>
          <w:rFonts w:asciiTheme="majorBidi" w:hAnsiTheme="majorBidi" w:cstheme="majorBidi"/>
          <w:sz w:val="24"/>
          <w:szCs w:val="24"/>
          <w:lang w:val="en-US"/>
        </w:rPr>
        <w:t xml:space="preserve">attributed </w:t>
      </w:r>
      <w:r w:rsidRPr="00E50F9D">
        <w:rPr>
          <w:rFonts w:asciiTheme="majorBidi" w:hAnsiTheme="majorBidi" w:cstheme="majorBidi"/>
          <w:sz w:val="24"/>
          <w:szCs w:val="24"/>
          <w:lang w:val="en-US"/>
        </w:rPr>
        <w:t>with the failure to introduce measures for controlling the distance between a bank’s headquarter</w:t>
      </w:r>
      <w:r w:rsidR="00492D46" w:rsidRPr="00E50F9D">
        <w:rPr>
          <w:rFonts w:asciiTheme="majorBidi" w:hAnsiTheme="majorBidi" w:cstheme="majorBidi"/>
          <w:sz w:val="24"/>
          <w:szCs w:val="24"/>
          <w:lang w:val="en-US"/>
        </w:rPr>
        <w:t>s</w:t>
      </w:r>
      <w:r w:rsidRPr="00E50F9D">
        <w:rPr>
          <w:rFonts w:asciiTheme="majorBidi" w:hAnsiTheme="majorBidi" w:cstheme="majorBidi"/>
          <w:sz w:val="24"/>
          <w:szCs w:val="24"/>
          <w:lang w:val="en-US"/>
        </w:rPr>
        <w:t xml:space="preserve"> and</w:t>
      </w:r>
      <w:r w:rsidR="00174468" w:rsidRPr="00E50F9D">
        <w:rPr>
          <w:rFonts w:asciiTheme="majorBidi" w:hAnsiTheme="majorBidi" w:cstheme="majorBidi"/>
          <w:sz w:val="24"/>
          <w:szCs w:val="24"/>
          <w:lang w:val="en-US"/>
        </w:rPr>
        <w:t xml:space="preserve"> it branches (Deng and Elysiani</w:t>
      </w:r>
      <w:r w:rsidR="005E259E" w:rsidRPr="00E50F9D">
        <w:rPr>
          <w:rFonts w:asciiTheme="majorBidi" w:hAnsiTheme="majorBidi" w:cstheme="majorBidi"/>
          <w:sz w:val="24"/>
          <w:szCs w:val="24"/>
          <w:lang w:val="en-US"/>
        </w:rPr>
        <w:t>,</w:t>
      </w:r>
      <w:r w:rsidRPr="00E50F9D">
        <w:rPr>
          <w:rFonts w:asciiTheme="majorBidi" w:hAnsiTheme="majorBidi" w:cstheme="majorBidi"/>
          <w:sz w:val="24"/>
          <w:szCs w:val="24"/>
          <w:lang w:val="en-US"/>
        </w:rPr>
        <w:t xml:space="preserve"> 2008), to which the ability of senior management to effectively control the operations of individual branches is also related. In accordance with some studies on</w:t>
      </w:r>
      <w:r w:rsidR="004E2050" w:rsidRPr="00E50F9D">
        <w:rPr>
          <w:rFonts w:asciiTheme="majorBidi" w:hAnsiTheme="majorBidi" w:cstheme="majorBidi"/>
          <w:sz w:val="24"/>
          <w:szCs w:val="24"/>
          <w:lang w:val="en-US"/>
        </w:rPr>
        <w:t xml:space="preserve"> branching networks (</w:t>
      </w:r>
      <w:r w:rsidRPr="00E50F9D">
        <w:rPr>
          <w:rFonts w:asciiTheme="majorBidi" w:hAnsiTheme="majorBidi" w:cstheme="majorBidi"/>
          <w:sz w:val="24"/>
          <w:szCs w:val="24"/>
          <w:lang w:val="en-US"/>
        </w:rPr>
        <w:t>Berger et al.</w:t>
      </w:r>
      <w:r w:rsidR="005E259E" w:rsidRPr="00E50F9D">
        <w:rPr>
          <w:rFonts w:asciiTheme="majorBidi" w:hAnsiTheme="majorBidi" w:cstheme="majorBidi"/>
          <w:sz w:val="24"/>
          <w:szCs w:val="24"/>
          <w:lang w:val="en-US"/>
        </w:rPr>
        <w:t>,</w:t>
      </w:r>
      <w:r w:rsidRPr="00E50F9D">
        <w:rPr>
          <w:rFonts w:asciiTheme="majorBidi" w:hAnsiTheme="majorBidi" w:cstheme="majorBidi"/>
          <w:sz w:val="24"/>
          <w:szCs w:val="24"/>
          <w:lang w:val="en-US"/>
        </w:rPr>
        <w:t xml:space="preserve"> 1997</w:t>
      </w:r>
      <w:r w:rsidR="00174468" w:rsidRPr="00E50F9D">
        <w:rPr>
          <w:rFonts w:asciiTheme="majorBidi" w:hAnsiTheme="majorBidi" w:cstheme="majorBidi"/>
          <w:sz w:val="24"/>
          <w:szCs w:val="24"/>
          <w:lang w:val="en-US"/>
        </w:rPr>
        <w:t>;</w:t>
      </w:r>
      <w:r w:rsidRPr="00E50F9D">
        <w:rPr>
          <w:rFonts w:asciiTheme="majorBidi" w:hAnsiTheme="majorBidi" w:cstheme="majorBidi"/>
          <w:sz w:val="24"/>
          <w:szCs w:val="24"/>
          <w:lang w:val="en-US"/>
        </w:rPr>
        <w:t xml:space="preserve"> Schaffnit et al</w:t>
      </w:r>
      <w:r w:rsidR="005E259E" w:rsidRPr="00E50F9D">
        <w:rPr>
          <w:rFonts w:asciiTheme="majorBidi" w:hAnsiTheme="majorBidi" w:cstheme="majorBidi"/>
          <w:sz w:val="24"/>
          <w:szCs w:val="24"/>
          <w:lang w:val="en-US"/>
        </w:rPr>
        <w:t>.,</w:t>
      </w:r>
      <w:r w:rsidRPr="00E50F9D">
        <w:rPr>
          <w:rFonts w:asciiTheme="majorBidi" w:hAnsiTheme="majorBidi" w:cstheme="majorBidi"/>
          <w:sz w:val="24"/>
          <w:szCs w:val="24"/>
          <w:lang w:val="en-US"/>
        </w:rPr>
        <w:t xml:space="preserve"> 1997</w:t>
      </w:r>
      <w:r w:rsidR="00174468" w:rsidRPr="00E50F9D">
        <w:rPr>
          <w:rFonts w:asciiTheme="majorBidi" w:hAnsiTheme="majorBidi" w:cstheme="majorBidi"/>
          <w:sz w:val="24"/>
          <w:szCs w:val="24"/>
          <w:lang w:val="en-US"/>
        </w:rPr>
        <w:t>; Berger and DeYoung</w:t>
      </w:r>
      <w:r w:rsidR="005E259E" w:rsidRPr="00E50F9D">
        <w:rPr>
          <w:rFonts w:asciiTheme="majorBidi" w:hAnsiTheme="majorBidi" w:cstheme="majorBidi"/>
          <w:sz w:val="24"/>
          <w:szCs w:val="24"/>
          <w:lang w:val="en-US"/>
        </w:rPr>
        <w:t>,</w:t>
      </w:r>
      <w:r w:rsidRPr="00E50F9D">
        <w:rPr>
          <w:rFonts w:asciiTheme="majorBidi" w:hAnsiTheme="majorBidi" w:cstheme="majorBidi"/>
          <w:sz w:val="24"/>
          <w:szCs w:val="24"/>
          <w:lang w:val="en-US"/>
        </w:rPr>
        <w:t xml:space="preserve"> 2001)</w:t>
      </w:r>
      <w:r w:rsidR="00310CA7" w:rsidRPr="00E50F9D">
        <w:rPr>
          <w:rFonts w:asciiTheme="majorBidi" w:hAnsiTheme="majorBidi" w:cstheme="majorBidi"/>
          <w:sz w:val="24"/>
          <w:szCs w:val="24"/>
          <w:lang w:val="en-US"/>
        </w:rPr>
        <w:t>,</w:t>
      </w:r>
      <w:r w:rsidRPr="00E50F9D">
        <w:rPr>
          <w:rFonts w:asciiTheme="majorBidi" w:hAnsiTheme="majorBidi" w:cstheme="majorBidi"/>
          <w:sz w:val="24"/>
          <w:szCs w:val="24"/>
          <w:lang w:val="en-US"/>
        </w:rPr>
        <w:t xml:space="preserve"> b</w:t>
      </w:r>
      <w:r w:rsidR="00F25251" w:rsidRPr="00E50F9D">
        <w:rPr>
          <w:rFonts w:asciiTheme="majorBidi" w:hAnsiTheme="majorBidi" w:cstheme="majorBidi"/>
          <w:sz w:val="24"/>
          <w:szCs w:val="24"/>
          <w:lang w:val="en-US"/>
        </w:rPr>
        <w:t>ranch efficiency d</w:t>
      </w:r>
      <w:r w:rsidRPr="00E50F9D">
        <w:rPr>
          <w:rFonts w:asciiTheme="majorBidi" w:hAnsiTheme="majorBidi" w:cstheme="majorBidi"/>
          <w:sz w:val="24"/>
          <w:szCs w:val="24"/>
          <w:lang w:val="en-US"/>
        </w:rPr>
        <w:t>epend</w:t>
      </w:r>
      <w:r w:rsidR="00F25251" w:rsidRPr="00E50F9D">
        <w:rPr>
          <w:rFonts w:asciiTheme="majorBidi" w:hAnsiTheme="majorBidi" w:cstheme="majorBidi"/>
          <w:sz w:val="24"/>
          <w:szCs w:val="24"/>
          <w:lang w:val="en-US"/>
        </w:rPr>
        <w:t>s</w:t>
      </w:r>
      <w:r w:rsidRPr="00E50F9D">
        <w:rPr>
          <w:rFonts w:asciiTheme="majorBidi" w:hAnsiTheme="majorBidi" w:cstheme="majorBidi"/>
          <w:sz w:val="24"/>
          <w:szCs w:val="24"/>
          <w:lang w:val="en-US"/>
        </w:rPr>
        <w:t xml:space="preserve"> on the amount of control of the senior management on a bank’s operations. </w:t>
      </w:r>
      <w:r w:rsidR="00991289" w:rsidRPr="00E50F9D">
        <w:rPr>
          <w:rFonts w:asciiTheme="majorBidi" w:hAnsiTheme="majorBidi" w:cstheme="majorBidi"/>
          <w:sz w:val="24"/>
          <w:szCs w:val="24"/>
          <w:lang w:val="en-US"/>
        </w:rPr>
        <w:t>Accordingly</w:t>
      </w:r>
      <w:r w:rsidR="00D7478D" w:rsidRPr="00E50F9D">
        <w:rPr>
          <w:rFonts w:asciiTheme="majorBidi" w:hAnsiTheme="majorBidi" w:cstheme="majorBidi"/>
          <w:sz w:val="24"/>
          <w:szCs w:val="24"/>
          <w:lang w:val="en-US"/>
        </w:rPr>
        <w:t xml:space="preserve">, </w:t>
      </w:r>
      <w:r w:rsidRPr="00E50F9D">
        <w:rPr>
          <w:rFonts w:asciiTheme="majorBidi" w:hAnsiTheme="majorBidi" w:cstheme="majorBidi"/>
          <w:sz w:val="24"/>
          <w:szCs w:val="24"/>
          <w:lang w:val="en-US"/>
        </w:rPr>
        <w:t>Deng and Elysiani (2008) maintain that local managers are freer to pursue interests divergent from the holding company because the system of internal control becomes less efficient a</w:t>
      </w:r>
      <w:r w:rsidR="003F3F88" w:rsidRPr="00E50F9D">
        <w:rPr>
          <w:rFonts w:asciiTheme="majorBidi" w:hAnsiTheme="majorBidi" w:cstheme="majorBidi"/>
          <w:sz w:val="24"/>
          <w:szCs w:val="24"/>
          <w:lang w:val="en-US"/>
        </w:rPr>
        <w:t>s</w:t>
      </w:r>
      <w:r w:rsidRPr="00E50F9D">
        <w:rPr>
          <w:rFonts w:asciiTheme="majorBidi" w:hAnsiTheme="majorBidi" w:cstheme="majorBidi"/>
          <w:sz w:val="24"/>
          <w:szCs w:val="24"/>
          <w:lang w:val="en-US"/>
        </w:rPr>
        <w:t xml:space="preserve"> the distance between the headquarters and its subsidiaries</w:t>
      </w:r>
      <w:r w:rsidR="003F3F88" w:rsidRPr="00E50F9D">
        <w:rPr>
          <w:rFonts w:asciiTheme="majorBidi" w:hAnsiTheme="majorBidi" w:cstheme="majorBidi"/>
          <w:sz w:val="24"/>
          <w:szCs w:val="24"/>
          <w:lang w:val="en-US"/>
        </w:rPr>
        <w:t xml:space="preserve"> increases</w:t>
      </w:r>
      <w:r w:rsidRPr="00E50F9D">
        <w:rPr>
          <w:rFonts w:asciiTheme="majorBidi" w:hAnsiTheme="majorBidi" w:cstheme="majorBidi"/>
          <w:sz w:val="24"/>
          <w:szCs w:val="24"/>
          <w:lang w:val="en-US"/>
        </w:rPr>
        <w:t>. However, Berge</w:t>
      </w:r>
      <w:r w:rsidR="00991289" w:rsidRPr="00E50F9D">
        <w:rPr>
          <w:rFonts w:asciiTheme="majorBidi" w:hAnsiTheme="majorBidi" w:cstheme="majorBidi"/>
          <w:sz w:val="24"/>
          <w:szCs w:val="24"/>
          <w:lang w:val="en-US"/>
        </w:rPr>
        <w:t>r and DeYoung (2006) state that</w:t>
      </w:r>
      <w:r w:rsidRPr="00E50F9D">
        <w:rPr>
          <w:rFonts w:asciiTheme="majorBidi" w:hAnsiTheme="majorBidi" w:cstheme="majorBidi"/>
          <w:sz w:val="24"/>
          <w:szCs w:val="24"/>
          <w:lang w:val="en-US"/>
        </w:rPr>
        <w:t xml:space="preserve"> the opposite could also be true: if the managers at the headquarters are inept, the increased distance from the headquarters can prevent transmission of their ineff</w:t>
      </w:r>
      <w:r w:rsidR="00310CA7" w:rsidRPr="00E50F9D">
        <w:rPr>
          <w:rFonts w:asciiTheme="majorBidi" w:hAnsiTheme="majorBidi" w:cstheme="majorBidi"/>
          <w:sz w:val="24"/>
          <w:szCs w:val="24"/>
          <w:lang w:val="en-US"/>
        </w:rPr>
        <w:t>ectiveness</w:t>
      </w:r>
      <w:r w:rsidRPr="00E50F9D">
        <w:rPr>
          <w:rFonts w:asciiTheme="majorBidi" w:hAnsiTheme="majorBidi" w:cstheme="majorBidi"/>
          <w:sz w:val="24"/>
          <w:szCs w:val="24"/>
          <w:lang w:val="en-US"/>
        </w:rPr>
        <w:t xml:space="preserve"> to the branches. </w:t>
      </w:r>
      <w:r w:rsidR="00310CA7" w:rsidRPr="00E50F9D">
        <w:rPr>
          <w:rFonts w:asciiTheme="majorBidi" w:hAnsiTheme="majorBidi" w:cstheme="majorBidi"/>
          <w:sz w:val="24"/>
          <w:szCs w:val="24"/>
          <w:lang w:val="en-US"/>
        </w:rPr>
        <w:t>More s</w:t>
      </w:r>
      <w:r w:rsidRPr="00E50F9D">
        <w:rPr>
          <w:rFonts w:asciiTheme="majorBidi" w:hAnsiTheme="majorBidi" w:cstheme="majorBidi"/>
          <w:sz w:val="24"/>
          <w:szCs w:val="24"/>
          <w:lang w:val="en-US"/>
        </w:rPr>
        <w:t xml:space="preserve">pecifically, they find that technological progress allows banks to exercises more control over affiliated banks. </w:t>
      </w:r>
    </w:p>
    <w:p w14:paraId="7A56E6C1" w14:textId="11766C3E" w:rsidR="00C34CFF" w:rsidRPr="00E50F9D" w:rsidRDefault="00852367" w:rsidP="00810C6D">
      <w:pPr>
        <w:autoSpaceDE w:val="0"/>
        <w:autoSpaceDN w:val="0"/>
        <w:adjustRightInd w:val="0"/>
        <w:spacing w:after="0" w:line="480" w:lineRule="auto"/>
        <w:ind w:firstLine="567"/>
        <w:jc w:val="both"/>
        <w:rPr>
          <w:rFonts w:asciiTheme="majorBidi" w:hAnsiTheme="majorBidi" w:cstheme="majorBidi"/>
          <w:sz w:val="24"/>
          <w:szCs w:val="24"/>
          <w:lang w:val="en-US"/>
        </w:rPr>
      </w:pPr>
      <w:r w:rsidRPr="00E50F9D">
        <w:rPr>
          <w:rFonts w:asciiTheme="majorBidi" w:hAnsiTheme="majorBidi" w:cstheme="majorBidi"/>
          <w:sz w:val="24"/>
          <w:szCs w:val="24"/>
          <w:lang w:val="en-US"/>
        </w:rPr>
        <w:t xml:space="preserve">While the distance between a bank’s headquarters and its branches has been utilized in a number of previous studies, the relative dispersion of the branch network in the territory has been </w:t>
      </w:r>
      <w:r w:rsidR="00651966" w:rsidRPr="00E50F9D">
        <w:rPr>
          <w:rFonts w:asciiTheme="majorBidi" w:hAnsiTheme="majorBidi" w:cstheme="majorBidi"/>
          <w:sz w:val="24"/>
          <w:szCs w:val="24"/>
          <w:lang w:val="en-US"/>
        </w:rPr>
        <w:t>overlooked</w:t>
      </w:r>
      <w:r w:rsidRPr="00E50F9D">
        <w:rPr>
          <w:rFonts w:asciiTheme="majorBidi" w:hAnsiTheme="majorBidi" w:cstheme="majorBidi"/>
          <w:sz w:val="24"/>
          <w:szCs w:val="24"/>
          <w:lang w:val="en-US"/>
        </w:rPr>
        <w:t xml:space="preserve">. In the case of branches that are far away from each other, </w:t>
      </w:r>
      <w:r w:rsidR="00310CA7" w:rsidRPr="00E50F9D">
        <w:rPr>
          <w:rFonts w:asciiTheme="majorBidi" w:hAnsiTheme="majorBidi" w:cstheme="majorBidi"/>
          <w:sz w:val="24"/>
          <w:szCs w:val="24"/>
          <w:lang w:val="en-US"/>
        </w:rPr>
        <w:t>a</w:t>
      </w:r>
      <w:r w:rsidRPr="00E50F9D">
        <w:rPr>
          <w:rFonts w:asciiTheme="majorBidi" w:hAnsiTheme="majorBidi" w:cstheme="majorBidi"/>
          <w:sz w:val="24"/>
          <w:szCs w:val="24"/>
          <w:lang w:val="en-US"/>
        </w:rPr>
        <w:t xml:space="preserve"> bank can suffer high monitoring costs depending on the cultural and structural characteristic dissimilarities of </w:t>
      </w:r>
      <w:r w:rsidR="00810C6D" w:rsidRPr="00E50F9D">
        <w:rPr>
          <w:rFonts w:asciiTheme="majorBidi" w:hAnsiTheme="majorBidi" w:cstheme="majorBidi"/>
          <w:sz w:val="24"/>
          <w:szCs w:val="24"/>
          <w:lang w:val="en-US"/>
        </w:rPr>
        <w:t xml:space="preserve">the </w:t>
      </w:r>
      <w:r w:rsidRPr="00E50F9D">
        <w:rPr>
          <w:rFonts w:asciiTheme="majorBidi" w:hAnsiTheme="majorBidi" w:cstheme="majorBidi"/>
          <w:sz w:val="24"/>
          <w:szCs w:val="24"/>
          <w:lang w:val="en-US"/>
        </w:rPr>
        <w:t xml:space="preserve">local markets where it operates. </w:t>
      </w:r>
      <w:r w:rsidR="00E309C8" w:rsidRPr="00E50F9D">
        <w:rPr>
          <w:rFonts w:asciiTheme="majorBidi" w:hAnsiTheme="majorBidi" w:cstheme="majorBidi"/>
          <w:sz w:val="24"/>
          <w:szCs w:val="24"/>
          <w:lang w:val="en-US"/>
        </w:rPr>
        <w:t>A</w:t>
      </w:r>
      <w:r w:rsidRPr="00E50F9D">
        <w:rPr>
          <w:rFonts w:asciiTheme="majorBidi" w:hAnsiTheme="majorBidi" w:cstheme="majorBidi"/>
          <w:sz w:val="24"/>
          <w:szCs w:val="24"/>
          <w:lang w:val="en-US"/>
        </w:rPr>
        <w:t>gency costs are more likely to emerge because it can be more difficult to moderate and compare the activities of branch managers operating in different areas. In the case of relatively close branches,</w:t>
      </w:r>
      <w:r w:rsidRPr="00E50F9D">
        <w:rPr>
          <w:rFonts w:asciiTheme="majorBidi" w:eastAsiaTheme="minorEastAsia" w:hAnsiTheme="majorBidi" w:cstheme="majorBidi"/>
          <w:sz w:val="24"/>
          <w:szCs w:val="24"/>
          <w:lang w:val="en-GB" w:eastAsia="zh-CN"/>
        </w:rPr>
        <w:t xml:space="preserve"> </w:t>
      </w:r>
      <w:r w:rsidRPr="00E50F9D">
        <w:rPr>
          <w:rFonts w:asciiTheme="majorBidi" w:hAnsiTheme="majorBidi" w:cstheme="majorBidi"/>
          <w:sz w:val="24"/>
          <w:szCs w:val="24"/>
          <w:lang w:val="en-US"/>
        </w:rPr>
        <w:t xml:space="preserve">the installation of an additional branch generates a negative </w:t>
      </w:r>
      <w:r w:rsidR="00810C6D" w:rsidRPr="00E50F9D">
        <w:rPr>
          <w:rFonts w:asciiTheme="majorBidi" w:hAnsiTheme="majorBidi" w:cstheme="majorBidi"/>
          <w:sz w:val="24"/>
          <w:szCs w:val="24"/>
          <w:lang w:val="en-US"/>
        </w:rPr>
        <w:t>externality on the market share</w:t>
      </w:r>
      <w:r w:rsidRPr="00E50F9D">
        <w:rPr>
          <w:rFonts w:asciiTheme="majorBidi" w:hAnsiTheme="majorBidi" w:cstheme="majorBidi"/>
          <w:sz w:val="24"/>
          <w:szCs w:val="24"/>
          <w:lang w:val="en-US"/>
        </w:rPr>
        <w:t xml:space="preserve"> of the </w:t>
      </w:r>
      <w:r w:rsidR="00810C6D" w:rsidRPr="00E50F9D">
        <w:rPr>
          <w:rFonts w:asciiTheme="majorBidi" w:hAnsiTheme="majorBidi" w:cstheme="majorBidi"/>
          <w:sz w:val="24"/>
          <w:szCs w:val="24"/>
          <w:lang w:val="en-US"/>
        </w:rPr>
        <w:t xml:space="preserve">incumbent </w:t>
      </w:r>
      <w:r w:rsidRPr="00E50F9D">
        <w:rPr>
          <w:rFonts w:asciiTheme="majorBidi" w:hAnsiTheme="majorBidi" w:cstheme="majorBidi"/>
          <w:sz w:val="24"/>
          <w:szCs w:val="24"/>
          <w:lang w:val="en-US"/>
        </w:rPr>
        <w:t>branches</w:t>
      </w:r>
      <w:r w:rsidR="00253532" w:rsidRPr="00E50F9D">
        <w:rPr>
          <w:rFonts w:asciiTheme="majorBidi" w:hAnsiTheme="majorBidi" w:cstheme="majorBidi"/>
          <w:sz w:val="24"/>
          <w:szCs w:val="24"/>
          <w:lang w:val="en-US"/>
        </w:rPr>
        <w:t>, especially when</w:t>
      </w:r>
      <w:r w:rsidRPr="00E50F9D">
        <w:rPr>
          <w:rFonts w:asciiTheme="majorBidi" w:hAnsiTheme="majorBidi" w:cstheme="majorBidi"/>
          <w:sz w:val="24"/>
          <w:szCs w:val="24"/>
          <w:lang w:val="en-US"/>
        </w:rPr>
        <w:t xml:space="preserve"> the existing network is </w:t>
      </w:r>
      <w:r w:rsidR="00253532" w:rsidRPr="00E50F9D">
        <w:rPr>
          <w:rFonts w:asciiTheme="majorBidi" w:hAnsiTheme="majorBidi" w:cstheme="majorBidi"/>
          <w:sz w:val="24"/>
          <w:szCs w:val="24"/>
          <w:lang w:val="en-US"/>
        </w:rPr>
        <w:t>large</w:t>
      </w:r>
      <w:r w:rsidRPr="00E50F9D">
        <w:rPr>
          <w:rFonts w:asciiTheme="majorBidi" w:hAnsiTheme="majorBidi" w:cstheme="majorBidi"/>
          <w:sz w:val="24"/>
          <w:szCs w:val="24"/>
          <w:lang w:val="en-GB"/>
        </w:rPr>
        <w:t xml:space="preserve"> (Chiappori et al.</w:t>
      </w:r>
      <w:r w:rsidR="005E259E" w:rsidRPr="00E50F9D">
        <w:rPr>
          <w:rFonts w:asciiTheme="majorBidi" w:hAnsiTheme="majorBidi" w:cstheme="majorBidi"/>
          <w:sz w:val="24"/>
          <w:szCs w:val="24"/>
          <w:lang w:val="en-GB"/>
        </w:rPr>
        <w:t>,</w:t>
      </w:r>
      <w:r w:rsidRPr="00E50F9D">
        <w:rPr>
          <w:rFonts w:asciiTheme="majorBidi" w:hAnsiTheme="majorBidi" w:cstheme="majorBidi"/>
          <w:sz w:val="24"/>
          <w:szCs w:val="24"/>
          <w:lang w:val="en-GB"/>
        </w:rPr>
        <w:t xml:space="preserve"> 1995).</w:t>
      </w:r>
      <w:r w:rsidR="00E309C8" w:rsidRPr="00E50F9D">
        <w:rPr>
          <w:rFonts w:asciiTheme="majorBidi" w:hAnsiTheme="majorBidi" w:cstheme="majorBidi"/>
          <w:sz w:val="24"/>
          <w:szCs w:val="24"/>
          <w:lang w:val="en-GB"/>
        </w:rPr>
        <w:t xml:space="preserve"> </w:t>
      </w:r>
    </w:p>
    <w:p w14:paraId="4DD2E936" w14:textId="37A16711" w:rsidR="00FC1A69" w:rsidRPr="00E50F9D" w:rsidRDefault="00C53A4B" w:rsidP="00C53A4B">
      <w:pPr>
        <w:autoSpaceDE w:val="0"/>
        <w:autoSpaceDN w:val="0"/>
        <w:adjustRightInd w:val="0"/>
        <w:spacing w:after="0" w:line="480" w:lineRule="auto"/>
        <w:ind w:firstLine="567"/>
        <w:jc w:val="both"/>
        <w:rPr>
          <w:rFonts w:asciiTheme="majorBidi" w:hAnsiTheme="majorBidi" w:cstheme="majorBidi"/>
          <w:sz w:val="24"/>
          <w:szCs w:val="24"/>
          <w:lang w:val="en-US"/>
        </w:rPr>
      </w:pPr>
      <w:r w:rsidRPr="00E50F9D">
        <w:rPr>
          <w:rFonts w:ascii="Times New Roman" w:hAnsi="Times New Roman" w:cs="Times New Roman"/>
          <w:sz w:val="24"/>
          <w:szCs w:val="24"/>
          <w:lang w:val="en-GB"/>
        </w:rPr>
        <w:t>However, g</w:t>
      </w:r>
      <w:r w:rsidR="00251C3C" w:rsidRPr="00E50F9D">
        <w:rPr>
          <w:rFonts w:ascii="Times New Roman" w:hAnsi="Times New Roman" w:cs="Times New Roman"/>
          <w:sz w:val="24"/>
          <w:szCs w:val="24"/>
          <w:lang w:val="en-GB"/>
        </w:rPr>
        <w:t>eographically diversified banks are</w:t>
      </w:r>
      <w:r w:rsidRPr="00E50F9D">
        <w:rPr>
          <w:rFonts w:ascii="Times New Roman" w:hAnsi="Times New Roman" w:cs="Times New Roman"/>
          <w:sz w:val="24"/>
          <w:szCs w:val="24"/>
          <w:lang w:val="en-GB"/>
        </w:rPr>
        <w:t xml:space="preserve"> </w:t>
      </w:r>
      <w:r w:rsidR="00251C3C" w:rsidRPr="00E50F9D">
        <w:rPr>
          <w:rFonts w:ascii="Times New Roman" w:hAnsi="Times New Roman" w:cs="Times New Roman"/>
          <w:sz w:val="24"/>
          <w:szCs w:val="24"/>
          <w:lang w:val="en-GB"/>
        </w:rPr>
        <w:t xml:space="preserve">more likely to experience multimarket </w:t>
      </w:r>
      <w:r w:rsidR="008E0999" w:rsidRPr="00E50F9D">
        <w:rPr>
          <w:rFonts w:ascii="Times New Roman" w:hAnsi="Times New Roman" w:cs="Times New Roman"/>
          <w:sz w:val="24"/>
          <w:szCs w:val="24"/>
          <w:lang w:val="en-GB"/>
        </w:rPr>
        <w:t>contacts, which</w:t>
      </w:r>
      <w:r w:rsidR="00251C3C" w:rsidRPr="00E50F9D">
        <w:rPr>
          <w:rFonts w:ascii="Times New Roman" w:hAnsi="Times New Roman" w:cs="Times New Roman"/>
          <w:sz w:val="24"/>
          <w:szCs w:val="24"/>
          <w:lang w:val="en-GB"/>
        </w:rPr>
        <w:t xml:space="preserve"> can induce them to pursue a </w:t>
      </w:r>
      <w:r w:rsidR="00810C6D" w:rsidRPr="00E50F9D">
        <w:rPr>
          <w:rFonts w:ascii="Times New Roman" w:hAnsi="Times New Roman" w:cs="Times New Roman"/>
          <w:sz w:val="24"/>
          <w:szCs w:val="24"/>
          <w:lang w:val="en-GB"/>
        </w:rPr>
        <w:t>strategy of collusion</w:t>
      </w:r>
      <w:r w:rsidR="00251C3C" w:rsidRPr="00E50F9D">
        <w:rPr>
          <w:rFonts w:ascii="Times New Roman" w:hAnsi="Times New Roman" w:cs="Times New Roman"/>
          <w:sz w:val="24"/>
          <w:szCs w:val="24"/>
          <w:lang w:val="en-GB"/>
        </w:rPr>
        <w:t xml:space="preserve"> in order to gain benefits from reciprocal concessions and stronger negotiating positions with rivals (Li and Greenwood, 2004). Coccorese and Pellecchia (2009, 201</w:t>
      </w:r>
      <w:r w:rsidR="000B3ABE" w:rsidRPr="00E50F9D">
        <w:rPr>
          <w:rFonts w:ascii="Times New Roman" w:hAnsi="Times New Roman" w:cs="Times New Roman"/>
          <w:sz w:val="24"/>
          <w:szCs w:val="24"/>
          <w:lang w:val="en-GB"/>
        </w:rPr>
        <w:t>3</w:t>
      </w:r>
      <w:r w:rsidR="00251C3C" w:rsidRPr="00E50F9D">
        <w:rPr>
          <w:rFonts w:ascii="Times New Roman" w:hAnsi="Times New Roman" w:cs="Times New Roman"/>
          <w:sz w:val="24"/>
          <w:szCs w:val="24"/>
          <w:lang w:val="en-GB"/>
        </w:rPr>
        <w:t xml:space="preserve">) show that multimarket contact </w:t>
      </w:r>
      <w:r w:rsidR="00866C72" w:rsidRPr="00E50F9D">
        <w:rPr>
          <w:rFonts w:ascii="Times New Roman" w:hAnsi="Times New Roman" w:cs="Times New Roman"/>
          <w:sz w:val="24"/>
          <w:szCs w:val="24"/>
          <w:lang w:val="en-GB"/>
        </w:rPr>
        <w:t>reduce</w:t>
      </w:r>
      <w:r w:rsidR="00CC61FF" w:rsidRPr="00E50F9D">
        <w:rPr>
          <w:rFonts w:ascii="Times New Roman" w:hAnsi="Times New Roman" w:cs="Times New Roman"/>
          <w:sz w:val="24"/>
          <w:szCs w:val="24"/>
          <w:lang w:val="en-GB"/>
        </w:rPr>
        <w:t>s</w:t>
      </w:r>
      <w:r w:rsidR="00866C72" w:rsidRPr="00E50F9D">
        <w:rPr>
          <w:rFonts w:ascii="Times New Roman" w:hAnsi="Times New Roman" w:cs="Times New Roman"/>
          <w:sz w:val="24"/>
          <w:szCs w:val="24"/>
          <w:lang w:val="en-GB"/>
        </w:rPr>
        <w:t xml:space="preserve"> </w:t>
      </w:r>
      <w:r w:rsidR="00251C3C" w:rsidRPr="00E50F9D">
        <w:rPr>
          <w:rFonts w:ascii="Times New Roman" w:hAnsi="Times New Roman" w:cs="Times New Roman"/>
          <w:sz w:val="24"/>
          <w:szCs w:val="24"/>
          <w:lang w:val="en-GB"/>
        </w:rPr>
        <w:t>competition in the Italian banking system.</w:t>
      </w:r>
      <w:r w:rsidR="00251C3C" w:rsidRPr="00E50F9D">
        <w:rPr>
          <w:rFonts w:asciiTheme="majorBidi" w:hAnsiTheme="majorBidi" w:cstheme="majorBidi"/>
          <w:sz w:val="24"/>
          <w:szCs w:val="24"/>
          <w:lang w:val="en-GB"/>
        </w:rPr>
        <w:t xml:space="preserve"> </w:t>
      </w:r>
      <w:r w:rsidR="00CC61FF" w:rsidRPr="00E50F9D">
        <w:rPr>
          <w:rFonts w:asciiTheme="majorBidi" w:hAnsiTheme="majorBidi" w:cstheme="majorBidi"/>
          <w:sz w:val="24"/>
          <w:szCs w:val="24"/>
          <w:lang w:val="en-US"/>
        </w:rPr>
        <w:t>Drawing on the</w:t>
      </w:r>
      <w:r w:rsidR="004D24D4" w:rsidRPr="00E50F9D">
        <w:rPr>
          <w:rFonts w:asciiTheme="majorBidi" w:hAnsiTheme="majorBidi" w:cstheme="majorBidi"/>
          <w:sz w:val="24"/>
          <w:szCs w:val="24"/>
          <w:lang w:val="en-US"/>
        </w:rPr>
        <w:t>se</w:t>
      </w:r>
      <w:r w:rsidR="00CC61FF" w:rsidRPr="00E50F9D">
        <w:rPr>
          <w:rFonts w:asciiTheme="majorBidi" w:hAnsiTheme="majorBidi" w:cstheme="majorBidi"/>
          <w:sz w:val="24"/>
          <w:szCs w:val="24"/>
          <w:lang w:val="en-US"/>
        </w:rPr>
        <w:t xml:space="preserve"> previous arguments, </w:t>
      </w:r>
      <w:r w:rsidR="005B5520" w:rsidRPr="00E50F9D">
        <w:rPr>
          <w:rFonts w:asciiTheme="majorBidi" w:hAnsiTheme="majorBidi" w:cstheme="majorBidi"/>
          <w:sz w:val="24"/>
          <w:szCs w:val="24"/>
          <w:lang w:val="en-GB"/>
        </w:rPr>
        <w:t xml:space="preserve">we formulate </w:t>
      </w:r>
      <w:r w:rsidR="00080ADC" w:rsidRPr="00E50F9D">
        <w:rPr>
          <w:rFonts w:asciiTheme="majorBidi" w:hAnsiTheme="majorBidi" w:cstheme="majorBidi"/>
          <w:sz w:val="24"/>
          <w:szCs w:val="24"/>
          <w:lang w:val="en-GB"/>
        </w:rPr>
        <w:t>the following hypotheses</w:t>
      </w:r>
      <w:r w:rsidR="00891F3C" w:rsidRPr="00E50F9D">
        <w:rPr>
          <w:rFonts w:asciiTheme="majorBidi" w:hAnsiTheme="majorBidi" w:cstheme="majorBidi"/>
          <w:sz w:val="24"/>
          <w:szCs w:val="24"/>
          <w:lang w:val="en-GB"/>
        </w:rPr>
        <w:t>:</w:t>
      </w:r>
    </w:p>
    <w:p w14:paraId="2F499350" w14:textId="77777777" w:rsidR="002F325A" w:rsidRPr="00E50F9D" w:rsidRDefault="002F325A" w:rsidP="00CC61FF">
      <w:pPr>
        <w:autoSpaceDE w:val="0"/>
        <w:autoSpaceDN w:val="0"/>
        <w:adjustRightInd w:val="0"/>
        <w:spacing w:after="0" w:line="480" w:lineRule="auto"/>
        <w:jc w:val="both"/>
        <w:rPr>
          <w:rFonts w:asciiTheme="majorBidi" w:hAnsiTheme="majorBidi" w:cstheme="majorBidi"/>
          <w:sz w:val="24"/>
          <w:szCs w:val="24"/>
          <w:lang w:val="en-US"/>
        </w:rPr>
      </w:pPr>
    </w:p>
    <w:p w14:paraId="1BC7468C" w14:textId="689948B8" w:rsidR="00EC05EB" w:rsidRPr="00E50F9D" w:rsidRDefault="00F23CF1" w:rsidP="00476BCF">
      <w:pPr>
        <w:autoSpaceDE w:val="0"/>
        <w:autoSpaceDN w:val="0"/>
        <w:adjustRightInd w:val="0"/>
        <w:spacing w:after="0" w:line="480" w:lineRule="auto"/>
        <w:ind w:left="567" w:hanging="567"/>
        <w:jc w:val="both"/>
        <w:rPr>
          <w:rFonts w:asciiTheme="majorBidi" w:hAnsiTheme="majorBidi" w:cstheme="majorBidi"/>
          <w:i/>
          <w:iCs/>
          <w:sz w:val="24"/>
          <w:szCs w:val="24"/>
          <w:lang w:val="en-GB"/>
        </w:rPr>
      </w:pPr>
      <w:r w:rsidRPr="00E50F9D">
        <w:rPr>
          <w:rFonts w:asciiTheme="majorBidi" w:hAnsiTheme="majorBidi" w:cstheme="majorBidi"/>
          <w:i/>
          <w:iCs/>
          <w:sz w:val="24"/>
          <w:szCs w:val="24"/>
          <w:lang w:val="en-GB"/>
        </w:rPr>
        <w:t>H1</w:t>
      </w:r>
      <w:r w:rsidR="00C47B4D" w:rsidRPr="00E50F9D">
        <w:rPr>
          <w:rFonts w:asciiTheme="majorBidi" w:hAnsiTheme="majorBidi" w:cstheme="majorBidi"/>
          <w:i/>
          <w:iCs/>
          <w:sz w:val="24"/>
          <w:szCs w:val="24"/>
          <w:lang w:val="en-GB"/>
        </w:rPr>
        <w:t>.a</w:t>
      </w:r>
      <w:r w:rsidRPr="00E50F9D">
        <w:rPr>
          <w:rFonts w:asciiTheme="majorBidi" w:hAnsiTheme="majorBidi" w:cstheme="majorBidi"/>
          <w:i/>
          <w:iCs/>
          <w:sz w:val="24"/>
          <w:szCs w:val="24"/>
          <w:lang w:val="en-GB"/>
        </w:rPr>
        <w:t>:</w:t>
      </w:r>
      <w:r w:rsidR="00512655" w:rsidRPr="00E50F9D">
        <w:rPr>
          <w:rFonts w:asciiTheme="majorBidi" w:hAnsiTheme="majorBidi" w:cstheme="majorBidi"/>
          <w:i/>
          <w:iCs/>
          <w:sz w:val="24"/>
          <w:szCs w:val="24"/>
          <w:lang w:val="en-GB"/>
        </w:rPr>
        <w:tab/>
      </w:r>
      <w:r w:rsidRPr="00E50F9D">
        <w:rPr>
          <w:rFonts w:asciiTheme="majorBidi" w:hAnsiTheme="majorBidi" w:cstheme="majorBidi"/>
          <w:i/>
          <w:iCs/>
          <w:sz w:val="24"/>
          <w:szCs w:val="24"/>
          <w:lang w:val="en-GB"/>
        </w:rPr>
        <w:t xml:space="preserve">Geographical diversification </w:t>
      </w:r>
      <w:r w:rsidR="00080ADC" w:rsidRPr="00E50F9D">
        <w:rPr>
          <w:rFonts w:asciiTheme="majorBidi" w:hAnsiTheme="majorBidi" w:cstheme="majorBidi"/>
          <w:i/>
          <w:iCs/>
          <w:sz w:val="24"/>
          <w:szCs w:val="24"/>
          <w:lang w:val="en-GB"/>
        </w:rPr>
        <w:t xml:space="preserve">has </w:t>
      </w:r>
      <w:r w:rsidR="001E3CFF" w:rsidRPr="00E50F9D">
        <w:rPr>
          <w:rFonts w:asciiTheme="majorBidi" w:hAnsiTheme="majorBidi" w:cstheme="majorBidi"/>
          <w:i/>
          <w:iCs/>
          <w:sz w:val="24"/>
          <w:szCs w:val="24"/>
          <w:lang w:val="en-GB"/>
        </w:rPr>
        <w:t>a negative</w:t>
      </w:r>
      <w:r w:rsidR="00EC05EB" w:rsidRPr="00E50F9D">
        <w:rPr>
          <w:rFonts w:asciiTheme="majorBidi" w:hAnsiTheme="majorBidi" w:cstheme="majorBidi"/>
          <w:i/>
          <w:iCs/>
          <w:sz w:val="24"/>
          <w:szCs w:val="24"/>
          <w:lang w:val="en-GB"/>
        </w:rPr>
        <w:t xml:space="preserve"> </w:t>
      </w:r>
      <w:r w:rsidR="001E3CFF" w:rsidRPr="00E50F9D">
        <w:rPr>
          <w:rFonts w:asciiTheme="majorBidi" w:hAnsiTheme="majorBidi" w:cstheme="majorBidi"/>
          <w:i/>
          <w:iCs/>
          <w:sz w:val="24"/>
          <w:szCs w:val="24"/>
          <w:lang w:val="en-GB"/>
        </w:rPr>
        <w:t>impact on performan</w:t>
      </w:r>
      <w:r w:rsidR="00486EE7" w:rsidRPr="00E50F9D">
        <w:rPr>
          <w:rFonts w:asciiTheme="majorBidi" w:hAnsiTheme="majorBidi" w:cstheme="majorBidi"/>
          <w:i/>
          <w:iCs/>
          <w:sz w:val="24"/>
          <w:szCs w:val="24"/>
          <w:lang w:val="en-GB"/>
        </w:rPr>
        <w:t>ce</w:t>
      </w:r>
      <w:r w:rsidR="007F1B75" w:rsidRPr="00E50F9D">
        <w:rPr>
          <w:rFonts w:asciiTheme="majorBidi" w:hAnsiTheme="majorBidi" w:cstheme="majorBidi"/>
          <w:i/>
          <w:iCs/>
          <w:sz w:val="24"/>
          <w:szCs w:val="24"/>
          <w:lang w:val="en-GB"/>
        </w:rPr>
        <w:t>.</w:t>
      </w:r>
    </w:p>
    <w:p w14:paraId="004B4D57" w14:textId="6CD39A1D" w:rsidR="00080ADC" w:rsidRPr="00E50F9D" w:rsidRDefault="00080ADC" w:rsidP="00080ADC">
      <w:pPr>
        <w:autoSpaceDE w:val="0"/>
        <w:autoSpaceDN w:val="0"/>
        <w:adjustRightInd w:val="0"/>
        <w:spacing w:after="0" w:line="480" w:lineRule="auto"/>
        <w:ind w:left="567" w:hanging="567"/>
        <w:jc w:val="both"/>
        <w:rPr>
          <w:rFonts w:asciiTheme="majorBidi" w:hAnsiTheme="majorBidi" w:cstheme="majorBidi"/>
          <w:i/>
          <w:iCs/>
          <w:sz w:val="24"/>
          <w:szCs w:val="24"/>
          <w:lang w:val="en-GB"/>
        </w:rPr>
      </w:pPr>
      <w:r w:rsidRPr="00E50F9D">
        <w:rPr>
          <w:rFonts w:asciiTheme="majorBidi" w:hAnsiTheme="majorBidi" w:cstheme="majorBidi"/>
          <w:i/>
          <w:iCs/>
          <w:sz w:val="24"/>
          <w:szCs w:val="24"/>
          <w:lang w:val="en-GB"/>
        </w:rPr>
        <w:t>H1.b:</w:t>
      </w:r>
      <w:r w:rsidRPr="00E50F9D">
        <w:rPr>
          <w:rFonts w:asciiTheme="majorBidi" w:hAnsiTheme="majorBidi" w:cstheme="majorBidi"/>
          <w:i/>
          <w:iCs/>
          <w:sz w:val="24"/>
          <w:szCs w:val="24"/>
          <w:lang w:val="en-GB"/>
        </w:rPr>
        <w:tab/>
        <w:t xml:space="preserve">The distance between a bank’s headquarters and its branches has a negative impact on </w:t>
      </w:r>
      <w:r w:rsidR="00596264" w:rsidRPr="00E50F9D">
        <w:rPr>
          <w:rFonts w:asciiTheme="majorBidi" w:hAnsiTheme="majorBidi" w:cstheme="majorBidi"/>
          <w:i/>
          <w:iCs/>
          <w:sz w:val="24"/>
          <w:szCs w:val="24"/>
          <w:lang w:val="en-GB"/>
        </w:rPr>
        <w:t>performance</w:t>
      </w:r>
      <w:r w:rsidRPr="00E50F9D">
        <w:rPr>
          <w:rFonts w:asciiTheme="majorBidi" w:hAnsiTheme="majorBidi" w:cstheme="majorBidi"/>
          <w:i/>
          <w:iCs/>
          <w:sz w:val="24"/>
          <w:szCs w:val="24"/>
          <w:lang w:val="en-GB"/>
        </w:rPr>
        <w:t>.</w:t>
      </w:r>
    </w:p>
    <w:p w14:paraId="6D7BCDBA" w14:textId="1F4DA27B" w:rsidR="00080ADC" w:rsidRPr="00E50F9D" w:rsidRDefault="00080ADC" w:rsidP="00080ADC">
      <w:pPr>
        <w:autoSpaceDE w:val="0"/>
        <w:autoSpaceDN w:val="0"/>
        <w:adjustRightInd w:val="0"/>
        <w:spacing w:after="0" w:line="480" w:lineRule="auto"/>
        <w:ind w:left="567" w:hanging="567"/>
        <w:jc w:val="both"/>
        <w:rPr>
          <w:rFonts w:asciiTheme="majorBidi" w:hAnsiTheme="majorBidi" w:cstheme="majorBidi"/>
          <w:i/>
          <w:iCs/>
          <w:sz w:val="24"/>
          <w:szCs w:val="24"/>
          <w:lang w:val="en-GB"/>
        </w:rPr>
      </w:pPr>
      <w:r w:rsidRPr="00E50F9D">
        <w:rPr>
          <w:rFonts w:asciiTheme="majorBidi" w:hAnsiTheme="majorBidi" w:cstheme="majorBidi"/>
          <w:i/>
          <w:iCs/>
          <w:sz w:val="24"/>
          <w:szCs w:val="24"/>
          <w:lang w:val="en-GB"/>
        </w:rPr>
        <w:t>H1.c:</w:t>
      </w:r>
      <w:r w:rsidRPr="00E50F9D">
        <w:rPr>
          <w:rFonts w:asciiTheme="majorBidi" w:hAnsiTheme="majorBidi" w:cstheme="majorBidi"/>
          <w:i/>
          <w:iCs/>
          <w:sz w:val="24"/>
          <w:szCs w:val="24"/>
          <w:lang w:val="en-GB"/>
        </w:rPr>
        <w:tab/>
        <w:t xml:space="preserve">Geographical diversification has a negative impact </w:t>
      </w:r>
      <w:r w:rsidR="00596264" w:rsidRPr="00E50F9D">
        <w:rPr>
          <w:rFonts w:asciiTheme="majorBidi" w:hAnsiTheme="majorBidi" w:cstheme="majorBidi"/>
          <w:i/>
          <w:iCs/>
          <w:sz w:val="24"/>
          <w:szCs w:val="24"/>
          <w:lang w:val="en-GB"/>
        </w:rPr>
        <w:t>on monopoly market power</w:t>
      </w:r>
      <w:r w:rsidR="003B5CD2" w:rsidRPr="00E50F9D">
        <w:rPr>
          <w:rFonts w:asciiTheme="majorBidi" w:hAnsiTheme="majorBidi" w:cstheme="majorBidi"/>
          <w:i/>
          <w:iCs/>
          <w:sz w:val="24"/>
          <w:szCs w:val="24"/>
          <w:lang w:val="en-GB"/>
        </w:rPr>
        <w:t>.</w:t>
      </w:r>
    </w:p>
    <w:p w14:paraId="419047B0" w14:textId="656C1867" w:rsidR="00080ADC" w:rsidRPr="00E50F9D" w:rsidRDefault="00080ADC" w:rsidP="00080ADC">
      <w:pPr>
        <w:autoSpaceDE w:val="0"/>
        <w:autoSpaceDN w:val="0"/>
        <w:adjustRightInd w:val="0"/>
        <w:spacing w:after="0" w:line="480" w:lineRule="auto"/>
        <w:ind w:left="567" w:hanging="567"/>
        <w:jc w:val="both"/>
        <w:rPr>
          <w:rFonts w:asciiTheme="majorBidi" w:hAnsiTheme="majorBidi" w:cstheme="majorBidi"/>
          <w:i/>
          <w:iCs/>
          <w:sz w:val="24"/>
          <w:szCs w:val="24"/>
          <w:lang w:val="en-GB"/>
        </w:rPr>
      </w:pPr>
      <w:r w:rsidRPr="00E50F9D">
        <w:rPr>
          <w:rFonts w:asciiTheme="majorBidi" w:hAnsiTheme="majorBidi" w:cstheme="majorBidi"/>
          <w:i/>
          <w:iCs/>
          <w:sz w:val="24"/>
          <w:szCs w:val="24"/>
          <w:lang w:val="en-GB"/>
        </w:rPr>
        <w:t>H1.d:</w:t>
      </w:r>
      <w:r w:rsidRPr="00E50F9D">
        <w:rPr>
          <w:rFonts w:asciiTheme="majorBidi" w:hAnsiTheme="majorBidi" w:cstheme="majorBidi"/>
          <w:i/>
          <w:iCs/>
          <w:sz w:val="24"/>
          <w:szCs w:val="24"/>
          <w:lang w:val="en-GB"/>
        </w:rPr>
        <w:tab/>
        <w:t>The distance between a bank’s headquarters and its branches has a negative impact on monopoly market power.</w:t>
      </w:r>
    </w:p>
    <w:p w14:paraId="1BE42E0C" w14:textId="77777777" w:rsidR="00EC05EB" w:rsidRPr="00E50F9D" w:rsidRDefault="00EC05EB" w:rsidP="005B5520">
      <w:pPr>
        <w:autoSpaceDE w:val="0"/>
        <w:autoSpaceDN w:val="0"/>
        <w:adjustRightInd w:val="0"/>
        <w:spacing w:after="0" w:line="480" w:lineRule="auto"/>
        <w:jc w:val="both"/>
        <w:rPr>
          <w:rFonts w:asciiTheme="majorBidi" w:hAnsiTheme="majorBidi" w:cstheme="majorBidi"/>
          <w:i/>
          <w:iCs/>
          <w:sz w:val="24"/>
          <w:szCs w:val="24"/>
          <w:lang w:val="en-GB"/>
        </w:rPr>
      </w:pPr>
    </w:p>
    <w:p w14:paraId="5D857B3B" w14:textId="091DCCF3" w:rsidR="009D5A37" w:rsidRPr="00E50F9D" w:rsidRDefault="009D5A37" w:rsidP="009D5A37">
      <w:pPr>
        <w:autoSpaceDE w:val="0"/>
        <w:autoSpaceDN w:val="0"/>
        <w:adjustRightInd w:val="0"/>
        <w:spacing w:after="0" w:line="480" w:lineRule="auto"/>
        <w:ind w:firstLine="567"/>
        <w:jc w:val="both"/>
        <w:rPr>
          <w:rFonts w:asciiTheme="majorBidi" w:hAnsiTheme="majorBidi" w:cstheme="majorBidi"/>
          <w:sz w:val="24"/>
          <w:szCs w:val="24"/>
          <w:lang w:val="en-US"/>
        </w:rPr>
      </w:pPr>
      <w:r w:rsidRPr="00E50F9D">
        <w:rPr>
          <w:rFonts w:asciiTheme="majorBidi" w:hAnsiTheme="majorBidi" w:cstheme="majorBidi"/>
          <w:color w:val="000000"/>
          <w:sz w:val="24"/>
          <w:szCs w:val="24"/>
          <w:shd w:val="clear" w:color="auto" w:fill="FFFFFF"/>
          <w:lang w:val="en-GB"/>
        </w:rPr>
        <w:t>In the banking sector, geographic</w:t>
      </w:r>
      <w:r w:rsidRPr="00E50F9D">
        <w:rPr>
          <w:rFonts w:asciiTheme="majorBidi" w:hAnsiTheme="majorBidi" w:cstheme="majorBidi"/>
          <w:sz w:val="24"/>
          <w:szCs w:val="24"/>
          <w:lang w:val="en-US"/>
        </w:rPr>
        <w:t xml:space="preserve"> proximity to clients represents an important competitive advantage, especially in the case of small business loans, where transaction costs, such as transportation and information costs exist and are non-negligible (Dell’Ariccia, 2001). Banks need to collect information about local economic conditions and customers in order to assess their credit profile. </w:t>
      </w:r>
      <w:r w:rsidR="00C268F5" w:rsidRPr="00E50F9D">
        <w:rPr>
          <w:rFonts w:asciiTheme="majorBidi" w:hAnsiTheme="majorBidi" w:cstheme="majorBidi"/>
          <w:sz w:val="24"/>
          <w:szCs w:val="24"/>
          <w:lang w:val="en-US"/>
        </w:rPr>
        <w:t xml:space="preserve">Banks’ proximity to clients can be an important factor in overcoming asymmetric information problems. </w:t>
      </w:r>
      <w:r w:rsidRPr="00E50F9D">
        <w:rPr>
          <w:rFonts w:asciiTheme="majorBidi" w:hAnsiTheme="majorBidi" w:cstheme="majorBidi"/>
          <w:sz w:val="24"/>
          <w:szCs w:val="24"/>
          <w:lang w:val="en-US"/>
        </w:rPr>
        <w:t>On the other hand, recent technological innovations (such as e-banking and phone-banking) have facilitated the transmission of information across large distances, in this way altering the manner in which a bank enters a market and decreasing the proximity of</w:t>
      </w:r>
      <w:r w:rsidRPr="00E50F9D">
        <w:rPr>
          <w:rFonts w:asciiTheme="majorBidi" w:hAnsiTheme="majorBidi" w:cstheme="majorBidi"/>
          <w:sz w:val="24"/>
          <w:szCs w:val="24"/>
          <w:lang w:val="en-GB"/>
        </w:rPr>
        <w:t xml:space="preserve"> banks relative </w:t>
      </w:r>
      <w:r w:rsidRPr="00E50F9D">
        <w:rPr>
          <w:rFonts w:asciiTheme="majorBidi" w:hAnsiTheme="majorBidi" w:cstheme="majorBidi"/>
          <w:sz w:val="24"/>
          <w:szCs w:val="24"/>
          <w:lang w:val="en-US"/>
        </w:rPr>
        <w:t>to their</w:t>
      </w:r>
      <w:r w:rsidRPr="00E50F9D">
        <w:rPr>
          <w:rFonts w:asciiTheme="majorBidi" w:hAnsiTheme="majorBidi" w:cstheme="majorBidi"/>
          <w:sz w:val="24"/>
          <w:szCs w:val="24"/>
          <w:lang w:val="en-GB"/>
        </w:rPr>
        <w:t xml:space="preserve"> clientele</w:t>
      </w:r>
      <w:r w:rsidRPr="00E50F9D">
        <w:rPr>
          <w:rFonts w:asciiTheme="majorBidi" w:hAnsiTheme="majorBidi" w:cstheme="majorBidi"/>
          <w:sz w:val="24"/>
          <w:szCs w:val="24"/>
          <w:lang w:val="en-US"/>
        </w:rPr>
        <w:t xml:space="preserve"> (Cerqueiro et al., 2009). Corvoisier and Gropp (2009) find, for example, that the internet reduces the sunk costs of entering a market for a panel of Euro-area countries, since banks can provide their customers with deposits without the cost of setting up “brick and mortar” branches.</w:t>
      </w:r>
    </w:p>
    <w:p w14:paraId="3DD3BA59" w14:textId="547D0C62" w:rsidR="00BE73AB" w:rsidRPr="00E50F9D" w:rsidRDefault="009D5A37" w:rsidP="009D5A37">
      <w:pPr>
        <w:autoSpaceDE w:val="0"/>
        <w:autoSpaceDN w:val="0"/>
        <w:adjustRightInd w:val="0"/>
        <w:spacing w:after="0" w:line="480" w:lineRule="auto"/>
        <w:ind w:firstLine="567"/>
        <w:jc w:val="both"/>
        <w:rPr>
          <w:rFonts w:asciiTheme="majorBidi" w:hAnsiTheme="majorBidi" w:cstheme="majorBidi"/>
          <w:sz w:val="24"/>
          <w:szCs w:val="24"/>
          <w:lang w:val="en-US"/>
        </w:rPr>
      </w:pPr>
      <w:r w:rsidRPr="00E50F9D">
        <w:rPr>
          <w:rFonts w:asciiTheme="majorBidi" w:hAnsiTheme="majorBidi" w:cstheme="majorBidi"/>
          <w:sz w:val="24"/>
          <w:szCs w:val="24"/>
          <w:lang w:val="en-US"/>
        </w:rPr>
        <w:t xml:space="preserve">With regard to our analysis, the expansion of the branching network and geographic diversification strategy can amplify the existing asymmetric problems between banks and borrowers. This is particularly true when there are a high number of small firms in a local market as in the case of the Italian industrial system. Small firms are typically more opaque than their larger </w:t>
      </w:r>
      <w:r w:rsidR="00F25251" w:rsidRPr="00E50F9D">
        <w:rPr>
          <w:rFonts w:asciiTheme="majorBidi" w:hAnsiTheme="majorBidi" w:cstheme="majorBidi"/>
          <w:sz w:val="24"/>
          <w:szCs w:val="24"/>
          <w:lang w:val="en-US"/>
        </w:rPr>
        <w:t>counterparts,</w:t>
      </w:r>
      <w:r w:rsidRPr="00E50F9D">
        <w:rPr>
          <w:rFonts w:asciiTheme="majorBidi" w:hAnsiTheme="majorBidi" w:cstheme="majorBidi"/>
          <w:sz w:val="24"/>
          <w:szCs w:val="24"/>
          <w:lang w:val="en-US"/>
        </w:rPr>
        <w:t xml:space="preserve"> and get access to credit through relationship lending. However, relationship lending is a costly and unmonitored activity that creates organizational frictions and agency costs in highly hierarchically organized banks (Uchida et al., 2008). This is a reason why highly hierarchically organized banks tend to be reluctant </w:t>
      </w:r>
      <w:r w:rsidR="004D24D4" w:rsidRPr="00E50F9D">
        <w:rPr>
          <w:rFonts w:asciiTheme="majorBidi" w:hAnsiTheme="majorBidi" w:cstheme="majorBidi"/>
          <w:sz w:val="24"/>
          <w:szCs w:val="24"/>
          <w:lang w:val="en-US"/>
        </w:rPr>
        <w:t>to invest</w:t>
      </w:r>
      <w:r w:rsidRPr="00E50F9D">
        <w:rPr>
          <w:rFonts w:asciiTheme="majorBidi" w:hAnsiTheme="majorBidi" w:cstheme="majorBidi"/>
          <w:sz w:val="24"/>
          <w:szCs w:val="24"/>
          <w:lang w:val="en-US"/>
        </w:rPr>
        <w:t xml:space="preserve"> in such relationships. </w:t>
      </w:r>
    </w:p>
    <w:p w14:paraId="64D575DA" w14:textId="3D2B0169" w:rsidR="009D5A37" w:rsidRPr="00E50F9D" w:rsidRDefault="009D5A37" w:rsidP="009D5A37">
      <w:pPr>
        <w:autoSpaceDE w:val="0"/>
        <w:autoSpaceDN w:val="0"/>
        <w:adjustRightInd w:val="0"/>
        <w:spacing w:after="0" w:line="480" w:lineRule="auto"/>
        <w:ind w:firstLine="567"/>
        <w:jc w:val="both"/>
        <w:rPr>
          <w:rFonts w:ascii="Times New Roman" w:hAnsi="Times New Roman"/>
          <w:sz w:val="24"/>
          <w:szCs w:val="24"/>
          <w:lang w:val="en-GB"/>
        </w:rPr>
      </w:pPr>
      <w:r w:rsidRPr="00E50F9D">
        <w:rPr>
          <w:rFonts w:ascii="Times New Roman" w:hAnsi="Times New Roman"/>
          <w:sz w:val="24"/>
          <w:szCs w:val="24"/>
          <w:lang w:val="en-GB"/>
        </w:rPr>
        <w:t>While an increase in the number of branches can generate agency costs and organization inefficiencies, at the same time branches represent the main channel through which banks collect deposits and provide loans to customers. Therefore, an increase of the geographical presence of branches over a territory can enhance both loan making and deposit taking for a bank. However, a long</w:t>
      </w:r>
      <w:r w:rsidRPr="00E50F9D">
        <w:rPr>
          <w:rFonts w:ascii="Times New Roman" w:hAnsi="Times New Roman" w:cs="Times New Roman"/>
          <w:sz w:val="24"/>
          <w:szCs w:val="24"/>
          <w:lang w:val="en-GB"/>
        </w:rPr>
        <w:t xml:space="preserve"> </w:t>
      </w:r>
      <w:r w:rsidRPr="00E50F9D">
        <w:rPr>
          <w:rFonts w:ascii="Times New Roman" w:hAnsi="Times New Roman"/>
          <w:sz w:val="24"/>
          <w:szCs w:val="24"/>
          <w:lang w:val="en-GB"/>
        </w:rPr>
        <w:t>distance between the headquarters of a bank and its branches can undermine relationships</w:t>
      </w:r>
      <w:r w:rsidRPr="00E50F9D">
        <w:rPr>
          <w:rFonts w:ascii="Times New Roman" w:hAnsi="Times New Roman" w:cs="Times New Roman"/>
          <w:sz w:val="24"/>
          <w:szCs w:val="24"/>
          <w:lang w:val="en-GB"/>
        </w:rPr>
        <w:t xml:space="preserve"> with the local industry, and adversely impact the amount of loans provided to customers. </w:t>
      </w:r>
      <w:r w:rsidRPr="00E50F9D">
        <w:rPr>
          <w:rFonts w:ascii="Times New Roman" w:hAnsi="Times New Roman"/>
          <w:sz w:val="24"/>
          <w:szCs w:val="24"/>
          <w:lang w:val="en-GB"/>
        </w:rPr>
        <w:t>Smaller and less geographically diversified banks often have an established reputation in the local community, especially in the case of a high number of SMEs in the local market (as is common in Europe and to an even higher extent in Italy). In addition</w:t>
      </w:r>
      <w:r w:rsidR="00696101" w:rsidRPr="00E50F9D">
        <w:rPr>
          <w:rFonts w:ascii="Times New Roman" w:hAnsi="Times New Roman"/>
          <w:sz w:val="24"/>
          <w:szCs w:val="24"/>
          <w:lang w:val="en-GB"/>
        </w:rPr>
        <w:t>,</w:t>
      </w:r>
      <w:r w:rsidRPr="00E50F9D">
        <w:rPr>
          <w:rFonts w:ascii="Times New Roman" w:hAnsi="Times New Roman"/>
          <w:sz w:val="24"/>
          <w:szCs w:val="24"/>
          <w:lang w:val="en-GB"/>
        </w:rPr>
        <w:t xml:space="preserve"> they have a specific (and long-term) knowledge of local </w:t>
      </w:r>
      <w:r w:rsidR="007F1B75" w:rsidRPr="00E50F9D">
        <w:rPr>
          <w:rFonts w:ascii="Times New Roman" w:hAnsi="Times New Roman"/>
          <w:sz w:val="24"/>
          <w:szCs w:val="24"/>
          <w:lang w:val="en-GB"/>
        </w:rPr>
        <w:t>clients, which</w:t>
      </w:r>
      <w:r w:rsidRPr="00E50F9D">
        <w:rPr>
          <w:rFonts w:ascii="Times New Roman" w:hAnsi="Times New Roman"/>
          <w:sz w:val="24"/>
          <w:szCs w:val="24"/>
          <w:lang w:val="en-GB"/>
        </w:rPr>
        <w:t xml:space="preserve"> cannot easily be imitated by competitors. </w:t>
      </w:r>
    </w:p>
    <w:p w14:paraId="46B93140" w14:textId="73EFCCCB" w:rsidR="00486EE7" w:rsidRPr="00E50F9D" w:rsidRDefault="009D5A37" w:rsidP="00C517FA">
      <w:pPr>
        <w:autoSpaceDE w:val="0"/>
        <w:autoSpaceDN w:val="0"/>
        <w:adjustRightInd w:val="0"/>
        <w:spacing w:after="0" w:line="480" w:lineRule="auto"/>
        <w:ind w:firstLine="567"/>
        <w:jc w:val="both"/>
        <w:rPr>
          <w:rFonts w:asciiTheme="majorBidi" w:hAnsiTheme="majorBidi" w:cstheme="majorBidi"/>
          <w:sz w:val="24"/>
          <w:szCs w:val="24"/>
          <w:lang w:val="en-GB"/>
        </w:rPr>
      </w:pPr>
      <w:r w:rsidRPr="00E50F9D">
        <w:rPr>
          <w:rFonts w:asciiTheme="majorBidi" w:hAnsiTheme="majorBidi" w:cstheme="majorBidi"/>
          <w:sz w:val="24"/>
          <w:szCs w:val="24"/>
          <w:lang w:val="en-GB"/>
        </w:rPr>
        <w:t>Drawing from these conclusions, we formulate the following hypothes</w:t>
      </w:r>
      <w:r w:rsidR="007F1B75" w:rsidRPr="00E50F9D">
        <w:rPr>
          <w:rFonts w:asciiTheme="majorBidi" w:hAnsiTheme="majorBidi" w:cstheme="majorBidi"/>
          <w:sz w:val="24"/>
          <w:szCs w:val="24"/>
          <w:lang w:val="en-GB"/>
        </w:rPr>
        <w:t>e</w:t>
      </w:r>
      <w:r w:rsidRPr="00E50F9D">
        <w:rPr>
          <w:rFonts w:asciiTheme="majorBidi" w:hAnsiTheme="majorBidi" w:cstheme="majorBidi"/>
          <w:sz w:val="24"/>
          <w:szCs w:val="24"/>
          <w:lang w:val="en-GB"/>
        </w:rPr>
        <w:t>s:</w:t>
      </w:r>
    </w:p>
    <w:p w14:paraId="48D32489" w14:textId="1C42379D" w:rsidR="000675E6" w:rsidRPr="00E50F9D" w:rsidRDefault="000675E6" w:rsidP="000675E6">
      <w:pPr>
        <w:autoSpaceDE w:val="0"/>
        <w:autoSpaceDN w:val="0"/>
        <w:adjustRightInd w:val="0"/>
        <w:spacing w:after="0" w:line="480" w:lineRule="auto"/>
        <w:ind w:firstLine="708"/>
        <w:jc w:val="both"/>
        <w:rPr>
          <w:rFonts w:asciiTheme="majorBidi" w:hAnsiTheme="majorBidi" w:cstheme="majorBidi"/>
          <w:i/>
          <w:iCs/>
          <w:sz w:val="24"/>
          <w:szCs w:val="24"/>
          <w:lang w:val="en-GB"/>
        </w:rPr>
      </w:pPr>
      <w:r w:rsidRPr="00E50F9D">
        <w:rPr>
          <w:rFonts w:asciiTheme="majorBidi" w:hAnsiTheme="majorBidi" w:cstheme="majorBidi"/>
          <w:i/>
          <w:iCs/>
          <w:sz w:val="24"/>
          <w:szCs w:val="24"/>
          <w:lang w:val="en-GB"/>
        </w:rPr>
        <w:t xml:space="preserve">H2.a: Geographical diversification has a positive effect </w:t>
      </w:r>
      <w:r w:rsidR="0055749D" w:rsidRPr="00E50F9D">
        <w:rPr>
          <w:rFonts w:asciiTheme="majorBidi" w:hAnsiTheme="majorBidi" w:cstheme="majorBidi"/>
          <w:i/>
          <w:iCs/>
          <w:sz w:val="24"/>
          <w:szCs w:val="24"/>
          <w:lang w:val="en-GB"/>
        </w:rPr>
        <w:t xml:space="preserve">on the quantity </w:t>
      </w:r>
      <w:r w:rsidR="00C04E4E" w:rsidRPr="00E50F9D">
        <w:rPr>
          <w:rFonts w:asciiTheme="majorBidi" w:hAnsiTheme="majorBidi" w:cstheme="majorBidi"/>
          <w:i/>
          <w:iCs/>
          <w:sz w:val="24"/>
          <w:szCs w:val="24"/>
          <w:lang w:val="en-GB"/>
        </w:rPr>
        <w:t>of loans</w:t>
      </w:r>
      <w:r w:rsidRPr="00E50F9D">
        <w:rPr>
          <w:rFonts w:asciiTheme="majorBidi" w:hAnsiTheme="majorBidi" w:cstheme="majorBidi"/>
          <w:i/>
          <w:iCs/>
          <w:sz w:val="24"/>
          <w:szCs w:val="24"/>
          <w:lang w:val="en-GB"/>
        </w:rPr>
        <w:t xml:space="preserve"> and </w:t>
      </w:r>
      <w:r w:rsidR="0055749D" w:rsidRPr="00E50F9D">
        <w:rPr>
          <w:rFonts w:asciiTheme="majorBidi" w:hAnsiTheme="majorBidi" w:cstheme="majorBidi"/>
          <w:i/>
          <w:iCs/>
          <w:sz w:val="24"/>
          <w:szCs w:val="24"/>
          <w:lang w:val="en-GB"/>
        </w:rPr>
        <w:t>on market power in the loan market</w:t>
      </w:r>
      <w:r w:rsidRPr="00E50F9D">
        <w:rPr>
          <w:rFonts w:asciiTheme="majorBidi" w:hAnsiTheme="majorBidi" w:cstheme="majorBidi"/>
          <w:i/>
          <w:iCs/>
          <w:sz w:val="24"/>
          <w:szCs w:val="24"/>
          <w:lang w:val="en-GB"/>
        </w:rPr>
        <w:t>.</w:t>
      </w:r>
    </w:p>
    <w:p w14:paraId="672D69C5" w14:textId="550ACF5C" w:rsidR="000675E6" w:rsidRPr="00E50F9D" w:rsidRDefault="000675E6" w:rsidP="000675E6">
      <w:pPr>
        <w:autoSpaceDE w:val="0"/>
        <w:autoSpaceDN w:val="0"/>
        <w:adjustRightInd w:val="0"/>
        <w:spacing w:after="0" w:line="480" w:lineRule="auto"/>
        <w:ind w:firstLine="708"/>
        <w:jc w:val="both"/>
        <w:rPr>
          <w:rFonts w:asciiTheme="majorBidi" w:hAnsiTheme="majorBidi" w:cstheme="majorBidi"/>
          <w:i/>
          <w:iCs/>
          <w:sz w:val="24"/>
          <w:szCs w:val="24"/>
          <w:lang w:val="en-GB"/>
        </w:rPr>
      </w:pPr>
      <w:r w:rsidRPr="00E50F9D">
        <w:rPr>
          <w:rFonts w:asciiTheme="majorBidi" w:hAnsiTheme="majorBidi" w:cstheme="majorBidi"/>
          <w:i/>
          <w:iCs/>
          <w:sz w:val="24"/>
          <w:szCs w:val="24"/>
          <w:lang w:val="en-GB"/>
        </w:rPr>
        <w:t xml:space="preserve">H2.b: Geographical diversification has a positive impact </w:t>
      </w:r>
      <w:r w:rsidR="0055749D" w:rsidRPr="00E50F9D">
        <w:rPr>
          <w:rFonts w:asciiTheme="majorBidi" w:hAnsiTheme="majorBidi" w:cstheme="majorBidi"/>
          <w:i/>
          <w:iCs/>
          <w:sz w:val="24"/>
          <w:szCs w:val="24"/>
          <w:lang w:val="en-GB"/>
        </w:rPr>
        <w:t xml:space="preserve">on the quantity </w:t>
      </w:r>
      <w:r w:rsidR="00C04E4E" w:rsidRPr="00E50F9D">
        <w:rPr>
          <w:rFonts w:asciiTheme="majorBidi" w:hAnsiTheme="majorBidi" w:cstheme="majorBidi"/>
          <w:i/>
          <w:iCs/>
          <w:sz w:val="24"/>
          <w:szCs w:val="24"/>
          <w:lang w:val="en-GB"/>
        </w:rPr>
        <w:t>of deposits</w:t>
      </w:r>
      <w:r w:rsidRPr="00E50F9D">
        <w:rPr>
          <w:rFonts w:asciiTheme="majorBidi" w:hAnsiTheme="majorBidi" w:cstheme="majorBidi"/>
          <w:i/>
          <w:iCs/>
          <w:sz w:val="24"/>
          <w:szCs w:val="24"/>
          <w:lang w:val="en-GB"/>
        </w:rPr>
        <w:t xml:space="preserve"> and </w:t>
      </w:r>
      <w:r w:rsidR="0055749D" w:rsidRPr="00E50F9D">
        <w:rPr>
          <w:rFonts w:asciiTheme="majorBidi" w:hAnsiTheme="majorBidi" w:cstheme="majorBidi"/>
          <w:i/>
          <w:iCs/>
          <w:sz w:val="24"/>
          <w:szCs w:val="24"/>
          <w:lang w:val="en-GB"/>
        </w:rPr>
        <w:t>on market power in the deposit market.</w:t>
      </w:r>
    </w:p>
    <w:p w14:paraId="543F87C7" w14:textId="34D59F51" w:rsidR="000675E6" w:rsidRPr="00E50F9D" w:rsidRDefault="000675E6" w:rsidP="000675E6">
      <w:pPr>
        <w:autoSpaceDE w:val="0"/>
        <w:autoSpaceDN w:val="0"/>
        <w:adjustRightInd w:val="0"/>
        <w:spacing w:after="0" w:line="480" w:lineRule="auto"/>
        <w:ind w:firstLine="708"/>
        <w:jc w:val="both"/>
        <w:rPr>
          <w:rFonts w:asciiTheme="majorBidi" w:hAnsiTheme="majorBidi" w:cstheme="majorBidi"/>
          <w:i/>
          <w:iCs/>
          <w:sz w:val="24"/>
          <w:szCs w:val="24"/>
          <w:lang w:val="en-GB"/>
        </w:rPr>
      </w:pPr>
      <w:r w:rsidRPr="00E50F9D">
        <w:rPr>
          <w:rFonts w:asciiTheme="majorBidi" w:hAnsiTheme="majorBidi" w:cstheme="majorBidi"/>
          <w:i/>
          <w:iCs/>
          <w:sz w:val="24"/>
          <w:szCs w:val="24"/>
          <w:lang w:val="en-GB"/>
        </w:rPr>
        <w:t xml:space="preserve">H2.c: The distance between a bank’s headquarters and its branches has a negative effect </w:t>
      </w:r>
      <w:r w:rsidR="0055749D" w:rsidRPr="00E50F9D">
        <w:rPr>
          <w:rFonts w:asciiTheme="majorBidi" w:hAnsiTheme="majorBidi" w:cstheme="majorBidi"/>
          <w:i/>
          <w:iCs/>
          <w:sz w:val="24"/>
          <w:szCs w:val="24"/>
          <w:lang w:val="en-GB"/>
        </w:rPr>
        <w:t>on the quantity of loans</w:t>
      </w:r>
      <w:r w:rsidRPr="00E50F9D">
        <w:rPr>
          <w:rFonts w:asciiTheme="majorBidi" w:hAnsiTheme="majorBidi" w:cstheme="majorBidi"/>
          <w:i/>
          <w:iCs/>
          <w:sz w:val="24"/>
          <w:szCs w:val="24"/>
          <w:lang w:val="en-GB"/>
        </w:rPr>
        <w:t xml:space="preserve"> and </w:t>
      </w:r>
      <w:r w:rsidR="00C04E4E" w:rsidRPr="00E50F9D">
        <w:rPr>
          <w:rFonts w:asciiTheme="majorBidi" w:hAnsiTheme="majorBidi" w:cstheme="majorBidi"/>
          <w:i/>
          <w:iCs/>
          <w:sz w:val="24"/>
          <w:szCs w:val="24"/>
          <w:lang w:val="en-GB"/>
        </w:rPr>
        <w:t>on market power in the loan market.</w:t>
      </w:r>
    </w:p>
    <w:p w14:paraId="3A176C44" w14:textId="663F600D" w:rsidR="00C04E4E" w:rsidRPr="00E50F9D" w:rsidRDefault="000675E6" w:rsidP="00C04E4E">
      <w:pPr>
        <w:autoSpaceDE w:val="0"/>
        <w:autoSpaceDN w:val="0"/>
        <w:adjustRightInd w:val="0"/>
        <w:spacing w:after="0" w:line="480" w:lineRule="auto"/>
        <w:ind w:firstLine="708"/>
        <w:jc w:val="both"/>
        <w:rPr>
          <w:rFonts w:asciiTheme="majorBidi" w:hAnsiTheme="majorBidi" w:cstheme="majorBidi"/>
          <w:i/>
          <w:iCs/>
          <w:sz w:val="24"/>
          <w:szCs w:val="24"/>
          <w:lang w:val="en-GB"/>
        </w:rPr>
      </w:pPr>
      <w:r w:rsidRPr="00E50F9D">
        <w:rPr>
          <w:rFonts w:asciiTheme="majorBidi" w:hAnsiTheme="majorBidi" w:cstheme="majorBidi"/>
          <w:i/>
          <w:iCs/>
          <w:sz w:val="24"/>
          <w:szCs w:val="24"/>
          <w:lang w:val="en-GB"/>
        </w:rPr>
        <w:t xml:space="preserve">H2.d: The distance between a bank’s headquarters and its branches has a negative effect on the </w:t>
      </w:r>
      <w:r w:rsidR="0055749D" w:rsidRPr="00E50F9D">
        <w:rPr>
          <w:rFonts w:asciiTheme="majorBidi" w:hAnsiTheme="majorBidi" w:cstheme="majorBidi"/>
          <w:i/>
          <w:iCs/>
          <w:sz w:val="24"/>
          <w:szCs w:val="24"/>
          <w:lang w:val="en-GB"/>
        </w:rPr>
        <w:t>quantity</w:t>
      </w:r>
      <w:r w:rsidR="00C04E4E" w:rsidRPr="00E50F9D">
        <w:rPr>
          <w:rFonts w:asciiTheme="majorBidi" w:hAnsiTheme="majorBidi" w:cstheme="majorBidi"/>
          <w:i/>
          <w:iCs/>
          <w:sz w:val="24"/>
          <w:szCs w:val="24"/>
          <w:lang w:val="en-GB"/>
        </w:rPr>
        <w:t xml:space="preserve"> of deposits </w:t>
      </w:r>
      <w:r w:rsidRPr="00E50F9D">
        <w:rPr>
          <w:rFonts w:asciiTheme="majorBidi" w:hAnsiTheme="majorBidi" w:cstheme="majorBidi"/>
          <w:i/>
          <w:iCs/>
          <w:sz w:val="24"/>
          <w:szCs w:val="24"/>
          <w:lang w:val="en-GB"/>
        </w:rPr>
        <w:t xml:space="preserve">and </w:t>
      </w:r>
      <w:r w:rsidR="00C04E4E" w:rsidRPr="00E50F9D">
        <w:rPr>
          <w:rFonts w:asciiTheme="majorBidi" w:hAnsiTheme="majorBidi" w:cstheme="majorBidi"/>
          <w:i/>
          <w:iCs/>
          <w:sz w:val="24"/>
          <w:szCs w:val="24"/>
          <w:lang w:val="en-GB"/>
        </w:rPr>
        <w:t>on market power in the deposit market.</w:t>
      </w:r>
    </w:p>
    <w:p w14:paraId="146CE79D" w14:textId="77777777" w:rsidR="000675E6" w:rsidRPr="00E50F9D" w:rsidRDefault="000675E6" w:rsidP="00C04E4E">
      <w:pPr>
        <w:autoSpaceDE w:val="0"/>
        <w:autoSpaceDN w:val="0"/>
        <w:adjustRightInd w:val="0"/>
        <w:spacing w:after="0" w:line="480" w:lineRule="auto"/>
        <w:jc w:val="both"/>
        <w:rPr>
          <w:rFonts w:ascii="Times New Roman" w:hAnsi="Times New Roman" w:cs="Times New Roman"/>
          <w:sz w:val="24"/>
          <w:szCs w:val="24"/>
          <w:lang w:val="en-GB"/>
        </w:rPr>
      </w:pPr>
    </w:p>
    <w:p w14:paraId="3CB4687F" w14:textId="647B30F3" w:rsidR="00FC1A69" w:rsidRPr="00E50F9D" w:rsidRDefault="00852367" w:rsidP="00CC61FF">
      <w:pPr>
        <w:autoSpaceDE w:val="0"/>
        <w:autoSpaceDN w:val="0"/>
        <w:adjustRightInd w:val="0"/>
        <w:spacing w:after="0" w:line="480" w:lineRule="auto"/>
        <w:jc w:val="both"/>
        <w:rPr>
          <w:rFonts w:asciiTheme="majorBidi" w:eastAsiaTheme="minorEastAsia" w:hAnsiTheme="majorBidi" w:cstheme="majorBidi"/>
          <w:i/>
          <w:iCs/>
          <w:color w:val="000000"/>
          <w:sz w:val="24"/>
          <w:szCs w:val="24"/>
          <w:lang w:val="en-GB" w:eastAsia="zh-CN"/>
        </w:rPr>
      </w:pPr>
      <w:r w:rsidRPr="00E50F9D">
        <w:rPr>
          <w:rFonts w:asciiTheme="majorBidi" w:hAnsiTheme="majorBidi" w:cstheme="majorBidi"/>
          <w:sz w:val="24"/>
          <w:szCs w:val="24"/>
          <w:lang w:val="en-GB"/>
        </w:rPr>
        <w:t xml:space="preserve">Park and Pennacchi (2009) argue that the </w:t>
      </w:r>
      <w:r w:rsidRPr="00E50F9D">
        <w:rPr>
          <w:rFonts w:asciiTheme="majorBidi" w:hAnsiTheme="majorBidi" w:cstheme="majorBidi"/>
          <w:sz w:val="24"/>
          <w:szCs w:val="24"/>
          <w:lang w:val="en-US"/>
        </w:rPr>
        <w:t>r</w:t>
      </w:r>
      <w:r w:rsidRPr="00E50F9D">
        <w:rPr>
          <w:rFonts w:asciiTheme="majorBidi" w:hAnsiTheme="majorBidi" w:cstheme="majorBidi"/>
          <w:sz w:val="24"/>
          <w:szCs w:val="24"/>
          <w:lang w:val="en-GB"/>
        </w:rPr>
        <w:t>etail</w:t>
      </w:r>
      <w:r w:rsidR="00AF16AC" w:rsidRPr="00E50F9D">
        <w:rPr>
          <w:rFonts w:asciiTheme="majorBidi" w:hAnsiTheme="majorBidi" w:cstheme="majorBidi"/>
          <w:sz w:val="24"/>
          <w:szCs w:val="24"/>
          <w:lang w:val="en-GB"/>
        </w:rPr>
        <w:t xml:space="preserve"> </w:t>
      </w:r>
      <w:r w:rsidRPr="00E50F9D">
        <w:rPr>
          <w:rFonts w:asciiTheme="majorBidi" w:hAnsiTheme="majorBidi" w:cstheme="majorBidi"/>
          <w:sz w:val="24"/>
          <w:szCs w:val="24"/>
          <w:lang w:val="en-GB"/>
        </w:rPr>
        <w:t>loan and deposit rates set by banks in a particular market depend on the market’s distribution of multi-market banks and small banks alongside market concentration</w:t>
      </w:r>
      <w:r w:rsidRPr="00E50F9D">
        <w:rPr>
          <w:rFonts w:asciiTheme="majorBidi" w:eastAsiaTheme="minorEastAsia" w:hAnsiTheme="majorBidi" w:cstheme="majorBidi"/>
          <w:color w:val="000000"/>
          <w:sz w:val="24"/>
          <w:szCs w:val="24"/>
          <w:lang w:val="en-GB" w:eastAsia="zh-CN"/>
        </w:rPr>
        <w:t xml:space="preserve">. </w:t>
      </w:r>
      <w:r w:rsidR="00F514BF" w:rsidRPr="00E50F9D">
        <w:rPr>
          <w:rFonts w:asciiTheme="majorBidi" w:eastAsiaTheme="minorEastAsia" w:hAnsiTheme="majorBidi" w:cstheme="majorBidi"/>
          <w:color w:val="000000"/>
          <w:sz w:val="24"/>
          <w:szCs w:val="24"/>
          <w:lang w:val="en-GB" w:eastAsia="zh-CN"/>
        </w:rPr>
        <w:t>In particular, they</w:t>
      </w:r>
      <w:r w:rsidRPr="00E50F9D">
        <w:rPr>
          <w:rFonts w:asciiTheme="majorBidi" w:hAnsiTheme="majorBidi" w:cstheme="majorBidi"/>
          <w:sz w:val="24"/>
          <w:szCs w:val="24"/>
          <w:lang w:val="en-GB"/>
        </w:rPr>
        <w:t xml:space="preserve"> argue that because of the access to low-cost wholesale funds, large multi-market banks can promote competition in retail loans, and as a result consumer loan rates decrease</w:t>
      </w:r>
      <w:r w:rsidRPr="00E50F9D">
        <w:rPr>
          <w:rFonts w:asciiTheme="majorBidi" w:eastAsiaTheme="minorEastAsia" w:hAnsiTheme="majorBidi" w:cstheme="majorBidi"/>
          <w:color w:val="000000"/>
          <w:sz w:val="24"/>
          <w:szCs w:val="24"/>
          <w:lang w:val="en-GB" w:eastAsia="zh-CN"/>
        </w:rPr>
        <w:t xml:space="preserve"> as the multi-market bank shares increase, while they offer retail depositors lower deposit interest rates. </w:t>
      </w:r>
      <w:r w:rsidR="00F514BF" w:rsidRPr="00E50F9D">
        <w:rPr>
          <w:rFonts w:asciiTheme="majorBidi" w:eastAsiaTheme="minorEastAsia" w:hAnsiTheme="majorBidi" w:cstheme="majorBidi"/>
          <w:color w:val="000000"/>
          <w:sz w:val="24"/>
          <w:szCs w:val="24"/>
          <w:lang w:val="en-GB" w:eastAsia="zh-CN"/>
        </w:rPr>
        <w:t>Consequently</w:t>
      </w:r>
      <w:r w:rsidR="00422035" w:rsidRPr="00E50F9D">
        <w:rPr>
          <w:rFonts w:asciiTheme="majorBidi" w:eastAsiaTheme="minorEastAsia" w:hAnsiTheme="majorBidi" w:cstheme="majorBidi"/>
          <w:color w:val="000000"/>
          <w:sz w:val="24"/>
          <w:szCs w:val="24"/>
          <w:lang w:val="en-GB" w:eastAsia="zh-CN"/>
        </w:rPr>
        <w:t>,</w:t>
      </w:r>
      <w:r w:rsidR="009E7F2B" w:rsidRPr="00E50F9D">
        <w:rPr>
          <w:rFonts w:asciiTheme="majorBidi" w:eastAsiaTheme="minorEastAsia" w:hAnsiTheme="majorBidi" w:cstheme="majorBidi"/>
          <w:color w:val="000000"/>
          <w:sz w:val="24"/>
          <w:szCs w:val="24"/>
          <w:lang w:val="en-GB" w:eastAsia="zh-CN"/>
        </w:rPr>
        <w:t xml:space="preserve"> small </w:t>
      </w:r>
      <w:r w:rsidRPr="00E50F9D">
        <w:rPr>
          <w:rFonts w:asciiTheme="majorBidi" w:eastAsiaTheme="minorEastAsia" w:hAnsiTheme="majorBidi" w:cstheme="majorBidi"/>
          <w:color w:val="000000"/>
          <w:sz w:val="24"/>
          <w:szCs w:val="24"/>
          <w:lang w:val="en-GB" w:eastAsia="zh-CN"/>
        </w:rPr>
        <w:t>banks can benefit in terms of profits in th</w:t>
      </w:r>
      <w:r w:rsidR="002109A5" w:rsidRPr="00E50F9D">
        <w:rPr>
          <w:rFonts w:asciiTheme="majorBidi" w:eastAsiaTheme="minorEastAsia" w:hAnsiTheme="majorBidi" w:cstheme="majorBidi"/>
          <w:color w:val="000000"/>
          <w:sz w:val="24"/>
          <w:szCs w:val="24"/>
          <w:lang w:val="en-GB" w:eastAsia="zh-CN"/>
        </w:rPr>
        <w:t>e case of the presence of multi-</w:t>
      </w:r>
      <w:r w:rsidRPr="00E50F9D">
        <w:rPr>
          <w:rFonts w:asciiTheme="majorBidi" w:eastAsiaTheme="minorEastAsia" w:hAnsiTheme="majorBidi" w:cstheme="majorBidi"/>
          <w:color w:val="000000"/>
          <w:sz w:val="24"/>
          <w:szCs w:val="24"/>
          <w:lang w:val="en-GB" w:eastAsia="zh-CN"/>
        </w:rPr>
        <w:t>market banks because they compete less aggressively for retail deposits than small single-market banks do</w:t>
      </w:r>
      <w:r w:rsidR="00422035" w:rsidRPr="00E50F9D">
        <w:rPr>
          <w:rFonts w:asciiTheme="majorBidi" w:eastAsiaTheme="minorEastAsia" w:hAnsiTheme="majorBidi" w:cstheme="majorBidi"/>
          <w:color w:val="000000"/>
          <w:sz w:val="24"/>
          <w:szCs w:val="24"/>
          <w:lang w:val="en-GB" w:eastAsia="zh-CN"/>
        </w:rPr>
        <w:t>.</w:t>
      </w:r>
      <w:r w:rsidRPr="00E50F9D">
        <w:rPr>
          <w:rFonts w:asciiTheme="majorBidi" w:eastAsiaTheme="minorEastAsia" w:hAnsiTheme="majorBidi" w:cstheme="majorBidi"/>
          <w:color w:val="000000"/>
          <w:sz w:val="24"/>
          <w:szCs w:val="24"/>
          <w:lang w:val="en-GB" w:eastAsia="zh-CN"/>
        </w:rPr>
        <w:t xml:space="preserve"> </w:t>
      </w:r>
      <w:r w:rsidR="00422035" w:rsidRPr="00E50F9D">
        <w:rPr>
          <w:rFonts w:asciiTheme="majorBidi" w:eastAsiaTheme="minorEastAsia" w:hAnsiTheme="majorBidi" w:cstheme="majorBidi"/>
          <w:color w:val="000000"/>
          <w:sz w:val="24"/>
          <w:szCs w:val="24"/>
          <w:lang w:val="en-GB" w:eastAsia="zh-CN"/>
        </w:rPr>
        <w:t>A</w:t>
      </w:r>
      <w:r w:rsidRPr="00E50F9D">
        <w:rPr>
          <w:rFonts w:asciiTheme="majorBidi" w:eastAsiaTheme="minorEastAsia" w:hAnsiTheme="majorBidi" w:cstheme="majorBidi"/>
          <w:color w:val="000000"/>
          <w:sz w:val="24"/>
          <w:szCs w:val="24"/>
          <w:lang w:val="en-GB" w:eastAsia="zh-CN"/>
        </w:rPr>
        <w:t>t the same time</w:t>
      </w:r>
      <w:r w:rsidR="00422035" w:rsidRPr="00E50F9D">
        <w:rPr>
          <w:rFonts w:asciiTheme="majorBidi" w:eastAsiaTheme="minorEastAsia" w:hAnsiTheme="majorBidi" w:cstheme="majorBidi"/>
          <w:color w:val="000000"/>
          <w:sz w:val="24"/>
          <w:szCs w:val="24"/>
          <w:lang w:val="en-GB" w:eastAsia="zh-CN"/>
        </w:rPr>
        <w:t>, however,</w:t>
      </w:r>
      <w:r w:rsidRPr="00E50F9D">
        <w:rPr>
          <w:rFonts w:asciiTheme="majorBidi" w:eastAsiaTheme="minorEastAsia" w:hAnsiTheme="majorBidi" w:cstheme="majorBidi"/>
          <w:color w:val="000000"/>
          <w:sz w:val="24"/>
          <w:szCs w:val="24"/>
          <w:lang w:val="en-GB" w:eastAsia="zh-CN"/>
        </w:rPr>
        <w:t xml:space="preserve"> they suffer from an increase in competition in the retail loan market. Even though the net effect on the profit of small banks is ambiguous, an increase in the number of multi</w:t>
      </w:r>
      <w:r w:rsidR="002109A5" w:rsidRPr="00E50F9D">
        <w:rPr>
          <w:rFonts w:asciiTheme="majorBidi" w:eastAsiaTheme="minorEastAsia" w:hAnsiTheme="majorBidi" w:cstheme="majorBidi"/>
          <w:color w:val="000000"/>
          <w:sz w:val="24"/>
          <w:szCs w:val="24"/>
          <w:lang w:val="en-GB" w:eastAsia="zh-CN"/>
        </w:rPr>
        <w:t>-</w:t>
      </w:r>
      <w:r w:rsidRPr="00E50F9D">
        <w:rPr>
          <w:rFonts w:asciiTheme="majorBidi" w:eastAsiaTheme="minorEastAsia" w:hAnsiTheme="majorBidi" w:cstheme="majorBidi"/>
          <w:color w:val="000000"/>
          <w:sz w:val="24"/>
          <w:szCs w:val="24"/>
          <w:lang w:val="en-GB" w:eastAsia="zh-CN"/>
        </w:rPr>
        <w:t xml:space="preserve">market banks is more likely to reduce single-market bank profits. </w:t>
      </w:r>
      <w:r w:rsidR="00F514BF" w:rsidRPr="00E50F9D">
        <w:rPr>
          <w:rFonts w:asciiTheme="majorBidi" w:eastAsiaTheme="minorEastAsia" w:hAnsiTheme="majorBidi" w:cstheme="majorBidi"/>
          <w:color w:val="000000"/>
          <w:sz w:val="24"/>
          <w:szCs w:val="24"/>
          <w:lang w:val="en-GB" w:eastAsia="zh-CN"/>
        </w:rPr>
        <w:t xml:space="preserve">In this regards, </w:t>
      </w:r>
      <w:r w:rsidRPr="00E50F9D">
        <w:rPr>
          <w:rFonts w:asciiTheme="majorBidi" w:eastAsiaTheme="minorEastAsia" w:hAnsiTheme="majorBidi" w:cstheme="majorBidi"/>
          <w:color w:val="000000"/>
          <w:sz w:val="24"/>
          <w:szCs w:val="24"/>
          <w:lang w:val="en-GB" w:eastAsia="zh-CN"/>
        </w:rPr>
        <w:t xml:space="preserve">Hannan and Prager (2009) </w:t>
      </w:r>
      <w:r w:rsidR="00F514BF" w:rsidRPr="00E50F9D">
        <w:rPr>
          <w:rFonts w:asciiTheme="majorBidi" w:eastAsiaTheme="minorEastAsia" w:hAnsiTheme="majorBidi" w:cstheme="majorBidi"/>
          <w:color w:val="000000"/>
          <w:sz w:val="24"/>
          <w:szCs w:val="24"/>
          <w:lang w:val="en-GB" w:eastAsia="zh-CN"/>
        </w:rPr>
        <w:t>state</w:t>
      </w:r>
      <w:r w:rsidRPr="00E50F9D">
        <w:rPr>
          <w:rFonts w:asciiTheme="majorBidi" w:eastAsiaTheme="minorEastAsia" w:hAnsiTheme="majorBidi" w:cstheme="majorBidi"/>
          <w:color w:val="000000"/>
          <w:sz w:val="24"/>
          <w:szCs w:val="24"/>
          <w:lang w:val="en-GB" w:eastAsia="zh-CN"/>
        </w:rPr>
        <w:t xml:space="preserve"> that the prices offered by multi</w:t>
      </w:r>
      <w:r w:rsidR="008444EE" w:rsidRPr="00E50F9D">
        <w:rPr>
          <w:rFonts w:asciiTheme="majorBidi" w:eastAsiaTheme="minorEastAsia" w:hAnsiTheme="majorBidi" w:cstheme="majorBidi"/>
          <w:color w:val="000000"/>
          <w:sz w:val="24"/>
          <w:szCs w:val="24"/>
          <w:lang w:val="en-GB" w:eastAsia="zh-CN"/>
        </w:rPr>
        <w:t>-</w:t>
      </w:r>
      <w:r w:rsidRPr="00E50F9D">
        <w:rPr>
          <w:rFonts w:asciiTheme="majorBidi" w:eastAsiaTheme="minorEastAsia" w:hAnsiTheme="majorBidi" w:cstheme="majorBidi"/>
          <w:color w:val="000000"/>
          <w:sz w:val="24"/>
          <w:szCs w:val="24"/>
          <w:lang w:val="en-GB" w:eastAsia="zh-CN"/>
        </w:rPr>
        <w:t xml:space="preserve">market banks do not reflect changes in concentration in the local banking market, but are determined by conditions prevailing outside that particular local market. Therefore, they maintain that in this context small single-market banks have less scope for profitably by adjusting their prices in response to an increase in concentration. </w:t>
      </w:r>
      <w:r w:rsidR="002B22B2" w:rsidRPr="00E50F9D">
        <w:rPr>
          <w:rFonts w:asciiTheme="majorBidi" w:eastAsiaTheme="minorEastAsia" w:hAnsiTheme="majorBidi" w:cstheme="majorBidi"/>
          <w:color w:val="000000"/>
          <w:sz w:val="24"/>
          <w:szCs w:val="24"/>
          <w:lang w:val="en-GB" w:eastAsia="zh-CN"/>
        </w:rPr>
        <w:t>Specifically, they found that the</w:t>
      </w:r>
      <w:r w:rsidRPr="00E50F9D">
        <w:rPr>
          <w:rFonts w:asciiTheme="majorBidi" w:eastAsiaTheme="minorEastAsia" w:hAnsiTheme="majorBidi" w:cstheme="majorBidi"/>
          <w:color w:val="000000"/>
          <w:sz w:val="24"/>
          <w:szCs w:val="24"/>
          <w:lang w:val="en-GB" w:eastAsia="zh-CN"/>
        </w:rPr>
        <w:t xml:space="preserve"> traditionally predicted relationship between the prices of small single-market banks and market concentration </w:t>
      </w:r>
      <w:r w:rsidR="002B22B2" w:rsidRPr="00E50F9D">
        <w:rPr>
          <w:rFonts w:asciiTheme="majorBidi" w:eastAsiaTheme="minorEastAsia" w:hAnsiTheme="majorBidi" w:cstheme="majorBidi"/>
          <w:color w:val="000000"/>
          <w:sz w:val="24"/>
          <w:szCs w:val="24"/>
          <w:lang w:val="en-GB" w:eastAsia="zh-CN"/>
        </w:rPr>
        <w:t>is</w:t>
      </w:r>
      <w:r w:rsidRPr="00E50F9D">
        <w:rPr>
          <w:rFonts w:asciiTheme="majorBidi" w:eastAsiaTheme="minorEastAsia" w:hAnsiTheme="majorBidi" w:cstheme="majorBidi"/>
          <w:color w:val="000000"/>
          <w:sz w:val="24"/>
          <w:szCs w:val="24"/>
          <w:lang w:val="en-GB" w:eastAsia="zh-CN"/>
        </w:rPr>
        <w:t xml:space="preserve"> weakened as the presence of multi-market banks in a local market increases.</w:t>
      </w:r>
      <w:r w:rsidR="00D73B3E" w:rsidRPr="00E50F9D">
        <w:rPr>
          <w:rFonts w:asciiTheme="majorBidi" w:eastAsiaTheme="minorEastAsia" w:hAnsiTheme="majorBidi" w:cstheme="majorBidi"/>
          <w:color w:val="000000"/>
          <w:sz w:val="24"/>
          <w:szCs w:val="24"/>
          <w:lang w:val="en-GB" w:eastAsia="zh-CN"/>
        </w:rPr>
        <w:t xml:space="preserve"> Focusing on the Italian banking system,</w:t>
      </w:r>
      <w:r w:rsidRPr="00E50F9D">
        <w:rPr>
          <w:rFonts w:asciiTheme="majorBidi" w:eastAsiaTheme="minorEastAsia" w:hAnsiTheme="majorBidi" w:cstheme="majorBidi"/>
          <w:color w:val="000000"/>
          <w:sz w:val="24"/>
          <w:szCs w:val="24"/>
          <w:lang w:val="en-GB" w:eastAsia="zh-CN"/>
        </w:rPr>
        <w:t xml:space="preserve"> </w:t>
      </w:r>
      <w:r w:rsidR="00E7578A" w:rsidRPr="00E50F9D">
        <w:rPr>
          <w:rFonts w:asciiTheme="majorBidi" w:eastAsiaTheme="minorEastAsia" w:hAnsiTheme="majorBidi" w:cstheme="majorBidi"/>
          <w:color w:val="000000"/>
          <w:sz w:val="24"/>
          <w:szCs w:val="24"/>
          <w:lang w:val="en-GB" w:eastAsia="zh-CN"/>
        </w:rPr>
        <w:t xml:space="preserve">Coccorese (2009) </w:t>
      </w:r>
      <w:r w:rsidR="0059024B" w:rsidRPr="00E50F9D">
        <w:rPr>
          <w:rFonts w:asciiTheme="majorBidi" w:eastAsiaTheme="minorEastAsia" w:hAnsiTheme="majorBidi" w:cstheme="majorBidi"/>
          <w:color w:val="000000"/>
          <w:sz w:val="24"/>
          <w:szCs w:val="24"/>
          <w:lang w:val="en-GB" w:eastAsia="zh-CN"/>
        </w:rPr>
        <w:t xml:space="preserve">finds </w:t>
      </w:r>
      <w:r w:rsidR="000A2788" w:rsidRPr="00E50F9D">
        <w:rPr>
          <w:rFonts w:asciiTheme="majorBidi" w:eastAsiaTheme="minorEastAsia" w:hAnsiTheme="majorBidi" w:cstheme="majorBidi"/>
          <w:color w:val="000000"/>
          <w:sz w:val="24"/>
          <w:szCs w:val="24"/>
          <w:lang w:val="en-GB" w:eastAsia="zh-CN"/>
        </w:rPr>
        <w:t>that</w:t>
      </w:r>
      <w:r w:rsidR="00E7578A" w:rsidRPr="00E50F9D">
        <w:rPr>
          <w:rFonts w:asciiTheme="majorBidi" w:eastAsiaTheme="minorEastAsia" w:hAnsiTheme="majorBidi" w:cstheme="majorBidi"/>
          <w:color w:val="000000"/>
          <w:sz w:val="24"/>
          <w:szCs w:val="24"/>
          <w:lang w:val="en-GB" w:eastAsia="zh-CN"/>
        </w:rPr>
        <w:t xml:space="preserve"> the market power of single</w:t>
      </w:r>
      <w:r w:rsidR="00F501D7" w:rsidRPr="00E50F9D">
        <w:rPr>
          <w:rFonts w:asciiTheme="majorBidi" w:eastAsiaTheme="minorEastAsia" w:hAnsiTheme="majorBidi" w:cstheme="majorBidi"/>
          <w:color w:val="000000"/>
          <w:sz w:val="24"/>
          <w:szCs w:val="24"/>
          <w:lang w:val="en-GB" w:eastAsia="zh-CN"/>
        </w:rPr>
        <w:t>-</w:t>
      </w:r>
      <w:r w:rsidR="00CC61FF" w:rsidRPr="00E50F9D">
        <w:rPr>
          <w:rFonts w:asciiTheme="majorBidi" w:eastAsiaTheme="minorEastAsia" w:hAnsiTheme="majorBidi" w:cstheme="majorBidi"/>
          <w:color w:val="000000"/>
          <w:sz w:val="24"/>
          <w:szCs w:val="24"/>
          <w:lang w:val="en-GB" w:eastAsia="zh-CN"/>
        </w:rPr>
        <w:t xml:space="preserve">market banks can decrease as </w:t>
      </w:r>
      <w:r w:rsidR="00E7578A" w:rsidRPr="00E50F9D">
        <w:rPr>
          <w:rFonts w:asciiTheme="majorBidi" w:eastAsiaTheme="minorEastAsia" w:hAnsiTheme="majorBidi" w:cstheme="majorBidi"/>
          <w:color w:val="000000"/>
          <w:sz w:val="24"/>
          <w:szCs w:val="24"/>
          <w:lang w:val="en-GB" w:eastAsia="zh-CN"/>
        </w:rPr>
        <w:t>nearby competition and</w:t>
      </w:r>
      <w:r w:rsidR="00CC61FF" w:rsidRPr="00E50F9D">
        <w:rPr>
          <w:rFonts w:asciiTheme="majorBidi" w:eastAsiaTheme="minorEastAsia" w:hAnsiTheme="majorBidi" w:cstheme="majorBidi"/>
          <w:color w:val="000000"/>
          <w:sz w:val="24"/>
          <w:szCs w:val="24"/>
          <w:lang w:val="en-GB" w:eastAsia="zh-CN"/>
        </w:rPr>
        <w:t xml:space="preserve"> the</w:t>
      </w:r>
      <w:r w:rsidR="00E7578A" w:rsidRPr="00E50F9D">
        <w:rPr>
          <w:rFonts w:asciiTheme="majorBidi" w:eastAsiaTheme="minorEastAsia" w:hAnsiTheme="majorBidi" w:cstheme="majorBidi"/>
          <w:color w:val="000000"/>
          <w:sz w:val="24"/>
          <w:szCs w:val="24"/>
          <w:lang w:val="en-GB" w:eastAsia="zh-CN"/>
        </w:rPr>
        <w:t xml:space="preserve"> local presence of big banks increase.</w:t>
      </w:r>
      <w:r w:rsidR="00EA683F" w:rsidRPr="00E50F9D">
        <w:rPr>
          <w:rFonts w:asciiTheme="majorBidi" w:eastAsiaTheme="minorEastAsia" w:hAnsiTheme="majorBidi" w:cstheme="majorBidi"/>
          <w:color w:val="000000"/>
          <w:sz w:val="24"/>
          <w:szCs w:val="24"/>
          <w:lang w:val="en-GB" w:eastAsia="zh-CN"/>
        </w:rPr>
        <w:t xml:space="preserve"> </w:t>
      </w:r>
    </w:p>
    <w:p w14:paraId="7019B7D6" w14:textId="4938F2F5" w:rsidR="00FC1A69" w:rsidRPr="00E50F9D" w:rsidRDefault="00FC1A69" w:rsidP="00286012">
      <w:pPr>
        <w:autoSpaceDE w:val="0"/>
        <w:autoSpaceDN w:val="0"/>
        <w:adjustRightInd w:val="0"/>
        <w:spacing w:after="0" w:line="480" w:lineRule="auto"/>
        <w:ind w:firstLine="567"/>
        <w:jc w:val="both"/>
        <w:rPr>
          <w:rFonts w:asciiTheme="majorBidi" w:hAnsiTheme="majorBidi" w:cstheme="majorBidi"/>
          <w:sz w:val="24"/>
          <w:szCs w:val="24"/>
          <w:lang w:val="en-GB"/>
        </w:rPr>
      </w:pPr>
      <w:r w:rsidRPr="00E50F9D">
        <w:rPr>
          <w:rFonts w:asciiTheme="majorBidi" w:hAnsiTheme="majorBidi" w:cstheme="majorBidi"/>
          <w:sz w:val="24"/>
          <w:szCs w:val="24"/>
          <w:lang w:val="en-GB"/>
        </w:rPr>
        <w:t xml:space="preserve">The overall effect of geographic diversification on the amount of deposits offered by large banks is still controversial. From </w:t>
      </w:r>
      <w:r w:rsidR="00422035" w:rsidRPr="00E50F9D">
        <w:rPr>
          <w:rFonts w:asciiTheme="majorBidi" w:hAnsiTheme="majorBidi" w:cstheme="majorBidi"/>
          <w:sz w:val="24"/>
          <w:szCs w:val="24"/>
          <w:lang w:val="en-GB"/>
        </w:rPr>
        <w:t>one</w:t>
      </w:r>
      <w:r w:rsidRPr="00E50F9D">
        <w:rPr>
          <w:rFonts w:asciiTheme="majorBidi" w:hAnsiTheme="majorBidi" w:cstheme="majorBidi"/>
          <w:sz w:val="24"/>
          <w:szCs w:val="24"/>
          <w:lang w:val="en-GB"/>
        </w:rPr>
        <w:t xml:space="preserve"> viewpoint</w:t>
      </w:r>
      <w:r w:rsidR="00486EE7" w:rsidRPr="00E50F9D">
        <w:rPr>
          <w:rFonts w:asciiTheme="majorBidi" w:hAnsiTheme="majorBidi" w:cstheme="majorBidi"/>
          <w:sz w:val="24"/>
          <w:szCs w:val="24"/>
          <w:lang w:val="en-GB"/>
        </w:rPr>
        <w:t>,</w:t>
      </w:r>
      <w:r w:rsidRPr="00E50F9D">
        <w:rPr>
          <w:rFonts w:asciiTheme="majorBidi" w:hAnsiTheme="majorBidi" w:cstheme="majorBidi"/>
          <w:sz w:val="24"/>
          <w:szCs w:val="24"/>
          <w:lang w:val="en-GB"/>
        </w:rPr>
        <w:t xml:space="preserve"> in accordance with Park and Pennacchi (2009)</w:t>
      </w:r>
      <w:r w:rsidR="00422035" w:rsidRPr="00E50F9D">
        <w:rPr>
          <w:rFonts w:asciiTheme="majorBidi" w:hAnsiTheme="majorBidi" w:cstheme="majorBidi"/>
          <w:sz w:val="24"/>
          <w:szCs w:val="24"/>
          <w:lang w:val="en-GB"/>
        </w:rPr>
        <w:t>,</w:t>
      </w:r>
      <w:r w:rsidRPr="00E50F9D">
        <w:rPr>
          <w:rFonts w:asciiTheme="majorBidi" w:hAnsiTheme="majorBidi" w:cstheme="majorBidi"/>
          <w:sz w:val="24"/>
          <w:szCs w:val="24"/>
          <w:lang w:val="en-GB"/>
        </w:rPr>
        <w:t xml:space="preserve"> we should expect a</w:t>
      </w:r>
      <w:r w:rsidR="0093086A" w:rsidRPr="00E50F9D">
        <w:rPr>
          <w:rFonts w:asciiTheme="majorBidi" w:hAnsiTheme="majorBidi" w:cstheme="majorBidi"/>
          <w:sz w:val="24"/>
          <w:szCs w:val="24"/>
          <w:lang w:val="en-GB"/>
        </w:rPr>
        <w:t>n increase</w:t>
      </w:r>
      <w:r w:rsidRPr="00E50F9D">
        <w:rPr>
          <w:rFonts w:asciiTheme="majorBidi" w:hAnsiTheme="majorBidi" w:cstheme="majorBidi"/>
          <w:sz w:val="24"/>
          <w:szCs w:val="24"/>
          <w:lang w:val="en-GB"/>
        </w:rPr>
        <w:t xml:space="preserve"> </w:t>
      </w:r>
      <w:r w:rsidR="00BE73AB" w:rsidRPr="00E50F9D">
        <w:rPr>
          <w:rFonts w:asciiTheme="majorBidi" w:hAnsiTheme="majorBidi" w:cstheme="majorBidi"/>
          <w:sz w:val="24"/>
          <w:szCs w:val="24"/>
          <w:lang w:val="en-GB"/>
        </w:rPr>
        <w:t>in</w:t>
      </w:r>
      <w:r w:rsidRPr="00E50F9D">
        <w:rPr>
          <w:rFonts w:asciiTheme="majorBidi" w:hAnsiTheme="majorBidi" w:cstheme="majorBidi"/>
          <w:sz w:val="24"/>
          <w:szCs w:val="24"/>
          <w:lang w:val="en-GB"/>
        </w:rPr>
        <w:t xml:space="preserve"> deposits for </w:t>
      </w:r>
      <w:r w:rsidR="0093086A" w:rsidRPr="00E50F9D">
        <w:rPr>
          <w:rFonts w:asciiTheme="majorBidi" w:hAnsiTheme="majorBidi" w:cstheme="majorBidi"/>
          <w:sz w:val="24"/>
          <w:szCs w:val="24"/>
          <w:lang w:val="en-GB"/>
        </w:rPr>
        <w:t xml:space="preserve">small banks </w:t>
      </w:r>
      <w:r w:rsidR="00286012" w:rsidRPr="00E50F9D">
        <w:rPr>
          <w:rFonts w:asciiTheme="majorBidi" w:hAnsiTheme="majorBidi" w:cstheme="majorBidi"/>
          <w:sz w:val="24"/>
          <w:szCs w:val="24"/>
          <w:lang w:val="en-GB"/>
        </w:rPr>
        <w:t>as they will</w:t>
      </w:r>
      <w:r w:rsidR="0093086A" w:rsidRPr="00E50F9D">
        <w:rPr>
          <w:rFonts w:asciiTheme="majorBidi" w:hAnsiTheme="majorBidi" w:cstheme="majorBidi"/>
          <w:sz w:val="24"/>
          <w:szCs w:val="24"/>
          <w:lang w:val="en-GB"/>
        </w:rPr>
        <w:t xml:space="preserve"> offer high</w:t>
      </w:r>
      <w:r w:rsidR="00286012" w:rsidRPr="00E50F9D">
        <w:rPr>
          <w:rFonts w:asciiTheme="majorBidi" w:hAnsiTheme="majorBidi" w:cstheme="majorBidi"/>
          <w:sz w:val="24"/>
          <w:szCs w:val="24"/>
          <w:lang w:val="en-GB"/>
        </w:rPr>
        <w:t>er</w:t>
      </w:r>
      <w:r w:rsidRPr="00E50F9D">
        <w:rPr>
          <w:rFonts w:asciiTheme="majorBidi" w:hAnsiTheme="majorBidi" w:cstheme="majorBidi"/>
          <w:sz w:val="24"/>
          <w:szCs w:val="24"/>
          <w:lang w:val="en-GB"/>
        </w:rPr>
        <w:t xml:space="preserve"> interest r</w:t>
      </w:r>
      <w:r w:rsidR="001F2EA5" w:rsidRPr="00E50F9D">
        <w:rPr>
          <w:rFonts w:asciiTheme="majorBidi" w:hAnsiTheme="majorBidi" w:cstheme="majorBidi"/>
          <w:sz w:val="24"/>
          <w:szCs w:val="24"/>
          <w:lang w:val="en-GB"/>
        </w:rPr>
        <w:t>ates to depositors compared to larger</w:t>
      </w:r>
      <w:r w:rsidR="00286012" w:rsidRPr="00E50F9D">
        <w:rPr>
          <w:rFonts w:asciiTheme="majorBidi" w:hAnsiTheme="majorBidi" w:cstheme="majorBidi"/>
          <w:sz w:val="24"/>
          <w:szCs w:val="24"/>
          <w:lang w:val="en-GB"/>
        </w:rPr>
        <w:t xml:space="preserve"> banks</w:t>
      </w:r>
      <w:r w:rsidRPr="00E50F9D">
        <w:rPr>
          <w:rFonts w:asciiTheme="majorBidi" w:hAnsiTheme="majorBidi" w:cstheme="majorBidi"/>
          <w:sz w:val="24"/>
          <w:szCs w:val="24"/>
          <w:lang w:val="en-GB"/>
        </w:rPr>
        <w:t>. From another viewpoint</w:t>
      </w:r>
      <w:r w:rsidR="00486EE7" w:rsidRPr="00E50F9D">
        <w:rPr>
          <w:rFonts w:asciiTheme="majorBidi" w:hAnsiTheme="majorBidi" w:cstheme="majorBidi"/>
          <w:sz w:val="24"/>
          <w:szCs w:val="24"/>
          <w:lang w:val="en-GB"/>
        </w:rPr>
        <w:t>,</w:t>
      </w:r>
      <w:r w:rsidRPr="00E50F9D">
        <w:rPr>
          <w:rFonts w:asciiTheme="majorBidi" w:hAnsiTheme="majorBidi" w:cstheme="majorBidi"/>
          <w:sz w:val="24"/>
          <w:szCs w:val="24"/>
          <w:lang w:val="en-GB"/>
        </w:rPr>
        <w:t xml:space="preserve"> multi-market banks offer multi</w:t>
      </w:r>
      <w:r w:rsidR="00422035" w:rsidRPr="00E50F9D">
        <w:rPr>
          <w:rFonts w:asciiTheme="majorBidi" w:hAnsiTheme="majorBidi" w:cstheme="majorBidi"/>
          <w:sz w:val="24"/>
          <w:szCs w:val="24"/>
          <w:lang w:val="en-GB"/>
        </w:rPr>
        <w:t>ple</w:t>
      </w:r>
      <w:r w:rsidRPr="00E50F9D">
        <w:rPr>
          <w:rFonts w:asciiTheme="majorBidi" w:hAnsiTheme="majorBidi" w:cstheme="majorBidi"/>
          <w:sz w:val="24"/>
          <w:szCs w:val="24"/>
          <w:lang w:val="en-GB"/>
        </w:rPr>
        <w:t xml:space="preserve"> services and have a </w:t>
      </w:r>
      <w:r w:rsidR="00286012" w:rsidRPr="00E50F9D">
        <w:rPr>
          <w:rFonts w:asciiTheme="majorBidi" w:hAnsiTheme="majorBidi" w:cstheme="majorBidi"/>
          <w:sz w:val="24"/>
          <w:szCs w:val="24"/>
          <w:lang w:val="en-GB"/>
        </w:rPr>
        <w:t>strong</w:t>
      </w:r>
      <w:r w:rsidRPr="00E50F9D">
        <w:rPr>
          <w:rFonts w:asciiTheme="majorBidi" w:hAnsiTheme="majorBidi" w:cstheme="majorBidi"/>
          <w:sz w:val="24"/>
          <w:szCs w:val="24"/>
          <w:lang w:val="en-GB"/>
        </w:rPr>
        <w:t xml:space="preserve"> reputation </w:t>
      </w:r>
      <w:r w:rsidR="00486EE7" w:rsidRPr="00E50F9D">
        <w:rPr>
          <w:rFonts w:asciiTheme="majorBidi" w:hAnsiTheme="majorBidi" w:cstheme="majorBidi"/>
          <w:sz w:val="24"/>
          <w:szCs w:val="24"/>
          <w:lang w:val="en-GB"/>
        </w:rPr>
        <w:t xml:space="preserve">that can work as </w:t>
      </w:r>
      <w:r w:rsidR="002109A5" w:rsidRPr="00E50F9D">
        <w:rPr>
          <w:rFonts w:asciiTheme="majorBidi" w:hAnsiTheme="majorBidi" w:cstheme="majorBidi"/>
          <w:sz w:val="24"/>
          <w:szCs w:val="24"/>
          <w:lang w:val="en-GB"/>
        </w:rPr>
        <w:t xml:space="preserve">a </w:t>
      </w:r>
      <w:r w:rsidR="00486EE7" w:rsidRPr="00E50F9D">
        <w:rPr>
          <w:rFonts w:asciiTheme="majorBidi" w:hAnsiTheme="majorBidi" w:cstheme="majorBidi"/>
          <w:sz w:val="24"/>
          <w:szCs w:val="24"/>
          <w:lang w:val="en-GB"/>
        </w:rPr>
        <w:t>catalyst for</w:t>
      </w:r>
      <w:r w:rsidRPr="00E50F9D">
        <w:rPr>
          <w:rFonts w:asciiTheme="majorBidi" w:hAnsiTheme="majorBidi" w:cstheme="majorBidi"/>
          <w:sz w:val="24"/>
          <w:szCs w:val="24"/>
          <w:lang w:val="en-GB"/>
        </w:rPr>
        <w:t xml:space="preserve"> </w:t>
      </w:r>
      <w:r w:rsidR="00486EE7" w:rsidRPr="00E50F9D">
        <w:rPr>
          <w:rFonts w:asciiTheme="majorBidi" w:hAnsiTheme="majorBidi" w:cstheme="majorBidi"/>
          <w:sz w:val="24"/>
          <w:szCs w:val="24"/>
          <w:lang w:val="en-GB"/>
        </w:rPr>
        <w:t>new</w:t>
      </w:r>
      <w:r w:rsidRPr="00E50F9D">
        <w:rPr>
          <w:rFonts w:asciiTheme="majorBidi" w:hAnsiTheme="majorBidi" w:cstheme="majorBidi"/>
          <w:sz w:val="24"/>
          <w:szCs w:val="24"/>
          <w:lang w:val="en-GB"/>
        </w:rPr>
        <w:t xml:space="preserve"> consumers. </w:t>
      </w:r>
      <w:r w:rsidR="0093086A" w:rsidRPr="00E50F9D">
        <w:rPr>
          <w:rFonts w:asciiTheme="majorBidi" w:hAnsiTheme="majorBidi" w:cstheme="majorBidi"/>
          <w:sz w:val="24"/>
          <w:szCs w:val="24"/>
          <w:lang w:val="en-GB"/>
        </w:rPr>
        <w:t xml:space="preserve">Based on this view, we should expect a decrease </w:t>
      </w:r>
      <w:r w:rsidR="00F70CA7" w:rsidRPr="00E50F9D">
        <w:rPr>
          <w:rFonts w:asciiTheme="majorBidi" w:hAnsiTheme="majorBidi" w:cstheme="majorBidi"/>
          <w:sz w:val="24"/>
          <w:szCs w:val="24"/>
          <w:lang w:val="en-GB"/>
        </w:rPr>
        <w:t xml:space="preserve">in </w:t>
      </w:r>
      <w:r w:rsidR="00625AFD" w:rsidRPr="00E50F9D">
        <w:rPr>
          <w:rFonts w:asciiTheme="majorBidi" w:hAnsiTheme="majorBidi" w:cstheme="majorBidi"/>
          <w:sz w:val="24"/>
          <w:szCs w:val="24"/>
          <w:lang w:val="en-GB"/>
        </w:rPr>
        <w:t>the amount of</w:t>
      </w:r>
      <w:r w:rsidR="0093086A" w:rsidRPr="00E50F9D">
        <w:rPr>
          <w:rFonts w:asciiTheme="majorBidi" w:hAnsiTheme="majorBidi" w:cstheme="majorBidi"/>
          <w:sz w:val="24"/>
          <w:szCs w:val="24"/>
          <w:lang w:val="en-GB"/>
        </w:rPr>
        <w:t xml:space="preserve"> deposits </w:t>
      </w:r>
      <w:r w:rsidR="00AE6E03" w:rsidRPr="00E50F9D">
        <w:rPr>
          <w:rFonts w:asciiTheme="majorBidi" w:hAnsiTheme="majorBidi" w:cstheme="majorBidi"/>
          <w:sz w:val="24"/>
          <w:szCs w:val="24"/>
          <w:lang w:val="en-GB"/>
        </w:rPr>
        <w:t>for</w:t>
      </w:r>
      <w:r w:rsidR="0093086A" w:rsidRPr="00E50F9D">
        <w:rPr>
          <w:rFonts w:asciiTheme="majorBidi" w:hAnsiTheme="majorBidi" w:cstheme="majorBidi"/>
          <w:sz w:val="24"/>
          <w:szCs w:val="24"/>
          <w:lang w:val="en-GB"/>
        </w:rPr>
        <w:t xml:space="preserve"> small banks because of the entrance of medium-large banks</w:t>
      </w:r>
      <w:r w:rsidR="00AE6E03" w:rsidRPr="00E50F9D">
        <w:rPr>
          <w:rFonts w:asciiTheme="majorBidi" w:hAnsiTheme="majorBidi" w:cstheme="majorBidi"/>
          <w:sz w:val="24"/>
          <w:szCs w:val="24"/>
          <w:lang w:val="en-GB"/>
        </w:rPr>
        <w:t xml:space="preserve"> in a local market</w:t>
      </w:r>
      <w:r w:rsidR="0093086A" w:rsidRPr="00E50F9D">
        <w:rPr>
          <w:rFonts w:asciiTheme="majorBidi" w:hAnsiTheme="majorBidi" w:cstheme="majorBidi"/>
          <w:sz w:val="24"/>
          <w:szCs w:val="24"/>
          <w:lang w:val="en-GB"/>
        </w:rPr>
        <w:t>.</w:t>
      </w:r>
    </w:p>
    <w:p w14:paraId="30E11A03" w14:textId="6939BDCD" w:rsidR="00D1649B" w:rsidRPr="00E50F9D" w:rsidRDefault="00D1649B" w:rsidP="00A93DF7">
      <w:pPr>
        <w:autoSpaceDE w:val="0"/>
        <w:autoSpaceDN w:val="0"/>
        <w:adjustRightInd w:val="0"/>
        <w:spacing w:after="0" w:line="480" w:lineRule="auto"/>
        <w:ind w:firstLine="567"/>
        <w:jc w:val="both"/>
        <w:rPr>
          <w:rFonts w:asciiTheme="majorBidi" w:eastAsiaTheme="minorEastAsia" w:hAnsiTheme="majorBidi" w:cstheme="majorBidi"/>
          <w:color w:val="000000"/>
          <w:sz w:val="24"/>
          <w:szCs w:val="24"/>
          <w:lang w:val="en-GB" w:eastAsia="zh-CN"/>
        </w:rPr>
      </w:pPr>
      <w:r w:rsidRPr="00E50F9D">
        <w:rPr>
          <w:rFonts w:asciiTheme="majorBidi" w:eastAsiaTheme="minorEastAsia" w:hAnsiTheme="majorBidi" w:cstheme="majorBidi"/>
          <w:color w:val="000000"/>
          <w:sz w:val="24"/>
          <w:szCs w:val="24"/>
          <w:lang w:val="en-GB" w:eastAsia="zh-CN"/>
        </w:rPr>
        <w:t>Our third and fourth hypotheses</w:t>
      </w:r>
      <w:r w:rsidR="00CC61FF" w:rsidRPr="00E50F9D">
        <w:rPr>
          <w:rFonts w:asciiTheme="majorBidi" w:eastAsiaTheme="minorEastAsia" w:hAnsiTheme="majorBidi" w:cstheme="majorBidi"/>
          <w:color w:val="000000"/>
          <w:sz w:val="24"/>
          <w:szCs w:val="24"/>
          <w:lang w:val="en-GB" w:eastAsia="zh-CN"/>
        </w:rPr>
        <w:t xml:space="preserve"> </w:t>
      </w:r>
      <w:r w:rsidRPr="00E50F9D">
        <w:rPr>
          <w:rFonts w:asciiTheme="majorBidi" w:eastAsiaTheme="minorEastAsia" w:hAnsiTheme="majorBidi" w:cstheme="majorBidi"/>
          <w:color w:val="000000"/>
          <w:sz w:val="24"/>
          <w:szCs w:val="24"/>
          <w:lang w:val="en-GB" w:eastAsia="zh-CN"/>
        </w:rPr>
        <w:t>are formulated as follows:</w:t>
      </w:r>
    </w:p>
    <w:p w14:paraId="04022914" w14:textId="77777777" w:rsidR="001B08DC" w:rsidRPr="00E50F9D" w:rsidRDefault="001B08DC" w:rsidP="001B08DC">
      <w:pPr>
        <w:autoSpaceDE w:val="0"/>
        <w:autoSpaceDN w:val="0"/>
        <w:adjustRightInd w:val="0"/>
        <w:spacing w:after="0" w:line="480" w:lineRule="auto"/>
        <w:ind w:left="567" w:hanging="567"/>
        <w:rPr>
          <w:rFonts w:asciiTheme="majorBidi" w:eastAsiaTheme="minorEastAsia" w:hAnsiTheme="majorBidi" w:cstheme="majorBidi"/>
          <w:i/>
          <w:iCs/>
          <w:sz w:val="24"/>
          <w:szCs w:val="24"/>
          <w:lang w:val="en-GB" w:eastAsia="zh-CN"/>
        </w:rPr>
      </w:pPr>
      <w:r w:rsidRPr="00E50F9D">
        <w:rPr>
          <w:rFonts w:asciiTheme="majorBidi" w:eastAsiaTheme="minorEastAsia" w:hAnsiTheme="majorBidi" w:cstheme="majorBidi"/>
          <w:i/>
          <w:iCs/>
          <w:sz w:val="24"/>
          <w:szCs w:val="24"/>
          <w:lang w:val="en-GB" w:eastAsia="zh-CN"/>
        </w:rPr>
        <w:t>H3.a:</w:t>
      </w:r>
      <w:r w:rsidRPr="00E50F9D">
        <w:rPr>
          <w:rFonts w:asciiTheme="majorBidi" w:eastAsiaTheme="minorEastAsia" w:hAnsiTheme="majorBidi" w:cstheme="majorBidi"/>
          <w:i/>
          <w:iCs/>
          <w:sz w:val="24"/>
          <w:szCs w:val="24"/>
          <w:lang w:val="en-GB" w:eastAsia="zh-CN"/>
        </w:rPr>
        <w:tab/>
        <w:t xml:space="preserve">The performance and market power for loans decrease as the number of branches of medium and large banks in a local market increases. </w:t>
      </w:r>
    </w:p>
    <w:p w14:paraId="1A821737" w14:textId="4C8F3D6D" w:rsidR="001B08DC" w:rsidRPr="00E50F9D" w:rsidRDefault="001B08DC" w:rsidP="001B08DC">
      <w:pPr>
        <w:autoSpaceDE w:val="0"/>
        <w:autoSpaceDN w:val="0"/>
        <w:adjustRightInd w:val="0"/>
        <w:spacing w:after="0" w:line="480" w:lineRule="auto"/>
        <w:ind w:left="567" w:hanging="567"/>
        <w:rPr>
          <w:rFonts w:asciiTheme="majorBidi" w:eastAsiaTheme="minorEastAsia" w:hAnsiTheme="majorBidi" w:cstheme="majorBidi"/>
          <w:i/>
          <w:iCs/>
          <w:sz w:val="24"/>
          <w:szCs w:val="24"/>
          <w:lang w:val="en-GB" w:eastAsia="zh-CN"/>
        </w:rPr>
      </w:pPr>
      <w:r w:rsidRPr="00E50F9D">
        <w:rPr>
          <w:rFonts w:asciiTheme="majorBidi" w:eastAsiaTheme="minorEastAsia" w:hAnsiTheme="majorBidi" w:cstheme="majorBidi"/>
          <w:i/>
          <w:iCs/>
          <w:sz w:val="24"/>
          <w:szCs w:val="24"/>
          <w:lang w:val="en-GB" w:eastAsia="zh-CN"/>
        </w:rPr>
        <w:t>H3.b:</w:t>
      </w:r>
      <w:r w:rsidRPr="00E50F9D">
        <w:rPr>
          <w:rFonts w:asciiTheme="majorBidi" w:eastAsiaTheme="minorEastAsia" w:hAnsiTheme="majorBidi" w:cstheme="majorBidi"/>
          <w:i/>
          <w:iCs/>
          <w:sz w:val="24"/>
          <w:szCs w:val="24"/>
          <w:lang w:val="en-GB" w:eastAsia="zh-CN"/>
        </w:rPr>
        <w:tab/>
        <w:t xml:space="preserve">The performance and market power for deposits decrease as the number of branches of medium and large banks in a local market increases. </w:t>
      </w:r>
    </w:p>
    <w:p w14:paraId="0BC14AD0" w14:textId="28FEF447" w:rsidR="001B08DC" w:rsidRPr="00E50F9D" w:rsidRDefault="0055749D" w:rsidP="001B08DC">
      <w:pPr>
        <w:autoSpaceDE w:val="0"/>
        <w:autoSpaceDN w:val="0"/>
        <w:adjustRightInd w:val="0"/>
        <w:spacing w:after="0" w:line="480" w:lineRule="auto"/>
        <w:ind w:left="567" w:hanging="567"/>
        <w:rPr>
          <w:rFonts w:asciiTheme="majorBidi" w:eastAsiaTheme="minorEastAsia" w:hAnsiTheme="majorBidi" w:cstheme="majorBidi"/>
          <w:i/>
          <w:iCs/>
          <w:sz w:val="24"/>
          <w:szCs w:val="24"/>
          <w:lang w:val="en-GB" w:eastAsia="zh-CN"/>
        </w:rPr>
      </w:pPr>
      <w:r w:rsidRPr="00E50F9D">
        <w:rPr>
          <w:rFonts w:asciiTheme="majorBidi" w:eastAsiaTheme="minorEastAsia" w:hAnsiTheme="majorBidi" w:cstheme="majorBidi"/>
          <w:i/>
          <w:iCs/>
          <w:sz w:val="24"/>
          <w:szCs w:val="24"/>
          <w:lang w:val="en-GB" w:eastAsia="zh-CN"/>
        </w:rPr>
        <w:t>H4.a:</w:t>
      </w:r>
      <w:r w:rsidRPr="00E50F9D">
        <w:rPr>
          <w:rFonts w:asciiTheme="majorBidi" w:eastAsiaTheme="minorEastAsia" w:hAnsiTheme="majorBidi" w:cstheme="majorBidi"/>
          <w:i/>
          <w:iCs/>
          <w:sz w:val="24"/>
          <w:szCs w:val="24"/>
          <w:lang w:val="en-GB" w:eastAsia="zh-CN"/>
        </w:rPr>
        <w:tab/>
        <w:t xml:space="preserve">The quantity </w:t>
      </w:r>
      <w:r w:rsidR="001B08DC" w:rsidRPr="00E50F9D">
        <w:rPr>
          <w:rFonts w:asciiTheme="majorBidi" w:eastAsiaTheme="minorEastAsia" w:hAnsiTheme="majorBidi" w:cstheme="majorBidi"/>
          <w:i/>
          <w:iCs/>
          <w:sz w:val="24"/>
          <w:szCs w:val="24"/>
          <w:lang w:val="en-GB" w:eastAsia="zh-CN"/>
        </w:rPr>
        <w:t>of loans of small local banks decreases as the number of branches of medium and large banks in a local market increases.</w:t>
      </w:r>
    </w:p>
    <w:p w14:paraId="115FB906" w14:textId="683167E3" w:rsidR="001B08DC" w:rsidRPr="00E50F9D" w:rsidRDefault="001B08DC" w:rsidP="001B08DC">
      <w:pPr>
        <w:autoSpaceDE w:val="0"/>
        <w:autoSpaceDN w:val="0"/>
        <w:adjustRightInd w:val="0"/>
        <w:spacing w:after="0" w:line="480" w:lineRule="auto"/>
        <w:ind w:left="567" w:hanging="567"/>
        <w:rPr>
          <w:rFonts w:asciiTheme="majorBidi" w:eastAsiaTheme="minorEastAsia" w:hAnsiTheme="majorBidi" w:cstheme="majorBidi"/>
          <w:i/>
          <w:iCs/>
          <w:sz w:val="24"/>
          <w:szCs w:val="24"/>
          <w:lang w:val="en-GB" w:eastAsia="zh-CN"/>
        </w:rPr>
      </w:pPr>
      <w:r w:rsidRPr="00E50F9D">
        <w:rPr>
          <w:rFonts w:asciiTheme="majorBidi" w:eastAsiaTheme="minorEastAsia" w:hAnsiTheme="majorBidi" w:cstheme="majorBidi"/>
          <w:i/>
          <w:iCs/>
          <w:sz w:val="24"/>
          <w:szCs w:val="24"/>
          <w:lang w:val="en-GB" w:eastAsia="zh-CN"/>
        </w:rPr>
        <w:t>H4.b:</w:t>
      </w:r>
      <w:r w:rsidRPr="00E50F9D">
        <w:rPr>
          <w:rFonts w:asciiTheme="majorBidi" w:eastAsiaTheme="minorEastAsia" w:hAnsiTheme="majorBidi" w:cstheme="majorBidi"/>
          <w:i/>
          <w:iCs/>
          <w:sz w:val="24"/>
          <w:szCs w:val="24"/>
          <w:lang w:val="en-GB" w:eastAsia="zh-CN"/>
        </w:rPr>
        <w:tab/>
      </w:r>
      <w:r w:rsidR="0055749D" w:rsidRPr="00E50F9D">
        <w:rPr>
          <w:rFonts w:asciiTheme="majorBidi" w:eastAsiaTheme="minorEastAsia" w:hAnsiTheme="majorBidi" w:cstheme="majorBidi"/>
          <w:i/>
          <w:iCs/>
          <w:sz w:val="24"/>
          <w:szCs w:val="24"/>
          <w:lang w:val="en-GB" w:eastAsia="zh-CN"/>
        </w:rPr>
        <w:t xml:space="preserve">The quantity of </w:t>
      </w:r>
      <w:r w:rsidRPr="00E50F9D">
        <w:rPr>
          <w:rFonts w:asciiTheme="majorBidi" w:eastAsiaTheme="minorEastAsia" w:hAnsiTheme="majorBidi" w:cstheme="majorBidi"/>
          <w:i/>
          <w:iCs/>
          <w:sz w:val="24"/>
          <w:szCs w:val="24"/>
          <w:lang w:val="en-GB" w:eastAsia="zh-CN"/>
        </w:rPr>
        <w:t>deposits of small local banks decreases as the number of branches of medium and large banks in a local market increases.</w:t>
      </w:r>
    </w:p>
    <w:p w14:paraId="548FEF8F" w14:textId="77777777" w:rsidR="001B08DC" w:rsidRPr="00E50F9D" w:rsidRDefault="001B08DC" w:rsidP="007D25F2">
      <w:pPr>
        <w:autoSpaceDE w:val="0"/>
        <w:autoSpaceDN w:val="0"/>
        <w:adjustRightInd w:val="0"/>
        <w:spacing w:after="0" w:line="480" w:lineRule="auto"/>
        <w:ind w:left="567" w:hanging="567"/>
        <w:rPr>
          <w:rFonts w:asciiTheme="majorBidi" w:eastAsiaTheme="minorEastAsia" w:hAnsiTheme="majorBidi" w:cstheme="majorBidi"/>
          <w:i/>
          <w:iCs/>
          <w:color w:val="000000"/>
          <w:sz w:val="24"/>
          <w:szCs w:val="24"/>
          <w:lang w:val="en-GB" w:eastAsia="zh-CN"/>
        </w:rPr>
      </w:pPr>
    </w:p>
    <w:p w14:paraId="05397E99" w14:textId="77777777" w:rsidR="00F31D9B" w:rsidRPr="00E50F9D" w:rsidRDefault="00171C4F" w:rsidP="00171C4F">
      <w:pPr>
        <w:spacing w:after="0" w:line="480" w:lineRule="auto"/>
        <w:jc w:val="both"/>
        <w:rPr>
          <w:rFonts w:ascii="Times New Roman" w:hAnsi="Times New Roman" w:cs="Times New Roman"/>
          <w:b/>
          <w:bCs/>
          <w:sz w:val="24"/>
          <w:szCs w:val="24"/>
          <w:lang w:val="en-GB"/>
        </w:rPr>
      </w:pPr>
      <w:r w:rsidRPr="00E50F9D">
        <w:rPr>
          <w:rFonts w:ascii="Times New Roman" w:hAnsi="Times New Roman" w:cs="Times New Roman"/>
          <w:b/>
          <w:bCs/>
          <w:sz w:val="24"/>
          <w:szCs w:val="24"/>
          <w:lang w:val="en-GB"/>
        </w:rPr>
        <w:t xml:space="preserve">3. </w:t>
      </w:r>
      <w:r w:rsidR="00852367" w:rsidRPr="00E50F9D">
        <w:rPr>
          <w:rFonts w:ascii="Times New Roman" w:hAnsi="Times New Roman" w:cs="Times New Roman"/>
          <w:b/>
          <w:bCs/>
          <w:sz w:val="24"/>
          <w:szCs w:val="24"/>
          <w:lang w:val="en-GB"/>
        </w:rPr>
        <w:t>Methodology</w:t>
      </w:r>
    </w:p>
    <w:p w14:paraId="09BA6B8F" w14:textId="77777777" w:rsidR="00852367" w:rsidRPr="00E50F9D" w:rsidRDefault="00092016" w:rsidP="00471BB5">
      <w:pPr>
        <w:spacing w:after="0" w:line="480" w:lineRule="auto"/>
        <w:jc w:val="both"/>
        <w:rPr>
          <w:rFonts w:ascii="Times New Roman" w:hAnsi="Times New Roman" w:cs="Times New Roman"/>
          <w:b/>
          <w:bCs/>
          <w:sz w:val="24"/>
          <w:szCs w:val="24"/>
          <w:lang w:val="en-GB"/>
        </w:rPr>
      </w:pPr>
      <w:r w:rsidRPr="00E50F9D">
        <w:rPr>
          <w:rFonts w:ascii="Times New Roman" w:hAnsi="Times New Roman" w:cs="Times New Roman"/>
          <w:b/>
          <w:bCs/>
          <w:sz w:val="24"/>
          <w:szCs w:val="24"/>
          <w:lang w:val="en-GB"/>
        </w:rPr>
        <w:t>3</w:t>
      </w:r>
      <w:r w:rsidR="00852367" w:rsidRPr="00E50F9D">
        <w:rPr>
          <w:rFonts w:ascii="Times New Roman" w:hAnsi="Times New Roman" w:cs="Times New Roman"/>
          <w:b/>
          <w:bCs/>
          <w:sz w:val="24"/>
          <w:szCs w:val="24"/>
          <w:lang w:val="en-GB"/>
        </w:rPr>
        <w:t xml:space="preserve">.1. The relationship between </w:t>
      </w:r>
      <w:r w:rsidR="00F31D9B" w:rsidRPr="00E50F9D">
        <w:rPr>
          <w:rFonts w:ascii="Times New Roman" w:hAnsi="Times New Roman" w:cs="Times New Roman"/>
          <w:b/>
          <w:bCs/>
          <w:sz w:val="24"/>
          <w:szCs w:val="24"/>
          <w:lang w:val="en-GB"/>
        </w:rPr>
        <w:t>p</w:t>
      </w:r>
      <w:r w:rsidR="00852367" w:rsidRPr="00E50F9D">
        <w:rPr>
          <w:rFonts w:ascii="Times New Roman" w:hAnsi="Times New Roman" w:cs="Times New Roman"/>
          <w:b/>
          <w:bCs/>
          <w:sz w:val="24"/>
          <w:szCs w:val="24"/>
          <w:lang w:val="en-GB"/>
        </w:rPr>
        <w:t>erformance, divers</w:t>
      </w:r>
      <w:r w:rsidR="009216C8" w:rsidRPr="00E50F9D">
        <w:rPr>
          <w:rFonts w:ascii="Times New Roman" w:hAnsi="Times New Roman" w:cs="Times New Roman"/>
          <w:b/>
          <w:bCs/>
          <w:sz w:val="24"/>
          <w:szCs w:val="24"/>
          <w:lang w:val="en-GB"/>
        </w:rPr>
        <w:t xml:space="preserve">ification strategies and market </w:t>
      </w:r>
      <w:r w:rsidR="00B863AE" w:rsidRPr="00E50F9D">
        <w:rPr>
          <w:rFonts w:ascii="Times New Roman" w:hAnsi="Times New Roman" w:cs="Times New Roman"/>
          <w:b/>
          <w:bCs/>
          <w:sz w:val="24"/>
          <w:szCs w:val="24"/>
          <w:lang w:val="en-GB"/>
        </w:rPr>
        <w:t>structure</w:t>
      </w:r>
    </w:p>
    <w:p w14:paraId="1EF75C18" w14:textId="0754AE0B" w:rsidR="00852367" w:rsidRPr="00E50F9D" w:rsidRDefault="00696101" w:rsidP="00A93DF7">
      <w:pPr>
        <w:spacing w:after="0" w:line="480" w:lineRule="auto"/>
        <w:ind w:firstLine="567"/>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Our</w:t>
      </w:r>
      <w:r w:rsidR="00416507" w:rsidRPr="00E50F9D">
        <w:rPr>
          <w:rFonts w:ascii="Times New Roman" w:hAnsi="Times New Roman" w:cs="Times New Roman"/>
          <w:sz w:val="24"/>
          <w:szCs w:val="24"/>
          <w:lang w:val="en-GB"/>
        </w:rPr>
        <w:t xml:space="preserve"> model</w:t>
      </w:r>
      <w:r w:rsidR="00092016" w:rsidRPr="00E50F9D">
        <w:rPr>
          <w:rFonts w:ascii="Times New Roman" w:hAnsi="Times New Roman" w:cs="Times New Roman"/>
          <w:sz w:val="24"/>
          <w:szCs w:val="24"/>
          <w:lang w:val="en-GB"/>
        </w:rPr>
        <w:t xml:space="preserve"> includ</w:t>
      </w:r>
      <w:r w:rsidR="00D1649B" w:rsidRPr="00E50F9D">
        <w:rPr>
          <w:rFonts w:ascii="Times New Roman" w:hAnsi="Times New Roman" w:cs="Times New Roman"/>
          <w:sz w:val="24"/>
          <w:szCs w:val="24"/>
          <w:lang w:val="en-GB"/>
        </w:rPr>
        <w:t>e</w:t>
      </w:r>
      <w:r w:rsidR="00416507" w:rsidRPr="00E50F9D">
        <w:rPr>
          <w:rFonts w:ascii="Times New Roman" w:hAnsi="Times New Roman" w:cs="Times New Roman"/>
          <w:sz w:val="24"/>
          <w:szCs w:val="24"/>
          <w:lang w:val="en-GB"/>
        </w:rPr>
        <w:t>s</w:t>
      </w:r>
      <w:r w:rsidR="00092016" w:rsidRPr="00E50F9D">
        <w:rPr>
          <w:rFonts w:ascii="Times New Roman" w:hAnsi="Times New Roman" w:cs="Times New Roman"/>
          <w:sz w:val="24"/>
          <w:szCs w:val="24"/>
          <w:lang w:val="en-GB"/>
        </w:rPr>
        <w:t xml:space="preserve"> several measures of geographic diversification and local banking features. </w:t>
      </w:r>
      <w:r w:rsidR="00B863AE" w:rsidRPr="00E50F9D">
        <w:rPr>
          <w:rFonts w:ascii="Times New Roman" w:hAnsi="Times New Roman" w:cs="Times New Roman"/>
          <w:sz w:val="24"/>
          <w:szCs w:val="24"/>
          <w:lang w:val="en-GB"/>
        </w:rPr>
        <w:t>Therefore</w:t>
      </w:r>
      <w:r w:rsidR="00092016" w:rsidRPr="00E50F9D">
        <w:rPr>
          <w:rFonts w:ascii="Times New Roman" w:hAnsi="Times New Roman" w:cs="Times New Roman"/>
          <w:sz w:val="24"/>
          <w:szCs w:val="24"/>
          <w:lang w:val="en-GB"/>
        </w:rPr>
        <w:t xml:space="preserve">, </w:t>
      </w:r>
      <w:r w:rsidR="00416507" w:rsidRPr="00E50F9D">
        <w:rPr>
          <w:rFonts w:ascii="Times New Roman" w:hAnsi="Times New Roman" w:cs="Times New Roman"/>
          <w:sz w:val="24"/>
          <w:szCs w:val="24"/>
          <w:lang w:val="en-GB"/>
        </w:rPr>
        <w:t xml:space="preserve">it </w:t>
      </w:r>
      <w:r w:rsidR="00092016" w:rsidRPr="00E50F9D">
        <w:rPr>
          <w:rFonts w:ascii="Times New Roman" w:hAnsi="Times New Roman" w:cs="Times New Roman"/>
          <w:sz w:val="24"/>
          <w:szCs w:val="24"/>
          <w:lang w:val="en-GB"/>
        </w:rPr>
        <w:t>offer</w:t>
      </w:r>
      <w:r w:rsidR="00416507" w:rsidRPr="00E50F9D">
        <w:rPr>
          <w:rFonts w:ascii="Times New Roman" w:hAnsi="Times New Roman" w:cs="Times New Roman"/>
          <w:sz w:val="24"/>
          <w:szCs w:val="24"/>
          <w:lang w:val="en-GB"/>
        </w:rPr>
        <w:t>s</w:t>
      </w:r>
      <w:r w:rsidR="00092016" w:rsidRPr="00E50F9D">
        <w:rPr>
          <w:rFonts w:ascii="Times New Roman" w:hAnsi="Times New Roman" w:cs="Times New Roman"/>
          <w:sz w:val="24"/>
          <w:szCs w:val="24"/>
          <w:lang w:val="en-GB"/>
        </w:rPr>
        <w:t xml:space="preserve"> a more comprehensive and po</w:t>
      </w:r>
      <w:r w:rsidR="00CD02F0" w:rsidRPr="00E50F9D">
        <w:rPr>
          <w:rFonts w:ascii="Times New Roman" w:hAnsi="Times New Roman" w:cs="Times New Roman"/>
          <w:sz w:val="24"/>
          <w:szCs w:val="24"/>
          <w:lang w:val="en-GB"/>
        </w:rPr>
        <w:t>tentially</w:t>
      </w:r>
      <w:r w:rsidR="00092016" w:rsidRPr="00E50F9D">
        <w:rPr>
          <w:rFonts w:ascii="Times New Roman" w:hAnsi="Times New Roman" w:cs="Times New Roman"/>
          <w:sz w:val="24"/>
          <w:szCs w:val="24"/>
          <w:lang w:val="en-GB"/>
        </w:rPr>
        <w:t xml:space="preserve"> more reliable set of results on the relationship between geographic diversification, performance, </w:t>
      </w:r>
      <w:r w:rsidR="00E17D71" w:rsidRPr="00E50F9D">
        <w:rPr>
          <w:rFonts w:ascii="Times New Roman" w:hAnsi="Times New Roman" w:cs="Times New Roman"/>
          <w:sz w:val="24"/>
          <w:szCs w:val="24"/>
          <w:lang w:val="en-GB"/>
        </w:rPr>
        <w:t xml:space="preserve">adjusted Lerner Index, </w:t>
      </w:r>
      <w:r w:rsidR="00A93DF7" w:rsidRPr="00E50F9D">
        <w:rPr>
          <w:rFonts w:ascii="Times New Roman" w:hAnsi="Times New Roman" w:cs="Times New Roman"/>
          <w:sz w:val="24"/>
          <w:szCs w:val="24"/>
          <w:lang w:val="en-GB"/>
        </w:rPr>
        <w:t>and</w:t>
      </w:r>
      <w:r w:rsidR="00092016" w:rsidRPr="00E50F9D">
        <w:rPr>
          <w:rFonts w:ascii="Times New Roman" w:hAnsi="Times New Roman" w:cs="Times New Roman"/>
          <w:sz w:val="24"/>
          <w:szCs w:val="24"/>
          <w:lang w:val="en-GB"/>
        </w:rPr>
        <w:t xml:space="preserve"> loan</w:t>
      </w:r>
      <w:r w:rsidR="00A93DF7" w:rsidRPr="00E50F9D">
        <w:rPr>
          <w:rFonts w:ascii="Times New Roman" w:hAnsi="Times New Roman" w:cs="Times New Roman"/>
          <w:sz w:val="24"/>
          <w:szCs w:val="24"/>
          <w:lang w:val="en-GB"/>
        </w:rPr>
        <w:t xml:space="preserve"> </w:t>
      </w:r>
      <w:r w:rsidR="00092016" w:rsidRPr="00E50F9D">
        <w:rPr>
          <w:rFonts w:ascii="Times New Roman" w:hAnsi="Times New Roman" w:cs="Times New Roman"/>
          <w:sz w:val="24"/>
          <w:szCs w:val="24"/>
          <w:lang w:val="en-GB"/>
        </w:rPr>
        <w:t>and deposit</w:t>
      </w:r>
      <w:r w:rsidR="00E17D71" w:rsidRPr="00E50F9D">
        <w:rPr>
          <w:rFonts w:ascii="Times New Roman" w:hAnsi="Times New Roman" w:cs="Times New Roman"/>
          <w:sz w:val="24"/>
          <w:szCs w:val="24"/>
          <w:lang w:val="en-GB"/>
        </w:rPr>
        <w:t xml:space="preserve"> strategies</w:t>
      </w:r>
      <w:r w:rsidR="00092016" w:rsidRPr="00E50F9D">
        <w:rPr>
          <w:rFonts w:ascii="Times New Roman" w:hAnsi="Times New Roman" w:cs="Times New Roman"/>
          <w:sz w:val="24"/>
          <w:szCs w:val="24"/>
          <w:lang w:val="en-GB"/>
        </w:rPr>
        <w:t xml:space="preserve">. </w:t>
      </w:r>
      <w:r w:rsidR="00092016" w:rsidRPr="00E50F9D">
        <w:rPr>
          <w:rFonts w:ascii="Times New Roman" w:hAnsi="Times New Roman" w:cs="Times New Roman"/>
          <w:color w:val="000000"/>
          <w:sz w:val="24"/>
          <w:szCs w:val="24"/>
          <w:lang w:val="en-GB"/>
        </w:rPr>
        <w:t>Our first</w:t>
      </w:r>
      <w:r w:rsidR="00B802B4" w:rsidRPr="00E50F9D">
        <w:rPr>
          <w:rFonts w:ascii="Times New Roman" w:hAnsi="Times New Roman" w:cs="Times New Roman"/>
          <w:color w:val="000000"/>
          <w:sz w:val="24"/>
          <w:szCs w:val="24"/>
          <w:lang w:val="en-GB"/>
        </w:rPr>
        <w:t xml:space="preserve"> model</w:t>
      </w:r>
      <w:r w:rsidR="00092016" w:rsidRPr="00E50F9D">
        <w:rPr>
          <w:rFonts w:ascii="Times New Roman" w:hAnsi="Times New Roman" w:cs="Times New Roman"/>
          <w:color w:val="000000"/>
          <w:sz w:val="24"/>
          <w:szCs w:val="24"/>
          <w:lang w:val="en-GB"/>
        </w:rPr>
        <w:t xml:space="preserve"> is as follows: </w:t>
      </w:r>
    </w:p>
    <w:p w14:paraId="6AEB5988" w14:textId="599F68A4" w:rsidR="003114E3" w:rsidRPr="00E50F9D" w:rsidRDefault="00A93DF7" w:rsidP="00471BB5">
      <w:pPr>
        <w:autoSpaceDE w:val="0"/>
        <w:autoSpaceDN w:val="0"/>
        <w:adjustRightInd w:val="0"/>
        <w:spacing w:after="0" w:line="480" w:lineRule="auto"/>
        <w:rPr>
          <w:rFonts w:asciiTheme="majorBidi" w:hAnsiTheme="majorBidi" w:cstheme="majorBidi"/>
          <w:i/>
          <w:iCs/>
          <w:sz w:val="24"/>
          <w:szCs w:val="24"/>
          <w:lang w:val="en-GB"/>
        </w:rPr>
      </w:pPr>
      <w:r w:rsidRPr="00E50F9D">
        <w:rPr>
          <w:lang w:val="en-GB"/>
        </w:rPr>
        <w:tab/>
      </w:r>
      <w:r w:rsidR="00AD09E5" w:rsidRPr="00E50F9D">
        <w:rPr>
          <w:position w:val="-30"/>
        </w:rPr>
        <w:object w:dxaOrig="8720" w:dyaOrig="720" w14:anchorId="40A8E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35pt;height:36pt" o:ole="">
            <v:imagedata r:id="rId8" o:title=""/>
          </v:shape>
          <o:OLEObject Type="Embed" ProgID="Equation.3" ShapeID="_x0000_i1025" DrawAspect="Content" ObjectID="_1550050059" r:id="rId9"/>
        </w:object>
      </w:r>
      <w:r w:rsidR="00F70CA7" w:rsidRPr="00E50F9D">
        <w:rPr>
          <w:lang w:val="en-GB"/>
        </w:rPr>
        <w:t xml:space="preserve">  </w:t>
      </w:r>
      <w:r w:rsidR="00CC61FF" w:rsidRPr="00E50F9D">
        <w:rPr>
          <w:i/>
          <w:iCs/>
          <w:lang w:val="en-GB"/>
        </w:rPr>
        <w:t>(</w:t>
      </w:r>
      <w:r w:rsidR="00852367" w:rsidRPr="00E50F9D">
        <w:rPr>
          <w:rFonts w:asciiTheme="majorBidi" w:hAnsiTheme="majorBidi" w:cstheme="majorBidi"/>
          <w:i/>
          <w:iCs/>
          <w:sz w:val="24"/>
          <w:szCs w:val="24"/>
          <w:lang w:val="en-GB"/>
        </w:rPr>
        <w:t>1)</w:t>
      </w:r>
    </w:p>
    <w:p w14:paraId="5738D6EF" w14:textId="0EB9E5EA" w:rsidR="00BD51E5" w:rsidRPr="00E50F9D" w:rsidRDefault="002F3E1C" w:rsidP="00F70CA7">
      <w:pPr>
        <w:spacing w:after="0" w:line="480" w:lineRule="auto"/>
        <w:jc w:val="both"/>
        <w:rPr>
          <w:rFonts w:asciiTheme="majorBidi" w:hAnsiTheme="majorBidi" w:cstheme="majorBidi"/>
          <w:sz w:val="24"/>
          <w:szCs w:val="24"/>
          <w:lang w:val="en-US"/>
        </w:rPr>
      </w:pPr>
      <w:r w:rsidRPr="00E50F9D">
        <w:rPr>
          <w:rFonts w:asciiTheme="majorBidi" w:hAnsiTheme="majorBidi" w:cstheme="majorBidi"/>
          <w:sz w:val="24"/>
          <w:szCs w:val="24"/>
          <w:lang w:val="en-US"/>
        </w:rPr>
        <w:t>In particular, t</w:t>
      </w:r>
      <w:r w:rsidR="002B444D" w:rsidRPr="00E50F9D">
        <w:rPr>
          <w:rFonts w:asciiTheme="majorBidi" w:hAnsiTheme="majorBidi" w:cstheme="majorBidi"/>
          <w:sz w:val="24"/>
          <w:szCs w:val="24"/>
          <w:lang w:val="en-US"/>
        </w:rPr>
        <w:t xml:space="preserve">here are </w:t>
      </w:r>
      <w:r w:rsidR="00BD51E5" w:rsidRPr="00E50F9D">
        <w:rPr>
          <w:rFonts w:asciiTheme="majorBidi" w:hAnsiTheme="majorBidi" w:cstheme="majorBidi"/>
          <w:sz w:val="24"/>
          <w:szCs w:val="24"/>
          <w:lang w:val="en-US"/>
        </w:rPr>
        <w:t>six</w:t>
      </w:r>
      <w:r w:rsidR="002B444D" w:rsidRPr="00E50F9D">
        <w:rPr>
          <w:rFonts w:asciiTheme="majorBidi" w:hAnsiTheme="majorBidi" w:cstheme="majorBidi"/>
          <w:sz w:val="24"/>
          <w:szCs w:val="24"/>
          <w:lang w:val="en-US"/>
        </w:rPr>
        <w:t xml:space="preserve"> dependent variables (DVs henceforth) used in separate implementations of the model at (1). These are: (i) </w:t>
      </w:r>
      <w:r w:rsidR="00852367" w:rsidRPr="00E50F9D">
        <w:rPr>
          <w:rFonts w:asciiTheme="majorBidi" w:hAnsiTheme="majorBidi" w:cstheme="majorBidi"/>
          <w:sz w:val="24"/>
          <w:szCs w:val="24"/>
          <w:lang w:val="en-US"/>
        </w:rPr>
        <w:t>return on assets</w:t>
      </w:r>
      <w:r w:rsidR="002B444D" w:rsidRPr="00E50F9D">
        <w:rPr>
          <w:rFonts w:asciiTheme="majorBidi" w:hAnsiTheme="majorBidi" w:cstheme="majorBidi"/>
          <w:sz w:val="24"/>
          <w:szCs w:val="24"/>
          <w:lang w:val="en-US"/>
        </w:rPr>
        <w:t xml:space="preserve"> (denoted </w:t>
      </w:r>
      <w:r w:rsidR="00FF3EC8" w:rsidRPr="00E50F9D">
        <w:rPr>
          <w:rFonts w:asciiTheme="majorBidi" w:hAnsiTheme="majorBidi" w:cstheme="majorBidi"/>
          <w:sz w:val="24"/>
          <w:szCs w:val="24"/>
          <w:lang w:val="en-US"/>
        </w:rPr>
        <w:t>ROA</w:t>
      </w:r>
      <w:r w:rsidR="002B444D" w:rsidRPr="00E50F9D">
        <w:rPr>
          <w:rFonts w:asciiTheme="majorBidi" w:hAnsiTheme="majorBidi" w:cstheme="majorBidi"/>
          <w:sz w:val="24"/>
          <w:szCs w:val="24"/>
          <w:lang w:val="en-US"/>
        </w:rPr>
        <w:t>)</w:t>
      </w:r>
      <w:r w:rsidR="00FF3EC8" w:rsidRPr="00E50F9D">
        <w:rPr>
          <w:rFonts w:asciiTheme="majorBidi" w:hAnsiTheme="majorBidi" w:cstheme="majorBidi"/>
          <w:sz w:val="24"/>
          <w:szCs w:val="24"/>
          <w:lang w:val="en-US"/>
        </w:rPr>
        <w:t>,</w:t>
      </w:r>
      <w:r w:rsidR="00852367" w:rsidRPr="00E50F9D">
        <w:rPr>
          <w:rFonts w:asciiTheme="majorBidi" w:hAnsiTheme="majorBidi" w:cstheme="majorBidi"/>
          <w:sz w:val="24"/>
          <w:szCs w:val="24"/>
          <w:lang w:val="en-US"/>
        </w:rPr>
        <w:t xml:space="preserve"> </w:t>
      </w:r>
      <w:r w:rsidR="002B444D" w:rsidRPr="00E50F9D">
        <w:rPr>
          <w:rFonts w:asciiTheme="majorBidi" w:hAnsiTheme="majorBidi" w:cstheme="majorBidi"/>
          <w:sz w:val="24"/>
          <w:szCs w:val="24"/>
          <w:lang w:val="en-US"/>
        </w:rPr>
        <w:t>(ii)</w:t>
      </w:r>
      <w:r w:rsidR="00945D14" w:rsidRPr="00E50F9D">
        <w:rPr>
          <w:rFonts w:asciiTheme="majorBidi" w:hAnsiTheme="majorBidi" w:cstheme="majorBidi"/>
          <w:sz w:val="24"/>
          <w:szCs w:val="24"/>
          <w:lang w:val="en-US"/>
        </w:rPr>
        <w:t xml:space="preserve"> </w:t>
      </w:r>
      <w:r w:rsidR="00D036B1" w:rsidRPr="00E50F9D">
        <w:rPr>
          <w:rFonts w:asciiTheme="majorBidi" w:hAnsiTheme="majorBidi" w:cstheme="majorBidi"/>
          <w:sz w:val="24"/>
          <w:szCs w:val="24"/>
          <w:lang w:val="en-US"/>
        </w:rPr>
        <w:t>efficiency-</w:t>
      </w:r>
      <w:r w:rsidR="00463F7F" w:rsidRPr="00E50F9D">
        <w:rPr>
          <w:rFonts w:asciiTheme="majorBidi" w:hAnsiTheme="majorBidi" w:cstheme="majorBidi"/>
          <w:sz w:val="24"/>
          <w:szCs w:val="24"/>
          <w:lang w:val="en-US"/>
        </w:rPr>
        <w:t xml:space="preserve">adjusted </w:t>
      </w:r>
      <w:r w:rsidR="00D036B1" w:rsidRPr="00E50F9D">
        <w:rPr>
          <w:rFonts w:asciiTheme="majorBidi" w:hAnsiTheme="majorBidi" w:cstheme="majorBidi"/>
          <w:sz w:val="24"/>
          <w:szCs w:val="24"/>
          <w:lang w:val="en-US"/>
        </w:rPr>
        <w:t xml:space="preserve">Lerner Index </w:t>
      </w:r>
      <w:r w:rsidR="002B444D" w:rsidRPr="00E50F9D">
        <w:rPr>
          <w:rFonts w:asciiTheme="majorBidi" w:hAnsiTheme="majorBidi" w:cstheme="majorBidi"/>
          <w:sz w:val="24"/>
          <w:szCs w:val="24"/>
          <w:lang w:val="en-US"/>
        </w:rPr>
        <w:t>(</w:t>
      </w:r>
      <w:r w:rsidR="002B444D" w:rsidRPr="00E50F9D">
        <w:rPr>
          <w:rFonts w:ascii="Times New Roman" w:hAnsi="Times New Roman" w:cs="Times New Roman"/>
          <w:sz w:val="24"/>
          <w:szCs w:val="24"/>
        </w:rPr>
        <w:t xml:space="preserve">Adj LE); </w:t>
      </w:r>
      <w:r w:rsidR="002B444D" w:rsidRPr="00E50F9D">
        <w:rPr>
          <w:rFonts w:asciiTheme="majorBidi" w:hAnsiTheme="majorBidi" w:cstheme="majorBidi"/>
          <w:sz w:val="24"/>
          <w:szCs w:val="24"/>
          <w:lang w:val="en-US"/>
        </w:rPr>
        <w:t>(iii</w:t>
      </w:r>
      <w:r w:rsidR="00BD51E5" w:rsidRPr="00E50F9D">
        <w:rPr>
          <w:rFonts w:asciiTheme="majorBidi" w:hAnsiTheme="majorBidi" w:cstheme="majorBidi"/>
          <w:sz w:val="24"/>
          <w:szCs w:val="24"/>
          <w:lang w:val="en-US"/>
        </w:rPr>
        <w:t>-iv</w:t>
      </w:r>
      <w:r w:rsidR="002B444D" w:rsidRPr="00E50F9D">
        <w:rPr>
          <w:rFonts w:asciiTheme="majorBidi" w:hAnsiTheme="majorBidi" w:cstheme="majorBidi"/>
          <w:sz w:val="24"/>
          <w:szCs w:val="24"/>
          <w:lang w:val="en-US"/>
        </w:rPr>
        <w:t xml:space="preserve">) </w:t>
      </w:r>
      <w:r w:rsidR="00D036B1" w:rsidRPr="00E50F9D">
        <w:rPr>
          <w:rFonts w:asciiTheme="majorBidi" w:hAnsiTheme="majorBidi" w:cstheme="majorBidi"/>
          <w:sz w:val="24"/>
          <w:szCs w:val="24"/>
          <w:lang w:val="en-US"/>
        </w:rPr>
        <w:t xml:space="preserve">Lerner </w:t>
      </w:r>
      <w:r w:rsidR="00F70CA7" w:rsidRPr="00E50F9D">
        <w:rPr>
          <w:rFonts w:asciiTheme="majorBidi" w:hAnsiTheme="majorBidi" w:cstheme="majorBidi"/>
          <w:sz w:val="24"/>
          <w:szCs w:val="24"/>
          <w:lang w:val="en-US"/>
        </w:rPr>
        <w:t>I</w:t>
      </w:r>
      <w:r w:rsidR="00D036B1" w:rsidRPr="00E50F9D">
        <w:rPr>
          <w:rFonts w:asciiTheme="majorBidi" w:hAnsiTheme="majorBidi" w:cstheme="majorBidi"/>
          <w:sz w:val="24"/>
          <w:szCs w:val="24"/>
          <w:lang w:val="en-US"/>
        </w:rPr>
        <w:t>ndex for loans and deposits (</w:t>
      </w:r>
      <w:r w:rsidR="002B444D" w:rsidRPr="00E50F9D">
        <w:rPr>
          <w:rFonts w:ascii="Times New Roman" w:hAnsi="Times New Roman" w:cs="Times New Roman"/>
          <w:sz w:val="24"/>
          <w:szCs w:val="24"/>
        </w:rPr>
        <w:t>LE</w:t>
      </w:r>
      <w:r w:rsidR="002B444D" w:rsidRPr="00E50F9D">
        <w:rPr>
          <w:rFonts w:ascii="Times New Roman" w:hAnsi="Times New Roman" w:cs="Times New Roman"/>
          <w:sz w:val="14"/>
          <w:szCs w:val="24"/>
        </w:rPr>
        <w:t xml:space="preserve">L </w:t>
      </w:r>
      <w:r w:rsidR="002B444D" w:rsidRPr="00E50F9D">
        <w:rPr>
          <w:rFonts w:ascii="Times New Roman" w:hAnsi="Times New Roman" w:cs="Times New Roman"/>
          <w:sz w:val="24"/>
          <w:szCs w:val="24"/>
        </w:rPr>
        <w:t>a</w:t>
      </w:r>
      <w:r w:rsidR="002B444D" w:rsidRPr="00E50F9D">
        <w:rPr>
          <w:rFonts w:asciiTheme="majorBidi" w:hAnsiTheme="majorBidi" w:cstheme="majorBidi"/>
          <w:sz w:val="24"/>
          <w:szCs w:val="24"/>
          <w:lang w:val="en-US"/>
        </w:rPr>
        <w:t xml:space="preserve">nd </w:t>
      </w:r>
      <w:r w:rsidR="002B444D" w:rsidRPr="00E50F9D">
        <w:rPr>
          <w:rFonts w:ascii="Times New Roman" w:hAnsi="Times New Roman" w:cs="Times New Roman"/>
          <w:sz w:val="24"/>
          <w:szCs w:val="24"/>
        </w:rPr>
        <w:t>LE</w:t>
      </w:r>
      <w:r w:rsidR="002B444D" w:rsidRPr="00E50F9D">
        <w:rPr>
          <w:rFonts w:ascii="Times New Roman" w:hAnsi="Times New Roman" w:cs="Times New Roman"/>
          <w:sz w:val="14"/>
          <w:szCs w:val="24"/>
        </w:rPr>
        <w:t>D</w:t>
      </w:r>
      <w:r w:rsidR="005C6316" w:rsidRPr="00E50F9D">
        <w:rPr>
          <w:rFonts w:asciiTheme="majorBidi" w:hAnsiTheme="majorBidi" w:cstheme="majorBidi"/>
          <w:sz w:val="24"/>
          <w:szCs w:val="24"/>
          <w:lang w:val="en-US"/>
        </w:rPr>
        <w:t>)</w:t>
      </w:r>
      <w:r w:rsidR="002B444D" w:rsidRPr="00E50F9D">
        <w:rPr>
          <w:rFonts w:asciiTheme="majorBidi" w:hAnsiTheme="majorBidi" w:cstheme="majorBidi"/>
          <w:sz w:val="24"/>
          <w:szCs w:val="24"/>
          <w:lang w:val="en-US"/>
        </w:rPr>
        <w:t xml:space="preserve">, </w:t>
      </w:r>
      <w:r w:rsidR="00BD51E5" w:rsidRPr="00E50F9D">
        <w:rPr>
          <w:rFonts w:ascii="Times New Roman" w:hAnsi="Times New Roman" w:cs="Times New Roman"/>
          <w:sz w:val="24"/>
          <w:szCs w:val="24"/>
        </w:rPr>
        <w:t>(</w:t>
      </w:r>
      <w:r w:rsidR="002B444D" w:rsidRPr="00E50F9D">
        <w:rPr>
          <w:rFonts w:ascii="Times New Roman" w:hAnsi="Times New Roman" w:cs="Times New Roman"/>
          <w:sz w:val="24"/>
          <w:szCs w:val="24"/>
        </w:rPr>
        <w:t xml:space="preserve">v) </w:t>
      </w:r>
      <w:r w:rsidR="002B444D" w:rsidRPr="00E50F9D">
        <w:rPr>
          <w:rFonts w:asciiTheme="majorBidi" w:hAnsiTheme="majorBidi" w:cstheme="majorBidi"/>
          <w:sz w:val="24"/>
          <w:szCs w:val="24"/>
          <w:lang w:val="en-US"/>
        </w:rPr>
        <w:t xml:space="preserve">the change of loans from period  t-1 and t, </w:t>
      </w:r>
      <m:oMath>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loan</m:t>
            </m:r>
          </m:e>
          <m:sub>
            <m:r>
              <w:rPr>
                <w:rFonts w:ascii="Cambria Math" w:hAnsi="Cambria Math" w:cstheme="majorBidi"/>
                <w:sz w:val="24"/>
                <w:szCs w:val="24"/>
                <w:lang w:val="en-US"/>
              </w:rPr>
              <m:t>it</m:t>
            </m:r>
          </m:sub>
        </m:sSub>
      </m:oMath>
      <w:r w:rsidR="002B444D" w:rsidRPr="00E50F9D">
        <w:rPr>
          <w:rFonts w:asciiTheme="majorBidi" w:hAnsiTheme="majorBidi" w:cstheme="majorBidi"/>
          <w:sz w:val="24"/>
          <w:szCs w:val="24"/>
          <w:lang w:val="en-US"/>
        </w:rPr>
        <w:t>, and (v</w:t>
      </w:r>
      <w:r w:rsidR="00BD51E5" w:rsidRPr="00E50F9D">
        <w:rPr>
          <w:rFonts w:asciiTheme="majorBidi" w:hAnsiTheme="majorBidi" w:cstheme="majorBidi"/>
          <w:sz w:val="24"/>
          <w:szCs w:val="24"/>
          <w:lang w:val="en-US"/>
        </w:rPr>
        <w:t>i</w:t>
      </w:r>
      <w:r w:rsidR="002B444D" w:rsidRPr="00E50F9D">
        <w:rPr>
          <w:rFonts w:asciiTheme="majorBidi" w:hAnsiTheme="majorBidi" w:cstheme="majorBidi"/>
          <w:sz w:val="24"/>
          <w:szCs w:val="24"/>
          <w:lang w:val="en-US"/>
        </w:rPr>
        <w:t>) the change in deposits</w:t>
      </w:r>
      <m:oMath>
        <m:r>
          <w:rPr>
            <w:rFonts w:ascii="Cambria Math" w:hAnsi="Cambria Math" w:cstheme="majorBidi"/>
            <w:sz w:val="24"/>
            <w:szCs w:val="24"/>
            <w:lang w:val="en-US"/>
          </w:rPr>
          <m:t xml:space="preserve"> </m:t>
        </m:r>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Deposit</m:t>
            </m:r>
          </m:e>
          <m:sub>
            <m:r>
              <w:rPr>
                <w:rFonts w:ascii="Cambria Math" w:hAnsi="Cambria Math" w:cstheme="majorBidi"/>
                <w:sz w:val="24"/>
                <w:szCs w:val="24"/>
                <w:lang w:val="en-US"/>
              </w:rPr>
              <m:t>it</m:t>
            </m:r>
          </m:sub>
        </m:sSub>
        <m:r>
          <w:rPr>
            <w:rStyle w:val="EndnoteReference"/>
            <w:rFonts w:ascii="Cambria Math" w:hAnsi="Cambria Math" w:cstheme="majorBidi"/>
            <w:i/>
            <w:sz w:val="24"/>
            <w:szCs w:val="24"/>
            <w:lang w:val="en-US"/>
          </w:rPr>
          <w:endnoteReference w:id="3"/>
        </m:r>
      </m:oMath>
      <w:r w:rsidR="00F70CA7" w:rsidRPr="00E50F9D">
        <w:rPr>
          <w:rFonts w:asciiTheme="majorBidi" w:hAnsiTheme="majorBidi" w:cstheme="majorBidi"/>
          <w:sz w:val="24"/>
          <w:szCs w:val="24"/>
          <w:lang w:val="en-US"/>
        </w:rPr>
        <w:t>.</w:t>
      </w:r>
      <w:r w:rsidR="00ED3F3F" w:rsidRPr="00E50F9D">
        <w:rPr>
          <w:rFonts w:asciiTheme="majorBidi" w:hAnsiTheme="majorBidi" w:cstheme="majorBidi"/>
          <w:sz w:val="24"/>
          <w:szCs w:val="24"/>
          <w:lang w:val="en-US"/>
        </w:rPr>
        <w:t xml:space="preserve"> DVs (i-ii) refer to H1.a and H1.b, while DVs (i</w:t>
      </w:r>
      <w:r w:rsidRPr="00E50F9D">
        <w:rPr>
          <w:rFonts w:asciiTheme="majorBidi" w:hAnsiTheme="majorBidi" w:cstheme="majorBidi"/>
          <w:sz w:val="24"/>
          <w:szCs w:val="24"/>
          <w:lang w:val="en-US"/>
        </w:rPr>
        <w:t>i</w:t>
      </w:r>
      <w:r w:rsidR="00ED3F3F" w:rsidRPr="00E50F9D">
        <w:rPr>
          <w:rFonts w:asciiTheme="majorBidi" w:hAnsiTheme="majorBidi" w:cstheme="majorBidi"/>
          <w:sz w:val="24"/>
          <w:szCs w:val="24"/>
          <w:lang w:val="en-US"/>
        </w:rPr>
        <w:t>i-v</w:t>
      </w:r>
      <w:r w:rsidR="00BD51E5" w:rsidRPr="00E50F9D">
        <w:rPr>
          <w:rFonts w:asciiTheme="majorBidi" w:hAnsiTheme="majorBidi" w:cstheme="majorBidi"/>
          <w:sz w:val="24"/>
          <w:szCs w:val="24"/>
          <w:lang w:val="en-US"/>
        </w:rPr>
        <w:t>i</w:t>
      </w:r>
      <w:r w:rsidR="00ED3F3F" w:rsidRPr="00E50F9D">
        <w:rPr>
          <w:rFonts w:asciiTheme="majorBidi" w:hAnsiTheme="majorBidi" w:cstheme="majorBidi"/>
          <w:sz w:val="24"/>
          <w:szCs w:val="24"/>
          <w:lang w:val="en-US"/>
        </w:rPr>
        <w:t xml:space="preserve">) to H2.a and H2.b. </w:t>
      </w:r>
      <w:r w:rsidR="00BD51E5" w:rsidRPr="00E50F9D">
        <w:rPr>
          <w:rFonts w:asciiTheme="majorBidi" w:hAnsiTheme="majorBidi" w:cstheme="majorBidi"/>
          <w:sz w:val="24"/>
          <w:szCs w:val="24"/>
          <w:lang w:val="en-US"/>
        </w:rPr>
        <w:t xml:space="preserve"> As follows, we report all the implementations of Model 1.</w:t>
      </w:r>
    </w:p>
    <w:p w14:paraId="64AF6CBB" w14:textId="77777777" w:rsidR="00375242" w:rsidRPr="00E50F9D" w:rsidRDefault="00375242" w:rsidP="00F70CA7">
      <w:pPr>
        <w:spacing w:after="0" w:line="480" w:lineRule="auto"/>
        <w:jc w:val="both"/>
        <w:rPr>
          <w:rFonts w:asciiTheme="majorBidi" w:hAnsiTheme="majorBidi" w:cstheme="majorBidi"/>
          <w:sz w:val="24"/>
          <w:szCs w:val="24"/>
          <w:lang w:val="en-US"/>
        </w:rPr>
      </w:pPr>
    </w:p>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33"/>
        <w:gridCol w:w="1533"/>
        <w:gridCol w:w="1533"/>
        <w:gridCol w:w="1533"/>
        <w:gridCol w:w="1265"/>
      </w:tblGrid>
      <w:tr w:rsidR="00A0640A" w:rsidRPr="00E50F9D" w14:paraId="390AFCAA" w14:textId="69689471" w:rsidTr="00A0640A">
        <w:tc>
          <w:tcPr>
            <w:tcW w:w="1533" w:type="dxa"/>
            <w:tcBorders>
              <w:top w:val="single" w:sz="4" w:space="0" w:color="auto"/>
              <w:bottom w:val="single" w:sz="4" w:space="0" w:color="auto"/>
            </w:tcBorders>
          </w:tcPr>
          <w:p w14:paraId="7775EEDF" w14:textId="5A1E7CEF" w:rsidR="00A0640A" w:rsidRPr="00E50F9D" w:rsidRDefault="00BB5E64" w:rsidP="00F70CA7">
            <w:pPr>
              <w:spacing w:line="480" w:lineRule="auto"/>
              <w:jc w:val="both"/>
              <w:rPr>
                <w:rFonts w:asciiTheme="majorBidi" w:hAnsiTheme="majorBidi" w:cstheme="majorBidi"/>
                <w:sz w:val="22"/>
                <w:szCs w:val="24"/>
                <w:lang w:val="en-US"/>
              </w:rPr>
            </w:pPr>
            <m:oMathPara>
              <m:oMathParaPr>
                <m:jc m:val="left"/>
              </m:oMathParaPr>
              <m:oMath>
                <m:sSub>
                  <m:sSubPr>
                    <m:ctrlPr>
                      <w:rPr>
                        <w:rFonts w:ascii="Cambria Math" w:hAnsi="Cambria Math" w:cstheme="majorBidi"/>
                        <w:i/>
                        <w:sz w:val="22"/>
                        <w:szCs w:val="24"/>
                        <w:lang w:val="en-US"/>
                      </w:rPr>
                    </m:ctrlPr>
                  </m:sSubPr>
                  <m:e>
                    <m:r>
                      <w:rPr>
                        <w:rFonts w:ascii="Cambria Math" w:hAnsi="Cambria Math" w:cstheme="majorBidi"/>
                        <w:sz w:val="22"/>
                        <w:szCs w:val="24"/>
                        <w:lang w:val="en-US"/>
                      </w:rPr>
                      <m:t>ROA</m:t>
                    </m:r>
                  </m:e>
                  <m:sub>
                    <m:r>
                      <w:rPr>
                        <w:rFonts w:ascii="Cambria Math" w:hAnsi="Cambria Math" w:cstheme="majorBidi"/>
                        <w:sz w:val="22"/>
                        <w:szCs w:val="24"/>
                        <w:lang w:val="en-US"/>
                      </w:rPr>
                      <m:t>it</m:t>
                    </m:r>
                  </m:sub>
                </m:sSub>
              </m:oMath>
            </m:oMathPara>
          </w:p>
        </w:tc>
        <w:tc>
          <w:tcPr>
            <w:tcW w:w="1533" w:type="dxa"/>
            <w:tcBorders>
              <w:top w:val="single" w:sz="4" w:space="0" w:color="auto"/>
              <w:bottom w:val="single" w:sz="4" w:space="0" w:color="auto"/>
            </w:tcBorders>
          </w:tcPr>
          <w:p w14:paraId="3296A1E8" w14:textId="5A7C0FAA" w:rsidR="00A0640A" w:rsidRPr="00E50F9D" w:rsidRDefault="00BB5E64" w:rsidP="00A0640A">
            <w:pPr>
              <w:spacing w:line="480" w:lineRule="auto"/>
              <w:jc w:val="center"/>
              <w:rPr>
                <w:rFonts w:ascii="Times New Roman" w:hAnsi="Times New Roman" w:cs="Times New Roman"/>
                <w:szCs w:val="24"/>
                <w:lang w:val="en-US"/>
              </w:rPr>
            </w:pPr>
            <m:oMathPara>
              <m:oMath>
                <m:sSub>
                  <m:sSubPr>
                    <m:ctrlPr>
                      <w:rPr>
                        <w:rFonts w:ascii="Cambria Math" w:hAnsi="Cambria Math" w:cstheme="majorBidi"/>
                        <w:i/>
                        <w:sz w:val="22"/>
                        <w:szCs w:val="24"/>
                        <w:lang w:val="en-US"/>
                      </w:rPr>
                    </m:ctrlPr>
                  </m:sSubPr>
                  <m:e>
                    <m:r>
                      <m:rPr>
                        <m:sty m:val="p"/>
                      </m:rPr>
                      <w:rPr>
                        <w:rFonts w:ascii="Cambria Math" w:hAnsi="Cambria Math" w:cs="Times New Roman"/>
                        <w:sz w:val="24"/>
                        <w:szCs w:val="24"/>
                      </w:rPr>
                      <m:t>Adj LE</m:t>
                    </m:r>
                  </m:e>
                  <m:sub>
                    <m:r>
                      <w:rPr>
                        <w:rFonts w:ascii="Cambria Math" w:hAnsi="Cambria Math" w:cstheme="majorBidi"/>
                        <w:sz w:val="22"/>
                        <w:szCs w:val="24"/>
                        <w:lang w:val="en-US"/>
                      </w:rPr>
                      <m:t>it</m:t>
                    </m:r>
                  </m:sub>
                </m:sSub>
              </m:oMath>
            </m:oMathPara>
          </w:p>
        </w:tc>
        <w:tc>
          <w:tcPr>
            <w:tcW w:w="1533" w:type="dxa"/>
            <w:tcBorders>
              <w:top w:val="single" w:sz="4" w:space="0" w:color="auto"/>
              <w:bottom w:val="single" w:sz="4" w:space="0" w:color="auto"/>
            </w:tcBorders>
          </w:tcPr>
          <w:p w14:paraId="5907434C" w14:textId="0E5B8286" w:rsidR="00A0640A" w:rsidRPr="00E50F9D" w:rsidRDefault="00A0640A" w:rsidP="00A0640A">
            <w:pPr>
              <w:spacing w:line="480" w:lineRule="auto"/>
              <w:jc w:val="center"/>
              <w:rPr>
                <w:rFonts w:ascii="Times New Roman" w:hAnsi="Times New Roman" w:cs="Times New Roman"/>
                <w:szCs w:val="24"/>
                <w:lang w:val="en-US"/>
              </w:rPr>
            </w:pPr>
            <w:r w:rsidRPr="00E50F9D">
              <w:rPr>
                <w:rFonts w:ascii="Times New Roman" w:hAnsi="Times New Roman" w:cs="Times New Roman"/>
                <w:sz w:val="24"/>
                <w:szCs w:val="24"/>
              </w:rPr>
              <w:t>LE</w:t>
            </w:r>
            <w:r w:rsidRPr="00E50F9D">
              <w:rPr>
                <w:rFonts w:ascii="Times New Roman" w:hAnsi="Times New Roman" w:cs="Times New Roman"/>
                <w:sz w:val="14"/>
                <w:szCs w:val="24"/>
              </w:rPr>
              <w:t>L</w:t>
            </w:r>
          </w:p>
        </w:tc>
        <w:tc>
          <w:tcPr>
            <w:tcW w:w="1533" w:type="dxa"/>
            <w:tcBorders>
              <w:top w:val="single" w:sz="4" w:space="0" w:color="auto"/>
              <w:bottom w:val="single" w:sz="4" w:space="0" w:color="auto"/>
            </w:tcBorders>
          </w:tcPr>
          <w:p w14:paraId="7825758B" w14:textId="3348FFEE" w:rsidR="00A0640A" w:rsidRPr="00E50F9D" w:rsidRDefault="00A0640A" w:rsidP="00A0640A">
            <w:pPr>
              <w:spacing w:line="480" w:lineRule="auto"/>
              <w:jc w:val="center"/>
              <w:rPr>
                <w:rFonts w:ascii="Times New Roman" w:hAnsi="Times New Roman" w:cs="Times New Roman"/>
                <w:szCs w:val="24"/>
                <w:lang w:val="en-US"/>
              </w:rPr>
            </w:pPr>
            <w:r w:rsidRPr="00E50F9D">
              <w:rPr>
                <w:rFonts w:ascii="Times New Roman" w:hAnsi="Times New Roman" w:cs="Times New Roman"/>
                <w:sz w:val="24"/>
                <w:szCs w:val="24"/>
              </w:rPr>
              <w:t>LE</w:t>
            </w:r>
            <w:r w:rsidRPr="00E50F9D">
              <w:rPr>
                <w:rFonts w:ascii="Times New Roman" w:hAnsi="Times New Roman" w:cs="Times New Roman"/>
                <w:sz w:val="14"/>
                <w:szCs w:val="24"/>
              </w:rPr>
              <w:t>D</w:t>
            </w:r>
          </w:p>
        </w:tc>
        <w:tc>
          <w:tcPr>
            <w:tcW w:w="1533" w:type="dxa"/>
            <w:tcBorders>
              <w:top w:val="single" w:sz="4" w:space="0" w:color="auto"/>
              <w:bottom w:val="single" w:sz="4" w:space="0" w:color="auto"/>
            </w:tcBorders>
          </w:tcPr>
          <w:p w14:paraId="67B8B84D" w14:textId="0134D755" w:rsidR="00A0640A" w:rsidRPr="00E50F9D" w:rsidRDefault="00A0640A" w:rsidP="00A0640A">
            <w:pPr>
              <w:spacing w:line="480" w:lineRule="auto"/>
              <w:jc w:val="center"/>
              <w:rPr>
                <w:rFonts w:ascii="Times New Roman" w:hAnsi="Times New Roman" w:cs="Times New Roman"/>
                <w:szCs w:val="24"/>
                <w:lang w:val="en-US"/>
              </w:rPr>
            </w:pPr>
            <m:oMathPara>
              <m:oMath>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loan</m:t>
                    </m:r>
                  </m:e>
                  <m:sub>
                    <m:r>
                      <w:rPr>
                        <w:rFonts w:ascii="Cambria Math" w:hAnsi="Cambria Math" w:cstheme="majorBidi"/>
                        <w:sz w:val="24"/>
                        <w:szCs w:val="24"/>
                        <w:lang w:val="en-US"/>
                      </w:rPr>
                      <m:t>it</m:t>
                    </m:r>
                  </m:sub>
                </m:sSub>
              </m:oMath>
            </m:oMathPara>
          </w:p>
        </w:tc>
        <w:tc>
          <w:tcPr>
            <w:tcW w:w="1265" w:type="dxa"/>
            <w:tcBorders>
              <w:top w:val="single" w:sz="4" w:space="0" w:color="auto"/>
              <w:bottom w:val="single" w:sz="4" w:space="0" w:color="auto"/>
            </w:tcBorders>
          </w:tcPr>
          <w:p w14:paraId="6C1398E0" w14:textId="70E1F8C9" w:rsidR="00A0640A" w:rsidRPr="00E50F9D" w:rsidRDefault="00A0640A" w:rsidP="00A0640A">
            <w:pPr>
              <w:spacing w:line="480" w:lineRule="auto"/>
              <w:jc w:val="center"/>
              <w:rPr>
                <w:rFonts w:ascii="Times New Roman" w:hAnsi="Times New Roman" w:cs="Times New Roman"/>
                <w:szCs w:val="24"/>
                <w:lang w:val="en-US"/>
              </w:rPr>
            </w:pPr>
            <m:oMathPara>
              <m:oMath>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Deposit</m:t>
                    </m:r>
                  </m:e>
                  <m:sub>
                    <m:r>
                      <w:rPr>
                        <w:rFonts w:ascii="Cambria Math" w:hAnsi="Cambria Math" w:cstheme="majorBidi"/>
                        <w:sz w:val="24"/>
                        <w:szCs w:val="24"/>
                        <w:lang w:val="en-US"/>
                      </w:rPr>
                      <m:t>it</m:t>
                    </m:r>
                  </m:sub>
                </m:sSub>
              </m:oMath>
            </m:oMathPara>
          </w:p>
        </w:tc>
      </w:tr>
      <w:tr w:rsidR="00A0640A" w:rsidRPr="00E50F9D" w14:paraId="7A89FBD8" w14:textId="46DCC3CF" w:rsidTr="00A0640A">
        <w:tc>
          <w:tcPr>
            <w:tcW w:w="1533" w:type="dxa"/>
            <w:tcBorders>
              <w:top w:val="single" w:sz="4" w:space="0" w:color="auto"/>
            </w:tcBorders>
          </w:tcPr>
          <w:p w14:paraId="758BE1E1" w14:textId="0BA7BE19" w:rsidR="00A0640A" w:rsidRPr="00E50F9D" w:rsidRDefault="00A0640A" w:rsidP="00A0640A">
            <w:pPr>
              <w:spacing w:line="480" w:lineRule="auto"/>
              <w:jc w:val="both"/>
              <w:rPr>
                <w:rFonts w:asciiTheme="majorBidi" w:hAnsiTheme="majorBidi" w:cstheme="majorBidi"/>
                <w:szCs w:val="24"/>
                <w:lang w:val="en-US"/>
              </w:rPr>
            </w:pPr>
            <w:r w:rsidRPr="00E50F9D">
              <w:rPr>
                <w:rFonts w:asciiTheme="majorBidi" w:hAnsiTheme="majorBidi" w:cstheme="majorBidi"/>
                <w:szCs w:val="24"/>
                <w:lang w:val="en-US"/>
              </w:rPr>
              <w:t>GD</w:t>
            </w:r>
          </w:p>
        </w:tc>
        <w:tc>
          <w:tcPr>
            <w:tcW w:w="1533" w:type="dxa"/>
            <w:tcBorders>
              <w:top w:val="single" w:sz="4" w:space="0" w:color="auto"/>
            </w:tcBorders>
          </w:tcPr>
          <w:p w14:paraId="18D9671A" w14:textId="7E46065B"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GD</w:t>
            </w:r>
          </w:p>
        </w:tc>
        <w:tc>
          <w:tcPr>
            <w:tcW w:w="1533" w:type="dxa"/>
            <w:tcBorders>
              <w:top w:val="single" w:sz="4" w:space="0" w:color="auto"/>
            </w:tcBorders>
          </w:tcPr>
          <w:p w14:paraId="4ED0F2AB" w14:textId="33E93B83"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GD</w:t>
            </w:r>
          </w:p>
        </w:tc>
        <w:tc>
          <w:tcPr>
            <w:tcW w:w="1533" w:type="dxa"/>
            <w:tcBorders>
              <w:top w:val="single" w:sz="4" w:space="0" w:color="auto"/>
            </w:tcBorders>
          </w:tcPr>
          <w:p w14:paraId="41EA9157" w14:textId="56C72DE7"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GD</w:t>
            </w:r>
          </w:p>
        </w:tc>
        <w:tc>
          <w:tcPr>
            <w:tcW w:w="1533" w:type="dxa"/>
            <w:tcBorders>
              <w:top w:val="single" w:sz="4" w:space="0" w:color="auto"/>
            </w:tcBorders>
          </w:tcPr>
          <w:p w14:paraId="2F266C59" w14:textId="7F0749ED"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GD</w:t>
            </w:r>
          </w:p>
        </w:tc>
        <w:tc>
          <w:tcPr>
            <w:tcW w:w="1265" w:type="dxa"/>
            <w:tcBorders>
              <w:top w:val="single" w:sz="4" w:space="0" w:color="auto"/>
            </w:tcBorders>
          </w:tcPr>
          <w:p w14:paraId="1E50AE8C" w14:textId="6C4912BB"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GD</w:t>
            </w:r>
          </w:p>
        </w:tc>
      </w:tr>
      <w:tr w:rsidR="00A0640A" w:rsidRPr="00E50F9D" w14:paraId="0BA2C80E" w14:textId="1844FC3D" w:rsidTr="00A0640A">
        <w:tc>
          <w:tcPr>
            <w:tcW w:w="1533" w:type="dxa"/>
          </w:tcPr>
          <w:p w14:paraId="1A8F867B" w14:textId="06144FA4" w:rsidR="00A0640A" w:rsidRPr="00E50F9D" w:rsidRDefault="00A0640A" w:rsidP="00A0640A">
            <w:pPr>
              <w:spacing w:line="480" w:lineRule="auto"/>
              <w:jc w:val="both"/>
              <w:rPr>
                <w:rFonts w:asciiTheme="majorBidi" w:hAnsiTheme="majorBidi" w:cstheme="majorBidi"/>
                <w:szCs w:val="24"/>
                <w:lang w:val="en-US"/>
              </w:rPr>
            </w:pPr>
            <w:r w:rsidRPr="00E50F9D">
              <w:rPr>
                <w:rFonts w:asciiTheme="majorBidi" w:hAnsiTheme="majorBidi" w:cstheme="majorBidi"/>
                <w:szCs w:val="24"/>
                <w:lang w:val="en-US"/>
              </w:rPr>
              <w:t>DISTANCE</w:t>
            </w:r>
          </w:p>
        </w:tc>
        <w:tc>
          <w:tcPr>
            <w:tcW w:w="1533" w:type="dxa"/>
          </w:tcPr>
          <w:p w14:paraId="43422961" w14:textId="5F6EC319"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DISTANCE</w:t>
            </w:r>
          </w:p>
        </w:tc>
        <w:tc>
          <w:tcPr>
            <w:tcW w:w="1533" w:type="dxa"/>
          </w:tcPr>
          <w:p w14:paraId="63468A1A" w14:textId="159CF2D3"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DISTANCE</w:t>
            </w:r>
          </w:p>
        </w:tc>
        <w:tc>
          <w:tcPr>
            <w:tcW w:w="1533" w:type="dxa"/>
          </w:tcPr>
          <w:p w14:paraId="6884562E" w14:textId="3238E357"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DISTANCE</w:t>
            </w:r>
          </w:p>
        </w:tc>
        <w:tc>
          <w:tcPr>
            <w:tcW w:w="1533" w:type="dxa"/>
          </w:tcPr>
          <w:p w14:paraId="4D2AAAD4" w14:textId="55AC0C12"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DISTANCE</w:t>
            </w:r>
          </w:p>
        </w:tc>
        <w:tc>
          <w:tcPr>
            <w:tcW w:w="1265" w:type="dxa"/>
          </w:tcPr>
          <w:p w14:paraId="298D7FA9" w14:textId="4A607131"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DISTANCE</w:t>
            </w:r>
          </w:p>
        </w:tc>
      </w:tr>
      <w:tr w:rsidR="007F1B75" w:rsidRPr="00E50F9D" w14:paraId="1C74DF84" w14:textId="34674585" w:rsidTr="00A0640A">
        <w:tc>
          <w:tcPr>
            <w:tcW w:w="1533" w:type="dxa"/>
          </w:tcPr>
          <w:p w14:paraId="7EE17DED" w14:textId="4746E404" w:rsidR="007F1B75" w:rsidRPr="00E50F9D" w:rsidRDefault="007F1B75" w:rsidP="007F1B75">
            <w:pPr>
              <w:spacing w:line="480" w:lineRule="auto"/>
              <w:jc w:val="both"/>
              <w:rPr>
                <w:rFonts w:asciiTheme="majorBidi" w:hAnsiTheme="majorBidi" w:cstheme="majorBidi"/>
                <w:szCs w:val="24"/>
                <w:lang w:val="en-US"/>
              </w:rPr>
            </w:pPr>
            <w:r w:rsidRPr="00E50F9D">
              <w:rPr>
                <w:rFonts w:asciiTheme="majorBidi" w:hAnsiTheme="majorBidi" w:cstheme="majorBidi"/>
                <w:szCs w:val="24"/>
                <w:lang w:val="en-US"/>
              </w:rPr>
              <w:t>MCw</w:t>
            </w:r>
          </w:p>
        </w:tc>
        <w:tc>
          <w:tcPr>
            <w:tcW w:w="1533" w:type="dxa"/>
          </w:tcPr>
          <w:p w14:paraId="458F7A8C" w14:textId="581DCD80" w:rsidR="007F1B75" w:rsidRPr="00E50F9D" w:rsidRDefault="007F1B75" w:rsidP="007F1B75">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MCw</w:t>
            </w:r>
          </w:p>
        </w:tc>
        <w:tc>
          <w:tcPr>
            <w:tcW w:w="1533" w:type="dxa"/>
          </w:tcPr>
          <w:p w14:paraId="6D4F0B33" w14:textId="5D8E4B87" w:rsidR="007F1B75" w:rsidRPr="00E50F9D" w:rsidRDefault="007F1B75" w:rsidP="007F1B75">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MCw</w:t>
            </w:r>
          </w:p>
        </w:tc>
        <w:tc>
          <w:tcPr>
            <w:tcW w:w="1533" w:type="dxa"/>
          </w:tcPr>
          <w:p w14:paraId="4E434F3F" w14:textId="5AFA2075" w:rsidR="007F1B75" w:rsidRPr="00E50F9D" w:rsidRDefault="007F1B75" w:rsidP="007F1B75">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MCw</w:t>
            </w:r>
          </w:p>
        </w:tc>
        <w:tc>
          <w:tcPr>
            <w:tcW w:w="1533" w:type="dxa"/>
          </w:tcPr>
          <w:p w14:paraId="0781F018" w14:textId="6EF5042C" w:rsidR="007F1B75" w:rsidRPr="00E50F9D" w:rsidRDefault="007F1B75" w:rsidP="007F1B75">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MCw</w:t>
            </w:r>
          </w:p>
        </w:tc>
        <w:tc>
          <w:tcPr>
            <w:tcW w:w="1265" w:type="dxa"/>
          </w:tcPr>
          <w:p w14:paraId="78E2D1F6" w14:textId="58895A03" w:rsidR="007F1B75" w:rsidRPr="00E50F9D" w:rsidRDefault="007F1B75" w:rsidP="007F1B75">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MCw</w:t>
            </w:r>
          </w:p>
        </w:tc>
      </w:tr>
      <w:tr w:rsidR="00A0640A" w:rsidRPr="00E50F9D" w14:paraId="69109ABD" w14:textId="309DB19F" w:rsidTr="00A0640A">
        <w:tc>
          <w:tcPr>
            <w:tcW w:w="1533" w:type="dxa"/>
          </w:tcPr>
          <w:p w14:paraId="4AAF87DF" w14:textId="543FFA81" w:rsidR="00A0640A" w:rsidRPr="00E50F9D" w:rsidRDefault="00A0640A" w:rsidP="00A0640A">
            <w:pPr>
              <w:spacing w:line="480" w:lineRule="auto"/>
              <w:jc w:val="both"/>
              <w:rPr>
                <w:rFonts w:asciiTheme="majorBidi" w:hAnsiTheme="majorBidi" w:cstheme="majorBidi"/>
                <w:szCs w:val="24"/>
                <w:lang w:val="en-US"/>
              </w:rPr>
            </w:pPr>
            <w:r w:rsidRPr="00E50F9D">
              <w:rPr>
                <w:rFonts w:asciiTheme="majorBidi" w:hAnsiTheme="majorBidi" w:cstheme="majorBidi"/>
                <w:szCs w:val="24"/>
                <w:lang w:val="en-US"/>
              </w:rPr>
              <w:t>NPLs</w:t>
            </w:r>
          </w:p>
        </w:tc>
        <w:tc>
          <w:tcPr>
            <w:tcW w:w="1533" w:type="dxa"/>
          </w:tcPr>
          <w:p w14:paraId="0B29E3A5" w14:textId="1A5BE3E3"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NPLs</w:t>
            </w:r>
          </w:p>
        </w:tc>
        <w:tc>
          <w:tcPr>
            <w:tcW w:w="1533" w:type="dxa"/>
          </w:tcPr>
          <w:p w14:paraId="640F9B9C" w14:textId="776E9F4A"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NPLs</w:t>
            </w:r>
          </w:p>
        </w:tc>
        <w:tc>
          <w:tcPr>
            <w:tcW w:w="1533" w:type="dxa"/>
          </w:tcPr>
          <w:p w14:paraId="565B3AE3" w14:textId="15844415"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NPLs</w:t>
            </w:r>
          </w:p>
        </w:tc>
        <w:tc>
          <w:tcPr>
            <w:tcW w:w="1533" w:type="dxa"/>
          </w:tcPr>
          <w:p w14:paraId="3F0755A1" w14:textId="7E660148"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NPLs</w:t>
            </w:r>
          </w:p>
        </w:tc>
        <w:tc>
          <w:tcPr>
            <w:tcW w:w="1265" w:type="dxa"/>
          </w:tcPr>
          <w:p w14:paraId="2CB3DFEE" w14:textId="57997A40"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NPLs</w:t>
            </w:r>
          </w:p>
        </w:tc>
      </w:tr>
      <w:tr w:rsidR="00A0640A" w:rsidRPr="00E50F9D" w14:paraId="1097819C" w14:textId="0BA265A9" w:rsidTr="00A0640A">
        <w:tc>
          <w:tcPr>
            <w:tcW w:w="1533" w:type="dxa"/>
          </w:tcPr>
          <w:p w14:paraId="3D0D3248" w14:textId="3579FBFC" w:rsidR="00A0640A" w:rsidRPr="00E50F9D" w:rsidRDefault="00A0640A" w:rsidP="00A0640A">
            <w:pPr>
              <w:spacing w:line="480" w:lineRule="auto"/>
              <w:jc w:val="both"/>
              <w:rPr>
                <w:rFonts w:asciiTheme="majorBidi" w:hAnsiTheme="majorBidi" w:cstheme="majorBidi"/>
                <w:szCs w:val="24"/>
                <w:lang w:val="en-US"/>
              </w:rPr>
            </w:pPr>
            <w:r w:rsidRPr="00E50F9D">
              <w:rPr>
                <w:rFonts w:asciiTheme="majorBidi" w:hAnsiTheme="majorBidi" w:cstheme="majorBidi"/>
                <w:szCs w:val="24"/>
                <w:lang w:val="en-US"/>
              </w:rPr>
              <w:t>EQTA</w:t>
            </w:r>
          </w:p>
        </w:tc>
        <w:tc>
          <w:tcPr>
            <w:tcW w:w="1533" w:type="dxa"/>
          </w:tcPr>
          <w:p w14:paraId="13B6CA89" w14:textId="5242475E"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EQTA</w:t>
            </w:r>
          </w:p>
        </w:tc>
        <w:tc>
          <w:tcPr>
            <w:tcW w:w="1533" w:type="dxa"/>
          </w:tcPr>
          <w:p w14:paraId="17D39BDF" w14:textId="69E1D2E4"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EQTA</w:t>
            </w:r>
          </w:p>
        </w:tc>
        <w:tc>
          <w:tcPr>
            <w:tcW w:w="1533" w:type="dxa"/>
          </w:tcPr>
          <w:p w14:paraId="608AEF38" w14:textId="0E3491AE"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EQTA</w:t>
            </w:r>
          </w:p>
        </w:tc>
        <w:tc>
          <w:tcPr>
            <w:tcW w:w="1533" w:type="dxa"/>
          </w:tcPr>
          <w:p w14:paraId="452FC24F" w14:textId="2A4C299C"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EQTA</w:t>
            </w:r>
          </w:p>
        </w:tc>
        <w:tc>
          <w:tcPr>
            <w:tcW w:w="1265" w:type="dxa"/>
          </w:tcPr>
          <w:p w14:paraId="7022C0B6" w14:textId="35F3D479"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EQTA</w:t>
            </w:r>
          </w:p>
        </w:tc>
      </w:tr>
      <w:tr w:rsidR="00A0640A" w:rsidRPr="00E50F9D" w14:paraId="6FEE1ABB" w14:textId="0047E86D" w:rsidTr="007F1B75">
        <w:tc>
          <w:tcPr>
            <w:tcW w:w="1533" w:type="dxa"/>
          </w:tcPr>
          <w:p w14:paraId="1F53ED8E" w14:textId="23C4B336" w:rsidR="00A0640A" w:rsidRPr="00E50F9D" w:rsidRDefault="00A0640A" w:rsidP="00A0640A">
            <w:pPr>
              <w:spacing w:line="480" w:lineRule="auto"/>
              <w:jc w:val="both"/>
              <w:rPr>
                <w:rFonts w:asciiTheme="majorBidi" w:hAnsiTheme="majorBidi" w:cstheme="majorBidi"/>
                <w:szCs w:val="24"/>
                <w:lang w:val="en-US"/>
              </w:rPr>
            </w:pPr>
            <w:r w:rsidRPr="00E50F9D">
              <w:rPr>
                <w:rFonts w:asciiTheme="majorBidi" w:hAnsiTheme="majorBidi" w:cstheme="majorBidi"/>
                <w:szCs w:val="24"/>
                <w:lang w:val="en-US"/>
              </w:rPr>
              <w:t>ENTRY</w:t>
            </w:r>
          </w:p>
        </w:tc>
        <w:tc>
          <w:tcPr>
            <w:tcW w:w="1533" w:type="dxa"/>
          </w:tcPr>
          <w:p w14:paraId="0C59FFFB" w14:textId="53B8BB10"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ENTRY</w:t>
            </w:r>
          </w:p>
        </w:tc>
        <w:tc>
          <w:tcPr>
            <w:tcW w:w="1533" w:type="dxa"/>
          </w:tcPr>
          <w:p w14:paraId="65E291D9" w14:textId="17645C28"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ENTRY</w:t>
            </w:r>
          </w:p>
        </w:tc>
        <w:tc>
          <w:tcPr>
            <w:tcW w:w="1533" w:type="dxa"/>
          </w:tcPr>
          <w:p w14:paraId="4A0F23AB" w14:textId="11C56E98"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ENTRY</w:t>
            </w:r>
          </w:p>
        </w:tc>
        <w:tc>
          <w:tcPr>
            <w:tcW w:w="1533" w:type="dxa"/>
          </w:tcPr>
          <w:p w14:paraId="714032CD" w14:textId="46E5024A"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ENTRY</w:t>
            </w:r>
          </w:p>
        </w:tc>
        <w:tc>
          <w:tcPr>
            <w:tcW w:w="1265" w:type="dxa"/>
          </w:tcPr>
          <w:p w14:paraId="61AC5D0F" w14:textId="662AFD06" w:rsidR="00A0640A" w:rsidRPr="00E50F9D" w:rsidRDefault="00A0640A" w:rsidP="00A0640A">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ENTRY</w:t>
            </w:r>
          </w:p>
        </w:tc>
      </w:tr>
      <w:tr w:rsidR="007F1B75" w:rsidRPr="00E50F9D" w14:paraId="6F6D204E" w14:textId="2C7B02E3" w:rsidTr="007F1B75">
        <w:tc>
          <w:tcPr>
            <w:tcW w:w="1533" w:type="dxa"/>
            <w:tcBorders>
              <w:bottom w:val="single" w:sz="4" w:space="0" w:color="auto"/>
            </w:tcBorders>
          </w:tcPr>
          <w:p w14:paraId="1C8469C1" w14:textId="670508B7" w:rsidR="007F1B75" w:rsidRPr="00E50F9D" w:rsidRDefault="007F1B75" w:rsidP="007F1B75">
            <w:pPr>
              <w:spacing w:line="480" w:lineRule="auto"/>
              <w:jc w:val="both"/>
              <w:rPr>
                <w:rFonts w:asciiTheme="majorBidi" w:hAnsiTheme="majorBidi" w:cstheme="majorBidi"/>
                <w:szCs w:val="24"/>
                <w:lang w:val="en-US"/>
              </w:rPr>
            </w:pPr>
            <w:r w:rsidRPr="00E50F9D">
              <w:rPr>
                <w:rFonts w:asciiTheme="majorBidi" w:hAnsiTheme="majorBidi" w:cstheme="majorBidi"/>
                <w:szCs w:val="24"/>
                <w:lang w:val="en-US"/>
              </w:rPr>
              <w:t>HHIw</w:t>
            </w:r>
          </w:p>
        </w:tc>
        <w:tc>
          <w:tcPr>
            <w:tcW w:w="1533" w:type="dxa"/>
            <w:tcBorders>
              <w:bottom w:val="single" w:sz="4" w:space="0" w:color="auto"/>
            </w:tcBorders>
          </w:tcPr>
          <w:p w14:paraId="58001A29" w14:textId="7CA1CC17" w:rsidR="007F1B75" w:rsidRPr="00E50F9D" w:rsidRDefault="007F1B75" w:rsidP="007F1B75">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HHIw</w:t>
            </w:r>
          </w:p>
        </w:tc>
        <w:tc>
          <w:tcPr>
            <w:tcW w:w="1533" w:type="dxa"/>
            <w:tcBorders>
              <w:bottom w:val="single" w:sz="4" w:space="0" w:color="auto"/>
            </w:tcBorders>
          </w:tcPr>
          <w:p w14:paraId="2DEA8497" w14:textId="612332EC" w:rsidR="007F1B75" w:rsidRPr="00E50F9D" w:rsidRDefault="007F1B75" w:rsidP="007F1B75">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HHIw</w:t>
            </w:r>
          </w:p>
        </w:tc>
        <w:tc>
          <w:tcPr>
            <w:tcW w:w="1533" w:type="dxa"/>
            <w:tcBorders>
              <w:bottom w:val="single" w:sz="4" w:space="0" w:color="auto"/>
            </w:tcBorders>
          </w:tcPr>
          <w:p w14:paraId="1D82030D" w14:textId="34EF5876" w:rsidR="007F1B75" w:rsidRPr="00E50F9D" w:rsidRDefault="007F1B75" w:rsidP="007F1B75">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HHIw</w:t>
            </w:r>
          </w:p>
        </w:tc>
        <w:tc>
          <w:tcPr>
            <w:tcW w:w="1533" w:type="dxa"/>
            <w:tcBorders>
              <w:bottom w:val="single" w:sz="4" w:space="0" w:color="auto"/>
            </w:tcBorders>
          </w:tcPr>
          <w:p w14:paraId="12F237E5" w14:textId="65CFB9E7" w:rsidR="007F1B75" w:rsidRPr="00E50F9D" w:rsidRDefault="007F1B75" w:rsidP="007F1B75">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HHIw</w:t>
            </w:r>
          </w:p>
        </w:tc>
        <w:tc>
          <w:tcPr>
            <w:tcW w:w="1265" w:type="dxa"/>
            <w:tcBorders>
              <w:bottom w:val="single" w:sz="4" w:space="0" w:color="auto"/>
            </w:tcBorders>
          </w:tcPr>
          <w:p w14:paraId="062A78B0" w14:textId="5D4317AB" w:rsidR="007F1B75" w:rsidRPr="00E50F9D" w:rsidRDefault="007F1B75" w:rsidP="007F1B75">
            <w:pPr>
              <w:spacing w:line="480" w:lineRule="auto"/>
              <w:jc w:val="center"/>
              <w:rPr>
                <w:rFonts w:asciiTheme="majorBidi" w:hAnsiTheme="majorBidi" w:cstheme="majorBidi"/>
                <w:szCs w:val="24"/>
                <w:lang w:val="en-US"/>
              </w:rPr>
            </w:pPr>
            <w:r w:rsidRPr="00E50F9D">
              <w:rPr>
                <w:rFonts w:asciiTheme="majorBidi" w:hAnsiTheme="majorBidi" w:cstheme="majorBidi"/>
                <w:szCs w:val="24"/>
                <w:lang w:val="en-US"/>
              </w:rPr>
              <w:t>HHIw</w:t>
            </w:r>
          </w:p>
        </w:tc>
      </w:tr>
    </w:tbl>
    <w:p w14:paraId="38EB3E3E" w14:textId="1B54759F" w:rsidR="00375242" w:rsidRPr="00E50F9D" w:rsidRDefault="00A0640A" w:rsidP="00F70CA7">
      <w:pPr>
        <w:spacing w:after="0" w:line="480" w:lineRule="auto"/>
        <w:jc w:val="both"/>
        <w:rPr>
          <w:rFonts w:asciiTheme="majorBidi" w:hAnsiTheme="majorBidi" w:cstheme="majorBidi"/>
          <w:sz w:val="24"/>
          <w:szCs w:val="24"/>
          <w:lang w:val="en-US"/>
        </w:rPr>
      </w:pPr>
      <w:r w:rsidRPr="00E50F9D">
        <w:rPr>
          <w:rFonts w:asciiTheme="majorBidi" w:hAnsiTheme="majorBidi" w:cstheme="majorBidi"/>
          <w:b/>
          <w:sz w:val="24"/>
          <w:szCs w:val="24"/>
          <w:lang w:val="en-US"/>
        </w:rPr>
        <w:t>Note:</w:t>
      </w:r>
      <w:r w:rsidRPr="00E50F9D">
        <w:rPr>
          <w:rFonts w:asciiTheme="majorBidi" w:hAnsiTheme="majorBidi" w:cstheme="majorBidi"/>
          <w:sz w:val="24"/>
          <w:szCs w:val="24"/>
          <w:lang w:val="en-US"/>
        </w:rPr>
        <w:t xml:space="preserve"> </w:t>
      </w:r>
      <w:r w:rsidR="00F73AEA" w:rsidRPr="00E50F9D">
        <w:rPr>
          <w:rFonts w:asciiTheme="majorBidi" w:hAnsiTheme="majorBidi" w:cstheme="majorBidi"/>
          <w:sz w:val="24"/>
          <w:szCs w:val="24"/>
          <w:lang w:val="en-US"/>
        </w:rPr>
        <w:t>A</w:t>
      </w:r>
      <w:r w:rsidRPr="00E50F9D">
        <w:rPr>
          <w:rFonts w:asciiTheme="majorBidi" w:hAnsiTheme="majorBidi" w:cstheme="majorBidi"/>
          <w:sz w:val="24"/>
          <w:szCs w:val="24"/>
          <w:lang w:val="en-US"/>
        </w:rPr>
        <w:t xml:space="preserve">ll the independent variables are at </w:t>
      </w:r>
      <w:r w:rsidRPr="00E50F9D">
        <w:rPr>
          <w:rFonts w:asciiTheme="majorBidi" w:hAnsiTheme="majorBidi" w:cstheme="majorBidi"/>
          <w:i/>
          <w:sz w:val="24"/>
          <w:szCs w:val="24"/>
          <w:lang w:val="en-US"/>
        </w:rPr>
        <w:t>t</w:t>
      </w:r>
      <w:r w:rsidRPr="00E50F9D">
        <w:rPr>
          <w:rFonts w:asciiTheme="majorBidi" w:hAnsiTheme="majorBidi" w:cstheme="majorBidi"/>
          <w:sz w:val="24"/>
          <w:szCs w:val="24"/>
          <w:lang w:val="en-US"/>
        </w:rPr>
        <w:t>-1.</w:t>
      </w:r>
    </w:p>
    <w:p w14:paraId="323A89C4" w14:textId="713B191E" w:rsidR="005A7E72" w:rsidRPr="00E50F9D" w:rsidRDefault="00C00B95" w:rsidP="00C00B95">
      <w:pPr>
        <w:spacing w:after="0" w:line="480" w:lineRule="auto"/>
        <w:jc w:val="both"/>
        <w:rPr>
          <w:rFonts w:asciiTheme="majorBidi" w:hAnsiTheme="majorBidi" w:cstheme="majorBidi"/>
          <w:sz w:val="24"/>
          <w:szCs w:val="24"/>
          <w:lang w:val="en-US"/>
        </w:rPr>
      </w:pPr>
      <w:r w:rsidRPr="00E50F9D">
        <w:rPr>
          <w:rFonts w:asciiTheme="majorBidi" w:hAnsiTheme="majorBidi" w:cstheme="majorBidi"/>
          <w:sz w:val="24"/>
          <w:szCs w:val="24"/>
          <w:lang w:val="en-US"/>
        </w:rPr>
        <w:t xml:space="preserve">In particular,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GD</m:t>
            </m:r>
          </m:e>
          <m:sub>
            <m:r>
              <w:rPr>
                <w:rFonts w:ascii="Cambria Math" w:hAnsi="Cambria Math" w:cs="Times New Roman"/>
                <w:sz w:val="24"/>
                <w:szCs w:val="24"/>
                <w:lang w:val="en-GB"/>
              </w:rPr>
              <m:t>it-1</m:t>
            </m:r>
          </m:sub>
        </m:sSub>
      </m:oMath>
      <w:r w:rsidRPr="00E50F9D">
        <w:rPr>
          <w:rFonts w:asciiTheme="majorBidi" w:hAnsiTheme="majorBidi" w:cstheme="majorBidi"/>
          <w:sz w:val="24"/>
          <w:szCs w:val="24"/>
          <w:lang w:val="en-GB" w:eastAsia="en-US"/>
        </w:rPr>
        <w:t xml:space="preserve">, is a measure of geographic dispersion. </w:t>
      </w:r>
      <w:r w:rsidRPr="00E50F9D">
        <w:rPr>
          <w:rFonts w:asciiTheme="majorBidi" w:hAnsiTheme="majorBidi" w:cstheme="majorBidi"/>
          <w:sz w:val="24"/>
          <w:szCs w:val="24"/>
          <w:lang w:val="en-US"/>
        </w:rPr>
        <w:t>Consistent with previous studies (</w:t>
      </w:r>
      <w:r w:rsidRPr="00E50F9D">
        <w:rPr>
          <w:rFonts w:ascii="Times New Roman" w:hAnsi="Times New Roman" w:cs="Times New Roman"/>
          <w:sz w:val="24"/>
          <w:szCs w:val="24"/>
          <w:lang w:val="en-GB"/>
        </w:rPr>
        <w:t xml:space="preserve">Deng and Elyasiani, 2008; </w:t>
      </w:r>
      <w:r w:rsidRPr="00E50F9D">
        <w:rPr>
          <w:rFonts w:asciiTheme="majorBidi" w:hAnsiTheme="majorBidi" w:cstheme="majorBidi"/>
          <w:sz w:val="24"/>
          <w:szCs w:val="24"/>
          <w:lang w:val="en-US"/>
        </w:rPr>
        <w:t>Dick, 2006; Alessandrini et al., 2009), t</w:t>
      </w:r>
      <w:r w:rsidR="00FA2494" w:rsidRPr="00E50F9D">
        <w:rPr>
          <w:rFonts w:asciiTheme="majorBidi" w:hAnsiTheme="majorBidi" w:cstheme="majorBidi"/>
          <w:sz w:val="24"/>
          <w:szCs w:val="24"/>
          <w:lang w:val="en-US"/>
        </w:rPr>
        <w:t>his measure</w:t>
      </w:r>
      <w:r w:rsidR="00852367" w:rsidRPr="00E50F9D">
        <w:rPr>
          <w:rFonts w:asciiTheme="majorBidi" w:hAnsiTheme="majorBidi" w:cstheme="majorBidi"/>
          <w:sz w:val="24"/>
          <w:szCs w:val="24"/>
          <w:lang w:val="en-US"/>
        </w:rPr>
        <w:t xml:space="preserve"> </w:t>
      </w:r>
      <w:r w:rsidR="00375242" w:rsidRPr="00E50F9D">
        <w:rPr>
          <w:rFonts w:asciiTheme="majorBidi" w:hAnsiTheme="majorBidi" w:cstheme="majorBidi"/>
          <w:sz w:val="24"/>
          <w:szCs w:val="24"/>
          <w:lang w:val="en-US"/>
        </w:rPr>
        <w:t>considers</w:t>
      </w:r>
      <w:r w:rsidR="00852367" w:rsidRPr="00E50F9D">
        <w:rPr>
          <w:rFonts w:asciiTheme="majorBidi" w:hAnsiTheme="majorBidi" w:cstheme="majorBidi"/>
          <w:sz w:val="24"/>
          <w:szCs w:val="24"/>
          <w:lang w:val="en-US"/>
        </w:rPr>
        <w:t xml:space="preserve"> the number of branches, and the number of provinces where banks operate.</w:t>
      </w:r>
      <w:r w:rsidR="00FA2494" w:rsidRPr="00E50F9D">
        <w:rPr>
          <w:rFonts w:ascii="Times New Roman" w:hAnsi="Times New Roman" w:cs="Times New Roman"/>
          <w:sz w:val="24"/>
          <w:szCs w:val="24"/>
          <w:lang w:val="en-GB"/>
        </w:rPr>
        <w:t xml:space="preserve"> We employ</w:t>
      </w:r>
      <w:r w:rsidR="00416507" w:rsidRPr="00E50F9D">
        <w:rPr>
          <w:rFonts w:ascii="Times New Roman" w:hAnsi="Times New Roman"/>
          <w:sz w:val="24"/>
          <w:szCs w:val="24"/>
          <w:lang w:val="en-GB"/>
        </w:rPr>
        <w:t xml:space="preserve"> </w:t>
      </w:r>
      <w:r w:rsidR="00FA2494" w:rsidRPr="00E50F9D">
        <w:rPr>
          <w:rFonts w:ascii="Times New Roman" w:hAnsi="Times New Roman"/>
          <w:sz w:val="24"/>
          <w:szCs w:val="24"/>
          <w:lang w:val="en-GB"/>
        </w:rPr>
        <w:t xml:space="preserve">a </w:t>
      </w:r>
      <w:r w:rsidR="00416507" w:rsidRPr="00E50F9D">
        <w:rPr>
          <w:rFonts w:ascii="Times New Roman" w:hAnsi="Times New Roman"/>
          <w:sz w:val="24"/>
          <w:szCs w:val="24"/>
          <w:lang w:val="en-GB"/>
        </w:rPr>
        <w:t xml:space="preserve">standard </w:t>
      </w:r>
      <w:r w:rsidR="00852367" w:rsidRPr="00E50F9D">
        <w:rPr>
          <w:rFonts w:ascii="Times New Roman" w:hAnsi="Times New Roman"/>
          <w:sz w:val="24"/>
          <w:szCs w:val="24"/>
          <w:lang w:val="en-GB"/>
        </w:rPr>
        <w:t>measure</w:t>
      </w:r>
      <w:r w:rsidR="00420C2C" w:rsidRPr="00E50F9D">
        <w:rPr>
          <w:rFonts w:ascii="Times New Roman" w:hAnsi="Times New Roman"/>
          <w:sz w:val="24"/>
          <w:szCs w:val="24"/>
          <w:lang w:val="en-GB"/>
        </w:rPr>
        <w:t xml:space="preserve"> of</w:t>
      </w:r>
      <w:r w:rsidR="00852367" w:rsidRPr="00E50F9D">
        <w:rPr>
          <w:rFonts w:ascii="Times New Roman" w:hAnsi="Times New Roman"/>
          <w:sz w:val="24"/>
          <w:szCs w:val="24"/>
          <w:lang w:val="en-GB"/>
        </w:rPr>
        <w:t xml:space="preserve"> </w:t>
      </w:r>
      <w:r w:rsidR="00852367" w:rsidRPr="00E50F9D">
        <w:rPr>
          <w:rFonts w:ascii="Times New Roman" w:hAnsi="Times New Roman" w:cs="Times New Roman"/>
          <w:sz w:val="24"/>
          <w:szCs w:val="24"/>
          <w:lang w:val="en-GB"/>
        </w:rPr>
        <w:t>geographical dispersion</w:t>
      </w:r>
      <w:r w:rsidR="00420C2C" w:rsidRPr="00E50F9D">
        <w:rPr>
          <w:rFonts w:ascii="Times New Roman" w:hAnsi="Times New Roman" w:cs="Times New Roman"/>
          <w:sz w:val="24"/>
          <w:szCs w:val="24"/>
          <w:lang w:val="en-GB"/>
        </w:rPr>
        <w:t>,</w:t>
      </w:r>
      <w:r w:rsidR="00416507" w:rsidRPr="00E50F9D">
        <w:rPr>
          <w:rFonts w:ascii="Times New Roman" w:hAnsi="Times New Roman" w:cs="Times New Roman"/>
          <w:sz w:val="24"/>
          <w:szCs w:val="24"/>
          <w:lang w:val="en-GB"/>
        </w:rPr>
        <w:t xml:space="preserve"> </w:t>
      </w:r>
      <w:r w:rsidR="00AA107B" w:rsidRPr="00E50F9D">
        <w:rPr>
          <w:rFonts w:ascii="Times New Roman" w:hAnsi="Times New Roman" w:cs="Times New Roman"/>
          <w:sz w:val="24"/>
          <w:szCs w:val="24"/>
          <w:lang w:val="en-GB"/>
        </w:rPr>
        <w:t xml:space="preserve">the Berry </w:t>
      </w:r>
      <w:r w:rsidRPr="00E50F9D">
        <w:rPr>
          <w:rFonts w:ascii="Times New Roman" w:hAnsi="Times New Roman" w:cs="Times New Roman"/>
          <w:sz w:val="24"/>
          <w:szCs w:val="24"/>
          <w:lang w:val="en-GB"/>
        </w:rPr>
        <w:t>Index</w:t>
      </w:r>
      <w:r w:rsidR="00420C2C"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that</w:t>
      </w:r>
      <w:r w:rsidR="00FA2494" w:rsidRPr="00E50F9D">
        <w:rPr>
          <w:rFonts w:ascii="Times New Roman" w:hAnsi="Times New Roman" w:cs="Times New Roman"/>
          <w:sz w:val="24"/>
          <w:szCs w:val="24"/>
          <w:lang w:val="en-GB"/>
        </w:rPr>
        <w:t xml:space="preserve"> takes the following form</w:t>
      </w:r>
      <w:r w:rsidR="00852367" w:rsidRPr="00E50F9D">
        <w:rPr>
          <w:rFonts w:ascii="Times New Roman" w:hAnsi="Times New Roman" w:cs="Times New Roman"/>
          <w:sz w:val="24"/>
          <w:szCs w:val="24"/>
          <w:lang w:val="en-GB"/>
        </w:rPr>
        <w:t>:</w:t>
      </w:r>
    </w:p>
    <w:p w14:paraId="71797577" w14:textId="30E62C2C" w:rsidR="00C00B95" w:rsidRPr="00E50F9D" w:rsidRDefault="00BB5E64" w:rsidP="001B08DC">
      <w:pPr>
        <w:autoSpaceDE w:val="0"/>
        <w:autoSpaceDN w:val="0"/>
        <w:adjustRightInd w:val="0"/>
        <w:spacing w:after="0" w:line="480" w:lineRule="auto"/>
        <w:ind w:left="60"/>
        <w:rPr>
          <w:rFonts w:ascii="Times New Roman" w:hAnsi="Times New Roman" w:cs="Times New Roman"/>
          <w:sz w:val="32"/>
          <w:szCs w:val="32"/>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GD</m:t>
            </m:r>
          </m:e>
          <m:sub>
            <m:r>
              <w:rPr>
                <w:rFonts w:ascii="Cambria Math" w:hAnsi="Cambria Math" w:cs="Times New Roman"/>
                <w:sz w:val="24"/>
                <w:szCs w:val="24"/>
                <w:lang w:val="en-GB"/>
              </w:rPr>
              <m:t>i</m:t>
            </m:r>
          </m:sub>
        </m:sSub>
        <m:r>
          <w:rPr>
            <w:rFonts w:ascii="Cambria Math" w:hAnsi="Cambria Math" w:cs="Times New Roman"/>
            <w:sz w:val="24"/>
            <w:szCs w:val="24"/>
            <w:lang w:val="en-GB"/>
          </w:rPr>
          <m:t>=1-</m:t>
        </m:r>
        <m:sSup>
          <m:sSupPr>
            <m:ctrlPr>
              <w:rPr>
                <w:rFonts w:ascii="Cambria Math" w:hAnsi="Cambria Math" w:cs="Times New Roman"/>
                <w:i/>
                <w:sz w:val="24"/>
                <w:szCs w:val="24"/>
                <w:lang w:val="en-GB"/>
              </w:rPr>
            </m:ctrlPr>
          </m:sSupPr>
          <m:e>
            <m:nary>
              <m:naryPr>
                <m:chr m:val="∑"/>
                <m:limLoc m:val="undOvr"/>
                <m:supHide m:val="1"/>
                <m:ctrlPr>
                  <w:rPr>
                    <w:rFonts w:ascii="Cambria Math" w:hAnsi="Cambria Math" w:cs="Times New Roman"/>
                    <w:i/>
                    <w:sz w:val="24"/>
                    <w:szCs w:val="24"/>
                    <w:lang w:val="en-GB"/>
                  </w:rPr>
                </m:ctrlPr>
              </m:naryPr>
              <m:sub>
                <m:r>
                  <w:rPr>
                    <w:rFonts w:ascii="Cambria Math" w:hAnsi="Cambria Math" w:cs="Times New Roman"/>
                    <w:sz w:val="24"/>
                    <w:szCs w:val="24"/>
                    <w:lang w:val="en-GB"/>
                  </w:rPr>
                  <m:t>i</m:t>
                </m:r>
              </m:sub>
              <m:sup/>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ij</m:t>
                        </m:r>
                      </m:sub>
                    </m:sSub>
                    <m:r>
                      <w:rPr>
                        <w:rFonts w:ascii="Cambria Math" w:hAnsi="Cambria Math" w:cs="Times New Roman"/>
                        <w:sz w:val="24"/>
                        <w:szCs w:val="24"/>
                        <w:lang w:val="en-GB"/>
                      </w:rPr>
                      <m:t>/</m:t>
                    </m:r>
                    <m:nary>
                      <m:naryPr>
                        <m:chr m:val="∑"/>
                        <m:limLoc m:val="subSup"/>
                        <m:supHide m:val="1"/>
                        <m:ctrlPr>
                          <w:rPr>
                            <w:rFonts w:ascii="Cambria Math" w:hAnsi="Cambria Math" w:cs="Times New Roman"/>
                            <w:i/>
                            <w:sz w:val="24"/>
                            <w:szCs w:val="24"/>
                            <w:lang w:val="en-GB"/>
                          </w:rPr>
                        </m:ctrlPr>
                      </m:naryPr>
                      <m:sub>
                        <m:r>
                          <w:rPr>
                            <w:rFonts w:ascii="Cambria Math" w:hAnsi="Cambria Math" w:cs="Times New Roman"/>
                            <w:sz w:val="24"/>
                            <w:szCs w:val="24"/>
                            <w:lang w:val="en-GB"/>
                          </w:rPr>
                          <m:t>j</m:t>
                        </m:r>
                      </m:sub>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j</m:t>
                            </m:r>
                          </m:sub>
                        </m:sSub>
                      </m:e>
                    </m:nary>
                  </m:e>
                </m:d>
              </m:e>
            </m:nary>
          </m:e>
          <m:sup>
            <m:r>
              <w:rPr>
                <w:rFonts w:ascii="Cambria Math" w:hAnsi="Cambria Math" w:cs="Times New Roman"/>
                <w:sz w:val="24"/>
                <w:szCs w:val="24"/>
                <w:lang w:val="en-GB"/>
              </w:rPr>
              <m:t>2</m:t>
            </m:r>
          </m:sup>
        </m:sSup>
      </m:oMath>
      <w:r w:rsidR="00852367" w:rsidRPr="00E50F9D">
        <w:rPr>
          <w:rFonts w:ascii="Times New Roman" w:hAnsi="Times New Roman" w:cs="Times New Roman"/>
          <w:sz w:val="24"/>
          <w:szCs w:val="24"/>
          <w:lang w:val="en-GB"/>
        </w:rPr>
        <w:t xml:space="preserve">                 </w:t>
      </w:r>
      <w:r w:rsidR="005A7E72" w:rsidRPr="00E50F9D">
        <w:rPr>
          <w:rFonts w:ascii="Times New Roman" w:hAnsi="Times New Roman" w:cs="Times New Roman"/>
          <w:sz w:val="24"/>
          <w:szCs w:val="24"/>
          <w:lang w:val="en-GB"/>
        </w:rPr>
        <w:t xml:space="preserve">  </w:t>
      </w:r>
      <w:r w:rsidR="00852367" w:rsidRPr="00E50F9D">
        <w:rPr>
          <w:rFonts w:ascii="Times New Roman" w:hAnsi="Times New Roman" w:cs="Times New Roman"/>
          <w:sz w:val="24"/>
          <w:szCs w:val="24"/>
          <w:lang w:val="en-GB"/>
        </w:rPr>
        <w:t xml:space="preserve">                                                                    </w:t>
      </w:r>
      <w:r w:rsidR="009216C8" w:rsidRPr="00E50F9D">
        <w:rPr>
          <w:rFonts w:ascii="Times New Roman" w:hAnsi="Times New Roman" w:cs="Times New Roman"/>
          <w:sz w:val="24"/>
          <w:szCs w:val="24"/>
          <w:lang w:val="en-GB"/>
        </w:rPr>
        <w:t xml:space="preserve">       </w:t>
      </w:r>
      <w:r w:rsidR="00852367" w:rsidRPr="00E50F9D">
        <w:rPr>
          <w:rFonts w:ascii="Times New Roman" w:hAnsi="Times New Roman" w:cs="Times New Roman"/>
          <w:sz w:val="24"/>
          <w:szCs w:val="24"/>
          <w:lang w:val="en-GB"/>
        </w:rPr>
        <w:t xml:space="preserve">    </w:t>
      </w:r>
      <w:r w:rsidR="00CC61FF" w:rsidRPr="00E50F9D">
        <w:rPr>
          <w:rFonts w:ascii="Times New Roman" w:hAnsi="Times New Roman" w:cs="Times New Roman"/>
          <w:i/>
          <w:iCs/>
          <w:sz w:val="24"/>
          <w:szCs w:val="24"/>
          <w:lang w:val="en-GB"/>
        </w:rPr>
        <w:t>(</w:t>
      </w:r>
      <w:r w:rsidR="00852367" w:rsidRPr="00E50F9D">
        <w:rPr>
          <w:rFonts w:ascii="Times New Roman" w:hAnsi="Times New Roman"/>
          <w:i/>
          <w:iCs/>
          <w:sz w:val="24"/>
          <w:lang w:val="en-GB"/>
        </w:rPr>
        <w:t>2)</w:t>
      </w:r>
    </w:p>
    <w:p w14:paraId="58EBACB7" w14:textId="4AEE32A6" w:rsidR="00420C2C" w:rsidRPr="00E50F9D" w:rsidRDefault="00852367" w:rsidP="00CD4EE0">
      <w:pPr>
        <w:autoSpaceDE w:val="0"/>
        <w:autoSpaceDN w:val="0"/>
        <w:adjustRightInd w:val="0"/>
        <w:spacing w:after="0" w:line="480" w:lineRule="auto"/>
        <w:jc w:val="both"/>
        <w:rPr>
          <w:rFonts w:ascii="Times New Roman" w:hAnsi="Times New Roman" w:cs="Times New Roman"/>
          <w:sz w:val="24"/>
          <w:szCs w:val="24"/>
          <w:lang w:val="en-GB"/>
        </w:rPr>
      </w:pPr>
      <w:r w:rsidRPr="00E50F9D">
        <w:rPr>
          <w:rFonts w:ascii="Times New Roman" w:hAnsi="Times New Roman"/>
          <w:sz w:val="24"/>
          <w:szCs w:val="24"/>
          <w:lang w:val="en-GB"/>
        </w:rPr>
        <w:t xml:space="preserve">where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ij</m:t>
            </m:r>
          </m:sub>
        </m:sSub>
      </m:oMath>
      <w:r w:rsidRPr="00E50F9D">
        <w:rPr>
          <w:rFonts w:ascii="Times New Roman" w:hAnsi="Times New Roman"/>
          <w:sz w:val="24"/>
          <w:szCs w:val="24"/>
          <w:lang w:val="en-GB"/>
        </w:rPr>
        <w:t xml:space="preserve"> is the number of branches </w:t>
      </w:r>
      <w:r w:rsidR="009A59D7" w:rsidRPr="00E50F9D">
        <w:rPr>
          <w:rFonts w:ascii="Times New Roman" w:hAnsi="Times New Roman"/>
          <w:sz w:val="24"/>
          <w:szCs w:val="24"/>
          <w:lang w:val="en-GB"/>
        </w:rPr>
        <w:t>belonging to</w:t>
      </w:r>
      <w:r w:rsidRPr="00E50F9D">
        <w:rPr>
          <w:rFonts w:ascii="Times New Roman" w:hAnsi="Times New Roman"/>
          <w:sz w:val="24"/>
          <w:szCs w:val="24"/>
          <w:lang w:val="en-GB"/>
        </w:rPr>
        <w:t xml:space="preserve"> bank i in </w:t>
      </w:r>
      <w:r w:rsidR="009236F9" w:rsidRPr="00E50F9D">
        <w:rPr>
          <w:rFonts w:ascii="Times New Roman" w:hAnsi="Times New Roman"/>
          <w:sz w:val="24"/>
          <w:szCs w:val="24"/>
          <w:lang w:val="en-GB"/>
        </w:rPr>
        <w:t>j=1,..,110</w:t>
      </w:r>
      <w:r w:rsidRPr="00E50F9D">
        <w:rPr>
          <w:rFonts w:ascii="Times New Roman" w:hAnsi="Times New Roman"/>
          <w:sz w:val="24"/>
          <w:szCs w:val="24"/>
          <w:lang w:val="en-GB"/>
        </w:rPr>
        <w:t xml:space="preserve"> province</w:t>
      </w:r>
      <w:r w:rsidR="009236F9" w:rsidRPr="00E50F9D">
        <w:rPr>
          <w:rFonts w:ascii="Times New Roman" w:hAnsi="Times New Roman"/>
          <w:sz w:val="24"/>
          <w:szCs w:val="24"/>
          <w:lang w:val="en-GB"/>
        </w:rPr>
        <w:t>s</w:t>
      </w:r>
      <w:r w:rsidRPr="00E50F9D">
        <w:rPr>
          <w:rFonts w:ascii="Times New Roman" w:hAnsi="Times New Roman"/>
          <w:sz w:val="24"/>
          <w:szCs w:val="24"/>
          <w:lang w:val="en-GB"/>
        </w:rPr>
        <w:t>. The Berry Index is a  measure that ranges between 0 and 1, and is equal to 1 if a bank is fully diversified</w:t>
      </w:r>
      <w:r w:rsidR="004207BB" w:rsidRPr="00E50F9D">
        <w:rPr>
          <w:rFonts w:ascii="Times New Roman" w:hAnsi="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DISTANCE</m:t>
            </m:r>
          </m:e>
          <m:sub>
            <m:r>
              <w:rPr>
                <w:rFonts w:ascii="Cambria Math" w:hAnsi="Cambria Math" w:cs="Times New Roman"/>
                <w:sz w:val="24"/>
                <w:szCs w:val="24"/>
                <w:lang w:val="en-GB"/>
              </w:rPr>
              <m:t>it-1</m:t>
            </m:r>
          </m:sub>
        </m:sSub>
      </m:oMath>
      <w:r w:rsidR="00FA2494" w:rsidRPr="00E50F9D">
        <w:rPr>
          <w:rFonts w:ascii="Times New Roman" w:hAnsi="Times New Roman"/>
          <w:sz w:val="24"/>
          <w:szCs w:val="24"/>
          <w:lang w:val="en-GB"/>
        </w:rPr>
        <w:t xml:space="preserve"> is a distance measure</w:t>
      </w:r>
      <w:r w:rsidR="009147FA" w:rsidRPr="00E50F9D">
        <w:rPr>
          <w:rFonts w:ascii="Times New Roman" w:hAnsi="Times New Roman"/>
          <w:sz w:val="24"/>
          <w:szCs w:val="24"/>
          <w:lang w:val="en-GB"/>
        </w:rPr>
        <w:t xml:space="preserve"> (street distance in kilometres) </w:t>
      </w:r>
      <w:r w:rsidRPr="00E50F9D">
        <w:rPr>
          <w:rFonts w:ascii="Times New Roman" w:hAnsi="Times New Roman"/>
          <w:sz w:val="24"/>
          <w:szCs w:val="24"/>
          <w:lang w:val="en-GB"/>
        </w:rPr>
        <w:t>between a bank’s headquarters and its branches</w:t>
      </w:r>
      <w:r w:rsidR="00FA2494" w:rsidRPr="00E50F9D">
        <w:rPr>
          <w:rFonts w:ascii="Times New Roman" w:hAnsi="Times New Roman"/>
          <w:sz w:val="24"/>
          <w:szCs w:val="24"/>
          <w:lang w:val="en-GB"/>
        </w:rPr>
        <w:t>.</w:t>
      </w:r>
      <w:r w:rsidR="009236F9" w:rsidRPr="00E50F9D">
        <w:rPr>
          <w:rFonts w:ascii="Times New Roman" w:hAnsi="Times New Roman"/>
          <w:sz w:val="24"/>
          <w:szCs w:val="24"/>
          <w:lang w:val="en-GB"/>
        </w:rPr>
        <w:t xml:space="preserve"> </w:t>
      </w:r>
      <w:r w:rsidR="00FA2494" w:rsidRPr="00E50F9D">
        <w:rPr>
          <w:rFonts w:ascii="Times New Roman" w:hAnsi="Times New Roman"/>
          <w:sz w:val="24"/>
          <w:szCs w:val="24"/>
          <w:lang w:val="en-GB"/>
        </w:rPr>
        <w:t xml:space="preserve">It </w:t>
      </w:r>
      <w:r w:rsidRPr="00E50F9D">
        <w:rPr>
          <w:rFonts w:ascii="Times New Roman" w:hAnsi="Times New Roman"/>
          <w:sz w:val="24"/>
          <w:szCs w:val="24"/>
          <w:lang w:val="en-GB"/>
        </w:rPr>
        <w:t>is computed as the distance between the two zip codes, instead of the two exact locations</w:t>
      </w:r>
      <w:r w:rsidR="00843FD0" w:rsidRPr="00E50F9D">
        <w:rPr>
          <w:rFonts w:ascii="Times New Roman" w:hAnsi="Times New Roman"/>
          <w:sz w:val="24"/>
          <w:szCs w:val="24"/>
          <w:lang w:val="en-GB"/>
        </w:rPr>
        <w:t>.</w:t>
      </w:r>
      <w:r w:rsidRPr="00E50F9D">
        <w:rPr>
          <w:rFonts w:ascii="Times New Roman" w:hAnsi="Times New Roman"/>
          <w:sz w:val="24"/>
          <w:szCs w:val="24"/>
          <w:lang w:val="en-GB"/>
        </w:rPr>
        <w:t xml:space="preserve"> Hence, </w:t>
      </w:r>
      <w:r w:rsidR="00696101" w:rsidRPr="00E50F9D">
        <w:rPr>
          <w:rFonts w:ascii="Times New Roman" w:hAnsi="Times New Roman"/>
          <w:sz w:val="24"/>
          <w:szCs w:val="24"/>
          <w:lang w:val="en-GB"/>
        </w:rPr>
        <w:t>t</w:t>
      </w:r>
      <w:r w:rsidR="00FA2494" w:rsidRPr="00E50F9D">
        <w:rPr>
          <w:rFonts w:ascii="Times New Roman" w:hAnsi="Times New Roman"/>
          <w:sz w:val="24"/>
          <w:szCs w:val="24"/>
          <w:lang w:val="en-GB"/>
        </w:rPr>
        <w:t>he</w:t>
      </w:r>
      <w:r w:rsidR="001A00C6" w:rsidRPr="00E50F9D">
        <w:rPr>
          <w:rFonts w:ascii="Times New Roman" w:hAnsi="Times New Roman"/>
          <w:sz w:val="24"/>
          <w:szCs w:val="24"/>
          <w:lang w:val="en-GB"/>
        </w:rPr>
        <w:t xml:space="preserve"> weighted</w:t>
      </w:r>
      <w:r w:rsidRPr="00E50F9D">
        <w:rPr>
          <w:rFonts w:ascii="Times New Roman" w:hAnsi="Times New Roman"/>
          <w:sz w:val="24"/>
          <w:szCs w:val="24"/>
          <w:lang w:val="en-GB"/>
        </w:rPr>
        <w:t xml:space="preserve"> distance measure</w:t>
      </w:r>
      <w:r w:rsidR="0054684B" w:rsidRPr="00E50F9D">
        <w:rPr>
          <w:rFonts w:ascii="Times New Roman" w:hAnsi="Times New Roman"/>
          <w:sz w:val="24"/>
          <w:szCs w:val="24"/>
          <w:lang w:val="en-GB"/>
        </w:rPr>
        <w:t xml:space="preserve"> is calculated</w:t>
      </w:r>
      <w:r w:rsidRPr="00E50F9D">
        <w:rPr>
          <w:rFonts w:ascii="Times New Roman" w:hAnsi="Times New Roman"/>
          <w:sz w:val="24"/>
          <w:szCs w:val="24"/>
          <w:lang w:val="en-GB"/>
        </w:rPr>
        <w:t xml:space="preserve"> as the total distance between a bank’s headquarters and its branches</w:t>
      </w:r>
      <w:r w:rsidR="001A00C6" w:rsidRPr="00E50F9D">
        <w:rPr>
          <w:rFonts w:ascii="Times New Roman" w:hAnsi="Times New Roman"/>
          <w:sz w:val="24"/>
          <w:szCs w:val="24"/>
          <w:lang w:val="en-GB"/>
        </w:rPr>
        <w:t>, with</w:t>
      </w:r>
      <w:r w:rsidRPr="00E50F9D">
        <w:rPr>
          <w:rFonts w:ascii="Times New Roman" w:hAnsi="Times New Roman"/>
          <w:sz w:val="24"/>
          <w:szCs w:val="24"/>
          <w:lang w:val="en-GB"/>
        </w:rPr>
        <w:t xml:space="preserve"> </w:t>
      </w:r>
      <w:r w:rsidR="001A00C6" w:rsidRPr="00E50F9D">
        <w:rPr>
          <w:rFonts w:ascii="Times New Roman" w:hAnsi="Times New Roman"/>
          <w:sz w:val="24"/>
          <w:szCs w:val="24"/>
          <w:lang w:val="en-GB"/>
        </w:rPr>
        <w:t>weights being the bank’</w:t>
      </w:r>
      <w:r w:rsidR="00F70CA7" w:rsidRPr="00E50F9D">
        <w:rPr>
          <w:rFonts w:ascii="Times New Roman" w:hAnsi="Times New Roman"/>
          <w:sz w:val="24"/>
          <w:szCs w:val="24"/>
          <w:lang w:val="en-GB"/>
        </w:rPr>
        <w:t>s</w:t>
      </w:r>
      <w:r w:rsidR="001A00C6" w:rsidRPr="00E50F9D">
        <w:rPr>
          <w:rFonts w:ascii="Times New Roman" w:hAnsi="Times New Roman"/>
          <w:sz w:val="24"/>
          <w:szCs w:val="24"/>
          <w:lang w:val="en-GB"/>
        </w:rPr>
        <w:t xml:space="preserve"> branches in a province as a share of total branches of the same bank</w:t>
      </w:r>
      <w:r w:rsidR="00BE73AB" w:rsidRPr="00E50F9D">
        <w:rPr>
          <w:rFonts w:ascii="Times New Roman" w:hAnsi="Times New Roman"/>
          <w:sz w:val="24"/>
          <w:szCs w:val="24"/>
          <w:lang w:val="en-GB"/>
        </w:rPr>
        <w:t>.</w:t>
      </w:r>
      <w:r w:rsidRPr="00E50F9D">
        <w:rPr>
          <w:rFonts w:ascii="Times New Roman" w:hAnsi="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MCw</m:t>
            </m:r>
          </m:e>
          <m:sub>
            <m:r>
              <w:rPr>
                <w:rFonts w:ascii="Cambria Math" w:hAnsi="Cambria Math" w:cs="Times New Roman"/>
                <w:sz w:val="24"/>
                <w:szCs w:val="24"/>
                <w:lang w:val="en-GB"/>
              </w:rPr>
              <m:t>it-1</m:t>
            </m:r>
          </m:sub>
        </m:sSub>
      </m:oMath>
      <w:r w:rsidRPr="00E50F9D">
        <w:rPr>
          <w:rFonts w:ascii="Times New Roman" w:hAnsi="Times New Roman"/>
          <w:sz w:val="24"/>
          <w:szCs w:val="24"/>
          <w:lang w:val="en-GB"/>
        </w:rPr>
        <w:t xml:space="preserve">, </w:t>
      </w:r>
      <w:r w:rsidR="0014373D" w:rsidRPr="00E50F9D">
        <w:rPr>
          <w:rFonts w:ascii="Times New Roman" w:hAnsi="Times New Roman"/>
          <w:sz w:val="24"/>
          <w:szCs w:val="24"/>
          <w:lang w:val="en-GB"/>
        </w:rPr>
        <w:t xml:space="preserve">is the market coverage </w:t>
      </w:r>
      <w:r w:rsidRPr="00E50F9D">
        <w:rPr>
          <w:rFonts w:ascii="Times New Roman" w:hAnsi="Times New Roman"/>
          <w:sz w:val="24"/>
          <w:szCs w:val="24"/>
          <w:lang w:val="en-GB"/>
        </w:rPr>
        <w:t xml:space="preserve">of a bank in each local market calculated as the average share of branches in all the provinces where bank i operates at time t. </w:t>
      </w:r>
      <m:oMath>
        <m:r>
          <w:rPr>
            <w:rFonts w:ascii="Cambria Math" w:hAnsi="Cambria Math"/>
            <w:sz w:val="24"/>
            <w:szCs w:val="24"/>
            <w:lang w:val="en-GB"/>
          </w:rPr>
          <m:t xml:space="preserve"> </m:t>
        </m:r>
      </m:oMath>
      <w:r w:rsidR="00C00B95" w:rsidRPr="00E50F9D">
        <w:rPr>
          <w:rFonts w:ascii="Times New Roman" w:hAnsi="Times New Roman" w:cs="Times New Roman"/>
          <w:i/>
          <w:iCs/>
          <w:sz w:val="24"/>
          <w:szCs w:val="24"/>
          <w:lang w:val="en-GB"/>
        </w:rPr>
        <w:t xml:space="preserve">NPLs </w:t>
      </w:r>
      <w:r w:rsidR="00C00B95" w:rsidRPr="00E50F9D">
        <w:rPr>
          <w:rFonts w:ascii="Times New Roman" w:hAnsi="Times New Roman" w:cs="Times New Roman"/>
          <w:sz w:val="24"/>
          <w:szCs w:val="24"/>
          <w:lang w:val="en-GB"/>
        </w:rPr>
        <w:t xml:space="preserve">is a proxy </w:t>
      </w:r>
      <w:r w:rsidR="00F73AEA" w:rsidRPr="00E50F9D">
        <w:rPr>
          <w:rFonts w:ascii="Times New Roman" w:hAnsi="Times New Roman" w:cs="Times New Roman"/>
          <w:sz w:val="24"/>
          <w:szCs w:val="24"/>
          <w:lang w:val="en-GB"/>
        </w:rPr>
        <w:t>for</w:t>
      </w:r>
      <w:r w:rsidR="00C00B95" w:rsidRPr="00E50F9D">
        <w:rPr>
          <w:rFonts w:ascii="Times New Roman" w:hAnsi="Times New Roman" w:cs="Times New Roman"/>
          <w:sz w:val="24"/>
          <w:szCs w:val="24"/>
          <w:lang w:val="en-GB"/>
        </w:rPr>
        <w:t xml:space="preserve"> the risk management quality, which measures the ability to reduce the ratio of the amount of non-performing loans to total loans. In addition, a greater proportion of bad loans could be related to a more risk-taking strategy that banks undertake to survive in a more competitive market (Degl’Innocenti et al., 2014).</w:t>
      </w:r>
      <w:r w:rsidR="00C00B95" w:rsidRPr="00E50F9D">
        <w:rPr>
          <w:rFonts w:ascii="Times New Roman" w:hAnsi="Times New Roman" w:cs="Times New Roman"/>
          <w:sz w:val="24"/>
          <w:szCs w:val="24"/>
          <w:lang w:val="en-GB" w:eastAsia="en-US"/>
        </w:rPr>
        <w:t xml:space="preserve">  It </w:t>
      </w:r>
      <w:r w:rsidR="00C00B95" w:rsidRPr="00E50F9D">
        <w:rPr>
          <w:rFonts w:ascii="Times New Roman" w:hAnsi="Times New Roman" w:cs="Times New Roman"/>
          <w:iCs/>
          <w:sz w:val="24"/>
          <w:szCs w:val="24"/>
          <w:lang w:val="en-GB"/>
        </w:rPr>
        <w:t>is calculated as the ratio of</w:t>
      </w:r>
      <w:r w:rsidR="00C00B95" w:rsidRPr="00E50F9D">
        <w:rPr>
          <w:rFonts w:ascii="Times New Roman" w:hAnsi="Times New Roman" w:cs="Times New Roman"/>
          <w:i/>
          <w:iCs/>
          <w:sz w:val="24"/>
          <w:szCs w:val="24"/>
          <w:lang w:val="en-GB"/>
        </w:rPr>
        <w:t xml:space="preserve"> </w:t>
      </w:r>
      <w:r w:rsidR="00C00B95" w:rsidRPr="00E50F9D">
        <w:rPr>
          <w:rFonts w:ascii="Times New Roman" w:hAnsi="Times New Roman"/>
          <w:sz w:val="24"/>
          <w:szCs w:val="24"/>
          <w:lang w:val="en-GB"/>
        </w:rPr>
        <w:t>non-performing loans to total loans.</w:t>
      </w:r>
      <w:r w:rsidR="00C00B95" w:rsidRPr="00E50F9D">
        <w:rPr>
          <w:rFonts w:ascii="Times New Roman" w:hAnsi="Times New Roman" w:cs="Times New Roman"/>
          <w:sz w:val="24"/>
          <w:szCs w:val="24"/>
          <w:lang w:val="en-GB"/>
        </w:rPr>
        <w:t xml:space="preserve"> </w:t>
      </w:r>
      <w:r w:rsidR="00C00B95" w:rsidRPr="00E50F9D">
        <w:rPr>
          <w:position w:val="-12"/>
        </w:rPr>
        <w:object w:dxaOrig="900" w:dyaOrig="360" w14:anchorId="2AEA4524">
          <v:shape id="_x0000_i1026" type="#_x0000_t75" style="width:45.35pt;height:18.65pt" o:ole="">
            <v:imagedata r:id="rId10" o:title=""/>
          </v:shape>
          <o:OLEObject Type="Embed" ProgID="Equation.3" ShapeID="_x0000_i1026" DrawAspect="Content" ObjectID="_1550050060" r:id="rId11"/>
        </w:object>
      </w:r>
      <w:r w:rsidR="00C00B95" w:rsidRPr="00E50F9D">
        <w:rPr>
          <w:rFonts w:ascii="Times New Roman" w:hAnsi="Times New Roman" w:cs="Times New Roman"/>
          <w:sz w:val="24"/>
          <w:szCs w:val="24"/>
          <w:lang w:val="en-GB"/>
        </w:rPr>
        <w:t>is the level of</w:t>
      </w:r>
      <w:r w:rsidR="00C00B95" w:rsidRPr="00E50F9D">
        <w:t xml:space="preserve"> </w:t>
      </w:r>
      <w:r w:rsidR="00C00B95" w:rsidRPr="00E50F9D">
        <w:rPr>
          <w:rFonts w:ascii="Times New Roman" w:hAnsi="Times New Roman" w:cs="Times New Roman"/>
          <w:sz w:val="24"/>
          <w:szCs w:val="24"/>
          <w:lang w:val="en-GB" w:eastAsia="en-US"/>
        </w:rPr>
        <w:t xml:space="preserve">bank </w:t>
      </w:r>
      <w:r w:rsidR="00C00B95" w:rsidRPr="00E50F9D">
        <w:rPr>
          <w:rFonts w:ascii="Times New Roman" w:hAnsi="Times New Roman" w:cs="Times New Roman"/>
          <w:sz w:val="24"/>
          <w:szCs w:val="24"/>
          <w:lang w:val="en-GB"/>
        </w:rPr>
        <w:t xml:space="preserve">capitalization and is measured by the equity-to-total assets ratio (Equity/Assets). Some banking studies maintain that a higher proportion of capital over assets signals greater safety and soundness and can allow a well-capitalised bank to get funds more easily in the financial markets (Berger, 1995; Maudos and Fernández de Guevara, 2004; Pasiouras and Kosmidou, 2007). Recently, Berger and Bouwman (2013) show for a sample of US banks that capital helps small banks to increase their market share and the probability of their survival at all times (during banking crises, market crises, and normal times), while capital enhances the performance of medium and large banks primarily during banking crises. However, capital also represents a lost opportunity for a bank. Overall, empirical studies provide mixed results on the relationship between equity/assets and bank profitability (Chronopoulos et al., 2015). Banks with high capital levels are less limited in the amount of loans that they can hold, and more confident that losses can be covered. Therefore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 xml:space="preserve"> EQTA</m:t>
            </m:r>
          </m:e>
          <m:sub>
            <m:r>
              <m:rPr>
                <m:sty m:val="p"/>
              </m:rPr>
              <w:rPr>
                <w:rFonts w:ascii="Cambria Math" w:hAnsi="Cambria Math" w:cs="Times New Roman"/>
                <w:sz w:val="24"/>
                <w:szCs w:val="24"/>
                <w:lang w:val="en-GB"/>
              </w:rPr>
              <m:t>it-1</m:t>
            </m:r>
          </m:sub>
        </m:sSub>
      </m:oMath>
      <w:r w:rsidR="00C00B95" w:rsidRPr="00E50F9D">
        <w:rPr>
          <w:rFonts w:ascii="Times New Roman" w:hAnsi="Times New Roman" w:cs="Times New Roman"/>
          <w:sz w:val="24"/>
          <w:szCs w:val="24"/>
          <w:lang w:val="en-GB"/>
        </w:rPr>
        <w:t xml:space="preserve">is dropped from the model when the dependent variable is the amount of deposits.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ENTRY</m:t>
            </m:r>
          </m:e>
          <m:sub>
            <m:r>
              <m:rPr>
                <m:sty m:val="p"/>
              </m:rPr>
              <w:rPr>
                <w:rFonts w:ascii="Cambria Math" w:hAnsi="Cambria Math" w:cs="Times New Roman"/>
                <w:sz w:val="24"/>
                <w:szCs w:val="24"/>
                <w:lang w:val="en-GB"/>
              </w:rPr>
              <m:t>it-1</m:t>
            </m:r>
          </m:sub>
        </m:sSub>
      </m:oMath>
      <w:r w:rsidR="00C00B95" w:rsidRPr="00E50F9D">
        <w:rPr>
          <w:rFonts w:ascii="Times New Roman" w:hAnsi="Times New Roman" w:cs="Times New Roman"/>
          <w:sz w:val="24"/>
          <w:szCs w:val="24"/>
          <w:lang w:val="en-GB"/>
        </w:rPr>
        <w:t xml:space="preserve"> </w:t>
      </w:r>
      <w:r w:rsidR="00AB2C58" w:rsidRPr="00E50F9D">
        <w:rPr>
          <w:rFonts w:ascii="Times New Roman" w:hAnsi="Times New Roman" w:cs="Times New Roman"/>
          <w:sz w:val="24"/>
          <w:szCs w:val="24"/>
          <w:lang w:val="en-GB"/>
        </w:rPr>
        <w:t xml:space="preserve">is a measure of </w:t>
      </w:r>
      <w:r w:rsidR="00696101" w:rsidRPr="00E50F9D">
        <w:rPr>
          <w:rFonts w:ascii="Times New Roman" w:hAnsi="Times New Roman" w:cs="Times New Roman"/>
          <w:sz w:val="24"/>
          <w:szCs w:val="24"/>
          <w:lang w:val="en-GB"/>
        </w:rPr>
        <w:t xml:space="preserve">the </w:t>
      </w:r>
      <w:r w:rsidR="00AB2C58" w:rsidRPr="00E50F9D">
        <w:rPr>
          <w:rFonts w:ascii="Times New Roman" w:hAnsi="Times New Roman" w:cs="Times New Roman"/>
          <w:sz w:val="24"/>
          <w:szCs w:val="24"/>
          <w:lang w:val="en-GB"/>
        </w:rPr>
        <w:t xml:space="preserve">entry of banks in each province, which is calculated as the ratio of the sum of branch entries in each local market where a bank i operates minus its own new branches in the same market divided by the total number of branches in that market.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HHIw</m:t>
            </m:r>
          </m:e>
          <m:sub>
            <m:r>
              <m:rPr>
                <m:sty m:val="p"/>
              </m:rPr>
              <w:rPr>
                <w:rFonts w:ascii="Cambria Math" w:hAnsi="Cambria Math" w:cs="Times New Roman"/>
                <w:sz w:val="24"/>
                <w:szCs w:val="24"/>
                <w:lang w:val="en-GB"/>
              </w:rPr>
              <m:t>it-1</m:t>
            </m:r>
          </m:sub>
        </m:sSub>
      </m:oMath>
      <w:r w:rsidR="008E0999" w:rsidRPr="00E50F9D">
        <w:rPr>
          <w:rFonts w:ascii="Times New Roman" w:hAnsi="Times New Roman" w:cs="Times New Roman"/>
          <w:sz w:val="24"/>
          <w:szCs w:val="24"/>
          <w:lang w:val="en-GB"/>
        </w:rPr>
        <w:t xml:space="preserve"> denotes the average value of the Herfindahl–Hirschman indexes of concentration of branches calculated in each local market in which bank i is located at time t.</w:t>
      </w:r>
      <w:r w:rsidR="008E0999" w:rsidRPr="00E50F9D">
        <w:rPr>
          <w:rStyle w:val="EndnoteReference"/>
          <w:rFonts w:ascii="Times New Roman" w:hAnsi="Times New Roman" w:cs="Times New Roman"/>
          <w:sz w:val="24"/>
          <w:szCs w:val="24"/>
          <w:lang w:val="en-GB"/>
        </w:rPr>
        <w:endnoteReference w:id="4"/>
      </w:r>
      <w:r w:rsidR="008E0999" w:rsidRPr="00E50F9D">
        <w:rPr>
          <w:rFonts w:ascii="Times New Roman" w:hAnsi="Times New Roman" w:cs="Times New Roman"/>
          <w:sz w:val="24"/>
          <w:szCs w:val="24"/>
          <w:lang w:val="en-GB"/>
        </w:rPr>
        <w:t xml:space="preserve"> Our expectation is that there is a positive relationship between a high concentration of branches in a province and performance since the overall degree of competition is reduced in accordance with the classical Structure-Conduct-Performance (SCP) paradigm.</w:t>
      </w:r>
      <w:r w:rsidR="008E0999" w:rsidRPr="00E50F9D">
        <w:rPr>
          <w:rStyle w:val="EndnoteReference"/>
          <w:rFonts w:ascii="Times New Roman" w:hAnsi="Times New Roman" w:cs="Times New Roman"/>
          <w:sz w:val="24"/>
          <w:szCs w:val="24"/>
          <w:lang w:val="en-GB"/>
        </w:rPr>
        <w:endnoteReference w:id="5"/>
      </w:r>
      <w:r w:rsidR="008E0999" w:rsidRPr="00E50F9D">
        <w:rPr>
          <w:rFonts w:ascii="Times New Roman" w:hAnsi="Times New Roman" w:cs="Times New Roman"/>
          <w:sz w:val="24"/>
          <w:szCs w:val="24"/>
          <w:lang w:val="en-GB"/>
        </w:rPr>
        <w:t xml:space="preserve"> </w:t>
      </w:r>
      <w:r w:rsidR="00AB2C58" w:rsidRPr="00E50F9D">
        <w:rPr>
          <w:rFonts w:ascii="Times New Roman" w:hAnsi="Times New Roman" w:cs="Times New Roman"/>
          <w:sz w:val="24"/>
          <w:szCs w:val="24"/>
          <w:lang w:val="en-GB"/>
        </w:rPr>
        <w:t xml:space="preserve">Compared to </w:t>
      </w:r>
      <m:oMath>
        <m:r>
          <m:rPr>
            <m:sty m:val="p"/>
          </m:rPr>
          <w:rPr>
            <w:rFonts w:ascii="Cambria Math" w:hAnsi="Cambria Math" w:cs="Times New Roman"/>
            <w:sz w:val="24"/>
            <w:szCs w:val="24"/>
            <w:lang w:val="en-GB"/>
          </w:rPr>
          <m:t>HHI</m:t>
        </m:r>
      </m:oMath>
      <w:r w:rsidR="00AB2C58" w:rsidRPr="00E50F9D">
        <w:rPr>
          <w:rFonts w:ascii="Times New Roman" w:hAnsi="Times New Roman" w:cs="Times New Roman"/>
          <w:sz w:val="24"/>
          <w:szCs w:val="24"/>
          <w:lang w:val="en-GB"/>
        </w:rPr>
        <w:t xml:space="preserve">, </w:t>
      </w:r>
      <m:oMath>
        <m:r>
          <m:rPr>
            <m:sty m:val="p"/>
          </m:rPr>
          <w:rPr>
            <w:rFonts w:ascii="Cambria Math" w:hAnsi="Cambria Math" w:cs="Times New Roman"/>
            <w:sz w:val="24"/>
            <w:szCs w:val="24"/>
            <w:lang w:val="en-GB"/>
          </w:rPr>
          <m:t>ENTRY</m:t>
        </m:r>
      </m:oMath>
      <w:r w:rsidR="00AB2C58" w:rsidRPr="00E50F9D">
        <w:rPr>
          <w:rFonts w:ascii="Times New Roman" w:hAnsi="Times New Roman" w:cs="Times New Roman"/>
          <w:sz w:val="24"/>
          <w:szCs w:val="24"/>
          <w:lang w:val="en-GB"/>
        </w:rPr>
        <w:t xml:space="preserve"> is a measure o</w:t>
      </w:r>
      <w:r w:rsidR="00AB2C58" w:rsidRPr="00E50F9D">
        <w:rPr>
          <w:rFonts w:ascii="Times New Roman" w:hAnsi="Times New Roman"/>
          <w:sz w:val="24"/>
          <w:szCs w:val="24"/>
          <w:lang w:val="en-GB"/>
        </w:rPr>
        <w:t>f geographic structure that takes into account the number of branches opened during the year and the number of branches closed in the market for the same period.</w:t>
      </w:r>
      <w:r w:rsidR="00AB2C58" w:rsidRPr="00E50F9D">
        <w:rPr>
          <w:rStyle w:val="EndnoteReference"/>
          <w:rFonts w:ascii="Times New Roman" w:hAnsi="Times New Roman"/>
          <w:sz w:val="24"/>
          <w:szCs w:val="24"/>
          <w:lang w:val="en-GB"/>
        </w:rPr>
        <w:endnoteReference w:id="6"/>
      </w:r>
      <w:r w:rsidR="00AB2C58" w:rsidRPr="00E50F9D">
        <w:rPr>
          <w:rFonts w:ascii="Times New Roman" w:hAnsi="Times New Roman"/>
          <w:sz w:val="24"/>
          <w:szCs w:val="24"/>
          <w:lang w:val="en-GB"/>
        </w:rPr>
        <w:t xml:space="preserve"> This can be seen as a proxy to measure the contestability of the market and the expected sign is negative. </w:t>
      </w:r>
    </w:p>
    <w:p w14:paraId="1580A9DE" w14:textId="64C9AD46" w:rsidR="0014373D" w:rsidRPr="00E50F9D" w:rsidRDefault="0014373D" w:rsidP="00CD4EE0">
      <w:pPr>
        <w:spacing w:after="0" w:line="480" w:lineRule="auto"/>
        <w:ind w:firstLine="567"/>
        <w:jc w:val="both"/>
        <w:rPr>
          <w:rFonts w:ascii="Times New Roman" w:hAnsi="Times New Roman"/>
          <w:sz w:val="24"/>
          <w:szCs w:val="24"/>
          <w:lang w:val="en-GB"/>
        </w:rPr>
      </w:pPr>
      <w:r w:rsidRPr="00E50F9D">
        <w:rPr>
          <w:rFonts w:asciiTheme="majorBidi" w:hAnsiTheme="majorBidi" w:cstheme="majorBidi"/>
          <w:sz w:val="24"/>
          <w:szCs w:val="24"/>
          <w:lang w:val="en-US"/>
        </w:rPr>
        <w:t xml:space="preserve">To overcome the problem of extreme values </w:t>
      </w:r>
      <m:oMath>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loan</m:t>
            </m:r>
          </m:e>
          <m:sub>
            <m:r>
              <w:rPr>
                <w:rFonts w:ascii="Cambria Math" w:hAnsi="Cambria Math" w:cstheme="majorBidi"/>
                <w:sz w:val="24"/>
                <w:szCs w:val="24"/>
                <w:lang w:val="en-US"/>
              </w:rPr>
              <m:t>it</m:t>
            </m:r>
          </m:sub>
        </m:sSub>
      </m:oMath>
      <w:r w:rsidR="00B82B77" w:rsidRPr="00E50F9D">
        <w:rPr>
          <w:rFonts w:asciiTheme="majorBidi" w:hAnsiTheme="majorBidi" w:cstheme="majorBidi"/>
          <w:sz w:val="24"/>
          <w:szCs w:val="24"/>
          <w:lang w:val="en-US"/>
        </w:rPr>
        <w:t xml:space="preserve"> and </w:t>
      </w:r>
      <m:oMath>
        <m:r>
          <m:rPr>
            <m:sty m:val="p"/>
          </m:rPr>
          <w:rPr>
            <w:rFonts w:ascii="Cambria Math" w:hAnsi="Cambria Math" w:cstheme="majorBidi"/>
            <w:sz w:val="24"/>
            <w:szCs w:val="24"/>
            <w:lang w:val="en-US"/>
          </w:rPr>
          <m:t>∆</m:t>
        </m:r>
        <m:sSub>
          <m:sSubPr>
            <m:ctrlPr>
              <w:rPr>
                <w:rFonts w:ascii="Cambria Math" w:hAnsi="Cambria Math" w:cstheme="majorBidi"/>
                <w:sz w:val="24"/>
                <w:szCs w:val="24"/>
                <w:lang w:val="en-US"/>
              </w:rPr>
            </m:ctrlPr>
          </m:sSubPr>
          <m:e>
            <m:r>
              <w:rPr>
                <w:rFonts w:ascii="Cambria Math" w:hAnsi="Cambria Math" w:cstheme="majorBidi"/>
                <w:sz w:val="24"/>
                <w:szCs w:val="24"/>
                <w:lang w:val="en-US"/>
              </w:rPr>
              <m:t>Deposit</m:t>
            </m:r>
          </m:e>
          <m:sub>
            <m:r>
              <w:rPr>
                <w:rFonts w:ascii="Cambria Math" w:hAnsi="Cambria Math" w:cstheme="majorBidi"/>
                <w:sz w:val="24"/>
                <w:szCs w:val="24"/>
                <w:lang w:val="en-US"/>
              </w:rPr>
              <m:t>it</m:t>
            </m:r>
          </m:sub>
        </m:sSub>
      </m:oMath>
      <w:r w:rsidR="00B82B77" w:rsidRPr="00E50F9D">
        <w:rPr>
          <w:rFonts w:asciiTheme="majorBidi" w:hAnsiTheme="majorBidi" w:cstheme="majorBidi"/>
          <w:sz w:val="24"/>
          <w:szCs w:val="24"/>
          <w:lang w:val="en-US"/>
        </w:rPr>
        <w:t>are winsorized</w:t>
      </w:r>
      <w:r w:rsidR="00C00B95" w:rsidRPr="00E50F9D">
        <w:rPr>
          <w:rFonts w:asciiTheme="majorBidi" w:hAnsiTheme="majorBidi" w:cstheme="majorBidi"/>
          <w:sz w:val="24"/>
          <w:szCs w:val="24"/>
          <w:lang w:val="en-US"/>
        </w:rPr>
        <w:t xml:space="preserve"> at 95%</w:t>
      </w:r>
      <w:r w:rsidRPr="00E50F9D">
        <w:rPr>
          <w:rFonts w:asciiTheme="majorBidi" w:hAnsiTheme="majorBidi" w:cstheme="majorBidi"/>
          <w:sz w:val="24"/>
          <w:szCs w:val="24"/>
          <w:lang w:val="en-US"/>
        </w:rPr>
        <w:t>.</w:t>
      </w:r>
      <w:r w:rsidR="00B82B77" w:rsidRPr="00E50F9D">
        <w:rPr>
          <w:rStyle w:val="EndnoteReference"/>
          <w:rFonts w:asciiTheme="majorBidi" w:hAnsiTheme="majorBidi" w:cstheme="majorBidi"/>
          <w:sz w:val="24"/>
          <w:szCs w:val="24"/>
          <w:lang w:val="en-US"/>
        </w:rPr>
        <w:endnoteReference w:id="7"/>
      </w:r>
      <w:r w:rsidR="00B82B77" w:rsidRPr="00E50F9D">
        <w:rPr>
          <w:rFonts w:asciiTheme="majorBidi" w:hAnsiTheme="majorBidi" w:cstheme="majorBidi"/>
          <w:sz w:val="24"/>
          <w:szCs w:val="24"/>
          <w:lang w:val="en-US"/>
        </w:rPr>
        <w:t xml:space="preserve"> </w:t>
      </w:r>
      <w:r w:rsidRPr="00E50F9D">
        <w:rPr>
          <w:rFonts w:asciiTheme="majorBidi" w:hAnsiTheme="majorBidi" w:cstheme="majorBidi"/>
          <w:sz w:val="24"/>
          <w:szCs w:val="24"/>
          <w:lang w:val="en-US"/>
        </w:rPr>
        <w:t>We employ a panel data model with time (α) and bank (λ) fixed effects. While bank fixed effects detect time-invariant omitted variables, instead time dummies control for the business cycle and other factors that could have affected the performance and lending decision of banks. In order to adjust the standard errors for possible dependence in the residuals, we follow the procedure indicated by Peterson (2009), Cameron et al. (2011) and Thomson (2011). In particular, standard errors are clustered by bank ID, in this way allowing for error correlations for the same bank in different years. All the independent variables a</w:t>
      </w:r>
      <w:r w:rsidRPr="00E50F9D">
        <w:rPr>
          <w:rFonts w:ascii="Times New Roman" w:hAnsi="Times New Roman" w:cs="Times New Roman"/>
          <w:sz w:val="24"/>
          <w:szCs w:val="24"/>
          <w:lang w:val="en-GB"/>
        </w:rPr>
        <w:t>re lagged to properly capture the</w:t>
      </w:r>
      <w:r w:rsidRPr="00E50F9D">
        <w:rPr>
          <w:rFonts w:ascii="Times New Roman" w:hAnsi="Times New Roman"/>
          <w:sz w:val="24"/>
          <w:szCs w:val="24"/>
          <w:lang w:val="en-GB"/>
        </w:rPr>
        <w:t xml:space="preserve"> effect of geographic diversification and local market structure on the dependent variable</w:t>
      </w:r>
      <w:r w:rsidR="00BE4FD1" w:rsidRPr="00E50F9D">
        <w:rPr>
          <w:rFonts w:ascii="Times New Roman" w:hAnsi="Times New Roman"/>
          <w:sz w:val="24"/>
          <w:szCs w:val="24"/>
          <w:lang w:val="en-GB"/>
        </w:rPr>
        <w:t>.</w:t>
      </w:r>
      <w:r w:rsidRPr="00E50F9D">
        <w:rPr>
          <w:rFonts w:ascii="Times New Roman" w:hAnsi="Times New Roman"/>
          <w:sz w:val="24"/>
          <w:szCs w:val="24"/>
          <w:lang w:val="en-GB"/>
        </w:rPr>
        <w:t xml:space="preserve"> Banks can open branches </w:t>
      </w:r>
      <w:r w:rsidR="00696101" w:rsidRPr="00E50F9D">
        <w:rPr>
          <w:rFonts w:ascii="Times New Roman" w:hAnsi="Times New Roman"/>
          <w:sz w:val="24"/>
          <w:szCs w:val="24"/>
          <w:lang w:val="en-GB"/>
        </w:rPr>
        <w:t>at</w:t>
      </w:r>
      <w:r w:rsidRPr="00E50F9D">
        <w:rPr>
          <w:rFonts w:ascii="Times New Roman" w:hAnsi="Times New Roman"/>
          <w:sz w:val="24"/>
          <w:szCs w:val="24"/>
          <w:lang w:val="en-GB"/>
        </w:rPr>
        <w:t xml:space="preserve"> every moment of the year. </w:t>
      </w:r>
      <w:r w:rsidR="00FA2494" w:rsidRPr="00E50F9D">
        <w:rPr>
          <w:rFonts w:ascii="Times New Roman" w:hAnsi="Times New Roman"/>
          <w:sz w:val="24"/>
          <w:szCs w:val="24"/>
          <w:lang w:val="en-GB"/>
        </w:rPr>
        <w:t xml:space="preserve">Thus, </w:t>
      </w:r>
      <w:r w:rsidR="00696101" w:rsidRPr="00E50F9D">
        <w:rPr>
          <w:rFonts w:ascii="Times New Roman" w:hAnsi="Times New Roman"/>
          <w:sz w:val="24"/>
          <w:szCs w:val="24"/>
          <w:lang w:val="en-GB"/>
        </w:rPr>
        <w:t xml:space="preserve">we expect </w:t>
      </w:r>
      <w:r w:rsidR="00F73AEA" w:rsidRPr="00E50F9D">
        <w:rPr>
          <w:rFonts w:ascii="Times New Roman" w:hAnsi="Times New Roman"/>
          <w:sz w:val="24"/>
          <w:szCs w:val="24"/>
          <w:lang w:val="en-GB"/>
        </w:rPr>
        <w:t xml:space="preserve">to </w:t>
      </w:r>
      <w:r w:rsidR="00FA2494" w:rsidRPr="00E50F9D">
        <w:rPr>
          <w:rFonts w:ascii="Times New Roman" w:hAnsi="Times New Roman"/>
          <w:sz w:val="24"/>
          <w:szCs w:val="24"/>
          <w:lang w:val="en-GB"/>
        </w:rPr>
        <w:t xml:space="preserve">observe a change in the organization and lending strategies </w:t>
      </w:r>
      <w:r w:rsidR="00F73AEA" w:rsidRPr="00E50F9D">
        <w:rPr>
          <w:rFonts w:ascii="Times New Roman" w:hAnsi="Times New Roman"/>
          <w:sz w:val="24"/>
          <w:szCs w:val="24"/>
          <w:lang w:val="en-GB"/>
        </w:rPr>
        <w:t>in the year after branch expansion</w:t>
      </w:r>
      <w:r w:rsidR="008E5BD9" w:rsidRPr="00E50F9D">
        <w:rPr>
          <w:rFonts w:ascii="Times New Roman" w:hAnsi="Times New Roman"/>
          <w:sz w:val="24"/>
          <w:szCs w:val="24"/>
          <w:lang w:val="en-GB"/>
        </w:rPr>
        <w:t>.</w:t>
      </w:r>
    </w:p>
    <w:p w14:paraId="109424A0" w14:textId="3C104998" w:rsidR="00C82E59" w:rsidRPr="00E50F9D" w:rsidRDefault="00C82E59" w:rsidP="00CD4EE0">
      <w:pPr>
        <w:spacing w:after="0" w:line="480" w:lineRule="auto"/>
        <w:ind w:firstLine="567"/>
        <w:jc w:val="both"/>
        <w:rPr>
          <w:rFonts w:ascii="Times New Roman" w:hAnsi="Times New Roman" w:cs="Times New Roman"/>
          <w:sz w:val="24"/>
          <w:szCs w:val="24"/>
          <w:lang w:eastAsia="en-GB"/>
        </w:rPr>
      </w:pPr>
      <w:r w:rsidRPr="00E50F9D">
        <w:rPr>
          <w:rFonts w:asciiTheme="majorBidi" w:hAnsiTheme="majorBidi" w:cstheme="majorBidi"/>
          <w:sz w:val="24"/>
          <w:szCs w:val="24"/>
          <w:lang w:val="en-US"/>
        </w:rPr>
        <w:t xml:space="preserve">The data on branches is confined to the location of each branch for each bank of the database, and does not contain information regarding the size or number of employees of the branch. </w:t>
      </w:r>
      <w:r w:rsidRPr="00E50F9D">
        <w:t xml:space="preserve"> </w:t>
      </w:r>
      <w:r w:rsidRPr="00E50F9D">
        <w:rPr>
          <w:rFonts w:asciiTheme="majorBidi" w:hAnsiTheme="majorBidi" w:cstheme="majorBidi"/>
          <w:sz w:val="24"/>
          <w:szCs w:val="24"/>
          <w:lang w:val="en-US"/>
        </w:rPr>
        <w:t xml:space="preserve">Nonetheless, we control </w:t>
      </w:r>
      <w:r w:rsidRPr="00E50F9D">
        <w:rPr>
          <w:rFonts w:ascii="Times New Roman" w:hAnsi="Times New Roman" w:cs="Times New Roman"/>
          <w:sz w:val="24"/>
          <w:szCs w:val="24"/>
          <w:lang w:val="en-GB" w:eastAsia="en-GB"/>
        </w:rPr>
        <w:t xml:space="preserve">for the average size of branches by following Humphrey et al. (2006). </w:t>
      </w:r>
      <w:r w:rsidR="00A0640A" w:rsidRPr="00E50F9D">
        <w:rPr>
          <w:rFonts w:ascii="Times New Roman" w:hAnsi="Times New Roman" w:cs="Times New Roman"/>
          <w:sz w:val="24"/>
          <w:szCs w:val="24"/>
          <w:lang w:val="en-GB" w:eastAsia="en-GB"/>
        </w:rPr>
        <w:t>T</w:t>
      </w:r>
      <w:r w:rsidRPr="00E50F9D">
        <w:rPr>
          <w:rFonts w:ascii="Times New Roman" w:hAnsi="Times New Roman" w:cs="Times New Roman"/>
          <w:sz w:val="24"/>
          <w:szCs w:val="24"/>
          <w:lang w:val="en-GB" w:eastAsia="en-GB"/>
        </w:rPr>
        <w:t>he average size of branches</w:t>
      </w:r>
      <w:r w:rsidR="00A0640A" w:rsidRPr="00E50F9D">
        <w:rPr>
          <w:rFonts w:ascii="Times New Roman" w:hAnsi="Times New Roman" w:cs="Times New Roman"/>
          <w:sz w:val="24"/>
          <w:szCs w:val="24"/>
          <w:lang w:val="en-GB" w:eastAsia="en-GB"/>
        </w:rPr>
        <w:t xml:space="preserve"> is</w:t>
      </w:r>
      <w:r w:rsidRPr="00E50F9D">
        <w:rPr>
          <w:rFonts w:ascii="Times New Roman" w:hAnsi="Times New Roman" w:cs="Times New Roman"/>
          <w:sz w:val="24"/>
          <w:szCs w:val="24"/>
          <w:lang w:val="en-GB" w:eastAsia="en-GB"/>
        </w:rPr>
        <w:t xml:space="preserve"> </w:t>
      </w:r>
      <w:r w:rsidR="004D7A5B" w:rsidRPr="00E50F9D">
        <w:rPr>
          <w:rFonts w:ascii="Times New Roman" w:hAnsi="Times New Roman" w:cs="Times New Roman"/>
          <w:sz w:val="24"/>
          <w:szCs w:val="24"/>
          <w:lang w:val="en-GB" w:eastAsia="en-GB"/>
        </w:rPr>
        <w:t xml:space="preserve">calculated </w:t>
      </w:r>
      <w:r w:rsidRPr="00E50F9D">
        <w:rPr>
          <w:rFonts w:ascii="Times New Roman" w:hAnsi="Times New Roman" w:cs="Times New Roman"/>
          <w:sz w:val="24"/>
          <w:szCs w:val="24"/>
          <w:lang w:val="en-GB" w:eastAsia="en-GB"/>
        </w:rPr>
        <w:t xml:space="preserve">based on the number of employees of a bank to the number of branches. </w:t>
      </w:r>
      <w:r w:rsidR="004D7A5B" w:rsidRPr="00E50F9D">
        <w:rPr>
          <w:rFonts w:ascii="Times New Roman" w:hAnsi="Times New Roman" w:cs="Times New Roman"/>
          <w:sz w:val="24"/>
          <w:szCs w:val="24"/>
          <w:lang w:val="en-GB" w:eastAsia="en-GB"/>
        </w:rPr>
        <w:t>The</w:t>
      </w:r>
      <w:r w:rsidRPr="00E50F9D">
        <w:rPr>
          <w:rFonts w:ascii="Times New Roman" w:hAnsi="Times New Roman" w:cs="Times New Roman"/>
          <w:sz w:val="24"/>
          <w:szCs w:val="24"/>
          <w:lang w:val="en-GB" w:eastAsia="en-GB"/>
        </w:rPr>
        <w:t xml:space="preserve"> dummy variable </w:t>
      </w:r>
      <w:r w:rsidR="00420C2C" w:rsidRPr="00E50F9D">
        <w:rPr>
          <w:rFonts w:ascii="Times New Roman" w:hAnsi="Times New Roman" w:cs="Times New Roman"/>
          <w:sz w:val="24"/>
          <w:szCs w:val="24"/>
          <w:lang w:val="en-GB" w:eastAsia="en-GB"/>
        </w:rPr>
        <w:t>Large_</w:t>
      </w:r>
      <w:r w:rsidRPr="00E50F9D">
        <w:rPr>
          <w:rFonts w:ascii="Times New Roman" w:hAnsi="Times New Roman" w:cs="Times New Roman"/>
          <w:sz w:val="24"/>
          <w:szCs w:val="24"/>
          <w:lang w:val="en-GB" w:eastAsia="en-GB"/>
        </w:rPr>
        <w:t>Branch</w:t>
      </w:r>
      <w:r w:rsidR="004D7A5B" w:rsidRPr="00E50F9D">
        <w:rPr>
          <w:rFonts w:ascii="Times New Roman" w:hAnsi="Times New Roman" w:cs="Times New Roman"/>
          <w:sz w:val="24"/>
          <w:szCs w:val="24"/>
          <w:lang w:val="en-GB" w:eastAsia="en-GB"/>
        </w:rPr>
        <w:t xml:space="preserve"> is</w:t>
      </w:r>
      <w:r w:rsidR="00F73AEA" w:rsidRPr="00E50F9D">
        <w:rPr>
          <w:rFonts w:ascii="Times New Roman" w:hAnsi="Times New Roman" w:cs="Times New Roman"/>
          <w:sz w:val="24"/>
          <w:szCs w:val="24"/>
          <w:lang w:val="en-GB" w:eastAsia="en-GB"/>
        </w:rPr>
        <w:t xml:space="preserve"> </w:t>
      </w:r>
      <w:r w:rsidR="004D7A5B" w:rsidRPr="00E50F9D">
        <w:rPr>
          <w:rFonts w:ascii="Times New Roman" w:hAnsi="Times New Roman" w:cs="Times New Roman"/>
          <w:sz w:val="24"/>
          <w:szCs w:val="24"/>
          <w:lang w:val="en-GB" w:eastAsia="en-GB"/>
        </w:rPr>
        <w:t>calculate</w:t>
      </w:r>
      <w:r w:rsidR="00F73AEA" w:rsidRPr="00E50F9D">
        <w:rPr>
          <w:rFonts w:ascii="Times New Roman" w:hAnsi="Times New Roman" w:cs="Times New Roman"/>
          <w:sz w:val="24"/>
          <w:szCs w:val="24"/>
          <w:lang w:val="en-GB" w:eastAsia="en-GB"/>
        </w:rPr>
        <w:t xml:space="preserve">d as </w:t>
      </w:r>
      <w:r w:rsidRPr="00E50F9D">
        <w:rPr>
          <w:rFonts w:ascii="Times New Roman" w:hAnsi="Times New Roman" w:cs="Times New Roman"/>
          <w:sz w:val="24"/>
          <w:szCs w:val="24"/>
          <w:lang w:val="en-GB" w:eastAsia="en-GB"/>
        </w:rPr>
        <w:t>equal to 1 if the labour/branch ratio of each bank is higher than those at the county level calculated for all the banks for each year.</w:t>
      </w:r>
      <w:r w:rsidR="00A0640A" w:rsidRPr="00E50F9D">
        <w:rPr>
          <w:rStyle w:val="EndnoteReference"/>
          <w:rFonts w:ascii="Times New Roman" w:hAnsi="Times New Roman" w:cs="Times New Roman"/>
          <w:sz w:val="24"/>
          <w:szCs w:val="24"/>
          <w:lang w:val="en-GB" w:eastAsia="en-GB"/>
        </w:rPr>
        <w:endnoteReference w:id="8"/>
      </w:r>
      <w:r w:rsidRPr="00E50F9D">
        <w:rPr>
          <w:rFonts w:ascii="Times New Roman" w:hAnsi="Times New Roman" w:cs="Times New Roman"/>
          <w:sz w:val="24"/>
          <w:szCs w:val="24"/>
          <w:lang w:val="en-GB" w:eastAsia="en-GB"/>
        </w:rPr>
        <w:t xml:space="preserve"> </w:t>
      </w:r>
      <w:r w:rsidR="00420C2C" w:rsidRPr="00E50F9D">
        <w:rPr>
          <w:rFonts w:ascii="Times New Roman" w:hAnsi="Times New Roman" w:cs="Times New Roman"/>
          <w:sz w:val="24"/>
          <w:szCs w:val="24"/>
          <w:lang w:val="en-GB" w:eastAsia="en-GB"/>
        </w:rPr>
        <w:t>A</w:t>
      </w:r>
      <w:r w:rsidRPr="00E50F9D">
        <w:rPr>
          <w:rFonts w:ascii="Times New Roman" w:hAnsi="Times New Roman" w:cs="Times New Roman"/>
          <w:sz w:val="24"/>
          <w:szCs w:val="24"/>
          <w:lang w:val="en-GB" w:eastAsia="en-GB"/>
        </w:rPr>
        <w:t xml:space="preserve"> further specification of Model 1 consists of analysing the impact of geographical diversification strategies of cooperative and saving banks on performance and adjusted Lerner Index. Both cooperative and saving banks have usually a geographical focus as they get their competitiveness from a tight relationship lending with local business. By expanding geographically, they can lose their competitive advantages of being a local lender who collects soft information compared to larger counterparts who might not have access to the same degree of local information. This analysis allows us to measure the benefit or cost to move from a geographical focus to a more diversified focus.</w:t>
      </w:r>
    </w:p>
    <w:p w14:paraId="6A2DF9B5" w14:textId="45A010E5" w:rsidR="00852367" w:rsidRPr="00E50F9D" w:rsidRDefault="007D25F2" w:rsidP="00B863AE">
      <w:pPr>
        <w:spacing w:after="0" w:line="480" w:lineRule="auto"/>
        <w:ind w:firstLine="567"/>
        <w:jc w:val="both"/>
        <w:rPr>
          <w:rFonts w:ascii="Times New Roman" w:hAnsi="Times New Roman" w:cs="Times New Roman"/>
          <w:sz w:val="24"/>
          <w:szCs w:val="24"/>
          <w:lang w:val="en-GB" w:eastAsia="en-GB"/>
        </w:rPr>
      </w:pPr>
      <w:r w:rsidRPr="00E50F9D">
        <w:rPr>
          <w:rFonts w:ascii="Times New Roman" w:hAnsi="Times New Roman" w:cs="Times New Roman"/>
          <w:sz w:val="24"/>
          <w:szCs w:val="24"/>
          <w:lang w:val="en-GB" w:eastAsia="en-GB"/>
        </w:rPr>
        <w:t xml:space="preserve">Finally, </w:t>
      </w:r>
      <w:r w:rsidR="00523893" w:rsidRPr="00E50F9D">
        <w:rPr>
          <w:rFonts w:ascii="Times New Roman" w:hAnsi="Times New Roman" w:cs="Times New Roman"/>
          <w:sz w:val="24"/>
          <w:szCs w:val="24"/>
          <w:lang w:val="en-GB" w:eastAsia="en-GB"/>
        </w:rPr>
        <w:t xml:space="preserve">our second Model (equation </w:t>
      </w:r>
      <w:r w:rsidR="00852367" w:rsidRPr="00E50F9D">
        <w:rPr>
          <w:rFonts w:ascii="Times New Roman" w:hAnsi="Times New Roman" w:cs="Times New Roman"/>
          <w:sz w:val="24"/>
          <w:szCs w:val="24"/>
          <w:lang w:val="en-GB" w:eastAsia="en-GB"/>
        </w:rPr>
        <w:t>3) test</w:t>
      </w:r>
      <w:r w:rsidR="00EA2D5F" w:rsidRPr="00E50F9D">
        <w:rPr>
          <w:rFonts w:ascii="Times New Roman" w:hAnsi="Times New Roman" w:cs="Times New Roman"/>
          <w:sz w:val="24"/>
          <w:szCs w:val="24"/>
          <w:lang w:val="en-GB" w:eastAsia="en-GB"/>
        </w:rPr>
        <w:t>s</w:t>
      </w:r>
      <w:r w:rsidR="00852367" w:rsidRPr="00E50F9D">
        <w:rPr>
          <w:rFonts w:ascii="Times New Roman" w:hAnsi="Times New Roman" w:cs="Times New Roman"/>
          <w:sz w:val="24"/>
          <w:szCs w:val="24"/>
          <w:lang w:val="en-GB" w:eastAsia="en-GB"/>
        </w:rPr>
        <w:t xml:space="preserve"> whether the changes in the local market features </w:t>
      </w:r>
      <w:r w:rsidR="005A71A9" w:rsidRPr="00E50F9D">
        <w:rPr>
          <w:rFonts w:ascii="Times New Roman" w:hAnsi="Times New Roman" w:cs="Times New Roman"/>
          <w:sz w:val="24"/>
          <w:szCs w:val="24"/>
          <w:lang w:val="en-GB" w:eastAsia="en-GB"/>
        </w:rPr>
        <w:t>and the increase of the market coverage</w:t>
      </w:r>
      <w:r w:rsidR="00852367" w:rsidRPr="00E50F9D">
        <w:rPr>
          <w:rFonts w:ascii="Times New Roman" w:hAnsi="Times New Roman" w:cs="Times New Roman"/>
          <w:sz w:val="24"/>
          <w:szCs w:val="24"/>
          <w:lang w:val="en-GB" w:eastAsia="en-GB"/>
        </w:rPr>
        <w:t xml:space="preserve"> of medium</w:t>
      </w:r>
      <w:r w:rsidR="00E61395" w:rsidRPr="00E50F9D">
        <w:rPr>
          <w:rFonts w:ascii="Times New Roman" w:hAnsi="Times New Roman" w:cs="Times New Roman"/>
          <w:sz w:val="24"/>
          <w:szCs w:val="24"/>
          <w:lang w:val="en-GB" w:eastAsia="en-GB"/>
        </w:rPr>
        <w:t xml:space="preserve"> and larg</w:t>
      </w:r>
      <w:r w:rsidR="00BE7CB5" w:rsidRPr="00E50F9D">
        <w:rPr>
          <w:rFonts w:ascii="Times New Roman" w:hAnsi="Times New Roman" w:cs="Times New Roman"/>
          <w:sz w:val="24"/>
          <w:szCs w:val="24"/>
          <w:lang w:val="en-GB" w:eastAsia="en-GB"/>
        </w:rPr>
        <w:t>e</w:t>
      </w:r>
      <w:r w:rsidR="00852367" w:rsidRPr="00E50F9D">
        <w:rPr>
          <w:rFonts w:ascii="Times New Roman" w:hAnsi="Times New Roman" w:cs="Times New Roman"/>
          <w:sz w:val="24"/>
          <w:szCs w:val="24"/>
          <w:lang w:val="en-GB" w:eastAsia="en-GB"/>
        </w:rPr>
        <w:t xml:space="preserve"> banks in each </w:t>
      </w:r>
      <w:r w:rsidR="005A71A9" w:rsidRPr="00E50F9D">
        <w:rPr>
          <w:rFonts w:ascii="Times New Roman" w:hAnsi="Times New Roman" w:cs="Times New Roman"/>
          <w:sz w:val="24"/>
          <w:szCs w:val="24"/>
          <w:lang w:val="en-GB" w:eastAsia="en-GB"/>
        </w:rPr>
        <w:t>province affects the performance, amount of loans and deposits</w:t>
      </w:r>
      <w:r w:rsidR="00B1166D" w:rsidRPr="00E50F9D">
        <w:rPr>
          <w:rFonts w:ascii="Times New Roman" w:hAnsi="Times New Roman" w:cs="Times New Roman"/>
          <w:sz w:val="24"/>
          <w:szCs w:val="24"/>
          <w:lang w:val="en-GB" w:eastAsia="en-GB"/>
        </w:rPr>
        <w:t>, and Lerner Index for loans and deposits</w:t>
      </w:r>
      <w:r w:rsidR="005A71A9" w:rsidRPr="00E50F9D">
        <w:rPr>
          <w:rFonts w:ascii="Times New Roman" w:hAnsi="Times New Roman" w:cs="Times New Roman"/>
          <w:sz w:val="24"/>
          <w:szCs w:val="24"/>
          <w:lang w:val="en-GB" w:eastAsia="en-GB"/>
        </w:rPr>
        <w:t xml:space="preserve"> </w:t>
      </w:r>
      <w:r w:rsidR="00852367" w:rsidRPr="00E50F9D">
        <w:rPr>
          <w:rFonts w:ascii="Times New Roman" w:hAnsi="Times New Roman" w:cs="Times New Roman"/>
          <w:sz w:val="24"/>
          <w:szCs w:val="24"/>
          <w:lang w:val="en-GB" w:eastAsia="en-GB"/>
        </w:rPr>
        <w:t xml:space="preserve">of </w:t>
      </w:r>
      <w:r w:rsidR="00123DAE" w:rsidRPr="00E50F9D">
        <w:rPr>
          <w:rFonts w:ascii="Times New Roman" w:hAnsi="Times New Roman" w:cs="Times New Roman"/>
          <w:sz w:val="24"/>
          <w:szCs w:val="24"/>
          <w:lang w:val="en-GB" w:eastAsia="en-GB"/>
        </w:rPr>
        <w:t>small and local</w:t>
      </w:r>
      <w:r w:rsidR="00852367" w:rsidRPr="00E50F9D">
        <w:rPr>
          <w:rFonts w:ascii="Times New Roman" w:hAnsi="Times New Roman" w:cs="Times New Roman"/>
          <w:sz w:val="24"/>
          <w:szCs w:val="24"/>
          <w:lang w:val="en-GB" w:eastAsia="en-GB"/>
        </w:rPr>
        <w:t xml:space="preserve"> banks</w:t>
      </w:r>
      <w:r w:rsidR="0023707C" w:rsidRPr="00E50F9D">
        <w:rPr>
          <w:rFonts w:ascii="Times New Roman" w:hAnsi="Times New Roman" w:cs="Times New Roman"/>
          <w:sz w:val="24"/>
          <w:szCs w:val="24"/>
          <w:lang w:val="en-GB" w:eastAsia="en-GB"/>
        </w:rPr>
        <w:t xml:space="preserve"> (</w:t>
      </w:r>
      <w:r w:rsidR="00FF3EC8" w:rsidRPr="00E50F9D">
        <w:rPr>
          <w:rFonts w:ascii="Times New Roman" w:hAnsi="Times New Roman" w:cs="Times New Roman"/>
          <w:sz w:val="24"/>
          <w:szCs w:val="24"/>
          <w:lang w:val="en-GB" w:eastAsia="en-GB"/>
        </w:rPr>
        <w:t>which</w:t>
      </w:r>
      <w:r w:rsidR="0023707C" w:rsidRPr="00E50F9D">
        <w:rPr>
          <w:rFonts w:ascii="Times New Roman" w:hAnsi="Times New Roman" w:cs="Times New Roman"/>
          <w:sz w:val="24"/>
          <w:szCs w:val="24"/>
          <w:lang w:val="en-GB" w:eastAsia="en-GB"/>
        </w:rPr>
        <w:t xml:space="preserve"> are </w:t>
      </w:r>
      <w:r w:rsidR="005344FA" w:rsidRPr="00E50F9D">
        <w:rPr>
          <w:rFonts w:ascii="Times New Roman" w:hAnsi="Times New Roman" w:cs="Times New Roman"/>
          <w:sz w:val="24"/>
          <w:szCs w:val="24"/>
          <w:lang w:val="en-GB" w:eastAsia="en-GB"/>
        </w:rPr>
        <w:t>cooperative and saving</w:t>
      </w:r>
      <w:r w:rsidR="0023707C" w:rsidRPr="00E50F9D">
        <w:rPr>
          <w:rFonts w:ascii="Times New Roman" w:hAnsi="Times New Roman" w:cs="Times New Roman"/>
          <w:sz w:val="24"/>
          <w:szCs w:val="24"/>
          <w:lang w:val="en-GB" w:eastAsia="en-GB"/>
        </w:rPr>
        <w:t xml:space="preserve"> banks that operate solely in one market)</w:t>
      </w:r>
      <w:r w:rsidR="00891F3C" w:rsidRPr="00E50F9D">
        <w:rPr>
          <w:rFonts w:ascii="Times New Roman" w:hAnsi="Times New Roman" w:cs="Times New Roman"/>
          <w:sz w:val="24"/>
          <w:szCs w:val="24"/>
          <w:lang w:val="en-GB" w:eastAsia="en-GB"/>
        </w:rPr>
        <w:t>.</w:t>
      </w:r>
      <w:r w:rsidR="00123DAE" w:rsidRPr="00E50F9D">
        <w:rPr>
          <w:rFonts w:ascii="Times New Roman" w:hAnsi="Times New Roman" w:cs="Times New Roman"/>
          <w:sz w:val="24"/>
          <w:szCs w:val="24"/>
          <w:lang w:val="en-GB" w:eastAsia="en-GB"/>
        </w:rPr>
        <w:t xml:space="preserve"> Following Coccorese (2009) and Hannan and Prager (2009) we restrict our analysis to single-market banks. </w:t>
      </w:r>
      <w:r w:rsidR="00566934" w:rsidRPr="00E50F9D">
        <w:rPr>
          <w:rFonts w:ascii="Times New Roman" w:hAnsi="Times New Roman" w:cs="Times New Roman"/>
          <w:sz w:val="24"/>
          <w:szCs w:val="24"/>
          <w:lang w:val="en-GB" w:eastAsia="en-GB"/>
        </w:rPr>
        <w:t xml:space="preserve"> </w:t>
      </w:r>
      <w:r w:rsidR="00852367" w:rsidRPr="00E50F9D">
        <w:rPr>
          <w:rFonts w:ascii="Times New Roman" w:hAnsi="Times New Roman" w:cs="Times New Roman"/>
          <w:sz w:val="24"/>
          <w:szCs w:val="24"/>
          <w:lang w:val="en-GB" w:eastAsia="en-GB"/>
        </w:rPr>
        <w:t xml:space="preserve">Our model is </w:t>
      </w:r>
      <w:r w:rsidR="00454F26" w:rsidRPr="00E50F9D">
        <w:rPr>
          <w:rFonts w:ascii="Times New Roman" w:hAnsi="Times New Roman" w:cs="Times New Roman"/>
          <w:sz w:val="24"/>
          <w:szCs w:val="24"/>
          <w:lang w:val="en-GB" w:eastAsia="en-GB"/>
        </w:rPr>
        <w:t>as</w:t>
      </w:r>
      <w:r w:rsidR="00852367" w:rsidRPr="00E50F9D">
        <w:rPr>
          <w:rFonts w:ascii="Times New Roman" w:hAnsi="Times New Roman" w:cs="Times New Roman"/>
          <w:sz w:val="24"/>
          <w:szCs w:val="24"/>
          <w:lang w:val="en-GB" w:eastAsia="en-GB"/>
        </w:rPr>
        <w:t xml:space="preserve"> follow</w:t>
      </w:r>
      <w:r w:rsidR="00454F26" w:rsidRPr="00E50F9D">
        <w:rPr>
          <w:rFonts w:ascii="Times New Roman" w:hAnsi="Times New Roman" w:cs="Times New Roman"/>
          <w:sz w:val="24"/>
          <w:szCs w:val="24"/>
          <w:lang w:val="en-GB" w:eastAsia="en-GB"/>
        </w:rPr>
        <w:t>s</w:t>
      </w:r>
      <w:r w:rsidR="00852367" w:rsidRPr="00E50F9D">
        <w:rPr>
          <w:rFonts w:ascii="Times New Roman" w:hAnsi="Times New Roman" w:cs="Times New Roman"/>
          <w:sz w:val="24"/>
          <w:szCs w:val="24"/>
          <w:lang w:val="en-GB" w:eastAsia="en-GB"/>
        </w:rPr>
        <w:t>:</w:t>
      </w:r>
    </w:p>
    <w:p w14:paraId="00D17364" w14:textId="77777777" w:rsidR="00FB0076" w:rsidRPr="00E50F9D" w:rsidRDefault="00FB0076" w:rsidP="00471BB5">
      <w:pPr>
        <w:spacing w:after="0" w:line="480" w:lineRule="auto"/>
        <w:ind w:firstLine="567"/>
        <w:jc w:val="both"/>
        <w:rPr>
          <w:rFonts w:ascii="Times New Roman" w:hAnsi="Times New Roman" w:cs="Times New Roman"/>
          <w:sz w:val="24"/>
          <w:szCs w:val="24"/>
          <w:lang w:val="en-GB" w:eastAsia="en-GB"/>
        </w:rPr>
      </w:pPr>
    </w:p>
    <w:p w14:paraId="7E44869C" w14:textId="68B16337" w:rsidR="0003750D" w:rsidRPr="00E50F9D" w:rsidRDefault="00123DAE" w:rsidP="00471BB5">
      <w:pPr>
        <w:spacing w:after="0" w:line="480" w:lineRule="auto"/>
        <w:rPr>
          <w:rFonts w:asciiTheme="majorBidi" w:hAnsiTheme="majorBidi" w:cstheme="majorBidi"/>
          <w:i/>
          <w:iCs/>
          <w:sz w:val="24"/>
          <w:szCs w:val="24"/>
          <w:lang w:val="en-GB"/>
        </w:rPr>
      </w:pPr>
      <w:r w:rsidRPr="00E50F9D">
        <w:rPr>
          <w:position w:val="-30"/>
        </w:rPr>
        <w:object w:dxaOrig="8240" w:dyaOrig="720" w14:anchorId="6FABEE05">
          <v:shape id="_x0000_i1027" type="#_x0000_t75" style="width:414.65pt;height:35.35pt" o:ole="">
            <v:imagedata r:id="rId12" o:title=""/>
          </v:shape>
          <o:OLEObject Type="Embed" ProgID="Equation.3" ShapeID="_x0000_i1027" DrawAspect="Content" ObjectID="_1550050061" r:id="rId13"/>
        </w:object>
      </w:r>
      <w:r w:rsidR="00852367" w:rsidRPr="00E50F9D">
        <w:rPr>
          <w:lang w:val="en-GB"/>
        </w:rPr>
        <w:t xml:space="preserve">    </w:t>
      </w:r>
      <w:r w:rsidR="00D5002D" w:rsidRPr="00E50F9D">
        <w:rPr>
          <w:rFonts w:asciiTheme="majorBidi" w:hAnsiTheme="majorBidi" w:cstheme="majorBidi"/>
          <w:sz w:val="24"/>
          <w:szCs w:val="24"/>
          <w:lang w:val="en-GB"/>
        </w:rPr>
        <w:t xml:space="preserve">                                    </w:t>
      </w:r>
      <w:r w:rsidR="00CC61FF" w:rsidRPr="00E50F9D">
        <w:rPr>
          <w:rFonts w:asciiTheme="majorBidi" w:hAnsiTheme="majorBidi" w:cstheme="majorBidi"/>
          <w:i/>
          <w:iCs/>
          <w:sz w:val="24"/>
          <w:szCs w:val="24"/>
          <w:lang w:val="en-GB"/>
        </w:rPr>
        <w:t>(</w:t>
      </w:r>
      <w:r w:rsidR="00852367" w:rsidRPr="00E50F9D">
        <w:rPr>
          <w:rFonts w:asciiTheme="majorBidi" w:hAnsiTheme="majorBidi" w:cstheme="majorBidi"/>
          <w:i/>
          <w:iCs/>
          <w:sz w:val="24"/>
          <w:szCs w:val="24"/>
          <w:lang w:val="en-GB"/>
        </w:rPr>
        <w:t>3)</w:t>
      </w:r>
    </w:p>
    <w:p w14:paraId="54A46BAA" w14:textId="77777777" w:rsidR="00A0576D" w:rsidRPr="00E50F9D" w:rsidRDefault="00A0576D" w:rsidP="00454F26">
      <w:pPr>
        <w:spacing w:after="0" w:line="480" w:lineRule="auto"/>
        <w:jc w:val="both"/>
        <w:rPr>
          <w:rFonts w:asciiTheme="majorBidi" w:hAnsiTheme="majorBidi" w:cstheme="majorBidi"/>
          <w:sz w:val="24"/>
          <w:szCs w:val="24"/>
          <w:lang w:val="en-US"/>
        </w:rPr>
      </w:pPr>
    </w:p>
    <w:p w14:paraId="13073D2A" w14:textId="2C8CC0C5" w:rsidR="00852367" w:rsidRPr="00E50F9D" w:rsidRDefault="00A0576D" w:rsidP="004D7A5B">
      <w:pPr>
        <w:spacing w:after="0" w:line="480" w:lineRule="auto"/>
        <w:jc w:val="both"/>
        <w:rPr>
          <w:rFonts w:asciiTheme="majorBidi" w:hAnsiTheme="majorBidi" w:cstheme="majorBidi"/>
          <w:sz w:val="24"/>
          <w:szCs w:val="24"/>
          <w:lang w:val="en-US"/>
        </w:rPr>
      </w:pPr>
      <w:r w:rsidRPr="00E50F9D">
        <w:rPr>
          <w:rFonts w:asciiTheme="majorBidi" w:hAnsiTheme="majorBidi" w:cstheme="majorBidi"/>
          <w:sz w:val="24"/>
          <w:szCs w:val="24"/>
          <w:lang w:val="en-US"/>
        </w:rPr>
        <w:t xml:space="preserve">There are six </w:t>
      </w:r>
      <w:r w:rsidR="008E5BD9" w:rsidRPr="00E50F9D">
        <w:rPr>
          <w:rFonts w:asciiTheme="majorBidi" w:hAnsiTheme="majorBidi" w:cstheme="majorBidi"/>
          <w:sz w:val="24"/>
          <w:szCs w:val="24"/>
          <w:lang w:val="en-US"/>
        </w:rPr>
        <w:t xml:space="preserve">DVs </w:t>
      </w:r>
      <w:r w:rsidRPr="00E50F9D">
        <w:rPr>
          <w:rFonts w:asciiTheme="majorBidi" w:hAnsiTheme="majorBidi" w:cstheme="majorBidi"/>
          <w:sz w:val="24"/>
          <w:szCs w:val="24"/>
          <w:lang w:val="en-US"/>
        </w:rPr>
        <w:t>used in separate implementations of the model at (</w:t>
      </w:r>
      <w:r w:rsidR="00BC5322" w:rsidRPr="00E50F9D">
        <w:rPr>
          <w:rFonts w:asciiTheme="majorBidi" w:hAnsiTheme="majorBidi" w:cstheme="majorBidi"/>
          <w:sz w:val="24"/>
          <w:szCs w:val="24"/>
          <w:lang w:val="en-US"/>
        </w:rPr>
        <w:t>3</w:t>
      </w:r>
      <w:r w:rsidRPr="00E50F9D">
        <w:rPr>
          <w:rFonts w:asciiTheme="majorBidi" w:hAnsiTheme="majorBidi" w:cstheme="majorBidi"/>
          <w:sz w:val="24"/>
          <w:szCs w:val="24"/>
          <w:lang w:val="en-US"/>
        </w:rPr>
        <w:t>). These are: (i) return on assets (denoted ROA), (ii) efficiency-adjusted Lerner Index (</w:t>
      </w:r>
      <w:r w:rsidRPr="00E50F9D">
        <w:rPr>
          <w:rFonts w:ascii="Times New Roman" w:hAnsi="Times New Roman" w:cs="Times New Roman"/>
          <w:sz w:val="24"/>
          <w:szCs w:val="24"/>
        </w:rPr>
        <w:t xml:space="preserve">Adj LE); </w:t>
      </w:r>
      <w:r w:rsidRPr="00E50F9D">
        <w:rPr>
          <w:rFonts w:asciiTheme="majorBidi" w:hAnsiTheme="majorBidi" w:cstheme="majorBidi"/>
          <w:sz w:val="24"/>
          <w:szCs w:val="24"/>
          <w:lang w:val="en-US"/>
        </w:rPr>
        <w:t>(iii-iv) Lerner Index for loans and deposits (</w:t>
      </w:r>
      <w:r w:rsidRPr="00E50F9D">
        <w:rPr>
          <w:rFonts w:ascii="Times New Roman" w:hAnsi="Times New Roman" w:cs="Times New Roman"/>
          <w:sz w:val="24"/>
          <w:szCs w:val="24"/>
        </w:rPr>
        <w:t>LE</w:t>
      </w:r>
      <w:r w:rsidRPr="00E50F9D">
        <w:rPr>
          <w:rFonts w:ascii="Times New Roman" w:hAnsi="Times New Roman" w:cs="Times New Roman"/>
          <w:sz w:val="14"/>
          <w:szCs w:val="24"/>
        </w:rPr>
        <w:t xml:space="preserve">L </w:t>
      </w:r>
      <w:r w:rsidRPr="00E50F9D">
        <w:rPr>
          <w:rFonts w:ascii="Times New Roman" w:hAnsi="Times New Roman" w:cs="Times New Roman"/>
          <w:sz w:val="24"/>
          <w:szCs w:val="24"/>
        </w:rPr>
        <w:t>a</w:t>
      </w:r>
      <w:r w:rsidRPr="00E50F9D">
        <w:rPr>
          <w:rFonts w:asciiTheme="majorBidi" w:hAnsiTheme="majorBidi" w:cstheme="majorBidi"/>
          <w:sz w:val="24"/>
          <w:szCs w:val="24"/>
          <w:lang w:val="en-US"/>
        </w:rPr>
        <w:t xml:space="preserve">nd </w:t>
      </w:r>
      <w:r w:rsidRPr="00E50F9D">
        <w:rPr>
          <w:rFonts w:ascii="Times New Roman" w:hAnsi="Times New Roman" w:cs="Times New Roman"/>
          <w:sz w:val="24"/>
          <w:szCs w:val="24"/>
        </w:rPr>
        <w:t>LE</w:t>
      </w:r>
      <w:r w:rsidRPr="00E50F9D">
        <w:rPr>
          <w:rFonts w:ascii="Times New Roman" w:hAnsi="Times New Roman" w:cs="Times New Roman"/>
          <w:sz w:val="14"/>
          <w:szCs w:val="24"/>
        </w:rPr>
        <w:t>D</w:t>
      </w:r>
      <w:r w:rsidRPr="00E50F9D">
        <w:rPr>
          <w:rFonts w:asciiTheme="majorBidi" w:hAnsiTheme="majorBidi" w:cstheme="majorBidi"/>
          <w:sz w:val="24"/>
          <w:szCs w:val="24"/>
          <w:lang w:val="en-US"/>
        </w:rPr>
        <w:t xml:space="preserve">), </w:t>
      </w:r>
      <w:r w:rsidRPr="00E50F9D">
        <w:rPr>
          <w:rFonts w:ascii="Times New Roman" w:hAnsi="Times New Roman" w:cs="Times New Roman"/>
          <w:sz w:val="24"/>
          <w:szCs w:val="24"/>
        </w:rPr>
        <w:t xml:space="preserve">(v) </w:t>
      </w:r>
      <w:r w:rsidR="00BC5322" w:rsidRPr="00E50F9D">
        <w:rPr>
          <w:rFonts w:asciiTheme="majorBidi" w:hAnsiTheme="majorBidi" w:cstheme="majorBidi"/>
          <w:sz w:val="24"/>
          <w:szCs w:val="24"/>
          <w:lang w:val="en-US"/>
        </w:rPr>
        <w:t>loans over total assets (LNTA)</w:t>
      </w:r>
      <w:r w:rsidRPr="00E50F9D">
        <w:rPr>
          <w:rFonts w:asciiTheme="majorBidi" w:hAnsiTheme="majorBidi" w:cstheme="majorBidi"/>
          <w:sz w:val="24"/>
          <w:szCs w:val="24"/>
          <w:lang w:val="en-US"/>
        </w:rPr>
        <w:t xml:space="preserve"> and (vi) </w:t>
      </w:r>
      <w:r w:rsidR="00BC5322" w:rsidRPr="00E50F9D">
        <w:rPr>
          <w:rFonts w:asciiTheme="majorBidi" w:hAnsiTheme="majorBidi" w:cstheme="majorBidi"/>
          <w:sz w:val="24"/>
          <w:szCs w:val="24"/>
          <w:lang w:val="en-US"/>
        </w:rPr>
        <w:t>deposits over total assets (DPTA)</w:t>
      </w:r>
      <w:r w:rsidRPr="00E50F9D">
        <w:rPr>
          <w:rFonts w:asciiTheme="majorBidi" w:hAnsiTheme="majorBidi" w:cstheme="majorBidi"/>
          <w:sz w:val="24"/>
          <w:szCs w:val="24"/>
          <w:lang w:val="en-US"/>
        </w:rPr>
        <w:t xml:space="preserve">. </w:t>
      </w:r>
      <w:r w:rsidR="00454F26" w:rsidRPr="00E50F9D">
        <w:rPr>
          <w:rFonts w:asciiTheme="majorBidi" w:hAnsiTheme="majorBidi" w:cstheme="majorBidi"/>
          <w:sz w:val="24"/>
          <w:szCs w:val="24"/>
          <w:lang w:val="en-US"/>
        </w:rPr>
        <w:t xml:space="preserve"> </w:t>
      </w:r>
      <w:r w:rsidR="00852367" w:rsidRPr="00E50F9D">
        <w:rPr>
          <w:rFonts w:ascii="Times New Roman" w:hAnsi="Times New Roman" w:cs="Times New Roman"/>
          <w:sz w:val="24"/>
          <w:szCs w:val="24"/>
          <w:lang w:val="en-GB" w:eastAsia="en-GB"/>
        </w:rPr>
        <w:t xml:space="preserve">The competitive pressure exerted by the increase of medium and large banks in a local market is calculated as the number of branches owned by medium </w:t>
      </w:r>
      <w:r w:rsidR="002828B7" w:rsidRPr="00E50F9D">
        <w:rPr>
          <w:rFonts w:ascii="Times New Roman" w:hAnsi="Times New Roman" w:cs="Times New Roman"/>
          <w:sz w:val="24"/>
          <w:szCs w:val="24"/>
          <w:lang w:val="en-GB" w:eastAsia="en-GB"/>
        </w:rPr>
        <w:t xml:space="preserve">and large </w:t>
      </w:r>
      <w:r w:rsidR="00852367" w:rsidRPr="00E50F9D">
        <w:rPr>
          <w:rFonts w:ascii="Times New Roman" w:hAnsi="Times New Roman" w:cs="Times New Roman"/>
          <w:sz w:val="24"/>
          <w:szCs w:val="24"/>
          <w:lang w:val="en-GB" w:eastAsia="en-GB"/>
        </w:rPr>
        <w:t>banks divided by the total number of branches in each province at time t (</w:t>
      </w:r>
      <w:r w:rsidR="00454F26" w:rsidRPr="00E50F9D">
        <w:rPr>
          <w:position w:val="-12"/>
        </w:rPr>
        <w:object w:dxaOrig="1640" w:dyaOrig="360" w14:anchorId="31D726A9">
          <v:shape id="_x0000_i1028" type="#_x0000_t75" style="width:81.35pt;height:18.65pt" o:ole="">
            <v:imagedata r:id="rId14" o:title=""/>
          </v:shape>
          <o:OLEObject Type="Embed" ProgID="Equation.3" ShapeID="_x0000_i1028" DrawAspect="Content" ObjectID="_1550050062" r:id="rId15"/>
        </w:object>
      </w:r>
      <w:r w:rsidR="00852367" w:rsidRPr="00E50F9D">
        <w:rPr>
          <w:rFonts w:ascii="Times New Roman" w:hAnsi="Times New Roman" w:cs="Times New Roman"/>
          <w:sz w:val="24"/>
          <w:szCs w:val="24"/>
          <w:lang w:val="en-GB" w:eastAsia="en-GB"/>
        </w:rPr>
        <w:t>)</w:t>
      </w:r>
      <w:r w:rsidR="00843FD0" w:rsidRPr="00E50F9D">
        <w:rPr>
          <w:rFonts w:ascii="Times New Roman" w:hAnsi="Times New Roman" w:cs="Times New Roman"/>
          <w:sz w:val="24"/>
          <w:szCs w:val="24"/>
          <w:lang w:val="en-GB" w:eastAsia="en-GB"/>
        </w:rPr>
        <w:t>.</w:t>
      </w:r>
      <w:r w:rsidR="000B18C0" w:rsidRPr="00E50F9D">
        <w:rPr>
          <w:rStyle w:val="EndnoteReference"/>
          <w:rFonts w:ascii="Times New Roman" w:hAnsi="Times New Roman" w:cs="Times New Roman"/>
          <w:sz w:val="24"/>
          <w:szCs w:val="24"/>
          <w:lang w:val="en-GB" w:eastAsia="en-GB"/>
        </w:rPr>
        <w:endnoteReference w:id="9"/>
      </w:r>
      <w:r w:rsidR="00A8368A" w:rsidRPr="00E50F9D">
        <w:rPr>
          <w:rFonts w:ascii="Times New Roman" w:hAnsi="Times New Roman" w:cs="Times New Roman"/>
          <w:sz w:val="24"/>
          <w:szCs w:val="24"/>
          <w:lang w:val="en-GB" w:eastAsia="en-GB"/>
        </w:rPr>
        <w:t xml:space="preserve"> </w:t>
      </w:r>
      <w:r w:rsidR="004D7A5B" w:rsidRPr="00E50F9D">
        <w:rPr>
          <w:rFonts w:ascii="Times New Roman" w:hAnsi="Times New Roman" w:cs="Times New Roman"/>
          <w:sz w:val="24"/>
          <w:szCs w:val="24"/>
          <w:lang w:val="en-GB" w:eastAsia="en-GB"/>
        </w:rPr>
        <w:t>In line with Park and Pennacchi (2009) and Hannan and Prager (2009), we include the iteration between HHI and MC_LargeB. This means that the effect of HHI on performance, lending and funding strategies can be weakened by the increase of the presence of medium-large banks in the province.</w:t>
      </w:r>
      <w:r w:rsidR="007F1B75" w:rsidRPr="00E50F9D">
        <w:rPr>
          <w:rFonts w:ascii="Times New Roman" w:hAnsi="Times New Roman" w:cs="Times New Roman"/>
          <w:sz w:val="24"/>
          <w:szCs w:val="24"/>
        </w:rPr>
        <w:t xml:space="preserve"> </w:t>
      </w:r>
      <w:r w:rsidR="00461B29" w:rsidRPr="00E50F9D">
        <w:rPr>
          <w:rFonts w:ascii="Times New Roman" w:hAnsi="Times New Roman" w:cs="Times New Roman"/>
          <w:sz w:val="24"/>
          <w:szCs w:val="24"/>
        </w:rPr>
        <w:t>HHI and MC are unweighted</w:t>
      </w:r>
      <w:r w:rsidR="003A3D02" w:rsidRPr="00E50F9D">
        <w:rPr>
          <w:rFonts w:ascii="Times New Roman" w:hAnsi="Times New Roman" w:cs="Times New Roman"/>
          <w:sz w:val="24"/>
          <w:szCs w:val="24"/>
        </w:rPr>
        <w:t xml:space="preserve"> variables</w:t>
      </w:r>
      <w:r w:rsidR="00461B29" w:rsidRPr="00E50F9D">
        <w:rPr>
          <w:rFonts w:ascii="Times New Roman" w:hAnsi="Times New Roman" w:cs="Times New Roman"/>
          <w:sz w:val="24"/>
          <w:szCs w:val="24"/>
        </w:rPr>
        <w:t xml:space="preserve">. </w:t>
      </w:r>
      <w:r w:rsidR="00CA773F" w:rsidRPr="00E50F9D">
        <w:rPr>
          <w:rFonts w:ascii="Times New Roman" w:hAnsi="Times New Roman" w:cs="Times New Roman"/>
          <w:sz w:val="24"/>
          <w:szCs w:val="24"/>
        </w:rPr>
        <w:t>PSizeL is calculated as the total amount of loans offered by the banking system in all the provinces where a bank operates divided by the total amount of loans at the national level.</w:t>
      </w:r>
      <w:r w:rsidR="00420C2C" w:rsidRPr="00E50F9D">
        <w:rPr>
          <w:rFonts w:ascii="Times New Roman" w:hAnsi="Times New Roman" w:cs="Times New Roman"/>
          <w:sz w:val="24"/>
          <w:szCs w:val="24"/>
        </w:rPr>
        <w:t xml:space="preserve"> </w:t>
      </w:r>
      <w:r w:rsidR="004D7A5B" w:rsidRPr="00E50F9D">
        <w:rPr>
          <w:rFonts w:ascii="Times New Roman" w:hAnsi="Times New Roman" w:cs="Times New Roman"/>
          <w:sz w:val="24"/>
          <w:szCs w:val="24"/>
          <w:lang w:val="en-GB" w:eastAsia="en-GB"/>
        </w:rPr>
        <w:t xml:space="preserve">All the other variables are defined in the same manner as those of Model 1. </w:t>
      </w:r>
      <w:r w:rsidR="000064C1" w:rsidRPr="00E50F9D">
        <w:rPr>
          <w:rFonts w:ascii="Times New Roman" w:hAnsi="Times New Roman" w:cs="Times New Roman"/>
          <w:sz w:val="24"/>
          <w:szCs w:val="24"/>
        </w:rPr>
        <w:t>A</w:t>
      </w:r>
      <w:r w:rsidR="000064C1" w:rsidRPr="00E50F9D">
        <w:rPr>
          <w:rFonts w:asciiTheme="majorBidi" w:hAnsiTheme="majorBidi" w:cstheme="majorBidi"/>
          <w:sz w:val="24"/>
          <w:szCs w:val="24"/>
          <w:lang w:val="en-US"/>
        </w:rPr>
        <w:t xml:space="preserve"> panel data model with bank (α) and time dummies (λ) is employed.</w:t>
      </w:r>
    </w:p>
    <w:p w14:paraId="7ACB7CB8" w14:textId="77777777" w:rsidR="004D7A5B" w:rsidRPr="00E50F9D" w:rsidRDefault="004D7A5B" w:rsidP="00CB6470">
      <w:pPr>
        <w:spacing w:after="0" w:line="480" w:lineRule="auto"/>
        <w:ind w:firstLine="567"/>
        <w:jc w:val="both"/>
        <w:rPr>
          <w:rFonts w:ascii="Times New Roman" w:hAnsi="Times New Roman" w:cs="Times New Roman"/>
          <w:sz w:val="24"/>
          <w:szCs w:val="24"/>
          <w:lang w:val="en-GB" w:eastAsia="en-GB"/>
        </w:rPr>
      </w:pPr>
    </w:p>
    <w:p w14:paraId="1933F1D4" w14:textId="1EC1472C" w:rsidR="007A50A5" w:rsidRPr="00E50F9D" w:rsidRDefault="00C82E59" w:rsidP="00C82E59">
      <w:pPr>
        <w:pStyle w:val="Default"/>
        <w:spacing w:line="480" w:lineRule="auto"/>
        <w:jc w:val="both"/>
        <w:rPr>
          <w:rFonts w:ascii="Times New Roman" w:hAnsi="Times New Roman" w:cs="Times New Roman"/>
          <w:b/>
          <w:bCs/>
          <w:lang w:val="en-GB"/>
        </w:rPr>
      </w:pPr>
      <w:r w:rsidRPr="00E50F9D">
        <w:rPr>
          <w:rFonts w:ascii="Times New Roman" w:hAnsi="Times New Roman" w:cs="Times New Roman"/>
          <w:b/>
          <w:bCs/>
          <w:lang w:val="en-GB"/>
        </w:rPr>
        <w:t>3.2</w:t>
      </w:r>
      <w:r w:rsidRPr="00E50F9D">
        <w:rPr>
          <w:rFonts w:ascii="Times New Roman" w:hAnsi="Times New Roman" w:cs="Times New Roman"/>
          <w:b/>
          <w:bCs/>
          <w:lang w:val="en-GB"/>
        </w:rPr>
        <w:tab/>
        <w:t>Endogeneity Issue</w:t>
      </w:r>
    </w:p>
    <w:p w14:paraId="1AF2E806" w14:textId="2F19F3BB" w:rsidR="00C82E59" w:rsidRPr="00E50F9D" w:rsidRDefault="00C82E59" w:rsidP="00C82E59">
      <w:pPr>
        <w:autoSpaceDE w:val="0"/>
        <w:autoSpaceDN w:val="0"/>
        <w:adjustRightInd w:val="0"/>
        <w:spacing w:after="0" w:line="480" w:lineRule="auto"/>
        <w:ind w:firstLine="567"/>
        <w:jc w:val="both"/>
        <w:rPr>
          <w:rFonts w:ascii="Times New Roman" w:hAnsi="Times New Roman"/>
          <w:sz w:val="24"/>
          <w:szCs w:val="24"/>
          <w:lang w:val="en-GB"/>
        </w:rPr>
      </w:pPr>
      <w:r w:rsidRPr="00E50F9D">
        <w:rPr>
          <w:rFonts w:ascii="Times New Roman" w:hAnsi="Times New Roman" w:cs="Times New Roman"/>
          <w:sz w:val="24"/>
          <w:szCs w:val="24"/>
        </w:rPr>
        <w:t>Several recent studies have ignored the issue of endogeneity (see for example Berger and De Young, 2001; Berger et al., 2010; Buch et al. 2013). As Miller (2006) points out, the existence of such an endogeneity issue is uncertain a priori. There is, however, a possible link between the performance of a bank and its decision to diversify</w:t>
      </w:r>
      <w:r w:rsidR="00B948B3" w:rsidRPr="00E50F9D">
        <w:rPr>
          <w:rFonts w:ascii="Times New Roman" w:hAnsi="Times New Roman" w:cs="Times New Roman"/>
          <w:sz w:val="24"/>
          <w:szCs w:val="24"/>
        </w:rPr>
        <w:t>.</w:t>
      </w:r>
      <w:r w:rsidRPr="00E50F9D">
        <w:rPr>
          <w:rFonts w:ascii="Times New Roman" w:hAnsi="Times New Roman" w:cs="Times New Roman"/>
          <w:sz w:val="24"/>
          <w:szCs w:val="24"/>
        </w:rPr>
        <w:t xml:space="preserve"> Either a high or low performance can encourage a bank to expand its branch network. In the case of strong performance, a bank could decide to extend its competitive advantage to new markets or to consolidate its position in the markets where it is already present. Alternatively, in the case of weak performance, a bank could expand its branch network to seek out new profit opportunities. A bank can for example decide to expand geographically because of high profit opportunities within target local markets (Magri et al., 2005), rather than being driven by its performance. By measuring the local market’s competitiveness, it is possible to control for factors that can affect banks’ diversification decisions</w:t>
      </w:r>
      <w:r w:rsidR="008E0999" w:rsidRPr="00E50F9D">
        <w:rPr>
          <w:rFonts w:ascii="Times New Roman" w:hAnsi="Times New Roman" w:cs="Times New Roman"/>
          <w:sz w:val="24"/>
          <w:szCs w:val="24"/>
        </w:rPr>
        <w:t>.</w:t>
      </w:r>
      <w:r w:rsidR="00BD12C3" w:rsidRPr="00E50F9D">
        <w:rPr>
          <w:rFonts w:ascii="Times New Roman" w:hAnsi="Times New Roman" w:cs="Times New Roman"/>
          <w:sz w:val="24"/>
          <w:szCs w:val="24"/>
        </w:rPr>
        <w:t xml:space="preserve"> </w:t>
      </w:r>
      <w:r w:rsidRPr="00E50F9D">
        <w:rPr>
          <w:rFonts w:ascii="Times New Roman" w:hAnsi="Times New Roman" w:cs="Times New Roman"/>
          <w:sz w:val="24"/>
          <w:szCs w:val="24"/>
        </w:rPr>
        <w:t>Market coverage, concentration index and market size address this issue as they</w:t>
      </w:r>
      <w:r w:rsidR="00BD12C3" w:rsidRPr="00E50F9D">
        <w:rPr>
          <w:rFonts w:ascii="Times New Roman" w:hAnsi="Times New Roman" w:cs="Times New Roman"/>
          <w:sz w:val="24"/>
          <w:szCs w:val="24"/>
        </w:rPr>
        <w:t xml:space="preserve"> </w:t>
      </w:r>
      <w:r w:rsidRPr="00E50F9D">
        <w:rPr>
          <w:rFonts w:ascii="Times New Roman" w:hAnsi="Times New Roman" w:cs="Times New Roman"/>
          <w:sz w:val="24"/>
          <w:szCs w:val="24"/>
        </w:rPr>
        <w:t xml:space="preserve">measure the underlying competitive structure of the markets where a bank operates. As </w:t>
      </w:r>
      <w:r w:rsidR="00AB2C58" w:rsidRPr="00E50F9D">
        <w:rPr>
          <w:rFonts w:ascii="Times New Roman" w:hAnsi="Times New Roman" w:cs="Times New Roman"/>
          <w:sz w:val="24"/>
          <w:szCs w:val="24"/>
        </w:rPr>
        <w:t>also</w:t>
      </w:r>
      <w:r w:rsidRPr="00E50F9D">
        <w:rPr>
          <w:rFonts w:ascii="Times New Roman" w:hAnsi="Times New Roman" w:cs="Times New Roman"/>
          <w:sz w:val="24"/>
          <w:szCs w:val="24"/>
        </w:rPr>
        <w:t xml:space="preserve"> </w:t>
      </w:r>
      <w:r w:rsidR="00AB2C58" w:rsidRPr="00E50F9D">
        <w:rPr>
          <w:rFonts w:ascii="Times New Roman" w:hAnsi="Times New Roman" w:cs="Times New Roman"/>
          <w:sz w:val="24"/>
          <w:szCs w:val="24"/>
        </w:rPr>
        <w:t xml:space="preserve">highlighted by </w:t>
      </w:r>
      <w:r w:rsidRPr="00E50F9D">
        <w:rPr>
          <w:rFonts w:ascii="Times New Roman" w:hAnsi="Times New Roman" w:cs="Times New Roman"/>
          <w:sz w:val="24"/>
          <w:szCs w:val="24"/>
        </w:rPr>
        <w:t xml:space="preserve">Miller (2006), there could be a selection bias if only diversified firms are included in the analysis. By </w:t>
      </w:r>
      <w:r w:rsidR="00647A3C" w:rsidRPr="00E50F9D">
        <w:rPr>
          <w:rFonts w:ascii="Times New Roman" w:hAnsi="Times New Roman" w:cs="Times New Roman"/>
          <w:sz w:val="24"/>
          <w:szCs w:val="24"/>
        </w:rPr>
        <w:t xml:space="preserve">also </w:t>
      </w:r>
      <w:r w:rsidRPr="00E50F9D">
        <w:rPr>
          <w:rFonts w:ascii="Times New Roman" w:hAnsi="Times New Roman" w:cs="Times New Roman"/>
          <w:sz w:val="24"/>
          <w:szCs w:val="24"/>
        </w:rPr>
        <w:t>examining undiversified banks (local banks) this issue is addressed.</w:t>
      </w:r>
    </w:p>
    <w:p w14:paraId="73BBE0C1" w14:textId="7869082E" w:rsidR="00C82E59" w:rsidRPr="00E50F9D" w:rsidRDefault="00C82E59" w:rsidP="00C82E59">
      <w:pPr>
        <w:autoSpaceDE w:val="0"/>
        <w:autoSpaceDN w:val="0"/>
        <w:adjustRightInd w:val="0"/>
        <w:spacing w:after="0" w:line="480" w:lineRule="auto"/>
        <w:ind w:firstLine="567"/>
        <w:jc w:val="both"/>
        <w:rPr>
          <w:rFonts w:ascii="Times New Roman" w:hAnsi="Times New Roman" w:cs="Times New Roman"/>
          <w:sz w:val="24"/>
          <w:szCs w:val="24"/>
        </w:rPr>
      </w:pPr>
      <w:r w:rsidRPr="00E50F9D">
        <w:rPr>
          <w:rFonts w:ascii="Times New Roman" w:hAnsi="Times New Roman" w:cs="Times New Roman"/>
          <w:sz w:val="24"/>
          <w:szCs w:val="24"/>
        </w:rPr>
        <w:t xml:space="preserve">The problem of endogeneity can be more relevant when we consider the performance or the adjusted Lerner Index as a dependent variable in our </w:t>
      </w:r>
      <w:r w:rsidR="008E0999" w:rsidRPr="00E50F9D">
        <w:rPr>
          <w:rFonts w:ascii="Times New Roman" w:hAnsi="Times New Roman" w:cs="Times New Roman"/>
          <w:sz w:val="24"/>
          <w:szCs w:val="24"/>
        </w:rPr>
        <w:t>Model</w:t>
      </w:r>
      <w:r w:rsidRPr="00E50F9D">
        <w:rPr>
          <w:rFonts w:ascii="Times New Roman" w:hAnsi="Times New Roman" w:cs="Times New Roman"/>
          <w:sz w:val="24"/>
          <w:szCs w:val="24"/>
        </w:rPr>
        <w:t xml:space="preserve"> 1. These are measures of overall performance based on what managers can consider to be diversification opportunities. Both these measures take into account operational and administrative costs based on which a manager can decide to expand a bank’s branch network. Opening branches increases a bank’s organizational costs</w:t>
      </w:r>
      <w:r w:rsidR="00647A3C" w:rsidRPr="00E50F9D">
        <w:rPr>
          <w:rFonts w:ascii="Times New Roman" w:hAnsi="Times New Roman" w:cs="Times New Roman"/>
          <w:sz w:val="24"/>
          <w:szCs w:val="24"/>
        </w:rPr>
        <w:t xml:space="preserve"> considerably</w:t>
      </w:r>
      <w:r w:rsidRPr="00E50F9D">
        <w:rPr>
          <w:rFonts w:ascii="Times New Roman" w:hAnsi="Times New Roman" w:cs="Times New Roman"/>
          <w:sz w:val="24"/>
          <w:szCs w:val="24"/>
        </w:rPr>
        <w:t xml:space="preserve"> </w:t>
      </w:r>
      <w:r w:rsidRPr="00E50F9D">
        <w:rPr>
          <w:rFonts w:asciiTheme="majorBidi" w:hAnsiTheme="majorBidi" w:cstheme="majorBidi"/>
          <w:sz w:val="24"/>
          <w:szCs w:val="24"/>
          <w:lang w:val="en-US"/>
        </w:rPr>
        <w:t>(Berger and DeYoung, 2006</w:t>
      </w:r>
      <w:r w:rsidR="004D7A5B" w:rsidRPr="00E50F9D">
        <w:rPr>
          <w:rFonts w:asciiTheme="majorBidi" w:hAnsiTheme="majorBidi" w:cstheme="majorBidi"/>
          <w:sz w:val="24"/>
          <w:szCs w:val="24"/>
          <w:lang w:val="en-US"/>
        </w:rPr>
        <w:t>)</w:t>
      </w:r>
      <w:r w:rsidRPr="00E50F9D">
        <w:rPr>
          <w:rFonts w:ascii="Times New Roman" w:hAnsi="Times New Roman" w:cs="Times New Roman"/>
          <w:sz w:val="24"/>
          <w:szCs w:val="24"/>
        </w:rPr>
        <w:t>. Therefore, past and expected high performance or/and market power mean more sources to cover such additional costs. In this context, banks are more likely to be able to pursue a diversification strategy.</w:t>
      </w:r>
    </w:p>
    <w:p w14:paraId="09AA3D42" w14:textId="6250B234" w:rsidR="00C82E59" w:rsidRPr="00E50F9D" w:rsidRDefault="00C82E59" w:rsidP="00C82E59">
      <w:pPr>
        <w:autoSpaceDE w:val="0"/>
        <w:autoSpaceDN w:val="0"/>
        <w:adjustRightInd w:val="0"/>
        <w:spacing w:after="0" w:line="480" w:lineRule="auto"/>
        <w:ind w:firstLine="567"/>
        <w:jc w:val="both"/>
        <w:rPr>
          <w:rFonts w:asciiTheme="majorBidi" w:hAnsiTheme="majorBidi" w:cstheme="majorBidi"/>
          <w:color w:val="000000"/>
          <w:sz w:val="24"/>
          <w:szCs w:val="24"/>
          <w:lang w:val="en-US"/>
        </w:rPr>
      </w:pPr>
      <w:r w:rsidRPr="00E50F9D">
        <w:rPr>
          <w:rFonts w:ascii="Times New Roman" w:hAnsi="Times New Roman" w:cs="Times New Roman"/>
          <w:sz w:val="24"/>
          <w:szCs w:val="24"/>
        </w:rPr>
        <w:t xml:space="preserve">Bank fixed effects </w:t>
      </w:r>
      <w:r w:rsidR="00BD12C3" w:rsidRPr="00E50F9D">
        <w:rPr>
          <w:rFonts w:ascii="Times New Roman" w:hAnsi="Times New Roman" w:cs="Times New Roman"/>
          <w:sz w:val="24"/>
          <w:szCs w:val="24"/>
        </w:rPr>
        <w:t xml:space="preserve">allow the detection of </w:t>
      </w:r>
      <w:r w:rsidRPr="00E50F9D">
        <w:rPr>
          <w:rFonts w:ascii="Times New Roman" w:hAnsi="Times New Roman" w:cs="Times New Roman"/>
          <w:sz w:val="24"/>
          <w:szCs w:val="24"/>
        </w:rPr>
        <w:t>time-invariant factors such as culture. We also empirically test the potential endogeneity issues between diversification and performance in Section 5.2. Section 3.</w:t>
      </w:r>
      <w:r w:rsidR="00BA0F2C" w:rsidRPr="00E50F9D">
        <w:rPr>
          <w:rFonts w:ascii="Times New Roman" w:hAnsi="Times New Roman" w:cs="Times New Roman"/>
          <w:sz w:val="24"/>
          <w:szCs w:val="24"/>
        </w:rPr>
        <w:t>3</w:t>
      </w:r>
      <w:r w:rsidRPr="00E50F9D">
        <w:rPr>
          <w:rFonts w:ascii="Times New Roman" w:hAnsi="Times New Roman" w:cs="Times New Roman"/>
          <w:sz w:val="24"/>
          <w:szCs w:val="24"/>
        </w:rPr>
        <w:t xml:space="preserve"> then discusses the </w:t>
      </w:r>
      <w:r w:rsidRPr="00E50F9D">
        <w:rPr>
          <w:rFonts w:asciiTheme="majorBidi" w:hAnsiTheme="majorBidi" w:cstheme="majorBidi"/>
          <w:color w:val="000000"/>
          <w:sz w:val="24"/>
          <w:szCs w:val="24"/>
          <w:lang w:val="en-US"/>
        </w:rPr>
        <w:t>instrumental variable panel quantile estimation to verify the robustness of our results.</w:t>
      </w:r>
    </w:p>
    <w:p w14:paraId="6E67B0B4" w14:textId="44049A23" w:rsidR="004A2E8F" w:rsidRPr="00E50F9D" w:rsidRDefault="004A2E8F">
      <w:pPr>
        <w:rPr>
          <w:rFonts w:ascii="Times New Roman" w:hAnsi="Times New Roman" w:cs="Times New Roman"/>
          <w:b/>
          <w:bCs/>
          <w:sz w:val="24"/>
          <w:szCs w:val="24"/>
          <w:lang w:val="en-GB"/>
        </w:rPr>
      </w:pPr>
      <w:r w:rsidRPr="00E50F9D">
        <w:rPr>
          <w:rFonts w:ascii="Times New Roman" w:hAnsi="Times New Roman" w:cs="Times New Roman"/>
          <w:b/>
          <w:bCs/>
          <w:sz w:val="24"/>
          <w:szCs w:val="24"/>
          <w:lang w:val="en-GB"/>
        </w:rPr>
        <w:br w:type="page"/>
      </w:r>
    </w:p>
    <w:p w14:paraId="7F9A006F" w14:textId="77777777" w:rsidR="00C82E59" w:rsidRPr="00E50F9D" w:rsidRDefault="00C82E59" w:rsidP="00C27140">
      <w:pPr>
        <w:spacing w:after="0" w:line="480" w:lineRule="auto"/>
        <w:jc w:val="both"/>
        <w:rPr>
          <w:rFonts w:ascii="Times New Roman" w:hAnsi="Times New Roman" w:cs="Times New Roman"/>
          <w:b/>
          <w:bCs/>
          <w:sz w:val="24"/>
          <w:szCs w:val="24"/>
          <w:lang w:val="en-GB"/>
        </w:rPr>
      </w:pPr>
    </w:p>
    <w:p w14:paraId="7CCA055E" w14:textId="466FB5B1" w:rsidR="00862E4D" w:rsidRPr="00E50F9D" w:rsidRDefault="00862E4D" w:rsidP="00862E4D">
      <w:pPr>
        <w:pStyle w:val="Default"/>
        <w:spacing w:line="480" w:lineRule="auto"/>
        <w:jc w:val="both"/>
        <w:rPr>
          <w:rFonts w:ascii="Times New Roman" w:hAnsi="Times New Roman" w:cs="Times New Roman"/>
          <w:b/>
          <w:bCs/>
          <w:lang w:val="en-GB"/>
        </w:rPr>
      </w:pPr>
      <w:r w:rsidRPr="00E50F9D">
        <w:rPr>
          <w:rFonts w:ascii="Times New Roman" w:hAnsi="Times New Roman" w:cs="Times New Roman"/>
          <w:b/>
          <w:bCs/>
          <w:lang w:val="en-GB"/>
        </w:rPr>
        <w:t>3.</w:t>
      </w:r>
      <w:r w:rsidR="00C82E59" w:rsidRPr="00E50F9D">
        <w:rPr>
          <w:rFonts w:ascii="Times New Roman" w:hAnsi="Times New Roman" w:cs="Times New Roman"/>
          <w:b/>
          <w:bCs/>
          <w:lang w:val="en-GB"/>
        </w:rPr>
        <w:t>3</w:t>
      </w:r>
      <w:r w:rsidRPr="00E50F9D">
        <w:rPr>
          <w:rFonts w:ascii="Times New Roman" w:hAnsi="Times New Roman" w:cs="Times New Roman"/>
          <w:b/>
          <w:bCs/>
          <w:lang w:val="en-GB"/>
        </w:rPr>
        <w:tab/>
      </w:r>
      <w:r w:rsidR="004A2E8F" w:rsidRPr="00E50F9D">
        <w:rPr>
          <w:rFonts w:ascii="Times New Roman" w:hAnsi="Times New Roman" w:cs="Times New Roman"/>
          <w:b/>
          <w:bCs/>
          <w:lang w:val="en-GB"/>
        </w:rPr>
        <w:t>Testing distributional heterogeneity</w:t>
      </w:r>
    </w:p>
    <w:p w14:paraId="3E49A211" w14:textId="711220C4" w:rsidR="004E2E1C" w:rsidRPr="00E50F9D" w:rsidRDefault="00D8574D" w:rsidP="00CD4EE0">
      <w:pPr>
        <w:pStyle w:val="Default"/>
        <w:spacing w:line="480" w:lineRule="auto"/>
        <w:ind w:firstLine="567"/>
        <w:jc w:val="both"/>
        <w:rPr>
          <w:rFonts w:ascii="Times New Roman" w:hAnsi="Times New Roman" w:cs="Times New Roman"/>
          <w:bCs/>
          <w:color w:val="auto"/>
          <w:lang w:val="en-GB"/>
        </w:rPr>
      </w:pPr>
      <w:r w:rsidRPr="00E50F9D">
        <w:rPr>
          <w:rFonts w:ascii="Times New Roman" w:hAnsi="Times New Roman" w:cs="Times New Roman"/>
          <w:bCs/>
          <w:color w:val="auto"/>
          <w:lang w:val="en-GB"/>
        </w:rPr>
        <w:t>To enhance our em</w:t>
      </w:r>
      <w:r w:rsidR="00862E4D" w:rsidRPr="00E50F9D">
        <w:rPr>
          <w:rFonts w:ascii="Times New Roman" w:hAnsi="Times New Roman" w:cs="Times New Roman"/>
          <w:bCs/>
          <w:color w:val="auto"/>
          <w:lang w:val="en-GB"/>
        </w:rPr>
        <w:t>pirical analyses</w:t>
      </w:r>
      <w:r w:rsidRPr="00E50F9D">
        <w:rPr>
          <w:rFonts w:ascii="Times New Roman" w:hAnsi="Times New Roman" w:cs="Times New Roman"/>
          <w:bCs/>
          <w:color w:val="auto"/>
          <w:lang w:val="en-GB"/>
        </w:rPr>
        <w:t xml:space="preserve"> and add robustness to our results</w:t>
      </w:r>
      <w:r w:rsidR="00862E4D" w:rsidRPr="00E50F9D">
        <w:rPr>
          <w:rFonts w:ascii="Times New Roman" w:hAnsi="Times New Roman" w:cs="Times New Roman"/>
          <w:bCs/>
          <w:color w:val="auto"/>
          <w:lang w:val="en-GB"/>
        </w:rPr>
        <w:t>,</w:t>
      </w:r>
      <w:r w:rsidR="00BD12C3" w:rsidRPr="00E50F9D">
        <w:rPr>
          <w:rFonts w:ascii="Times New Roman" w:hAnsi="Times New Roman" w:cs="Times New Roman"/>
          <w:bCs/>
          <w:color w:val="auto"/>
          <w:lang w:val="en-GB"/>
        </w:rPr>
        <w:t xml:space="preserve"> we </w:t>
      </w:r>
      <w:r w:rsidRPr="00E50F9D">
        <w:rPr>
          <w:rFonts w:ascii="Times New Roman" w:hAnsi="Times New Roman" w:cs="Times New Roman"/>
          <w:bCs/>
          <w:color w:val="auto"/>
          <w:lang w:val="en-GB"/>
        </w:rPr>
        <w:t>employ</w:t>
      </w:r>
      <w:r w:rsidR="00BD12C3" w:rsidRPr="00E50F9D">
        <w:rPr>
          <w:rFonts w:ascii="Times New Roman" w:hAnsi="Times New Roman" w:cs="Times New Roman"/>
          <w:bCs/>
          <w:color w:val="auto"/>
          <w:lang w:val="en-GB"/>
        </w:rPr>
        <w:t xml:space="preserve"> a</w:t>
      </w:r>
      <w:r w:rsidRPr="00E50F9D">
        <w:rPr>
          <w:rFonts w:ascii="Times New Roman" w:hAnsi="Times New Roman" w:cs="Times New Roman"/>
          <w:bCs/>
          <w:color w:val="auto"/>
          <w:lang w:val="en-GB"/>
        </w:rPr>
        <w:t xml:space="preserve"> quantile regression mechanism</w:t>
      </w:r>
      <w:r w:rsidR="00A757C4" w:rsidRPr="00E50F9D">
        <w:rPr>
          <w:rFonts w:ascii="Times New Roman" w:hAnsi="Times New Roman" w:cs="Times New Roman"/>
          <w:bCs/>
          <w:color w:val="auto"/>
          <w:lang w:val="en-GB"/>
        </w:rPr>
        <w:t xml:space="preserve"> to estimate possible heterogeneous impacts of geographic diversification and local banking on the entire distribution of ROA and efficiency adjusted Lerner Index. </w:t>
      </w:r>
      <w:r w:rsidR="008E0999" w:rsidRPr="00E50F9D">
        <w:rPr>
          <w:rFonts w:ascii="Times New Roman" w:hAnsi="Times New Roman" w:cs="Times New Roman"/>
          <w:bCs/>
          <w:color w:val="auto"/>
          <w:lang w:val="en-GB"/>
        </w:rPr>
        <w:t xml:space="preserve">We also apply </w:t>
      </w:r>
      <w:r w:rsidR="00F25251" w:rsidRPr="00E50F9D">
        <w:rPr>
          <w:rFonts w:ascii="Times New Roman" w:hAnsi="Times New Roman" w:cs="Times New Roman"/>
          <w:bCs/>
          <w:color w:val="auto"/>
          <w:lang w:val="en-GB"/>
        </w:rPr>
        <w:t xml:space="preserve">a </w:t>
      </w:r>
      <w:r w:rsidR="008E0999" w:rsidRPr="00E50F9D">
        <w:rPr>
          <w:rFonts w:ascii="Times New Roman" w:hAnsi="Times New Roman" w:cs="Times New Roman"/>
          <w:bCs/>
          <w:color w:val="auto"/>
          <w:lang w:val="en-GB"/>
        </w:rPr>
        <w:t>quantile regression</w:t>
      </w:r>
      <w:r w:rsidR="00F25251" w:rsidRPr="00E50F9D">
        <w:rPr>
          <w:rFonts w:ascii="Times New Roman" w:hAnsi="Times New Roman" w:cs="Times New Roman"/>
          <w:bCs/>
          <w:color w:val="auto"/>
          <w:lang w:val="en-GB"/>
        </w:rPr>
        <w:t xml:space="preserve"> </w:t>
      </w:r>
      <w:r w:rsidR="008E0999" w:rsidRPr="00E50F9D">
        <w:rPr>
          <w:rFonts w:ascii="Times New Roman" w:hAnsi="Times New Roman" w:cs="Times New Roman"/>
          <w:bCs/>
          <w:color w:val="auto"/>
          <w:lang w:val="en-GB"/>
        </w:rPr>
        <w:t xml:space="preserve">when </w:t>
      </w:r>
      <w:r w:rsidR="008E0999" w:rsidRPr="00E50F9D">
        <w:rPr>
          <w:rFonts w:ascii="Times New Roman" w:hAnsi="Times New Roman" w:cs="Times New Roman"/>
        </w:rPr>
        <w:t>LE</w:t>
      </w:r>
      <w:r w:rsidR="008E0999" w:rsidRPr="00E50F9D">
        <w:rPr>
          <w:rFonts w:ascii="Times New Roman" w:hAnsi="Times New Roman" w:cs="Times New Roman"/>
          <w:sz w:val="14"/>
        </w:rPr>
        <w:t>L,</w:t>
      </w:r>
      <w:r w:rsidR="008E0999" w:rsidRPr="00E50F9D">
        <w:rPr>
          <w:rFonts w:asciiTheme="majorBidi" w:hAnsiTheme="majorBidi" w:cstheme="majorBidi"/>
          <w:lang w:val="en-US"/>
        </w:rPr>
        <w:t xml:space="preserve"> </w:t>
      </w:r>
      <w:r w:rsidR="008E0999" w:rsidRPr="00E50F9D">
        <w:rPr>
          <w:rFonts w:ascii="Times New Roman" w:hAnsi="Times New Roman" w:cs="Times New Roman"/>
        </w:rPr>
        <w:t>LE</w:t>
      </w:r>
      <w:r w:rsidR="008E0999" w:rsidRPr="00E50F9D">
        <w:rPr>
          <w:rFonts w:ascii="Times New Roman" w:hAnsi="Times New Roman" w:cs="Times New Roman"/>
          <w:sz w:val="14"/>
        </w:rPr>
        <w:t>D</w:t>
      </w:r>
      <w:r w:rsidR="008E0999" w:rsidRPr="00E50F9D">
        <w:rPr>
          <w:rFonts w:asciiTheme="majorBidi" w:hAnsiTheme="majorBidi" w:cstheme="majorBidi"/>
          <w:lang w:val="en-US"/>
        </w:rPr>
        <w:t xml:space="preserve">, </w:t>
      </w:r>
      <m:oMath>
        <m:r>
          <m:rPr>
            <m:sty m:val="p"/>
          </m:rPr>
          <w:rPr>
            <w:rFonts w:ascii="Cambria Math" w:hAnsi="Cambria Math" w:cstheme="majorBidi"/>
            <w:lang w:val="en-US"/>
          </w:rPr>
          <m:t>∆</m:t>
        </m:r>
        <m:sSub>
          <m:sSubPr>
            <m:ctrlPr>
              <w:rPr>
                <w:rFonts w:ascii="Cambria Math" w:hAnsi="Cambria Math" w:cstheme="majorBidi"/>
                <w:lang w:val="en-US"/>
              </w:rPr>
            </m:ctrlPr>
          </m:sSubPr>
          <m:e>
            <m:r>
              <w:rPr>
                <w:rFonts w:ascii="Cambria Math" w:hAnsi="Cambria Math" w:cstheme="majorBidi"/>
                <w:lang w:val="en-US"/>
              </w:rPr>
              <m:t>loan</m:t>
            </m:r>
          </m:e>
          <m:sub>
            <m:r>
              <w:rPr>
                <w:rFonts w:ascii="Cambria Math" w:hAnsi="Cambria Math" w:cstheme="majorBidi"/>
                <w:lang w:val="en-US"/>
              </w:rPr>
              <m:t>it</m:t>
            </m:r>
          </m:sub>
        </m:sSub>
      </m:oMath>
      <w:r w:rsidR="008E0999" w:rsidRPr="00E50F9D">
        <w:rPr>
          <w:rFonts w:asciiTheme="majorBidi" w:hAnsiTheme="majorBidi" w:cstheme="majorBidi"/>
          <w:lang w:val="en-US"/>
        </w:rPr>
        <w:t xml:space="preserve">, and </w:t>
      </w:r>
      <m:oMath>
        <m:r>
          <m:rPr>
            <m:sty m:val="p"/>
          </m:rPr>
          <w:rPr>
            <w:rFonts w:ascii="Cambria Math" w:hAnsi="Cambria Math" w:cstheme="majorBidi"/>
            <w:lang w:val="en-US"/>
          </w:rPr>
          <m:t>∆</m:t>
        </m:r>
        <m:sSub>
          <m:sSubPr>
            <m:ctrlPr>
              <w:rPr>
                <w:rFonts w:ascii="Cambria Math" w:hAnsi="Cambria Math" w:cstheme="majorBidi"/>
                <w:lang w:val="en-US"/>
              </w:rPr>
            </m:ctrlPr>
          </m:sSubPr>
          <m:e>
            <m:r>
              <w:rPr>
                <w:rFonts w:ascii="Cambria Math" w:hAnsi="Cambria Math" w:cstheme="majorBidi"/>
                <w:lang w:val="en-US"/>
              </w:rPr>
              <m:t>Deposit</m:t>
            </m:r>
          </m:e>
          <m:sub>
            <m:r>
              <w:rPr>
                <w:rFonts w:ascii="Cambria Math" w:hAnsi="Cambria Math" w:cstheme="majorBidi"/>
                <w:lang w:val="en-US"/>
              </w:rPr>
              <m:t>it</m:t>
            </m:r>
          </m:sub>
        </m:sSub>
        <m:r>
          <w:rPr>
            <w:rFonts w:ascii="Cambria Math" w:hAnsi="Cambria Math" w:cstheme="majorBidi"/>
            <w:lang w:val="en-US"/>
          </w:rPr>
          <m:t xml:space="preserve"> </m:t>
        </m:r>
      </m:oMath>
      <w:r w:rsidR="008E0999" w:rsidRPr="00E50F9D">
        <w:rPr>
          <w:rFonts w:asciiTheme="majorBidi" w:hAnsiTheme="majorBidi" w:cstheme="majorBidi"/>
          <w:lang w:val="en-US"/>
        </w:rPr>
        <w:t xml:space="preserve"> are dependent variables in Model 1. </w:t>
      </w:r>
      <w:r w:rsidR="00A757C4" w:rsidRPr="00E50F9D">
        <w:rPr>
          <w:rFonts w:ascii="Times New Roman" w:hAnsi="Times New Roman" w:cs="Times New Roman"/>
          <w:bCs/>
          <w:color w:val="auto"/>
          <w:lang w:val="en-GB"/>
        </w:rPr>
        <w:t>Among available methods in panel quantile regression, we employ Powell’s (2016) unconditional instrumental variable</w:t>
      </w:r>
      <w:r w:rsidR="004E2E1C" w:rsidRPr="00E50F9D">
        <w:rPr>
          <w:rFonts w:ascii="Times New Roman" w:hAnsi="Times New Roman" w:cs="Times New Roman"/>
          <w:bCs/>
          <w:color w:val="auto"/>
          <w:lang w:val="en-GB"/>
        </w:rPr>
        <w:t xml:space="preserve"> (IV)</w:t>
      </w:r>
      <w:r w:rsidR="00A757C4" w:rsidRPr="00E50F9D">
        <w:rPr>
          <w:rFonts w:ascii="Times New Roman" w:hAnsi="Times New Roman" w:cs="Times New Roman"/>
          <w:bCs/>
          <w:color w:val="auto"/>
          <w:lang w:val="en-GB"/>
        </w:rPr>
        <w:t xml:space="preserve"> panel quantile estimation method because it solves a fundamental problem posed by alternative fixed-effect quantile estimators: inclusion of individual fixed effects alters the interpretation of the estimated coefficient on the treatment variable. </w:t>
      </w:r>
      <w:r w:rsidR="00BD5342" w:rsidRPr="00E50F9D">
        <w:rPr>
          <w:rFonts w:ascii="Times New Roman" w:hAnsi="Times New Roman" w:cs="Times New Roman"/>
          <w:bCs/>
          <w:color w:val="auto"/>
          <w:lang w:val="en-GB"/>
        </w:rPr>
        <w:t xml:space="preserve">Letting </w:t>
      </w:r>
      <w:r w:rsidR="00BD5342" w:rsidRPr="00E50F9D">
        <w:rPr>
          <w:rFonts w:ascii="Times New Roman" w:hAnsi="Times New Roman" w:cs="Times New Roman"/>
          <w:b/>
          <w:i/>
        </w:rPr>
        <w:t>D</w:t>
      </w:r>
      <w:r w:rsidR="00BD5342" w:rsidRPr="00E50F9D">
        <w:rPr>
          <w:rFonts w:ascii="Times New Roman" w:hAnsi="Times New Roman" w:cs="Times New Roman"/>
          <w:b/>
          <w:i/>
          <w:vertAlign w:val="subscript"/>
        </w:rPr>
        <w:t>i</w:t>
      </w:r>
      <w:r w:rsidR="004E2E1C" w:rsidRPr="00E50F9D">
        <w:rPr>
          <w:rFonts w:ascii="Times New Roman" w:hAnsi="Times New Roman" w:cs="Times New Roman"/>
          <w:b/>
          <w:i/>
          <w:vertAlign w:val="subscript"/>
        </w:rPr>
        <w:t>t</w:t>
      </w:r>
      <w:r w:rsidR="00BD5342" w:rsidRPr="00E50F9D">
        <w:rPr>
          <w:rFonts w:ascii="Times New Roman" w:hAnsi="Times New Roman" w:cs="Times New Roman"/>
          <w:b/>
        </w:rPr>
        <w:t xml:space="preserve"> </w:t>
      </w:r>
      <w:r w:rsidR="00BD5342" w:rsidRPr="00E50F9D">
        <w:rPr>
          <w:rFonts w:ascii="Times New Roman" w:hAnsi="Times New Roman" w:cs="Times New Roman"/>
        </w:rPr>
        <w:t xml:space="preserve">represent policy variables, </w:t>
      </w:r>
      <w:r w:rsidR="00BD5342" w:rsidRPr="00E50F9D">
        <w:rPr>
          <w:rFonts w:ascii="Times New Roman" w:hAnsi="Times New Roman" w:cs="Times New Roman"/>
          <w:b/>
          <w:i/>
        </w:rPr>
        <w:t>X</w:t>
      </w:r>
      <w:r w:rsidR="00BD5342" w:rsidRPr="00E50F9D">
        <w:rPr>
          <w:rFonts w:ascii="Times New Roman" w:hAnsi="Times New Roman" w:cs="Times New Roman"/>
          <w:b/>
          <w:i/>
          <w:vertAlign w:val="subscript"/>
        </w:rPr>
        <w:t>i</w:t>
      </w:r>
      <w:r w:rsidR="004E2E1C" w:rsidRPr="00E50F9D">
        <w:rPr>
          <w:rFonts w:ascii="Times New Roman" w:hAnsi="Times New Roman" w:cs="Times New Roman"/>
          <w:b/>
          <w:i/>
          <w:vertAlign w:val="subscript"/>
        </w:rPr>
        <w:t>t</w:t>
      </w:r>
      <w:r w:rsidR="00BD5342" w:rsidRPr="00E50F9D">
        <w:rPr>
          <w:rFonts w:ascii="Times New Roman" w:hAnsi="Times New Roman" w:cs="Times New Roman"/>
        </w:rPr>
        <w:t xml:space="preserve"> represent control variables, </w:t>
      </w:r>
      <w:r w:rsidR="00BD5342" w:rsidRPr="00E50F9D">
        <w:rPr>
          <w:rFonts w:ascii="Times New Roman" w:hAnsi="Times New Roman" w:cs="Times New Roman"/>
          <w:b/>
          <w:i/>
        </w:rPr>
        <w:t>Z</w:t>
      </w:r>
      <w:r w:rsidR="00BD5342" w:rsidRPr="00E50F9D">
        <w:rPr>
          <w:rFonts w:ascii="Times New Roman" w:hAnsi="Times New Roman" w:cs="Times New Roman"/>
          <w:b/>
          <w:i/>
          <w:vertAlign w:val="subscript"/>
        </w:rPr>
        <w:t>i</w:t>
      </w:r>
      <w:r w:rsidR="004E2E1C" w:rsidRPr="00E50F9D">
        <w:rPr>
          <w:rFonts w:ascii="Times New Roman" w:hAnsi="Times New Roman" w:cs="Times New Roman"/>
          <w:b/>
          <w:i/>
          <w:vertAlign w:val="subscript"/>
        </w:rPr>
        <w:t>t</w:t>
      </w:r>
      <w:r w:rsidR="00BD5342" w:rsidRPr="00E50F9D">
        <w:rPr>
          <w:rFonts w:ascii="Times New Roman" w:hAnsi="Times New Roman" w:cs="Times New Roman"/>
          <w:b/>
          <w:vertAlign w:val="subscript"/>
        </w:rPr>
        <w:t xml:space="preserve"> </w:t>
      </w:r>
      <w:r w:rsidR="00BD5342" w:rsidRPr="00E50F9D">
        <w:rPr>
          <w:rFonts w:ascii="Times New Roman" w:hAnsi="Times New Roman" w:cs="Times New Roman"/>
        </w:rPr>
        <w:t xml:space="preserve">represent instruments, </w:t>
      </w:r>
      <w:r w:rsidR="004E2E1C" w:rsidRPr="00E50F9D">
        <w:rPr>
          <w:rFonts w:ascii="Times New Roman" w:hAnsi="Times New Roman" w:cs="Times New Roman"/>
        </w:rPr>
        <w:t xml:space="preserve">and </w:t>
      </w:r>
      <w:r w:rsidR="004E2E1C" w:rsidRPr="00E50F9D">
        <w:rPr>
          <w:rFonts w:ascii="Times New Roman" w:hAnsi="Times New Roman" w:cs="Times New Roman"/>
          <w:i/>
        </w:rPr>
        <w:t>Y</w:t>
      </w:r>
      <w:r w:rsidR="004E2E1C" w:rsidRPr="00E50F9D">
        <w:rPr>
          <w:rFonts w:ascii="Times New Roman" w:hAnsi="Times New Roman" w:cs="Times New Roman"/>
          <w:b/>
          <w:i/>
          <w:vertAlign w:val="subscript"/>
        </w:rPr>
        <w:t>it</w:t>
      </w:r>
      <w:r w:rsidR="004E2E1C" w:rsidRPr="00E50F9D">
        <w:rPr>
          <w:rFonts w:ascii="Times New Roman" w:hAnsi="Times New Roman" w:cs="Times New Roman"/>
        </w:rPr>
        <w:t xml:space="preserve"> represent the dependent varable, </w:t>
      </w:r>
      <w:r w:rsidR="00BD5342" w:rsidRPr="00E50F9D">
        <w:rPr>
          <w:rFonts w:ascii="Times New Roman" w:hAnsi="Times New Roman" w:cs="Times New Roman"/>
        </w:rPr>
        <w:t>then e</w:t>
      </w:r>
      <w:r w:rsidR="00BD5342" w:rsidRPr="00E50F9D">
        <w:rPr>
          <w:rFonts w:ascii="Times New Roman" w:hAnsi="Times New Roman" w:cs="Times New Roman"/>
          <w:bCs/>
          <w:color w:val="auto"/>
          <w:lang w:val="en-GB"/>
        </w:rPr>
        <w:t>quation</w:t>
      </w:r>
      <w:r w:rsidR="004E2E1C" w:rsidRPr="00E50F9D">
        <w:rPr>
          <w:rFonts w:ascii="Times New Roman" w:hAnsi="Times New Roman" w:cs="Times New Roman"/>
          <w:bCs/>
          <w:color w:val="auto"/>
          <w:lang w:val="en-GB"/>
        </w:rPr>
        <w:t>s</w:t>
      </w:r>
      <w:r w:rsidR="00BD5342" w:rsidRPr="00E50F9D">
        <w:rPr>
          <w:rFonts w:ascii="Times New Roman" w:hAnsi="Times New Roman" w:cs="Times New Roman"/>
          <w:bCs/>
          <w:color w:val="auto"/>
          <w:lang w:val="en-GB"/>
        </w:rPr>
        <w:t xml:space="preserve"> (1) </w:t>
      </w:r>
      <w:r w:rsidR="00523893" w:rsidRPr="00E50F9D">
        <w:rPr>
          <w:rFonts w:ascii="Times New Roman" w:hAnsi="Times New Roman" w:cs="Times New Roman"/>
          <w:bCs/>
          <w:color w:val="auto"/>
          <w:lang w:val="en-GB"/>
        </w:rPr>
        <w:t>and</w:t>
      </w:r>
      <w:r w:rsidR="004E2E1C" w:rsidRPr="00E50F9D">
        <w:rPr>
          <w:rFonts w:ascii="Times New Roman" w:hAnsi="Times New Roman" w:cs="Times New Roman"/>
          <w:bCs/>
          <w:color w:val="auto"/>
          <w:lang w:val="en-GB"/>
        </w:rPr>
        <w:t xml:space="preserve"> (3) </w:t>
      </w:r>
      <w:r w:rsidR="00BD5342" w:rsidRPr="00E50F9D">
        <w:rPr>
          <w:rFonts w:ascii="Times New Roman" w:hAnsi="Times New Roman" w:cs="Times New Roman"/>
          <w:bCs/>
          <w:color w:val="auto"/>
          <w:lang w:val="en-GB"/>
        </w:rPr>
        <w:t xml:space="preserve">can be generalized to </w:t>
      </w:r>
      <w:r w:rsidR="004E2E1C" w:rsidRPr="00E50F9D">
        <w:rPr>
          <w:rFonts w:ascii="Times New Roman" w:hAnsi="Times New Roman" w:cs="Times New Roman"/>
          <w:bCs/>
          <w:color w:val="auto"/>
          <w:lang w:val="en-GB"/>
        </w:rPr>
        <w:t xml:space="preserve">the following IV </w:t>
      </w:r>
      <w:r w:rsidR="00BD5342" w:rsidRPr="00E50F9D">
        <w:rPr>
          <w:rFonts w:ascii="Times New Roman" w:hAnsi="Times New Roman" w:cs="Times New Roman"/>
          <w:bCs/>
          <w:color w:val="auto"/>
          <w:lang w:val="en-GB"/>
        </w:rPr>
        <w:t>unconditio</w:t>
      </w:r>
      <w:r w:rsidR="004E2E1C" w:rsidRPr="00E50F9D">
        <w:rPr>
          <w:rFonts w:ascii="Times New Roman" w:hAnsi="Times New Roman" w:cs="Times New Roman"/>
          <w:bCs/>
          <w:color w:val="auto"/>
          <w:lang w:val="en-GB"/>
        </w:rPr>
        <w:t xml:space="preserve">nal panel quantile regression equation as in Powell (2016): </w:t>
      </w:r>
    </w:p>
    <w:p w14:paraId="7ED8C449" w14:textId="0E020AC7" w:rsidR="00D02FAF" w:rsidRPr="00E50F9D" w:rsidRDefault="00BB5E64" w:rsidP="00D02FAF">
      <w:pPr>
        <w:pStyle w:val="Default"/>
        <w:spacing w:line="480" w:lineRule="auto"/>
        <w:jc w:val="both"/>
        <w:rPr>
          <w:rFonts w:ascii="Times New Roman" w:hAnsi="Times New Roman" w:cs="Times New Roman"/>
          <w:bCs/>
          <w:color w:val="auto"/>
          <w:lang w:val="en-GB"/>
        </w:rPr>
      </w:pPr>
      <m:oMath>
        <m:sSub>
          <m:sSubPr>
            <m:ctrlPr>
              <w:rPr>
                <w:rFonts w:ascii="Cambria Math" w:hAnsi="Cambria Math" w:cs="Times New Roman"/>
                <w:bCs/>
                <w:i/>
                <w:color w:val="auto"/>
                <w:lang w:val="en-GB"/>
              </w:rPr>
            </m:ctrlPr>
          </m:sSubPr>
          <m:e>
            <m:r>
              <w:rPr>
                <w:rFonts w:ascii="Cambria Math" w:hAnsi="Cambria Math" w:cs="Times New Roman"/>
                <w:color w:val="auto"/>
                <w:lang w:val="en-GB"/>
              </w:rPr>
              <m:t>y</m:t>
            </m:r>
          </m:e>
          <m:sub>
            <m:r>
              <w:rPr>
                <w:rFonts w:ascii="Cambria Math" w:hAnsi="Cambria Math" w:cs="Times New Roman"/>
                <w:color w:val="auto"/>
                <w:lang w:val="en-GB"/>
              </w:rPr>
              <m:t>it</m:t>
            </m:r>
          </m:sub>
        </m:sSub>
        <m:r>
          <w:rPr>
            <w:rFonts w:ascii="Cambria Math" w:hAnsi="Cambria Math" w:cs="Times New Roman"/>
            <w:color w:val="auto"/>
            <w:lang w:val="en-GB"/>
          </w:rPr>
          <m:t>=</m:t>
        </m:r>
        <m:sSubSup>
          <m:sSubSupPr>
            <m:ctrlPr>
              <w:rPr>
                <w:rFonts w:ascii="Cambria Math" w:hAnsi="Cambria Math" w:cs="Times New Roman"/>
                <w:bCs/>
                <w:i/>
                <w:color w:val="auto"/>
                <w:lang w:val="en-GB"/>
              </w:rPr>
            </m:ctrlPr>
          </m:sSubSupPr>
          <m:e>
            <m:r>
              <w:rPr>
                <w:rFonts w:ascii="Cambria Math" w:hAnsi="Cambria Math" w:cs="Times New Roman"/>
                <w:color w:val="auto"/>
                <w:lang w:val="en-GB"/>
              </w:rPr>
              <m:t>d</m:t>
            </m:r>
          </m:e>
          <m:sub>
            <m:r>
              <w:rPr>
                <w:rFonts w:ascii="Cambria Math" w:hAnsi="Cambria Math" w:cs="Times New Roman"/>
                <w:color w:val="auto"/>
                <w:lang w:val="en-GB"/>
              </w:rPr>
              <m:t>it</m:t>
            </m:r>
          </m:sub>
          <m:sup>
            <m:r>
              <w:rPr>
                <w:rFonts w:ascii="Cambria Math" w:hAnsi="Cambria Math" w:cs="Times New Roman"/>
                <w:color w:val="auto"/>
                <w:lang w:val="en-GB"/>
              </w:rPr>
              <m:t>'</m:t>
            </m:r>
          </m:sup>
        </m:sSubSup>
        <m:r>
          <w:rPr>
            <w:rFonts w:ascii="Cambria Math" w:hAnsi="Cambria Math" w:cs="Times New Roman"/>
            <w:color w:val="auto"/>
            <w:lang w:val="en-GB"/>
          </w:rPr>
          <m:t>β(</m:t>
        </m:r>
        <m:sSubSup>
          <m:sSubSupPr>
            <m:ctrlPr>
              <w:rPr>
                <w:rFonts w:ascii="Cambria Math" w:hAnsi="Cambria Math" w:cs="Times New Roman"/>
                <w:bCs/>
                <w:i/>
                <w:color w:val="auto"/>
                <w:lang w:val="en-GB"/>
              </w:rPr>
            </m:ctrlPr>
          </m:sSubSupPr>
          <m:e>
            <m:r>
              <w:rPr>
                <w:rFonts w:ascii="Cambria Math" w:hAnsi="Cambria Math" w:cs="Times New Roman"/>
                <w:color w:val="auto"/>
                <w:lang w:val="en-GB"/>
              </w:rPr>
              <m:t>u</m:t>
            </m:r>
          </m:e>
          <m:sub>
            <m:r>
              <w:rPr>
                <w:rFonts w:ascii="Cambria Math" w:hAnsi="Cambria Math" w:cs="Times New Roman"/>
                <w:color w:val="auto"/>
                <w:lang w:val="en-GB"/>
              </w:rPr>
              <m:t>it</m:t>
            </m:r>
          </m:sub>
          <m:sup>
            <m:r>
              <w:rPr>
                <w:rFonts w:ascii="Cambria Math" w:hAnsi="Cambria Math" w:cs="Times New Roman"/>
                <w:color w:val="auto"/>
                <w:lang w:val="en-GB"/>
              </w:rPr>
              <m:t>*</m:t>
            </m:r>
          </m:sup>
        </m:sSubSup>
        <m:r>
          <w:rPr>
            <w:rFonts w:ascii="Cambria Math" w:hAnsi="Cambria Math" w:cs="Times New Roman"/>
            <w:color w:val="auto"/>
            <w:lang w:val="en-GB"/>
          </w:rPr>
          <m:t>)</m:t>
        </m:r>
      </m:oMath>
      <w:r w:rsidR="00D02FAF" w:rsidRPr="00E50F9D">
        <w:rPr>
          <w:rFonts w:ascii="Times New Roman" w:hAnsi="Times New Roman" w:cs="Times New Roman"/>
          <w:bCs/>
          <w:color w:val="auto"/>
          <w:lang w:val="en-GB"/>
        </w:rPr>
        <w:t xml:space="preserve"> ,</w:t>
      </w:r>
      <w:r w:rsidR="00D02FAF" w:rsidRPr="00E50F9D">
        <w:rPr>
          <w:rFonts w:ascii="Times New Roman" w:hAnsi="Times New Roman" w:cs="Times New Roman"/>
          <w:bCs/>
          <w:color w:val="auto"/>
          <w:lang w:val="en-GB"/>
        </w:rPr>
        <w:tab/>
      </w:r>
      <w:r w:rsidR="00D02FAF" w:rsidRPr="00E50F9D">
        <w:rPr>
          <w:rFonts w:ascii="Times New Roman" w:hAnsi="Times New Roman" w:cs="Times New Roman"/>
          <w:bCs/>
          <w:color w:val="auto"/>
          <w:lang w:val="en-GB"/>
        </w:rPr>
        <w:tab/>
      </w:r>
      <w:r w:rsidR="00D02FAF" w:rsidRPr="00E50F9D">
        <w:rPr>
          <w:rFonts w:ascii="Times New Roman" w:hAnsi="Times New Roman" w:cs="Times New Roman"/>
          <w:bCs/>
          <w:color w:val="auto"/>
          <w:lang w:val="en-GB"/>
        </w:rPr>
        <w:tab/>
      </w:r>
      <w:r w:rsidR="00D02FAF" w:rsidRPr="00E50F9D">
        <w:rPr>
          <w:rFonts w:ascii="Times New Roman" w:hAnsi="Times New Roman" w:cs="Times New Roman"/>
          <w:bCs/>
          <w:color w:val="auto"/>
          <w:lang w:val="en-GB"/>
        </w:rPr>
        <w:tab/>
      </w:r>
      <w:r w:rsidR="00D02FAF" w:rsidRPr="00E50F9D">
        <w:rPr>
          <w:rFonts w:ascii="Times New Roman" w:hAnsi="Times New Roman" w:cs="Times New Roman"/>
          <w:bCs/>
          <w:color w:val="auto"/>
          <w:lang w:val="en-GB"/>
        </w:rPr>
        <w:tab/>
      </w:r>
      <w:r w:rsidR="00D02FAF" w:rsidRPr="00E50F9D">
        <w:rPr>
          <w:rFonts w:ascii="Times New Roman" w:hAnsi="Times New Roman" w:cs="Times New Roman"/>
          <w:bCs/>
          <w:color w:val="auto"/>
          <w:lang w:val="en-GB"/>
        </w:rPr>
        <w:tab/>
      </w:r>
      <w:r w:rsidR="00D02FAF" w:rsidRPr="00E50F9D">
        <w:rPr>
          <w:rFonts w:ascii="Times New Roman" w:hAnsi="Times New Roman" w:cs="Times New Roman"/>
          <w:bCs/>
          <w:color w:val="auto"/>
          <w:lang w:val="en-GB"/>
        </w:rPr>
        <w:tab/>
      </w:r>
      <w:r w:rsidR="00D02FAF" w:rsidRPr="00E50F9D">
        <w:rPr>
          <w:rFonts w:ascii="Times New Roman" w:hAnsi="Times New Roman" w:cs="Times New Roman"/>
          <w:bCs/>
          <w:color w:val="auto"/>
          <w:lang w:val="en-GB"/>
        </w:rPr>
        <w:tab/>
        <w:t>(</w:t>
      </w:r>
      <w:r w:rsidR="005F3B0D">
        <w:rPr>
          <w:rFonts w:ascii="Times New Roman" w:hAnsi="Times New Roman" w:cs="Times New Roman"/>
          <w:bCs/>
          <w:color w:val="auto"/>
          <w:lang w:val="en-GB"/>
        </w:rPr>
        <w:t>4</w:t>
      </w:r>
      <w:r w:rsidR="00D02FAF" w:rsidRPr="00E50F9D">
        <w:rPr>
          <w:rFonts w:ascii="Times New Roman" w:hAnsi="Times New Roman" w:cs="Times New Roman"/>
          <w:bCs/>
          <w:color w:val="auto"/>
          <w:lang w:val="en-GB"/>
        </w:rPr>
        <w:t xml:space="preserve">) </w:t>
      </w:r>
    </w:p>
    <w:p w14:paraId="12456E7D" w14:textId="661E7FE2" w:rsidR="00BD12C3" w:rsidRPr="00E50F9D" w:rsidRDefault="00D02FAF" w:rsidP="00D02FAF">
      <w:pPr>
        <w:pStyle w:val="Default"/>
        <w:spacing w:line="480" w:lineRule="auto"/>
        <w:jc w:val="both"/>
        <w:rPr>
          <w:rFonts w:ascii="Times New Roman" w:hAnsi="Times New Roman" w:cs="Times New Roman"/>
          <w:bCs/>
          <w:color w:val="auto"/>
          <w:lang w:val="en-GB"/>
        </w:rPr>
      </w:pPr>
      <w:r w:rsidRPr="00E50F9D">
        <w:rPr>
          <w:rFonts w:ascii="Times New Roman" w:hAnsi="Times New Roman" w:cs="Times New Roman"/>
          <w:bCs/>
          <w:color w:val="auto"/>
          <w:lang w:val="en-GB"/>
        </w:rPr>
        <w:t>In equation (6),</w:t>
      </w:r>
      <w:r w:rsidR="00BD12C3" w:rsidRPr="00E50F9D">
        <w:rPr>
          <w:rFonts w:ascii="Times New Roman" w:hAnsi="Times New Roman" w:cs="Times New Roman"/>
          <w:bCs/>
          <w:color w:val="auto"/>
          <w:lang w:val="en-GB"/>
        </w:rPr>
        <w:t xml:space="preserve"> </w:t>
      </w:r>
      <w:r w:rsidRPr="00E50F9D">
        <w:rPr>
          <w:rFonts w:ascii="Times New Roman" w:hAnsi="Times New Roman" w:cs="Times New Roman"/>
          <w:bCs/>
          <w:color w:val="auto"/>
          <w:lang w:val="en-GB"/>
        </w:rPr>
        <w:t xml:space="preserve"> </w:t>
      </w:r>
      <m:oMath>
        <m:sSubSup>
          <m:sSubSupPr>
            <m:ctrlPr>
              <w:rPr>
                <w:rFonts w:ascii="Cambria Math" w:hAnsi="Cambria Math" w:cs="Times New Roman"/>
                <w:bCs/>
                <w:i/>
                <w:color w:val="auto"/>
                <w:lang w:val="en-GB"/>
              </w:rPr>
            </m:ctrlPr>
          </m:sSubSupPr>
          <m:e>
            <m:r>
              <w:rPr>
                <w:rFonts w:ascii="Cambria Math" w:hAnsi="Cambria Math" w:cs="Times New Roman"/>
                <w:color w:val="auto"/>
                <w:lang w:val="en-GB"/>
              </w:rPr>
              <m:t>u</m:t>
            </m:r>
          </m:e>
          <m:sub>
            <m:r>
              <w:rPr>
                <w:rFonts w:ascii="Cambria Math" w:hAnsi="Cambria Math" w:cs="Times New Roman"/>
                <w:color w:val="auto"/>
                <w:lang w:val="en-GB"/>
              </w:rPr>
              <m:t>it</m:t>
            </m:r>
          </m:sub>
          <m:sup>
            <m:r>
              <w:rPr>
                <w:rFonts w:ascii="Cambria Math" w:hAnsi="Cambria Math" w:cs="Times New Roman"/>
                <w:color w:val="auto"/>
                <w:lang w:val="en-GB"/>
              </w:rPr>
              <m:t>*</m:t>
            </m:r>
          </m:sup>
        </m:sSubSup>
        <m:r>
          <w:rPr>
            <w:rFonts w:ascii="Cambria Math" w:hAnsi="Cambria Math" w:cs="Times New Roman"/>
            <w:color w:val="auto"/>
            <w:lang w:val="en-GB"/>
          </w:rPr>
          <m:t>|</m:t>
        </m:r>
        <m:sSub>
          <m:sSubPr>
            <m:ctrlPr>
              <w:rPr>
                <w:rFonts w:ascii="Cambria Math" w:hAnsi="Cambria Math" w:cs="Times New Roman"/>
                <w:i/>
                <w:color w:val="auto"/>
                <w:lang w:val="en-GB"/>
              </w:rPr>
            </m:ctrlPr>
          </m:sSubPr>
          <m:e>
            <m:r>
              <w:rPr>
                <w:rFonts w:ascii="Cambria Math" w:hAnsi="Cambria Math" w:cs="Times New Roman"/>
                <w:color w:val="auto"/>
                <w:lang w:val="en-GB"/>
              </w:rPr>
              <m:t>Z</m:t>
            </m:r>
          </m:e>
          <m:sub>
            <m:r>
              <w:rPr>
                <w:rFonts w:ascii="Cambria Math" w:hAnsi="Cambria Math" w:cs="Times New Roman"/>
                <w:color w:val="auto"/>
                <w:lang w:val="en-GB"/>
              </w:rPr>
              <m:t>it</m:t>
            </m:r>
          </m:sub>
        </m:sSub>
      </m:oMath>
      <w:r w:rsidRPr="00E50F9D">
        <w:rPr>
          <w:rFonts w:ascii="Times New Roman" w:hAnsi="Times New Roman" w:cs="Times New Roman"/>
          <w:bCs/>
          <w:color w:val="auto"/>
          <w:lang w:val="en-GB"/>
        </w:rPr>
        <w:t xml:space="preserve">, </w:t>
      </w:r>
      <m:oMath>
        <m:sSub>
          <m:sSubPr>
            <m:ctrlPr>
              <w:rPr>
                <w:rFonts w:ascii="Cambria Math" w:hAnsi="Cambria Math" w:cs="Times New Roman"/>
                <w:i/>
                <w:color w:val="auto"/>
                <w:lang w:val="en-GB"/>
              </w:rPr>
            </m:ctrlPr>
          </m:sSubPr>
          <m:e>
            <m:r>
              <w:rPr>
                <w:rFonts w:ascii="Cambria Math" w:hAnsi="Cambria Math" w:cs="Times New Roman"/>
                <w:color w:val="auto"/>
                <w:lang w:val="en-GB"/>
              </w:rPr>
              <m:t>X</m:t>
            </m:r>
          </m:e>
          <m:sub>
            <m:r>
              <w:rPr>
                <w:rFonts w:ascii="Cambria Math" w:hAnsi="Cambria Math" w:cs="Times New Roman"/>
                <w:color w:val="auto"/>
                <w:lang w:val="en-GB"/>
              </w:rPr>
              <m:t>it</m:t>
            </m:r>
          </m:sub>
        </m:sSub>
        <m:r>
          <w:rPr>
            <w:rFonts w:ascii="Cambria Math" w:hAnsi="Cambria Math" w:cs="Times New Roman"/>
            <w:color w:val="auto"/>
            <w:lang w:val="en-GB"/>
          </w:rPr>
          <m:t>~</m:t>
        </m:r>
        <m:sSubSup>
          <m:sSubSupPr>
            <m:ctrlPr>
              <w:rPr>
                <w:rFonts w:ascii="Cambria Math" w:hAnsi="Cambria Math" w:cs="Times New Roman"/>
                <w:bCs/>
                <w:i/>
                <w:color w:val="auto"/>
                <w:lang w:val="en-GB"/>
              </w:rPr>
            </m:ctrlPr>
          </m:sSubSupPr>
          <m:e>
            <m:r>
              <w:rPr>
                <w:rFonts w:ascii="Cambria Math" w:hAnsi="Cambria Math" w:cs="Times New Roman"/>
                <w:color w:val="auto"/>
                <w:lang w:val="en-GB"/>
              </w:rPr>
              <m:t>u</m:t>
            </m:r>
          </m:e>
          <m:sub>
            <m:r>
              <w:rPr>
                <w:rFonts w:ascii="Cambria Math" w:hAnsi="Cambria Math" w:cs="Times New Roman"/>
                <w:color w:val="auto"/>
                <w:lang w:val="en-GB"/>
              </w:rPr>
              <m:t>it</m:t>
            </m:r>
          </m:sub>
          <m:sup>
            <m:r>
              <w:rPr>
                <w:rFonts w:ascii="Cambria Math" w:hAnsi="Cambria Math" w:cs="Times New Roman"/>
                <w:color w:val="auto"/>
                <w:lang w:val="en-GB"/>
              </w:rPr>
              <m:t>*</m:t>
            </m:r>
          </m:sup>
        </m:sSubSup>
        <m:r>
          <w:rPr>
            <w:rFonts w:ascii="Cambria Math" w:hAnsi="Cambria Math" w:cs="Times New Roman"/>
            <w:color w:val="auto"/>
            <w:lang w:val="en-GB"/>
          </w:rPr>
          <m:t>|</m:t>
        </m:r>
        <m:sSub>
          <m:sSubPr>
            <m:ctrlPr>
              <w:rPr>
                <w:rFonts w:ascii="Cambria Math" w:hAnsi="Cambria Math" w:cs="Times New Roman"/>
                <w:i/>
                <w:color w:val="auto"/>
                <w:lang w:val="en-GB"/>
              </w:rPr>
            </m:ctrlPr>
          </m:sSubPr>
          <m:e>
            <m:r>
              <w:rPr>
                <w:rFonts w:ascii="Cambria Math" w:hAnsi="Cambria Math" w:cs="Times New Roman"/>
                <w:color w:val="auto"/>
                <w:lang w:val="en-GB"/>
              </w:rPr>
              <m:t>X</m:t>
            </m:r>
          </m:e>
          <m:sub>
            <m:r>
              <w:rPr>
                <w:rFonts w:ascii="Cambria Math" w:hAnsi="Cambria Math" w:cs="Times New Roman"/>
                <w:color w:val="auto"/>
                <w:lang w:val="en-GB"/>
              </w:rPr>
              <m:t>it</m:t>
            </m:r>
          </m:sub>
        </m:sSub>
      </m:oMath>
      <w:r w:rsidRPr="00E50F9D">
        <w:rPr>
          <w:rFonts w:ascii="Times New Roman" w:hAnsi="Times New Roman" w:cs="Times New Roman"/>
          <w:bCs/>
          <w:color w:val="auto"/>
          <w:lang w:val="en-GB"/>
        </w:rPr>
        <w:t>,</w:t>
      </w:r>
      <w:r w:rsidRPr="00E50F9D">
        <w:rPr>
          <w:rFonts w:ascii="Times New Roman" w:hAnsi="Times New Roman" w:cs="Times New Roman"/>
          <w:bCs/>
          <w:color w:val="auto"/>
          <w:lang w:val="en-GB"/>
        </w:rPr>
        <w:tab/>
      </w:r>
      <m:oMath>
        <m:sSubSup>
          <m:sSubSupPr>
            <m:ctrlPr>
              <w:rPr>
                <w:rFonts w:ascii="Cambria Math" w:hAnsi="Cambria Math" w:cs="Times New Roman"/>
                <w:bCs/>
                <w:i/>
                <w:color w:val="auto"/>
                <w:lang w:val="en-GB"/>
              </w:rPr>
            </m:ctrlPr>
          </m:sSubSupPr>
          <m:e>
            <m:r>
              <w:rPr>
                <w:rFonts w:ascii="Cambria Math" w:hAnsi="Cambria Math" w:cs="Times New Roman"/>
                <w:color w:val="auto"/>
                <w:lang w:val="en-GB"/>
              </w:rPr>
              <m:t>u</m:t>
            </m:r>
          </m:e>
          <m:sub>
            <m:r>
              <w:rPr>
                <w:rFonts w:ascii="Cambria Math" w:hAnsi="Cambria Math" w:cs="Times New Roman"/>
                <w:color w:val="auto"/>
                <w:lang w:val="en-GB"/>
              </w:rPr>
              <m:t>it</m:t>
            </m:r>
          </m:sub>
          <m:sup>
            <m:r>
              <w:rPr>
                <w:rFonts w:ascii="Cambria Math" w:hAnsi="Cambria Math" w:cs="Times New Roman"/>
                <w:color w:val="auto"/>
                <w:lang w:val="en-GB"/>
              </w:rPr>
              <m:t>*</m:t>
            </m:r>
          </m:sup>
        </m:sSubSup>
        <m:r>
          <w:rPr>
            <w:rFonts w:ascii="Cambria Math" w:hAnsi="Cambria Math" w:cs="Times New Roman"/>
            <w:color w:val="auto"/>
            <w:lang w:val="en-GB"/>
          </w:rPr>
          <m:t>~U(0,1)</m:t>
        </m:r>
      </m:oMath>
      <w:r w:rsidR="00FD371B" w:rsidRPr="00E50F9D">
        <w:rPr>
          <w:rFonts w:ascii="Times New Roman" w:hAnsi="Times New Roman" w:cs="Times New Roman"/>
          <w:bCs/>
          <w:color w:val="auto"/>
          <w:lang w:val="en-GB"/>
        </w:rPr>
        <w:t>.</w:t>
      </w:r>
    </w:p>
    <w:p w14:paraId="0D250FFE" w14:textId="084E1B33" w:rsidR="00BD5342" w:rsidRPr="00E50F9D" w:rsidRDefault="00FD371B" w:rsidP="00D02FAF">
      <w:pPr>
        <w:pStyle w:val="Default"/>
        <w:spacing w:line="480" w:lineRule="auto"/>
        <w:jc w:val="both"/>
        <w:rPr>
          <w:rFonts w:ascii="Times New Roman" w:hAnsi="Times New Roman" w:cs="Times New Roman"/>
          <w:bCs/>
          <w:color w:val="auto"/>
          <w:lang w:val="en-GB"/>
        </w:rPr>
      </w:pPr>
      <w:r w:rsidRPr="00E50F9D">
        <w:rPr>
          <w:rFonts w:ascii="Times New Roman" w:hAnsi="Times New Roman" w:cs="Times New Roman"/>
          <w:bCs/>
          <w:color w:val="auto"/>
          <w:lang w:val="en-GB"/>
        </w:rPr>
        <w:t xml:space="preserve">Moreover, </w:t>
      </w:r>
      <m:oMath>
        <m:r>
          <w:rPr>
            <w:rFonts w:ascii="Cambria Math" w:hAnsi="Cambria Math" w:cs="Times New Roman"/>
            <w:color w:val="auto"/>
            <w:lang w:val="en-GB"/>
          </w:rPr>
          <m:t>P</m:t>
        </m:r>
        <m:d>
          <m:dPr>
            <m:ctrlPr>
              <w:rPr>
                <w:rFonts w:ascii="Cambria Math" w:hAnsi="Cambria Math" w:cs="Times New Roman"/>
                <w:bCs/>
                <w:i/>
                <w:color w:val="auto"/>
                <w:lang w:val="en-GB"/>
              </w:rPr>
            </m:ctrlPr>
          </m:dPr>
          <m:e>
            <m:sSub>
              <m:sSubPr>
                <m:ctrlPr>
                  <w:rPr>
                    <w:rFonts w:ascii="Cambria Math" w:hAnsi="Cambria Math" w:cs="Times New Roman"/>
                    <w:i/>
                    <w:color w:val="auto"/>
                    <w:lang w:val="en-GB"/>
                  </w:rPr>
                </m:ctrlPr>
              </m:sSubPr>
              <m:e>
                <m:r>
                  <w:rPr>
                    <w:rFonts w:ascii="Cambria Math" w:hAnsi="Cambria Math" w:cs="Times New Roman"/>
                    <w:color w:val="auto"/>
                    <w:lang w:val="en-GB"/>
                  </w:rPr>
                  <m:t>Y</m:t>
                </m:r>
              </m:e>
              <m:sub>
                <m:r>
                  <w:rPr>
                    <w:rFonts w:ascii="Cambria Math" w:hAnsi="Cambria Math" w:cs="Times New Roman"/>
                    <w:color w:val="auto"/>
                    <w:lang w:val="en-GB"/>
                  </w:rPr>
                  <m:t>it</m:t>
                </m:r>
              </m:sub>
            </m:sSub>
            <m:r>
              <w:rPr>
                <w:rFonts w:ascii="Cambria Math" w:hAnsi="Cambria Math" w:cs="Times New Roman"/>
                <w:color w:val="auto"/>
                <w:lang w:val="en-GB"/>
              </w:rPr>
              <m:t>≤</m:t>
            </m:r>
            <m:sSubSup>
              <m:sSubSupPr>
                <m:ctrlPr>
                  <w:rPr>
                    <w:rFonts w:ascii="Cambria Math" w:hAnsi="Cambria Math" w:cs="Times New Roman"/>
                    <w:i/>
                    <w:color w:val="auto"/>
                    <w:lang w:val="en-GB"/>
                  </w:rPr>
                </m:ctrlPr>
              </m:sSubSupPr>
              <m:e>
                <m:r>
                  <w:rPr>
                    <w:rFonts w:ascii="Cambria Math" w:hAnsi="Cambria Math" w:cs="Times New Roman"/>
                    <w:color w:val="auto"/>
                    <w:lang w:val="en-GB"/>
                  </w:rPr>
                  <m:t>D</m:t>
                </m:r>
              </m:e>
              <m:sub>
                <m:r>
                  <w:rPr>
                    <w:rFonts w:ascii="Cambria Math" w:hAnsi="Cambria Math" w:cs="Times New Roman"/>
                    <w:color w:val="auto"/>
                    <w:lang w:val="en-GB"/>
                  </w:rPr>
                  <m:t>it</m:t>
                </m:r>
              </m:sub>
              <m:sup>
                <m:r>
                  <w:rPr>
                    <w:rFonts w:ascii="Cambria Math" w:hAnsi="Cambria Math" w:cs="Times New Roman"/>
                    <w:color w:val="auto"/>
                    <w:lang w:val="en-GB"/>
                  </w:rPr>
                  <m:t>'</m:t>
                </m:r>
              </m:sup>
            </m:sSubSup>
            <m:r>
              <w:rPr>
                <w:rFonts w:ascii="Cambria Math" w:hAnsi="Cambria Math" w:cs="Times New Roman"/>
                <w:color w:val="auto"/>
                <w:lang w:val="en-GB"/>
              </w:rPr>
              <m:t>β</m:t>
            </m:r>
            <m:d>
              <m:dPr>
                <m:ctrlPr>
                  <w:rPr>
                    <w:rFonts w:ascii="Cambria Math" w:hAnsi="Cambria Math" w:cs="Times New Roman"/>
                    <w:i/>
                    <w:color w:val="auto"/>
                    <w:lang w:val="en-GB"/>
                  </w:rPr>
                </m:ctrlPr>
              </m:dPr>
              <m:e>
                <m:r>
                  <w:rPr>
                    <w:rFonts w:ascii="Cambria Math" w:hAnsi="Cambria Math" w:cs="Times New Roman"/>
                    <w:color w:val="auto"/>
                    <w:lang w:val="en-GB"/>
                  </w:rPr>
                  <m:t>τ</m:t>
                </m:r>
              </m:e>
            </m:d>
            <m:ctrlPr>
              <w:rPr>
                <w:rFonts w:ascii="Cambria Math" w:hAnsi="Cambria Math" w:cs="Times New Roman"/>
                <w:i/>
                <w:color w:val="auto"/>
                <w:lang w:val="en-GB"/>
              </w:rPr>
            </m:ctrlPr>
          </m:e>
          <m:e>
            <m:sSub>
              <m:sSubPr>
                <m:ctrlPr>
                  <w:rPr>
                    <w:rFonts w:ascii="Cambria Math" w:hAnsi="Cambria Math" w:cs="Times New Roman"/>
                    <w:i/>
                    <w:color w:val="auto"/>
                    <w:lang w:val="en-GB"/>
                  </w:rPr>
                </m:ctrlPr>
              </m:sSubPr>
              <m:e>
                <m:r>
                  <w:rPr>
                    <w:rFonts w:ascii="Cambria Math" w:hAnsi="Cambria Math" w:cs="Times New Roman"/>
                    <w:color w:val="auto"/>
                    <w:lang w:val="en-GB"/>
                  </w:rPr>
                  <m:t>Z</m:t>
                </m:r>
              </m:e>
              <m:sub>
                <m:r>
                  <w:rPr>
                    <w:rFonts w:ascii="Cambria Math" w:hAnsi="Cambria Math" w:cs="Times New Roman"/>
                    <w:color w:val="auto"/>
                    <w:lang w:val="en-GB"/>
                  </w:rPr>
                  <m:t>it</m:t>
                </m:r>
              </m:sub>
            </m:sSub>
            <m:r>
              <w:rPr>
                <w:rFonts w:ascii="Cambria Math" w:hAnsi="Cambria Math" w:cs="Times New Roman"/>
                <w:color w:val="auto"/>
                <w:lang w:val="en-GB"/>
              </w:rPr>
              <m:t xml:space="preserve">, </m:t>
            </m:r>
            <m:sSub>
              <m:sSubPr>
                <m:ctrlPr>
                  <w:rPr>
                    <w:rFonts w:ascii="Cambria Math" w:hAnsi="Cambria Math" w:cs="Times New Roman"/>
                    <w:i/>
                    <w:color w:val="auto"/>
                    <w:lang w:val="en-GB"/>
                  </w:rPr>
                </m:ctrlPr>
              </m:sSubPr>
              <m:e>
                <m:r>
                  <w:rPr>
                    <w:rFonts w:ascii="Cambria Math" w:hAnsi="Cambria Math" w:cs="Times New Roman"/>
                    <w:color w:val="auto"/>
                    <w:lang w:val="en-GB"/>
                  </w:rPr>
                  <m:t>X</m:t>
                </m:r>
              </m:e>
              <m:sub>
                <m:r>
                  <w:rPr>
                    <w:rFonts w:ascii="Cambria Math" w:hAnsi="Cambria Math" w:cs="Times New Roman"/>
                    <w:color w:val="auto"/>
                    <w:lang w:val="en-GB"/>
                  </w:rPr>
                  <m:t>it</m:t>
                </m:r>
              </m:sub>
            </m:sSub>
            <m:ctrlPr>
              <w:rPr>
                <w:rFonts w:ascii="Cambria Math" w:hAnsi="Cambria Math" w:cs="Times New Roman"/>
                <w:i/>
                <w:color w:val="auto"/>
                <w:lang w:val="en-GB"/>
              </w:rPr>
            </m:ctrlPr>
          </m:e>
        </m:d>
        <m:r>
          <w:rPr>
            <w:rFonts w:ascii="Cambria Math" w:hAnsi="Cambria Math" w:cs="Times New Roman"/>
            <w:color w:val="auto"/>
            <w:lang w:val="en-GB"/>
          </w:rPr>
          <m:t>=P</m:t>
        </m:r>
        <m:d>
          <m:dPr>
            <m:ctrlPr>
              <w:rPr>
                <w:rFonts w:ascii="Cambria Math" w:hAnsi="Cambria Math" w:cs="Times New Roman"/>
                <w:bCs/>
                <w:i/>
                <w:color w:val="auto"/>
                <w:lang w:val="en-GB"/>
              </w:rPr>
            </m:ctrlPr>
          </m:dPr>
          <m:e>
            <m:sSub>
              <m:sSubPr>
                <m:ctrlPr>
                  <w:rPr>
                    <w:rFonts w:ascii="Cambria Math" w:hAnsi="Cambria Math" w:cs="Times New Roman"/>
                    <w:i/>
                    <w:color w:val="auto"/>
                    <w:lang w:val="en-GB"/>
                  </w:rPr>
                </m:ctrlPr>
              </m:sSubPr>
              <m:e>
                <m:r>
                  <w:rPr>
                    <w:rFonts w:ascii="Cambria Math" w:hAnsi="Cambria Math" w:cs="Times New Roman"/>
                    <w:color w:val="auto"/>
                    <w:lang w:val="en-GB"/>
                  </w:rPr>
                  <m:t>Y</m:t>
                </m:r>
              </m:e>
              <m:sub>
                <m:r>
                  <w:rPr>
                    <w:rFonts w:ascii="Cambria Math" w:hAnsi="Cambria Math" w:cs="Times New Roman"/>
                    <w:color w:val="auto"/>
                    <w:lang w:val="en-GB"/>
                  </w:rPr>
                  <m:t>it</m:t>
                </m:r>
              </m:sub>
            </m:sSub>
            <m:r>
              <w:rPr>
                <w:rFonts w:ascii="Cambria Math" w:hAnsi="Cambria Math" w:cs="Times New Roman"/>
                <w:color w:val="auto"/>
                <w:lang w:val="en-GB"/>
              </w:rPr>
              <m:t>≤</m:t>
            </m:r>
            <m:sSubSup>
              <m:sSubSupPr>
                <m:ctrlPr>
                  <w:rPr>
                    <w:rFonts w:ascii="Cambria Math" w:hAnsi="Cambria Math" w:cs="Times New Roman"/>
                    <w:i/>
                    <w:color w:val="auto"/>
                    <w:lang w:val="en-GB"/>
                  </w:rPr>
                </m:ctrlPr>
              </m:sSubSupPr>
              <m:e>
                <m:r>
                  <w:rPr>
                    <w:rFonts w:ascii="Cambria Math" w:hAnsi="Cambria Math" w:cs="Times New Roman"/>
                    <w:color w:val="auto"/>
                    <w:lang w:val="en-GB"/>
                  </w:rPr>
                  <m:t>D</m:t>
                </m:r>
              </m:e>
              <m:sub>
                <m:r>
                  <w:rPr>
                    <w:rFonts w:ascii="Cambria Math" w:hAnsi="Cambria Math" w:cs="Times New Roman"/>
                    <w:color w:val="auto"/>
                    <w:lang w:val="en-GB"/>
                  </w:rPr>
                  <m:t>it</m:t>
                </m:r>
              </m:sub>
              <m:sup>
                <m:r>
                  <w:rPr>
                    <w:rFonts w:ascii="Cambria Math" w:hAnsi="Cambria Math" w:cs="Times New Roman"/>
                    <w:color w:val="auto"/>
                    <w:lang w:val="en-GB"/>
                  </w:rPr>
                  <m:t>'</m:t>
                </m:r>
              </m:sup>
            </m:sSubSup>
            <m:r>
              <w:rPr>
                <w:rFonts w:ascii="Cambria Math" w:hAnsi="Cambria Math" w:cs="Times New Roman"/>
                <w:color w:val="auto"/>
                <w:lang w:val="en-GB"/>
              </w:rPr>
              <m:t>β</m:t>
            </m:r>
            <m:d>
              <m:dPr>
                <m:ctrlPr>
                  <w:rPr>
                    <w:rFonts w:ascii="Cambria Math" w:hAnsi="Cambria Math" w:cs="Times New Roman"/>
                    <w:i/>
                    <w:color w:val="auto"/>
                    <w:lang w:val="en-GB"/>
                  </w:rPr>
                </m:ctrlPr>
              </m:dPr>
              <m:e>
                <m:r>
                  <w:rPr>
                    <w:rFonts w:ascii="Cambria Math" w:hAnsi="Cambria Math" w:cs="Times New Roman"/>
                    <w:color w:val="auto"/>
                    <w:lang w:val="en-GB"/>
                  </w:rPr>
                  <m:t>τ</m:t>
                </m:r>
              </m:e>
            </m:d>
            <m:ctrlPr>
              <w:rPr>
                <w:rFonts w:ascii="Cambria Math" w:hAnsi="Cambria Math" w:cs="Times New Roman"/>
                <w:i/>
                <w:color w:val="auto"/>
                <w:lang w:val="en-GB"/>
              </w:rPr>
            </m:ctrlPr>
          </m:e>
          <m:e>
            <m:r>
              <w:rPr>
                <w:rFonts w:ascii="Cambria Math" w:hAnsi="Cambria Math" w:cs="Times New Roman"/>
                <w:color w:val="auto"/>
                <w:lang w:val="en-GB"/>
              </w:rPr>
              <m:t xml:space="preserve"> </m:t>
            </m:r>
            <m:sSub>
              <m:sSubPr>
                <m:ctrlPr>
                  <w:rPr>
                    <w:rFonts w:ascii="Cambria Math" w:hAnsi="Cambria Math" w:cs="Times New Roman"/>
                    <w:i/>
                    <w:color w:val="auto"/>
                    <w:lang w:val="en-GB"/>
                  </w:rPr>
                </m:ctrlPr>
              </m:sSubPr>
              <m:e>
                <m:r>
                  <w:rPr>
                    <w:rFonts w:ascii="Cambria Math" w:hAnsi="Cambria Math" w:cs="Times New Roman"/>
                    <w:color w:val="auto"/>
                    <w:lang w:val="en-GB"/>
                  </w:rPr>
                  <m:t>X</m:t>
                </m:r>
              </m:e>
              <m:sub>
                <m:r>
                  <w:rPr>
                    <w:rFonts w:ascii="Cambria Math" w:hAnsi="Cambria Math" w:cs="Times New Roman"/>
                    <w:color w:val="auto"/>
                    <w:lang w:val="en-GB"/>
                  </w:rPr>
                  <m:t>it</m:t>
                </m:r>
              </m:sub>
            </m:sSub>
            <m:ctrlPr>
              <w:rPr>
                <w:rFonts w:ascii="Cambria Math" w:hAnsi="Cambria Math" w:cs="Times New Roman"/>
                <w:i/>
                <w:color w:val="auto"/>
                <w:lang w:val="en-GB"/>
              </w:rPr>
            </m:ctrlPr>
          </m:e>
        </m:d>
        <m:r>
          <w:rPr>
            <w:rFonts w:ascii="Cambria Math" w:hAnsi="Cambria Math" w:cs="Times New Roman"/>
            <w:color w:val="auto"/>
            <w:lang w:val="en-GB"/>
          </w:rPr>
          <m:t>= τ</m:t>
        </m:r>
        <m:sSub>
          <m:sSubPr>
            <m:ctrlPr>
              <w:rPr>
                <w:rFonts w:ascii="Cambria Math" w:hAnsi="Cambria Math" w:cs="Times New Roman"/>
                <w:i/>
                <w:color w:val="auto"/>
                <w:lang w:val="en-GB"/>
              </w:rPr>
            </m:ctrlPr>
          </m:sSubPr>
          <m:e>
            <m:r>
              <w:rPr>
                <w:rFonts w:ascii="Cambria Math" w:hAnsi="Cambria Math" w:cs="Times New Roman"/>
                <w:color w:val="auto"/>
                <w:lang w:val="en-GB"/>
              </w:rPr>
              <m:t>X</m:t>
            </m:r>
          </m:e>
          <m:sub>
            <m:r>
              <w:rPr>
                <w:rFonts w:ascii="Cambria Math" w:hAnsi="Cambria Math" w:cs="Times New Roman"/>
                <w:color w:val="auto"/>
                <w:lang w:val="en-GB"/>
              </w:rPr>
              <m:t>it</m:t>
            </m:r>
          </m:sub>
        </m:sSub>
      </m:oMath>
      <w:r w:rsidR="00915426" w:rsidRPr="00E50F9D">
        <w:rPr>
          <w:rFonts w:ascii="Times New Roman" w:hAnsi="Times New Roman" w:cs="Times New Roman"/>
          <w:color w:val="auto"/>
          <w:lang w:val="en-GB"/>
        </w:rPr>
        <w:t xml:space="preserve">, where </w:t>
      </w:r>
      <m:oMath>
        <m:r>
          <w:rPr>
            <w:rFonts w:ascii="Cambria Math" w:hAnsi="Cambria Math" w:cs="Times New Roman"/>
            <w:color w:val="auto"/>
            <w:lang w:val="en-GB"/>
          </w:rPr>
          <m:t xml:space="preserve">τ </m:t>
        </m:r>
      </m:oMath>
      <w:r w:rsidR="00915426" w:rsidRPr="00E50F9D">
        <w:rPr>
          <w:rFonts w:ascii="Times New Roman" w:hAnsi="Times New Roman" w:cs="Times New Roman"/>
          <w:color w:val="auto"/>
          <w:lang w:val="en-GB"/>
        </w:rPr>
        <w:t xml:space="preserve">denotes the quantile of the distribution. </w:t>
      </w:r>
      <w:r w:rsidR="00D02FAF" w:rsidRPr="00E50F9D">
        <w:rPr>
          <w:rFonts w:ascii="Times New Roman" w:hAnsi="Times New Roman" w:cs="Times New Roman"/>
          <w:bCs/>
          <w:color w:val="auto"/>
          <w:lang w:val="en-GB"/>
        </w:rPr>
        <w:t xml:space="preserve">Powell (2016) maintains the non-separable disturbance property implicit in </w:t>
      </w:r>
      <w:r w:rsidR="00915426" w:rsidRPr="00E50F9D">
        <w:rPr>
          <w:rFonts w:ascii="Times New Roman" w:hAnsi="Times New Roman" w:cs="Times New Roman"/>
          <w:bCs/>
          <w:color w:val="auto"/>
          <w:lang w:val="en-GB"/>
        </w:rPr>
        <w:t>conditional quantile regression</w:t>
      </w:r>
      <w:r w:rsidR="00D02FAF" w:rsidRPr="00E50F9D">
        <w:rPr>
          <w:rFonts w:ascii="Times New Roman" w:hAnsi="Times New Roman" w:cs="Times New Roman"/>
          <w:bCs/>
          <w:color w:val="auto"/>
          <w:lang w:val="en-GB"/>
        </w:rPr>
        <w:t>. The exogeneity assumption is that within-individual changes in the policy variables</w:t>
      </w:r>
      <w:r w:rsidR="004711F2" w:rsidRPr="00E50F9D">
        <w:rPr>
          <w:rFonts w:ascii="Times New Roman" w:hAnsi="Times New Roman" w:cs="Times New Roman"/>
          <w:bCs/>
          <w:color w:val="auto"/>
          <w:lang w:val="en-GB"/>
        </w:rPr>
        <w:t>, they</w:t>
      </w:r>
      <w:r w:rsidR="00D02FAF" w:rsidRPr="00E50F9D">
        <w:rPr>
          <w:rFonts w:ascii="Times New Roman" w:hAnsi="Times New Roman" w:cs="Times New Roman"/>
          <w:bCs/>
          <w:color w:val="auto"/>
          <w:lang w:val="en-GB"/>
        </w:rPr>
        <w:t xml:space="preserve"> do not provide information about changes in the disturbance term, </w:t>
      </w:r>
      <m:oMath>
        <m:sSubSup>
          <m:sSubSupPr>
            <m:ctrlPr>
              <w:rPr>
                <w:rFonts w:ascii="Cambria Math" w:hAnsi="Cambria Math" w:cs="Times New Roman"/>
                <w:bCs/>
                <w:i/>
                <w:color w:val="auto"/>
                <w:lang w:val="en-GB"/>
              </w:rPr>
            </m:ctrlPr>
          </m:sSubSupPr>
          <m:e>
            <m:r>
              <w:rPr>
                <w:rFonts w:ascii="Cambria Math" w:hAnsi="Cambria Math" w:cs="Times New Roman"/>
                <w:color w:val="auto"/>
                <w:lang w:val="en-GB"/>
              </w:rPr>
              <m:t>u</m:t>
            </m:r>
          </m:e>
          <m:sub>
            <m:r>
              <w:rPr>
                <w:rFonts w:ascii="Cambria Math" w:hAnsi="Cambria Math" w:cs="Times New Roman"/>
                <w:color w:val="auto"/>
                <w:lang w:val="en-GB"/>
              </w:rPr>
              <m:t>it</m:t>
            </m:r>
          </m:sub>
          <m:sup>
            <m:r>
              <w:rPr>
                <w:rFonts w:ascii="Cambria Math" w:hAnsi="Cambria Math" w:cs="Times New Roman"/>
                <w:color w:val="auto"/>
                <w:lang w:val="en-GB"/>
              </w:rPr>
              <m:t>*</m:t>
            </m:r>
          </m:sup>
        </m:sSubSup>
      </m:oMath>
      <w:r w:rsidR="00D02FAF" w:rsidRPr="00E50F9D">
        <w:rPr>
          <w:rFonts w:ascii="Times New Roman" w:hAnsi="Times New Roman" w:cs="Times New Roman"/>
          <w:bCs/>
          <w:color w:val="auto"/>
          <w:lang w:val="en-GB"/>
        </w:rPr>
        <w:t xml:space="preserve">.  </w:t>
      </w:r>
    </w:p>
    <w:p w14:paraId="2E476F6C" w14:textId="77777777" w:rsidR="00FB153B" w:rsidRPr="00E50F9D" w:rsidRDefault="00FB153B" w:rsidP="00C27140">
      <w:pPr>
        <w:spacing w:after="0" w:line="480" w:lineRule="auto"/>
        <w:jc w:val="both"/>
        <w:rPr>
          <w:rFonts w:ascii="Times New Roman" w:hAnsi="Times New Roman" w:cs="Times New Roman"/>
          <w:b/>
          <w:bCs/>
          <w:sz w:val="24"/>
          <w:szCs w:val="24"/>
          <w:lang w:val="en-GB"/>
        </w:rPr>
      </w:pPr>
    </w:p>
    <w:p w14:paraId="4BC7C1F4" w14:textId="4550227A" w:rsidR="00C27140" w:rsidRPr="00E50F9D" w:rsidRDefault="00C27140" w:rsidP="00C27140">
      <w:pPr>
        <w:spacing w:after="0" w:line="480" w:lineRule="auto"/>
        <w:jc w:val="both"/>
        <w:rPr>
          <w:rFonts w:ascii="Times New Roman" w:hAnsi="Times New Roman" w:cs="Times New Roman"/>
          <w:b/>
          <w:bCs/>
          <w:sz w:val="24"/>
          <w:szCs w:val="24"/>
          <w:lang w:val="en-GB"/>
        </w:rPr>
      </w:pPr>
      <w:r w:rsidRPr="00E50F9D">
        <w:rPr>
          <w:rFonts w:ascii="Times New Roman" w:hAnsi="Times New Roman" w:cs="Times New Roman"/>
          <w:b/>
          <w:bCs/>
          <w:sz w:val="24"/>
          <w:szCs w:val="24"/>
          <w:lang w:val="en-GB"/>
        </w:rPr>
        <w:t>3.</w:t>
      </w:r>
      <w:r w:rsidR="00C82E59" w:rsidRPr="00E50F9D">
        <w:rPr>
          <w:rFonts w:ascii="Times New Roman" w:hAnsi="Times New Roman" w:cs="Times New Roman"/>
          <w:b/>
          <w:bCs/>
          <w:sz w:val="24"/>
          <w:szCs w:val="24"/>
          <w:lang w:val="en-GB"/>
        </w:rPr>
        <w:t>4</w:t>
      </w:r>
      <w:r w:rsidRPr="00E50F9D">
        <w:rPr>
          <w:rFonts w:ascii="Times New Roman" w:hAnsi="Times New Roman" w:cs="Times New Roman"/>
          <w:b/>
          <w:bCs/>
          <w:sz w:val="24"/>
          <w:szCs w:val="24"/>
          <w:lang w:val="en-GB"/>
        </w:rPr>
        <w:t xml:space="preserve"> The measure of monopoly market power</w:t>
      </w:r>
    </w:p>
    <w:p w14:paraId="31F35312" w14:textId="39EAF122" w:rsidR="00C27140" w:rsidRPr="00E50F9D" w:rsidRDefault="00096037" w:rsidP="00CD4EE0">
      <w:pPr>
        <w:pStyle w:val="FootnoteText"/>
        <w:spacing w:after="120" w:line="480" w:lineRule="auto"/>
        <w:ind w:firstLine="567"/>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In order to measure</w:t>
      </w:r>
      <w:r w:rsidR="00C27140" w:rsidRPr="00E50F9D">
        <w:rPr>
          <w:rFonts w:ascii="Times New Roman" w:hAnsi="Times New Roman" w:cs="Times New Roman"/>
          <w:sz w:val="24"/>
          <w:szCs w:val="24"/>
          <w:lang w:val="en-GB"/>
        </w:rPr>
        <w:t xml:space="preserve"> the monopoly market power of a bank, we make use of the Lerner Index (</w:t>
      </w:r>
      <w:r w:rsidR="00C27140" w:rsidRPr="00E50F9D">
        <w:rPr>
          <w:rFonts w:ascii="Times New Roman" w:hAnsi="Times New Roman" w:cs="Times New Roman"/>
          <w:i/>
          <w:iCs/>
          <w:sz w:val="24"/>
          <w:szCs w:val="24"/>
          <w:lang w:val="en-GB"/>
        </w:rPr>
        <w:t>LERNER</w:t>
      </w:r>
      <w:r w:rsidR="00C27140" w:rsidRPr="00E50F9D">
        <w:rPr>
          <w:rFonts w:ascii="Times New Roman" w:hAnsi="Times New Roman" w:cs="Times New Roman"/>
          <w:sz w:val="24"/>
          <w:szCs w:val="24"/>
          <w:lang w:val="en-GB"/>
        </w:rPr>
        <w:t>)</w:t>
      </w:r>
      <w:r w:rsidR="004D3435" w:rsidRPr="00E50F9D">
        <w:rPr>
          <w:rFonts w:ascii="Times New Roman" w:hAnsi="Times New Roman" w:cs="Times New Roman"/>
          <w:sz w:val="24"/>
          <w:szCs w:val="24"/>
          <w:lang w:val="en-GB"/>
        </w:rPr>
        <w:t xml:space="preserve"> largely used in the banking literature (recently, </w:t>
      </w:r>
      <w:r w:rsidR="00206CF4" w:rsidRPr="00E50F9D">
        <w:rPr>
          <w:rFonts w:ascii="Times New Roman" w:hAnsi="Times New Roman" w:cs="Times New Roman"/>
          <w:sz w:val="24"/>
          <w:szCs w:val="24"/>
          <w:lang w:val="en-GB"/>
        </w:rPr>
        <w:t xml:space="preserve">Carbo´ et al., 2009; </w:t>
      </w:r>
      <w:r w:rsidR="004D3435" w:rsidRPr="00E50F9D">
        <w:rPr>
          <w:rFonts w:ascii="Times New Roman" w:hAnsi="Times New Roman" w:cs="Times New Roman"/>
          <w:sz w:val="24"/>
          <w:szCs w:val="24"/>
          <w:lang w:val="en-GB"/>
        </w:rPr>
        <w:t>Koetter et al. 2012</w:t>
      </w:r>
      <w:r w:rsidR="00206CF4" w:rsidRPr="00E50F9D">
        <w:rPr>
          <w:rFonts w:ascii="Times New Roman" w:hAnsi="Times New Roman" w:cs="Times New Roman"/>
          <w:sz w:val="24"/>
          <w:szCs w:val="24"/>
          <w:lang w:val="en-GB"/>
        </w:rPr>
        <w:t>; Forssbæck and Shehzad, 2015)</w:t>
      </w:r>
      <w:r w:rsidR="00BD4E35" w:rsidRPr="00E50F9D">
        <w:rPr>
          <w:rFonts w:ascii="Times New Roman" w:hAnsi="Times New Roman" w:cs="Times New Roman"/>
          <w:sz w:val="24"/>
          <w:szCs w:val="24"/>
          <w:lang w:val="en-GB"/>
        </w:rPr>
        <w:t>. I</w:t>
      </w:r>
      <w:r w:rsidR="00C27140" w:rsidRPr="00E50F9D">
        <w:rPr>
          <w:rFonts w:ascii="Times New Roman" w:hAnsi="Times New Roman" w:cs="Times New Roman"/>
          <w:sz w:val="24"/>
          <w:szCs w:val="24"/>
          <w:lang w:val="en-GB"/>
        </w:rPr>
        <w:t xml:space="preserve">t measures the extent to which a bank is able to set a price above its marginal cost.  The formula is expressed as follows: </w:t>
      </w:r>
    </w:p>
    <w:p w14:paraId="5EC6B420" w14:textId="418174CA" w:rsidR="00C27140" w:rsidRPr="00E50F9D" w:rsidRDefault="00C27140" w:rsidP="00C27140">
      <w:pPr>
        <w:pStyle w:val="FootnoteText"/>
        <w:spacing w:after="120" w:line="480" w:lineRule="auto"/>
        <w:rPr>
          <w:rFonts w:ascii="Times New Roman" w:hAnsi="Times New Roman" w:cs="Times New Roman"/>
          <w:sz w:val="24"/>
          <w:szCs w:val="24"/>
          <w:lang w:val="de-DE"/>
        </w:rPr>
      </w:pPr>
      <w:r w:rsidRPr="00E50F9D">
        <w:rPr>
          <w:rFonts w:ascii="Times New Roman" w:hAnsi="Times New Roman" w:cs="Times New Roman"/>
          <w:sz w:val="24"/>
          <w:szCs w:val="24"/>
          <w:lang w:val="de-DE"/>
        </w:rPr>
        <w:t>LERNER=(</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it</m:t>
            </m:r>
          </m:sub>
        </m:sSub>
      </m:oMath>
      <w:r w:rsidRPr="00E50F9D">
        <w:rPr>
          <w:rFonts w:ascii="Times New Roman" w:hAnsi="Times New Roman" w:cs="Times New Roman"/>
          <w:sz w:val="24"/>
          <w:szCs w:val="24"/>
          <w:lang w:val="de-DE"/>
        </w:rPr>
        <w:t xml:space="preserve"> -</w:t>
      </w:r>
      <m:oMath>
        <m:r>
          <w:rPr>
            <w:rFonts w:ascii="Cambria Math" w:hAnsi="Cambria Math" w:cs="Times New Roman"/>
            <w:sz w:val="24"/>
            <w:szCs w:val="24"/>
            <w:lang w:val="de-DE"/>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MC</m:t>
            </m:r>
          </m:e>
          <m:sub>
            <m:r>
              <w:rPr>
                <w:rFonts w:ascii="Cambria Math" w:hAnsi="Cambria Math" w:cs="Times New Roman"/>
                <w:sz w:val="24"/>
                <w:szCs w:val="24"/>
                <w:lang w:val="en-GB"/>
              </w:rPr>
              <m:t>it</m:t>
            </m:r>
          </m:sub>
        </m:sSub>
      </m:oMath>
      <w:r w:rsidRPr="00E50F9D">
        <w:rPr>
          <w:rFonts w:ascii="Times New Roman" w:hAnsi="Times New Roman" w:cs="Times New Roman"/>
          <w:sz w:val="24"/>
          <w:szCs w:val="24"/>
          <w:lang w:val="de-DE"/>
        </w:rPr>
        <w:t>)/</w:t>
      </w:r>
      <m:oMath>
        <m:r>
          <w:rPr>
            <w:rFonts w:ascii="Cambria Math" w:hAnsi="Cambria Math" w:cs="Times New Roman"/>
            <w:sz w:val="24"/>
            <w:szCs w:val="24"/>
            <w:lang w:val="de-DE"/>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it</m:t>
            </m:r>
          </m:sub>
        </m:sSub>
      </m:oMath>
      <w:r w:rsidRPr="00E50F9D">
        <w:rPr>
          <w:rFonts w:ascii="Times New Roman" w:hAnsi="Times New Roman" w:cs="Times New Roman"/>
          <w:sz w:val="24"/>
          <w:szCs w:val="24"/>
          <w:lang w:val="de-DE"/>
        </w:rPr>
        <w:t xml:space="preserve">                                                                         </w:t>
      </w:r>
      <w:r w:rsidR="00CC61FF" w:rsidRPr="00E50F9D">
        <w:rPr>
          <w:rFonts w:ascii="Times New Roman" w:hAnsi="Times New Roman" w:cs="Times New Roman"/>
          <w:sz w:val="24"/>
          <w:szCs w:val="24"/>
          <w:lang w:val="de-DE"/>
        </w:rPr>
        <w:t xml:space="preserve">                             </w:t>
      </w:r>
      <w:r w:rsidR="00CC61FF" w:rsidRPr="00E50F9D">
        <w:rPr>
          <w:rFonts w:ascii="Times New Roman" w:hAnsi="Times New Roman" w:cs="Times New Roman"/>
          <w:i/>
          <w:iCs/>
          <w:sz w:val="24"/>
          <w:szCs w:val="24"/>
          <w:lang w:val="de-DE"/>
        </w:rPr>
        <w:t>(</w:t>
      </w:r>
      <w:r w:rsidR="005F3B0D">
        <w:rPr>
          <w:rFonts w:ascii="Times New Roman" w:hAnsi="Times New Roman" w:cs="Times New Roman"/>
          <w:i/>
          <w:iCs/>
          <w:sz w:val="24"/>
          <w:szCs w:val="24"/>
          <w:lang w:val="de-DE"/>
        </w:rPr>
        <w:t>5</w:t>
      </w:r>
      <w:r w:rsidR="00D5002D" w:rsidRPr="00E50F9D">
        <w:rPr>
          <w:rFonts w:ascii="Times New Roman" w:hAnsi="Times New Roman" w:cs="Times New Roman"/>
          <w:i/>
          <w:iCs/>
          <w:sz w:val="24"/>
          <w:szCs w:val="24"/>
          <w:lang w:val="de-DE"/>
        </w:rPr>
        <w:t>)</w:t>
      </w:r>
      <w:r w:rsidRPr="00E50F9D">
        <w:rPr>
          <w:rFonts w:ascii="Times New Roman" w:hAnsi="Times New Roman" w:cs="Times New Roman"/>
          <w:sz w:val="24"/>
          <w:szCs w:val="24"/>
          <w:lang w:val="de-DE"/>
        </w:rPr>
        <w:t xml:space="preserve">       </w:t>
      </w:r>
    </w:p>
    <w:p w14:paraId="7FFFC656" w14:textId="1D1E4458" w:rsidR="00C27140" w:rsidRPr="00E50F9D" w:rsidRDefault="00C27140" w:rsidP="007B673C">
      <w:pPr>
        <w:pStyle w:val="FootnoteText"/>
        <w:spacing w:after="120" w:line="480" w:lineRule="auto"/>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 xml:space="preserve">where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P</m:t>
            </m:r>
          </m:e>
          <m:sub>
            <m:r>
              <m:rPr>
                <m:sty m:val="p"/>
              </m:rPr>
              <w:rPr>
                <w:rFonts w:ascii="Cambria Math" w:hAnsi="Cambria Math" w:cs="Times New Roman"/>
                <w:sz w:val="24"/>
                <w:szCs w:val="24"/>
                <w:lang w:val="en-GB"/>
              </w:rPr>
              <m:t>it</m:t>
            </m:r>
          </m:sub>
        </m:sSub>
      </m:oMath>
      <w:r w:rsidRPr="00E50F9D">
        <w:rPr>
          <w:rFonts w:ascii="Times New Roman" w:hAnsi="Times New Roman" w:cs="Times New Roman"/>
          <w:sz w:val="24"/>
          <w:szCs w:val="24"/>
          <w:lang w:val="en-GB"/>
        </w:rPr>
        <w:t xml:space="preserve"> is the price and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MC</m:t>
            </m:r>
          </m:e>
          <m:sub>
            <m:r>
              <m:rPr>
                <m:sty m:val="p"/>
              </m:rPr>
              <w:rPr>
                <w:rFonts w:ascii="Cambria Math" w:hAnsi="Cambria Math" w:cs="Times New Roman"/>
                <w:sz w:val="24"/>
                <w:szCs w:val="24"/>
                <w:lang w:val="en-GB"/>
              </w:rPr>
              <m:t>it</m:t>
            </m:r>
          </m:sub>
        </m:sSub>
      </m:oMath>
      <w:r w:rsidRPr="00E50F9D">
        <w:rPr>
          <w:rFonts w:ascii="Times New Roman" w:hAnsi="Times New Roman" w:cs="Times New Roman"/>
          <w:sz w:val="24"/>
          <w:szCs w:val="24"/>
          <w:lang w:val="en-GB"/>
        </w:rPr>
        <w:t xml:space="preserve"> is the marginal cost. </w:t>
      </w:r>
      <w:r w:rsidR="004750EE" w:rsidRPr="00E50F9D">
        <w:rPr>
          <w:rFonts w:ascii="Times New Roman" w:hAnsi="Times New Roman" w:cs="Times New Roman"/>
          <w:sz w:val="24"/>
          <w:szCs w:val="24"/>
          <w:lang w:val="en-GB"/>
        </w:rPr>
        <w:t xml:space="preserve">Since we aim to analyze the effect of local banking structure on the market power in loan and deposit markets, we calculate two Lerner Indexes for both loans and deposits. Specifically, in the </w:t>
      </w:r>
      <w:r w:rsidRPr="00E50F9D">
        <w:rPr>
          <w:rFonts w:ascii="Times New Roman" w:hAnsi="Times New Roman" w:cs="Times New Roman"/>
          <w:sz w:val="24"/>
          <w:szCs w:val="24"/>
          <w:lang w:val="en-GB"/>
        </w:rPr>
        <w:t>Lern</w:t>
      </w:r>
      <w:r w:rsidR="00F01380" w:rsidRPr="00E50F9D">
        <w:rPr>
          <w:rFonts w:ascii="Times New Roman" w:hAnsi="Times New Roman" w:cs="Times New Roman"/>
          <w:sz w:val="24"/>
          <w:szCs w:val="24"/>
          <w:lang w:val="en-GB"/>
        </w:rPr>
        <w:t>er index for loans</w:t>
      </w:r>
      <w:r w:rsidR="008F0135" w:rsidRPr="00E50F9D">
        <w:rPr>
          <w:rFonts w:ascii="Times New Roman" w:hAnsi="Times New Roman" w:cs="Times New Roman"/>
          <w:sz w:val="24"/>
          <w:szCs w:val="24"/>
          <w:lang w:val="en-GB"/>
        </w:rPr>
        <w:t>,</w:t>
      </w:r>
      <w:r w:rsidR="00BD4E35" w:rsidRPr="00E50F9D">
        <w:rPr>
          <w:rFonts w:ascii="Times New Roman" w:hAnsi="Times New Roman" w:cs="Times New Roman"/>
          <w:sz w:val="24"/>
          <w:szCs w:val="24"/>
          <w:lang w:val="en-GB"/>
        </w:rPr>
        <w:t xml:space="preserve">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P</m:t>
            </m:r>
          </m:e>
          <m:sub>
            <m:r>
              <m:rPr>
                <m:sty m:val="p"/>
              </m:rPr>
              <w:rPr>
                <w:rFonts w:ascii="Cambria Math" w:hAnsi="Cambria Math" w:cs="Times New Roman"/>
                <w:sz w:val="24"/>
                <w:szCs w:val="24"/>
                <w:lang w:val="en-GB"/>
              </w:rPr>
              <m:t>it</m:t>
            </m:r>
          </m:sub>
        </m:sSub>
      </m:oMath>
      <w:r w:rsidR="002E68E9" w:rsidRPr="00E50F9D">
        <w:rPr>
          <w:rFonts w:ascii="Times New Roman" w:hAnsi="Times New Roman" w:cs="Times New Roman"/>
          <w:sz w:val="24"/>
          <w:szCs w:val="24"/>
          <w:lang w:val="en-GB"/>
        </w:rPr>
        <w:t xml:space="preserve"> </w:t>
      </w:r>
      <w:r w:rsidR="004750EE" w:rsidRPr="00E50F9D">
        <w:rPr>
          <w:rFonts w:ascii="Times New Roman" w:hAnsi="Times New Roman" w:cs="Times New Roman"/>
          <w:sz w:val="24"/>
          <w:szCs w:val="24"/>
          <w:lang w:val="en-GB"/>
        </w:rPr>
        <w:t xml:space="preserve">is </w:t>
      </w:r>
      <w:r w:rsidR="00F01380" w:rsidRPr="00E50F9D">
        <w:rPr>
          <w:rFonts w:ascii="Times New Roman" w:hAnsi="Times New Roman" w:cs="Times New Roman"/>
          <w:sz w:val="24"/>
          <w:szCs w:val="24"/>
          <w:lang w:val="en-GB"/>
        </w:rPr>
        <w:t xml:space="preserve"> </w:t>
      </w:r>
      <w:r w:rsidR="004750EE" w:rsidRPr="00E50F9D">
        <w:rPr>
          <w:rFonts w:ascii="Times New Roman" w:hAnsi="Times New Roman" w:cs="Times New Roman"/>
          <w:sz w:val="24"/>
          <w:szCs w:val="24"/>
          <w:lang w:val="en-GB"/>
        </w:rPr>
        <w:t>the ratio of interest income (</w:t>
      </w:r>
      <m:oMath>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Lit</m:t>
            </m:r>
          </m:sub>
        </m:sSub>
        <m:r>
          <w:rPr>
            <w:rFonts w:ascii="Cambria Math" w:hAnsi="Cambria Math" w:cs="Times New Roman"/>
            <w:sz w:val="24"/>
            <w:szCs w:val="24"/>
            <w:lang w:val="en-GB"/>
          </w:rPr>
          <m:t xml:space="preserve">), </m:t>
        </m:r>
      </m:oMath>
      <w:r w:rsidR="004750EE" w:rsidRPr="00E50F9D">
        <w:rPr>
          <w:rFonts w:ascii="Times New Roman" w:hAnsi="Times New Roman" w:cs="Times New Roman"/>
          <w:sz w:val="24"/>
          <w:szCs w:val="24"/>
          <w:lang w:val="en-GB"/>
        </w:rPr>
        <w:t xml:space="preserve">while in the Lerner index for </w:t>
      </w:r>
      <w:r w:rsidR="00F01380" w:rsidRPr="00E50F9D">
        <w:rPr>
          <w:rFonts w:ascii="Times New Roman" w:hAnsi="Times New Roman" w:cs="Times New Roman"/>
          <w:sz w:val="24"/>
          <w:szCs w:val="24"/>
          <w:lang w:val="en-GB"/>
        </w:rPr>
        <w:t>deposits</w:t>
      </w:r>
      <w:r w:rsidR="00BD4E35" w:rsidRPr="00E50F9D">
        <w:rPr>
          <w:rFonts w:ascii="Times New Roman" w:hAnsi="Times New Roman" w:cs="Times New Roman"/>
          <w:sz w:val="24"/>
          <w:szCs w:val="24"/>
          <w:lang w:val="en-GB"/>
        </w:rPr>
        <w:t xml:space="preserve"> </w:t>
      </w:r>
      <w:r w:rsidR="00096037" w:rsidRPr="00E50F9D">
        <w:rPr>
          <w:rFonts w:ascii="Times New Roman" w:hAnsi="Times New Roman" w:cs="Times New Roman"/>
          <w:sz w:val="24"/>
          <w:szCs w:val="24"/>
          <w:lang w:val="en-GB"/>
        </w:rPr>
        <w:t xml:space="preserve">it </w:t>
      </w:r>
      <w:r w:rsidR="004750EE" w:rsidRPr="00E50F9D">
        <w:rPr>
          <w:rFonts w:ascii="Times New Roman" w:hAnsi="Times New Roman" w:cs="Times New Roman"/>
          <w:sz w:val="24"/>
          <w:szCs w:val="24"/>
          <w:lang w:val="en-GB"/>
        </w:rPr>
        <w:t xml:space="preserve">is </w:t>
      </w:r>
      <w:r w:rsidRPr="00E50F9D">
        <w:rPr>
          <w:rFonts w:ascii="Times New Roman" w:hAnsi="Times New Roman" w:cs="Times New Roman"/>
          <w:sz w:val="24"/>
          <w:szCs w:val="24"/>
          <w:lang w:val="en-GB"/>
        </w:rPr>
        <w:t xml:space="preserve">the ratio of interest </w:t>
      </w:r>
      <w:r w:rsidR="004750EE" w:rsidRPr="00E50F9D">
        <w:rPr>
          <w:rFonts w:ascii="Times New Roman" w:hAnsi="Times New Roman" w:cs="Times New Roman"/>
          <w:sz w:val="24"/>
          <w:szCs w:val="24"/>
          <w:lang w:val="en-GB"/>
        </w:rPr>
        <w:t>expenses</w:t>
      </w:r>
      <w:r w:rsidRPr="00E50F9D">
        <w:rPr>
          <w:rFonts w:ascii="Times New Roman" w:hAnsi="Times New Roman" w:cs="Times New Roman"/>
          <w:sz w:val="24"/>
          <w:szCs w:val="24"/>
          <w:lang w:val="en-GB"/>
        </w:rPr>
        <w:t xml:space="preserve"> on deposits</w:t>
      </w:r>
      <w:r w:rsidR="004750EE" w:rsidRPr="00E50F9D">
        <w:rPr>
          <w:rFonts w:ascii="Times New Roman" w:hAnsi="Times New Roman" w:cs="Times New Roman"/>
          <w:sz w:val="24"/>
          <w:szCs w:val="24"/>
          <w:lang w:val="en-GB"/>
        </w:rPr>
        <w:t xml:space="preserve"> (</w:t>
      </w:r>
      <m:oMath>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Dit</m:t>
            </m:r>
          </m:sub>
        </m:sSub>
      </m:oMath>
      <w:r w:rsidR="004750EE"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w:t>
      </w:r>
      <w:r w:rsidR="00290963" w:rsidRPr="00E50F9D">
        <w:rPr>
          <w:rFonts w:ascii="Times New Roman" w:hAnsi="Times New Roman" w:cs="Times New Roman"/>
          <w:sz w:val="24"/>
          <w:szCs w:val="24"/>
          <w:lang w:val="en-GB"/>
        </w:rPr>
        <w:t xml:space="preserve"> </w:t>
      </w:r>
      <w:r w:rsidR="00524414" w:rsidRPr="00E50F9D">
        <w:rPr>
          <w:rFonts w:ascii="Times New Roman" w:hAnsi="Times New Roman" w:cs="Times New Roman"/>
          <w:sz w:val="24"/>
          <w:szCs w:val="24"/>
          <w:lang w:val="en-GB"/>
        </w:rPr>
        <w:t>T</w:t>
      </w:r>
      <w:r w:rsidRPr="00E50F9D">
        <w:rPr>
          <w:rFonts w:ascii="Times New Roman" w:hAnsi="Times New Roman" w:cs="Times New Roman"/>
          <w:sz w:val="24"/>
          <w:szCs w:val="24"/>
          <w:lang w:val="en-GB"/>
        </w:rPr>
        <w:t>he marginal cost</w:t>
      </w:r>
      <w:r w:rsidR="00796E8A" w:rsidRPr="00E50F9D">
        <w:rPr>
          <w:rFonts w:ascii="Times New Roman" w:hAnsi="Times New Roman" w:cs="Times New Roman"/>
          <w:sz w:val="24"/>
          <w:szCs w:val="24"/>
          <w:lang w:val="en-GB"/>
        </w:rPr>
        <w:t>s</w:t>
      </w:r>
      <w:r w:rsidRPr="00E50F9D">
        <w:rPr>
          <w:rFonts w:ascii="Times New Roman" w:hAnsi="Times New Roman" w:cs="Times New Roman"/>
          <w:sz w:val="24"/>
          <w:szCs w:val="24"/>
          <w:lang w:val="en-GB"/>
        </w:rPr>
        <w:t xml:space="preserve"> for deposits</w:t>
      </w:r>
      <w:r w:rsidR="00FC2B95" w:rsidRPr="00E50F9D">
        <w:rPr>
          <w:rFonts w:ascii="Times New Roman" w:hAnsi="Times New Roman" w:cs="Times New Roman"/>
          <w:sz w:val="24"/>
          <w:szCs w:val="24"/>
          <w:lang w:val="en-GB"/>
        </w:rPr>
        <w:t xml:space="preserve">,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MC</m:t>
            </m:r>
          </m:e>
          <m:sub>
            <m:r>
              <m:rPr>
                <m:sty m:val="p"/>
              </m:rPr>
              <w:rPr>
                <w:rFonts w:ascii="Cambria Math" w:hAnsi="Cambria Math" w:cs="Times New Roman"/>
                <w:sz w:val="24"/>
                <w:szCs w:val="24"/>
                <w:lang w:val="en-GB"/>
              </w:rPr>
              <m:t>Dit</m:t>
            </m:r>
          </m:sub>
        </m:sSub>
      </m:oMath>
      <w:r w:rsidR="00FC2B95"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and loans</w:t>
      </w:r>
      <w:r w:rsidR="00FC2B95" w:rsidRPr="00E50F9D">
        <w:rPr>
          <w:rFonts w:ascii="Times New Roman" w:hAnsi="Times New Roman" w:cs="Times New Roman"/>
          <w:sz w:val="24"/>
          <w:szCs w:val="24"/>
          <w:lang w:val="en-GB"/>
        </w:rPr>
        <w:t xml:space="preserve">,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MC</m:t>
            </m:r>
          </m:e>
          <m:sub>
            <m:r>
              <m:rPr>
                <m:sty m:val="p"/>
              </m:rPr>
              <w:rPr>
                <w:rFonts w:ascii="Cambria Math" w:hAnsi="Cambria Math" w:cs="Times New Roman"/>
                <w:sz w:val="24"/>
                <w:szCs w:val="24"/>
                <w:lang w:val="en-GB"/>
              </w:rPr>
              <m:t>Lit</m:t>
            </m:r>
          </m:sub>
        </m:sSub>
      </m:oMath>
      <w:r w:rsidRPr="00E50F9D">
        <w:rPr>
          <w:rFonts w:ascii="Times New Roman" w:hAnsi="Times New Roman" w:cs="Times New Roman"/>
          <w:sz w:val="24"/>
          <w:szCs w:val="24"/>
          <w:lang w:val="en-GB"/>
        </w:rPr>
        <w:t xml:space="preserve"> are </w:t>
      </w:r>
      <w:r w:rsidR="00FD4F2D" w:rsidRPr="00E50F9D">
        <w:rPr>
          <w:rFonts w:ascii="Times New Roman" w:hAnsi="Times New Roman" w:cs="Times New Roman"/>
          <w:sz w:val="24"/>
          <w:szCs w:val="24"/>
          <w:lang w:val="en-GB"/>
        </w:rPr>
        <w:t xml:space="preserve">derived from </w:t>
      </w:r>
      <w:r w:rsidR="00796E8A" w:rsidRPr="00E50F9D">
        <w:rPr>
          <w:rFonts w:ascii="Times New Roman" w:hAnsi="Times New Roman" w:cs="Times New Roman"/>
          <w:sz w:val="24"/>
          <w:szCs w:val="24"/>
          <w:lang w:val="en-GB"/>
        </w:rPr>
        <w:t xml:space="preserve">the </w:t>
      </w:r>
      <w:r w:rsidR="00FD4F2D" w:rsidRPr="00E50F9D">
        <w:rPr>
          <w:rFonts w:ascii="Times New Roman" w:hAnsi="Times New Roman" w:cs="Times New Roman"/>
          <w:sz w:val="24"/>
          <w:szCs w:val="24"/>
          <w:lang w:val="en-GB"/>
        </w:rPr>
        <w:t>translog cost function</w:t>
      </w:r>
      <w:r w:rsidR="00B1166D" w:rsidRPr="00E50F9D">
        <w:rPr>
          <w:rFonts w:ascii="Times New Roman" w:hAnsi="Times New Roman" w:cs="Times New Roman"/>
          <w:sz w:val="24"/>
          <w:szCs w:val="24"/>
          <w:lang w:val="en-GB"/>
        </w:rPr>
        <w:t xml:space="preserve"> that we specify</w:t>
      </w:r>
      <w:r w:rsidR="00524414" w:rsidRPr="00E50F9D">
        <w:rPr>
          <w:rFonts w:ascii="Times New Roman" w:hAnsi="Times New Roman" w:cs="Times New Roman"/>
          <w:sz w:val="24"/>
          <w:szCs w:val="24"/>
          <w:lang w:val="en-GB"/>
        </w:rPr>
        <w:t xml:space="preserve"> </w:t>
      </w:r>
      <w:r w:rsidR="00096037" w:rsidRPr="00E50F9D">
        <w:rPr>
          <w:rFonts w:ascii="Times New Roman" w:hAnsi="Times New Roman" w:cs="Times New Roman"/>
          <w:sz w:val="24"/>
          <w:szCs w:val="24"/>
          <w:lang w:val="en-GB"/>
        </w:rPr>
        <w:t xml:space="preserve">following </w:t>
      </w:r>
      <w:r w:rsidR="001E0250" w:rsidRPr="00E50F9D">
        <w:rPr>
          <w:rFonts w:ascii="Times New Roman" w:hAnsi="Times New Roman" w:cs="Times New Roman"/>
          <w:sz w:val="24"/>
          <w:szCs w:val="24"/>
          <w:lang w:val="en-GB"/>
        </w:rPr>
        <w:t xml:space="preserve"> </w:t>
      </w:r>
      <w:r w:rsidR="00DC6654" w:rsidRPr="00E50F9D">
        <w:rPr>
          <w:rFonts w:ascii="Times New Roman" w:hAnsi="Times New Roman" w:cs="Times New Roman"/>
          <w:sz w:val="24"/>
          <w:szCs w:val="24"/>
          <w:lang w:val="en-GB"/>
        </w:rPr>
        <w:t xml:space="preserve">Maudos and </w:t>
      </w:r>
      <w:r w:rsidR="001E0250" w:rsidRPr="00E50F9D">
        <w:rPr>
          <w:rFonts w:ascii="Times New Roman" w:hAnsi="Times New Roman" w:cs="Times New Roman"/>
          <w:sz w:val="24"/>
          <w:szCs w:val="24"/>
          <w:lang w:val="en-GB"/>
        </w:rPr>
        <w:t>De Guevara et al. (200</w:t>
      </w:r>
      <w:r w:rsidR="00DC6654" w:rsidRPr="00E50F9D">
        <w:rPr>
          <w:rFonts w:ascii="Times New Roman" w:hAnsi="Times New Roman" w:cs="Times New Roman"/>
          <w:sz w:val="24"/>
          <w:szCs w:val="24"/>
          <w:lang w:val="en-GB"/>
        </w:rPr>
        <w:t>7</w:t>
      </w:r>
      <w:r w:rsidR="001E0250" w:rsidRPr="00E50F9D">
        <w:rPr>
          <w:rFonts w:ascii="Times New Roman" w:hAnsi="Times New Roman" w:cs="Times New Roman"/>
          <w:sz w:val="24"/>
          <w:szCs w:val="24"/>
          <w:lang w:val="en-GB"/>
        </w:rPr>
        <w:t>)</w:t>
      </w:r>
      <w:r w:rsidR="00D64945" w:rsidRPr="00E50F9D">
        <w:rPr>
          <w:rFonts w:ascii="Times New Roman" w:hAnsi="Times New Roman" w:cs="Times New Roman"/>
          <w:sz w:val="24"/>
          <w:szCs w:val="24"/>
          <w:lang w:val="en-GB"/>
        </w:rPr>
        <w:t>,</w:t>
      </w:r>
      <w:r w:rsidR="001E0250" w:rsidRPr="00E50F9D">
        <w:rPr>
          <w:rFonts w:ascii="Times New Roman" w:hAnsi="Times New Roman" w:cs="Times New Roman"/>
          <w:sz w:val="24"/>
          <w:szCs w:val="24"/>
          <w:lang w:val="en-GB"/>
        </w:rPr>
        <w:t xml:space="preserve"> </w:t>
      </w:r>
      <w:r w:rsidR="00524414" w:rsidRPr="00E50F9D">
        <w:rPr>
          <w:rFonts w:ascii="Times New Roman" w:hAnsi="Times New Roman" w:cs="Times New Roman"/>
          <w:sz w:val="24"/>
          <w:szCs w:val="24"/>
          <w:lang w:val="en-GB"/>
        </w:rPr>
        <w:t>Williams (2012)</w:t>
      </w:r>
      <w:r w:rsidR="00D64945" w:rsidRPr="00E50F9D">
        <w:rPr>
          <w:rFonts w:ascii="Times New Roman" w:hAnsi="Times New Roman" w:cs="Times New Roman"/>
          <w:sz w:val="24"/>
          <w:szCs w:val="24"/>
          <w:lang w:val="en-GB"/>
        </w:rPr>
        <w:t>,</w:t>
      </w:r>
      <w:r w:rsidR="00796E8A" w:rsidRPr="00E50F9D">
        <w:rPr>
          <w:rFonts w:ascii="Times New Roman" w:hAnsi="Times New Roman" w:cs="Times New Roman"/>
          <w:sz w:val="24"/>
          <w:szCs w:val="24"/>
          <w:lang w:val="en-GB"/>
        </w:rPr>
        <w:t xml:space="preserve"> </w:t>
      </w:r>
      <w:r w:rsidR="00D64945" w:rsidRPr="00E50F9D">
        <w:rPr>
          <w:rFonts w:ascii="Times New Roman" w:hAnsi="Times New Roman" w:cs="Times New Roman"/>
          <w:sz w:val="24"/>
          <w:szCs w:val="24"/>
          <w:lang w:val="en-GB"/>
        </w:rPr>
        <w:t xml:space="preserve">and Forssbæck and Shehzad (2015) </w:t>
      </w:r>
      <w:r w:rsidR="00096037" w:rsidRPr="00E50F9D">
        <w:rPr>
          <w:rFonts w:ascii="Times New Roman" w:hAnsi="Times New Roman" w:cs="Times New Roman"/>
          <w:sz w:val="24"/>
          <w:szCs w:val="24"/>
          <w:lang w:val="en-GB"/>
        </w:rPr>
        <w:t>with</w:t>
      </w:r>
      <w:r w:rsidR="00796E8A" w:rsidRPr="00E50F9D">
        <w:rPr>
          <w:rFonts w:ascii="Times New Roman" w:hAnsi="Times New Roman" w:cs="Times New Roman"/>
          <w:sz w:val="24"/>
          <w:szCs w:val="24"/>
          <w:lang w:val="en-GB"/>
        </w:rPr>
        <w:t xml:space="preserve"> two inputs and two outputs</w:t>
      </w:r>
      <w:r w:rsidR="00096037" w:rsidRPr="00E50F9D">
        <w:rPr>
          <w:rFonts w:ascii="Times New Roman" w:hAnsi="Times New Roman" w:cs="Times New Roman"/>
          <w:sz w:val="24"/>
          <w:szCs w:val="24"/>
          <w:lang w:val="en-GB"/>
        </w:rPr>
        <w:t>:</w:t>
      </w:r>
    </w:p>
    <w:p w14:paraId="3BCD3A89" w14:textId="57534122" w:rsidR="00FD4F2D" w:rsidRPr="00E50F9D" w:rsidRDefault="00290963" w:rsidP="00CC61FF">
      <w:pPr>
        <w:pStyle w:val="FootnoteText"/>
        <w:spacing w:after="120" w:line="480" w:lineRule="auto"/>
        <w:rPr>
          <w:rFonts w:ascii="Times New Roman" w:hAnsi="Times New Roman" w:cs="Times New Roman"/>
          <w:sz w:val="24"/>
          <w:szCs w:val="24"/>
          <w:lang w:val="en-GB"/>
        </w:rPr>
      </w:pPr>
      <w:r w:rsidRPr="00E50F9D">
        <w:rPr>
          <w:rFonts w:ascii="Times New Roman" w:hAnsi="Times New Roman" w:cs="Times New Roman"/>
          <w:i/>
          <w:iCs/>
          <w:sz w:val="24"/>
          <w:szCs w:val="24"/>
          <w:lang w:val="en-GB"/>
        </w:rPr>
        <w:t>Ln(TC</w:t>
      </w:r>
      <w:r w:rsidRPr="00E50F9D">
        <w:rPr>
          <w:rFonts w:ascii="Times New Roman" w:hAnsi="Times New Roman" w:cs="Times New Roman"/>
          <w:i/>
          <w:iCs/>
          <w:sz w:val="24"/>
          <w:szCs w:val="24"/>
          <w:vertAlign w:val="subscript"/>
          <w:lang w:val="en-GB"/>
        </w:rPr>
        <w:t>it</w:t>
      </w:r>
      <w:r w:rsidRPr="00E50F9D">
        <w:rPr>
          <w:rFonts w:ascii="Times New Roman" w:hAnsi="Times New Roman" w:cs="Times New Roman"/>
          <w:i/>
          <w:iCs/>
          <w:sz w:val="24"/>
          <w:szCs w:val="24"/>
          <w:lang w:val="en-GB"/>
        </w:rPr>
        <w:t xml:space="preserv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0</m:t>
            </m:r>
          </m:sub>
        </m:sSub>
        <m:r>
          <w:rPr>
            <w:rFonts w:ascii="Cambria Math" w:hAnsi="Cambria Math" w:cs="Times New Roman"/>
            <w:sz w:val="24"/>
            <w:szCs w:val="24"/>
            <w:lang w:val="en-GB"/>
          </w:rPr>
          <m:t xml:space="preserve">+ </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L</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lnLoans</m:t>
            </m:r>
          </m:e>
          <m:sub>
            <m:r>
              <w:rPr>
                <w:rFonts w:ascii="Cambria Math" w:hAnsi="Cambria Math" w:cs="Times New Roman"/>
                <w:sz w:val="24"/>
                <w:szCs w:val="24"/>
                <w:lang w:val="en-GB"/>
              </w:rPr>
              <m:t>it</m:t>
            </m:r>
          </m:sub>
        </m:sSub>
        <m:r>
          <w:rPr>
            <w:rFonts w:ascii="Cambria Math" w:hAnsi="Cambria Math" w:cs="Times New Roman"/>
            <w:sz w:val="24"/>
            <w:szCs w:val="24"/>
            <w:vertAlign w:val="subscript"/>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D</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lnDep</m:t>
            </m:r>
          </m:e>
          <m:sub>
            <m:r>
              <w:rPr>
                <w:rFonts w:ascii="Cambria Math" w:hAnsi="Cambria Math" w:cs="Times New Roman"/>
                <w:sz w:val="24"/>
                <w:szCs w:val="24"/>
                <w:lang w:val="en-GB"/>
              </w:rPr>
              <m:t>it</m:t>
            </m:r>
          </m:sub>
        </m:sSub>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h</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lnW</m:t>
            </m:r>
          </m:e>
          <m:sub>
            <m:r>
              <w:rPr>
                <w:rFonts w:ascii="Cambria Math" w:hAnsi="Cambria Math" w:cs="Times New Roman"/>
                <w:sz w:val="24"/>
                <w:szCs w:val="24"/>
                <w:lang w:val="en-GB"/>
              </w:rPr>
              <m:t>hit</m:t>
            </m:r>
          </m:sub>
        </m:sSub>
        <m:r>
          <w:rPr>
            <w:rFonts w:ascii="Cambria Math" w:hAnsi="Cambria Math" w:cs="Times New Roman"/>
            <w:sz w:val="24"/>
            <w:szCs w:val="24"/>
            <w:vertAlign w:val="subscript"/>
            <w:lang w:val="en-GB"/>
          </w:rPr>
          <m:t xml:space="preserve">+ </m:t>
        </m:r>
        <m:f>
          <m:fPr>
            <m:ctrlPr>
              <w:rPr>
                <w:rFonts w:ascii="Cambria Math" w:hAnsi="Cambria Math" w:cs="Times New Roman"/>
                <w:i/>
                <w:iCs/>
                <w:sz w:val="24"/>
                <w:szCs w:val="24"/>
                <w:vertAlign w:val="subscript"/>
                <w:lang w:val="en-GB"/>
              </w:rPr>
            </m:ctrlPr>
          </m:fPr>
          <m:num>
            <m:r>
              <w:rPr>
                <w:rFonts w:ascii="Cambria Math" w:hAnsi="Cambria Math" w:cs="Times New Roman"/>
                <w:sz w:val="24"/>
                <w:szCs w:val="24"/>
                <w:vertAlign w:val="subscript"/>
                <w:lang w:val="en-GB"/>
              </w:rPr>
              <m:t>1</m:t>
            </m:r>
          </m:num>
          <m:den>
            <m:r>
              <w:rPr>
                <w:rFonts w:ascii="Cambria Math" w:hAnsi="Cambria Math" w:cs="Times New Roman"/>
                <w:sz w:val="24"/>
                <w:szCs w:val="24"/>
                <w:vertAlign w:val="subscript"/>
                <w:lang w:val="en-GB"/>
              </w:rPr>
              <m:t>2</m:t>
            </m:r>
          </m:den>
        </m:f>
        <m:r>
          <w:rPr>
            <w:rFonts w:ascii="Cambria Math" w:hAnsi="Cambria Math" w:cs="Times New Roman"/>
            <w:sz w:val="24"/>
            <w:szCs w:val="24"/>
            <w:vertAlign w:val="subscript"/>
            <w:lang w:val="en-GB"/>
          </w:rPr>
          <m:t xml:space="preserve"> </m:t>
        </m:r>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hm</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lnW</m:t>
            </m:r>
          </m:e>
          <m:sub>
            <m:r>
              <w:rPr>
                <w:rFonts w:ascii="Cambria Math" w:hAnsi="Cambria Math" w:cs="Times New Roman"/>
                <w:sz w:val="24"/>
                <w:szCs w:val="24"/>
                <w:lang w:val="en-GB"/>
              </w:rPr>
              <m:t>hit</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lnW</m:t>
            </m:r>
          </m:e>
          <m:sub>
            <m:r>
              <w:rPr>
                <w:rFonts w:ascii="Cambria Math" w:hAnsi="Cambria Math" w:cs="Times New Roman"/>
                <w:sz w:val="24"/>
                <w:szCs w:val="24"/>
                <w:lang w:val="en-GB"/>
              </w:rPr>
              <m:t>mit</m:t>
            </m:r>
          </m:sub>
        </m:sSub>
      </m:oMath>
      <w:r w:rsidR="00D5002D" w:rsidRPr="00E50F9D">
        <w:rPr>
          <w:rFonts w:ascii="Times New Roman" w:hAnsi="Times New Roman" w:cs="Times New Roman"/>
          <w:i/>
          <w:iCs/>
          <w:sz w:val="24"/>
          <w:szCs w:val="24"/>
          <w:lang w:val="en-GB"/>
        </w:rPr>
        <w:t>+</w:t>
      </w:r>
      <m:oMath>
        <m:f>
          <m:fPr>
            <m:ctrlPr>
              <w:rPr>
                <w:rFonts w:ascii="Cambria Math" w:hAnsi="Cambria Math" w:cs="Times New Roman"/>
                <w:i/>
                <w:iCs/>
                <w:sz w:val="24"/>
                <w:szCs w:val="24"/>
                <w:vertAlign w:val="subscript"/>
                <w:lang w:val="en-GB"/>
              </w:rPr>
            </m:ctrlPr>
          </m:fPr>
          <m:num>
            <m:r>
              <w:rPr>
                <w:rFonts w:ascii="Cambria Math" w:hAnsi="Cambria Math" w:cs="Times New Roman"/>
                <w:sz w:val="24"/>
                <w:szCs w:val="24"/>
                <w:vertAlign w:val="subscript"/>
                <w:lang w:val="en-GB"/>
              </w:rPr>
              <m:t>1</m:t>
            </m:r>
          </m:num>
          <m:den>
            <m:r>
              <w:rPr>
                <w:rFonts w:ascii="Cambria Math" w:hAnsi="Cambria Math" w:cs="Times New Roman"/>
                <w:sz w:val="24"/>
                <w:szCs w:val="24"/>
                <w:vertAlign w:val="subscript"/>
                <w:lang w:val="en-GB"/>
              </w:rPr>
              <m:t>2</m:t>
            </m:r>
          </m:den>
        </m:f>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DD</m:t>
            </m:r>
          </m:sub>
        </m:sSub>
        <m:sSup>
          <m:sSupPr>
            <m:ctrlPr>
              <w:rPr>
                <w:rFonts w:ascii="Cambria Math" w:hAnsi="Cambria Math" w:cs="Times New Roman"/>
                <w:i/>
                <w:iCs/>
                <w:sz w:val="24"/>
                <w:szCs w:val="24"/>
                <w:lang w:val="en-GB"/>
              </w:rPr>
            </m:ctrlPr>
          </m:sSupPr>
          <m:e>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(lnDep</m:t>
                </m:r>
              </m:e>
              <m:sub>
                <m:r>
                  <w:rPr>
                    <w:rFonts w:ascii="Cambria Math" w:hAnsi="Cambria Math" w:cs="Times New Roman"/>
                    <w:sz w:val="24"/>
                    <w:szCs w:val="24"/>
                    <w:lang w:val="en-GB"/>
                  </w:rPr>
                  <m:t>it</m:t>
                </m:r>
              </m:sub>
            </m:sSub>
            <m:r>
              <w:rPr>
                <w:rFonts w:ascii="Cambria Math" w:hAnsi="Cambria Math" w:cs="Times New Roman"/>
                <w:sz w:val="24"/>
                <w:szCs w:val="24"/>
                <w:lang w:val="en-GB"/>
              </w:rPr>
              <m:t>)</m:t>
            </m:r>
          </m:e>
          <m:sup>
            <m:r>
              <w:rPr>
                <w:rFonts w:ascii="Cambria Math" w:hAnsi="Cambria Math" w:cs="Times New Roman"/>
                <w:sz w:val="24"/>
                <w:szCs w:val="24"/>
                <w:lang w:val="en-GB"/>
              </w:rPr>
              <m:t>2</m:t>
            </m:r>
          </m:sup>
        </m:sSup>
        <m:r>
          <w:rPr>
            <w:rFonts w:ascii="Cambria Math" w:hAnsi="Cambria Math" w:cs="Times New Roman"/>
            <w:sz w:val="24"/>
            <w:szCs w:val="24"/>
            <w:lang w:val="en-GB"/>
          </w:rPr>
          <m:t>+</m:t>
        </m:r>
        <m:f>
          <m:fPr>
            <m:ctrlPr>
              <w:rPr>
                <w:rFonts w:ascii="Cambria Math" w:hAnsi="Cambria Math" w:cs="Times New Roman"/>
                <w:i/>
                <w:iCs/>
                <w:sz w:val="24"/>
                <w:szCs w:val="24"/>
                <w:vertAlign w:val="subscript"/>
                <w:lang w:val="en-GB"/>
              </w:rPr>
            </m:ctrlPr>
          </m:fPr>
          <m:num>
            <m:r>
              <w:rPr>
                <w:rFonts w:ascii="Cambria Math" w:hAnsi="Cambria Math" w:cs="Times New Roman"/>
                <w:sz w:val="24"/>
                <w:szCs w:val="24"/>
                <w:vertAlign w:val="subscript"/>
                <w:lang w:val="en-GB"/>
              </w:rPr>
              <m:t>1</m:t>
            </m:r>
          </m:num>
          <m:den>
            <m:r>
              <w:rPr>
                <w:rFonts w:ascii="Cambria Math" w:hAnsi="Cambria Math" w:cs="Times New Roman"/>
                <w:sz w:val="24"/>
                <w:szCs w:val="24"/>
                <w:vertAlign w:val="subscript"/>
                <w:lang w:val="en-GB"/>
              </w:rPr>
              <m:t>2</m:t>
            </m:r>
          </m:den>
        </m:f>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LL</m:t>
            </m:r>
          </m:sub>
        </m:sSub>
        <m:sSup>
          <m:sSupPr>
            <m:ctrlPr>
              <w:rPr>
                <w:rFonts w:ascii="Cambria Math" w:hAnsi="Cambria Math" w:cs="Times New Roman"/>
                <w:i/>
                <w:iCs/>
                <w:sz w:val="24"/>
                <w:szCs w:val="24"/>
                <w:lang w:val="en-GB"/>
              </w:rPr>
            </m:ctrlPr>
          </m:sSupPr>
          <m:e>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(lnLoans</m:t>
                </m:r>
              </m:e>
              <m:sub>
                <m:r>
                  <w:rPr>
                    <w:rFonts w:ascii="Cambria Math" w:hAnsi="Cambria Math" w:cs="Times New Roman"/>
                    <w:sz w:val="24"/>
                    <w:szCs w:val="24"/>
                    <w:lang w:val="en-GB"/>
                  </w:rPr>
                  <m:t>it</m:t>
                </m:r>
              </m:sub>
            </m:sSub>
            <m:r>
              <w:rPr>
                <w:rFonts w:ascii="Cambria Math" w:hAnsi="Cambria Math" w:cs="Times New Roman"/>
                <w:sz w:val="24"/>
                <w:szCs w:val="24"/>
                <w:lang w:val="en-GB"/>
              </w:rPr>
              <m:t>)</m:t>
            </m:r>
          </m:e>
          <m:sup>
            <m:r>
              <w:rPr>
                <w:rFonts w:ascii="Cambria Math" w:hAnsi="Cambria Math" w:cs="Times New Roman"/>
                <w:sz w:val="24"/>
                <w:szCs w:val="24"/>
                <w:lang w:val="en-GB"/>
              </w:rPr>
              <m:t>2</m:t>
            </m:r>
          </m:sup>
        </m:sSup>
      </m:oMath>
      <w:r w:rsidRPr="00E50F9D">
        <w:rPr>
          <w:rFonts w:ascii="Times New Roman" w:hAnsi="Times New Roman" w:cs="Times New Roman"/>
          <w:i/>
          <w:iCs/>
          <w:sz w:val="24"/>
          <w:szCs w:val="24"/>
          <w:vertAlign w:val="subscript"/>
          <w:lang w:val="en-GB"/>
        </w:rPr>
        <w:t xml:space="preserve"> </w:t>
      </w:r>
      <m:oMath>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LD</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lnDep</m:t>
            </m:r>
          </m:e>
          <m:sub>
            <m:r>
              <w:rPr>
                <w:rFonts w:ascii="Cambria Math" w:hAnsi="Cambria Math" w:cs="Times New Roman"/>
                <w:sz w:val="24"/>
                <w:szCs w:val="24"/>
                <w:lang w:val="en-GB"/>
              </w:rPr>
              <m:t>it</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lnLoans</m:t>
            </m:r>
          </m:e>
          <m:sub>
            <m:r>
              <w:rPr>
                <w:rFonts w:ascii="Cambria Math" w:hAnsi="Cambria Math" w:cs="Times New Roman"/>
                <w:sz w:val="24"/>
                <w:szCs w:val="24"/>
                <w:lang w:val="en-GB"/>
              </w:rPr>
              <m:t>it</m:t>
            </m:r>
          </m:sub>
        </m:sSub>
      </m:oMath>
      <w:r w:rsidR="00D5002D" w:rsidRPr="00E50F9D">
        <w:rPr>
          <w:rFonts w:ascii="Times New Roman" w:hAnsi="Times New Roman" w:cs="Times New Roman"/>
          <w:i/>
          <w:iCs/>
          <w:sz w:val="24"/>
          <w:szCs w:val="24"/>
          <w:lang w:val="en-GB"/>
        </w:rPr>
        <w:t xml:space="preserve"> </w:t>
      </w:r>
      <w:r w:rsidRPr="00E50F9D">
        <w:rPr>
          <w:rFonts w:ascii="Times New Roman" w:hAnsi="Times New Roman" w:cs="Times New Roman"/>
          <w:i/>
          <w:iCs/>
          <w:sz w:val="24"/>
          <w:szCs w:val="24"/>
          <w:lang w:val="en-GB"/>
        </w:rPr>
        <w:t xml:space="preserve"> +</w:t>
      </w:r>
      <m:oMath>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hL</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lnW</m:t>
            </m:r>
          </m:e>
          <m:sub>
            <m:r>
              <w:rPr>
                <w:rFonts w:ascii="Cambria Math" w:hAnsi="Cambria Math" w:cs="Times New Roman"/>
                <w:sz w:val="24"/>
                <w:szCs w:val="24"/>
                <w:lang w:val="en-GB"/>
              </w:rPr>
              <m:t>hit</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lnLoans</m:t>
            </m:r>
          </m:e>
          <m:sub>
            <m:r>
              <w:rPr>
                <w:rFonts w:ascii="Cambria Math" w:hAnsi="Cambria Math" w:cs="Times New Roman"/>
                <w:sz w:val="24"/>
                <w:szCs w:val="24"/>
                <w:lang w:val="en-GB"/>
              </w:rPr>
              <m:t>it</m:t>
            </m:r>
          </m:sub>
        </m:sSub>
        <m:r>
          <w:rPr>
            <w:rFonts w:ascii="Cambria Math" w:hAnsi="Cambria Math" w:cs="Times New Roman"/>
            <w:sz w:val="24"/>
            <w:szCs w:val="24"/>
            <w:vertAlign w:val="subscript"/>
            <w:lang w:val="en-GB"/>
          </w:rPr>
          <m:t xml:space="preserve"> +</m:t>
        </m:r>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hD</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lnW</m:t>
            </m:r>
          </m:e>
          <m:sub>
            <m:r>
              <w:rPr>
                <w:rFonts w:ascii="Cambria Math" w:hAnsi="Cambria Math" w:cs="Times New Roman"/>
                <w:sz w:val="24"/>
                <w:szCs w:val="24"/>
                <w:lang w:val="en-GB"/>
              </w:rPr>
              <m:t>hit</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lnDep</m:t>
            </m:r>
          </m:e>
          <m:sub>
            <m:r>
              <w:rPr>
                <w:rFonts w:ascii="Cambria Math" w:hAnsi="Cambria Math" w:cs="Times New Roman"/>
                <w:sz w:val="24"/>
                <w:szCs w:val="24"/>
                <w:lang w:val="en-GB"/>
              </w:rPr>
              <m:t>it</m:t>
            </m:r>
          </m:sub>
        </m:sSub>
        <m:r>
          <w:rPr>
            <w:rFonts w:ascii="Cambria Math" w:hAnsi="Cambria Math" w:cs="Times New Roman"/>
            <w:sz w:val="24"/>
            <w:szCs w:val="24"/>
            <w:vertAlign w:val="subscript"/>
            <w:lang w:val="en-GB"/>
          </w:rPr>
          <m:t xml:space="preserve">+ </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1</m:t>
            </m:r>
          </m:sub>
        </m:sSub>
        <m:r>
          <w:rPr>
            <w:rFonts w:ascii="Cambria Math" w:hAnsi="Cambria Math" w:cs="Times New Roman"/>
            <w:sz w:val="24"/>
            <w:szCs w:val="24"/>
            <w:vertAlign w:val="subscript"/>
            <w:lang w:val="en-GB"/>
          </w:rPr>
          <m:t>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2</m:t>
            </m:r>
          </m:sub>
        </m:sSub>
        <m:sSup>
          <m:sSupPr>
            <m:ctrlPr>
              <w:rPr>
                <w:rFonts w:ascii="Cambria Math" w:hAnsi="Cambria Math" w:cs="Times New Roman"/>
                <w:i/>
                <w:sz w:val="24"/>
                <w:szCs w:val="24"/>
                <w:vertAlign w:val="subscript"/>
                <w:lang w:val="en-GB"/>
              </w:rPr>
            </m:ctrlPr>
          </m:sSupPr>
          <m:e>
            <m:r>
              <w:rPr>
                <w:rFonts w:ascii="Cambria Math" w:hAnsi="Cambria Math" w:cs="Times New Roman"/>
                <w:sz w:val="24"/>
                <w:szCs w:val="24"/>
                <w:vertAlign w:val="subscript"/>
                <w:lang w:val="en-GB"/>
              </w:rPr>
              <m:t>T</m:t>
            </m:r>
          </m:e>
          <m:sup>
            <m:r>
              <w:rPr>
                <w:rFonts w:ascii="Cambria Math" w:hAnsi="Cambria Math" w:cs="Times New Roman"/>
                <w:sz w:val="24"/>
                <w:szCs w:val="24"/>
                <w:vertAlign w:val="subscript"/>
                <w:lang w:val="en-GB"/>
              </w:rPr>
              <m:t>2</m:t>
            </m:r>
          </m:sup>
        </m:sSup>
        <m:r>
          <w:rPr>
            <w:rFonts w:ascii="Cambria Math" w:hAnsi="Cambria Math" w:cs="Times New Roman"/>
            <w:sz w:val="24"/>
            <w:szCs w:val="24"/>
            <w:vertAlign w:val="subscript"/>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L</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TlnLoans</m:t>
            </m:r>
          </m:e>
          <m:sub>
            <m:r>
              <w:rPr>
                <w:rFonts w:ascii="Cambria Math" w:hAnsi="Cambria Math" w:cs="Times New Roman"/>
                <w:sz w:val="24"/>
                <w:szCs w:val="24"/>
                <w:lang w:val="en-GB"/>
              </w:rPr>
              <m:t>it</m:t>
            </m:r>
          </m:sub>
        </m:sSub>
        <m:r>
          <w:rPr>
            <w:rFonts w:ascii="Cambria Math" w:hAnsi="Cambria Math" w:cs="Times New Roman"/>
            <w:sz w:val="24"/>
            <w:szCs w:val="24"/>
            <w:vertAlign w:val="subscript"/>
            <w:lang w:val="en-GB"/>
          </w:rPr>
          <m:t xml:space="preserve"> + </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D</m:t>
            </m:r>
          </m:sub>
        </m:sSub>
        <m:r>
          <w:rPr>
            <w:rFonts w:ascii="Cambria Math" w:hAnsi="Cambria Math" w:cs="Times New Roman"/>
            <w:sz w:val="24"/>
            <w:szCs w:val="24"/>
            <w:lang w:val="en-GB"/>
          </w:rPr>
          <m:t>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lnDep</m:t>
            </m:r>
          </m:e>
          <m:sub>
            <m:r>
              <w:rPr>
                <w:rFonts w:ascii="Cambria Math" w:hAnsi="Cambria Math" w:cs="Times New Roman"/>
                <w:sz w:val="24"/>
                <w:szCs w:val="24"/>
                <w:lang w:val="en-GB"/>
              </w:rPr>
              <m:t>it</m:t>
            </m:r>
          </m:sub>
        </m:sSub>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h</m:t>
            </m:r>
          </m:sub>
        </m:sSub>
        <m:r>
          <w:rPr>
            <w:rFonts w:ascii="Cambria Math" w:hAnsi="Cambria Math" w:cs="Times New Roman"/>
            <w:sz w:val="24"/>
            <w:szCs w:val="24"/>
            <w:lang w:val="en-GB"/>
          </w:rPr>
          <m:t>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lnW</m:t>
            </m:r>
          </m:e>
          <m:sub>
            <m:r>
              <w:rPr>
                <w:rFonts w:ascii="Cambria Math" w:hAnsi="Cambria Math" w:cs="Times New Roman"/>
                <w:sz w:val="24"/>
                <w:szCs w:val="24"/>
                <w:lang w:val="en-GB"/>
              </w:rPr>
              <m:t>hit</m:t>
            </m:r>
          </m:sub>
        </m:sSub>
        <m:r>
          <w:rPr>
            <w:rFonts w:ascii="Cambria Math" w:hAnsi="Cambria Math" w:cs="Times New Roman"/>
            <w:sz w:val="24"/>
            <w:szCs w:val="24"/>
            <w:lang w:val="en-GB"/>
          </w:rPr>
          <m:t>+</m:t>
        </m:r>
        <m:sSub>
          <m:sSubPr>
            <m:ctrlPr>
              <w:rPr>
                <w:rFonts w:ascii="Cambria Math" w:hAnsi="Cambria Math" w:cs="Times New Roman"/>
                <w:i/>
                <w:iCs/>
                <w:sz w:val="24"/>
                <w:szCs w:val="24"/>
                <w:vertAlign w:val="subscript"/>
                <w:lang w:val="en-GB"/>
              </w:rPr>
            </m:ctrlPr>
          </m:sSubPr>
          <m:e>
            <m:r>
              <w:rPr>
                <w:rFonts w:ascii="Cambria Math" w:hAnsi="Cambria Math" w:cs="Times New Roman"/>
                <w:sz w:val="24"/>
                <w:szCs w:val="24"/>
                <w:vertAlign w:val="subscript"/>
                <w:lang w:val="en-GB"/>
              </w:rPr>
              <m:t>u</m:t>
            </m:r>
          </m:e>
          <m:sub>
            <m:r>
              <w:rPr>
                <w:rFonts w:ascii="Cambria Math" w:hAnsi="Cambria Math" w:cs="Times New Roman"/>
                <w:sz w:val="24"/>
                <w:szCs w:val="24"/>
                <w:vertAlign w:val="subscript"/>
                <w:lang w:val="en-GB"/>
              </w:rPr>
              <m:t>it</m:t>
            </m:r>
          </m:sub>
        </m:sSub>
        <m:r>
          <w:rPr>
            <w:rFonts w:ascii="Cambria Math" w:hAnsi="Cambria Math" w:cs="Times New Roman"/>
            <w:sz w:val="24"/>
            <w:szCs w:val="24"/>
            <w:vertAlign w:val="subscript"/>
            <w:lang w:val="en-GB"/>
          </w:rPr>
          <m:t>+</m:t>
        </m:r>
        <m:sSub>
          <m:sSubPr>
            <m:ctrlPr>
              <w:rPr>
                <w:rFonts w:ascii="Cambria Math" w:hAnsi="Cambria Math" w:cs="Times New Roman"/>
                <w:i/>
                <w:iCs/>
                <w:sz w:val="24"/>
                <w:szCs w:val="24"/>
                <w:vertAlign w:val="subscript"/>
                <w:lang w:val="en-GB"/>
              </w:rPr>
            </m:ctrlPr>
          </m:sSubPr>
          <m:e>
            <m:r>
              <w:rPr>
                <w:rFonts w:ascii="Cambria Math" w:hAnsi="Cambria Math" w:cs="Times New Roman"/>
                <w:sz w:val="24"/>
                <w:szCs w:val="24"/>
                <w:vertAlign w:val="subscript"/>
                <w:lang w:val="en-GB"/>
              </w:rPr>
              <m:t>v</m:t>
            </m:r>
          </m:e>
          <m:sub>
            <m:r>
              <w:rPr>
                <w:rFonts w:ascii="Cambria Math" w:hAnsi="Cambria Math" w:cs="Times New Roman"/>
                <w:sz w:val="24"/>
                <w:szCs w:val="24"/>
                <w:vertAlign w:val="subscript"/>
                <w:lang w:val="en-GB"/>
              </w:rPr>
              <m:t>it</m:t>
            </m:r>
          </m:sub>
        </m:sSub>
      </m:oMath>
      <w:r w:rsidRPr="00E50F9D">
        <w:rPr>
          <w:rFonts w:ascii="Times New Roman" w:hAnsi="Times New Roman" w:cs="Times New Roman"/>
          <w:i/>
          <w:iCs/>
          <w:sz w:val="24"/>
          <w:szCs w:val="24"/>
          <w:lang w:val="en-GB"/>
        </w:rPr>
        <w:t xml:space="preserve">         </w:t>
      </w:r>
      <w:r w:rsidR="00D5002D" w:rsidRPr="00E50F9D">
        <w:rPr>
          <w:rFonts w:ascii="Times New Roman" w:hAnsi="Times New Roman" w:cs="Times New Roman"/>
          <w:i/>
          <w:iCs/>
          <w:sz w:val="24"/>
          <w:szCs w:val="24"/>
          <w:lang w:val="en-GB"/>
        </w:rPr>
        <w:t xml:space="preserve">                                                                </w:t>
      </w:r>
      <w:r w:rsidR="00CC61FF" w:rsidRPr="00E50F9D">
        <w:rPr>
          <w:rFonts w:ascii="Times New Roman" w:hAnsi="Times New Roman" w:cs="Times New Roman"/>
          <w:i/>
          <w:iCs/>
          <w:sz w:val="24"/>
          <w:szCs w:val="24"/>
          <w:lang w:val="en-GB"/>
        </w:rPr>
        <w:t xml:space="preserve">          (</w:t>
      </w:r>
      <w:r w:rsidR="005F3B0D">
        <w:rPr>
          <w:rFonts w:ascii="Times New Roman" w:hAnsi="Times New Roman" w:cs="Times New Roman"/>
          <w:i/>
          <w:iCs/>
          <w:sz w:val="24"/>
          <w:szCs w:val="24"/>
          <w:lang w:val="en-GB"/>
        </w:rPr>
        <w:t>6</w:t>
      </w:r>
      <w:r w:rsidR="00CC61FF" w:rsidRPr="00E50F9D">
        <w:rPr>
          <w:rFonts w:ascii="Times New Roman" w:hAnsi="Times New Roman" w:cs="Times New Roman"/>
          <w:i/>
          <w:iCs/>
          <w:sz w:val="24"/>
          <w:szCs w:val="24"/>
          <w:lang w:val="en-GB"/>
        </w:rPr>
        <w:t xml:space="preserve">)         </w:t>
      </w:r>
    </w:p>
    <w:p w14:paraId="3CA9186D" w14:textId="1299F9E4" w:rsidR="000C357B" w:rsidRPr="00E50F9D" w:rsidRDefault="007B673C" w:rsidP="00C27140">
      <w:pPr>
        <w:pStyle w:val="FootnoteText"/>
        <w:spacing w:after="120" w:line="480" w:lineRule="auto"/>
        <w:jc w:val="both"/>
        <w:rPr>
          <w:rFonts w:ascii="Times New Roman" w:hAnsi="Times New Roman" w:cs="Times New Roman"/>
          <w:i/>
          <w:iCs/>
          <w:sz w:val="24"/>
          <w:szCs w:val="24"/>
          <w:lang w:val="en-GB"/>
        </w:rPr>
      </w:pPr>
      <w:r w:rsidRPr="00E50F9D">
        <w:rPr>
          <w:rFonts w:ascii="Times New Roman" w:hAnsi="Times New Roman" w:cs="Times New Roman"/>
          <w:i/>
          <w:iCs/>
          <w:sz w:val="24"/>
          <w:szCs w:val="24"/>
          <w:lang w:val="en-GB"/>
        </w:rPr>
        <w:t>for h≠m</w:t>
      </w:r>
    </w:p>
    <w:p w14:paraId="3C802EAB" w14:textId="22577FF0" w:rsidR="000C357B" w:rsidRPr="00E50F9D" w:rsidRDefault="000C357B" w:rsidP="00DE5787">
      <w:pPr>
        <w:pStyle w:val="FootnoteText"/>
        <w:spacing w:after="120" w:line="480" w:lineRule="auto"/>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 xml:space="preserve">where TC is the sum of personnel expense and other administrative expenses;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lnLoans</m:t>
            </m:r>
          </m:e>
          <m:sub>
            <m:r>
              <w:rPr>
                <w:rFonts w:ascii="Cambria Math" w:hAnsi="Cambria Math" w:cs="Times New Roman"/>
                <w:sz w:val="24"/>
                <w:szCs w:val="24"/>
                <w:lang w:val="en-GB"/>
              </w:rPr>
              <m:t>it</m:t>
            </m:r>
          </m:sub>
        </m:sSub>
      </m:oMath>
      <w:r w:rsidRPr="00E50F9D">
        <w:rPr>
          <w:rFonts w:ascii="Times New Roman" w:hAnsi="Times New Roman" w:cs="Times New Roman"/>
          <w:sz w:val="24"/>
          <w:szCs w:val="24"/>
          <w:lang w:val="en-GB"/>
        </w:rPr>
        <w:t xml:space="preserve"> is the log of customer loans;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lnDep</m:t>
            </m:r>
          </m:e>
          <m:sub>
            <m:r>
              <w:rPr>
                <w:rFonts w:ascii="Cambria Math" w:hAnsi="Cambria Math" w:cs="Times New Roman"/>
                <w:sz w:val="24"/>
                <w:szCs w:val="24"/>
                <w:lang w:val="en-GB"/>
              </w:rPr>
              <m:t>it</m:t>
            </m:r>
          </m:sub>
        </m:sSub>
      </m:oMath>
      <w:r w:rsidRPr="00E50F9D">
        <w:rPr>
          <w:rFonts w:ascii="Times New Roman" w:hAnsi="Times New Roman" w:cs="Times New Roman"/>
          <w:sz w:val="24"/>
          <w:szCs w:val="24"/>
          <w:lang w:val="en-GB"/>
        </w:rPr>
        <w:t xml:space="preserve"> is the log of customer deposits;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lnW</m:t>
            </m:r>
          </m:e>
          <m:sub>
            <m:r>
              <w:rPr>
                <w:rFonts w:ascii="Cambria Math" w:hAnsi="Cambria Math" w:cs="Times New Roman"/>
                <w:sz w:val="24"/>
                <w:szCs w:val="24"/>
                <w:lang w:val="en-GB"/>
              </w:rPr>
              <m:t>hit</m:t>
            </m:r>
          </m:sub>
        </m:sSub>
      </m:oMath>
      <w:r w:rsidRPr="00E50F9D">
        <w:rPr>
          <w:rFonts w:ascii="Times New Roman" w:hAnsi="Times New Roman" w:cs="Times New Roman"/>
          <w:sz w:val="24"/>
          <w:szCs w:val="24"/>
          <w:lang w:val="en-GB"/>
        </w:rPr>
        <w:t xml:space="preserve"> are the capital and labour prices which are respectively calculated as the ratio of number of employees/personnel expenses and other administrative expenses/fixed assets; T is a time trend.</w:t>
      </w:r>
      <w:r w:rsidR="00DE5787" w:rsidRPr="00E50F9D">
        <w:rPr>
          <w:rFonts w:ascii="Times New Roman" w:hAnsi="Times New Roman" w:cs="Times New Roman"/>
          <w:sz w:val="24"/>
          <w:szCs w:val="24"/>
          <w:lang w:val="en-GB"/>
        </w:rPr>
        <w:t xml:space="preserve"> </w:t>
      </w:r>
      <w:r w:rsidR="00206CF4" w:rsidRPr="00E50F9D">
        <w:rPr>
          <w:rFonts w:ascii="Times New Roman" w:hAnsi="Times New Roman" w:cs="Times New Roman"/>
          <w:sz w:val="24"/>
          <w:szCs w:val="24"/>
          <w:lang w:val="en-GB"/>
        </w:rPr>
        <w:t>Following Koetter et al. (2012), w</w:t>
      </w:r>
      <w:r w:rsidR="00DE5787" w:rsidRPr="00E50F9D">
        <w:rPr>
          <w:rFonts w:ascii="Times New Roman" w:hAnsi="Times New Roman" w:cs="Times New Roman"/>
          <w:sz w:val="24"/>
          <w:szCs w:val="24"/>
          <w:lang w:val="en-GB"/>
        </w:rPr>
        <w:t xml:space="preserve">e estimate </w:t>
      </w:r>
      <w:r w:rsidR="0052325A" w:rsidRPr="00E50F9D">
        <w:rPr>
          <w:rFonts w:ascii="Times New Roman" w:hAnsi="Times New Roman" w:cs="Times New Roman"/>
          <w:sz w:val="24"/>
          <w:szCs w:val="24"/>
          <w:lang w:val="en-GB"/>
        </w:rPr>
        <w:t xml:space="preserve">the </w:t>
      </w:r>
      <w:r w:rsidR="00DE5787" w:rsidRPr="00E50F9D">
        <w:rPr>
          <w:rFonts w:ascii="Times New Roman" w:hAnsi="Times New Roman" w:cs="Times New Roman"/>
          <w:sz w:val="24"/>
          <w:szCs w:val="24"/>
          <w:lang w:val="en-GB"/>
        </w:rPr>
        <w:t>equation using an SFA approach (Kumbhakar &amp; Lovell, 2000)</w:t>
      </w:r>
      <w:r w:rsidR="00872223" w:rsidRPr="00E50F9D">
        <w:rPr>
          <w:rStyle w:val="EndnoteReference"/>
          <w:rFonts w:ascii="Times New Roman" w:hAnsi="Times New Roman" w:cs="Times New Roman"/>
          <w:sz w:val="24"/>
          <w:szCs w:val="24"/>
          <w:lang w:val="en-GB"/>
        </w:rPr>
        <w:endnoteReference w:id="10"/>
      </w:r>
      <w:r w:rsidR="00DE5787" w:rsidRPr="00E50F9D">
        <w:rPr>
          <w:rFonts w:ascii="Times New Roman" w:hAnsi="Times New Roman" w:cs="Times New Roman"/>
          <w:sz w:val="24"/>
          <w:szCs w:val="24"/>
          <w:lang w:val="en-GB"/>
        </w:rPr>
        <w:t>.</w:t>
      </w:r>
      <w:r w:rsidR="00CA559B" w:rsidRPr="00E50F9D">
        <w:rPr>
          <w:rFonts w:ascii="Times New Roman" w:hAnsi="Times New Roman" w:cs="Times New Roman"/>
          <w:sz w:val="24"/>
          <w:szCs w:val="24"/>
          <w:lang w:val="en-GB"/>
        </w:rPr>
        <w:t xml:space="preserve"> </w:t>
      </w:r>
      <w:r w:rsidR="004750EE" w:rsidRPr="00E50F9D">
        <w:rPr>
          <w:rFonts w:ascii="Times New Roman" w:hAnsi="Times New Roman" w:cs="Times New Roman"/>
          <w:sz w:val="24"/>
          <w:szCs w:val="24"/>
          <w:lang w:val="en-GB"/>
        </w:rPr>
        <w:t>We apply both the</w:t>
      </w:r>
      <w:r w:rsidRPr="00E50F9D">
        <w:rPr>
          <w:rFonts w:ascii="Times New Roman" w:hAnsi="Times New Roman" w:cs="Times New Roman"/>
          <w:sz w:val="24"/>
          <w:szCs w:val="24"/>
          <w:lang w:val="en-GB"/>
        </w:rPr>
        <w:t xml:space="preserve"> </w:t>
      </w:r>
      <w:r w:rsidR="004750EE" w:rsidRPr="00E50F9D">
        <w:rPr>
          <w:rFonts w:ascii="Times New Roman" w:hAnsi="Times New Roman" w:cs="Times New Roman"/>
          <w:sz w:val="24"/>
          <w:szCs w:val="24"/>
          <w:lang w:val="en-GB"/>
        </w:rPr>
        <w:t xml:space="preserve">symmetry of the second order parameters and the </w:t>
      </w:r>
      <w:r w:rsidRPr="00E50F9D">
        <w:rPr>
          <w:rFonts w:ascii="Times New Roman" w:hAnsi="Times New Roman" w:cs="Times New Roman"/>
          <w:sz w:val="24"/>
          <w:szCs w:val="24"/>
          <w:lang w:val="en-GB"/>
        </w:rPr>
        <w:t xml:space="preserve">restrictions of linear homogeneity in </w:t>
      </w:r>
      <w:r w:rsidR="00096037" w:rsidRPr="00E50F9D">
        <w:rPr>
          <w:rFonts w:ascii="Times New Roman" w:hAnsi="Times New Roman" w:cs="Times New Roman"/>
          <w:sz w:val="24"/>
          <w:szCs w:val="24"/>
          <w:lang w:val="en-GB"/>
        </w:rPr>
        <w:t>input prices</w:t>
      </w:r>
      <w:r w:rsidRPr="00E50F9D">
        <w:rPr>
          <w:rFonts w:ascii="Times New Roman" w:hAnsi="Times New Roman" w:cs="Times New Roman"/>
          <w:sz w:val="24"/>
          <w:szCs w:val="24"/>
          <w:lang w:val="en-GB"/>
        </w:rPr>
        <w:t>.</w:t>
      </w:r>
      <w:r w:rsidR="00702D55" w:rsidRPr="00E50F9D">
        <w:rPr>
          <w:rFonts w:ascii="Times New Roman" w:hAnsi="Times New Roman" w:cs="Times New Roman"/>
          <w:sz w:val="24"/>
          <w:szCs w:val="24"/>
          <w:lang w:val="en-GB"/>
        </w:rPr>
        <w:t xml:space="preserve"> </w:t>
      </w:r>
      <w:r w:rsidR="004750EE" w:rsidRPr="00E50F9D">
        <w:rPr>
          <w:rFonts w:ascii="Times New Roman" w:hAnsi="Times New Roman" w:cs="Times New Roman"/>
          <w:sz w:val="24"/>
          <w:szCs w:val="24"/>
          <w:lang w:val="en-GB"/>
        </w:rPr>
        <w:t>In accordance with Solís and Maudos (2008)</w:t>
      </w:r>
      <w:r w:rsidR="00096037" w:rsidRPr="00E50F9D">
        <w:rPr>
          <w:rFonts w:ascii="Times New Roman" w:hAnsi="Times New Roman" w:cs="Times New Roman"/>
          <w:sz w:val="24"/>
          <w:szCs w:val="24"/>
          <w:lang w:val="en-GB"/>
        </w:rPr>
        <w:t xml:space="preserve">, </w:t>
      </w:r>
      <w:r w:rsidR="00BD4E35" w:rsidRPr="00E50F9D">
        <w:rPr>
          <w:rFonts w:ascii="Times New Roman" w:hAnsi="Times New Roman" w:cs="Times New Roman"/>
          <w:sz w:val="24"/>
          <w:szCs w:val="24"/>
          <w:lang w:val="en-GB"/>
        </w:rPr>
        <w:t xml:space="preserve">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MC</m:t>
            </m:r>
          </m:e>
          <m:sub>
            <m:r>
              <m:rPr>
                <m:sty m:val="p"/>
              </m:rPr>
              <w:rPr>
                <w:rFonts w:ascii="Cambria Math" w:hAnsi="Cambria Math" w:cs="Times New Roman"/>
                <w:sz w:val="24"/>
                <w:szCs w:val="24"/>
                <w:lang w:val="en-GB"/>
              </w:rPr>
              <m:t>Lit</m:t>
            </m:r>
          </m:sub>
        </m:sSub>
      </m:oMath>
      <w:r w:rsidR="00BD4E35" w:rsidRPr="00E50F9D">
        <w:rPr>
          <w:rFonts w:ascii="Times New Roman" w:hAnsi="Times New Roman" w:cs="Times New Roman"/>
          <w:sz w:val="24"/>
          <w:szCs w:val="24"/>
          <w:lang w:val="en-GB"/>
        </w:rPr>
        <w:t xml:space="preserve"> and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MC</m:t>
            </m:r>
          </m:e>
          <m:sub>
            <m:r>
              <m:rPr>
                <m:sty m:val="p"/>
              </m:rPr>
              <w:rPr>
                <w:rFonts w:ascii="Cambria Math" w:hAnsi="Cambria Math" w:cs="Times New Roman"/>
                <w:sz w:val="24"/>
                <w:szCs w:val="24"/>
                <w:lang w:val="en-GB"/>
              </w:rPr>
              <m:t>Dit</m:t>
            </m:r>
          </m:sub>
        </m:sSub>
      </m:oMath>
      <w:r w:rsidR="00BD4E35" w:rsidRPr="00E50F9D">
        <w:rPr>
          <w:rFonts w:ascii="Times New Roman" w:hAnsi="Times New Roman" w:cs="Times New Roman"/>
          <w:sz w:val="24"/>
          <w:szCs w:val="24"/>
          <w:lang w:val="en-GB"/>
        </w:rPr>
        <w:t xml:space="preserve"> are then specified as follows:</w:t>
      </w:r>
    </w:p>
    <w:p w14:paraId="3845511B" w14:textId="69C88C55" w:rsidR="00206CF4" w:rsidRPr="00E50F9D" w:rsidRDefault="00206CF4" w:rsidP="00DE5787">
      <w:pPr>
        <w:pStyle w:val="FootnoteText"/>
        <w:spacing w:after="120" w:line="480" w:lineRule="auto"/>
        <w:jc w:val="both"/>
        <w:rPr>
          <w:rFonts w:ascii="Times New Roman" w:hAnsi="Times New Roman" w:cs="Times New Roman"/>
          <w:sz w:val="24"/>
          <w:szCs w:val="24"/>
          <w:lang w:val="en-GB"/>
        </w:rPr>
      </w:pPr>
      <m:oMath>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TC</m:t>
            </m:r>
          </m:e>
          <m:sub>
            <m:r>
              <w:rPr>
                <w:rFonts w:ascii="Cambria Math" w:hAnsi="Cambria Math" w:cs="Times New Roman"/>
                <w:sz w:val="24"/>
                <w:szCs w:val="24"/>
                <w:lang w:val="en-GB"/>
              </w:rPr>
              <m:t>it</m:t>
            </m:r>
          </m:sub>
        </m:sSub>
      </m:oMath>
      <w:r w:rsidRPr="00E50F9D">
        <w:rPr>
          <w:rFonts w:ascii="Times New Roman" w:hAnsi="Times New Roman" w:cs="Times New Roman"/>
          <w:sz w:val="24"/>
          <w:szCs w:val="24"/>
          <w:lang w:val="en-GB"/>
        </w:rPr>
        <w:t>/</w:t>
      </w:r>
      <m:oMath>
        <m:r>
          <w:rPr>
            <w:rFonts w:ascii="Cambria Math" w:hAnsi="Cambria Math" w:cs="Times New Roman"/>
            <w:sz w:val="24"/>
            <w:szCs w:val="24"/>
            <w:lang w:val="en-GB"/>
          </w:rPr>
          <m:t xml:space="preserve"> ∂</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lnLoans</m:t>
            </m:r>
          </m:e>
          <m:sub>
            <m:r>
              <w:rPr>
                <w:rFonts w:ascii="Cambria Math" w:hAnsi="Cambria Math" w:cs="Times New Roman"/>
                <w:sz w:val="24"/>
                <w:szCs w:val="24"/>
                <w:lang w:val="en-GB"/>
              </w:rPr>
              <m:t>it</m:t>
            </m:r>
          </m:sub>
        </m:sSub>
      </m:oMath>
      <w:r w:rsidRPr="00E50F9D">
        <w:rPr>
          <w:rFonts w:ascii="Times New Roman" w:hAnsi="Times New Roman" w:cs="Times New Roman"/>
          <w:iCs/>
          <w:sz w:val="24"/>
          <w:szCs w:val="24"/>
          <w:lang w:val="en-GB"/>
        </w:rPr>
        <w:t>=</w:t>
      </w:r>
    </w:p>
    <w:p w14:paraId="2C9E5E4A" w14:textId="225E6B46" w:rsidR="00206CF4" w:rsidRPr="00E50F9D" w:rsidRDefault="00BB5E64" w:rsidP="00CC61FF">
      <w:pPr>
        <w:pStyle w:val="FootnoteText"/>
        <w:tabs>
          <w:tab w:val="right" w:pos="7230"/>
          <w:tab w:val="right" w:pos="9072"/>
        </w:tabs>
        <w:spacing w:after="120" w:line="480" w:lineRule="auto"/>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MC</m:t>
            </m:r>
          </m:e>
          <m:sub>
            <m:r>
              <w:rPr>
                <w:rFonts w:ascii="Cambria Math" w:hAnsi="Cambria Math" w:cs="Times New Roman"/>
                <w:sz w:val="24"/>
                <w:szCs w:val="24"/>
                <w:lang w:val="en-GB"/>
              </w:rPr>
              <m:t>Lit</m:t>
            </m:r>
          </m:sub>
        </m:sSub>
      </m:oMath>
      <w:r w:rsidR="00C27140" w:rsidRPr="00E50F9D">
        <w:rPr>
          <w:rFonts w:ascii="Times New Roman" w:hAnsi="Times New Roman" w:cs="Times New Roman"/>
          <w:sz w:val="24"/>
          <w:szCs w:val="24"/>
          <w:lang w:val="en-GB"/>
        </w:rPr>
        <w:t>=</w:t>
      </w:r>
      <m:oMath>
        <m:d>
          <m:dPr>
            <m:begChr m:val="["/>
            <m:endChr m:val="]"/>
            <m:ctrlPr>
              <w:rPr>
                <w:rFonts w:ascii="Cambria Math" w:hAnsi="Cambria Math" w:cs="Times New Roman"/>
                <w:i/>
                <w:sz w:val="24"/>
                <w:szCs w:val="24"/>
                <w:lang w:val="pt-PT"/>
              </w:rPr>
            </m:ctrlPr>
          </m:dPr>
          <m:e>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L</m:t>
                </m:r>
              </m:sub>
            </m:sSub>
            <m:r>
              <w:rPr>
                <w:rFonts w:ascii="Cambria Math" w:hAnsi="Cambria Math" w:cs="Times New Roman"/>
                <w:sz w:val="24"/>
                <w:szCs w:val="24"/>
                <w:lang w:val="en-GB"/>
              </w:rPr>
              <m:t xml:space="preserve">+ </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LL</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lnLoans</m:t>
                </m:r>
              </m:e>
              <m:sub>
                <m:r>
                  <w:rPr>
                    <w:rFonts w:ascii="Cambria Math" w:hAnsi="Cambria Math" w:cs="Times New Roman"/>
                    <w:sz w:val="24"/>
                    <w:szCs w:val="24"/>
                    <w:lang w:val="en-GB"/>
                  </w:rPr>
                  <m:t>it</m:t>
                </m:r>
              </m:sub>
            </m:sSub>
            <m:r>
              <m:rPr>
                <m:sty m:val="p"/>
              </m:rPr>
              <w:rPr>
                <w:rFonts w:ascii="Cambria Math" w:hAnsi="Cambria Math" w:cs="Times New Roman"/>
                <w:sz w:val="24"/>
                <w:szCs w:val="24"/>
                <w:lang w:val="en-GB"/>
              </w:rPr>
              <m:t xml:space="preserve"> +</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LD</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lnDep</m:t>
                </m:r>
              </m:e>
              <m:sub>
                <m:r>
                  <w:rPr>
                    <w:rFonts w:ascii="Cambria Math" w:hAnsi="Cambria Math" w:cs="Times New Roman"/>
                    <w:sz w:val="24"/>
                    <w:szCs w:val="24"/>
                    <w:lang w:val="en-GB"/>
                  </w:rPr>
                  <m:t>it</m:t>
                </m:r>
              </m:sub>
            </m:sSub>
            <m:r>
              <m:rPr>
                <m:sty m:val="p"/>
              </m:rPr>
              <w:rPr>
                <w:rFonts w:ascii="Cambria Math" w:hAnsi="Cambria Math" w:cs="Times New Roman"/>
                <w:sz w:val="24"/>
                <w:szCs w:val="24"/>
                <w:lang w:val="en-GB"/>
              </w:rPr>
              <m:t xml:space="preserve"> +</m:t>
            </m:r>
            <m:r>
              <w:rPr>
                <w:rFonts w:ascii="Cambria Math" w:hAnsi="Cambria Math" w:cs="Times New Roman"/>
                <w:sz w:val="24"/>
                <w:szCs w:val="24"/>
                <w:vertAlign w:val="subscript"/>
                <w:lang w:val="en-GB"/>
              </w:rPr>
              <m:t>∑</m:t>
            </m:r>
            <m:sSub>
              <m:sSubPr>
                <m:ctrlPr>
                  <w:rPr>
                    <w:rFonts w:ascii="Cambria Math" w:hAnsi="Cambria Math" w:cs="Times New Roman"/>
                    <w:i/>
                    <w:sz w:val="24"/>
                    <w:szCs w:val="24"/>
                    <w:lang w:val="en-GB"/>
                  </w:rPr>
                </m:ctrlPr>
              </m:sSubPr>
              <m:e>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hL</m:t>
                    </m:r>
                  </m:sub>
                </m:sSub>
                <m:r>
                  <w:rPr>
                    <w:rFonts w:ascii="Cambria Math" w:hAnsi="Cambria Math" w:cs="Times New Roman"/>
                    <w:sz w:val="24"/>
                    <w:szCs w:val="24"/>
                    <w:lang w:val="en-GB"/>
                  </w:rPr>
                  <m:t>lnW</m:t>
                </m:r>
              </m:e>
              <m:sub>
                <m:r>
                  <w:rPr>
                    <w:rFonts w:ascii="Cambria Math" w:hAnsi="Cambria Math" w:cs="Times New Roman"/>
                    <w:sz w:val="24"/>
                    <w:szCs w:val="24"/>
                    <w:lang w:val="en-GB"/>
                  </w:rPr>
                  <m:t>hit</m:t>
                </m:r>
              </m:sub>
            </m:sSub>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L</m:t>
                </m:r>
              </m:sub>
            </m:sSub>
            <m:r>
              <w:rPr>
                <w:rFonts w:ascii="Cambria Math" w:hAnsi="Cambria Math" w:cs="Times New Roman"/>
                <w:sz w:val="24"/>
                <w:szCs w:val="24"/>
                <w:lang w:val="en-GB"/>
              </w:rPr>
              <m:t>T</m:t>
            </m:r>
          </m:e>
        </m:d>
      </m:oMath>
      <w:r w:rsidR="00C27140" w:rsidRPr="00E50F9D">
        <w:rPr>
          <w:rFonts w:ascii="Times New Roman" w:hAnsi="Times New Roman" w:cs="Times New Roman"/>
          <w:sz w:val="24"/>
          <w:szCs w:val="24"/>
          <w:lang w:val="en-GB"/>
        </w:rPr>
        <w:t xml:space="preserv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TC</m:t>
            </m:r>
          </m:e>
          <m:sub>
            <m:r>
              <w:rPr>
                <w:rFonts w:ascii="Cambria Math" w:hAnsi="Cambria Math" w:cs="Times New Roman"/>
                <w:sz w:val="24"/>
                <w:szCs w:val="24"/>
                <w:lang w:val="en-GB"/>
              </w:rPr>
              <m:t>it</m:t>
            </m:r>
          </m:sub>
        </m:sSub>
      </m:oMath>
      <w:r w:rsidR="00C27140" w:rsidRPr="00E50F9D">
        <w:rPr>
          <w:rFonts w:ascii="Times New Roman" w:hAnsi="Times New Roman" w:cs="Times New Roman"/>
          <w:sz w:val="24"/>
          <w:szCs w:val="24"/>
          <w:lang w:val="en-GB"/>
        </w:rPr>
        <w:t>/</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Loans</m:t>
            </m:r>
          </m:e>
          <m:sub>
            <m:r>
              <w:rPr>
                <w:rFonts w:ascii="Cambria Math" w:hAnsi="Cambria Math" w:cs="Times New Roman"/>
                <w:sz w:val="24"/>
                <w:szCs w:val="24"/>
                <w:lang w:val="en-GB"/>
              </w:rPr>
              <m:t>it</m:t>
            </m:r>
          </m:sub>
        </m:sSub>
      </m:oMath>
      <w:r w:rsidR="00CC61FF" w:rsidRPr="00E50F9D">
        <w:rPr>
          <w:rFonts w:ascii="Times New Roman" w:hAnsi="Times New Roman" w:cs="Times New Roman"/>
          <w:sz w:val="24"/>
          <w:szCs w:val="24"/>
          <w:lang w:val="en-GB"/>
        </w:rPr>
        <w:t xml:space="preserve">)               </w:t>
      </w:r>
      <w:r w:rsidR="00CC61FF" w:rsidRPr="00E50F9D">
        <w:rPr>
          <w:rFonts w:ascii="Times New Roman" w:hAnsi="Times New Roman" w:cs="Times New Roman"/>
          <w:i/>
          <w:iCs/>
          <w:sz w:val="24"/>
          <w:szCs w:val="24"/>
          <w:lang w:val="en-GB"/>
        </w:rPr>
        <w:t>(</w:t>
      </w:r>
      <w:r w:rsidR="005F3B0D">
        <w:rPr>
          <w:rFonts w:ascii="Times New Roman" w:hAnsi="Times New Roman" w:cs="Times New Roman"/>
          <w:i/>
          <w:iCs/>
          <w:sz w:val="24"/>
          <w:szCs w:val="24"/>
          <w:lang w:val="en-GB"/>
        </w:rPr>
        <w:t>7</w:t>
      </w:r>
      <w:r w:rsidR="00E14AA2" w:rsidRPr="00E50F9D">
        <w:rPr>
          <w:rFonts w:ascii="Times New Roman" w:hAnsi="Times New Roman" w:cs="Times New Roman"/>
          <w:i/>
          <w:iCs/>
          <w:sz w:val="24"/>
          <w:szCs w:val="24"/>
          <w:lang w:val="en-GB"/>
        </w:rPr>
        <w:t>)</w:t>
      </w:r>
      <w:r w:rsidR="00C27140" w:rsidRPr="00E50F9D">
        <w:rPr>
          <w:rFonts w:ascii="Times New Roman" w:hAnsi="Times New Roman" w:cs="Times New Roman"/>
          <w:sz w:val="24"/>
          <w:szCs w:val="24"/>
          <w:lang w:val="en-GB"/>
        </w:rPr>
        <w:t xml:space="preserve">            </w:t>
      </w:r>
    </w:p>
    <w:p w14:paraId="1DEA4E6E" w14:textId="4DBC77AA" w:rsidR="00CC61FF" w:rsidRPr="00E50F9D" w:rsidRDefault="00206CF4" w:rsidP="00206CF4">
      <w:pPr>
        <w:pStyle w:val="FootnoteText"/>
        <w:spacing w:after="120" w:line="480" w:lineRule="auto"/>
        <w:rPr>
          <w:rFonts w:ascii="Times New Roman" w:hAnsi="Times New Roman" w:cs="Times New Roman"/>
          <w:sz w:val="24"/>
          <w:szCs w:val="24"/>
          <w:lang w:val="en-GB"/>
        </w:rPr>
      </w:pPr>
      <m:oMath>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TC</m:t>
            </m:r>
          </m:e>
          <m:sub>
            <m:r>
              <w:rPr>
                <w:rFonts w:ascii="Cambria Math" w:hAnsi="Cambria Math" w:cs="Times New Roman"/>
                <w:sz w:val="24"/>
                <w:szCs w:val="24"/>
                <w:lang w:val="en-GB"/>
              </w:rPr>
              <m:t>it</m:t>
            </m:r>
          </m:sub>
        </m:sSub>
      </m:oMath>
      <w:r w:rsidRPr="00E50F9D">
        <w:rPr>
          <w:rFonts w:ascii="Times New Roman" w:hAnsi="Times New Roman" w:cs="Times New Roman"/>
          <w:sz w:val="24"/>
          <w:szCs w:val="24"/>
          <w:lang w:val="en-GB"/>
        </w:rPr>
        <w:t>/</w:t>
      </w:r>
      <m:oMath>
        <m:r>
          <w:rPr>
            <w:rFonts w:ascii="Cambria Math" w:hAnsi="Cambria Math" w:cs="Times New Roman"/>
            <w:sz w:val="24"/>
            <w:szCs w:val="24"/>
            <w:lang w:val="en-GB"/>
          </w:rPr>
          <m:t xml:space="preserve"> </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∂lnDep</m:t>
            </m:r>
          </m:e>
          <m:sub>
            <m:r>
              <w:rPr>
                <w:rFonts w:ascii="Cambria Math" w:hAnsi="Cambria Math" w:cs="Times New Roman"/>
                <w:sz w:val="24"/>
                <w:szCs w:val="24"/>
                <w:lang w:val="en-GB"/>
              </w:rPr>
              <m:t>it</m:t>
            </m:r>
          </m:sub>
        </m:sSub>
      </m:oMath>
      <w:r w:rsidRPr="00E50F9D">
        <w:rPr>
          <w:rFonts w:ascii="Times New Roman" w:hAnsi="Times New Roman" w:cs="Times New Roman"/>
          <w:iCs/>
          <w:sz w:val="24"/>
          <w:szCs w:val="24"/>
          <w:lang w:val="en-GB"/>
        </w:rPr>
        <w:t>=</w:t>
      </w:r>
      <w:r w:rsidR="00C27140" w:rsidRPr="00E50F9D">
        <w:rPr>
          <w:rFonts w:ascii="Times New Roman" w:hAnsi="Times New Roman" w:cs="Times New Roman"/>
          <w:sz w:val="24"/>
          <w:szCs w:val="24"/>
          <w:lang w:val="en-GB"/>
        </w:rPr>
        <w:t xml:space="preserve">                              </w:t>
      </w:r>
    </w:p>
    <w:p w14:paraId="25DAB865" w14:textId="18C6BA0B" w:rsidR="00F01380" w:rsidRPr="00E50F9D" w:rsidRDefault="00BB5E64" w:rsidP="00702D55">
      <w:pPr>
        <w:spacing w:after="0" w:line="480" w:lineRule="auto"/>
        <w:jc w:val="both"/>
        <w:rPr>
          <w:rFonts w:ascii="Times New Roman" w:hAnsi="Times New Roman" w:cs="Times New Roman"/>
          <w:b/>
          <w:bCs/>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MC</m:t>
            </m:r>
          </m:e>
          <m:sub>
            <m:r>
              <w:rPr>
                <w:rFonts w:ascii="Cambria Math" w:hAnsi="Cambria Math" w:cs="Times New Roman"/>
                <w:sz w:val="24"/>
                <w:szCs w:val="24"/>
                <w:lang w:val="en-GB"/>
              </w:rPr>
              <m:t>Dit</m:t>
            </m:r>
          </m:sub>
        </m:sSub>
      </m:oMath>
      <w:r w:rsidR="00E14AA2" w:rsidRPr="00E50F9D">
        <w:rPr>
          <w:rFonts w:ascii="Times New Roman" w:hAnsi="Times New Roman" w:cs="Times New Roman"/>
          <w:sz w:val="24"/>
          <w:szCs w:val="24"/>
          <w:lang w:val="en-GB"/>
        </w:rPr>
        <w:t>=</w:t>
      </w:r>
      <m:oMath>
        <m:d>
          <m:dPr>
            <m:begChr m:val="["/>
            <m:endChr m:val="]"/>
            <m:ctrlPr>
              <w:rPr>
                <w:rFonts w:ascii="Cambria Math" w:hAnsi="Cambria Math" w:cs="Times New Roman"/>
                <w:i/>
                <w:sz w:val="24"/>
                <w:szCs w:val="24"/>
                <w:lang w:val="pt-PT" w:eastAsia="en-US"/>
              </w:rPr>
            </m:ctrlPr>
          </m:dPr>
          <m:e>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D</m:t>
                </m:r>
              </m:sub>
            </m:sSub>
            <m:r>
              <w:rPr>
                <w:rFonts w:ascii="Cambria Math" w:hAnsi="Cambria Math" w:cs="Times New Roman"/>
                <w:sz w:val="24"/>
                <w:szCs w:val="24"/>
                <w:lang w:val="en-GB"/>
              </w:rPr>
              <m:t xml:space="preserve">+ </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DD</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lnDep</m:t>
                </m:r>
              </m:e>
              <m:sub>
                <m:r>
                  <w:rPr>
                    <w:rFonts w:ascii="Cambria Math" w:hAnsi="Cambria Math" w:cs="Times New Roman"/>
                    <w:sz w:val="24"/>
                    <w:szCs w:val="24"/>
                    <w:lang w:val="en-GB"/>
                  </w:rPr>
                  <m:t>it</m:t>
                </m:r>
              </m:sub>
            </m:sSub>
            <m:r>
              <m:rPr>
                <m:sty m:val="p"/>
              </m:rPr>
              <w:rPr>
                <w:rFonts w:ascii="Cambria Math" w:hAnsi="Cambria Math" w:cs="Times New Roman"/>
                <w:sz w:val="24"/>
                <w:szCs w:val="24"/>
                <w:lang w:val="en-GB"/>
              </w:rPr>
              <m:t xml:space="preserve"> +</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LD</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lnLoans</m:t>
                </m:r>
              </m:e>
              <m:sub>
                <m:r>
                  <w:rPr>
                    <w:rFonts w:ascii="Cambria Math" w:hAnsi="Cambria Math" w:cs="Times New Roman"/>
                    <w:sz w:val="24"/>
                    <w:szCs w:val="24"/>
                    <w:lang w:val="en-GB"/>
                  </w:rPr>
                  <m:t>it</m:t>
                </m:r>
              </m:sub>
            </m:sSub>
            <m:r>
              <m:rPr>
                <m:sty m:val="p"/>
              </m:rPr>
              <w:rPr>
                <w:rFonts w:ascii="Cambria Math" w:hAnsi="Cambria Math" w:cs="Times New Roman"/>
                <w:sz w:val="24"/>
                <w:szCs w:val="24"/>
                <w:lang w:val="en-GB"/>
              </w:rPr>
              <m:t xml:space="preserve"> +</m:t>
            </m:r>
            <m:r>
              <w:rPr>
                <w:rFonts w:ascii="Cambria Math" w:hAnsi="Cambria Math" w:cs="Times New Roman"/>
                <w:sz w:val="24"/>
                <w:szCs w:val="24"/>
                <w:vertAlign w:val="subscript"/>
                <w:lang w:val="en-GB"/>
              </w:rPr>
              <m:t>∑</m:t>
            </m:r>
            <m:sSub>
              <m:sSubPr>
                <m:ctrlPr>
                  <w:rPr>
                    <w:rFonts w:ascii="Cambria Math" w:hAnsi="Cambria Math" w:cs="Times New Roman"/>
                    <w:i/>
                    <w:sz w:val="24"/>
                    <w:szCs w:val="24"/>
                    <w:lang w:val="en-GB"/>
                  </w:rPr>
                </m:ctrlPr>
              </m:sSubPr>
              <m:e>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hD</m:t>
                    </m:r>
                  </m:sub>
                </m:sSub>
                <m:r>
                  <w:rPr>
                    <w:rFonts w:ascii="Cambria Math" w:hAnsi="Cambria Math" w:cs="Times New Roman"/>
                    <w:sz w:val="24"/>
                    <w:szCs w:val="24"/>
                    <w:lang w:val="en-GB"/>
                  </w:rPr>
                  <m:t>lnW</m:t>
                </m:r>
              </m:e>
              <m:sub>
                <m:r>
                  <w:rPr>
                    <w:rFonts w:ascii="Cambria Math" w:hAnsi="Cambria Math" w:cs="Times New Roman"/>
                    <w:sz w:val="24"/>
                    <w:szCs w:val="24"/>
                    <w:lang w:val="en-GB"/>
                  </w:rPr>
                  <m:t>hit</m:t>
                </m:r>
              </m:sub>
            </m:sSub>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D</m:t>
                </m:r>
              </m:sub>
            </m:sSub>
            <m:r>
              <w:rPr>
                <w:rFonts w:ascii="Cambria Math" w:hAnsi="Cambria Math" w:cs="Times New Roman"/>
                <w:sz w:val="24"/>
                <w:szCs w:val="24"/>
                <w:lang w:val="en-GB"/>
              </w:rPr>
              <m:t>T</m:t>
            </m:r>
          </m:e>
        </m:d>
      </m:oMath>
      <w:r w:rsidR="00E14AA2" w:rsidRPr="00E50F9D">
        <w:rPr>
          <w:rFonts w:ascii="Times New Roman" w:hAnsi="Times New Roman" w:cs="Times New Roman"/>
          <w:sz w:val="24"/>
          <w:szCs w:val="24"/>
          <w:lang w:val="en-GB"/>
        </w:rPr>
        <w:t xml:space="preserv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TC</m:t>
            </m:r>
          </m:e>
          <m:sub>
            <m:r>
              <w:rPr>
                <w:rFonts w:ascii="Cambria Math" w:hAnsi="Cambria Math" w:cs="Times New Roman"/>
                <w:sz w:val="24"/>
                <w:szCs w:val="24"/>
                <w:lang w:val="en-GB"/>
              </w:rPr>
              <m:t>it</m:t>
            </m:r>
          </m:sub>
        </m:sSub>
      </m:oMath>
      <w:r w:rsidR="00E14AA2" w:rsidRPr="00E50F9D">
        <w:rPr>
          <w:rFonts w:ascii="Times New Roman" w:hAnsi="Times New Roman" w:cs="Times New Roman"/>
          <w:sz w:val="24"/>
          <w:szCs w:val="24"/>
          <w:lang w:val="en-GB"/>
        </w:rPr>
        <w:t>/</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Dep</m:t>
            </m:r>
          </m:e>
          <m:sub>
            <m:r>
              <w:rPr>
                <w:rFonts w:ascii="Cambria Math" w:hAnsi="Cambria Math" w:cs="Times New Roman"/>
                <w:sz w:val="24"/>
                <w:szCs w:val="24"/>
                <w:lang w:val="en-GB"/>
              </w:rPr>
              <m:t>it</m:t>
            </m:r>
          </m:sub>
        </m:sSub>
      </m:oMath>
      <w:r w:rsidR="00E14AA2" w:rsidRPr="00E50F9D">
        <w:rPr>
          <w:rFonts w:ascii="Times New Roman" w:hAnsi="Times New Roman" w:cs="Times New Roman"/>
          <w:sz w:val="24"/>
          <w:szCs w:val="24"/>
          <w:lang w:val="en-GB"/>
        </w:rPr>
        <w:t xml:space="preserve">)                                                                    </w:t>
      </w:r>
    </w:p>
    <w:p w14:paraId="40CFA5F5" w14:textId="77777777" w:rsidR="00CC61FF" w:rsidRPr="00E50F9D" w:rsidRDefault="00CC61FF" w:rsidP="007939C2">
      <w:pPr>
        <w:spacing w:after="0" w:line="480" w:lineRule="auto"/>
        <w:jc w:val="both"/>
        <w:rPr>
          <w:rFonts w:ascii="Times New Roman" w:hAnsi="Times New Roman" w:cs="Times New Roman"/>
          <w:sz w:val="24"/>
          <w:szCs w:val="24"/>
          <w:lang w:val="en-GB" w:eastAsia="en-US"/>
        </w:rPr>
      </w:pPr>
    </w:p>
    <w:p w14:paraId="09C3D742" w14:textId="2FBEC86B" w:rsidR="004B4382" w:rsidRPr="00E50F9D" w:rsidRDefault="00096037" w:rsidP="007939C2">
      <w:pPr>
        <w:spacing w:after="0" w:line="480" w:lineRule="auto"/>
        <w:jc w:val="both"/>
        <w:rPr>
          <w:rFonts w:ascii="Times New Roman" w:hAnsi="Times New Roman" w:cs="Times New Roman"/>
          <w:sz w:val="24"/>
          <w:szCs w:val="24"/>
          <w:lang w:val="en-GB" w:eastAsia="en-US"/>
        </w:rPr>
      </w:pPr>
      <w:r w:rsidRPr="00E50F9D">
        <w:rPr>
          <w:rFonts w:ascii="Times New Roman" w:hAnsi="Times New Roman" w:cs="Times New Roman"/>
          <w:sz w:val="24"/>
          <w:szCs w:val="24"/>
          <w:lang w:val="en-GB" w:eastAsia="en-US"/>
        </w:rPr>
        <w:t>As an additional robust measure of monopoly market power, w</w:t>
      </w:r>
      <w:r w:rsidR="00BD4E35" w:rsidRPr="00E50F9D">
        <w:rPr>
          <w:rFonts w:ascii="Times New Roman" w:hAnsi="Times New Roman" w:cs="Times New Roman"/>
          <w:sz w:val="24"/>
          <w:szCs w:val="24"/>
          <w:lang w:val="en-GB" w:eastAsia="en-US"/>
        </w:rPr>
        <w:t xml:space="preserve">e also calculate </w:t>
      </w:r>
      <w:r w:rsidR="00D84234" w:rsidRPr="00E50F9D">
        <w:rPr>
          <w:rFonts w:ascii="Times New Roman" w:hAnsi="Times New Roman" w:cs="Times New Roman"/>
          <w:sz w:val="24"/>
          <w:szCs w:val="24"/>
          <w:lang w:val="en-GB" w:eastAsia="en-US"/>
        </w:rPr>
        <w:t>the efficien</w:t>
      </w:r>
      <w:r w:rsidR="004B4382" w:rsidRPr="00E50F9D">
        <w:rPr>
          <w:rFonts w:ascii="Times New Roman" w:hAnsi="Times New Roman" w:cs="Times New Roman"/>
          <w:sz w:val="24"/>
          <w:szCs w:val="24"/>
          <w:lang w:val="en-GB" w:eastAsia="en-US"/>
        </w:rPr>
        <w:t xml:space="preserve">cy-adjusted Lerner index (Eq. </w:t>
      </w:r>
      <w:r w:rsidR="0055783C" w:rsidRPr="00E50F9D">
        <w:rPr>
          <w:rFonts w:ascii="Times New Roman" w:hAnsi="Times New Roman" w:cs="Times New Roman"/>
          <w:sz w:val="24"/>
          <w:szCs w:val="24"/>
          <w:lang w:val="en-GB" w:eastAsia="en-US"/>
        </w:rPr>
        <w:t>10</w:t>
      </w:r>
      <w:r w:rsidR="00D84234" w:rsidRPr="00E50F9D">
        <w:rPr>
          <w:rFonts w:ascii="Times New Roman" w:hAnsi="Times New Roman" w:cs="Times New Roman"/>
          <w:sz w:val="24"/>
          <w:szCs w:val="24"/>
          <w:lang w:val="en-GB" w:eastAsia="en-US"/>
        </w:rPr>
        <w:t>)</w:t>
      </w:r>
      <w:r w:rsidR="00BD4E35" w:rsidRPr="00E50F9D">
        <w:rPr>
          <w:rFonts w:ascii="Times New Roman" w:hAnsi="Times New Roman" w:cs="Times New Roman"/>
          <w:sz w:val="24"/>
          <w:szCs w:val="24"/>
          <w:lang w:val="en-GB" w:eastAsia="en-US"/>
        </w:rPr>
        <w:t xml:space="preserve"> proposed by Koetter et al. (2012)</w:t>
      </w:r>
      <w:r w:rsidR="003114E3" w:rsidRPr="00E50F9D">
        <w:rPr>
          <w:rFonts w:ascii="Times New Roman" w:hAnsi="Times New Roman" w:cs="Times New Roman"/>
          <w:sz w:val="24"/>
          <w:szCs w:val="24"/>
          <w:lang w:val="en-GB" w:eastAsia="en-US"/>
        </w:rPr>
        <w:t>:</w:t>
      </w:r>
    </w:p>
    <w:p w14:paraId="77724FD8" w14:textId="77777777" w:rsidR="004B4382" w:rsidRPr="00E50F9D" w:rsidRDefault="004B4382" w:rsidP="007939C2">
      <w:pPr>
        <w:spacing w:after="0" w:line="480" w:lineRule="auto"/>
        <w:jc w:val="both"/>
        <w:rPr>
          <w:rFonts w:ascii="Times New Roman" w:hAnsi="Times New Roman" w:cs="Times New Roman"/>
          <w:sz w:val="24"/>
          <w:szCs w:val="24"/>
          <w:lang w:val="en-GB" w:eastAsia="en-US"/>
        </w:rPr>
      </w:pPr>
    </w:p>
    <w:p w14:paraId="776DFA24" w14:textId="6DE4FA86" w:rsidR="004B4382" w:rsidRPr="00E50F9D" w:rsidRDefault="004B4382" w:rsidP="00A85A48">
      <w:pPr>
        <w:spacing w:after="0" w:line="480" w:lineRule="auto"/>
        <w:rPr>
          <w:rFonts w:ascii="Times New Roman" w:hAnsi="Times New Roman" w:cs="Times New Roman"/>
          <w:sz w:val="24"/>
          <w:szCs w:val="24"/>
          <w:lang w:val="en-GB" w:eastAsia="en-US"/>
        </w:rPr>
      </w:pPr>
      <w:r w:rsidRPr="00E50F9D">
        <w:rPr>
          <w:rFonts w:ascii="Times New Roman" w:hAnsi="Times New Roman" w:cs="Times New Roman"/>
          <w:sz w:val="20"/>
          <w:szCs w:val="20"/>
          <w:lang w:val="en-GB" w:eastAsia="en-US"/>
        </w:rPr>
        <w:t xml:space="preserve">     </w:t>
      </w:r>
      <m:oMath>
        <m:r>
          <w:rPr>
            <w:rFonts w:ascii="Cambria Math" w:hAnsi="Cambria Math" w:cs="Times New Roman"/>
            <w:sz w:val="20"/>
            <w:szCs w:val="20"/>
            <w:lang w:val="en-GB" w:eastAsia="en-US"/>
          </w:rPr>
          <m:t xml:space="preserve">Adj </m:t>
        </m:r>
        <m:f>
          <m:fPr>
            <m:type m:val="lin"/>
            <m:ctrlPr>
              <w:rPr>
                <w:rFonts w:ascii="Cambria Math" w:hAnsi="Cambria Math" w:cs="Times New Roman"/>
                <w:i/>
                <w:lang w:val="en-GB" w:eastAsia="en-US"/>
              </w:rPr>
            </m:ctrlPr>
          </m:fPr>
          <m:num>
            <m:r>
              <w:rPr>
                <w:rFonts w:ascii="Cambria Math" w:hAnsi="Cambria Math" w:cs="Times New Roman"/>
                <w:lang w:val="en-GB" w:eastAsia="en-US"/>
              </w:rPr>
              <m:t xml:space="preserve">LE= </m:t>
            </m:r>
            <m:acc>
              <m:accPr>
                <m:ctrlPr>
                  <w:rPr>
                    <w:rFonts w:ascii="Cambria Math" w:hAnsi="Cambria Math" w:cs="Times New Roman"/>
                    <w:i/>
                    <w:lang w:val="en-GB" w:eastAsia="en-US"/>
                  </w:rPr>
                </m:ctrlPr>
              </m:accPr>
              <m:e>
                <m:r>
                  <w:rPr>
                    <w:rFonts w:ascii="Cambria Math" w:hAnsi="Cambria Math" w:cs="Times New Roman"/>
                    <w:lang w:val="en-GB" w:eastAsia="en-US"/>
                  </w:rPr>
                  <m:t>(PBT</m:t>
                </m:r>
              </m:e>
            </m:acc>
            <m:r>
              <w:rPr>
                <w:rFonts w:ascii="Cambria Math" w:hAnsi="Cambria Math" w:cs="Times New Roman"/>
                <w:lang w:val="en-GB" w:eastAsia="en-US"/>
              </w:rPr>
              <m:t xml:space="preserve"> + </m:t>
            </m:r>
            <m:acc>
              <m:accPr>
                <m:ctrlPr>
                  <w:rPr>
                    <w:rFonts w:ascii="Cambria Math" w:hAnsi="Cambria Math" w:cs="Times New Roman"/>
                    <w:i/>
                    <w:lang w:val="en-GB" w:eastAsia="en-US"/>
                  </w:rPr>
                </m:ctrlPr>
              </m:accPr>
              <m:e>
                <m:r>
                  <w:rPr>
                    <w:rFonts w:ascii="Cambria Math" w:hAnsi="Cambria Math" w:cs="Times New Roman"/>
                    <w:lang w:val="en-GB" w:eastAsia="en-US"/>
                  </w:rPr>
                  <m:t>TC</m:t>
                </m:r>
              </m:e>
            </m:acc>
            <m:r>
              <w:rPr>
                <w:rFonts w:ascii="Cambria Math" w:hAnsi="Cambria Math" w:cs="Times New Roman"/>
                <w:lang w:val="en-GB" w:eastAsia="en-US"/>
              </w:rPr>
              <m:t>-MC*TA)</m:t>
            </m:r>
          </m:num>
          <m:den>
            <m:acc>
              <m:accPr>
                <m:ctrlPr>
                  <w:rPr>
                    <w:rFonts w:ascii="Cambria Math" w:hAnsi="Cambria Math" w:cs="Times New Roman"/>
                    <w:i/>
                    <w:lang w:val="en-GB" w:eastAsia="en-US"/>
                  </w:rPr>
                </m:ctrlPr>
              </m:accPr>
              <m:e>
                <m:r>
                  <w:rPr>
                    <w:rFonts w:ascii="Cambria Math" w:hAnsi="Cambria Math" w:cs="Times New Roman"/>
                    <w:lang w:val="en-GB" w:eastAsia="en-US"/>
                  </w:rPr>
                  <m:t>(PBT</m:t>
                </m:r>
              </m:e>
            </m:acc>
            <m:r>
              <w:rPr>
                <w:rFonts w:ascii="Cambria Math" w:hAnsi="Cambria Math" w:cs="Times New Roman"/>
                <w:lang w:val="en-GB" w:eastAsia="en-US"/>
              </w:rPr>
              <m:t xml:space="preserve"> + </m:t>
            </m:r>
            <m:acc>
              <m:accPr>
                <m:ctrlPr>
                  <w:rPr>
                    <w:rFonts w:ascii="Cambria Math" w:hAnsi="Cambria Math" w:cs="Times New Roman"/>
                    <w:i/>
                    <w:lang w:val="en-GB" w:eastAsia="en-US"/>
                  </w:rPr>
                </m:ctrlPr>
              </m:accPr>
              <m:e>
                <m:r>
                  <w:rPr>
                    <w:rFonts w:ascii="Cambria Math" w:hAnsi="Cambria Math" w:cs="Times New Roman"/>
                    <w:lang w:val="en-GB" w:eastAsia="en-US"/>
                  </w:rPr>
                  <m:t>TC</m:t>
                </m:r>
              </m:e>
            </m:acc>
          </m:den>
        </m:f>
        <m:r>
          <w:rPr>
            <w:rFonts w:ascii="Cambria Math" w:hAnsi="Cambria Math" w:cs="Times New Roman"/>
            <w:lang w:val="en-GB" w:eastAsia="en-US"/>
          </w:rPr>
          <m:t>)</m:t>
        </m:r>
      </m:oMath>
      <w:r w:rsidRPr="00E50F9D">
        <w:rPr>
          <w:rFonts w:ascii="Times New Roman" w:hAnsi="Times New Roman" w:cs="Times New Roman"/>
          <w:sz w:val="20"/>
          <w:szCs w:val="20"/>
          <w:lang w:val="en-GB" w:eastAsia="en-US"/>
        </w:rPr>
        <w:t xml:space="preserve">                                                           </w:t>
      </w:r>
      <w:r w:rsidR="00D036B1" w:rsidRPr="00E50F9D">
        <w:rPr>
          <w:rFonts w:ascii="Times New Roman" w:hAnsi="Times New Roman" w:cs="Times New Roman"/>
          <w:sz w:val="20"/>
          <w:szCs w:val="20"/>
          <w:lang w:val="en-GB" w:eastAsia="en-US"/>
        </w:rPr>
        <w:t xml:space="preserve">                 </w:t>
      </w:r>
      <w:r w:rsidR="00A85A48" w:rsidRPr="00E50F9D">
        <w:rPr>
          <w:rFonts w:ascii="Times New Roman" w:hAnsi="Times New Roman" w:cs="Times New Roman"/>
          <w:i/>
          <w:iCs/>
          <w:sz w:val="24"/>
          <w:szCs w:val="24"/>
          <w:lang w:val="en-GB"/>
        </w:rPr>
        <w:t>(</w:t>
      </w:r>
      <w:r w:rsidR="005F3B0D">
        <w:rPr>
          <w:rFonts w:ascii="Times New Roman" w:hAnsi="Times New Roman" w:cs="Times New Roman"/>
          <w:i/>
          <w:iCs/>
          <w:sz w:val="24"/>
          <w:szCs w:val="24"/>
          <w:lang w:val="en-GB" w:eastAsia="en-US"/>
        </w:rPr>
        <w:t>8</w:t>
      </w:r>
      <w:r w:rsidR="00D036B1" w:rsidRPr="00E50F9D">
        <w:rPr>
          <w:rFonts w:ascii="Times New Roman" w:hAnsi="Times New Roman" w:cs="Times New Roman"/>
          <w:i/>
          <w:iCs/>
          <w:sz w:val="24"/>
          <w:szCs w:val="24"/>
          <w:lang w:val="en-GB" w:eastAsia="en-US"/>
        </w:rPr>
        <w:t>)</w:t>
      </w:r>
      <w:r w:rsidR="00D036B1" w:rsidRPr="00E50F9D">
        <w:rPr>
          <w:rFonts w:ascii="Times New Roman" w:hAnsi="Times New Roman" w:cs="Times New Roman"/>
          <w:sz w:val="20"/>
          <w:szCs w:val="20"/>
          <w:lang w:val="en-GB" w:eastAsia="en-US"/>
        </w:rPr>
        <w:t xml:space="preserve">     </w:t>
      </w:r>
      <w:r w:rsidRPr="00E50F9D">
        <w:rPr>
          <w:rFonts w:ascii="Times New Roman" w:hAnsi="Times New Roman" w:cs="Times New Roman"/>
          <w:sz w:val="24"/>
          <w:szCs w:val="24"/>
          <w:lang w:val="en-GB" w:eastAsia="en-US"/>
        </w:rPr>
        <w:t xml:space="preserve"> </w:t>
      </w:r>
      <w:r w:rsidRPr="00E50F9D">
        <w:rPr>
          <w:rFonts w:ascii="Times New Roman" w:hAnsi="Times New Roman" w:cs="Times New Roman"/>
          <w:sz w:val="20"/>
          <w:szCs w:val="20"/>
          <w:lang w:val="en-GB" w:eastAsia="en-US"/>
        </w:rPr>
        <w:t xml:space="preserve">                </w:t>
      </w:r>
      <w:r w:rsidR="00D036B1" w:rsidRPr="00E50F9D">
        <w:rPr>
          <w:rFonts w:ascii="Times New Roman" w:hAnsi="Times New Roman" w:cs="Times New Roman"/>
          <w:sz w:val="20"/>
          <w:szCs w:val="20"/>
          <w:lang w:val="en-GB" w:eastAsia="en-US"/>
        </w:rPr>
        <w:t xml:space="preserve"> </w:t>
      </w:r>
    </w:p>
    <w:p w14:paraId="51222DD7" w14:textId="77777777" w:rsidR="004B4382" w:rsidRPr="00E50F9D" w:rsidRDefault="004B4382" w:rsidP="007939C2">
      <w:pPr>
        <w:spacing w:after="0" w:line="480" w:lineRule="auto"/>
        <w:jc w:val="both"/>
        <w:rPr>
          <w:rFonts w:ascii="Times New Roman" w:hAnsi="Times New Roman" w:cs="Times New Roman"/>
          <w:sz w:val="24"/>
          <w:szCs w:val="24"/>
          <w:lang w:val="en-GB" w:eastAsia="en-US"/>
        </w:rPr>
      </w:pPr>
    </w:p>
    <w:p w14:paraId="794887E7" w14:textId="2DA226C3" w:rsidR="00B46E3F" w:rsidRPr="00E50F9D" w:rsidRDefault="004B4382" w:rsidP="00471BB5">
      <w:pPr>
        <w:spacing w:after="0" w:line="480" w:lineRule="auto"/>
        <w:jc w:val="both"/>
        <w:rPr>
          <w:rFonts w:ascii="Times New Roman" w:hAnsi="Times New Roman" w:cs="Times New Roman"/>
          <w:sz w:val="24"/>
          <w:szCs w:val="24"/>
          <w:lang w:val="en-GB" w:eastAsia="en-US"/>
        </w:rPr>
      </w:pPr>
      <w:r w:rsidRPr="00E50F9D">
        <w:rPr>
          <w:rFonts w:ascii="Times New Roman" w:hAnsi="Times New Roman" w:cs="Times New Roman"/>
          <w:sz w:val="24"/>
          <w:szCs w:val="24"/>
          <w:lang w:val="en-GB" w:eastAsia="en-US"/>
        </w:rPr>
        <w:t xml:space="preserve">where  </w:t>
      </w:r>
      <m:oMath>
        <m:acc>
          <m:accPr>
            <m:ctrlPr>
              <w:rPr>
                <w:rFonts w:ascii="Cambria Math" w:hAnsi="Cambria Math" w:cs="Times New Roman"/>
                <w:sz w:val="24"/>
                <w:szCs w:val="24"/>
                <w:lang w:val="en-GB" w:eastAsia="en-US"/>
              </w:rPr>
            </m:ctrlPr>
          </m:accPr>
          <m:e>
            <m:r>
              <m:rPr>
                <m:sty m:val="p"/>
              </m:rPr>
              <w:rPr>
                <w:rFonts w:ascii="Cambria Math" w:hAnsi="Cambria Math" w:cs="Times New Roman"/>
                <w:sz w:val="24"/>
                <w:szCs w:val="24"/>
                <w:lang w:val="en-GB" w:eastAsia="en-US"/>
              </w:rPr>
              <m:t>TC</m:t>
            </m:r>
          </m:e>
        </m:acc>
        <m:r>
          <m:rPr>
            <m:sty m:val="p"/>
          </m:rPr>
          <w:rPr>
            <w:rFonts w:ascii="Cambria Math" w:hAnsi="Cambria Math" w:cs="Times New Roman"/>
            <w:sz w:val="24"/>
            <w:szCs w:val="24"/>
            <w:lang w:val="en-GB" w:eastAsia="en-US"/>
          </w:rPr>
          <m:t xml:space="preserve"> </m:t>
        </m:r>
      </m:oMath>
      <w:r w:rsidRPr="00E50F9D">
        <w:rPr>
          <w:rFonts w:ascii="Times New Roman" w:hAnsi="Times New Roman" w:cs="Times New Roman"/>
          <w:sz w:val="24"/>
          <w:szCs w:val="24"/>
          <w:lang w:val="en-GB" w:eastAsia="en-US"/>
        </w:rPr>
        <w:t xml:space="preserve"> is the predicted total operating cost, </w:t>
      </w:r>
      <m:oMath>
        <m:acc>
          <m:accPr>
            <m:ctrlPr>
              <w:rPr>
                <w:rFonts w:ascii="Cambria Math" w:hAnsi="Cambria Math" w:cs="Times New Roman"/>
                <w:sz w:val="24"/>
                <w:szCs w:val="24"/>
                <w:lang w:val="en-GB" w:eastAsia="en-US"/>
              </w:rPr>
            </m:ctrlPr>
          </m:accPr>
          <m:e>
            <m:r>
              <m:rPr>
                <m:sty m:val="p"/>
              </m:rPr>
              <w:rPr>
                <w:rFonts w:ascii="Cambria Math" w:hAnsi="Cambria Math" w:cs="Times New Roman"/>
                <w:sz w:val="24"/>
                <w:szCs w:val="24"/>
                <w:lang w:val="en-GB" w:eastAsia="en-US"/>
              </w:rPr>
              <m:t>PBT</m:t>
            </m:r>
          </m:e>
        </m:acc>
      </m:oMath>
      <w:r w:rsidRPr="00E50F9D">
        <w:rPr>
          <w:rFonts w:ascii="Times New Roman" w:hAnsi="Times New Roman" w:cs="Times New Roman"/>
          <w:sz w:val="24"/>
          <w:szCs w:val="24"/>
          <w:lang w:val="en-GB" w:eastAsia="en-US"/>
        </w:rPr>
        <w:t xml:space="preserve"> are the predicted profits before taxes, TA is total </w:t>
      </w:r>
      <w:r w:rsidR="00B1166D" w:rsidRPr="00E50F9D">
        <w:rPr>
          <w:rFonts w:ascii="Times New Roman" w:hAnsi="Times New Roman" w:cs="Times New Roman"/>
          <w:sz w:val="24"/>
          <w:szCs w:val="24"/>
          <w:lang w:val="en-GB" w:eastAsia="en-US"/>
        </w:rPr>
        <w:t>assets and MC is marginal costs</w:t>
      </w:r>
      <w:r w:rsidRPr="00E50F9D">
        <w:rPr>
          <w:rFonts w:ascii="Times New Roman" w:hAnsi="Times New Roman" w:cs="Times New Roman"/>
          <w:sz w:val="24"/>
          <w:szCs w:val="24"/>
          <w:lang w:val="en-GB" w:eastAsia="en-US"/>
        </w:rPr>
        <w:t>. In order to predic</w:t>
      </w:r>
      <w:r w:rsidR="00B1166D" w:rsidRPr="00E50F9D">
        <w:rPr>
          <w:rFonts w:ascii="Times New Roman" w:hAnsi="Times New Roman" w:cs="Times New Roman"/>
          <w:sz w:val="24"/>
          <w:szCs w:val="24"/>
          <w:lang w:val="en-GB" w:eastAsia="en-US"/>
        </w:rPr>
        <w:t>t both total operating cost and</w:t>
      </w:r>
      <w:r w:rsidRPr="00E50F9D">
        <w:rPr>
          <w:rFonts w:ascii="Times New Roman" w:hAnsi="Times New Roman" w:cs="Times New Roman"/>
          <w:sz w:val="24"/>
          <w:szCs w:val="24"/>
          <w:lang w:val="en-GB" w:eastAsia="en-US"/>
        </w:rPr>
        <w:t xml:space="preserve"> profits be</w:t>
      </w:r>
      <w:r w:rsidR="00CC61FF" w:rsidRPr="00E50F9D">
        <w:rPr>
          <w:rFonts w:ascii="Times New Roman" w:hAnsi="Times New Roman" w:cs="Times New Roman"/>
          <w:sz w:val="24"/>
          <w:szCs w:val="24"/>
          <w:lang w:val="en-GB" w:eastAsia="en-US"/>
        </w:rPr>
        <w:t>fore taxes, we specify cost and</w:t>
      </w:r>
      <w:r w:rsidRPr="00E50F9D">
        <w:rPr>
          <w:rFonts w:ascii="Times New Roman" w:hAnsi="Times New Roman" w:cs="Times New Roman"/>
          <w:sz w:val="24"/>
          <w:szCs w:val="24"/>
          <w:lang w:val="en-GB" w:eastAsia="en-US"/>
        </w:rPr>
        <w:t xml:space="preserve"> profit functions, with </w:t>
      </w:r>
      <w:r w:rsidR="00CC61FF" w:rsidRPr="00E50F9D">
        <w:rPr>
          <w:rFonts w:ascii="Times New Roman" w:hAnsi="Times New Roman" w:cs="Times New Roman"/>
          <w:sz w:val="24"/>
          <w:szCs w:val="24"/>
          <w:lang w:val="en-GB" w:eastAsia="en-US"/>
        </w:rPr>
        <w:t>one output</w:t>
      </w:r>
      <w:r w:rsidRPr="00E50F9D">
        <w:rPr>
          <w:rFonts w:ascii="Times New Roman" w:hAnsi="Times New Roman" w:cs="Times New Roman"/>
          <w:sz w:val="24"/>
          <w:szCs w:val="24"/>
          <w:lang w:val="en-GB" w:eastAsia="en-US"/>
        </w:rPr>
        <w:t xml:space="preserve"> </w:t>
      </w:r>
      <w:r w:rsidR="00CC61FF" w:rsidRPr="00E50F9D">
        <w:rPr>
          <w:rFonts w:ascii="Times New Roman" w:hAnsi="Times New Roman" w:cs="Times New Roman"/>
          <w:sz w:val="24"/>
          <w:szCs w:val="24"/>
          <w:lang w:val="en-GB" w:eastAsia="en-US"/>
        </w:rPr>
        <w:t>(</w:t>
      </w:r>
      <w:r w:rsidRPr="00E50F9D">
        <w:rPr>
          <w:rFonts w:ascii="Times New Roman" w:hAnsi="Times New Roman" w:cs="Times New Roman"/>
          <w:sz w:val="24"/>
          <w:szCs w:val="24"/>
          <w:lang w:val="en-GB" w:eastAsia="en-US"/>
        </w:rPr>
        <w:t>total assets</w:t>
      </w:r>
      <w:r w:rsidR="00CC61FF" w:rsidRPr="00E50F9D">
        <w:rPr>
          <w:rFonts w:ascii="Times New Roman" w:hAnsi="Times New Roman" w:cs="Times New Roman"/>
          <w:sz w:val="24"/>
          <w:szCs w:val="24"/>
          <w:lang w:val="en-GB" w:eastAsia="en-US"/>
        </w:rPr>
        <w:t>)</w:t>
      </w:r>
      <w:r w:rsidRPr="00E50F9D">
        <w:rPr>
          <w:rFonts w:ascii="Times New Roman" w:hAnsi="Times New Roman" w:cs="Times New Roman"/>
          <w:sz w:val="24"/>
          <w:szCs w:val="24"/>
          <w:lang w:val="en-GB" w:eastAsia="en-US"/>
        </w:rPr>
        <w:t xml:space="preserve"> and three inputs. </w:t>
      </w:r>
      <w:r w:rsidR="007939C2" w:rsidRPr="00E50F9D">
        <w:rPr>
          <w:rFonts w:ascii="Times New Roman" w:hAnsi="Times New Roman" w:cs="Times New Roman"/>
          <w:sz w:val="24"/>
          <w:szCs w:val="24"/>
          <w:lang w:val="en-GB" w:eastAsia="en-US"/>
        </w:rPr>
        <w:t>Specifically</w:t>
      </w:r>
      <w:r w:rsidR="00096037" w:rsidRPr="00E50F9D">
        <w:rPr>
          <w:rFonts w:ascii="Times New Roman" w:hAnsi="Times New Roman" w:cs="Times New Roman"/>
          <w:sz w:val="24"/>
          <w:szCs w:val="24"/>
          <w:lang w:val="en-GB" w:eastAsia="en-US"/>
        </w:rPr>
        <w:t>, in addition to the capital price and labour</w:t>
      </w:r>
      <w:r w:rsidR="001C3011" w:rsidRPr="00E50F9D">
        <w:rPr>
          <w:rFonts w:ascii="Times New Roman" w:hAnsi="Times New Roman" w:cs="Times New Roman"/>
          <w:sz w:val="24"/>
          <w:szCs w:val="24"/>
          <w:lang w:val="en-GB" w:eastAsia="en-US"/>
        </w:rPr>
        <w:t xml:space="preserve"> </w:t>
      </w:r>
      <w:r w:rsidR="00096037" w:rsidRPr="00E50F9D">
        <w:rPr>
          <w:rFonts w:ascii="Times New Roman" w:hAnsi="Times New Roman" w:cs="Times New Roman"/>
          <w:sz w:val="24"/>
          <w:szCs w:val="24"/>
          <w:lang w:val="en-GB" w:eastAsia="en-US"/>
        </w:rPr>
        <w:t>price</w:t>
      </w:r>
      <w:r w:rsidRPr="00E50F9D">
        <w:rPr>
          <w:rFonts w:ascii="Times New Roman" w:hAnsi="Times New Roman" w:cs="Times New Roman"/>
          <w:sz w:val="24"/>
          <w:szCs w:val="24"/>
          <w:lang w:val="en-GB" w:eastAsia="en-US"/>
        </w:rPr>
        <w:t xml:space="preserve"> (as defined before)</w:t>
      </w:r>
      <w:r w:rsidR="00096037" w:rsidRPr="00E50F9D">
        <w:rPr>
          <w:rFonts w:ascii="Times New Roman" w:hAnsi="Times New Roman" w:cs="Times New Roman"/>
          <w:sz w:val="24"/>
          <w:szCs w:val="24"/>
          <w:lang w:val="en-GB" w:eastAsia="en-US"/>
        </w:rPr>
        <w:t>, w</w:t>
      </w:r>
      <w:r w:rsidR="001C3011" w:rsidRPr="00E50F9D">
        <w:rPr>
          <w:rFonts w:ascii="Times New Roman" w:hAnsi="Times New Roman" w:cs="Times New Roman"/>
          <w:sz w:val="24"/>
          <w:szCs w:val="24"/>
          <w:lang w:val="en-GB" w:eastAsia="en-US"/>
        </w:rPr>
        <w:t>e include</w:t>
      </w:r>
      <w:r w:rsidR="00096037" w:rsidRPr="00E50F9D">
        <w:rPr>
          <w:rFonts w:ascii="Times New Roman" w:hAnsi="Times New Roman" w:cs="Times New Roman"/>
          <w:sz w:val="24"/>
          <w:szCs w:val="24"/>
          <w:lang w:val="en-GB" w:eastAsia="en-US"/>
        </w:rPr>
        <w:t xml:space="preserve"> </w:t>
      </w:r>
      <w:r w:rsidR="001C3011" w:rsidRPr="00E50F9D">
        <w:rPr>
          <w:rFonts w:ascii="Times New Roman" w:hAnsi="Times New Roman" w:cs="Times New Roman"/>
          <w:sz w:val="24"/>
          <w:szCs w:val="24"/>
          <w:lang w:val="en-GB" w:eastAsia="en-US"/>
        </w:rPr>
        <w:t xml:space="preserve">the price of financial capital </w:t>
      </w:r>
      <w:r w:rsidR="00096037" w:rsidRPr="00E50F9D">
        <w:rPr>
          <w:rFonts w:ascii="Times New Roman" w:hAnsi="Times New Roman" w:cs="Times New Roman"/>
          <w:sz w:val="24"/>
          <w:szCs w:val="24"/>
          <w:lang w:val="en-GB" w:eastAsia="en-US"/>
        </w:rPr>
        <w:t>defined</w:t>
      </w:r>
      <w:r w:rsidR="001C3011" w:rsidRPr="00E50F9D">
        <w:rPr>
          <w:rFonts w:ascii="Times New Roman" w:hAnsi="Times New Roman" w:cs="Times New Roman"/>
          <w:sz w:val="24"/>
          <w:szCs w:val="24"/>
          <w:lang w:val="en-GB" w:eastAsia="en-US"/>
        </w:rPr>
        <w:t xml:space="preserve"> as the ratio of interest expense</w:t>
      </w:r>
      <w:r w:rsidR="003114E3" w:rsidRPr="00E50F9D">
        <w:rPr>
          <w:rFonts w:ascii="Times New Roman" w:hAnsi="Times New Roman" w:cs="Times New Roman"/>
          <w:sz w:val="24"/>
          <w:szCs w:val="24"/>
          <w:lang w:val="en-GB" w:eastAsia="en-US"/>
        </w:rPr>
        <w:t>s</w:t>
      </w:r>
      <w:r w:rsidR="001C3011" w:rsidRPr="00E50F9D">
        <w:rPr>
          <w:rFonts w:ascii="Times New Roman" w:hAnsi="Times New Roman" w:cs="Times New Roman"/>
          <w:sz w:val="24"/>
          <w:szCs w:val="24"/>
          <w:lang w:val="en-GB" w:eastAsia="en-US"/>
        </w:rPr>
        <w:t xml:space="preserve"> </w:t>
      </w:r>
      <w:r w:rsidR="003114E3" w:rsidRPr="00E50F9D">
        <w:rPr>
          <w:rFonts w:ascii="Times New Roman" w:hAnsi="Times New Roman" w:cs="Times New Roman"/>
          <w:sz w:val="24"/>
          <w:szCs w:val="24"/>
          <w:lang w:val="en-GB" w:eastAsia="en-US"/>
        </w:rPr>
        <w:t xml:space="preserve">to </w:t>
      </w:r>
      <w:r w:rsidR="001C3011" w:rsidRPr="00E50F9D">
        <w:rPr>
          <w:rFonts w:ascii="Times New Roman" w:hAnsi="Times New Roman" w:cs="Times New Roman"/>
          <w:sz w:val="24"/>
          <w:szCs w:val="24"/>
          <w:lang w:val="en-GB" w:eastAsia="en-US"/>
        </w:rPr>
        <w:t>customer deposits</w:t>
      </w:r>
      <w:r w:rsidR="00702D55" w:rsidRPr="00E50F9D">
        <w:rPr>
          <w:rFonts w:ascii="Times New Roman" w:hAnsi="Times New Roman" w:cs="Times New Roman"/>
          <w:sz w:val="24"/>
          <w:szCs w:val="24"/>
          <w:lang w:val="en-GB" w:eastAsia="en-US"/>
        </w:rPr>
        <w:t xml:space="preserve"> (See Appendix 1)</w:t>
      </w:r>
      <w:r w:rsidR="001C3011" w:rsidRPr="00E50F9D">
        <w:rPr>
          <w:rFonts w:ascii="Times New Roman" w:hAnsi="Times New Roman" w:cs="Times New Roman"/>
          <w:sz w:val="24"/>
          <w:szCs w:val="24"/>
          <w:lang w:val="en-GB" w:eastAsia="en-US"/>
        </w:rPr>
        <w:t>.</w:t>
      </w:r>
      <w:r w:rsidR="00796E8A" w:rsidRPr="00E50F9D">
        <w:rPr>
          <w:rFonts w:ascii="Times New Roman" w:hAnsi="Times New Roman" w:cs="Times New Roman"/>
          <w:sz w:val="24"/>
          <w:szCs w:val="24"/>
          <w:lang w:val="en-GB" w:eastAsia="en-US"/>
        </w:rPr>
        <w:t xml:space="preserve"> </w:t>
      </w:r>
      <w:r w:rsidR="00096037" w:rsidRPr="00E50F9D">
        <w:rPr>
          <w:rFonts w:ascii="Times New Roman" w:hAnsi="Times New Roman" w:cs="Times New Roman"/>
          <w:sz w:val="24"/>
          <w:szCs w:val="24"/>
          <w:lang w:val="en-GB" w:eastAsia="en-US"/>
        </w:rPr>
        <w:t xml:space="preserve">Thus, </w:t>
      </w:r>
      <w:r w:rsidR="00796E8A" w:rsidRPr="00E50F9D">
        <w:rPr>
          <w:rFonts w:ascii="Times New Roman" w:hAnsi="Times New Roman" w:cs="Times New Roman"/>
          <w:sz w:val="24"/>
          <w:szCs w:val="24"/>
          <w:lang w:val="en-GB" w:eastAsia="en-US"/>
        </w:rPr>
        <w:t xml:space="preserve">total cost </w:t>
      </w:r>
      <w:r w:rsidR="00096037" w:rsidRPr="00E50F9D">
        <w:rPr>
          <w:rFonts w:ascii="Times New Roman" w:hAnsi="Times New Roman" w:cs="Times New Roman"/>
          <w:sz w:val="24"/>
          <w:szCs w:val="24"/>
          <w:lang w:val="en-GB" w:eastAsia="en-US"/>
        </w:rPr>
        <w:t>includes interest expense</w:t>
      </w:r>
      <w:r w:rsidR="003114E3" w:rsidRPr="00E50F9D">
        <w:rPr>
          <w:rFonts w:ascii="Times New Roman" w:hAnsi="Times New Roman" w:cs="Times New Roman"/>
          <w:sz w:val="24"/>
          <w:szCs w:val="24"/>
          <w:lang w:val="en-GB" w:eastAsia="en-US"/>
        </w:rPr>
        <w:t>s</w:t>
      </w:r>
      <w:r w:rsidR="00096037" w:rsidRPr="00E50F9D">
        <w:rPr>
          <w:rFonts w:ascii="Times New Roman" w:hAnsi="Times New Roman" w:cs="Times New Roman"/>
          <w:sz w:val="24"/>
          <w:szCs w:val="24"/>
          <w:lang w:val="en-GB" w:eastAsia="en-US"/>
        </w:rPr>
        <w:t>, administrative expenses</w:t>
      </w:r>
      <w:r w:rsidR="00C21699" w:rsidRPr="00E50F9D">
        <w:rPr>
          <w:rFonts w:ascii="Times New Roman" w:hAnsi="Times New Roman" w:cs="Times New Roman"/>
          <w:sz w:val="24"/>
          <w:szCs w:val="24"/>
          <w:lang w:val="en-GB" w:eastAsia="en-US"/>
        </w:rPr>
        <w:t>,</w:t>
      </w:r>
      <w:r w:rsidR="00096037" w:rsidRPr="00E50F9D">
        <w:rPr>
          <w:rFonts w:ascii="Times New Roman" w:hAnsi="Times New Roman" w:cs="Times New Roman"/>
          <w:sz w:val="24"/>
          <w:szCs w:val="24"/>
          <w:lang w:val="en-GB" w:eastAsia="en-US"/>
        </w:rPr>
        <w:t xml:space="preserve"> and personnel expenses in this specification.</w:t>
      </w:r>
      <w:r w:rsidR="001C3011" w:rsidRPr="00E50F9D">
        <w:rPr>
          <w:rFonts w:ascii="Times New Roman" w:hAnsi="Times New Roman" w:cs="Times New Roman"/>
          <w:sz w:val="24"/>
          <w:szCs w:val="24"/>
          <w:lang w:val="en-GB" w:eastAsia="en-US"/>
        </w:rPr>
        <w:t xml:space="preserve"> </w:t>
      </w:r>
      <w:r w:rsidR="00096037" w:rsidRPr="00E50F9D">
        <w:rPr>
          <w:rFonts w:ascii="Times New Roman" w:hAnsi="Times New Roman" w:cs="Times New Roman"/>
          <w:sz w:val="24"/>
          <w:szCs w:val="24"/>
          <w:lang w:val="en-GB" w:eastAsia="en-US"/>
        </w:rPr>
        <w:t>Finally</w:t>
      </w:r>
      <w:r w:rsidR="00CD7669" w:rsidRPr="00E50F9D">
        <w:rPr>
          <w:rFonts w:ascii="Times New Roman" w:hAnsi="Times New Roman" w:cs="Times New Roman"/>
          <w:sz w:val="24"/>
          <w:szCs w:val="24"/>
          <w:lang w:val="en-GB" w:eastAsia="en-US"/>
        </w:rPr>
        <w:t>, in order to handle losses in the stochastic profit frontier</w:t>
      </w:r>
      <w:r w:rsidR="00096037" w:rsidRPr="00E50F9D">
        <w:rPr>
          <w:rFonts w:ascii="Times New Roman" w:hAnsi="Times New Roman" w:cs="Times New Roman"/>
          <w:sz w:val="24"/>
          <w:szCs w:val="24"/>
          <w:lang w:val="en-GB" w:eastAsia="en-US"/>
        </w:rPr>
        <w:t xml:space="preserve"> we</w:t>
      </w:r>
      <w:r w:rsidR="001C3011" w:rsidRPr="00E50F9D">
        <w:rPr>
          <w:rFonts w:ascii="Times New Roman" w:hAnsi="Times New Roman" w:cs="Times New Roman"/>
          <w:sz w:val="24"/>
          <w:szCs w:val="24"/>
          <w:lang w:val="en-GB" w:eastAsia="en-US"/>
        </w:rPr>
        <w:t xml:space="preserve"> apply the approach of</w:t>
      </w:r>
      <w:r w:rsidR="00CD7669" w:rsidRPr="00E50F9D">
        <w:rPr>
          <w:rFonts w:ascii="Times New Roman" w:hAnsi="Times New Roman" w:cs="Times New Roman"/>
          <w:sz w:val="24"/>
          <w:szCs w:val="24"/>
          <w:lang w:val="en-GB" w:eastAsia="en-US"/>
        </w:rPr>
        <w:t xml:space="preserve"> Bos and Koetter</w:t>
      </w:r>
      <w:r w:rsidR="001C3011" w:rsidRPr="00E50F9D">
        <w:rPr>
          <w:rFonts w:ascii="Times New Roman" w:hAnsi="Times New Roman" w:cs="Times New Roman"/>
          <w:sz w:val="24"/>
          <w:szCs w:val="24"/>
          <w:lang w:val="en-GB" w:eastAsia="en-US"/>
        </w:rPr>
        <w:t xml:space="preserve"> (2011).</w:t>
      </w:r>
    </w:p>
    <w:p w14:paraId="40B5E3FA" w14:textId="77777777" w:rsidR="000064C1" w:rsidRPr="00E50F9D" w:rsidRDefault="000064C1" w:rsidP="00471BB5">
      <w:pPr>
        <w:spacing w:after="0" w:line="480" w:lineRule="auto"/>
        <w:jc w:val="both"/>
        <w:rPr>
          <w:rFonts w:ascii="Times New Roman" w:hAnsi="Times New Roman" w:cs="Times New Roman"/>
          <w:sz w:val="24"/>
          <w:szCs w:val="24"/>
          <w:lang w:val="en-GB" w:eastAsia="en-US"/>
        </w:rPr>
      </w:pPr>
    </w:p>
    <w:p w14:paraId="19501322" w14:textId="2A7C0200" w:rsidR="00092016" w:rsidRPr="00E50F9D" w:rsidRDefault="00092016" w:rsidP="00471BB5">
      <w:pPr>
        <w:spacing w:after="0" w:line="480" w:lineRule="auto"/>
        <w:jc w:val="both"/>
        <w:rPr>
          <w:rFonts w:asciiTheme="majorBidi" w:hAnsiTheme="majorBidi" w:cstheme="majorBidi"/>
          <w:b/>
          <w:bCs/>
          <w:color w:val="000000"/>
          <w:sz w:val="24"/>
          <w:szCs w:val="24"/>
          <w:shd w:val="clear" w:color="auto" w:fill="FFFFFF"/>
          <w:lang w:val="en-GB"/>
        </w:rPr>
      </w:pPr>
      <w:r w:rsidRPr="00E50F9D">
        <w:rPr>
          <w:rFonts w:asciiTheme="majorBidi" w:hAnsiTheme="majorBidi" w:cstheme="majorBidi"/>
          <w:b/>
          <w:bCs/>
          <w:color w:val="000000"/>
          <w:sz w:val="24"/>
          <w:szCs w:val="24"/>
          <w:shd w:val="clear" w:color="auto" w:fill="FFFFFF"/>
          <w:lang w:val="en-GB"/>
        </w:rPr>
        <w:t xml:space="preserve">4. </w:t>
      </w:r>
      <w:r w:rsidR="00123DAE" w:rsidRPr="00E50F9D">
        <w:rPr>
          <w:rFonts w:asciiTheme="majorBidi" w:hAnsiTheme="majorBidi" w:cstheme="majorBidi"/>
          <w:b/>
          <w:bCs/>
          <w:color w:val="000000"/>
          <w:sz w:val="24"/>
          <w:szCs w:val="24"/>
          <w:shd w:val="clear" w:color="auto" w:fill="FFFFFF"/>
          <w:lang w:val="en-GB"/>
        </w:rPr>
        <w:t xml:space="preserve">Dataset </w:t>
      </w:r>
      <w:r w:rsidRPr="00E50F9D">
        <w:rPr>
          <w:rFonts w:asciiTheme="majorBidi" w:hAnsiTheme="majorBidi" w:cstheme="majorBidi"/>
          <w:b/>
          <w:bCs/>
          <w:color w:val="000000"/>
          <w:sz w:val="24"/>
          <w:szCs w:val="24"/>
          <w:shd w:val="clear" w:color="auto" w:fill="FFFFFF"/>
          <w:lang w:val="en-GB"/>
        </w:rPr>
        <w:t xml:space="preserve">and Descriptive Statistics </w:t>
      </w:r>
    </w:p>
    <w:p w14:paraId="377C6BEF" w14:textId="5F7FE8ED" w:rsidR="003D6335" w:rsidRPr="00E50F9D" w:rsidRDefault="00092016" w:rsidP="00664B73">
      <w:pPr>
        <w:spacing w:after="0" w:line="480" w:lineRule="auto"/>
        <w:rPr>
          <w:rFonts w:ascii="Times New Roman" w:hAnsi="Times New Roman" w:cs="Times New Roman"/>
          <w:sz w:val="24"/>
          <w:szCs w:val="24"/>
        </w:rPr>
      </w:pPr>
      <w:r w:rsidRPr="00E50F9D">
        <w:rPr>
          <w:rFonts w:ascii="Times New Roman" w:hAnsi="Times New Roman" w:cs="Times New Roman"/>
          <w:sz w:val="24"/>
          <w:szCs w:val="24"/>
          <w:lang w:val="en-GB"/>
        </w:rPr>
        <w:t xml:space="preserve">Our </w:t>
      </w:r>
      <w:r w:rsidR="00123DAE" w:rsidRPr="00E50F9D">
        <w:rPr>
          <w:rFonts w:ascii="Times New Roman" w:hAnsi="Times New Roman" w:cs="Times New Roman"/>
          <w:sz w:val="24"/>
          <w:szCs w:val="24"/>
          <w:lang w:val="en-GB"/>
        </w:rPr>
        <w:t>dataset</w:t>
      </w:r>
      <w:r w:rsidRPr="00E50F9D">
        <w:rPr>
          <w:rFonts w:ascii="Times New Roman" w:hAnsi="Times New Roman" w:cs="Times New Roman"/>
          <w:sz w:val="24"/>
          <w:szCs w:val="24"/>
          <w:lang w:val="en-GB"/>
        </w:rPr>
        <w:t xml:space="preserve"> includes 12,3</w:t>
      </w:r>
      <w:r w:rsidR="00D61B03" w:rsidRPr="00E50F9D">
        <w:rPr>
          <w:rFonts w:ascii="Times New Roman" w:hAnsi="Times New Roman" w:cs="Times New Roman"/>
          <w:sz w:val="24"/>
          <w:szCs w:val="24"/>
          <w:lang w:val="en-GB"/>
        </w:rPr>
        <w:t>71</w:t>
      </w:r>
      <w:r w:rsidRPr="00E50F9D">
        <w:rPr>
          <w:rFonts w:ascii="Times New Roman" w:hAnsi="Times New Roman" w:cs="Times New Roman"/>
          <w:sz w:val="24"/>
          <w:szCs w:val="24"/>
          <w:lang w:val="en-GB"/>
        </w:rPr>
        <w:t xml:space="preserve"> observations over the period 1993-201</w:t>
      </w:r>
      <w:r w:rsidR="00313484" w:rsidRPr="00E50F9D">
        <w:rPr>
          <w:rFonts w:ascii="Times New Roman" w:hAnsi="Times New Roman" w:cs="Times New Roman"/>
          <w:sz w:val="24"/>
          <w:szCs w:val="24"/>
          <w:lang w:val="en-GB"/>
        </w:rPr>
        <w:t>1</w:t>
      </w:r>
      <w:r w:rsidRPr="00E50F9D">
        <w:rPr>
          <w:rFonts w:ascii="Times New Roman" w:hAnsi="Times New Roman" w:cs="Times New Roman"/>
          <w:sz w:val="24"/>
          <w:szCs w:val="24"/>
          <w:lang w:val="en-GB"/>
        </w:rPr>
        <w:t xml:space="preserve">. </w:t>
      </w:r>
      <w:r w:rsidR="00B36CFB" w:rsidRPr="00E50F9D">
        <w:rPr>
          <w:rFonts w:ascii="Times New Roman" w:hAnsi="Times New Roman" w:cs="Times New Roman"/>
          <w:sz w:val="24"/>
          <w:szCs w:val="24"/>
          <w:lang w:val="en-GB"/>
        </w:rPr>
        <w:t>Within</w:t>
      </w:r>
      <w:r w:rsidRPr="00E50F9D">
        <w:rPr>
          <w:rFonts w:ascii="Times New Roman" w:hAnsi="Times New Roman" w:cs="Times New Roman"/>
          <w:sz w:val="24"/>
          <w:szCs w:val="24"/>
          <w:lang w:val="en-GB"/>
        </w:rPr>
        <w:t xml:space="preserve"> the total number of observation</w:t>
      </w:r>
      <w:r w:rsidR="00F25251" w:rsidRPr="00E50F9D">
        <w:rPr>
          <w:rFonts w:ascii="Times New Roman" w:hAnsi="Times New Roman" w:cs="Times New Roman"/>
          <w:sz w:val="24"/>
          <w:szCs w:val="24"/>
          <w:lang w:val="en-GB"/>
        </w:rPr>
        <w:t>s</w:t>
      </w:r>
      <w:r w:rsidRPr="00E50F9D">
        <w:rPr>
          <w:rFonts w:ascii="Times New Roman" w:hAnsi="Times New Roman" w:cs="Times New Roman"/>
          <w:sz w:val="24"/>
          <w:szCs w:val="24"/>
          <w:lang w:val="en-GB"/>
        </w:rPr>
        <w:t xml:space="preserve">, </w:t>
      </w:r>
      <w:r w:rsidR="00D61B03" w:rsidRPr="00E50F9D">
        <w:rPr>
          <w:rFonts w:ascii="Times New Roman" w:hAnsi="Times New Roman" w:cs="Times New Roman"/>
          <w:sz w:val="24"/>
          <w:szCs w:val="24"/>
          <w:lang w:val="en-GB"/>
        </w:rPr>
        <w:t xml:space="preserve">6,338 </w:t>
      </w:r>
      <w:r w:rsidR="008E0999" w:rsidRPr="00E50F9D">
        <w:rPr>
          <w:rFonts w:ascii="Times New Roman" w:hAnsi="Times New Roman" w:cs="Times New Roman"/>
          <w:sz w:val="24"/>
          <w:szCs w:val="24"/>
          <w:lang w:val="en-GB"/>
        </w:rPr>
        <w:t xml:space="preserve">refer to </w:t>
      </w:r>
      <w:r w:rsidRPr="00E50F9D">
        <w:rPr>
          <w:rFonts w:ascii="Times New Roman" w:hAnsi="Times New Roman" w:cs="Times New Roman"/>
          <w:sz w:val="24"/>
          <w:szCs w:val="24"/>
          <w:lang w:val="en-GB"/>
        </w:rPr>
        <w:t>banks that are</w:t>
      </w:r>
      <w:r w:rsidR="00CB1267" w:rsidRPr="00E50F9D">
        <w:rPr>
          <w:rFonts w:ascii="Times New Roman" w:hAnsi="Times New Roman" w:cs="Times New Roman"/>
          <w:sz w:val="24"/>
          <w:szCs w:val="24"/>
          <w:lang w:val="en-GB"/>
        </w:rPr>
        <w:t xml:space="preserve"> only</w:t>
      </w:r>
      <w:r w:rsidRPr="00E50F9D">
        <w:rPr>
          <w:rFonts w:ascii="Times New Roman" w:hAnsi="Times New Roman" w:cs="Times New Roman"/>
          <w:sz w:val="24"/>
          <w:szCs w:val="24"/>
          <w:lang w:val="en-GB"/>
        </w:rPr>
        <w:t xml:space="preserve"> located in </w:t>
      </w:r>
      <w:r w:rsidR="00356B4C" w:rsidRPr="00E50F9D">
        <w:rPr>
          <w:rFonts w:ascii="Times New Roman" w:hAnsi="Times New Roman" w:cs="Times New Roman"/>
          <w:sz w:val="24"/>
          <w:szCs w:val="24"/>
          <w:lang w:val="en-GB"/>
        </w:rPr>
        <w:t>one single</w:t>
      </w:r>
      <w:r w:rsidRPr="00E50F9D">
        <w:rPr>
          <w:rFonts w:ascii="Times New Roman" w:hAnsi="Times New Roman" w:cs="Times New Roman"/>
          <w:sz w:val="24"/>
          <w:szCs w:val="24"/>
          <w:lang w:val="en-GB"/>
        </w:rPr>
        <w:t xml:space="preserve"> province. The panel is unbalanced, due to consolidation, new entries and bankruptcies. </w:t>
      </w:r>
      <w:r w:rsidR="00CB1267" w:rsidRPr="00E50F9D">
        <w:rPr>
          <w:rFonts w:ascii="Times New Roman" w:hAnsi="Times New Roman" w:cs="Times New Roman"/>
          <w:sz w:val="24"/>
          <w:szCs w:val="24"/>
          <w:lang w:val="en-GB"/>
        </w:rPr>
        <w:t>We exclude</w:t>
      </w:r>
      <w:r w:rsidRPr="00E50F9D">
        <w:rPr>
          <w:rFonts w:ascii="Times New Roman" w:hAnsi="Times New Roman" w:cs="Times New Roman"/>
          <w:sz w:val="24"/>
          <w:szCs w:val="24"/>
          <w:lang w:val="en-GB"/>
        </w:rPr>
        <w:t xml:space="preserve"> banks that are specialized in leasing</w:t>
      </w:r>
      <w:r w:rsidR="006F4038" w:rsidRPr="00E50F9D">
        <w:rPr>
          <w:rFonts w:ascii="Times New Roman" w:hAnsi="Times New Roman" w:cs="Times New Roman"/>
          <w:sz w:val="24"/>
          <w:szCs w:val="24"/>
          <w:lang w:val="en-GB"/>
        </w:rPr>
        <w:t xml:space="preserve"> and</w:t>
      </w:r>
      <w:r w:rsidRPr="00E50F9D">
        <w:rPr>
          <w:rFonts w:ascii="Times New Roman" w:hAnsi="Times New Roman" w:cs="Times New Roman"/>
          <w:sz w:val="24"/>
          <w:szCs w:val="24"/>
          <w:lang w:val="en-GB"/>
        </w:rPr>
        <w:t xml:space="preserve"> investment banking activities</w:t>
      </w:r>
      <w:r w:rsidR="00286739" w:rsidRPr="00E50F9D">
        <w:rPr>
          <w:rFonts w:ascii="Times New Roman" w:hAnsi="Times New Roman" w:cs="Times New Roman"/>
          <w:sz w:val="24"/>
          <w:szCs w:val="24"/>
          <w:lang w:val="en-GB"/>
        </w:rPr>
        <w:t xml:space="preserve"> from the </w:t>
      </w:r>
      <w:r w:rsidR="00123DAE" w:rsidRPr="00E50F9D">
        <w:rPr>
          <w:rFonts w:ascii="Times New Roman" w:hAnsi="Times New Roman" w:cs="Times New Roman"/>
          <w:sz w:val="24"/>
          <w:szCs w:val="24"/>
          <w:lang w:val="en-GB"/>
        </w:rPr>
        <w:t>dataset</w:t>
      </w:r>
      <w:r w:rsidRPr="00E50F9D">
        <w:rPr>
          <w:rFonts w:ascii="Times New Roman" w:hAnsi="Times New Roman" w:cs="Times New Roman"/>
          <w:sz w:val="24"/>
          <w:szCs w:val="24"/>
          <w:lang w:val="en-GB"/>
        </w:rPr>
        <w:t xml:space="preserve">. </w:t>
      </w:r>
      <w:r w:rsidR="003114E3" w:rsidRPr="00E50F9D">
        <w:rPr>
          <w:rFonts w:ascii="Times New Roman" w:hAnsi="Times New Roman" w:cs="Times New Roman"/>
          <w:sz w:val="24"/>
          <w:szCs w:val="24"/>
        </w:rPr>
        <w:t>Furthermore, we exclude</w:t>
      </w:r>
      <w:r w:rsidR="003D6335" w:rsidRPr="00E50F9D">
        <w:rPr>
          <w:rFonts w:ascii="Times New Roman" w:hAnsi="Times New Roman" w:cs="Times New Roman"/>
          <w:sz w:val="24"/>
          <w:szCs w:val="24"/>
        </w:rPr>
        <w:t xml:space="preserve"> banks for which the amount of deposits or equity is equal to zero.</w:t>
      </w:r>
    </w:p>
    <w:p w14:paraId="2FFAB4B4" w14:textId="3A141CC0" w:rsidR="00092016" w:rsidRPr="00E50F9D" w:rsidRDefault="00092016" w:rsidP="0052325A">
      <w:pPr>
        <w:autoSpaceDE w:val="0"/>
        <w:autoSpaceDN w:val="0"/>
        <w:adjustRightInd w:val="0"/>
        <w:spacing w:after="0" w:line="480" w:lineRule="auto"/>
        <w:ind w:firstLine="567"/>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The dataset we buil</w:t>
      </w:r>
      <w:r w:rsidR="00B36CFB" w:rsidRPr="00E50F9D">
        <w:rPr>
          <w:rFonts w:ascii="Times New Roman" w:hAnsi="Times New Roman" w:cs="Times New Roman"/>
          <w:sz w:val="24"/>
          <w:szCs w:val="24"/>
          <w:lang w:val="en-GB"/>
        </w:rPr>
        <w:t>d</w:t>
      </w:r>
      <w:r w:rsidRPr="00E50F9D">
        <w:rPr>
          <w:rFonts w:ascii="Times New Roman" w:hAnsi="Times New Roman" w:cs="Times New Roman"/>
          <w:sz w:val="24"/>
          <w:szCs w:val="24"/>
          <w:lang w:val="en-GB"/>
        </w:rPr>
        <w:t xml:space="preserve"> is drawn from three different sources: the Bank of Italy, the Italian Banking Association (ABI) and ISTAT. Information on bank’s branches was obtained from the Bank of Italy. The bank-level</w:t>
      </w:r>
      <w:r w:rsidRPr="00E50F9D">
        <w:rPr>
          <w:rFonts w:asciiTheme="majorBidi" w:hAnsiTheme="majorBidi" w:cstheme="majorBidi"/>
          <w:sz w:val="24"/>
          <w:szCs w:val="24"/>
          <w:lang w:val="en-US"/>
        </w:rPr>
        <w:t xml:space="preserve"> variables have been constructed using data obtained from the Italian Banking Association. The analysis in conducted at the bank level using yearly data. Finally</w:t>
      </w:r>
      <w:r w:rsidR="00286739" w:rsidRPr="00E50F9D">
        <w:rPr>
          <w:rFonts w:asciiTheme="majorBidi" w:hAnsiTheme="majorBidi" w:cstheme="majorBidi"/>
          <w:sz w:val="24"/>
          <w:szCs w:val="24"/>
          <w:lang w:val="en-US"/>
        </w:rPr>
        <w:t>,</w:t>
      </w:r>
      <w:r w:rsidRPr="00E50F9D">
        <w:rPr>
          <w:rFonts w:asciiTheme="majorBidi" w:hAnsiTheme="majorBidi" w:cstheme="majorBidi"/>
          <w:sz w:val="24"/>
          <w:szCs w:val="24"/>
          <w:lang w:val="en-US"/>
        </w:rPr>
        <w:t xml:space="preserve"> the data on local market structure </w:t>
      </w:r>
      <w:r w:rsidR="00286739" w:rsidRPr="00E50F9D">
        <w:rPr>
          <w:rFonts w:asciiTheme="majorBidi" w:hAnsiTheme="majorBidi" w:cstheme="majorBidi"/>
          <w:sz w:val="24"/>
          <w:szCs w:val="24"/>
          <w:lang w:val="en-US"/>
        </w:rPr>
        <w:t xml:space="preserve">was </w:t>
      </w:r>
      <w:r w:rsidR="003114E3" w:rsidRPr="00E50F9D">
        <w:rPr>
          <w:rFonts w:asciiTheme="majorBidi" w:hAnsiTheme="majorBidi" w:cstheme="majorBidi"/>
          <w:sz w:val="24"/>
          <w:szCs w:val="24"/>
          <w:lang w:val="en-US"/>
        </w:rPr>
        <w:t>collected</w:t>
      </w:r>
      <w:r w:rsidRPr="00E50F9D">
        <w:rPr>
          <w:rFonts w:asciiTheme="majorBidi" w:hAnsiTheme="majorBidi" w:cstheme="majorBidi"/>
          <w:sz w:val="24"/>
          <w:szCs w:val="24"/>
          <w:lang w:val="en-US"/>
        </w:rPr>
        <w:t xml:space="preserve"> from ISTAT. </w:t>
      </w:r>
      <w:r w:rsidRPr="00E50F9D">
        <w:rPr>
          <w:rFonts w:ascii="Times New Roman" w:hAnsi="Times New Roman" w:cs="Times New Roman"/>
          <w:sz w:val="24"/>
          <w:szCs w:val="24"/>
          <w:lang w:val="en-GB"/>
        </w:rPr>
        <w:t xml:space="preserve">Table 1 illustrates the descriptive statistics of the </w:t>
      </w:r>
      <w:r w:rsidR="00123DAE" w:rsidRPr="00E50F9D">
        <w:rPr>
          <w:rFonts w:ascii="Times New Roman" w:hAnsi="Times New Roman" w:cs="Times New Roman"/>
          <w:sz w:val="24"/>
          <w:szCs w:val="24"/>
          <w:lang w:val="en-GB"/>
        </w:rPr>
        <w:t>dataset</w:t>
      </w:r>
      <w:r w:rsidRPr="00E50F9D">
        <w:rPr>
          <w:rFonts w:ascii="Times New Roman" w:hAnsi="Times New Roman" w:cs="Times New Roman"/>
          <w:sz w:val="24"/>
          <w:szCs w:val="24"/>
          <w:lang w:val="en-GB"/>
        </w:rPr>
        <w:t xml:space="preserve"> used in the empirical analysis while Table 2 reports the correlation table with significance levels.</w:t>
      </w:r>
      <w:r w:rsidR="0012446E" w:rsidRPr="00E50F9D">
        <w:rPr>
          <w:rFonts w:ascii="Times New Roman" w:hAnsi="Times New Roman" w:cs="Times New Roman"/>
          <w:sz w:val="24"/>
          <w:szCs w:val="24"/>
          <w:lang w:val="en-GB"/>
        </w:rPr>
        <w:t xml:space="preserve"> Table A1 in Appendix 2 shows the trend </w:t>
      </w:r>
      <w:r w:rsidR="00286012" w:rsidRPr="00E50F9D">
        <w:rPr>
          <w:rFonts w:ascii="Times New Roman" w:hAnsi="Times New Roman" w:cs="Times New Roman"/>
          <w:sz w:val="24"/>
          <w:szCs w:val="24"/>
          <w:lang w:val="en-GB"/>
        </w:rPr>
        <w:t xml:space="preserve">for </w:t>
      </w:r>
      <w:r w:rsidR="0012446E" w:rsidRPr="00E50F9D">
        <w:rPr>
          <w:rFonts w:ascii="Times New Roman" w:hAnsi="Times New Roman" w:cs="Times New Roman"/>
          <w:sz w:val="24"/>
          <w:szCs w:val="24"/>
          <w:lang w:val="en-GB" w:eastAsia="en-US"/>
        </w:rPr>
        <w:t xml:space="preserve">the efficiency-adjusted Lerner index, </w:t>
      </w:r>
      <w:r w:rsidR="00B36CFB" w:rsidRPr="00E50F9D">
        <w:rPr>
          <w:rFonts w:ascii="Times New Roman" w:hAnsi="Times New Roman" w:cs="Times New Roman"/>
          <w:sz w:val="24"/>
          <w:szCs w:val="24"/>
          <w:lang w:val="en-GB" w:eastAsia="en-US"/>
        </w:rPr>
        <w:t xml:space="preserve">and the </w:t>
      </w:r>
      <w:r w:rsidR="0012446E" w:rsidRPr="00E50F9D">
        <w:rPr>
          <w:rFonts w:ascii="Times New Roman" w:hAnsi="Times New Roman" w:cs="Times New Roman"/>
          <w:sz w:val="24"/>
          <w:szCs w:val="24"/>
          <w:lang w:val="en-GB" w:eastAsia="en-US"/>
        </w:rPr>
        <w:t>Lerner index for loans and deposits over time.</w:t>
      </w:r>
    </w:p>
    <w:p w14:paraId="3FF31D74" w14:textId="77777777" w:rsidR="00092016" w:rsidRPr="00E50F9D" w:rsidRDefault="00092016" w:rsidP="00471BB5">
      <w:pPr>
        <w:spacing w:after="0" w:line="480" w:lineRule="auto"/>
        <w:jc w:val="center"/>
        <w:rPr>
          <w:rFonts w:ascii="Times New Roman" w:hAnsi="Times New Roman" w:cs="Times New Roman"/>
          <w:sz w:val="24"/>
          <w:szCs w:val="24"/>
          <w:lang w:val="en-GB"/>
        </w:rPr>
      </w:pPr>
      <w:r w:rsidRPr="00E50F9D">
        <w:rPr>
          <w:rFonts w:ascii="Times New Roman" w:hAnsi="Times New Roman" w:cs="Times New Roman"/>
          <w:sz w:val="24"/>
          <w:szCs w:val="24"/>
          <w:lang w:val="en-GB"/>
        </w:rPr>
        <w:t>&lt;Insert Table 1 about here&gt;</w:t>
      </w:r>
    </w:p>
    <w:p w14:paraId="6CBDD097" w14:textId="77777777" w:rsidR="00092016" w:rsidRPr="00E50F9D" w:rsidRDefault="00092016" w:rsidP="00471BB5">
      <w:pPr>
        <w:spacing w:after="0" w:line="480" w:lineRule="auto"/>
        <w:jc w:val="center"/>
        <w:rPr>
          <w:rFonts w:ascii="Times New Roman" w:hAnsi="Times New Roman" w:cs="Times New Roman"/>
          <w:sz w:val="24"/>
          <w:szCs w:val="24"/>
          <w:lang w:val="en-GB"/>
        </w:rPr>
      </w:pPr>
      <w:r w:rsidRPr="00E50F9D">
        <w:rPr>
          <w:rFonts w:ascii="Times New Roman" w:hAnsi="Times New Roman" w:cs="Times New Roman"/>
          <w:sz w:val="24"/>
          <w:szCs w:val="24"/>
          <w:lang w:val="en-GB"/>
        </w:rPr>
        <w:t>&lt;Insert Table 2 about here&gt;</w:t>
      </w:r>
    </w:p>
    <w:p w14:paraId="6FFC8438" w14:textId="77777777" w:rsidR="007D25F2" w:rsidRPr="00E50F9D" w:rsidRDefault="007D25F2" w:rsidP="00471BB5">
      <w:pPr>
        <w:spacing w:after="0" w:line="480" w:lineRule="auto"/>
        <w:jc w:val="both"/>
        <w:rPr>
          <w:rFonts w:ascii="Times New Roman" w:hAnsi="Times New Roman" w:cs="Times New Roman"/>
          <w:sz w:val="24"/>
          <w:szCs w:val="24"/>
          <w:lang w:val="en-GB" w:eastAsia="en-GB"/>
        </w:rPr>
      </w:pPr>
    </w:p>
    <w:p w14:paraId="7428A213" w14:textId="341600F4" w:rsidR="00E77FC0" w:rsidRPr="00E50F9D" w:rsidRDefault="009216C8" w:rsidP="00471BB5">
      <w:pPr>
        <w:spacing w:after="0" w:line="480" w:lineRule="auto"/>
        <w:jc w:val="both"/>
        <w:rPr>
          <w:rFonts w:ascii="Times New Roman" w:hAnsi="Times New Roman" w:cs="Times New Roman"/>
          <w:b/>
          <w:bCs/>
          <w:iCs/>
          <w:sz w:val="24"/>
          <w:szCs w:val="24"/>
          <w:lang w:val="en-GB"/>
        </w:rPr>
      </w:pPr>
      <w:r w:rsidRPr="00E50F9D">
        <w:rPr>
          <w:rFonts w:ascii="Times New Roman" w:hAnsi="Times New Roman" w:cs="Times New Roman"/>
          <w:b/>
          <w:bCs/>
          <w:iCs/>
          <w:sz w:val="24"/>
          <w:szCs w:val="24"/>
          <w:lang w:val="en-GB"/>
        </w:rPr>
        <w:t>5</w:t>
      </w:r>
      <w:r w:rsidR="00E17D71" w:rsidRPr="00E50F9D">
        <w:rPr>
          <w:rFonts w:ascii="Times New Roman" w:hAnsi="Times New Roman" w:cs="Times New Roman"/>
          <w:b/>
          <w:bCs/>
          <w:iCs/>
          <w:sz w:val="24"/>
          <w:szCs w:val="24"/>
          <w:lang w:val="en-GB"/>
        </w:rPr>
        <w:t>.</w:t>
      </w:r>
      <w:r w:rsidR="00E77FC0" w:rsidRPr="00E50F9D">
        <w:rPr>
          <w:rFonts w:ascii="Times New Roman" w:hAnsi="Times New Roman" w:cs="Times New Roman"/>
          <w:b/>
          <w:bCs/>
          <w:iCs/>
          <w:sz w:val="24"/>
          <w:szCs w:val="24"/>
          <w:lang w:val="en-GB"/>
        </w:rPr>
        <w:t xml:space="preserve"> Empirical findings </w:t>
      </w:r>
    </w:p>
    <w:p w14:paraId="55DE9BCD" w14:textId="77777777" w:rsidR="00DE489B" w:rsidRPr="00E50F9D" w:rsidRDefault="009216C8" w:rsidP="00471BB5">
      <w:pPr>
        <w:spacing w:after="0" w:line="480" w:lineRule="auto"/>
        <w:jc w:val="both"/>
        <w:rPr>
          <w:rFonts w:ascii="Times New Roman" w:hAnsi="Times New Roman" w:cs="Times New Roman"/>
          <w:b/>
          <w:bCs/>
          <w:sz w:val="24"/>
          <w:szCs w:val="24"/>
          <w:lang w:val="en-GB"/>
        </w:rPr>
      </w:pPr>
      <w:r w:rsidRPr="00E50F9D">
        <w:rPr>
          <w:rFonts w:ascii="Times New Roman" w:hAnsi="Times New Roman" w:cs="Times New Roman"/>
          <w:b/>
          <w:bCs/>
          <w:sz w:val="24"/>
          <w:szCs w:val="24"/>
          <w:lang w:val="en-GB"/>
        </w:rPr>
        <w:t>5</w:t>
      </w:r>
      <w:r w:rsidR="00E77FC0" w:rsidRPr="00E50F9D">
        <w:rPr>
          <w:rFonts w:ascii="Times New Roman" w:hAnsi="Times New Roman" w:cs="Times New Roman"/>
          <w:b/>
          <w:bCs/>
          <w:sz w:val="24"/>
          <w:szCs w:val="24"/>
          <w:lang w:val="en-GB"/>
        </w:rPr>
        <w:t>.1 Geographic Expansion, Market Features and Performance</w:t>
      </w:r>
    </w:p>
    <w:p w14:paraId="5C847813" w14:textId="53D9CA7F" w:rsidR="00286739" w:rsidRPr="00E50F9D" w:rsidRDefault="00E60C46" w:rsidP="00D57A8F">
      <w:pPr>
        <w:autoSpaceDE w:val="0"/>
        <w:autoSpaceDN w:val="0"/>
        <w:adjustRightInd w:val="0"/>
        <w:spacing w:after="0" w:line="480" w:lineRule="auto"/>
        <w:ind w:firstLine="708"/>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 xml:space="preserve">Results are reported in Tables 3 to </w:t>
      </w:r>
      <w:r w:rsidR="00D036B1" w:rsidRPr="00E50F9D">
        <w:rPr>
          <w:rFonts w:ascii="Times New Roman" w:hAnsi="Times New Roman" w:cs="Times New Roman"/>
          <w:sz w:val="24"/>
          <w:szCs w:val="24"/>
          <w:lang w:val="en-GB"/>
        </w:rPr>
        <w:t xml:space="preserve">6. Specifically, </w:t>
      </w:r>
      <w:r w:rsidR="00260F17" w:rsidRPr="00E50F9D">
        <w:rPr>
          <w:rFonts w:ascii="Times New Roman" w:hAnsi="Times New Roman" w:cs="Times New Roman"/>
          <w:sz w:val="24"/>
          <w:szCs w:val="24"/>
          <w:lang w:val="en-GB"/>
        </w:rPr>
        <w:t xml:space="preserve">Table 3 </w:t>
      </w:r>
      <w:r w:rsidR="00D036B1" w:rsidRPr="00E50F9D">
        <w:rPr>
          <w:rFonts w:ascii="Times New Roman" w:hAnsi="Times New Roman" w:cs="Times New Roman"/>
          <w:sz w:val="24"/>
          <w:szCs w:val="24"/>
          <w:lang w:val="en-GB"/>
        </w:rPr>
        <w:t>present</w:t>
      </w:r>
      <w:r w:rsidR="00260F17" w:rsidRPr="00E50F9D">
        <w:rPr>
          <w:rFonts w:ascii="Times New Roman" w:hAnsi="Times New Roman" w:cs="Times New Roman"/>
          <w:sz w:val="24"/>
          <w:szCs w:val="24"/>
          <w:lang w:val="en-GB"/>
        </w:rPr>
        <w:t>s</w:t>
      </w:r>
      <w:r w:rsidR="00D036B1" w:rsidRPr="00E50F9D">
        <w:rPr>
          <w:rFonts w:ascii="Times New Roman" w:hAnsi="Times New Roman" w:cs="Times New Roman"/>
          <w:sz w:val="24"/>
          <w:szCs w:val="24"/>
          <w:lang w:val="en-GB"/>
        </w:rPr>
        <w:t xml:space="preserve"> three </w:t>
      </w:r>
      <w:r w:rsidR="00523893" w:rsidRPr="00E50F9D">
        <w:rPr>
          <w:rFonts w:ascii="Times New Roman" w:hAnsi="Times New Roman" w:cs="Times New Roman"/>
          <w:sz w:val="24"/>
          <w:szCs w:val="24"/>
          <w:lang w:val="en-GB"/>
        </w:rPr>
        <w:t>specifications</w:t>
      </w:r>
      <w:r w:rsidR="00D036B1" w:rsidRPr="00E50F9D">
        <w:rPr>
          <w:rFonts w:ascii="Times New Roman" w:hAnsi="Times New Roman" w:cs="Times New Roman"/>
          <w:sz w:val="24"/>
          <w:szCs w:val="24"/>
          <w:lang w:val="en-GB"/>
        </w:rPr>
        <w:t xml:space="preserve">: the first one is </w:t>
      </w:r>
      <w:r w:rsidR="003114E3" w:rsidRPr="00E50F9D">
        <w:rPr>
          <w:rFonts w:ascii="Times New Roman" w:hAnsi="Times New Roman" w:cs="Times New Roman"/>
          <w:sz w:val="24"/>
          <w:szCs w:val="24"/>
          <w:lang w:val="en-GB"/>
        </w:rPr>
        <w:t xml:space="preserve">our </w:t>
      </w:r>
      <w:r w:rsidR="00D036B1" w:rsidRPr="00E50F9D">
        <w:rPr>
          <w:rFonts w:ascii="Times New Roman" w:hAnsi="Times New Roman" w:cs="Times New Roman"/>
          <w:sz w:val="24"/>
          <w:szCs w:val="24"/>
          <w:lang w:val="en-GB"/>
        </w:rPr>
        <w:t xml:space="preserve">baseline model, the second one </w:t>
      </w:r>
      <w:r w:rsidR="00D57A8F" w:rsidRPr="00E50F9D">
        <w:rPr>
          <w:rFonts w:ascii="Times New Roman" w:hAnsi="Times New Roman" w:cs="Times New Roman"/>
          <w:sz w:val="24"/>
          <w:szCs w:val="24"/>
          <w:lang w:val="en-GB"/>
        </w:rPr>
        <w:t xml:space="preserve">considers only cooperatives and saving banks, while the third one </w:t>
      </w:r>
      <w:r w:rsidR="00D036B1" w:rsidRPr="00E50F9D">
        <w:rPr>
          <w:rFonts w:ascii="Times New Roman" w:hAnsi="Times New Roman" w:cs="Times New Roman"/>
          <w:sz w:val="24"/>
          <w:szCs w:val="24"/>
          <w:lang w:val="en-GB"/>
        </w:rPr>
        <w:t>considers banks with large branch</w:t>
      </w:r>
      <w:r w:rsidR="00260F17" w:rsidRPr="00E50F9D">
        <w:rPr>
          <w:rFonts w:ascii="Times New Roman" w:hAnsi="Times New Roman" w:cs="Times New Roman"/>
          <w:sz w:val="24"/>
          <w:szCs w:val="24"/>
          <w:lang w:val="en-GB"/>
        </w:rPr>
        <w:t>es</w:t>
      </w:r>
      <w:r w:rsidR="00D036B1" w:rsidRPr="00E50F9D">
        <w:rPr>
          <w:rFonts w:ascii="Times New Roman" w:hAnsi="Times New Roman" w:cs="Times New Roman"/>
          <w:sz w:val="24"/>
          <w:szCs w:val="24"/>
          <w:lang w:val="en-GB"/>
        </w:rPr>
        <w:t>.</w:t>
      </w:r>
      <w:r w:rsidR="00071652"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 xml:space="preserve">Table 3 shows the regression results for </w:t>
      </w:r>
      <w:r w:rsidR="00D036B1" w:rsidRPr="00E50F9D">
        <w:rPr>
          <w:rFonts w:ascii="Times New Roman" w:hAnsi="Times New Roman" w:cs="Times New Roman"/>
          <w:sz w:val="24"/>
          <w:szCs w:val="24"/>
          <w:lang w:val="en-GB"/>
        </w:rPr>
        <w:t xml:space="preserve">Eq. </w:t>
      </w:r>
      <w:r w:rsidRPr="00E50F9D">
        <w:rPr>
          <w:rFonts w:ascii="Times New Roman" w:hAnsi="Times New Roman" w:cs="Times New Roman"/>
          <w:sz w:val="24"/>
          <w:szCs w:val="24"/>
          <w:lang w:val="en-GB"/>
        </w:rPr>
        <w:t>1</w:t>
      </w:r>
      <w:r w:rsidR="00D00450" w:rsidRPr="00E50F9D">
        <w:rPr>
          <w:rFonts w:ascii="Times New Roman" w:hAnsi="Times New Roman" w:cs="Times New Roman"/>
          <w:sz w:val="24"/>
          <w:szCs w:val="24"/>
          <w:lang w:val="en-GB"/>
        </w:rPr>
        <w:t>,</w:t>
      </w:r>
      <w:r w:rsidR="00D036B1" w:rsidRPr="00E50F9D">
        <w:rPr>
          <w:rFonts w:ascii="Times New Roman" w:hAnsi="Times New Roman" w:cs="Times New Roman"/>
          <w:sz w:val="24"/>
          <w:szCs w:val="24"/>
          <w:lang w:val="en-GB"/>
        </w:rPr>
        <w:t xml:space="preserve"> whe</w:t>
      </w:r>
      <w:r w:rsidR="00D00450" w:rsidRPr="00E50F9D">
        <w:rPr>
          <w:rFonts w:ascii="Times New Roman" w:hAnsi="Times New Roman" w:cs="Times New Roman"/>
          <w:sz w:val="24"/>
          <w:szCs w:val="24"/>
          <w:lang w:val="en-GB"/>
        </w:rPr>
        <w:t>re</w:t>
      </w:r>
      <w:r w:rsidR="00D036B1" w:rsidRPr="00E50F9D">
        <w:rPr>
          <w:rFonts w:ascii="Times New Roman" w:hAnsi="Times New Roman" w:cs="Times New Roman"/>
          <w:sz w:val="24"/>
          <w:szCs w:val="24"/>
          <w:lang w:val="en-GB"/>
        </w:rPr>
        <w:t xml:space="preserve"> ROA and</w:t>
      </w:r>
      <w:r w:rsidR="00B36CFB" w:rsidRPr="00E50F9D">
        <w:rPr>
          <w:rFonts w:ascii="Times New Roman" w:hAnsi="Times New Roman" w:cs="Times New Roman"/>
          <w:sz w:val="24"/>
          <w:szCs w:val="24"/>
          <w:lang w:val="en-GB"/>
        </w:rPr>
        <w:t xml:space="preserve"> </w:t>
      </w:r>
      <w:r w:rsidR="0099414A" w:rsidRPr="00E50F9D">
        <w:rPr>
          <w:rFonts w:ascii="Times New Roman" w:hAnsi="Times New Roman" w:cs="Times New Roman"/>
          <w:sz w:val="24"/>
          <w:szCs w:val="24"/>
          <w:lang w:val="en-GB"/>
        </w:rPr>
        <w:t>A</w:t>
      </w:r>
      <w:r w:rsidR="00B36CFB" w:rsidRPr="00E50F9D">
        <w:rPr>
          <w:rFonts w:ascii="Times New Roman" w:hAnsi="Times New Roman" w:cs="Times New Roman"/>
          <w:sz w:val="24"/>
          <w:szCs w:val="24"/>
          <w:lang w:val="en-GB"/>
        </w:rPr>
        <w:t>dj</w:t>
      </w:r>
      <w:r w:rsidR="0099414A" w:rsidRPr="00E50F9D">
        <w:rPr>
          <w:rFonts w:ascii="Times New Roman" w:hAnsi="Times New Roman" w:cs="Times New Roman"/>
          <w:sz w:val="24"/>
          <w:szCs w:val="24"/>
          <w:lang w:val="en-GB"/>
        </w:rPr>
        <w:t xml:space="preserve"> </w:t>
      </w:r>
      <w:r w:rsidR="00D036B1" w:rsidRPr="00E50F9D">
        <w:rPr>
          <w:rFonts w:ascii="Times New Roman" w:hAnsi="Times New Roman" w:cs="Times New Roman"/>
          <w:sz w:val="24"/>
          <w:szCs w:val="24"/>
          <w:lang w:val="en-GB"/>
        </w:rPr>
        <w:t>LE are dependent variables</w:t>
      </w:r>
      <w:r w:rsidRPr="00E50F9D">
        <w:rPr>
          <w:rFonts w:ascii="Times New Roman" w:hAnsi="Times New Roman" w:cs="Times New Roman"/>
          <w:sz w:val="24"/>
          <w:szCs w:val="24"/>
          <w:lang w:val="en-GB"/>
        </w:rPr>
        <w:t>.</w:t>
      </w:r>
    </w:p>
    <w:p w14:paraId="40AEC0FC" w14:textId="36389A00" w:rsidR="00286739" w:rsidRPr="00E50F9D" w:rsidRDefault="00FE5C22" w:rsidP="00702D55">
      <w:pPr>
        <w:spacing w:after="0" w:line="480" w:lineRule="auto"/>
        <w:jc w:val="center"/>
        <w:rPr>
          <w:rFonts w:ascii="Times New Roman" w:hAnsi="Times New Roman" w:cs="Times New Roman"/>
          <w:sz w:val="24"/>
          <w:szCs w:val="24"/>
          <w:lang w:val="en-GB"/>
        </w:rPr>
      </w:pPr>
      <w:r w:rsidRPr="00E50F9D">
        <w:rPr>
          <w:rFonts w:ascii="Times New Roman" w:hAnsi="Times New Roman" w:cs="Times New Roman"/>
          <w:sz w:val="24"/>
          <w:szCs w:val="24"/>
          <w:lang w:val="en-GB"/>
        </w:rPr>
        <w:t>&lt;Insert Table 3 about here&gt;</w:t>
      </w:r>
    </w:p>
    <w:p w14:paraId="135BF766" w14:textId="0C13B139" w:rsidR="0023351C" w:rsidRPr="00E50F9D" w:rsidRDefault="00080ADC" w:rsidP="0023351C">
      <w:pPr>
        <w:autoSpaceDE w:val="0"/>
        <w:autoSpaceDN w:val="0"/>
        <w:adjustRightInd w:val="0"/>
        <w:spacing w:after="0" w:line="480" w:lineRule="auto"/>
        <w:ind w:firstLine="567"/>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Our results</w:t>
      </w:r>
      <w:r w:rsidR="00CA773F" w:rsidRPr="00E50F9D">
        <w:rPr>
          <w:rFonts w:ascii="Times New Roman" w:hAnsi="Times New Roman" w:cs="Times New Roman"/>
          <w:sz w:val="24"/>
          <w:szCs w:val="24"/>
          <w:lang w:val="en-GB"/>
        </w:rPr>
        <w:t xml:space="preserve"> </w:t>
      </w:r>
      <w:r w:rsidR="002D55B2" w:rsidRPr="00E50F9D">
        <w:rPr>
          <w:rFonts w:ascii="Times New Roman" w:hAnsi="Times New Roman" w:cs="Times New Roman"/>
          <w:sz w:val="24"/>
          <w:szCs w:val="24"/>
          <w:lang w:val="en-GB"/>
        </w:rPr>
        <w:t xml:space="preserve">do not </w:t>
      </w:r>
      <w:r w:rsidR="00FE5C22" w:rsidRPr="00E50F9D">
        <w:rPr>
          <w:rFonts w:ascii="Times New Roman" w:hAnsi="Times New Roman" w:cs="Times New Roman"/>
          <w:sz w:val="24"/>
          <w:szCs w:val="24"/>
          <w:lang w:val="en-GB"/>
        </w:rPr>
        <w:t>confirm H1</w:t>
      </w:r>
      <w:r w:rsidR="00353B3A" w:rsidRPr="00E50F9D">
        <w:rPr>
          <w:rFonts w:ascii="Times New Roman" w:hAnsi="Times New Roman" w:cs="Times New Roman"/>
          <w:sz w:val="24"/>
          <w:szCs w:val="24"/>
          <w:lang w:val="en-GB"/>
        </w:rPr>
        <w:t>.</w:t>
      </w:r>
      <w:r w:rsidR="00260F17" w:rsidRPr="00E50F9D">
        <w:rPr>
          <w:rFonts w:ascii="Times New Roman" w:hAnsi="Times New Roman" w:cs="Times New Roman"/>
          <w:sz w:val="24"/>
          <w:szCs w:val="24"/>
          <w:lang w:val="en-GB"/>
        </w:rPr>
        <w:t>a</w:t>
      </w:r>
      <w:r w:rsidR="00952BAF" w:rsidRPr="00E50F9D">
        <w:rPr>
          <w:rFonts w:ascii="Times New Roman" w:hAnsi="Times New Roman" w:cs="Times New Roman"/>
          <w:sz w:val="24"/>
          <w:szCs w:val="24"/>
          <w:lang w:val="en-GB"/>
        </w:rPr>
        <w:t>,</w:t>
      </w:r>
      <w:r w:rsidR="00260F17" w:rsidRPr="00E50F9D">
        <w:rPr>
          <w:rFonts w:ascii="Times New Roman" w:hAnsi="Times New Roman" w:cs="Times New Roman"/>
          <w:sz w:val="24"/>
          <w:szCs w:val="24"/>
          <w:lang w:val="en-GB"/>
        </w:rPr>
        <w:t xml:space="preserve"> </w:t>
      </w:r>
      <w:r w:rsidR="00952BAF" w:rsidRPr="00E50F9D">
        <w:rPr>
          <w:rFonts w:ascii="Times New Roman" w:hAnsi="Times New Roman" w:cs="Times New Roman"/>
          <w:sz w:val="24"/>
          <w:szCs w:val="24"/>
          <w:lang w:val="en-GB"/>
        </w:rPr>
        <w:t>which</w:t>
      </w:r>
      <w:r w:rsidR="00260F17" w:rsidRPr="00E50F9D">
        <w:rPr>
          <w:rFonts w:ascii="Times New Roman" w:hAnsi="Times New Roman" w:cs="Times New Roman"/>
          <w:sz w:val="24"/>
          <w:szCs w:val="24"/>
          <w:lang w:val="en-GB"/>
        </w:rPr>
        <w:t xml:space="preserve"> </w:t>
      </w:r>
      <w:r w:rsidR="00537D34" w:rsidRPr="00E50F9D">
        <w:rPr>
          <w:rFonts w:ascii="Times New Roman" w:hAnsi="Times New Roman" w:cs="Times New Roman"/>
          <w:sz w:val="24"/>
          <w:szCs w:val="24"/>
          <w:lang w:val="en-GB"/>
        </w:rPr>
        <w:t>predicts a</w:t>
      </w:r>
      <w:r w:rsidR="00260F17" w:rsidRPr="00E50F9D">
        <w:rPr>
          <w:rFonts w:ascii="Times New Roman" w:hAnsi="Times New Roman" w:cs="Times New Roman"/>
          <w:sz w:val="24"/>
          <w:szCs w:val="24"/>
          <w:lang w:val="en-GB"/>
        </w:rPr>
        <w:t xml:space="preserve"> negative impact o</w:t>
      </w:r>
      <w:r w:rsidR="002D55B2" w:rsidRPr="00E50F9D">
        <w:rPr>
          <w:rFonts w:ascii="Times New Roman" w:hAnsi="Times New Roman" w:cs="Times New Roman"/>
          <w:sz w:val="24"/>
          <w:szCs w:val="24"/>
          <w:lang w:val="en-GB"/>
        </w:rPr>
        <w:t>f geographical diversification</w:t>
      </w:r>
      <w:r w:rsidR="0023351C" w:rsidRPr="00E50F9D">
        <w:rPr>
          <w:rFonts w:ascii="Times New Roman" w:hAnsi="Times New Roman" w:cs="Times New Roman"/>
          <w:sz w:val="24"/>
          <w:szCs w:val="24"/>
          <w:lang w:val="en-GB"/>
        </w:rPr>
        <w:t>, GD,</w:t>
      </w:r>
      <w:r w:rsidR="002D55B2"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on</w:t>
      </w:r>
      <w:r w:rsidR="00260F17" w:rsidRPr="00E50F9D">
        <w:rPr>
          <w:rFonts w:ascii="Times New Roman" w:hAnsi="Times New Roman" w:cs="Times New Roman"/>
          <w:sz w:val="24"/>
          <w:szCs w:val="24"/>
          <w:lang w:val="en-GB"/>
        </w:rPr>
        <w:t xml:space="preserve"> performance</w:t>
      </w:r>
      <w:r w:rsidR="002D55B2" w:rsidRPr="00E50F9D">
        <w:rPr>
          <w:rFonts w:ascii="Times New Roman" w:hAnsi="Times New Roman" w:cs="Times New Roman"/>
          <w:sz w:val="24"/>
          <w:szCs w:val="24"/>
          <w:lang w:val="en-GB"/>
        </w:rPr>
        <w:t xml:space="preserve"> while they confirm H1</w:t>
      </w:r>
      <w:r w:rsidR="00353B3A" w:rsidRPr="00E50F9D">
        <w:rPr>
          <w:rFonts w:ascii="Times New Roman" w:hAnsi="Times New Roman" w:cs="Times New Roman"/>
          <w:sz w:val="24"/>
          <w:szCs w:val="24"/>
          <w:lang w:val="en-GB"/>
        </w:rPr>
        <w:t>.</w:t>
      </w:r>
      <w:r w:rsidR="002D55B2" w:rsidRPr="00E50F9D">
        <w:rPr>
          <w:rFonts w:ascii="Times New Roman" w:hAnsi="Times New Roman" w:cs="Times New Roman"/>
          <w:sz w:val="24"/>
          <w:szCs w:val="24"/>
          <w:lang w:val="en-GB"/>
        </w:rPr>
        <w:t>b</w:t>
      </w:r>
      <w:r w:rsidR="00952BAF" w:rsidRPr="00E50F9D">
        <w:rPr>
          <w:rFonts w:ascii="Times New Roman" w:hAnsi="Times New Roman" w:cs="Times New Roman"/>
          <w:sz w:val="24"/>
          <w:szCs w:val="24"/>
          <w:lang w:val="en-GB"/>
        </w:rPr>
        <w:t>,</w:t>
      </w:r>
      <w:r w:rsidR="002D55B2" w:rsidRPr="00E50F9D">
        <w:rPr>
          <w:rFonts w:ascii="Times New Roman" w:hAnsi="Times New Roman" w:cs="Times New Roman"/>
          <w:sz w:val="24"/>
          <w:szCs w:val="24"/>
          <w:lang w:val="en-GB"/>
        </w:rPr>
        <w:t xml:space="preserve"> </w:t>
      </w:r>
      <w:r w:rsidR="00952BAF" w:rsidRPr="00E50F9D">
        <w:rPr>
          <w:rFonts w:ascii="Times New Roman" w:hAnsi="Times New Roman" w:cs="Times New Roman"/>
          <w:sz w:val="24"/>
          <w:szCs w:val="24"/>
          <w:lang w:val="en-GB"/>
        </w:rPr>
        <w:t>which</w:t>
      </w:r>
      <w:r w:rsidR="002D55B2" w:rsidRPr="00E50F9D">
        <w:rPr>
          <w:rFonts w:ascii="Times New Roman" w:hAnsi="Times New Roman" w:cs="Times New Roman"/>
          <w:sz w:val="24"/>
          <w:szCs w:val="24"/>
          <w:lang w:val="en-GB"/>
        </w:rPr>
        <w:t xml:space="preserve"> predicts a negative impact of</w:t>
      </w:r>
      <w:r w:rsidR="0023351C" w:rsidRPr="00E50F9D">
        <w:rPr>
          <w:rFonts w:ascii="Times New Roman" w:hAnsi="Times New Roman" w:cs="Times New Roman"/>
          <w:sz w:val="24"/>
          <w:szCs w:val="24"/>
          <w:lang w:val="en-GB"/>
        </w:rPr>
        <w:t xml:space="preserve"> DISTANCE on performance</w:t>
      </w:r>
      <w:r w:rsidR="00FE5C22" w:rsidRPr="00E50F9D">
        <w:rPr>
          <w:rFonts w:ascii="Times New Roman" w:hAnsi="Times New Roman" w:cs="Times New Roman"/>
          <w:sz w:val="24"/>
          <w:szCs w:val="24"/>
          <w:lang w:val="en-GB"/>
        </w:rPr>
        <w:t xml:space="preserve">. </w:t>
      </w:r>
      <w:r w:rsidR="00260F17" w:rsidRPr="00E50F9D">
        <w:rPr>
          <w:rFonts w:ascii="Times New Roman" w:hAnsi="Times New Roman" w:cs="Times New Roman"/>
          <w:sz w:val="24"/>
          <w:szCs w:val="24"/>
          <w:lang w:val="en-GB"/>
        </w:rPr>
        <w:t>In particular</w:t>
      </w:r>
      <w:r w:rsidR="00D57A8F" w:rsidRPr="00E50F9D">
        <w:rPr>
          <w:rFonts w:ascii="Times New Roman"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DISTANCE</m:t>
            </m:r>
          </m:e>
          <m:sub>
            <m:r>
              <w:rPr>
                <w:rFonts w:ascii="Cambria Math" w:hAnsi="Cambria Math" w:cs="Times New Roman"/>
                <w:sz w:val="24"/>
                <w:szCs w:val="24"/>
                <w:lang w:val="en-GB"/>
              </w:rPr>
              <m:t>it-1</m:t>
            </m:r>
          </m:sub>
        </m:sSub>
      </m:oMath>
      <w:r w:rsidR="00D57A8F" w:rsidRPr="00E50F9D">
        <w:rPr>
          <w:rFonts w:ascii="Times New Roman" w:hAnsi="Times New Roman" w:cs="Times New Roman"/>
          <w:sz w:val="24"/>
          <w:szCs w:val="24"/>
          <w:lang w:val="en-GB"/>
        </w:rPr>
        <w:t xml:space="preserve">, </w:t>
      </w:r>
      <w:r w:rsidR="00B36CFB" w:rsidRPr="00E50F9D">
        <w:rPr>
          <w:rFonts w:ascii="Times New Roman" w:hAnsi="Times New Roman" w:cs="Times New Roman"/>
          <w:sz w:val="24"/>
          <w:szCs w:val="24"/>
          <w:lang w:val="en-GB"/>
        </w:rPr>
        <w:t>is</w:t>
      </w:r>
      <w:r w:rsidR="00D57A8F" w:rsidRPr="00E50F9D">
        <w:rPr>
          <w:rFonts w:ascii="Times New Roman" w:hAnsi="Times New Roman" w:cs="Times New Roman"/>
          <w:sz w:val="24"/>
          <w:szCs w:val="24"/>
          <w:lang w:val="en-GB"/>
        </w:rPr>
        <w:t xml:space="preserve"> negatively related to</w:t>
      </w:r>
      <w:r w:rsidR="00FE5C22" w:rsidRPr="00E50F9D">
        <w:rPr>
          <w:rFonts w:ascii="Times New Roman" w:hAnsi="Times New Roman" w:cs="Times New Roman"/>
          <w:sz w:val="24"/>
          <w:szCs w:val="24"/>
          <w:lang w:val="en-GB"/>
        </w:rPr>
        <w:t xml:space="preserve"> </w:t>
      </w:r>
      <w:r w:rsidR="00D57A8F" w:rsidRPr="00E50F9D">
        <w:rPr>
          <w:rFonts w:ascii="Times New Roman" w:hAnsi="Times New Roman" w:cs="Times New Roman"/>
          <w:sz w:val="24"/>
          <w:szCs w:val="24"/>
          <w:lang w:val="en-GB"/>
        </w:rPr>
        <w:t>the adjusted-Lerner Index</w:t>
      </w:r>
      <w:r w:rsidR="00260F17" w:rsidRPr="00E50F9D">
        <w:rPr>
          <w:rFonts w:ascii="Times New Roman" w:hAnsi="Times New Roman" w:cs="Times New Roman"/>
          <w:sz w:val="24"/>
          <w:szCs w:val="24"/>
          <w:lang w:val="en-GB"/>
        </w:rPr>
        <w:t xml:space="preserve"> and performance</w:t>
      </w:r>
      <w:r w:rsidR="00CC4230" w:rsidRPr="00E50F9D">
        <w:rPr>
          <w:rFonts w:ascii="Times New Roman" w:hAnsi="Times New Roman" w:cs="Times New Roman"/>
          <w:sz w:val="24"/>
          <w:szCs w:val="24"/>
          <w:lang w:val="en-GB"/>
        </w:rPr>
        <w:t xml:space="preserve"> </w:t>
      </w:r>
      <w:r w:rsidR="005341E1" w:rsidRPr="00E50F9D">
        <w:rPr>
          <w:rFonts w:ascii="Times New Roman" w:hAnsi="Times New Roman" w:cs="Times New Roman"/>
          <w:sz w:val="24"/>
          <w:szCs w:val="24"/>
          <w:lang w:val="en-GB"/>
        </w:rPr>
        <w:t>for the first specification and the latter one.</w:t>
      </w:r>
      <w:r w:rsidR="00E60C46" w:rsidRPr="00E50F9D">
        <w:rPr>
          <w:rFonts w:ascii="Times New Roman" w:hAnsi="Times New Roman" w:cs="Times New Roman"/>
          <w:sz w:val="24"/>
          <w:szCs w:val="24"/>
          <w:lang w:val="en-GB"/>
        </w:rPr>
        <w:t xml:space="preserve"> </w:t>
      </w:r>
      <w:r w:rsidR="005341E1" w:rsidRPr="00E50F9D">
        <w:rPr>
          <w:rFonts w:ascii="Times New Roman" w:hAnsi="Times New Roman" w:cs="Times New Roman"/>
          <w:sz w:val="24"/>
          <w:szCs w:val="24"/>
          <w:lang w:val="en-GB"/>
        </w:rPr>
        <w:t xml:space="preserve">Instead, we did not find any significant result </w:t>
      </w:r>
      <w:r w:rsidR="0023351C" w:rsidRPr="00E50F9D">
        <w:rPr>
          <w:rFonts w:ascii="Times New Roman" w:hAnsi="Times New Roman" w:cs="Times New Roman"/>
          <w:sz w:val="24"/>
          <w:szCs w:val="24"/>
          <w:lang w:val="en-GB"/>
        </w:rPr>
        <w:t xml:space="preserve">for DISTANCE </w:t>
      </w:r>
      <w:r w:rsidR="005341E1" w:rsidRPr="00E50F9D">
        <w:rPr>
          <w:rFonts w:ascii="Times New Roman" w:hAnsi="Times New Roman" w:cs="Times New Roman"/>
          <w:sz w:val="24"/>
          <w:szCs w:val="24"/>
          <w:lang w:val="en-GB"/>
        </w:rPr>
        <w:t xml:space="preserve">when we restrict our sample to cooperative and saving banks. This is plausible since </w:t>
      </w:r>
      <w:r w:rsidR="0023351C" w:rsidRPr="00E50F9D">
        <w:rPr>
          <w:rFonts w:ascii="Times New Roman" w:hAnsi="Times New Roman" w:cs="Times New Roman"/>
          <w:sz w:val="24"/>
          <w:szCs w:val="24"/>
          <w:lang w:val="en-GB"/>
        </w:rPr>
        <w:t>they</w:t>
      </w:r>
      <w:r w:rsidR="005341E1" w:rsidRPr="00E50F9D">
        <w:rPr>
          <w:rFonts w:ascii="Times New Roman" w:hAnsi="Times New Roman" w:cs="Times New Roman"/>
          <w:sz w:val="24"/>
          <w:szCs w:val="24"/>
          <w:lang w:val="en-GB"/>
        </w:rPr>
        <w:t xml:space="preserve"> are local banks that </w:t>
      </w:r>
      <w:r w:rsidR="0023351C" w:rsidRPr="00E50F9D">
        <w:rPr>
          <w:rFonts w:ascii="Times New Roman" w:hAnsi="Times New Roman" w:cs="Times New Roman"/>
          <w:sz w:val="24"/>
          <w:szCs w:val="24"/>
          <w:lang w:val="en-GB"/>
        </w:rPr>
        <w:t>are</w:t>
      </w:r>
      <w:r w:rsidR="005341E1" w:rsidRPr="00E50F9D">
        <w:rPr>
          <w:rFonts w:ascii="Times New Roman" w:hAnsi="Times New Roman" w:cs="Times New Roman"/>
          <w:sz w:val="24"/>
          <w:szCs w:val="24"/>
          <w:lang w:val="en-GB"/>
        </w:rPr>
        <w:t xml:space="preserve"> geographically restricted </w:t>
      </w:r>
      <w:r w:rsidR="0023351C" w:rsidRPr="00E50F9D">
        <w:rPr>
          <w:rFonts w:ascii="Times New Roman" w:hAnsi="Times New Roman" w:cs="Times New Roman"/>
          <w:sz w:val="24"/>
          <w:szCs w:val="24"/>
          <w:lang w:val="en-GB"/>
        </w:rPr>
        <w:t>to</w:t>
      </w:r>
      <w:r w:rsidR="005341E1" w:rsidRPr="00E50F9D">
        <w:rPr>
          <w:rFonts w:ascii="Times New Roman" w:hAnsi="Times New Roman" w:cs="Times New Roman"/>
          <w:sz w:val="24"/>
          <w:szCs w:val="24"/>
          <w:lang w:val="en-GB"/>
        </w:rPr>
        <w:t xml:space="preserve"> a small local are</w:t>
      </w:r>
      <w:r w:rsidR="0023351C" w:rsidRPr="00E50F9D">
        <w:rPr>
          <w:rFonts w:ascii="Times New Roman" w:hAnsi="Times New Roman" w:cs="Times New Roman"/>
          <w:sz w:val="24"/>
          <w:szCs w:val="24"/>
          <w:lang w:val="en-GB"/>
        </w:rPr>
        <w:t>a. Therefore, DISTANCE should be less relevant for this type of bank. Overall, t</w:t>
      </w:r>
      <w:r w:rsidR="00E60C46" w:rsidRPr="00E50F9D">
        <w:rPr>
          <w:rFonts w:ascii="Times New Roman" w:hAnsi="Times New Roman" w:cs="Times New Roman"/>
          <w:sz w:val="24"/>
          <w:szCs w:val="24"/>
          <w:lang w:val="en-GB"/>
        </w:rPr>
        <w:t xml:space="preserve">hese </w:t>
      </w:r>
      <w:r w:rsidR="00D57A8F" w:rsidRPr="00E50F9D">
        <w:rPr>
          <w:rFonts w:ascii="Times New Roman" w:hAnsi="Times New Roman" w:cs="Times New Roman"/>
          <w:sz w:val="24"/>
          <w:szCs w:val="24"/>
          <w:lang w:val="en-GB"/>
        </w:rPr>
        <w:t xml:space="preserve">findings </w:t>
      </w:r>
      <w:r w:rsidR="00E60C46" w:rsidRPr="00E50F9D">
        <w:rPr>
          <w:rFonts w:ascii="Times New Roman" w:hAnsi="Times New Roman" w:cs="Times New Roman"/>
          <w:sz w:val="24"/>
          <w:szCs w:val="24"/>
          <w:lang w:val="en-GB"/>
        </w:rPr>
        <w:t xml:space="preserve">are in line with </w:t>
      </w:r>
      <w:r w:rsidR="00CD2C76" w:rsidRPr="00E50F9D">
        <w:rPr>
          <w:rFonts w:ascii="Times New Roman" w:hAnsi="Times New Roman" w:cs="Times New Roman"/>
          <w:sz w:val="24"/>
          <w:szCs w:val="24"/>
          <w:lang w:val="en-GB"/>
        </w:rPr>
        <w:t>Deng and Elyasiani (2008) who find</w:t>
      </w:r>
      <w:r w:rsidR="00E60C46" w:rsidRPr="00E50F9D">
        <w:rPr>
          <w:rFonts w:ascii="Times New Roman" w:hAnsi="Times New Roman" w:cs="Times New Roman"/>
          <w:sz w:val="24"/>
          <w:szCs w:val="24"/>
          <w:lang w:val="en-GB"/>
        </w:rPr>
        <w:t xml:space="preserve"> a value reduction associated with </w:t>
      </w:r>
      <w:r w:rsidR="00CD2C76" w:rsidRPr="00E50F9D">
        <w:rPr>
          <w:rFonts w:ascii="Times New Roman" w:hAnsi="Times New Roman" w:cs="Times New Roman"/>
          <w:sz w:val="24"/>
          <w:szCs w:val="24"/>
          <w:lang w:val="en-GB"/>
        </w:rPr>
        <w:t>distance between a bank’s headquarter</w:t>
      </w:r>
      <w:r w:rsidR="00A829BF" w:rsidRPr="00E50F9D">
        <w:rPr>
          <w:rFonts w:ascii="Times New Roman" w:hAnsi="Times New Roman" w:cs="Times New Roman"/>
          <w:sz w:val="24"/>
          <w:szCs w:val="24"/>
          <w:lang w:val="en-GB"/>
        </w:rPr>
        <w:t>s</w:t>
      </w:r>
      <w:r w:rsidR="00CD2C76" w:rsidRPr="00E50F9D">
        <w:rPr>
          <w:rFonts w:ascii="Times New Roman" w:hAnsi="Times New Roman" w:cs="Times New Roman"/>
          <w:sz w:val="24"/>
          <w:szCs w:val="24"/>
          <w:lang w:val="en-GB"/>
        </w:rPr>
        <w:t xml:space="preserve"> and its branches</w:t>
      </w:r>
      <w:r w:rsidR="00E60C46" w:rsidRPr="00E50F9D">
        <w:rPr>
          <w:rFonts w:ascii="Times New Roman" w:hAnsi="Times New Roman" w:cs="Times New Roman"/>
          <w:sz w:val="24"/>
          <w:szCs w:val="24"/>
          <w:lang w:val="en-GB"/>
        </w:rPr>
        <w:t xml:space="preserve">. </w:t>
      </w:r>
    </w:p>
    <w:p w14:paraId="5B3BD1E9" w14:textId="2CFAA634" w:rsidR="00864D06" w:rsidRPr="00E50F9D" w:rsidRDefault="0096280D" w:rsidP="00864D06">
      <w:pPr>
        <w:autoSpaceDE w:val="0"/>
        <w:autoSpaceDN w:val="0"/>
        <w:adjustRightInd w:val="0"/>
        <w:spacing w:after="0" w:line="480" w:lineRule="auto"/>
        <w:ind w:firstLine="567"/>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Focusing on H1.c, we find that GD has a negative impact on monopoly market power for Specification I, which includes the entire dataset, and for Specification III, which considers only banks that have large branches.</w:t>
      </w:r>
      <w:r w:rsidR="00864D06" w:rsidRPr="00E50F9D">
        <w:rPr>
          <w:rFonts w:ascii="Times New Roman" w:hAnsi="Times New Roman" w:cs="Times New Roman"/>
          <w:sz w:val="24"/>
          <w:szCs w:val="24"/>
          <w:lang w:val="en-GB"/>
        </w:rPr>
        <w:t xml:space="preserve"> Instead, we found that GD </w:t>
      </w:r>
      <w:r w:rsidR="00353B3A" w:rsidRPr="00E50F9D">
        <w:rPr>
          <w:rFonts w:ascii="Times New Roman" w:hAnsi="Times New Roman" w:cs="Times New Roman"/>
          <w:sz w:val="24"/>
          <w:szCs w:val="24"/>
          <w:lang w:val="en-GB"/>
        </w:rPr>
        <w:t>affects</w:t>
      </w:r>
      <w:r w:rsidR="00864D06" w:rsidRPr="00E50F9D">
        <w:rPr>
          <w:rFonts w:ascii="Times New Roman" w:hAnsi="Times New Roman" w:cs="Times New Roman"/>
          <w:sz w:val="24"/>
          <w:szCs w:val="24"/>
          <w:lang w:val="en-GB"/>
        </w:rPr>
        <w:t xml:space="preserve"> negatively and significantly on the monopoly market power of cooperative and saving banks. </w:t>
      </w:r>
      <w:r w:rsidR="00E60C46" w:rsidRPr="00E50F9D">
        <w:rPr>
          <w:rFonts w:ascii="Times New Roman" w:hAnsi="Times New Roman" w:cs="Times New Roman"/>
          <w:sz w:val="24"/>
          <w:szCs w:val="24"/>
          <w:lang w:val="en-GB"/>
        </w:rPr>
        <w:t xml:space="preserve">A possible explanation </w:t>
      </w:r>
      <w:r w:rsidR="00AA371C" w:rsidRPr="00E50F9D">
        <w:rPr>
          <w:rFonts w:ascii="Times New Roman" w:hAnsi="Times New Roman" w:cs="Times New Roman"/>
          <w:sz w:val="24"/>
          <w:szCs w:val="24"/>
          <w:lang w:val="en-GB"/>
        </w:rPr>
        <w:t xml:space="preserve">for </w:t>
      </w:r>
      <w:r w:rsidR="00E60C46" w:rsidRPr="00E50F9D">
        <w:rPr>
          <w:rFonts w:ascii="Times New Roman" w:hAnsi="Times New Roman" w:cs="Times New Roman"/>
          <w:sz w:val="24"/>
          <w:szCs w:val="24"/>
          <w:lang w:val="en-GB"/>
        </w:rPr>
        <w:t xml:space="preserve">our results can be </w:t>
      </w:r>
      <w:r w:rsidR="00F36F8E" w:rsidRPr="00E50F9D">
        <w:rPr>
          <w:rFonts w:ascii="Times New Roman" w:hAnsi="Times New Roman" w:cs="Times New Roman"/>
          <w:sz w:val="24"/>
          <w:szCs w:val="24"/>
          <w:lang w:val="en-GB"/>
        </w:rPr>
        <w:t>attributed</w:t>
      </w:r>
      <w:r w:rsidR="00E60C46" w:rsidRPr="00E50F9D">
        <w:rPr>
          <w:rFonts w:ascii="Times New Roman" w:hAnsi="Times New Roman" w:cs="Times New Roman"/>
          <w:sz w:val="24"/>
          <w:szCs w:val="24"/>
          <w:lang w:val="en-GB"/>
        </w:rPr>
        <w:t xml:space="preserve"> to the fact that the Italian local market presents several dissimilarities in terms of productive structure</w:t>
      </w:r>
      <w:r w:rsidR="009A5072" w:rsidRPr="00E50F9D">
        <w:rPr>
          <w:rFonts w:ascii="Times New Roman" w:hAnsi="Times New Roman" w:cs="Times New Roman"/>
          <w:sz w:val="24"/>
          <w:szCs w:val="24"/>
          <w:lang w:val="en-GB"/>
        </w:rPr>
        <w:t xml:space="preserve">. </w:t>
      </w:r>
      <w:r w:rsidR="00D2650F" w:rsidRPr="00E50F9D">
        <w:rPr>
          <w:rFonts w:ascii="Times New Roman" w:hAnsi="Times New Roman" w:cs="Times New Roman"/>
          <w:sz w:val="24"/>
          <w:szCs w:val="24"/>
          <w:lang w:val="en-GB"/>
        </w:rPr>
        <w:t>A</w:t>
      </w:r>
      <w:r w:rsidR="009A5072" w:rsidRPr="00E50F9D">
        <w:rPr>
          <w:rFonts w:ascii="Times New Roman" w:hAnsi="Times New Roman" w:cs="Times New Roman"/>
          <w:sz w:val="24"/>
          <w:szCs w:val="24"/>
          <w:lang w:val="en-GB"/>
        </w:rPr>
        <w:t xml:space="preserve"> high dispersion of branches over the territory can </w:t>
      </w:r>
      <w:r w:rsidR="00D2650F" w:rsidRPr="00E50F9D">
        <w:rPr>
          <w:rFonts w:ascii="Times New Roman" w:hAnsi="Times New Roman" w:cs="Times New Roman"/>
          <w:sz w:val="24"/>
          <w:szCs w:val="24"/>
          <w:lang w:val="en-GB"/>
        </w:rPr>
        <w:t xml:space="preserve">therefore </w:t>
      </w:r>
      <w:r w:rsidR="009A5072" w:rsidRPr="00E50F9D">
        <w:rPr>
          <w:rFonts w:ascii="Times New Roman" w:hAnsi="Times New Roman" w:cs="Times New Roman"/>
          <w:sz w:val="24"/>
          <w:szCs w:val="24"/>
          <w:lang w:val="en-GB"/>
        </w:rPr>
        <w:t>reduce</w:t>
      </w:r>
      <w:r w:rsidR="00E60C46" w:rsidRPr="00E50F9D">
        <w:rPr>
          <w:rFonts w:ascii="Times New Roman" w:hAnsi="Times New Roman" w:cs="Times New Roman"/>
          <w:sz w:val="24"/>
          <w:szCs w:val="24"/>
          <w:lang w:val="en-GB"/>
        </w:rPr>
        <w:t xml:space="preserve"> the familiarity of a bank with the local </w:t>
      </w:r>
      <w:r w:rsidR="00AA371C" w:rsidRPr="00E50F9D">
        <w:rPr>
          <w:rFonts w:ascii="Times New Roman" w:hAnsi="Times New Roman" w:cs="Times New Roman"/>
          <w:sz w:val="24"/>
          <w:szCs w:val="24"/>
          <w:lang w:val="en-GB"/>
        </w:rPr>
        <w:t>economy</w:t>
      </w:r>
      <w:r w:rsidR="00625AFD" w:rsidRPr="00E50F9D">
        <w:rPr>
          <w:rFonts w:ascii="Times New Roman" w:hAnsi="Times New Roman" w:cs="Times New Roman"/>
          <w:sz w:val="24"/>
          <w:szCs w:val="24"/>
          <w:lang w:val="en-GB"/>
        </w:rPr>
        <w:t xml:space="preserve"> and increase the organizational costs and agency costs</w:t>
      </w:r>
      <w:r w:rsidR="00E60C46" w:rsidRPr="00E50F9D">
        <w:rPr>
          <w:rFonts w:ascii="Times New Roman" w:hAnsi="Times New Roman" w:cs="Times New Roman"/>
          <w:sz w:val="24"/>
          <w:szCs w:val="24"/>
          <w:lang w:val="en-GB"/>
        </w:rPr>
        <w:t>.</w:t>
      </w:r>
      <w:r w:rsidR="009A5072" w:rsidRPr="00E50F9D">
        <w:rPr>
          <w:rFonts w:ascii="Times New Roman" w:hAnsi="Times New Roman" w:cs="Times New Roman"/>
          <w:sz w:val="24"/>
          <w:szCs w:val="24"/>
          <w:lang w:val="en-GB"/>
        </w:rPr>
        <w:t xml:space="preserve"> </w:t>
      </w:r>
      <w:r w:rsidR="00D57A8F" w:rsidRPr="00E50F9D">
        <w:rPr>
          <w:rFonts w:ascii="Times New Roman" w:hAnsi="Times New Roman" w:cs="Times New Roman"/>
          <w:sz w:val="24"/>
          <w:szCs w:val="24"/>
          <w:lang w:val="en-GB"/>
        </w:rPr>
        <w:t xml:space="preserve">This </w:t>
      </w:r>
      <w:r w:rsidR="006934E9" w:rsidRPr="00E50F9D">
        <w:rPr>
          <w:rFonts w:ascii="Times New Roman" w:hAnsi="Times New Roman" w:cs="Times New Roman"/>
          <w:sz w:val="24"/>
          <w:szCs w:val="24"/>
          <w:lang w:val="en-GB"/>
        </w:rPr>
        <w:t xml:space="preserve">is especially important for cooperative and saving banks. For those </w:t>
      </w:r>
      <w:r w:rsidR="00D57A8F" w:rsidRPr="00E50F9D">
        <w:rPr>
          <w:rFonts w:ascii="Times New Roman" w:hAnsi="Times New Roman" w:cs="Times New Roman"/>
          <w:sz w:val="24"/>
          <w:szCs w:val="24"/>
          <w:lang w:val="en-GB"/>
        </w:rPr>
        <w:t xml:space="preserve">we observe a reduction of market power when they expand their network in different </w:t>
      </w:r>
      <w:r w:rsidR="006934E9" w:rsidRPr="00E50F9D">
        <w:rPr>
          <w:rFonts w:ascii="Times New Roman" w:hAnsi="Times New Roman" w:cs="Times New Roman"/>
          <w:sz w:val="24"/>
          <w:szCs w:val="24"/>
          <w:lang w:val="en-GB"/>
        </w:rPr>
        <w:t xml:space="preserve">and distant </w:t>
      </w:r>
      <w:r w:rsidR="00D57A8F" w:rsidRPr="00E50F9D">
        <w:rPr>
          <w:rFonts w:ascii="Times New Roman" w:hAnsi="Times New Roman" w:cs="Times New Roman"/>
          <w:sz w:val="24"/>
          <w:szCs w:val="24"/>
          <w:lang w:val="en-GB"/>
        </w:rPr>
        <w:t>local</w:t>
      </w:r>
      <w:r w:rsidR="006934E9" w:rsidRPr="00E50F9D">
        <w:rPr>
          <w:rFonts w:ascii="Times New Roman" w:hAnsi="Times New Roman" w:cs="Times New Roman"/>
          <w:sz w:val="24"/>
          <w:szCs w:val="24"/>
          <w:lang w:val="en-GB"/>
        </w:rPr>
        <w:t xml:space="preserve"> markets. </w:t>
      </w:r>
      <w:r w:rsidR="00864D06" w:rsidRPr="00E50F9D">
        <w:rPr>
          <w:rFonts w:ascii="Times New Roman" w:hAnsi="Times New Roman" w:cs="Times New Roman"/>
          <w:sz w:val="24"/>
          <w:szCs w:val="24"/>
          <w:lang w:val="en-GB"/>
        </w:rPr>
        <w:t>Shifting our attention to H1.d</w:t>
      </w:r>
      <w:r w:rsidR="00353B3A" w:rsidRPr="00E50F9D">
        <w:rPr>
          <w:rFonts w:ascii="Times New Roman" w:hAnsi="Times New Roman" w:cs="Times New Roman"/>
          <w:sz w:val="24"/>
          <w:szCs w:val="24"/>
          <w:lang w:val="en-GB"/>
        </w:rPr>
        <w:t>,</w:t>
      </w:r>
      <w:r w:rsidR="00864D06" w:rsidRPr="00E50F9D">
        <w:rPr>
          <w:rFonts w:ascii="Times New Roman" w:hAnsi="Times New Roman" w:cs="Times New Roman"/>
          <w:sz w:val="24"/>
          <w:szCs w:val="24"/>
          <w:lang w:val="en-GB"/>
        </w:rPr>
        <w:t xml:space="preserve"> we find again that DISTANCE impact</w:t>
      </w:r>
      <w:r w:rsidR="00952BAF" w:rsidRPr="00E50F9D">
        <w:rPr>
          <w:rFonts w:ascii="Times New Roman" w:hAnsi="Times New Roman" w:cs="Times New Roman"/>
          <w:sz w:val="24"/>
          <w:szCs w:val="24"/>
          <w:lang w:val="en-GB"/>
        </w:rPr>
        <w:t>s</w:t>
      </w:r>
      <w:r w:rsidR="00864D06" w:rsidRPr="00E50F9D">
        <w:rPr>
          <w:rFonts w:ascii="Times New Roman" w:hAnsi="Times New Roman" w:cs="Times New Roman"/>
          <w:sz w:val="24"/>
          <w:szCs w:val="24"/>
          <w:lang w:val="en-GB"/>
        </w:rPr>
        <w:t xml:space="preserve"> negatively on the monopoly market power </w:t>
      </w:r>
      <w:r w:rsidR="00D57909" w:rsidRPr="00E50F9D">
        <w:rPr>
          <w:rFonts w:ascii="Times New Roman" w:hAnsi="Times New Roman" w:cs="Times New Roman"/>
          <w:sz w:val="24"/>
          <w:szCs w:val="24"/>
          <w:lang w:val="en-GB"/>
        </w:rPr>
        <w:t xml:space="preserve">in the case of the database that includes all </w:t>
      </w:r>
      <w:r w:rsidR="00864D06" w:rsidRPr="00E50F9D">
        <w:rPr>
          <w:rFonts w:ascii="Times New Roman" w:hAnsi="Times New Roman" w:cs="Times New Roman"/>
          <w:sz w:val="24"/>
          <w:szCs w:val="24"/>
          <w:lang w:val="en-GB"/>
        </w:rPr>
        <w:t xml:space="preserve">banks </w:t>
      </w:r>
      <w:r w:rsidR="00D57909" w:rsidRPr="00E50F9D">
        <w:rPr>
          <w:rFonts w:ascii="Times New Roman" w:hAnsi="Times New Roman" w:cs="Times New Roman"/>
          <w:sz w:val="24"/>
          <w:szCs w:val="24"/>
          <w:lang w:val="en-GB"/>
        </w:rPr>
        <w:t>(</w:t>
      </w:r>
      <w:r w:rsidR="00864D06" w:rsidRPr="00E50F9D">
        <w:rPr>
          <w:rFonts w:ascii="Times New Roman" w:hAnsi="Times New Roman" w:cs="Times New Roman"/>
          <w:sz w:val="24"/>
          <w:szCs w:val="24"/>
          <w:lang w:val="en-GB"/>
        </w:rPr>
        <w:t>as in the case of H1.b</w:t>
      </w:r>
      <w:r w:rsidR="00D57909" w:rsidRPr="00E50F9D">
        <w:rPr>
          <w:rFonts w:ascii="Times New Roman" w:hAnsi="Times New Roman" w:cs="Times New Roman"/>
          <w:sz w:val="24"/>
          <w:szCs w:val="24"/>
          <w:lang w:val="en-GB"/>
        </w:rPr>
        <w:t>)</w:t>
      </w:r>
      <w:r w:rsidR="005774A7" w:rsidRPr="00E50F9D">
        <w:rPr>
          <w:rFonts w:ascii="Times New Roman" w:hAnsi="Times New Roman" w:cs="Times New Roman"/>
          <w:sz w:val="24"/>
          <w:szCs w:val="24"/>
          <w:lang w:val="en-GB"/>
        </w:rPr>
        <w:t xml:space="preserve"> and banks with</w:t>
      </w:r>
      <w:r w:rsidR="00F25251" w:rsidRPr="00E50F9D">
        <w:rPr>
          <w:rFonts w:ascii="Times New Roman" w:hAnsi="Times New Roman" w:cs="Times New Roman"/>
          <w:sz w:val="24"/>
          <w:szCs w:val="24"/>
          <w:lang w:val="en-GB"/>
        </w:rPr>
        <w:t xml:space="preserve"> only</w:t>
      </w:r>
      <w:r w:rsidR="005774A7" w:rsidRPr="00E50F9D">
        <w:rPr>
          <w:rFonts w:ascii="Times New Roman" w:hAnsi="Times New Roman" w:cs="Times New Roman"/>
          <w:sz w:val="24"/>
          <w:szCs w:val="24"/>
          <w:lang w:val="en-GB"/>
        </w:rPr>
        <w:t xml:space="preserve"> large branches</w:t>
      </w:r>
      <w:r w:rsidR="00D57909" w:rsidRPr="00E50F9D">
        <w:rPr>
          <w:rFonts w:ascii="Times New Roman" w:hAnsi="Times New Roman" w:cs="Times New Roman"/>
          <w:sz w:val="24"/>
          <w:szCs w:val="24"/>
          <w:lang w:val="en-GB"/>
        </w:rPr>
        <w:t>.</w:t>
      </w:r>
      <w:r w:rsidR="00864D06" w:rsidRPr="00E50F9D" w:rsidDel="00864D06">
        <w:rPr>
          <w:rFonts w:ascii="Times New Roman" w:hAnsi="Times New Roman" w:cs="Times New Roman"/>
          <w:sz w:val="24"/>
          <w:szCs w:val="24"/>
          <w:lang w:val="en-GB"/>
        </w:rPr>
        <w:t xml:space="preserve"> </w:t>
      </w:r>
      <w:r w:rsidR="00A42814" w:rsidRPr="00E50F9D">
        <w:rPr>
          <w:rFonts w:ascii="Times New Roman" w:hAnsi="Times New Roman" w:cs="Times New Roman"/>
          <w:sz w:val="24"/>
          <w:szCs w:val="24"/>
          <w:lang w:val="en-GB"/>
        </w:rPr>
        <w:t xml:space="preserve">Our result is in line with other studies </w:t>
      </w:r>
      <w:r w:rsidR="00A829BF" w:rsidRPr="00E50F9D">
        <w:rPr>
          <w:rFonts w:ascii="Times New Roman" w:hAnsi="Times New Roman" w:cs="Times New Roman"/>
          <w:sz w:val="24"/>
          <w:szCs w:val="24"/>
          <w:lang w:val="en-GB"/>
        </w:rPr>
        <w:t>o</w:t>
      </w:r>
      <w:r w:rsidR="00A42814" w:rsidRPr="00E50F9D">
        <w:rPr>
          <w:rFonts w:ascii="Times New Roman" w:hAnsi="Times New Roman" w:cs="Times New Roman"/>
          <w:sz w:val="24"/>
          <w:szCs w:val="24"/>
          <w:lang w:val="en-GB"/>
        </w:rPr>
        <w:t>n the banking sector that show that specialization in a local market can increase performanc</w:t>
      </w:r>
      <w:r w:rsidR="00C30CD9" w:rsidRPr="00E50F9D">
        <w:rPr>
          <w:rFonts w:ascii="Times New Roman" w:hAnsi="Times New Roman" w:cs="Times New Roman"/>
          <w:sz w:val="24"/>
          <w:szCs w:val="24"/>
          <w:lang w:val="en-GB"/>
        </w:rPr>
        <w:t>e (Mercieca et al., 2007).</w:t>
      </w:r>
      <w:r w:rsidR="00A42814" w:rsidRPr="00E50F9D">
        <w:rPr>
          <w:rFonts w:ascii="Times New Roman" w:hAnsi="Times New Roman" w:cs="Times New Roman"/>
          <w:sz w:val="24"/>
          <w:szCs w:val="24"/>
          <w:lang w:val="en-GB"/>
        </w:rPr>
        <w:t xml:space="preserve"> </w:t>
      </w:r>
      <w:r w:rsidR="00D57A8F" w:rsidRPr="00E50F9D">
        <w:rPr>
          <w:rFonts w:ascii="Times New Roman" w:hAnsi="Times New Roman" w:cs="Times New Roman"/>
          <w:sz w:val="24"/>
          <w:szCs w:val="24"/>
          <w:lang w:val="en-GB"/>
        </w:rPr>
        <w:t xml:space="preserve">Furthermore, </w:t>
      </w:r>
      <w:r w:rsidR="0063779D" w:rsidRPr="00E50F9D">
        <w:rPr>
          <w:rFonts w:ascii="Times New Roman" w:hAnsi="Times New Roman" w:cs="Times New Roman"/>
          <w:sz w:val="24"/>
          <w:szCs w:val="24"/>
          <w:lang w:val="en-GB"/>
        </w:rPr>
        <w:t xml:space="preserve">our findings show that </w:t>
      </w:r>
      <w:r w:rsidR="00952BAF" w:rsidRPr="00E50F9D">
        <w:rPr>
          <w:rFonts w:ascii="Times New Roman" w:hAnsi="Times New Roman" w:cs="Times New Roman"/>
          <w:sz w:val="24"/>
          <w:szCs w:val="24"/>
          <w:lang w:val="en-GB"/>
        </w:rPr>
        <w:t xml:space="preserve">the performance of </w:t>
      </w:r>
      <w:r w:rsidR="00D57A8F" w:rsidRPr="00E50F9D">
        <w:rPr>
          <w:rFonts w:ascii="Times New Roman" w:hAnsi="Times New Roman" w:cs="Times New Roman"/>
          <w:sz w:val="24"/>
          <w:szCs w:val="24"/>
          <w:lang w:val="en-GB"/>
        </w:rPr>
        <w:t>banks with</w:t>
      </w:r>
      <w:r w:rsidR="00A829BF" w:rsidRPr="00E50F9D">
        <w:rPr>
          <w:rFonts w:ascii="Times New Roman" w:hAnsi="Times New Roman" w:cs="Times New Roman"/>
          <w:sz w:val="24"/>
          <w:szCs w:val="24"/>
          <w:lang w:val="en-GB"/>
        </w:rPr>
        <w:t xml:space="preserve"> a</w:t>
      </w:r>
      <w:r w:rsidR="00D57A8F" w:rsidRPr="00E50F9D">
        <w:rPr>
          <w:rFonts w:ascii="Times New Roman" w:hAnsi="Times New Roman" w:cs="Times New Roman"/>
          <w:sz w:val="24"/>
          <w:szCs w:val="24"/>
          <w:lang w:val="en-GB"/>
        </w:rPr>
        <w:t xml:space="preserve"> large </w:t>
      </w:r>
      <w:r w:rsidR="006934E9" w:rsidRPr="00E50F9D">
        <w:rPr>
          <w:rFonts w:ascii="Times New Roman" w:hAnsi="Times New Roman" w:cs="Times New Roman"/>
          <w:sz w:val="24"/>
          <w:szCs w:val="24"/>
          <w:lang w:val="en-GB"/>
        </w:rPr>
        <w:t>network</w:t>
      </w:r>
      <w:r w:rsidR="00D57A8F" w:rsidRPr="00E50F9D">
        <w:rPr>
          <w:rFonts w:ascii="Times New Roman" w:hAnsi="Times New Roman" w:cs="Times New Roman"/>
          <w:sz w:val="24"/>
          <w:szCs w:val="24"/>
          <w:lang w:val="en-GB"/>
        </w:rPr>
        <w:t xml:space="preserve"> </w:t>
      </w:r>
      <w:r w:rsidR="006934E9" w:rsidRPr="00E50F9D">
        <w:rPr>
          <w:rFonts w:ascii="Times New Roman" w:hAnsi="Times New Roman" w:cs="Times New Roman"/>
          <w:sz w:val="24"/>
          <w:szCs w:val="24"/>
          <w:lang w:val="en-GB"/>
        </w:rPr>
        <w:t>can</w:t>
      </w:r>
      <w:r w:rsidR="00D57A8F" w:rsidRPr="00E50F9D">
        <w:rPr>
          <w:rFonts w:ascii="Times New Roman" w:hAnsi="Times New Roman" w:cs="Times New Roman"/>
          <w:sz w:val="24"/>
          <w:szCs w:val="24"/>
          <w:lang w:val="en-GB"/>
        </w:rPr>
        <w:t xml:space="preserve"> </w:t>
      </w:r>
      <w:r w:rsidR="00F75E5F" w:rsidRPr="00E50F9D">
        <w:rPr>
          <w:rFonts w:ascii="Times New Roman" w:hAnsi="Times New Roman" w:cs="Times New Roman"/>
          <w:sz w:val="24"/>
          <w:szCs w:val="24"/>
          <w:lang w:val="en-GB"/>
        </w:rPr>
        <w:t xml:space="preserve">also </w:t>
      </w:r>
      <w:r w:rsidR="00864D06" w:rsidRPr="00E50F9D">
        <w:rPr>
          <w:rFonts w:ascii="Times New Roman" w:hAnsi="Times New Roman" w:cs="Times New Roman"/>
          <w:sz w:val="24"/>
          <w:szCs w:val="24"/>
          <w:lang w:val="en-GB"/>
        </w:rPr>
        <w:t>suffer from diversification</w:t>
      </w:r>
      <w:r w:rsidR="00D57A8F" w:rsidRPr="00E50F9D">
        <w:rPr>
          <w:rFonts w:ascii="Times New Roman" w:hAnsi="Times New Roman" w:cs="Times New Roman"/>
          <w:sz w:val="24"/>
          <w:szCs w:val="24"/>
          <w:lang w:val="en-GB"/>
        </w:rPr>
        <w:t xml:space="preserve">. This is plausible since agency costs are </w:t>
      </w:r>
      <w:r w:rsidR="00952BAF" w:rsidRPr="00E50F9D">
        <w:rPr>
          <w:rFonts w:ascii="Times New Roman" w:hAnsi="Times New Roman" w:cs="Times New Roman"/>
          <w:sz w:val="24"/>
          <w:szCs w:val="24"/>
          <w:lang w:val="en-GB"/>
        </w:rPr>
        <w:t>higher</w:t>
      </w:r>
      <w:r w:rsidR="00D57A8F" w:rsidRPr="00E50F9D">
        <w:rPr>
          <w:rFonts w:ascii="Times New Roman" w:hAnsi="Times New Roman" w:cs="Times New Roman"/>
          <w:sz w:val="24"/>
          <w:szCs w:val="24"/>
          <w:lang w:val="en-GB"/>
        </w:rPr>
        <w:t xml:space="preserve"> as the size of branches and the comp</w:t>
      </w:r>
      <w:r w:rsidR="00EE7640" w:rsidRPr="00E50F9D">
        <w:rPr>
          <w:rFonts w:ascii="Times New Roman" w:hAnsi="Times New Roman" w:cs="Times New Roman"/>
          <w:sz w:val="24"/>
          <w:szCs w:val="24"/>
          <w:lang w:val="en-GB"/>
        </w:rPr>
        <w:t>l</w:t>
      </w:r>
      <w:r w:rsidR="00D57A8F" w:rsidRPr="00E50F9D">
        <w:rPr>
          <w:rFonts w:ascii="Times New Roman" w:hAnsi="Times New Roman" w:cs="Times New Roman"/>
          <w:sz w:val="24"/>
          <w:szCs w:val="24"/>
          <w:lang w:val="en-GB"/>
        </w:rPr>
        <w:t xml:space="preserve">exity of the </w:t>
      </w:r>
      <w:r w:rsidR="006934E9" w:rsidRPr="00E50F9D">
        <w:rPr>
          <w:rFonts w:ascii="Times New Roman" w:hAnsi="Times New Roman" w:cs="Times New Roman"/>
          <w:sz w:val="24"/>
          <w:szCs w:val="24"/>
          <w:lang w:val="en-GB"/>
        </w:rPr>
        <w:t>organization increase</w:t>
      </w:r>
      <w:r w:rsidR="00910971" w:rsidRPr="00E50F9D">
        <w:rPr>
          <w:rFonts w:ascii="Times New Roman" w:hAnsi="Times New Roman" w:cs="Times New Roman"/>
          <w:sz w:val="24"/>
          <w:szCs w:val="24"/>
          <w:lang w:val="en-GB"/>
        </w:rPr>
        <w:t>.</w:t>
      </w:r>
      <w:r w:rsidR="006934E9" w:rsidRPr="00E50F9D">
        <w:rPr>
          <w:rFonts w:ascii="Times New Roman" w:hAnsi="Times New Roman" w:cs="Times New Roman"/>
          <w:sz w:val="24"/>
          <w:szCs w:val="24"/>
          <w:lang w:val="en-GB"/>
        </w:rPr>
        <w:t xml:space="preserve"> </w:t>
      </w:r>
    </w:p>
    <w:p w14:paraId="2489BE8F" w14:textId="1FB0C329" w:rsidR="00537D34" w:rsidRPr="00E50F9D" w:rsidRDefault="00577DAB" w:rsidP="00864D06">
      <w:pPr>
        <w:autoSpaceDE w:val="0"/>
        <w:autoSpaceDN w:val="0"/>
        <w:adjustRightInd w:val="0"/>
        <w:spacing w:after="0" w:line="480" w:lineRule="auto"/>
        <w:ind w:firstLine="567"/>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The market coverage, MC, is also significantly and negatively related to performance</w:t>
      </w:r>
      <w:r w:rsidR="00EE7640" w:rsidRPr="00E50F9D">
        <w:rPr>
          <w:rFonts w:ascii="Times New Roman" w:hAnsi="Times New Roman" w:cs="Times New Roman"/>
          <w:sz w:val="24"/>
          <w:szCs w:val="24"/>
          <w:lang w:val="en-GB"/>
        </w:rPr>
        <w:t xml:space="preserve"> </w:t>
      </w:r>
      <w:r w:rsidR="006934E9" w:rsidRPr="00E50F9D">
        <w:rPr>
          <w:rFonts w:ascii="Times New Roman" w:hAnsi="Times New Roman" w:cs="Times New Roman"/>
          <w:sz w:val="24"/>
          <w:szCs w:val="24"/>
          <w:lang w:val="en-GB"/>
        </w:rPr>
        <w:t>in the case of banks with large branches</w:t>
      </w:r>
      <w:r w:rsidR="00EE7640"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These results suggest that high number</w:t>
      </w:r>
      <w:r w:rsidR="00CB1267" w:rsidRPr="00E50F9D">
        <w:rPr>
          <w:rFonts w:ascii="Times New Roman" w:hAnsi="Times New Roman" w:cs="Times New Roman"/>
          <w:sz w:val="24"/>
          <w:szCs w:val="24"/>
          <w:lang w:val="en-GB"/>
        </w:rPr>
        <w:t>s</w:t>
      </w:r>
      <w:r w:rsidRPr="00E50F9D">
        <w:rPr>
          <w:rFonts w:ascii="Times New Roman" w:hAnsi="Times New Roman" w:cs="Times New Roman"/>
          <w:sz w:val="24"/>
          <w:szCs w:val="24"/>
          <w:lang w:val="en-GB"/>
        </w:rPr>
        <w:t xml:space="preserve"> of branches located in the same province, and </w:t>
      </w:r>
      <w:r w:rsidR="00A829BF" w:rsidRPr="00E50F9D">
        <w:rPr>
          <w:rFonts w:ascii="Times New Roman" w:hAnsi="Times New Roman" w:cs="Times New Roman"/>
          <w:sz w:val="24"/>
          <w:szCs w:val="24"/>
          <w:lang w:val="en-GB"/>
        </w:rPr>
        <w:t>therefore</w:t>
      </w:r>
      <w:r w:rsidRPr="00E50F9D">
        <w:rPr>
          <w:rFonts w:ascii="Times New Roman" w:hAnsi="Times New Roman" w:cs="Times New Roman"/>
          <w:sz w:val="24"/>
          <w:szCs w:val="24"/>
          <w:lang w:val="en-GB"/>
        </w:rPr>
        <w:t xml:space="preserve"> with</w:t>
      </w:r>
      <w:r w:rsidR="00A829BF" w:rsidRPr="00E50F9D">
        <w:rPr>
          <w:rFonts w:ascii="Times New Roman" w:hAnsi="Times New Roman" w:cs="Times New Roman"/>
          <w:sz w:val="24"/>
          <w:szCs w:val="24"/>
          <w:lang w:val="en-GB"/>
        </w:rPr>
        <w:t xml:space="preserve"> a</w:t>
      </w:r>
      <w:r w:rsidRPr="00E50F9D">
        <w:rPr>
          <w:rFonts w:ascii="Times New Roman" w:hAnsi="Times New Roman" w:cs="Times New Roman"/>
          <w:sz w:val="24"/>
          <w:szCs w:val="24"/>
          <w:lang w:val="en-GB"/>
        </w:rPr>
        <w:t xml:space="preserve"> high proximity, generate more costs than competitive benefits. </w:t>
      </w:r>
      <w:r w:rsidR="00545BD9" w:rsidRPr="00E50F9D">
        <w:rPr>
          <w:rFonts w:ascii="Times New Roman" w:hAnsi="Times New Roman" w:cs="Times New Roman"/>
          <w:sz w:val="24"/>
          <w:szCs w:val="24"/>
          <w:lang w:val="en-GB"/>
        </w:rPr>
        <w:t>In accordance with Chiappori et al. (</w:t>
      </w:r>
      <w:r w:rsidR="00D1529B" w:rsidRPr="00E50F9D">
        <w:rPr>
          <w:rFonts w:ascii="Times New Roman" w:hAnsi="Times New Roman" w:cs="Times New Roman"/>
          <w:sz w:val="24"/>
          <w:szCs w:val="24"/>
          <w:lang w:val="en-GB"/>
        </w:rPr>
        <w:t>1995</w:t>
      </w:r>
      <w:r w:rsidR="00545BD9" w:rsidRPr="00E50F9D">
        <w:rPr>
          <w:rFonts w:ascii="Times New Roman" w:hAnsi="Times New Roman" w:cs="Times New Roman"/>
          <w:sz w:val="24"/>
          <w:szCs w:val="24"/>
          <w:lang w:val="en-GB"/>
        </w:rPr>
        <w:t xml:space="preserve">), we argue that, for a bank already present in a province, the increase </w:t>
      </w:r>
      <w:r w:rsidR="00A829BF" w:rsidRPr="00E50F9D">
        <w:rPr>
          <w:rFonts w:ascii="Times New Roman" w:hAnsi="Times New Roman" w:cs="Times New Roman"/>
          <w:sz w:val="24"/>
          <w:szCs w:val="24"/>
          <w:lang w:val="en-GB"/>
        </w:rPr>
        <w:t>in the</w:t>
      </w:r>
      <w:r w:rsidR="00545BD9" w:rsidRPr="00E50F9D">
        <w:rPr>
          <w:rFonts w:ascii="Times New Roman" w:hAnsi="Times New Roman" w:cs="Times New Roman"/>
          <w:sz w:val="24"/>
          <w:szCs w:val="24"/>
          <w:lang w:val="en-GB"/>
        </w:rPr>
        <w:t xml:space="preserve"> number of branches in the same province generates negative externalities </w:t>
      </w:r>
      <w:r w:rsidR="00566934" w:rsidRPr="00E50F9D">
        <w:rPr>
          <w:rFonts w:ascii="Times New Roman" w:hAnsi="Times New Roman" w:cs="Times New Roman"/>
          <w:sz w:val="24"/>
          <w:szCs w:val="24"/>
          <w:lang w:val="en-GB"/>
        </w:rPr>
        <w:t xml:space="preserve">for the market share for its </w:t>
      </w:r>
      <w:r w:rsidR="00E51266" w:rsidRPr="00E50F9D">
        <w:rPr>
          <w:rFonts w:ascii="Times New Roman" w:hAnsi="Times New Roman" w:cs="Times New Roman"/>
          <w:sz w:val="24"/>
          <w:szCs w:val="24"/>
          <w:lang w:val="en-GB"/>
        </w:rPr>
        <w:t>other branches. Consequently</w:t>
      </w:r>
      <w:r w:rsidR="00A829BF" w:rsidRPr="00E50F9D">
        <w:rPr>
          <w:rFonts w:ascii="Times New Roman" w:hAnsi="Times New Roman" w:cs="Times New Roman"/>
          <w:sz w:val="24"/>
          <w:szCs w:val="24"/>
          <w:lang w:val="en-GB"/>
        </w:rPr>
        <w:t>,</w:t>
      </w:r>
      <w:r w:rsidR="00E51266" w:rsidRPr="00E50F9D">
        <w:rPr>
          <w:rFonts w:ascii="Times New Roman" w:hAnsi="Times New Roman" w:cs="Times New Roman"/>
          <w:sz w:val="24"/>
          <w:szCs w:val="24"/>
          <w:lang w:val="en-GB"/>
        </w:rPr>
        <w:t xml:space="preserve"> </w:t>
      </w:r>
      <w:r w:rsidR="00566934" w:rsidRPr="00E50F9D">
        <w:rPr>
          <w:rFonts w:ascii="Times New Roman" w:hAnsi="Times New Roman" w:cs="Times New Roman"/>
          <w:sz w:val="24"/>
          <w:szCs w:val="24"/>
          <w:lang w:val="en-GB"/>
        </w:rPr>
        <w:t>bank</w:t>
      </w:r>
      <w:r w:rsidR="00B36CFB" w:rsidRPr="00E50F9D">
        <w:rPr>
          <w:rFonts w:ascii="Times New Roman" w:hAnsi="Times New Roman" w:cs="Times New Roman"/>
          <w:sz w:val="24"/>
          <w:szCs w:val="24"/>
          <w:lang w:val="en-GB"/>
        </w:rPr>
        <w:t xml:space="preserve"> </w:t>
      </w:r>
      <w:r w:rsidR="00E51266" w:rsidRPr="00E50F9D">
        <w:rPr>
          <w:rFonts w:ascii="Times New Roman" w:hAnsi="Times New Roman" w:cs="Times New Roman"/>
          <w:sz w:val="24"/>
          <w:szCs w:val="24"/>
          <w:lang w:val="en-GB"/>
        </w:rPr>
        <w:t xml:space="preserve">performance can </w:t>
      </w:r>
      <w:r w:rsidR="00B36CFB" w:rsidRPr="00E50F9D">
        <w:rPr>
          <w:rFonts w:ascii="Times New Roman" w:hAnsi="Times New Roman" w:cs="Times New Roman"/>
          <w:sz w:val="24"/>
          <w:szCs w:val="24"/>
          <w:lang w:val="en-GB"/>
        </w:rPr>
        <w:t>suffer</w:t>
      </w:r>
      <w:r w:rsidR="00A829BF" w:rsidRPr="00E50F9D">
        <w:rPr>
          <w:rFonts w:ascii="Times New Roman" w:hAnsi="Times New Roman" w:cs="Times New Roman"/>
          <w:sz w:val="24"/>
          <w:szCs w:val="24"/>
          <w:lang w:val="en-GB"/>
        </w:rPr>
        <w:t xml:space="preserve"> as well</w:t>
      </w:r>
      <w:r w:rsidR="00E51266" w:rsidRPr="00E50F9D">
        <w:rPr>
          <w:rFonts w:ascii="Times New Roman" w:hAnsi="Times New Roman" w:cs="Times New Roman"/>
          <w:sz w:val="24"/>
          <w:szCs w:val="24"/>
          <w:lang w:val="en-GB"/>
        </w:rPr>
        <w:t xml:space="preserve">. </w:t>
      </w:r>
    </w:p>
    <w:p w14:paraId="3B871076" w14:textId="7FD852C5" w:rsidR="0042732F" w:rsidRPr="00E50F9D" w:rsidRDefault="0042732F" w:rsidP="0042732F">
      <w:pPr>
        <w:autoSpaceDE w:val="0"/>
        <w:autoSpaceDN w:val="0"/>
        <w:adjustRightInd w:val="0"/>
        <w:spacing w:after="0" w:line="480" w:lineRule="auto"/>
        <w:ind w:firstLine="567"/>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The relationship between several independent variables</w:t>
      </w:r>
      <w:r w:rsidR="0099414A" w:rsidRPr="00E50F9D">
        <w:rPr>
          <w:rFonts w:ascii="Times New Roman" w:hAnsi="Times New Roman" w:cs="Times New Roman"/>
          <w:sz w:val="24"/>
          <w:szCs w:val="24"/>
          <w:lang w:val="en-GB"/>
        </w:rPr>
        <w:t xml:space="preserve"> and the adjusted </w:t>
      </w:r>
      <w:r w:rsidRPr="00E50F9D">
        <w:rPr>
          <w:rFonts w:ascii="Times New Roman" w:hAnsi="Times New Roman" w:cs="Times New Roman"/>
          <w:sz w:val="24"/>
          <w:szCs w:val="24"/>
          <w:lang w:val="en-GB"/>
        </w:rPr>
        <w:t>Lerner Index are economically significant. A one standard deviation increase of weighed distance is associated with a 1.6% (2.3</w:t>
      </w:r>
      <m:oMath>
        <m:r>
          <m:rPr>
            <m:sty m:val="p"/>
          </m:rPr>
          <w:rPr>
            <w:rFonts w:ascii="Cambria Math" w:hAnsi="Cambria Math" w:cs="Times New Roman"/>
            <w:sz w:val="24"/>
            <w:szCs w:val="24"/>
          </w:rPr>
          <m:t>×</m:t>
        </m:r>
      </m:oMath>
      <w:r w:rsidRPr="00E50F9D">
        <w:rPr>
          <w:rFonts w:ascii="Times New Roman" w:hAnsi="Times New Roman" w:cs="Times New Roman"/>
          <w:sz w:val="24"/>
          <w:szCs w:val="24"/>
          <w:lang w:val="en-GB"/>
        </w:rPr>
        <w:t xml:space="preserve">0.007) decrease in </w:t>
      </w:r>
      <w:r w:rsidR="00C74F1D" w:rsidRPr="00E50F9D">
        <w:rPr>
          <w:rFonts w:ascii="Times New Roman" w:hAnsi="Times New Roman" w:cs="Times New Roman"/>
          <w:sz w:val="24"/>
          <w:szCs w:val="24"/>
          <w:lang w:val="en-GB"/>
        </w:rPr>
        <w:t>the a</w:t>
      </w:r>
      <w:r w:rsidRPr="00E50F9D">
        <w:rPr>
          <w:rFonts w:ascii="Times New Roman" w:hAnsi="Times New Roman" w:cs="Times New Roman"/>
          <w:sz w:val="24"/>
          <w:szCs w:val="24"/>
          <w:lang w:val="en-GB"/>
        </w:rPr>
        <w:t xml:space="preserve">djusted Lerner Index. </w:t>
      </w:r>
      <w:r w:rsidR="008519AB" w:rsidRPr="00E50F9D">
        <w:rPr>
          <w:rFonts w:ascii="Times New Roman" w:hAnsi="Times New Roman" w:cs="Times New Roman"/>
          <w:sz w:val="24"/>
          <w:szCs w:val="24"/>
          <w:lang w:val="en-GB"/>
        </w:rPr>
        <w:t>Th</w:t>
      </w:r>
      <w:r w:rsidR="00254CEE" w:rsidRPr="00E50F9D">
        <w:rPr>
          <w:rFonts w:ascii="Times New Roman" w:hAnsi="Times New Roman" w:cs="Times New Roman"/>
          <w:sz w:val="24"/>
          <w:szCs w:val="24"/>
          <w:lang w:val="en-GB"/>
        </w:rPr>
        <w:t>ese</w:t>
      </w:r>
      <w:r w:rsidR="008519AB" w:rsidRPr="00E50F9D">
        <w:rPr>
          <w:rFonts w:ascii="Times New Roman" w:hAnsi="Times New Roman" w:cs="Times New Roman"/>
          <w:sz w:val="24"/>
          <w:szCs w:val="24"/>
          <w:lang w:val="en-GB"/>
        </w:rPr>
        <w:t xml:space="preserve"> result</w:t>
      </w:r>
      <w:r w:rsidR="00254CEE" w:rsidRPr="00E50F9D">
        <w:rPr>
          <w:rFonts w:ascii="Times New Roman" w:hAnsi="Times New Roman" w:cs="Times New Roman"/>
          <w:sz w:val="24"/>
          <w:szCs w:val="24"/>
          <w:lang w:val="en-GB"/>
        </w:rPr>
        <w:t>s</w:t>
      </w:r>
      <w:r w:rsidR="008519AB" w:rsidRPr="00E50F9D">
        <w:rPr>
          <w:rFonts w:ascii="Times New Roman" w:hAnsi="Times New Roman" w:cs="Times New Roman"/>
          <w:sz w:val="24"/>
          <w:szCs w:val="24"/>
          <w:lang w:val="en-GB"/>
        </w:rPr>
        <w:t xml:space="preserve"> </w:t>
      </w:r>
      <w:r w:rsidR="00254CEE" w:rsidRPr="00E50F9D">
        <w:rPr>
          <w:rFonts w:ascii="Times New Roman" w:hAnsi="Times New Roman" w:cs="Times New Roman"/>
          <w:sz w:val="24"/>
          <w:szCs w:val="24"/>
          <w:lang w:val="en-GB"/>
        </w:rPr>
        <w:t>are</w:t>
      </w:r>
      <w:r w:rsidR="008519AB" w:rsidRPr="00E50F9D">
        <w:rPr>
          <w:rFonts w:ascii="Times New Roman" w:hAnsi="Times New Roman" w:cs="Times New Roman"/>
          <w:sz w:val="24"/>
          <w:szCs w:val="24"/>
          <w:lang w:val="en-GB"/>
        </w:rPr>
        <w:t xml:space="preserve"> consistent with those of previous papers on geographical diversification of banks (Berger et al., 2010; Deng and Elesyani, 2008; Dick, 2006). </w:t>
      </w:r>
      <w:r w:rsidRPr="00E50F9D">
        <w:rPr>
          <w:rFonts w:ascii="Times New Roman" w:hAnsi="Times New Roman" w:cs="Times New Roman"/>
          <w:sz w:val="24"/>
          <w:szCs w:val="24"/>
          <w:lang w:val="en-GB"/>
        </w:rPr>
        <w:t xml:space="preserve">In the case of banks with large branches, </w:t>
      </w:r>
      <w:r w:rsidR="00C74F1D" w:rsidRPr="00E50F9D">
        <w:rPr>
          <w:rFonts w:ascii="Times New Roman" w:hAnsi="Times New Roman" w:cs="Times New Roman"/>
          <w:sz w:val="24"/>
          <w:szCs w:val="24"/>
          <w:lang w:val="en-GB"/>
        </w:rPr>
        <w:t>the</w:t>
      </w:r>
      <w:r w:rsidRPr="00E50F9D">
        <w:rPr>
          <w:rFonts w:ascii="Times New Roman" w:hAnsi="Times New Roman" w:cs="Times New Roman"/>
          <w:sz w:val="24"/>
          <w:szCs w:val="24"/>
          <w:lang w:val="en-GB"/>
        </w:rPr>
        <w:t xml:space="preserve"> decrease in</w:t>
      </w:r>
      <w:r w:rsidR="00C74F1D" w:rsidRPr="00E50F9D">
        <w:rPr>
          <w:rFonts w:ascii="Times New Roman" w:hAnsi="Times New Roman" w:cs="Times New Roman"/>
          <w:sz w:val="24"/>
          <w:szCs w:val="24"/>
          <w:lang w:val="en-GB"/>
        </w:rPr>
        <w:t xml:space="preserve"> the</w:t>
      </w:r>
      <w:r w:rsidRPr="00E50F9D">
        <w:rPr>
          <w:rFonts w:ascii="Times New Roman" w:hAnsi="Times New Roman" w:cs="Times New Roman"/>
          <w:sz w:val="24"/>
          <w:szCs w:val="24"/>
          <w:lang w:val="en-GB"/>
        </w:rPr>
        <w:t xml:space="preserve"> </w:t>
      </w:r>
      <w:r w:rsidR="00C74F1D" w:rsidRPr="00E50F9D">
        <w:rPr>
          <w:rFonts w:ascii="Times New Roman" w:hAnsi="Times New Roman" w:cs="Times New Roman"/>
          <w:sz w:val="24"/>
          <w:szCs w:val="24"/>
          <w:lang w:val="en-GB"/>
        </w:rPr>
        <w:t>a</w:t>
      </w:r>
      <w:r w:rsidRPr="00E50F9D">
        <w:rPr>
          <w:rFonts w:ascii="Times New Roman" w:hAnsi="Times New Roman" w:cs="Times New Roman"/>
          <w:sz w:val="24"/>
          <w:szCs w:val="24"/>
          <w:lang w:val="en-GB"/>
        </w:rPr>
        <w:t>djusted Lerner Index is around</w:t>
      </w:r>
      <w:r w:rsidRPr="00E50F9D">
        <w:rPr>
          <w:rFonts w:ascii="Times New Roman" w:hAnsi="Times New Roman" w:cs="Times New Roman"/>
          <w:sz w:val="24"/>
          <w:szCs w:val="24"/>
        </w:rPr>
        <w:t xml:space="preserve"> 2.4%.</w:t>
      </w:r>
      <w:r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rPr>
        <w:t>As concerns the saving</w:t>
      </w:r>
      <w:r w:rsidR="00B36CFB" w:rsidRPr="00E50F9D">
        <w:rPr>
          <w:rFonts w:ascii="Times New Roman" w:hAnsi="Times New Roman" w:cs="Times New Roman"/>
          <w:sz w:val="24"/>
          <w:szCs w:val="24"/>
        </w:rPr>
        <w:t>s</w:t>
      </w:r>
      <w:r w:rsidRPr="00E50F9D">
        <w:rPr>
          <w:rFonts w:ascii="Times New Roman" w:hAnsi="Times New Roman" w:cs="Times New Roman"/>
          <w:sz w:val="24"/>
          <w:szCs w:val="24"/>
        </w:rPr>
        <w:t xml:space="preserve"> and cooperative banks, </w:t>
      </w:r>
      <w:r w:rsidRPr="00E50F9D">
        <w:rPr>
          <w:rFonts w:ascii="Times New Roman" w:hAnsi="Times New Roman" w:cs="Times New Roman"/>
          <w:sz w:val="24"/>
          <w:szCs w:val="24"/>
          <w:lang w:val="en-GB"/>
        </w:rPr>
        <w:t>a one standard deviation increase</w:t>
      </w:r>
      <w:r w:rsidRPr="00E50F9D">
        <w:rPr>
          <w:rFonts w:ascii="Times New Roman" w:hAnsi="Times New Roman" w:cs="Times New Roman"/>
          <w:sz w:val="24"/>
          <w:szCs w:val="24"/>
        </w:rPr>
        <w:t xml:space="preserve"> of geographical diversification can decrease the adjusted Lerner Index </w:t>
      </w:r>
      <w:r w:rsidR="00C74F1D" w:rsidRPr="00E50F9D">
        <w:rPr>
          <w:rFonts w:ascii="Times New Roman" w:hAnsi="Times New Roman" w:cs="Times New Roman"/>
          <w:sz w:val="24"/>
          <w:szCs w:val="24"/>
        </w:rPr>
        <w:t>for a figure of</w:t>
      </w:r>
      <w:r w:rsidRPr="00E50F9D">
        <w:rPr>
          <w:rFonts w:ascii="Times New Roman" w:hAnsi="Times New Roman" w:cs="Times New Roman"/>
          <w:sz w:val="24"/>
          <w:szCs w:val="24"/>
        </w:rPr>
        <w:t xml:space="preserve"> 2%</w:t>
      </w:r>
      <w:r w:rsidR="00224BAF" w:rsidRPr="00E50F9D">
        <w:rPr>
          <w:rFonts w:ascii="Times New Roman" w:hAnsi="Times New Roman" w:cs="Times New Roman"/>
          <w:sz w:val="24"/>
          <w:szCs w:val="24"/>
        </w:rPr>
        <w:t xml:space="preserve"> (-0.0572 </w:t>
      </w:r>
      <m:oMath>
        <m:r>
          <m:rPr>
            <m:sty m:val="p"/>
          </m:rPr>
          <w:rPr>
            <w:rFonts w:ascii="Cambria Math" w:hAnsi="Cambria Math" w:cs="Times New Roman"/>
            <w:sz w:val="24"/>
            <w:szCs w:val="24"/>
          </w:rPr>
          <m:t xml:space="preserve">× </m:t>
        </m:r>
      </m:oMath>
      <w:r w:rsidR="00224BAF" w:rsidRPr="00E50F9D">
        <w:rPr>
          <w:rFonts w:ascii="Times New Roman" w:hAnsi="Times New Roman" w:cs="Times New Roman"/>
          <w:sz w:val="24"/>
          <w:szCs w:val="24"/>
        </w:rPr>
        <w:t>0.3)</w:t>
      </w:r>
      <w:r w:rsidRPr="00E50F9D">
        <w:rPr>
          <w:rFonts w:ascii="Times New Roman" w:hAnsi="Times New Roman" w:cs="Times New Roman"/>
          <w:sz w:val="24"/>
          <w:szCs w:val="24"/>
        </w:rPr>
        <w:t xml:space="preserve">. </w:t>
      </w:r>
    </w:p>
    <w:p w14:paraId="46C00548" w14:textId="56445272" w:rsidR="00286739" w:rsidRPr="00E50F9D" w:rsidRDefault="00B36CFB" w:rsidP="00A42814">
      <w:pPr>
        <w:autoSpaceDE w:val="0"/>
        <w:autoSpaceDN w:val="0"/>
        <w:adjustRightInd w:val="0"/>
        <w:spacing w:after="0" w:line="480" w:lineRule="auto"/>
        <w:ind w:firstLine="567"/>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 xml:space="preserve">The </w:t>
      </w:r>
      <w:r w:rsidR="00EC0312" w:rsidRPr="00E50F9D">
        <w:rPr>
          <w:rFonts w:ascii="Times New Roman" w:hAnsi="Times New Roman" w:cs="Times New Roman"/>
          <w:i/>
          <w:iCs/>
          <w:sz w:val="24"/>
          <w:szCs w:val="24"/>
          <w:lang w:val="en-GB"/>
        </w:rPr>
        <w:t>NPLs</w:t>
      </w:r>
      <w:r w:rsidR="00EC0312"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 xml:space="preserve">variable </w:t>
      </w:r>
      <w:r w:rsidR="00EC0312" w:rsidRPr="00E50F9D">
        <w:rPr>
          <w:rFonts w:ascii="Times New Roman" w:hAnsi="Times New Roman" w:cs="Times New Roman"/>
          <w:sz w:val="24"/>
          <w:szCs w:val="24"/>
          <w:lang w:val="en-GB"/>
        </w:rPr>
        <w:t xml:space="preserve">is negatively and significantly related to performance. As we explained in the methodological section, </w:t>
      </w:r>
      <w:r w:rsidR="00EC0312" w:rsidRPr="00E50F9D">
        <w:rPr>
          <w:rFonts w:ascii="Times New Roman" w:hAnsi="Times New Roman" w:cs="Times New Roman"/>
          <w:i/>
          <w:iCs/>
          <w:sz w:val="24"/>
          <w:szCs w:val="24"/>
          <w:lang w:val="en-GB"/>
        </w:rPr>
        <w:t>NPLs</w:t>
      </w:r>
      <w:r w:rsidR="00EC0312" w:rsidRPr="00E50F9D">
        <w:rPr>
          <w:rFonts w:ascii="Times New Roman" w:hAnsi="Times New Roman" w:cs="Times New Roman"/>
          <w:sz w:val="24"/>
          <w:szCs w:val="24"/>
          <w:lang w:val="en-GB"/>
        </w:rPr>
        <w:t xml:space="preserve"> is a proxy of the risk management quality. This suggest</w:t>
      </w:r>
      <w:r w:rsidR="00176EB0" w:rsidRPr="00E50F9D">
        <w:rPr>
          <w:rFonts w:ascii="Times New Roman" w:hAnsi="Times New Roman" w:cs="Times New Roman"/>
          <w:sz w:val="24"/>
          <w:szCs w:val="24"/>
          <w:lang w:val="en-GB"/>
        </w:rPr>
        <w:t>s</w:t>
      </w:r>
      <w:r w:rsidR="00EC0312" w:rsidRPr="00E50F9D">
        <w:rPr>
          <w:rFonts w:ascii="Times New Roman" w:hAnsi="Times New Roman" w:cs="Times New Roman"/>
          <w:sz w:val="24"/>
          <w:szCs w:val="24"/>
          <w:lang w:val="en-GB"/>
        </w:rPr>
        <w:t xml:space="preserve"> that an excessive risk-taking stra</w:t>
      </w:r>
      <w:r w:rsidR="00176EB0" w:rsidRPr="00E50F9D">
        <w:rPr>
          <w:rFonts w:ascii="Times New Roman" w:hAnsi="Times New Roman" w:cs="Times New Roman"/>
          <w:sz w:val="24"/>
          <w:szCs w:val="24"/>
          <w:lang w:val="en-GB"/>
        </w:rPr>
        <w:t xml:space="preserve">tegy together with </w:t>
      </w:r>
      <w:r w:rsidR="00EC0312" w:rsidRPr="00E50F9D">
        <w:rPr>
          <w:rFonts w:ascii="Times New Roman" w:hAnsi="Times New Roman" w:cs="Times New Roman"/>
          <w:sz w:val="24"/>
          <w:szCs w:val="24"/>
          <w:lang w:val="en-GB"/>
        </w:rPr>
        <w:t>‘‘bad management” can harm the performance of a bank.</w:t>
      </w:r>
      <w:r w:rsidR="00537D34" w:rsidRPr="00E50F9D">
        <w:rPr>
          <w:rFonts w:ascii="Times New Roman" w:hAnsi="Times New Roman" w:cs="Times New Roman"/>
          <w:sz w:val="24"/>
          <w:szCs w:val="24"/>
          <w:lang w:val="en-GB"/>
        </w:rPr>
        <w:t xml:space="preserve"> From an economic viewpoint, this means that</w:t>
      </w:r>
      <w:r w:rsidRPr="00E50F9D">
        <w:rPr>
          <w:rFonts w:ascii="Times New Roman" w:hAnsi="Times New Roman" w:cs="Times New Roman"/>
          <w:sz w:val="24"/>
          <w:szCs w:val="24"/>
          <w:lang w:val="en-GB"/>
        </w:rPr>
        <w:t xml:space="preserve"> </w:t>
      </w:r>
      <w:r w:rsidR="00537D34" w:rsidRPr="00E50F9D">
        <w:rPr>
          <w:rFonts w:ascii="Times New Roman" w:hAnsi="Times New Roman" w:cs="Times New Roman"/>
          <w:sz w:val="24"/>
          <w:szCs w:val="24"/>
          <w:lang w:val="en-GB"/>
        </w:rPr>
        <w:t xml:space="preserve">a </w:t>
      </w:r>
      <w:r w:rsidR="007F7167" w:rsidRPr="00E50F9D">
        <w:rPr>
          <w:rFonts w:ascii="Times New Roman" w:hAnsi="Times New Roman" w:cs="Times New Roman"/>
          <w:sz w:val="24"/>
          <w:szCs w:val="24"/>
          <w:lang w:val="en-GB"/>
        </w:rPr>
        <w:t>one standard deviation increase</w:t>
      </w:r>
      <w:r w:rsidR="007F7167" w:rsidRPr="00E50F9D">
        <w:rPr>
          <w:rFonts w:ascii="Times New Roman" w:hAnsi="Times New Roman" w:cs="Times New Roman"/>
          <w:sz w:val="24"/>
          <w:szCs w:val="24"/>
        </w:rPr>
        <w:t xml:space="preserve"> of </w:t>
      </w:r>
      <w:r w:rsidR="00464A92" w:rsidRPr="00E50F9D">
        <w:rPr>
          <w:rFonts w:ascii="Times New Roman" w:hAnsi="Times New Roman" w:cs="Times New Roman"/>
          <w:i/>
          <w:iCs/>
          <w:sz w:val="24"/>
          <w:szCs w:val="24"/>
          <w:lang w:val="en-GB"/>
        </w:rPr>
        <w:t>NPLs</w:t>
      </w:r>
      <w:r w:rsidR="007F7167" w:rsidRPr="00E50F9D">
        <w:rPr>
          <w:rFonts w:ascii="Times New Roman" w:hAnsi="Times New Roman" w:cs="Times New Roman"/>
          <w:sz w:val="24"/>
          <w:szCs w:val="24"/>
        </w:rPr>
        <w:t xml:space="preserve"> can decrease the ROA of </w:t>
      </w:r>
      <w:r w:rsidR="009353F8" w:rsidRPr="00E50F9D">
        <w:rPr>
          <w:rFonts w:ascii="Times New Roman" w:hAnsi="Times New Roman" w:cs="Times New Roman"/>
          <w:sz w:val="24"/>
          <w:szCs w:val="24"/>
        </w:rPr>
        <w:t>0.1</w:t>
      </w:r>
      <w:r w:rsidR="007F7167" w:rsidRPr="00E50F9D">
        <w:rPr>
          <w:rFonts w:ascii="Times New Roman" w:hAnsi="Times New Roman" w:cs="Times New Roman"/>
          <w:sz w:val="24"/>
          <w:szCs w:val="24"/>
        </w:rPr>
        <w:t>2%</w:t>
      </w:r>
      <w:r w:rsidR="00F75E5F" w:rsidRPr="00E50F9D">
        <w:rPr>
          <w:rFonts w:ascii="Times New Roman" w:hAnsi="Times New Roman" w:cs="Times New Roman"/>
          <w:sz w:val="24"/>
          <w:szCs w:val="24"/>
        </w:rPr>
        <w:t xml:space="preserve"> (-0.04 </w:t>
      </w:r>
      <m:oMath>
        <m:r>
          <m:rPr>
            <m:sty m:val="p"/>
          </m:rPr>
          <w:rPr>
            <w:rFonts w:ascii="Cambria Math" w:hAnsi="Cambria Math" w:cs="Times New Roman"/>
            <w:sz w:val="24"/>
            <w:szCs w:val="24"/>
          </w:rPr>
          <m:t xml:space="preserve">× </m:t>
        </m:r>
      </m:oMath>
      <w:r w:rsidR="00F75E5F" w:rsidRPr="00E50F9D">
        <w:rPr>
          <w:rFonts w:ascii="Times New Roman" w:hAnsi="Times New Roman" w:cs="Times New Roman"/>
          <w:sz w:val="24"/>
          <w:szCs w:val="24"/>
        </w:rPr>
        <w:t>0.03)</w:t>
      </w:r>
      <w:r w:rsidR="0042732F" w:rsidRPr="00E50F9D">
        <w:rPr>
          <w:rFonts w:ascii="Times New Roman" w:hAnsi="Times New Roman" w:cs="Times New Roman"/>
          <w:sz w:val="24"/>
          <w:szCs w:val="24"/>
          <w:lang w:val="en-GB"/>
        </w:rPr>
        <w:t xml:space="preserve">. </w:t>
      </w:r>
    </w:p>
    <w:p w14:paraId="4F976902" w14:textId="77777777" w:rsidR="000D06D4" w:rsidRPr="00E50F9D" w:rsidRDefault="000D06D4" w:rsidP="001E21FD">
      <w:pPr>
        <w:spacing w:after="0" w:line="480" w:lineRule="auto"/>
        <w:jc w:val="center"/>
        <w:rPr>
          <w:rFonts w:ascii="Times New Roman" w:hAnsi="Times New Roman" w:cs="Times New Roman"/>
          <w:sz w:val="24"/>
          <w:szCs w:val="24"/>
          <w:lang w:val="en-GB"/>
        </w:rPr>
      </w:pPr>
      <w:r w:rsidRPr="00E50F9D">
        <w:rPr>
          <w:rFonts w:ascii="Times New Roman" w:hAnsi="Times New Roman" w:cs="Times New Roman"/>
          <w:sz w:val="24"/>
          <w:szCs w:val="24"/>
          <w:lang w:val="en-GB"/>
        </w:rPr>
        <w:t>&lt;Insert Table 4 about here&gt;</w:t>
      </w:r>
    </w:p>
    <w:p w14:paraId="637D3C26" w14:textId="0C8E1CE4" w:rsidR="009F5C34" w:rsidRPr="00E50F9D" w:rsidRDefault="000C1368" w:rsidP="00353B3A">
      <w:pPr>
        <w:autoSpaceDE w:val="0"/>
        <w:autoSpaceDN w:val="0"/>
        <w:adjustRightInd w:val="0"/>
        <w:spacing w:after="0" w:line="480" w:lineRule="auto"/>
        <w:ind w:firstLine="708"/>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Table 4 shows the results relative to the impact of geographical strategies and local market characteristics on both changes in the amount of loans and monopoly market p</w:t>
      </w:r>
      <w:r w:rsidR="00F37CD3" w:rsidRPr="00E50F9D">
        <w:rPr>
          <w:rFonts w:ascii="Times New Roman" w:hAnsi="Times New Roman" w:cs="Times New Roman"/>
          <w:sz w:val="24"/>
          <w:szCs w:val="24"/>
          <w:lang w:val="en-GB"/>
        </w:rPr>
        <w:t xml:space="preserve">ower in the loan market. </w:t>
      </w:r>
      <w:r w:rsidR="00A56413" w:rsidRPr="00E50F9D">
        <w:rPr>
          <w:rFonts w:ascii="Times New Roman" w:hAnsi="Times New Roman" w:cs="Times New Roman"/>
          <w:sz w:val="24"/>
          <w:szCs w:val="24"/>
          <w:lang w:val="en-GB"/>
        </w:rPr>
        <w:t xml:space="preserve">We find that </w:t>
      </w:r>
      <w:r w:rsidRPr="00E50F9D">
        <w:rPr>
          <w:rFonts w:ascii="Times New Roman" w:hAnsi="Times New Roman" w:cs="Times New Roman"/>
          <w:sz w:val="24"/>
          <w:szCs w:val="24"/>
          <w:lang w:val="en-GB"/>
        </w:rPr>
        <w:t>geographical strategies do not impact significantly on the monopoly market power in the loan market.</w:t>
      </w:r>
      <w:r w:rsidR="003832DB" w:rsidRPr="00E50F9D">
        <w:rPr>
          <w:rFonts w:ascii="Times New Roman" w:hAnsi="Times New Roman" w:cs="Times New Roman"/>
          <w:sz w:val="24"/>
          <w:szCs w:val="24"/>
          <w:lang w:val="en-GB"/>
        </w:rPr>
        <w:t xml:space="preserve"> </w:t>
      </w:r>
      <w:r w:rsidR="00353B3A" w:rsidRPr="00E50F9D">
        <w:rPr>
          <w:rFonts w:ascii="Times New Roman" w:hAnsi="Times New Roman" w:cs="Times New Roman"/>
          <w:sz w:val="24"/>
          <w:szCs w:val="24"/>
          <w:lang w:val="en-GB"/>
        </w:rPr>
        <w:t xml:space="preserve">Therefore, we do not find support </w:t>
      </w:r>
      <w:r w:rsidR="00952BAF" w:rsidRPr="00E50F9D">
        <w:rPr>
          <w:rFonts w:ascii="Times New Roman" w:hAnsi="Times New Roman" w:cs="Times New Roman"/>
          <w:sz w:val="24"/>
          <w:szCs w:val="24"/>
          <w:lang w:val="en-GB"/>
        </w:rPr>
        <w:t>for</w:t>
      </w:r>
      <w:r w:rsidR="00353B3A" w:rsidRPr="00E50F9D">
        <w:rPr>
          <w:rFonts w:ascii="Times New Roman" w:hAnsi="Times New Roman" w:cs="Times New Roman"/>
          <w:sz w:val="24"/>
          <w:szCs w:val="24"/>
          <w:lang w:val="en-GB"/>
        </w:rPr>
        <w:t xml:space="preserve"> our H2.a. </w:t>
      </w:r>
      <w:r w:rsidR="003832DB" w:rsidRPr="00E50F9D">
        <w:rPr>
          <w:rFonts w:ascii="Times New Roman" w:hAnsi="Times New Roman" w:cs="Times New Roman"/>
          <w:sz w:val="24"/>
          <w:szCs w:val="24"/>
          <w:lang w:val="en-GB"/>
        </w:rPr>
        <w:t>As suggested by Park and Pennacchi (2009), multi-market banks tend to promote competition in the loan market</w:t>
      </w:r>
      <w:r w:rsidR="00D82CE8" w:rsidRPr="00E50F9D">
        <w:rPr>
          <w:rFonts w:ascii="Times New Roman" w:hAnsi="Times New Roman" w:cs="Times New Roman"/>
          <w:sz w:val="24"/>
          <w:szCs w:val="24"/>
          <w:lang w:val="en-GB"/>
        </w:rPr>
        <w:t xml:space="preserve"> by</w:t>
      </w:r>
      <w:r w:rsidR="003832DB" w:rsidRPr="00E50F9D">
        <w:rPr>
          <w:rFonts w:ascii="Times New Roman" w:hAnsi="Times New Roman" w:cs="Times New Roman"/>
          <w:sz w:val="24"/>
          <w:szCs w:val="24"/>
          <w:lang w:val="en-GB"/>
        </w:rPr>
        <w:t xml:space="preserve"> fixing lower interest rates on loans</w:t>
      </w:r>
      <w:r w:rsidR="00A56413" w:rsidRPr="00E50F9D">
        <w:rPr>
          <w:rFonts w:ascii="Times New Roman" w:hAnsi="Times New Roman" w:cs="Times New Roman"/>
          <w:sz w:val="24"/>
          <w:szCs w:val="24"/>
          <w:lang w:val="en-GB"/>
        </w:rPr>
        <w:t xml:space="preserve">. As a counter effect, </w:t>
      </w:r>
      <w:r w:rsidR="00A42814" w:rsidRPr="00E50F9D">
        <w:rPr>
          <w:rFonts w:ascii="Times New Roman" w:hAnsi="Times New Roman" w:cs="Times New Roman"/>
          <w:sz w:val="24"/>
          <w:szCs w:val="24"/>
          <w:lang w:val="en-GB"/>
        </w:rPr>
        <w:t xml:space="preserve">banks that become highly geographically diversified </w:t>
      </w:r>
      <w:r w:rsidR="00A56413" w:rsidRPr="00E50F9D">
        <w:rPr>
          <w:rFonts w:ascii="Times New Roman" w:hAnsi="Times New Roman" w:cs="Times New Roman"/>
          <w:sz w:val="24"/>
          <w:szCs w:val="24"/>
          <w:lang w:val="en-GB"/>
        </w:rPr>
        <w:t xml:space="preserve">share more markets with the competitors. An increase of </w:t>
      </w:r>
      <w:r w:rsidRPr="00E50F9D">
        <w:rPr>
          <w:rFonts w:ascii="Times New Roman" w:hAnsi="Times New Roman" w:cs="Times New Roman"/>
          <w:sz w:val="24"/>
          <w:szCs w:val="24"/>
          <w:lang w:val="en-GB"/>
        </w:rPr>
        <w:t xml:space="preserve">multi-market contacts </w:t>
      </w:r>
      <w:r w:rsidR="00A56413" w:rsidRPr="00E50F9D">
        <w:rPr>
          <w:rFonts w:ascii="Times New Roman" w:hAnsi="Times New Roman" w:cs="Times New Roman"/>
          <w:sz w:val="24"/>
          <w:szCs w:val="24"/>
          <w:lang w:val="en-GB"/>
        </w:rPr>
        <w:t>between</w:t>
      </w:r>
      <w:r w:rsidRPr="00E50F9D">
        <w:rPr>
          <w:rFonts w:ascii="Times New Roman" w:hAnsi="Times New Roman" w:cs="Times New Roman"/>
          <w:sz w:val="24"/>
          <w:szCs w:val="24"/>
          <w:lang w:val="en-GB"/>
        </w:rPr>
        <w:t xml:space="preserve"> large institutions</w:t>
      </w:r>
      <w:r w:rsidR="00A56413" w:rsidRPr="00E50F9D">
        <w:rPr>
          <w:rFonts w:ascii="Times New Roman" w:hAnsi="Times New Roman" w:cs="Times New Roman"/>
          <w:sz w:val="24"/>
          <w:szCs w:val="24"/>
          <w:lang w:val="en-GB"/>
        </w:rPr>
        <w:t xml:space="preserve"> can </w:t>
      </w:r>
      <w:r w:rsidR="00C51CE7" w:rsidRPr="00E50F9D">
        <w:rPr>
          <w:rFonts w:ascii="Times New Roman" w:hAnsi="Times New Roman" w:cs="Times New Roman"/>
          <w:sz w:val="24"/>
          <w:szCs w:val="24"/>
          <w:lang w:val="en-GB"/>
        </w:rPr>
        <w:t xml:space="preserve">offer them </w:t>
      </w:r>
      <w:r w:rsidR="00A56413" w:rsidRPr="00E50F9D">
        <w:rPr>
          <w:rFonts w:ascii="Times New Roman" w:hAnsi="Times New Roman" w:cs="Times New Roman"/>
          <w:sz w:val="24"/>
          <w:szCs w:val="24"/>
          <w:lang w:val="en-GB"/>
        </w:rPr>
        <w:t>incentives for anti-competitive behaviour. In this contex</w:t>
      </w:r>
      <w:r w:rsidR="00A42814" w:rsidRPr="00E50F9D">
        <w:rPr>
          <w:rFonts w:ascii="Times New Roman" w:hAnsi="Times New Roman" w:cs="Times New Roman"/>
          <w:sz w:val="24"/>
          <w:szCs w:val="24"/>
          <w:lang w:val="en-GB"/>
        </w:rPr>
        <w:t>t</w:t>
      </w:r>
      <w:r w:rsidR="00A56413" w:rsidRPr="00E50F9D">
        <w:rPr>
          <w:rFonts w:ascii="Times New Roman" w:hAnsi="Times New Roman" w:cs="Times New Roman"/>
          <w:sz w:val="24"/>
          <w:szCs w:val="24"/>
          <w:lang w:val="en-GB"/>
        </w:rPr>
        <w:t>, banks</w:t>
      </w:r>
      <w:r w:rsidRPr="00E50F9D">
        <w:rPr>
          <w:rFonts w:ascii="Times New Roman" w:hAnsi="Times New Roman" w:cs="Times New Roman"/>
          <w:sz w:val="24"/>
          <w:szCs w:val="24"/>
          <w:lang w:val="en-GB"/>
        </w:rPr>
        <w:t xml:space="preserve"> </w:t>
      </w:r>
      <w:r w:rsidR="00A42814" w:rsidRPr="00E50F9D">
        <w:rPr>
          <w:rFonts w:ascii="Times New Roman" w:hAnsi="Times New Roman" w:cs="Times New Roman"/>
          <w:sz w:val="24"/>
          <w:szCs w:val="24"/>
          <w:lang w:val="en-GB"/>
        </w:rPr>
        <w:t xml:space="preserve">tend to </w:t>
      </w:r>
      <w:r w:rsidR="00A56413" w:rsidRPr="00E50F9D">
        <w:rPr>
          <w:rFonts w:ascii="Times New Roman" w:hAnsi="Times New Roman" w:cs="Times New Roman"/>
          <w:sz w:val="24"/>
          <w:szCs w:val="24"/>
          <w:lang w:val="en-GB"/>
        </w:rPr>
        <w:t>not compete with each other and fix</w:t>
      </w:r>
      <w:r w:rsidR="00C74F1D" w:rsidRPr="00E50F9D">
        <w:rPr>
          <w:rFonts w:ascii="Times New Roman" w:hAnsi="Times New Roman" w:cs="Times New Roman"/>
          <w:sz w:val="24"/>
          <w:szCs w:val="24"/>
          <w:lang w:val="en-GB"/>
        </w:rPr>
        <w:t xml:space="preserve"> a</w:t>
      </w:r>
      <w:r w:rsidRPr="00E50F9D">
        <w:rPr>
          <w:rFonts w:ascii="Times New Roman" w:hAnsi="Times New Roman" w:cs="Times New Roman"/>
          <w:sz w:val="24"/>
          <w:szCs w:val="24"/>
          <w:lang w:val="en-GB"/>
        </w:rPr>
        <w:t xml:space="preserve"> </w:t>
      </w:r>
      <w:r w:rsidR="00A56413" w:rsidRPr="00E50F9D">
        <w:rPr>
          <w:rFonts w:ascii="Times New Roman" w:hAnsi="Times New Roman" w:cs="Times New Roman"/>
          <w:sz w:val="24"/>
          <w:szCs w:val="24"/>
          <w:lang w:val="en-GB"/>
        </w:rPr>
        <w:t>high</w:t>
      </w:r>
      <w:r w:rsidR="00C74F1D" w:rsidRPr="00E50F9D">
        <w:rPr>
          <w:rFonts w:ascii="Times New Roman" w:hAnsi="Times New Roman" w:cs="Times New Roman"/>
          <w:sz w:val="24"/>
          <w:szCs w:val="24"/>
          <w:lang w:val="en-GB"/>
        </w:rPr>
        <w:t>-</w:t>
      </w:r>
      <w:r w:rsidR="00A56413" w:rsidRPr="00E50F9D">
        <w:rPr>
          <w:rFonts w:ascii="Times New Roman" w:hAnsi="Times New Roman" w:cs="Times New Roman"/>
          <w:sz w:val="24"/>
          <w:szCs w:val="24"/>
          <w:lang w:val="en-GB"/>
        </w:rPr>
        <w:t xml:space="preserve">interest rate on loans. </w:t>
      </w:r>
      <w:r w:rsidRPr="00E50F9D">
        <w:rPr>
          <w:rFonts w:ascii="Times New Roman" w:hAnsi="Times New Roman" w:cs="Times New Roman"/>
          <w:sz w:val="24"/>
          <w:szCs w:val="24"/>
          <w:lang w:val="en-GB"/>
        </w:rPr>
        <w:t xml:space="preserve">In our </w:t>
      </w:r>
      <w:r w:rsidR="00123DAE" w:rsidRPr="00E50F9D">
        <w:rPr>
          <w:rFonts w:ascii="Times New Roman" w:hAnsi="Times New Roman" w:cs="Times New Roman"/>
          <w:sz w:val="24"/>
          <w:szCs w:val="24"/>
          <w:lang w:val="en-GB"/>
        </w:rPr>
        <w:t>dataset</w:t>
      </w:r>
      <w:r w:rsidRPr="00E50F9D">
        <w:rPr>
          <w:rFonts w:ascii="Times New Roman" w:hAnsi="Times New Roman" w:cs="Times New Roman"/>
          <w:sz w:val="24"/>
          <w:szCs w:val="24"/>
          <w:lang w:val="en-GB"/>
        </w:rPr>
        <w:t xml:space="preserve">, these contrasting </w:t>
      </w:r>
      <w:r w:rsidR="00C51CE7" w:rsidRPr="00E50F9D">
        <w:rPr>
          <w:rFonts w:ascii="Times New Roman" w:hAnsi="Times New Roman" w:cs="Times New Roman"/>
          <w:sz w:val="24"/>
          <w:szCs w:val="24"/>
          <w:lang w:val="en-GB"/>
        </w:rPr>
        <w:t>phenomen</w:t>
      </w:r>
      <w:r w:rsidR="00C74F1D" w:rsidRPr="00E50F9D">
        <w:rPr>
          <w:rFonts w:ascii="Times New Roman" w:hAnsi="Times New Roman" w:cs="Times New Roman"/>
          <w:sz w:val="24"/>
          <w:szCs w:val="24"/>
          <w:lang w:val="en-GB"/>
        </w:rPr>
        <w:t>a</w:t>
      </w:r>
      <w:r w:rsidRPr="00E50F9D">
        <w:rPr>
          <w:rFonts w:ascii="Times New Roman" w:hAnsi="Times New Roman" w:cs="Times New Roman"/>
          <w:sz w:val="24"/>
          <w:szCs w:val="24"/>
          <w:lang w:val="en-GB"/>
        </w:rPr>
        <w:t xml:space="preserve"> can detect the impact of geographical strategies on monopoly market power of a bank. </w:t>
      </w:r>
      <w:r w:rsidR="00353B3A" w:rsidRPr="00E50F9D">
        <w:rPr>
          <w:rFonts w:ascii="Times New Roman" w:hAnsi="Times New Roman" w:cs="Times New Roman"/>
          <w:sz w:val="24"/>
          <w:szCs w:val="24"/>
          <w:lang w:val="en-GB"/>
        </w:rPr>
        <w:t xml:space="preserve">As predicted by H2.c, </w:t>
      </w:r>
      <w:r w:rsidR="009F5C34" w:rsidRPr="00E50F9D">
        <w:rPr>
          <w:rFonts w:ascii="Times New Roman" w:hAnsi="Times New Roman" w:cs="Times New Roman"/>
          <w:sz w:val="24"/>
          <w:szCs w:val="24"/>
          <w:lang w:val="en-GB"/>
        </w:rPr>
        <w:t xml:space="preserve">we find that the </w:t>
      </w:r>
      <w:r w:rsidR="009F5C34" w:rsidRPr="00E50F9D">
        <w:rPr>
          <w:rFonts w:asciiTheme="majorBidi" w:hAnsiTheme="majorBidi" w:cstheme="majorBidi"/>
          <w:color w:val="000000"/>
          <w:sz w:val="24"/>
          <w:szCs w:val="24"/>
          <w:shd w:val="clear" w:color="auto" w:fill="FFFFFF"/>
          <w:lang w:val="en-GB"/>
        </w:rPr>
        <w:t xml:space="preserve">distance between a bank’s headquarters and its branches can reduce the growth of loans. </w:t>
      </w:r>
      <w:r w:rsidR="009F5C34" w:rsidRPr="00E50F9D">
        <w:rPr>
          <w:rFonts w:ascii="Times New Roman" w:hAnsi="Times New Roman" w:cs="Times New Roman"/>
          <w:sz w:val="24"/>
          <w:szCs w:val="24"/>
          <w:lang w:val="en-GB"/>
        </w:rPr>
        <w:t xml:space="preserve">From an economic perspective, our results indicate that a one standard deviation increase of DISTANCE is associated with a 1.4 % (-0.006×2.3) decrease in growth of </w:t>
      </w:r>
      <w:r w:rsidR="007533F0" w:rsidRPr="00E50F9D">
        <w:rPr>
          <w:rFonts w:ascii="Times New Roman" w:hAnsi="Times New Roman" w:cs="Times New Roman"/>
          <w:sz w:val="24"/>
          <w:szCs w:val="24"/>
          <w:lang w:val="en-GB"/>
        </w:rPr>
        <w:t>loans</w:t>
      </w:r>
      <w:r w:rsidR="009F5C34" w:rsidRPr="00E50F9D">
        <w:rPr>
          <w:rFonts w:ascii="Times New Roman" w:hAnsi="Times New Roman" w:cs="Times New Roman"/>
          <w:sz w:val="24"/>
          <w:szCs w:val="24"/>
          <w:lang w:val="en-GB"/>
        </w:rPr>
        <w:t>.</w:t>
      </w:r>
      <w:r w:rsidR="00910971" w:rsidRPr="00E50F9D">
        <w:rPr>
          <w:rFonts w:ascii="Times New Roman" w:hAnsi="Times New Roman" w:cs="Times New Roman"/>
          <w:sz w:val="24"/>
          <w:szCs w:val="24"/>
          <w:lang w:val="en-GB"/>
        </w:rPr>
        <w:t xml:space="preserve"> </w:t>
      </w:r>
    </w:p>
    <w:p w14:paraId="46967158" w14:textId="6E1CF942" w:rsidR="00A56413" w:rsidRPr="00E50F9D" w:rsidRDefault="007533F0" w:rsidP="00A42814">
      <w:pPr>
        <w:autoSpaceDE w:val="0"/>
        <w:autoSpaceDN w:val="0"/>
        <w:adjustRightInd w:val="0"/>
        <w:spacing w:after="0" w:line="480" w:lineRule="auto"/>
        <w:ind w:firstLine="708"/>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In</w:t>
      </w:r>
      <w:r w:rsidR="00AC7E5D" w:rsidRPr="00E50F9D">
        <w:rPr>
          <w:rFonts w:ascii="Times New Roman" w:hAnsi="Times New Roman" w:cs="Times New Roman"/>
          <w:sz w:val="24"/>
          <w:szCs w:val="24"/>
          <w:lang w:val="en-GB"/>
        </w:rPr>
        <w:t xml:space="preserve"> accordance with the conventional view of risk-return trade-off (Chronopoulos et al., 201</w:t>
      </w:r>
      <w:r w:rsidR="00130018" w:rsidRPr="00E50F9D">
        <w:rPr>
          <w:rFonts w:ascii="Times New Roman" w:hAnsi="Times New Roman" w:cs="Times New Roman"/>
          <w:sz w:val="24"/>
          <w:szCs w:val="24"/>
          <w:lang w:val="en-GB"/>
        </w:rPr>
        <w:t>5</w:t>
      </w:r>
      <w:r w:rsidR="00AC7E5D" w:rsidRPr="00E50F9D">
        <w:rPr>
          <w:rFonts w:ascii="Times New Roman" w:hAnsi="Times New Roman" w:cs="Times New Roman"/>
          <w:sz w:val="24"/>
          <w:szCs w:val="24"/>
          <w:lang w:val="en-GB"/>
        </w:rPr>
        <w:t xml:space="preserve">), we find a negative relationship between capitalization (EQTA) and monopoly market power. Furthermore, we also find that banks with a “bad management”, high NPLs, experience a </w:t>
      </w:r>
      <w:r w:rsidR="009F5C34" w:rsidRPr="00E50F9D">
        <w:rPr>
          <w:rFonts w:ascii="Times New Roman" w:hAnsi="Times New Roman" w:cs="Times New Roman"/>
          <w:sz w:val="24"/>
          <w:szCs w:val="24"/>
          <w:lang w:val="en-GB"/>
        </w:rPr>
        <w:t>lower</w:t>
      </w:r>
      <w:r w:rsidR="00AC7E5D" w:rsidRPr="00E50F9D">
        <w:rPr>
          <w:rFonts w:ascii="Times New Roman" w:hAnsi="Times New Roman" w:cs="Times New Roman"/>
          <w:sz w:val="24"/>
          <w:szCs w:val="24"/>
          <w:lang w:val="en-GB"/>
        </w:rPr>
        <w:t xml:space="preserve"> increase of loans compared to other banks. This means that </w:t>
      </w:r>
      <w:r w:rsidR="002078E1" w:rsidRPr="00E50F9D">
        <w:rPr>
          <w:rFonts w:ascii="Times New Roman" w:hAnsi="Times New Roman" w:cs="Times New Roman"/>
          <w:sz w:val="24"/>
          <w:szCs w:val="24"/>
          <w:lang w:val="en-GB"/>
        </w:rPr>
        <w:t xml:space="preserve">a </w:t>
      </w:r>
      <w:r w:rsidR="00AC7E5D" w:rsidRPr="00E50F9D">
        <w:rPr>
          <w:rFonts w:ascii="Times New Roman" w:hAnsi="Times New Roman" w:cs="Times New Roman"/>
          <w:sz w:val="24"/>
          <w:szCs w:val="24"/>
          <w:lang w:val="en-GB"/>
        </w:rPr>
        <w:t xml:space="preserve">high investment volume can </w:t>
      </w:r>
      <w:r w:rsidR="002078E1" w:rsidRPr="00E50F9D">
        <w:rPr>
          <w:rFonts w:ascii="Times New Roman" w:hAnsi="Times New Roman" w:cs="Times New Roman"/>
          <w:sz w:val="24"/>
          <w:szCs w:val="24"/>
          <w:lang w:val="en-GB"/>
        </w:rPr>
        <w:t xml:space="preserve">be driven by </w:t>
      </w:r>
      <w:r w:rsidR="009F5C34" w:rsidRPr="00E50F9D">
        <w:rPr>
          <w:rFonts w:ascii="Times New Roman" w:hAnsi="Times New Roman" w:cs="Times New Roman"/>
          <w:sz w:val="24"/>
          <w:szCs w:val="24"/>
          <w:lang w:val="en-GB"/>
        </w:rPr>
        <w:t>high</w:t>
      </w:r>
      <w:r w:rsidR="002078E1" w:rsidRPr="00E50F9D">
        <w:rPr>
          <w:rFonts w:ascii="Times New Roman" w:hAnsi="Times New Roman" w:cs="Times New Roman"/>
          <w:sz w:val="24"/>
          <w:szCs w:val="24"/>
          <w:lang w:val="en-GB"/>
        </w:rPr>
        <w:t xml:space="preserve"> investment</w:t>
      </w:r>
      <w:r w:rsidR="00AC7E5D" w:rsidRPr="00E50F9D">
        <w:rPr>
          <w:rFonts w:ascii="Times New Roman" w:hAnsi="Times New Roman" w:cs="Times New Roman"/>
          <w:sz w:val="24"/>
          <w:szCs w:val="24"/>
          <w:lang w:val="en-GB"/>
        </w:rPr>
        <w:t xml:space="preserve"> efficiency</w:t>
      </w:r>
      <w:r w:rsidR="002078E1" w:rsidRPr="00E50F9D">
        <w:rPr>
          <w:rFonts w:ascii="Times New Roman" w:hAnsi="Times New Roman" w:cs="Times New Roman"/>
          <w:sz w:val="24"/>
          <w:szCs w:val="24"/>
          <w:lang w:val="en-GB"/>
        </w:rPr>
        <w:t xml:space="preserve"> and quality</w:t>
      </w:r>
      <w:r w:rsidR="009F5C34" w:rsidRPr="00E50F9D">
        <w:rPr>
          <w:rFonts w:ascii="Times New Roman" w:hAnsi="Times New Roman" w:cs="Times New Roman"/>
          <w:sz w:val="24"/>
          <w:szCs w:val="24"/>
          <w:lang w:val="en-GB"/>
        </w:rPr>
        <w:t>.</w:t>
      </w:r>
      <w:r w:rsidR="00A56413" w:rsidRPr="00E50F9D">
        <w:rPr>
          <w:rFonts w:ascii="Times New Roman" w:hAnsi="Times New Roman" w:cs="Times New Roman"/>
          <w:sz w:val="24"/>
          <w:szCs w:val="24"/>
          <w:lang w:val="en-GB"/>
        </w:rPr>
        <w:t xml:space="preserve"> </w:t>
      </w:r>
    </w:p>
    <w:p w14:paraId="674253F8" w14:textId="63185301" w:rsidR="00464A92" w:rsidRPr="00E50F9D" w:rsidRDefault="00464A92" w:rsidP="00464A92">
      <w:pPr>
        <w:spacing w:after="0" w:line="480" w:lineRule="auto"/>
        <w:jc w:val="center"/>
        <w:rPr>
          <w:rFonts w:ascii="Times New Roman" w:hAnsi="Times New Roman" w:cs="Times New Roman"/>
          <w:sz w:val="24"/>
          <w:szCs w:val="24"/>
          <w:lang w:val="en-GB"/>
        </w:rPr>
      </w:pPr>
      <w:r w:rsidRPr="00E50F9D">
        <w:rPr>
          <w:rFonts w:ascii="Times New Roman" w:hAnsi="Times New Roman" w:cs="Times New Roman"/>
          <w:sz w:val="24"/>
          <w:szCs w:val="24"/>
          <w:lang w:val="en-GB"/>
        </w:rPr>
        <w:t>&lt;Insert Table 5 about here&gt;</w:t>
      </w:r>
    </w:p>
    <w:p w14:paraId="005DCA79" w14:textId="1E6A4626" w:rsidR="00566934" w:rsidRPr="00E50F9D" w:rsidRDefault="00F37CD3" w:rsidP="009E07E6">
      <w:pPr>
        <w:autoSpaceDE w:val="0"/>
        <w:autoSpaceDN w:val="0"/>
        <w:adjustRightInd w:val="0"/>
        <w:spacing w:after="0" w:line="480" w:lineRule="auto"/>
        <w:ind w:firstLine="708"/>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Table 5 shows the results relative to the impact of geographical strategies and local market characteristics on both changes in the amount of deposits and monopoly market power in the deposit market</w:t>
      </w:r>
      <w:r w:rsidR="006A491D" w:rsidRPr="00E50F9D">
        <w:rPr>
          <w:rFonts w:ascii="Times New Roman" w:hAnsi="Times New Roman" w:cs="Times New Roman"/>
          <w:sz w:val="24"/>
          <w:szCs w:val="24"/>
          <w:lang w:val="en-GB"/>
        </w:rPr>
        <w:t xml:space="preserve"> (H</w:t>
      </w:r>
      <w:r w:rsidR="00910971" w:rsidRPr="00E50F9D">
        <w:rPr>
          <w:rFonts w:ascii="Times New Roman" w:hAnsi="Times New Roman" w:cs="Times New Roman"/>
          <w:sz w:val="24"/>
          <w:szCs w:val="24"/>
          <w:lang w:val="en-GB"/>
        </w:rPr>
        <w:t>2.</w:t>
      </w:r>
      <w:r w:rsidR="009A619E" w:rsidRPr="00E50F9D">
        <w:rPr>
          <w:rFonts w:ascii="Times New Roman" w:hAnsi="Times New Roman" w:cs="Times New Roman"/>
          <w:sz w:val="24"/>
          <w:szCs w:val="24"/>
          <w:lang w:val="en-GB"/>
        </w:rPr>
        <w:t xml:space="preserve">b and </w:t>
      </w:r>
      <w:r w:rsidR="006A491D" w:rsidRPr="00E50F9D">
        <w:rPr>
          <w:rFonts w:ascii="Times New Roman" w:hAnsi="Times New Roman" w:cs="Times New Roman"/>
          <w:sz w:val="24"/>
          <w:szCs w:val="24"/>
          <w:lang w:val="en-GB"/>
        </w:rPr>
        <w:t>H</w:t>
      </w:r>
      <w:r w:rsidR="00910971" w:rsidRPr="00E50F9D">
        <w:rPr>
          <w:rFonts w:ascii="Times New Roman" w:hAnsi="Times New Roman" w:cs="Times New Roman"/>
          <w:sz w:val="24"/>
          <w:szCs w:val="24"/>
          <w:lang w:val="en-GB"/>
        </w:rPr>
        <w:t>2.</w:t>
      </w:r>
      <w:r w:rsidR="006A491D" w:rsidRPr="00E50F9D">
        <w:rPr>
          <w:rFonts w:ascii="Times New Roman" w:hAnsi="Times New Roman" w:cs="Times New Roman"/>
          <w:sz w:val="24"/>
          <w:szCs w:val="24"/>
          <w:lang w:val="en-GB"/>
        </w:rPr>
        <w:t>d</w:t>
      </w:r>
      <w:r w:rsidR="009A619E" w:rsidRPr="00E50F9D">
        <w:rPr>
          <w:rFonts w:ascii="Times New Roman" w:hAnsi="Times New Roman" w:cs="Times New Roman"/>
          <w:sz w:val="24"/>
          <w:szCs w:val="24"/>
          <w:lang w:val="en-GB"/>
        </w:rPr>
        <w:t>).</w:t>
      </w:r>
      <w:r w:rsidR="00664B73" w:rsidRPr="00E50F9D">
        <w:rPr>
          <w:rFonts w:ascii="Times New Roman" w:hAnsi="Times New Roman" w:cs="Times New Roman"/>
          <w:sz w:val="24"/>
          <w:szCs w:val="24"/>
          <w:lang w:val="en-GB"/>
        </w:rPr>
        <w:t xml:space="preserve"> </w:t>
      </w:r>
      <w:r w:rsidR="00A42814" w:rsidRPr="00E50F9D">
        <w:rPr>
          <w:rFonts w:ascii="Times New Roman" w:hAnsi="Times New Roman" w:cs="Times New Roman"/>
          <w:sz w:val="24"/>
          <w:szCs w:val="24"/>
          <w:lang w:val="en-GB"/>
        </w:rPr>
        <w:t>G</w:t>
      </w:r>
      <w:r w:rsidR="00A713F9" w:rsidRPr="00E50F9D">
        <w:rPr>
          <w:rFonts w:ascii="Times New Roman" w:hAnsi="Times New Roman" w:cs="Times New Roman"/>
          <w:sz w:val="24"/>
          <w:szCs w:val="24"/>
          <w:lang w:val="en-GB"/>
        </w:rPr>
        <w:t>eographical diversification</w:t>
      </w:r>
      <w:r w:rsidR="00A42814" w:rsidRPr="00E50F9D">
        <w:rPr>
          <w:rFonts w:ascii="Times New Roman" w:hAnsi="Times New Roman" w:cs="Times New Roman"/>
          <w:sz w:val="24"/>
          <w:szCs w:val="24"/>
          <w:lang w:val="en-GB"/>
        </w:rPr>
        <w:t>, distance</w:t>
      </w:r>
      <w:r w:rsidR="00A713F9" w:rsidRPr="00E50F9D">
        <w:rPr>
          <w:rFonts w:ascii="Times New Roman" w:hAnsi="Times New Roman" w:cs="Times New Roman"/>
          <w:sz w:val="24"/>
          <w:szCs w:val="24"/>
          <w:lang w:val="en-GB"/>
        </w:rPr>
        <w:t xml:space="preserve"> and market concentration of branches in the same province reduce deposits offered to customers. </w:t>
      </w:r>
      <w:r w:rsidR="00A42814" w:rsidRPr="00E50F9D">
        <w:rPr>
          <w:rFonts w:ascii="Times New Roman" w:hAnsi="Times New Roman" w:cs="Times New Roman"/>
          <w:sz w:val="24"/>
          <w:szCs w:val="24"/>
          <w:lang w:val="en-GB"/>
        </w:rPr>
        <w:t xml:space="preserve">This result </w:t>
      </w:r>
      <w:r w:rsidR="004B6D0E" w:rsidRPr="00E50F9D">
        <w:rPr>
          <w:rFonts w:ascii="Times New Roman" w:hAnsi="Times New Roman" w:cs="Times New Roman"/>
          <w:sz w:val="24"/>
          <w:szCs w:val="24"/>
          <w:lang w:val="en-GB"/>
        </w:rPr>
        <w:t xml:space="preserve">does not support </w:t>
      </w:r>
      <w:r w:rsidR="00A42814" w:rsidRPr="00E50F9D">
        <w:rPr>
          <w:rFonts w:ascii="Times New Roman" w:hAnsi="Times New Roman" w:cs="Times New Roman"/>
          <w:sz w:val="24"/>
          <w:szCs w:val="24"/>
          <w:lang w:val="en-GB"/>
        </w:rPr>
        <w:t>H2</w:t>
      </w:r>
      <w:r w:rsidR="00910971" w:rsidRPr="00E50F9D">
        <w:rPr>
          <w:rFonts w:ascii="Times New Roman" w:hAnsi="Times New Roman" w:cs="Times New Roman"/>
          <w:sz w:val="24"/>
          <w:szCs w:val="24"/>
          <w:lang w:val="en-GB"/>
        </w:rPr>
        <w:t>.</w:t>
      </w:r>
      <w:r w:rsidR="009A619E" w:rsidRPr="00E50F9D">
        <w:rPr>
          <w:rFonts w:ascii="Times New Roman" w:hAnsi="Times New Roman" w:cs="Times New Roman"/>
          <w:sz w:val="24"/>
          <w:szCs w:val="24"/>
          <w:lang w:val="en-GB"/>
        </w:rPr>
        <w:t>b</w:t>
      </w:r>
      <w:r w:rsidR="00952BAF" w:rsidRPr="00E50F9D">
        <w:rPr>
          <w:rFonts w:ascii="Times New Roman" w:hAnsi="Times New Roman" w:cs="Times New Roman"/>
          <w:sz w:val="24"/>
          <w:szCs w:val="24"/>
          <w:lang w:val="en-GB"/>
        </w:rPr>
        <w:t>,</w:t>
      </w:r>
      <w:r w:rsidR="00756B3B" w:rsidRPr="00E50F9D">
        <w:rPr>
          <w:rFonts w:ascii="Times New Roman" w:hAnsi="Times New Roman" w:cs="Times New Roman"/>
          <w:sz w:val="24"/>
          <w:szCs w:val="24"/>
          <w:lang w:val="en-GB"/>
        </w:rPr>
        <w:t xml:space="preserve"> </w:t>
      </w:r>
      <w:r w:rsidR="00952BAF" w:rsidRPr="00E50F9D">
        <w:rPr>
          <w:rFonts w:ascii="Times New Roman" w:hAnsi="Times New Roman" w:cs="Times New Roman"/>
          <w:sz w:val="24"/>
          <w:szCs w:val="24"/>
          <w:lang w:val="en-GB"/>
        </w:rPr>
        <w:t>which</w:t>
      </w:r>
      <w:r w:rsidR="00756B3B" w:rsidRPr="00E50F9D">
        <w:rPr>
          <w:rFonts w:ascii="Times New Roman" w:hAnsi="Times New Roman" w:cs="Times New Roman"/>
          <w:sz w:val="24"/>
          <w:szCs w:val="24"/>
          <w:lang w:val="en-GB"/>
        </w:rPr>
        <w:t xml:space="preserve"> predicts that GD has a positive effect on the amount of </w:t>
      </w:r>
      <w:r w:rsidR="00744F7E" w:rsidRPr="00E50F9D">
        <w:rPr>
          <w:rFonts w:ascii="Times New Roman" w:hAnsi="Times New Roman" w:cs="Times New Roman"/>
          <w:sz w:val="24"/>
          <w:szCs w:val="24"/>
          <w:lang w:val="en-GB"/>
        </w:rPr>
        <w:t>deposits</w:t>
      </w:r>
      <w:r w:rsidR="00756B3B" w:rsidRPr="00E50F9D">
        <w:rPr>
          <w:rFonts w:ascii="Times New Roman" w:hAnsi="Times New Roman" w:cs="Times New Roman"/>
          <w:sz w:val="24"/>
          <w:szCs w:val="24"/>
          <w:lang w:val="en-GB"/>
        </w:rPr>
        <w:t xml:space="preserve"> and monopoly market power </w:t>
      </w:r>
      <w:r w:rsidR="00744F7E" w:rsidRPr="00E50F9D">
        <w:rPr>
          <w:rFonts w:ascii="Times New Roman" w:hAnsi="Times New Roman" w:cs="Times New Roman"/>
          <w:sz w:val="24"/>
          <w:szCs w:val="24"/>
          <w:lang w:val="en-GB"/>
        </w:rPr>
        <w:t>in the deposit market</w:t>
      </w:r>
      <w:r w:rsidR="00A42814" w:rsidRPr="00E50F9D">
        <w:rPr>
          <w:rFonts w:ascii="Times New Roman" w:hAnsi="Times New Roman" w:cs="Times New Roman"/>
          <w:sz w:val="24"/>
          <w:szCs w:val="24"/>
          <w:lang w:val="en-GB"/>
        </w:rPr>
        <w:t xml:space="preserve">. </w:t>
      </w:r>
      <w:r w:rsidR="00756B3B" w:rsidRPr="00E50F9D">
        <w:rPr>
          <w:rFonts w:ascii="Times New Roman" w:hAnsi="Times New Roman" w:cs="Times New Roman"/>
          <w:sz w:val="24"/>
          <w:szCs w:val="24"/>
          <w:lang w:val="en-GB"/>
        </w:rPr>
        <w:t>GD only positively and significantly</w:t>
      </w:r>
      <w:r w:rsidR="00952BAF" w:rsidRPr="00E50F9D">
        <w:rPr>
          <w:rFonts w:ascii="Times New Roman" w:hAnsi="Times New Roman" w:cs="Times New Roman"/>
          <w:sz w:val="24"/>
          <w:szCs w:val="24"/>
          <w:lang w:val="en-GB"/>
        </w:rPr>
        <w:t xml:space="preserve"> affects</w:t>
      </w:r>
      <w:r w:rsidR="00756B3B" w:rsidRPr="00E50F9D">
        <w:rPr>
          <w:rFonts w:ascii="Times New Roman" w:hAnsi="Times New Roman" w:cs="Times New Roman"/>
          <w:sz w:val="24"/>
          <w:szCs w:val="24"/>
          <w:lang w:val="en-GB"/>
        </w:rPr>
        <w:t xml:space="preserve"> </w:t>
      </w:r>
      <w:r w:rsidR="00756B3B" w:rsidRPr="00E50F9D">
        <w:rPr>
          <w:rFonts w:ascii="Times New Roman" w:hAnsi="Times New Roman" w:cs="Times New Roman"/>
          <w:sz w:val="24"/>
          <w:szCs w:val="24"/>
        </w:rPr>
        <w:t>LE</w:t>
      </w:r>
      <w:r w:rsidR="00112B3D" w:rsidRPr="00E50F9D">
        <w:rPr>
          <w:rFonts w:ascii="Times New Roman" w:hAnsi="Times New Roman" w:cs="Times New Roman"/>
          <w:sz w:val="18"/>
          <w:szCs w:val="24"/>
        </w:rPr>
        <w:t>Dg</w:t>
      </w:r>
      <w:r w:rsidR="00756B3B" w:rsidRPr="00E50F9D">
        <w:rPr>
          <w:rFonts w:ascii="Times New Roman" w:hAnsi="Times New Roman" w:cs="Times New Roman"/>
          <w:sz w:val="24"/>
          <w:szCs w:val="24"/>
          <w:lang w:val="en-GB"/>
        </w:rPr>
        <w:t xml:space="preserve"> while</w:t>
      </w:r>
      <w:r w:rsidR="00952BAF" w:rsidRPr="00E50F9D">
        <w:rPr>
          <w:rFonts w:ascii="Times New Roman" w:hAnsi="Times New Roman" w:cs="Times New Roman"/>
          <w:sz w:val="24"/>
          <w:szCs w:val="24"/>
          <w:lang w:val="en-GB"/>
        </w:rPr>
        <w:t xml:space="preserve"> it has a </w:t>
      </w:r>
      <w:r w:rsidR="00756B3B" w:rsidRPr="00E50F9D">
        <w:rPr>
          <w:rFonts w:ascii="Times New Roman" w:hAnsi="Times New Roman" w:cs="Times New Roman"/>
          <w:sz w:val="24"/>
          <w:szCs w:val="24"/>
          <w:lang w:val="en-GB"/>
        </w:rPr>
        <w:t>negative and significant</w:t>
      </w:r>
      <w:r w:rsidR="00952BAF" w:rsidRPr="00E50F9D">
        <w:rPr>
          <w:rFonts w:ascii="Times New Roman" w:hAnsi="Times New Roman" w:cs="Times New Roman"/>
          <w:sz w:val="24"/>
          <w:szCs w:val="24"/>
          <w:lang w:val="en-GB"/>
        </w:rPr>
        <w:t xml:space="preserve"> impact</w:t>
      </w:r>
      <w:r w:rsidR="00756B3B" w:rsidRPr="00E50F9D">
        <w:rPr>
          <w:rFonts w:ascii="Times New Roman" w:hAnsi="Times New Roman" w:cs="Times New Roman"/>
          <w:sz w:val="24"/>
          <w:szCs w:val="24"/>
          <w:lang w:val="en-GB"/>
        </w:rPr>
        <w:t xml:space="preserve"> on </w:t>
      </w:r>
      <m:oMath>
        <m:r>
          <m:rPr>
            <m:sty m:val="p"/>
          </m:rPr>
          <w:rPr>
            <w:rFonts w:ascii="Cambria Math" w:hAnsi="Cambria Math" w:cs="Times New Roman"/>
            <w:sz w:val="24"/>
            <w:szCs w:val="24"/>
          </w:rPr>
          <m:t>Δ</m:t>
        </m:r>
      </m:oMath>
      <w:r w:rsidR="00756B3B" w:rsidRPr="00E50F9D">
        <w:rPr>
          <w:rFonts w:ascii="Times New Roman" w:hAnsi="Times New Roman" w:cs="Times New Roman"/>
          <w:lang w:val="en-GB" w:eastAsia="en-US"/>
        </w:rPr>
        <w:t>lnDep</w:t>
      </w:r>
      <w:r w:rsidR="00A4159A" w:rsidRPr="00E50F9D">
        <w:rPr>
          <w:rFonts w:ascii="Times New Roman" w:hAnsi="Times New Roman" w:cs="Times New Roman"/>
          <w:sz w:val="24"/>
          <w:szCs w:val="24"/>
          <w:lang w:val="en-GB"/>
        </w:rPr>
        <w:t xml:space="preserve">. </w:t>
      </w:r>
      <w:r w:rsidR="00756B3B" w:rsidRPr="00E50F9D">
        <w:rPr>
          <w:rFonts w:ascii="Times New Roman" w:hAnsi="Times New Roman" w:cs="Times New Roman"/>
          <w:sz w:val="24"/>
          <w:szCs w:val="24"/>
          <w:lang w:val="en-GB"/>
        </w:rPr>
        <w:t xml:space="preserve">As highlighted by Chiappori et al. (1995), a possible explanation for this result is that over-branching can increase competitive pressure by reducing each branch’s market power in the deposit market. </w:t>
      </w:r>
      <w:r w:rsidR="009E07E6" w:rsidRPr="00E50F9D">
        <w:rPr>
          <w:rFonts w:ascii="Times New Roman" w:hAnsi="Times New Roman" w:cs="Times New Roman"/>
          <w:sz w:val="24"/>
          <w:szCs w:val="24"/>
          <w:lang w:val="en-GB"/>
        </w:rPr>
        <w:t>This can push banks to pay</w:t>
      </w:r>
      <w:r w:rsidR="00F25251" w:rsidRPr="00E50F9D">
        <w:rPr>
          <w:rFonts w:ascii="Times New Roman" w:hAnsi="Times New Roman" w:cs="Times New Roman"/>
          <w:sz w:val="24"/>
          <w:szCs w:val="24"/>
          <w:lang w:val="en-GB"/>
        </w:rPr>
        <w:t xml:space="preserve"> a</w:t>
      </w:r>
      <w:r w:rsidR="009E07E6" w:rsidRPr="00E50F9D">
        <w:rPr>
          <w:rFonts w:ascii="Times New Roman" w:hAnsi="Times New Roman" w:cs="Times New Roman"/>
          <w:sz w:val="24"/>
          <w:szCs w:val="24"/>
          <w:lang w:val="en-GB"/>
        </w:rPr>
        <w:t xml:space="preserve"> high interest rate on deposits. Furthermore, a</w:t>
      </w:r>
      <w:r w:rsidR="00FF06E8" w:rsidRPr="00E50F9D">
        <w:rPr>
          <w:rFonts w:ascii="Times New Roman" w:hAnsi="Times New Roman" w:cs="Times New Roman"/>
          <w:sz w:val="24"/>
          <w:szCs w:val="24"/>
          <w:lang w:val="en-GB"/>
        </w:rPr>
        <w:t>s pointed out by Park and Pennacchi (2009) and</w:t>
      </w:r>
      <w:r w:rsidR="00F25251" w:rsidRPr="00E50F9D">
        <w:rPr>
          <w:rFonts w:ascii="Times New Roman" w:hAnsi="Times New Roman" w:cs="Times New Roman"/>
          <w:sz w:val="24"/>
          <w:szCs w:val="24"/>
          <w:lang w:val="en-GB"/>
        </w:rPr>
        <w:t xml:space="preserve"> Hannan and Prager (2009), </w:t>
      </w:r>
      <w:r w:rsidR="00A42814" w:rsidRPr="00E50F9D">
        <w:rPr>
          <w:rFonts w:ascii="Times New Roman" w:hAnsi="Times New Roman" w:cs="Times New Roman"/>
          <w:sz w:val="24"/>
          <w:szCs w:val="24"/>
          <w:lang w:val="en-GB"/>
        </w:rPr>
        <w:t>large</w:t>
      </w:r>
      <w:r w:rsidR="00F25251" w:rsidRPr="00E50F9D">
        <w:rPr>
          <w:rFonts w:ascii="Times New Roman" w:hAnsi="Times New Roman" w:cs="Times New Roman"/>
          <w:sz w:val="24"/>
          <w:szCs w:val="24"/>
          <w:lang w:val="en-GB"/>
        </w:rPr>
        <w:t>r</w:t>
      </w:r>
      <w:r w:rsidR="00A42814" w:rsidRPr="00E50F9D">
        <w:rPr>
          <w:rFonts w:ascii="Times New Roman" w:hAnsi="Times New Roman" w:cs="Times New Roman"/>
          <w:sz w:val="24"/>
          <w:szCs w:val="24"/>
          <w:lang w:val="en-GB"/>
        </w:rPr>
        <w:t xml:space="preserve"> and </w:t>
      </w:r>
      <w:r w:rsidR="00F25251" w:rsidRPr="00E50F9D">
        <w:rPr>
          <w:rFonts w:ascii="Times New Roman" w:hAnsi="Times New Roman" w:cs="Times New Roman"/>
          <w:sz w:val="24"/>
          <w:szCs w:val="24"/>
          <w:lang w:val="en-GB"/>
        </w:rPr>
        <w:t xml:space="preserve">more </w:t>
      </w:r>
      <w:r w:rsidR="00FF06E8" w:rsidRPr="00E50F9D">
        <w:rPr>
          <w:rFonts w:ascii="Times New Roman" w:hAnsi="Times New Roman" w:cs="Times New Roman"/>
          <w:sz w:val="24"/>
          <w:szCs w:val="24"/>
          <w:lang w:val="en-GB"/>
        </w:rPr>
        <w:t>diversified banks</w:t>
      </w:r>
      <w:r w:rsidR="00A42814" w:rsidRPr="00E50F9D">
        <w:rPr>
          <w:rFonts w:ascii="Times New Roman" w:hAnsi="Times New Roman" w:cs="Times New Roman"/>
          <w:sz w:val="24"/>
          <w:szCs w:val="24"/>
          <w:lang w:val="en-GB"/>
        </w:rPr>
        <w:t xml:space="preserve"> enjoy wholesale funding advantage</w:t>
      </w:r>
      <w:r w:rsidR="00910971" w:rsidRPr="00E50F9D">
        <w:rPr>
          <w:rFonts w:ascii="Times New Roman" w:hAnsi="Times New Roman" w:cs="Times New Roman"/>
          <w:sz w:val="24"/>
          <w:szCs w:val="24"/>
          <w:lang w:val="en-GB"/>
        </w:rPr>
        <w:t>s</w:t>
      </w:r>
      <w:r w:rsidR="00A42814" w:rsidRPr="00E50F9D">
        <w:rPr>
          <w:rFonts w:ascii="Times New Roman" w:hAnsi="Times New Roman" w:cs="Times New Roman"/>
          <w:sz w:val="24"/>
          <w:szCs w:val="24"/>
          <w:lang w:val="en-GB"/>
        </w:rPr>
        <w:t>. Therefore</w:t>
      </w:r>
      <w:r w:rsidR="00C74F1D" w:rsidRPr="00E50F9D">
        <w:rPr>
          <w:rFonts w:ascii="Times New Roman" w:hAnsi="Times New Roman" w:cs="Times New Roman"/>
          <w:sz w:val="24"/>
          <w:szCs w:val="24"/>
          <w:lang w:val="en-GB"/>
        </w:rPr>
        <w:t>,</w:t>
      </w:r>
      <w:r w:rsidR="00A42814" w:rsidRPr="00E50F9D">
        <w:rPr>
          <w:rFonts w:ascii="Times New Roman" w:hAnsi="Times New Roman" w:cs="Times New Roman"/>
          <w:sz w:val="24"/>
          <w:szCs w:val="24"/>
          <w:lang w:val="en-GB"/>
        </w:rPr>
        <w:t xml:space="preserve"> a bank that increase</w:t>
      </w:r>
      <w:r w:rsidR="00566934" w:rsidRPr="00E50F9D">
        <w:rPr>
          <w:rFonts w:ascii="Times New Roman" w:hAnsi="Times New Roman" w:cs="Times New Roman"/>
          <w:sz w:val="24"/>
          <w:szCs w:val="24"/>
          <w:lang w:val="en-GB"/>
        </w:rPr>
        <w:t>s</w:t>
      </w:r>
      <w:r w:rsidR="00A42814" w:rsidRPr="00E50F9D">
        <w:rPr>
          <w:rFonts w:ascii="Times New Roman" w:hAnsi="Times New Roman" w:cs="Times New Roman"/>
          <w:sz w:val="24"/>
          <w:szCs w:val="24"/>
          <w:lang w:val="en-GB"/>
        </w:rPr>
        <w:t xml:space="preserve"> its size and network can also collect funds through different channels and not only through the deposit channel.</w:t>
      </w:r>
      <w:r w:rsidR="00756B3B" w:rsidRPr="00E50F9D">
        <w:rPr>
          <w:rFonts w:ascii="Times New Roman" w:hAnsi="Times New Roman" w:cs="Times New Roman"/>
          <w:sz w:val="24"/>
          <w:szCs w:val="24"/>
          <w:lang w:val="en-GB"/>
        </w:rPr>
        <w:t xml:space="preserve"> This can explain why we do not find any significant impact of GD on </w:t>
      </w:r>
      <m:oMath>
        <m:r>
          <m:rPr>
            <m:sty m:val="p"/>
          </m:rPr>
          <w:rPr>
            <w:rFonts w:ascii="Cambria Math" w:hAnsi="Cambria Math" w:cs="Times New Roman"/>
            <w:sz w:val="24"/>
            <w:szCs w:val="24"/>
          </w:rPr>
          <m:t>Δ</m:t>
        </m:r>
      </m:oMath>
      <w:r w:rsidR="00756B3B" w:rsidRPr="00E50F9D">
        <w:rPr>
          <w:rFonts w:ascii="Times New Roman" w:hAnsi="Times New Roman" w:cs="Times New Roman"/>
          <w:lang w:val="en-GB" w:eastAsia="en-US"/>
        </w:rPr>
        <w:t>lnDep.</w:t>
      </w:r>
    </w:p>
    <w:p w14:paraId="4A7F36B0" w14:textId="5F38EDBE" w:rsidR="00387D32" w:rsidRPr="00E50F9D" w:rsidRDefault="00AA24B4" w:rsidP="00566934">
      <w:pPr>
        <w:autoSpaceDE w:val="0"/>
        <w:autoSpaceDN w:val="0"/>
        <w:adjustRightInd w:val="0"/>
        <w:spacing w:after="0" w:line="480" w:lineRule="auto"/>
        <w:ind w:firstLine="708"/>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 xml:space="preserve"> Our findings also </w:t>
      </w:r>
      <w:r w:rsidR="00952BAF" w:rsidRPr="00E50F9D">
        <w:rPr>
          <w:rFonts w:ascii="Times New Roman" w:hAnsi="Times New Roman" w:cs="Times New Roman"/>
          <w:sz w:val="24"/>
          <w:szCs w:val="24"/>
          <w:lang w:val="en-GB"/>
        </w:rPr>
        <w:t>show</w:t>
      </w:r>
      <w:r w:rsidR="00664B73"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 xml:space="preserve">that EQTA </w:t>
      </w:r>
      <w:r w:rsidR="00C04E4E" w:rsidRPr="00E50F9D">
        <w:rPr>
          <w:rFonts w:ascii="Times New Roman" w:hAnsi="Times New Roman" w:cs="Times New Roman"/>
          <w:sz w:val="24"/>
          <w:szCs w:val="24"/>
          <w:lang w:val="en-GB"/>
        </w:rPr>
        <w:t>affects</w:t>
      </w:r>
      <w:r w:rsidR="00C517FA"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 xml:space="preserve">negatively and significantly on </w:t>
      </w:r>
      <w:r w:rsidRPr="00E50F9D">
        <w:rPr>
          <w:rFonts w:ascii="Times New Roman" w:hAnsi="Times New Roman" w:cs="Times New Roman"/>
          <w:sz w:val="24"/>
          <w:szCs w:val="24"/>
        </w:rPr>
        <w:t>LE</w:t>
      </w:r>
      <w:r w:rsidRPr="00E50F9D">
        <w:rPr>
          <w:rFonts w:ascii="Times New Roman" w:hAnsi="Times New Roman" w:cs="Times New Roman"/>
          <w:sz w:val="18"/>
          <w:szCs w:val="24"/>
        </w:rPr>
        <w:t xml:space="preserve">D, </w:t>
      </w:r>
      <w:r w:rsidRPr="00E50F9D">
        <w:rPr>
          <w:rFonts w:ascii="Times New Roman" w:hAnsi="Times New Roman" w:cs="Times New Roman"/>
          <w:sz w:val="24"/>
          <w:szCs w:val="24"/>
        </w:rPr>
        <w:t>while NPLs impacts positively and significantly on</w:t>
      </w:r>
      <w:r w:rsidRPr="00E50F9D">
        <w:rPr>
          <w:rFonts w:ascii="Times New Roman" w:hAnsi="Times New Roman" w:cs="Times New Roman"/>
          <w:sz w:val="18"/>
          <w:szCs w:val="24"/>
        </w:rPr>
        <w:t xml:space="preserve"> </w:t>
      </w:r>
      <w:r w:rsidRPr="00E50F9D">
        <w:rPr>
          <w:rFonts w:ascii="Times New Roman" w:hAnsi="Times New Roman" w:cs="Times New Roman"/>
          <w:sz w:val="24"/>
          <w:szCs w:val="24"/>
        </w:rPr>
        <w:t>LE</w:t>
      </w:r>
      <w:r w:rsidRPr="00E50F9D">
        <w:rPr>
          <w:rFonts w:ascii="Times New Roman" w:hAnsi="Times New Roman" w:cs="Times New Roman"/>
          <w:sz w:val="18"/>
          <w:szCs w:val="24"/>
        </w:rPr>
        <w:t>D.</w:t>
      </w:r>
      <w:r w:rsidRPr="00E50F9D">
        <w:rPr>
          <w:rFonts w:ascii="Times New Roman" w:hAnsi="Times New Roman" w:cs="Times New Roman"/>
          <w:sz w:val="24"/>
          <w:szCs w:val="24"/>
          <w:lang w:val="en-GB"/>
        </w:rPr>
        <w:t xml:space="preserve"> </w:t>
      </w:r>
      <w:r w:rsidR="00C51CE7" w:rsidRPr="00E50F9D">
        <w:rPr>
          <w:rFonts w:ascii="Times New Roman" w:hAnsi="Times New Roman" w:cs="Times New Roman"/>
          <w:sz w:val="24"/>
          <w:szCs w:val="24"/>
          <w:lang w:val="en-GB"/>
        </w:rPr>
        <w:t>Finally, t</w:t>
      </w:r>
      <w:r w:rsidR="00E60C46" w:rsidRPr="00E50F9D">
        <w:rPr>
          <w:rFonts w:ascii="Times New Roman" w:hAnsi="Times New Roman" w:cs="Times New Roman"/>
          <w:sz w:val="24"/>
          <w:szCs w:val="24"/>
          <w:lang w:val="en-GB"/>
        </w:rPr>
        <w:t>h</w:t>
      </w:r>
      <w:r w:rsidR="00E11AE6" w:rsidRPr="00E50F9D">
        <w:rPr>
          <w:rFonts w:ascii="Times New Roman" w:hAnsi="Times New Roman" w:cs="Times New Roman"/>
          <w:sz w:val="24"/>
          <w:szCs w:val="24"/>
          <w:lang w:val="en-GB"/>
        </w:rPr>
        <w:t>e coefficient of</w:t>
      </w:r>
      <w:r w:rsidR="00C51CE7" w:rsidRPr="00E50F9D">
        <w:rPr>
          <w:rFonts w:ascii="Times New Roman" w:hAnsi="Times New Roman" w:cs="Times New Roman"/>
          <w:sz w:val="24"/>
          <w:szCs w:val="24"/>
          <w:lang w:val="en-GB"/>
        </w:rPr>
        <w:t xml:space="preserve"> the weighted </w:t>
      </w:r>
      <w:r w:rsidR="00B36CFB" w:rsidRPr="00E50F9D">
        <w:rPr>
          <w:rFonts w:ascii="Times New Roman" w:hAnsi="Times New Roman" w:cs="Times New Roman"/>
          <w:sz w:val="24"/>
          <w:szCs w:val="24"/>
          <w:lang w:val="en-GB"/>
        </w:rPr>
        <w:t>HHIw</w:t>
      </w:r>
      <w:r w:rsidR="00C51CE7" w:rsidRPr="00E50F9D">
        <w:rPr>
          <w:rFonts w:asciiTheme="majorBidi" w:eastAsiaTheme="minorEastAsia" w:hAnsiTheme="majorBidi" w:cstheme="majorBidi"/>
          <w:color w:val="000000"/>
          <w:sz w:val="24"/>
          <w:szCs w:val="24"/>
          <w:lang w:val="en-GB" w:eastAsia="zh-CN"/>
        </w:rPr>
        <w:t xml:space="preserve">, </w:t>
      </w:r>
      <w:r w:rsidR="00E11AE6" w:rsidRPr="00E50F9D">
        <w:rPr>
          <w:rFonts w:ascii="Times New Roman" w:hAnsi="Times New Roman" w:cs="Times New Roman"/>
          <w:sz w:val="24"/>
          <w:szCs w:val="24"/>
          <w:lang w:val="en-GB"/>
        </w:rPr>
        <w:t>the m</w:t>
      </w:r>
      <w:r w:rsidR="00E60C46" w:rsidRPr="00E50F9D">
        <w:rPr>
          <w:rFonts w:ascii="Times New Roman" w:hAnsi="Times New Roman" w:cs="Times New Roman"/>
          <w:sz w:val="24"/>
          <w:szCs w:val="24"/>
          <w:lang w:val="en-GB"/>
        </w:rPr>
        <w:t xml:space="preserve">easure of </w:t>
      </w:r>
      <w:r w:rsidR="002C4019" w:rsidRPr="00E50F9D">
        <w:rPr>
          <w:rFonts w:ascii="Times New Roman" w:hAnsi="Times New Roman" w:cs="Times New Roman"/>
          <w:sz w:val="24"/>
          <w:szCs w:val="24"/>
          <w:lang w:val="en-GB"/>
        </w:rPr>
        <w:t>branches</w:t>
      </w:r>
      <w:r w:rsidR="006019B9" w:rsidRPr="00E50F9D">
        <w:rPr>
          <w:rFonts w:ascii="Times New Roman" w:hAnsi="Times New Roman" w:cs="Times New Roman"/>
          <w:sz w:val="24"/>
          <w:szCs w:val="24"/>
          <w:lang w:val="en-GB"/>
        </w:rPr>
        <w:t>’</w:t>
      </w:r>
      <w:r w:rsidR="00E60C46" w:rsidRPr="00E50F9D">
        <w:rPr>
          <w:rFonts w:ascii="Times New Roman" w:hAnsi="Times New Roman" w:cs="Times New Roman"/>
          <w:sz w:val="24"/>
          <w:szCs w:val="24"/>
          <w:lang w:val="en-GB"/>
        </w:rPr>
        <w:t xml:space="preserve"> concentration in the local markets where a bank operates,</w:t>
      </w:r>
      <w:r w:rsidR="00C51CE7" w:rsidRPr="00E50F9D">
        <w:rPr>
          <w:rFonts w:ascii="Times New Roman" w:hAnsi="Times New Roman" w:cs="Times New Roman"/>
          <w:sz w:val="24"/>
          <w:szCs w:val="24"/>
          <w:lang w:val="en-GB"/>
        </w:rPr>
        <w:t xml:space="preserve"> does not</w:t>
      </w:r>
      <w:r w:rsidR="00E60C46" w:rsidRPr="00E50F9D">
        <w:rPr>
          <w:rFonts w:ascii="Times New Roman" w:hAnsi="Times New Roman" w:cs="Times New Roman"/>
          <w:sz w:val="24"/>
          <w:szCs w:val="24"/>
          <w:lang w:val="en-GB"/>
        </w:rPr>
        <w:t xml:space="preserve"> </w:t>
      </w:r>
      <w:r w:rsidR="00C51CE7" w:rsidRPr="00E50F9D">
        <w:rPr>
          <w:rFonts w:ascii="Times New Roman" w:hAnsi="Times New Roman" w:cs="Times New Roman"/>
          <w:sz w:val="24"/>
          <w:szCs w:val="24"/>
          <w:lang w:val="en-GB"/>
        </w:rPr>
        <w:t>present</w:t>
      </w:r>
      <w:r w:rsidR="00180EA1" w:rsidRPr="00E50F9D">
        <w:rPr>
          <w:rFonts w:ascii="Times New Roman" w:hAnsi="Times New Roman" w:cs="Times New Roman"/>
          <w:sz w:val="24"/>
          <w:szCs w:val="24"/>
          <w:lang w:val="en-GB"/>
        </w:rPr>
        <w:t xml:space="preserve"> </w:t>
      </w:r>
      <w:r w:rsidR="00C51CE7" w:rsidRPr="00E50F9D">
        <w:rPr>
          <w:rFonts w:ascii="Times New Roman" w:hAnsi="Times New Roman" w:cs="Times New Roman"/>
          <w:sz w:val="24"/>
          <w:szCs w:val="24"/>
          <w:lang w:val="en-GB"/>
        </w:rPr>
        <w:t>any</w:t>
      </w:r>
      <w:r w:rsidR="00180EA1" w:rsidRPr="00E50F9D">
        <w:rPr>
          <w:rFonts w:ascii="Times New Roman" w:hAnsi="Times New Roman" w:cs="Times New Roman"/>
          <w:sz w:val="24"/>
          <w:szCs w:val="24"/>
          <w:lang w:val="en-GB"/>
        </w:rPr>
        <w:t xml:space="preserve"> significant relationship with</w:t>
      </w:r>
      <w:r w:rsidR="00491344" w:rsidRPr="00E50F9D">
        <w:rPr>
          <w:rFonts w:ascii="Times New Roman" w:hAnsi="Times New Roman" w:cs="Times New Roman"/>
          <w:sz w:val="24"/>
          <w:szCs w:val="24"/>
          <w:lang w:val="en-GB"/>
        </w:rPr>
        <w:t xml:space="preserve"> </w:t>
      </w:r>
      <w:r w:rsidR="0068779F" w:rsidRPr="00E50F9D">
        <w:rPr>
          <w:rFonts w:ascii="Times New Roman" w:hAnsi="Times New Roman" w:cs="Times New Roman"/>
          <w:sz w:val="24"/>
          <w:szCs w:val="24"/>
          <w:lang w:val="en-GB"/>
        </w:rPr>
        <w:t xml:space="preserve">the </w:t>
      </w:r>
      <w:r w:rsidR="008249C0" w:rsidRPr="00E50F9D">
        <w:rPr>
          <w:rFonts w:ascii="Times New Roman" w:hAnsi="Times New Roman" w:cs="Times New Roman"/>
          <w:sz w:val="24"/>
          <w:szCs w:val="24"/>
          <w:lang w:val="en-GB"/>
        </w:rPr>
        <w:t xml:space="preserve">adjusted Lerner Index, </w:t>
      </w:r>
      <w:r w:rsidR="0068779F" w:rsidRPr="00E50F9D">
        <w:rPr>
          <w:rFonts w:ascii="Times New Roman" w:hAnsi="Times New Roman" w:cs="Times New Roman"/>
          <w:sz w:val="24"/>
          <w:szCs w:val="24"/>
          <w:lang w:val="en-GB"/>
        </w:rPr>
        <w:t xml:space="preserve">or </w:t>
      </w:r>
      <w:r w:rsidR="008249C0" w:rsidRPr="00E50F9D">
        <w:rPr>
          <w:rFonts w:ascii="Times New Roman" w:hAnsi="Times New Roman" w:cs="Times New Roman"/>
          <w:sz w:val="24"/>
          <w:szCs w:val="24"/>
          <w:lang w:val="en-GB"/>
        </w:rPr>
        <w:t>monopoly market power in loans and deposits</w:t>
      </w:r>
      <w:r w:rsidR="002E6A16" w:rsidRPr="00E50F9D">
        <w:rPr>
          <w:rFonts w:ascii="Times New Roman" w:hAnsi="Times New Roman" w:cs="Times New Roman"/>
          <w:sz w:val="24"/>
          <w:szCs w:val="24"/>
          <w:lang w:val="en-GB"/>
        </w:rPr>
        <w:t xml:space="preserve"> (Table 4-5).</w:t>
      </w:r>
      <w:r w:rsidR="00537D34" w:rsidRPr="00E50F9D">
        <w:rPr>
          <w:rFonts w:ascii="Times New Roman" w:hAnsi="Times New Roman" w:cs="Times New Roman"/>
          <w:sz w:val="24"/>
          <w:szCs w:val="24"/>
          <w:lang w:val="en-GB"/>
        </w:rPr>
        <w:t xml:space="preserve"> From an economic perspective, our results indicate that a one standard deviation increase of geographical diversification is associated with a 1% (-0.038×0.3) decrease in growth of deposits. Instead</w:t>
      </w:r>
      <w:r w:rsidR="00C74F1D" w:rsidRPr="00E50F9D">
        <w:rPr>
          <w:rFonts w:ascii="Times New Roman" w:hAnsi="Times New Roman" w:cs="Times New Roman"/>
          <w:sz w:val="24"/>
          <w:szCs w:val="24"/>
          <w:lang w:val="en-GB"/>
        </w:rPr>
        <w:t>,</w:t>
      </w:r>
      <w:r w:rsidR="00537D34" w:rsidRPr="00E50F9D">
        <w:rPr>
          <w:rFonts w:ascii="Times New Roman" w:hAnsi="Times New Roman" w:cs="Times New Roman"/>
          <w:sz w:val="24"/>
          <w:szCs w:val="24"/>
          <w:lang w:val="en-GB"/>
        </w:rPr>
        <w:t xml:space="preserve"> a one standard deviation increase of distance between a bank’s headquarter</w:t>
      </w:r>
      <w:r w:rsidR="00B36CFB" w:rsidRPr="00E50F9D">
        <w:rPr>
          <w:rFonts w:ascii="Times New Roman" w:hAnsi="Times New Roman" w:cs="Times New Roman"/>
          <w:sz w:val="24"/>
          <w:szCs w:val="24"/>
          <w:lang w:val="en-GB"/>
        </w:rPr>
        <w:t>s</w:t>
      </w:r>
      <w:r w:rsidR="00537D34" w:rsidRPr="00E50F9D">
        <w:rPr>
          <w:rFonts w:ascii="Times New Roman" w:hAnsi="Times New Roman" w:cs="Times New Roman"/>
          <w:sz w:val="24"/>
          <w:szCs w:val="24"/>
          <w:lang w:val="en-GB"/>
        </w:rPr>
        <w:t xml:space="preserve"> and its branches is associated </w:t>
      </w:r>
      <w:r w:rsidR="0068779F" w:rsidRPr="00E50F9D">
        <w:rPr>
          <w:rFonts w:ascii="Times New Roman" w:hAnsi="Times New Roman" w:cs="Times New Roman"/>
          <w:sz w:val="24"/>
          <w:szCs w:val="24"/>
          <w:lang w:val="en-GB"/>
        </w:rPr>
        <w:t>with a</w:t>
      </w:r>
      <w:r w:rsidR="00537D34" w:rsidRPr="00E50F9D">
        <w:rPr>
          <w:rFonts w:ascii="Times New Roman" w:hAnsi="Times New Roman" w:cs="Times New Roman"/>
          <w:sz w:val="24"/>
          <w:szCs w:val="24"/>
          <w:lang w:val="en-GB"/>
        </w:rPr>
        <w:t xml:space="preserve"> 0.3% (-0.0105×0.3) decrease in </w:t>
      </w:r>
      <w:r w:rsidR="00464A92" w:rsidRPr="00E50F9D">
        <w:rPr>
          <w:rFonts w:ascii="Times New Roman" w:hAnsi="Times New Roman" w:cs="Times New Roman"/>
          <w:sz w:val="24"/>
          <w:szCs w:val="24"/>
          <w:lang w:val="en-GB"/>
        </w:rPr>
        <w:t>growth of deposits.</w:t>
      </w:r>
      <w:r w:rsidR="00537D34"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Finally</w:t>
      </w:r>
      <w:r w:rsidR="00537D34" w:rsidRPr="00E50F9D">
        <w:rPr>
          <w:rFonts w:ascii="Times New Roman" w:hAnsi="Times New Roman" w:cs="Times New Roman"/>
          <w:sz w:val="24"/>
          <w:szCs w:val="24"/>
          <w:lang w:val="en-GB"/>
        </w:rPr>
        <w:t xml:space="preserve">, a one standard deviation increase of geographical diversification is associated </w:t>
      </w:r>
      <w:r w:rsidR="00253FCD" w:rsidRPr="00E50F9D">
        <w:rPr>
          <w:rFonts w:ascii="Times New Roman" w:hAnsi="Times New Roman" w:cs="Times New Roman"/>
          <w:sz w:val="24"/>
          <w:szCs w:val="24"/>
          <w:lang w:val="en-GB"/>
        </w:rPr>
        <w:t xml:space="preserve">with a </w:t>
      </w:r>
      <w:r w:rsidR="009F5C34" w:rsidRPr="00E50F9D">
        <w:rPr>
          <w:rFonts w:ascii="Times New Roman" w:hAnsi="Times New Roman" w:cs="Times New Roman"/>
          <w:sz w:val="24"/>
          <w:szCs w:val="24"/>
          <w:lang w:val="en-GB"/>
        </w:rPr>
        <w:t>2</w:t>
      </w:r>
      <w:r w:rsidR="00253FCD" w:rsidRPr="00E50F9D">
        <w:rPr>
          <w:rFonts w:ascii="Times New Roman" w:hAnsi="Times New Roman" w:cs="Times New Roman"/>
          <w:sz w:val="24"/>
          <w:szCs w:val="24"/>
          <w:lang w:val="en-GB"/>
        </w:rPr>
        <w:t>.</w:t>
      </w:r>
      <w:r w:rsidR="00C20FD1" w:rsidRPr="00E50F9D">
        <w:rPr>
          <w:rFonts w:ascii="Times New Roman" w:hAnsi="Times New Roman" w:cs="Times New Roman"/>
          <w:sz w:val="24"/>
          <w:szCs w:val="24"/>
          <w:lang w:val="en-GB"/>
        </w:rPr>
        <w:t>4</w:t>
      </w:r>
      <w:r w:rsidR="00253FCD" w:rsidRPr="00E50F9D">
        <w:rPr>
          <w:rFonts w:ascii="Times New Roman" w:hAnsi="Times New Roman" w:cs="Times New Roman"/>
          <w:sz w:val="24"/>
          <w:szCs w:val="24"/>
          <w:lang w:val="en-GB"/>
        </w:rPr>
        <w:t>% (0.</w:t>
      </w:r>
      <w:r w:rsidR="009F5C34" w:rsidRPr="00E50F9D">
        <w:rPr>
          <w:rFonts w:ascii="Times New Roman" w:hAnsi="Times New Roman" w:cs="Times New Roman"/>
          <w:sz w:val="24"/>
          <w:szCs w:val="24"/>
          <w:lang w:val="en-GB"/>
        </w:rPr>
        <w:t>0</w:t>
      </w:r>
      <w:r w:rsidR="00C20FD1" w:rsidRPr="00E50F9D">
        <w:rPr>
          <w:rFonts w:ascii="Times New Roman" w:hAnsi="Times New Roman" w:cs="Times New Roman"/>
          <w:sz w:val="24"/>
          <w:szCs w:val="24"/>
          <w:lang w:val="en-GB"/>
        </w:rPr>
        <w:t>79</w:t>
      </w:r>
      <w:r w:rsidR="00253FCD" w:rsidRPr="00E50F9D">
        <w:rPr>
          <w:rFonts w:ascii="Times New Roman" w:hAnsi="Times New Roman" w:cs="Times New Roman"/>
          <w:sz w:val="24"/>
          <w:szCs w:val="24"/>
          <w:lang w:val="en-GB"/>
        </w:rPr>
        <w:t>×0.3) i</w:t>
      </w:r>
      <w:r w:rsidR="00537D34" w:rsidRPr="00E50F9D">
        <w:rPr>
          <w:rFonts w:ascii="Times New Roman" w:hAnsi="Times New Roman" w:cs="Times New Roman"/>
          <w:sz w:val="24"/>
          <w:szCs w:val="24"/>
          <w:lang w:val="en-GB"/>
        </w:rPr>
        <w:t>ncrease in Lerner Index in the deposit market.</w:t>
      </w:r>
      <w:r w:rsidR="00C7035D" w:rsidRPr="00E50F9D">
        <w:rPr>
          <w:rFonts w:ascii="Times New Roman" w:hAnsi="Times New Roman" w:cs="Times New Roman"/>
          <w:sz w:val="24"/>
          <w:szCs w:val="24"/>
          <w:lang w:val="en-GB"/>
        </w:rPr>
        <w:t xml:space="preserve"> </w:t>
      </w:r>
    </w:p>
    <w:p w14:paraId="393001CF" w14:textId="0D61ED5C" w:rsidR="00E60C46" w:rsidRPr="00E50F9D" w:rsidRDefault="00E60C46" w:rsidP="00566934">
      <w:pPr>
        <w:autoSpaceDE w:val="0"/>
        <w:autoSpaceDN w:val="0"/>
        <w:adjustRightInd w:val="0"/>
        <w:spacing w:after="0" w:line="480" w:lineRule="auto"/>
        <w:ind w:firstLine="708"/>
        <w:jc w:val="both"/>
        <w:rPr>
          <w:rFonts w:ascii="Times New Roman" w:hAnsi="Times New Roman" w:cs="Times New Roman"/>
          <w:sz w:val="24"/>
          <w:szCs w:val="24"/>
          <w:lang w:val="en-GB"/>
        </w:rPr>
      </w:pPr>
      <w:r w:rsidRPr="00E50F9D">
        <w:rPr>
          <w:rFonts w:ascii="Times New Roman" w:hAnsi="Times New Roman" w:cs="Times New Roman"/>
          <w:color w:val="000000"/>
          <w:sz w:val="24"/>
          <w:szCs w:val="24"/>
          <w:lang w:val="en-GB"/>
        </w:rPr>
        <w:t xml:space="preserve">Table 6 shows the results for </w:t>
      </w:r>
      <w:r w:rsidR="001100D8" w:rsidRPr="00E50F9D">
        <w:rPr>
          <w:rFonts w:ascii="Times New Roman" w:hAnsi="Times New Roman" w:cs="Times New Roman"/>
          <w:color w:val="000000"/>
          <w:sz w:val="24"/>
          <w:szCs w:val="24"/>
          <w:lang w:val="en-GB"/>
        </w:rPr>
        <w:t xml:space="preserve">Equation </w:t>
      </w:r>
      <w:r w:rsidR="00AA371C" w:rsidRPr="00E50F9D">
        <w:rPr>
          <w:rFonts w:ascii="Times New Roman" w:hAnsi="Times New Roman" w:cs="Times New Roman"/>
          <w:color w:val="000000"/>
          <w:sz w:val="24"/>
          <w:szCs w:val="24"/>
          <w:lang w:val="en-GB"/>
        </w:rPr>
        <w:t>(</w:t>
      </w:r>
      <w:r w:rsidR="001100D8" w:rsidRPr="00E50F9D">
        <w:rPr>
          <w:rFonts w:ascii="Times New Roman" w:hAnsi="Times New Roman" w:cs="Times New Roman"/>
          <w:color w:val="000000"/>
          <w:sz w:val="24"/>
          <w:szCs w:val="24"/>
          <w:lang w:val="en-GB"/>
        </w:rPr>
        <w:t>3)</w:t>
      </w:r>
      <w:r w:rsidRPr="00E50F9D">
        <w:rPr>
          <w:rFonts w:ascii="Times New Roman" w:hAnsi="Times New Roman" w:cs="Times New Roman"/>
          <w:color w:val="000000"/>
          <w:sz w:val="24"/>
          <w:szCs w:val="24"/>
          <w:lang w:val="en-GB"/>
        </w:rPr>
        <w:t xml:space="preserve">. </w:t>
      </w:r>
    </w:p>
    <w:p w14:paraId="01C24688" w14:textId="77777777" w:rsidR="00E60C46" w:rsidRPr="00E50F9D" w:rsidRDefault="00E60C46" w:rsidP="00471BB5">
      <w:pPr>
        <w:pStyle w:val="Default"/>
        <w:spacing w:line="480" w:lineRule="auto"/>
        <w:jc w:val="both"/>
        <w:rPr>
          <w:rFonts w:ascii="Times New Roman" w:hAnsi="Times New Roman" w:cs="Times New Roman"/>
          <w:lang w:val="en-GB"/>
        </w:rPr>
      </w:pPr>
    </w:p>
    <w:p w14:paraId="15188B34" w14:textId="77777777" w:rsidR="00E60C46" w:rsidRPr="00E50F9D" w:rsidRDefault="00E60C46" w:rsidP="00471BB5">
      <w:pPr>
        <w:spacing w:after="0" w:line="480" w:lineRule="auto"/>
        <w:jc w:val="center"/>
        <w:rPr>
          <w:rFonts w:ascii="Times New Roman" w:hAnsi="Times New Roman" w:cs="Times New Roman"/>
          <w:sz w:val="24"/>
          <w:szCs w:val="24"/>
          <w:lang w:val="en-GB"/>
        </w:rPr>
      </w:pPr>
      <w:r w:rsidRPr="00E50F9D">
        <w:rPr>
          <w:rFonts w:ascii="Times New Roman" w:hAnsi="Times New Roman" w:cs="Times New Roman"/>
          <w:sz w:val="24"/>
          <w:szCs w:val="24"/>
          <w:lang w:val="en-GB"/>
        </w:rPr>
        <w:t>&lt;Insert Table 6 about here&gt;</w:t>
      </w:r>
    </w:p>
    <w:p w14:paraId="69A0FB6B" w14:textId="77777777" w:rsidR="00E60C46" w:rsidRPr="00E50F9D" w:rsidRDefault="00E60C46" w:rsidP="00471BB5">
      <w:pPr>
        <w:pStyle w:val="Default"/>
        <w:spacing w:line="480" w:lineRule="auto"/>
        <w:jc w:val="both"/>
        <w:rPr>
          <w:rFonts w:asciiTheme="majorBidi" w:hAnsiTheme="majorBidi" w:cstheme="majorBidi"/>
          <w:color w:val="auto"/>
          <w:lang w:val="en-US"/>
        </w:rPr>
      </w:pPr>
    </w:p>
    <w:p w14:paraId="36A1AA11" w14:textId="77777777" w:rsidR="008B695C" w:rsidRPr="00E50F9D" w:rsidRDefault="00A1502A" w:rsidP="008B695C">
      <w:pPr>
        <w:autoSpaceDE w:val="0"/>
        <w:autoSpaceDN w:val="0"/>
        <w:adjustRightInd w:val="0"/>
        <w:spacing w:after="0" w:line="480" w:lineRule="auto"/>
        <w:ind w:firstLine="708"/>
        <w:jc w:val="both"/>
        <w:rPr>
          <w:rFonts w:asciiTheme="majorBidi" w:hAnsiTheme="majorBidi" w:cstheme="majorBidi"/>
          <w:sz w:val="24"/>
          <w:szCs w:val="24"/>
          <w:lang w:val="en-US"/>
        </w:rPr>
      </w:pPr>
      <w:r w:rsidRPr="00E50F9D">
        <w:rPr>
          <w:rFonts w:asciiTheme="majorBidi" w:hAnsiTheme="majorBidi" w:cstheme="majorBidi"/>
          <w:sz w:val="24"/>
          <w:szCs w:val="24"/>
          <w:lang w:val="en-US"/>
        </w:rPr>
        <w:t>We focus</w:t>
      </w:r>
      <w:r w:rsidR="0023707C" w:rsidRPr="00E50F9D">
        <w:rPr>
          <w:rFonts w:asciiTheme="majorBidi" w:hAnsiTheme="majorBidi" w:cstheme="majorBidi"/>
          <w:sz w:val="24"/>
          <w:szCs w:val="24"/>
          <w:lang w:val="en-US"/>
        </w:rPr>
        <w:t xml:space="preserve"> </w:t>
      </w:r>
      <w:r w:rsidR="00E60C46" w:rsidRPr="00E50F9D">
        <w:rPr>
          <w:rFonts w:asciiTheme="majorBidi" w:hAnsiTheme="majorBidi" w:cstheme="majorBidi"/>
          <w:sz w:val="24"/>
          <w:szCs w:val="24"/>
          <w:lang w:val="en-US"/>
        </w:rPr>
        <w:t xml:space="preserve">on the competitive dynamics in local markets by analysing the impact of the market share of </w:t>
      </w:r>
      <w:r w:rsidR="00C51B5F" w:rsidRPr="00E50F9D">
        <w:rPr>
          <w:rFonts w:asciiTheme="majorBidi" w:hAnsiTheme="majorBidi" w:cstheme="majorBidi"/>
          <w:sz w:val="24"/>
          <w:szCs w:val="24"/>
          <w:lang w:val="en-US"/>
        </w:rPr>
        <w:t>medium and large</w:t>
      </w:r>
      <w:r w:rsidR="00E60C46" w:rsidRPr="00E50F9D">
        <w:rPr>
          <w:rFonts w:asciiTheme="majorBidi" w:hAnsiTheme="majorBidi" w:cstheme="majorBidi"/>
          <w:sz w:val="24"/>
          <w:szCs w:val="24"/>
          <w:lang w:val="en-US"/>
        </w:rPr>
        <w:t xml:space="preserve"> banks on the performance of</w:t>
      </w:r>
      <w:r w:rsidR="0023707C" w:rsidRPr="00E50F9D">
        <w:rPr>
          <w:rFonts w:asciiTheme="majorBidi" w:hAnsiTheme="majorBidi" w:cstheme="majorBidi"/>
          <w:sz w:val="24"/>
          <w:szCs w:val="24"/>
          <w:lang w:val="en-US"/>
        </w:rPr>
        <w:t xml:space="preserve"> single-market</w:t>
      </w:r>
      <w:r w:rsidR="00E60C46" w:rsidRPr="00E50F9D">
        <w:rPr>
          <w:rFonts w:asciiTheme="majorBidi" w:hAnsiTheme="majorBidi" w:cstheme="majorBidi"/>
          <w:sz w:val="24"/>
          <w:szCs w:val="24"/>
          <w:lang w:val="en-US"/>
        </w:rPr>
        <w:t xml:space="preserve"> banks. </w:t>
      </w:r>
      <w:r w:rsidR="007E0FE1" w:rsidRPr="00E50F9D">
        <w:rPr>
          <w:rFonts w:asciiTheme="majorBidi" w:hAnsiTheme="majorBidi" w:cstheme="majorBidi"/>
          <w:sz w:val="24"/>
          <w:szCs w:val="24"/>
          <w:lang w:val="en-US"/>
        </w:rPr>
        <w:t>Compared to previous studies</w:t>
      </w:r>
      <w:r w:rsidR="00E60C46" w:rsidRPr="00E50F9D">
        <w:rPr>
          <w:rFonts w:asciiTheme="majorBidi" w:hAnsiTheme="majorBidi" w:cstheme="majorBidi"/>
          <w:sz w:val="24"/>
          <w:szCs w:val="24"/>
          <w:lang w:val="en-US"/>
        </w:rPr>
        <w:t xml:space="preserve"> </w:t>
      </w:r>
      <w:r w:rsidR="007E0FE1" w:rsidRPr="00E50F9D">
        <w:rPr>
          <w:rFonts w:asciiTheme="majorBidi" w:hAnsiTheme="majorBidi" w:cstheme="majorBidi"/>
          <w:sz w:val="24"/>
          <w:szCs w:val="24"/>
          <w:lang w:val="en-US"/>
        </w:rPr>
        <w:t>(</w:t>
      </w:r>
      <w:r w:rsidR="001B36AB" w:rsidRPr="00E50F9D">
        <w:rPr>
          <w:rFonts w:asciiTheme="majorBidi" w:hAnsiTheme="majorBidi" w:cstheme="majorBidi"/>
          <w:sz w:val="24"/>
          <w:szCs w:val="24"/>
          <w:lang w:val="en-US"/>
        </w:rPr>
        <w:t xml:space="preserve">Hannan and Prager, </w:t>
      </w:r>
      <w:r w:rsidR="00E60C46" w:rsidRPr="00E50F9D">
        <w:rPr>
          <w:rFonts w:asciiTheme="majorBidi" w:hAnsiTheme="majorBidi" w:cstheme="majorBidi"/>
          <w:sz w:val="24"/>
          <w:szCs w:val="24"/>
          <w:lang w:val="en-US"/>
        </w:rPr>
        <w:t>2009</w:t>
      </w:r>
      <w:r w:rsidR="001B36AB" w:rsidRPr="00E50F9D">
        <w:rPr>
          <w:rFonts w:asciiTheme="majorBidi" w:hAnsiTheme="majorBidi" w:cstheme="majorBidi"/>
          <w:sz w:val="24"/>
          <w:szCs w:val="24"/>
          <w:lang w:val="en-US"/>
        </w:rPr>
        <w:t>;</w:t>
      </w:r>
      <w:r w:rsidR="007E0FE1" w:rsidRPr="00E50F9D">
        <w:rPr>
          <w:rFonts w:asciiTheme="majorBidi" w:hAnsiTheme="majorBidi" w:cstheme="majorBidi"/>
          <w:sz w:val="24"/>
          <w:szCs w:val="24"/>
          <w:lang w:val="en-US"/>
        </w:rPr>
        <w:t xml:space="preserve"> </w:t>
      </w:r>
      <w:r w:rsidR="004E66AF" w:rsidRPr="00E50F9D">
        <w:rPr>
          <w:rFonts w:asciiTheme="majorBidi" w:hAnsiTheme="majorBidi" w:cstheme="majorBidi"/>
          <w:sz w:val="24"/>
          <w:szCs w:val="24"/>
          <w:lang w:val="en-US"/>
        </w:rPr>
        <w:t>Coccorese</w:t>
      </w:r>
      <w:r w:rsidR="001B36AB" w:rsidRPr="00E50F9D">
        <w:rPr>
          <w:rFonts w:asciiTheme="majorBidi" w:hAnsiTheme="majorBidi" w:cstheme="majorBidi"/>
          <w:sz w:val="24"/>
          <w:szCs w:val="24"/>
          <w:lang w:val="en-US"/>
        </w:rPr>
        <w:t>, 2009</w:t>
      </w:r>
      <w:r w:rsidR="007E0FE1" w:rsidRPr="00E50F9D">
        <w:rPr>
          <w:rFonts w:asciiTheme="majorBidi" w:hAnsiTheme="majorBidi" w:cstheme="majorBidi"/>
          <w:sz w:val="24"/>
          <w:szCs w:val="24"/>
          <w:lang w:val="en-US"/>
        </w:rPr>
        <w:t>), we examine the impact of the entrance of large banks in a province on lending strategies</w:t>
      </w:r>
      <w:r w:rsidR="005F72A0" w:rsidRPr="00E50F9D">
        <w:rPr>
          <w:rFonts w:asciiTheme="majorBidi" w:hAnsiTheme="majorBidi" w:cstheme="majorBidi"/>
          <w:sz w:val="24"/>
          <w:szCs w:val="24"/>
          <w:lang w:val="en-US"/>
        </w:rPr>
        <w:t xml:space="preserve">, </w:t>
      </w:r>
      <w:r w:rsidR="0068779F" w:rsidRPr="00E50F9D">
        <w:rPr>
          <w:rFonts w:asciiTheme="majorBidi" w:hAnsiTheme="majorBidi" w:cstheme="majorBidi"/>
          <w:sz w:val="24"/>
          <w:szCs w:val="24"/>
          <w:lang w:val="en-US"/>
        </w:rPr>
        <w:t xml:space="preserve">the </w:t>
      </w:r>
      <w:r w:rsidR="005F72A0" w:rsidRPr="00E50F9D">
        <w:rPr>
          <w:rFonts w:asciiTheme="majorBidi" w:hAnsiTheme="majorBidi" w:cstheme="majorBidi"/>
          <w:sz w:val="24"/>
          <w:szCs w:val="24"/>
          <w:lang w:val="en-US"/>
        </w:rPr>
        <w:t>adjusted Lerner Index</w:t>
      </w:r>
      <w:r w:rsidR="007E0FE1" w:rsidRPr="00E50F9D">
        <w:rPr>
          <w:rFonts w:asciiTheme="majorBidi" w:hAnsiTheme="majorBidi" w:cstheme="majorBidi"/>
          <w:sz w:val="24"/>
          <w:szCs w:val="24"/>
          <w:lang w:val="en-US"/>
        </w:rPr>
        <w:t xml:space="preserve"> and monopoly mar</w:t>
      </w:r>
      <w:r w:rsidR="008B3053" w:rsidRPr="00E50F9D">
        <w:rPr>
          <w:rFonts w:asciiTheme="majorBidi" w:hAnsiTheme="majorBidi" w:cstheme="majorBidi"/>
          <w:sz w:val="24"/>
          <w:szCs w:val="24"/>
          <w:lang w:val="en-US"/>
        </w:rPr>
        <w:t xml:space="preserve">ket power on loans and deposits </w:t>
      </w:r>
      <w:r w:rsidR="00D00450" w:rsidRPr="00E50F9D">
        <w:rPr>
          <w:rFonts w:asciiTheme="majorBidi" w:hAnsiTheme="majorBidi" w:cstheme="majorBidi"/>
          <w:sz w:val="24"/>
          <w:szCs w:val="24"/>
          <w:lang w:val="en-US"/>
        </w:rPr>
        <w:t xml:space="preserve">by </w:t>
      </w:r>
      <w:r w:rsidR="008B3053" w:rsidRPr="00E50F9D">
        <w:rPr>
          <w:rFonts w:asciiTheme="majorBidi" w:hAnsiTheme="majorBidi" w:cstheme="majorBidi"/>
          <w:sz w:val="24"/>
          <w:szCs w:val="24"/>
          <w:lang w:val="en-US"/>
        </w:rPr>
        <w:t>instead solely focusing on performance</w:t>
      </w:r>
      <w:r w:rsidR="00545BD9" w:rsidRPr="00E50F9D">
        <w:rPr>
          <w:rFonts w:asciiTheme="majorBidi" w:hAnsiTheme="majorBidi" w:cstheme="majorBidi"/>
          <w:sz w:val="24"/>
          <w:szCs w:val="24"/>
          <w:lang w:val="en-US"/>
        </w:rPr>
        <w:t xml:space="preserve">. </w:t>
      </w:r>
      <w:r w:rsidR="0068779F" w:rsidRPr="00E50F9D">
        <w:rPr>
          <w:rFonts w:asciiTheme="majorBidi" w:hAnsiTheme="majorBidi" w:cstheme="majorBidi"/>
          <w:sz w:val="24"/>
          <w:szCs w:val="24"/>
          <w:lang w:val="en-US"/>
        </w:rPr>
        <w:t>Furthermore, the analysis of Hannan and Prager (2009) is mainly focused on the performance of urban and rural banks, whereas we take into account single-market banks that operate in variegated urban and economic environments. Following Park and Pennacchi (2009) and Hannan and Prager (2009) we calculate the iteration between HHI and MC_LargeB, the market coverage of medium-large banks.</w:t>
      </w:r>
      <w:r w:rsidR="005F72A0" w:rsidRPr="00E50F9D">
        <w:rPr>
          <w:rFonts w:asciiTheme="majorBidi" w:hAnsiTheme="majorBidi" w:cstheme="majorBidi"/>
          <w:sz w:val="24"/>
          <w:szCs w:val="24"/>
          <w:lang w:val="en-US"/>
        </w:rPr>
        <w:t xml:space="preserve"> </w:t>
      </w:r>
    </w:p>
    <w:p w14:paraId="66CF0201" w14:textId="445729E5" w:rsidR="00387D32" w:rsidRPr="00E50F9D" w:rsidRDefault="00426CC7" w:rsidP="00F16BBE">
      <w:pPr>
        <w:autoSpaceDE w:val="0"/>
        <w:autoSpaceDN w:val="0"/>
        <w:adjustRightInd w:val="0"/>
        <w:spacing w:after="0" w:line="480" w:lineRule="auto"/>
        <w:ind w:firstLine="708"/>
        <w:jc w:val="both"/>
        <w:rPr>
          <w:rFonts w:asciiTheme="majorBidi" w:hAnsiTheme="majorBidi" w:cstheme="majorBidi"/>
          <w:sz w:val="24"/>
          <w:szCs w:val="24"/>
          <w:lang w:val="en-US"/>
        </w:rPr>
      </w:pPr>
      <w:r w:rsidRPr="00E50F9D">
        <w:rPr>
          <w:rFonts w:asciiTheme="majorBidi" w:hAnsiTheme="majorBidi" w:cstheme="majorBidi"/>
          <w:sz w:val="24"/>
          <w:szCs w:val="24"/>
          <w:lang w:val="en-US"/>
        </w:rPr>
        <w:t>After controlling for firm and time effects, o</w:t>
      </w:r>
      <w:r w:rsidR="00E60C46" w:rsidRPr="00E50F9D">
        <w:rPr>
          <w:rFonts w:asciiTheme="majorBidi" w:hAnsiTheme="majorBidi" w:cstheme="majorBidi"/>
          <w:sz w:val="24"/>
          <w:szCs w:val="24"/>
          <w:lang w:val="en-US"/>
        </w:rPr>
        <w:t>ur results</w:t>
      </w:r>
      <w:r w:rsidRPr="00E50F9D">
        <w:rPr>
          <w:rFonts w:asciiTheme="majorBidi" w:hAnsiTheme="majorBidi" w:cstheme="majorBidi"/>
          <w:sz w:val="24"/>
          <w:szCs w:val="24"/>
          <w:lang w:val="en-US"/>
        </w:rPr>
        <w:t xml:space="preserve"> </w:t>
      </w:r>
      <w:r w:rsidR="00843644" w:rsidRPr="00E50F9D">
        <w:rPr>
          <w:rFonts w:asciiTheme="majorBidi" w:hAnsiTheme="majorBidi" w:cstheme="majorBidi"/>
          <w:sz w:val="24"/>
          <w:szCs w:val="24"/>
          <w:lang w:val="en-US"/>
        </w:rPr>
        <w:t xml:space="preserve">show </w:t>
      </w:r>
      <w:r w:rsidR="001D2D93" w:rsidRPr="00E50F9D">
        <w:rPr>
          <w:rFonts w:asciiTheme="majorBidi" w:hAnsiTheme="majorBidi" w:cstheme="majorBidi"/>
          <w:sz w:val="24"/>
          <w:szCs w:val="24"/>
          <w:lang w:val="en-US"/>
        </w:rPr>
        <w:t xml:space="preserve">that the coefficients of </w:t>
      </w:r>
      <w:r w:rsidR="001B08DC" w:rsidRPr="00E50F9D">
        <w:rPr>
          <w:rFonts w:ascii="Times New Roman" w:hAnsi="Times New Roman" w:cs="Times New Roman"/>
          <w:sz w:val="24"/>
          <w:szCs w:val="24"/>
        </w:rPr>
        <w:t>HHI×MC_LargeB</w:t>
      </w:r>
      <w:r w:rsidR="001D2D93" w:rsidRPr="00E50F9D">
        <w:rPr>
          <w:rFonts w:ascii="Times New Roman" w:hAnsi="Times New Roman" w:cs="Times New Roman"/>
          <w:sz w:val="24"/>
          <w:szCs w:val="24"/>
        </w:rPr>
        <w:t xml:space="preserve">, NPLs and EQTA are </w:t>
      </w:r>
      <w:r w:rsidR="0068779F" w:rsidRPr="00E50F9D">
        <w:rPr>
          <w:rFonts w:ascii="Times New Roman" w:hAnsi="Times New Roman" w:cs="Times New Roman"/>
          <w:sz w:val="24"/>
          <w:szCs w:val="24"/>
        </w:rPr>
        <w:t>all</w:t>
      </w:r>
      <w:r w:rsidR="0068779F" w:rsidRPr="00E50F9D">
        <w:rPr>
          <w:rFonts w:asciiTheme="majorBidi" w:hAnsiTheme="majorBidi" w:cstheme="majorBidi"/>
          <w:sz w:val="24"/>
          <w:szCs w:val="24"/>
          <w:lang w:val="en-US"/>
        </w:rPr>
        <w:t xml:space="preserve"> negatively and significantly </w:t>
      </w:r>
      <w:r w:rsidR="007371D3" w:rsidRPr="00E50F9D">
        <w:rPr>
          <w:rFonts w:asciiTheme="majorBidi" w:hAnsiTheme="majorBidi" w:cstheme="majorBidi"/>
          <w:sz w:val="24"/>
          <w:szCs w:val="24"/>
          <w:lang w:val="en-US"/>
        </w:rPr>
        <w:t>related to ROA for</w:t>
      </w:r>
      <w:r w:rsidR="00CF5E32" w:rsidRPr="00E50F9D">
        <w:rPr>
          <w:rFonts w:asciiTheme="majorBidi" w:hAnsiTheme="majorBidi" w:cstheme="majorBidi"/>
          <w:sz w:val="24"/>
          <w:szCs w:val="24"/>
          <w:lang w:val="en-US"/>
        </w:rPr>
        <w:t xml:space="preserve"> single-market banks. </w:t>
      </w:r>
      <w:r w:rsidR="00843644" w:rsidRPr="00E50F9D">
        <w:rPr>
          <w:rFonts w:asciiTheme="majorBidi" w:hAnsiTheme="majorBidi" w:cstheme="majorBidi"/>
          <w:sz w:val="24"/>
          <w:szCs w:val="24"/>
          <w:lang w:val="en-US"/>
        </w:rPr>
        <w:t xml:space="preserve">Our findings </w:t>
      </w:r>
      <w:r w:rsidR="000013DD" w:rsidRPr="00E50F9D">
        <w:rPr>
          <w:rFonts w:asciiTheme="majorBidi" w:hAnsiTheme="majorBidi" w:cstheme="majorBidi"/>
          <w:sz w:val="24"/>
          <w:szCs w:val="24"/>
          <w:lang w:val="en-US"/>
        </w:rPr>
        <w:t xml:space="preserve">also </w:t>
      </w:r>
      <w:r w:rsidR="00843644" w:rsidRPr="00E50F9D">
        <w:rPr>
          <w:rFonts w:asciiTheme="majorBidi" w:hAnsiTheme="majorBidi" w:cstheme="majorBidi"/>
          <w:sz w:val="24"/>
          <w:szCs w:val="24"/>
          <w:lang w:val="en-US"/>
        </w:rPr>
        <w:t>show that the</w:t>
      </w:r>
      <w:r w:rsidR="00CF5E32" w:rsidRPr="00E50F9D">
        <w:rPr>
          <w:rFonts w:asciiTheme="majorBidi" w:hAnsiTheme="majorBidi" w:cstheme="majorBidi"/>
          <w:sz w:val="24"/>
          <w:szCs w:val="24"/>
          <w:lang w:val="en-US"/>
        </w:rPr>
        <w:t xml:space="preserve"> join</w:t>
      </w:r>
      <w:r w:rsidR="00C74F1D" w:rsidRPr="00E50F9D">
        <w:rPr>
          <w:rFonts w:asciiTheme="majorBidi" w:hAnsiTheme="majorBidi" w:cstheme="majorBidi"/>
          <w:sz w:val="24"/>
          <w:szCs w:val="24"/>
          <w:lang w:val="en-US"/>
        </w:rPr>
        <w:t>t</w:t>
      </w:r>
      <w:r w:rsidR="00CF5E32" w:rsidRPr="00E50F9D">
        <w:rPr>
          <w:rFonts w:asciiTheme="majorBidi" w:hAnsiTheme="majorBidi" w:cstheme="majorBidi"/>
          <w:sz w:val="24"/>
          <w:szCs w:val="24"/>
          <w:lang w:val="en-US"/>
        </w:rPr>
        <w:t xml:space="preserve"> combination of </w:t>
      </w:r>
      <w:r w:rsidR="007371D3" w:rsidRPr="00E50F9D">
        <w:rPr>
          <w:rFonts w:asciiTheme="majorBidi" w:hAnsiTheme="majorBidi" w:cstheme="majorBidi"/>
          <w:sz w:val="24"/>
          <w:szCs w:val="24"/>
          <w:lang w:val="en-US"/>
        </w:rPr>
        <w:t xml:space="preserve">a </w:t>
      </w:r>
      <w:r w:rsidR="00CF5E32" w:rsidRPr="00E50F9D">
        <w:rPr>
          <w:rFonts w:asciiTheme="majorBidi" w:hAnsiTheme="majorBidi" w:cstheme="majorBidi"/>
          <w:sz w:val="24"/>
          <w:szCs w:val="24"/>
          <w:lang w:val="en-US"/>
        </w:rPr>
        <w:t>high concentration of banks and high presence of medium-large banks enhance</w:t>
      </w:r>
      <w:r w:rsidR="00843644" w:rsidRPr="00E50F9D">
        <w:rPr>
          <w:rFonts w:asciiTheme="majorBidi" w:hAnsiTheme="majorBidi" w:cstheme="majorBidi"/>
          <w:sz w:val="24"/>
          <w:szCs w:val="24"/>
          <w:lang w:val="en-US"/>
        </w:rPr>
        <w:t>s</w:t>
      </w:r>
      <w:r w:rsidR="00CF5E32" w:rsidRPr="00E50F9D">
        <w:rPr>
          <w:rFonts w:asciiTheme="majorBidi" w:hAnsiTheme="majorBidi" w:cstheme="majorBidi"/>
          <w:sz w:val="24"/>
          <w:szCs w:val="24"/>
          <w:lang w:val="en-US"/>
        </w:rPr>
        <w:t xml:space="preserve"> the performance of single-market banks</w:t>
      </w:r>
      <w:r w:rsidR="00843644" w:rsidRPr="00E50F9D">
        <w:rPr>
          <w:rFonts w:asciiTheme="majorBidi" w:hAnsiTheme="majorBidi" w:cstheme="majorBidi"/>
          <w:sz w:val="24"/>
          <w:szCs w:val="24"/>
          <w:lang w:val="en-US"/>
        </w:rPr>
        <w:t xml:space="preserve">, as predicted by the structure-conduct-performance paradigm. In contrast to our expectations, we </w:t>
      </w:r>
      <w:r w:rsidR="007371D3" w:rsidRPr="00E50F9D">
        <w:rPr>
          <w:rFonts w:asciiTheme="majorBidi" w:hAnsiTheme="majorBidi" w:cstheme="majorBidi"/>
          <w:sz w:val="24"/>
          <w:szCs w:val="24"/>
          <w:lang w:val="en-US"/>
        </w:rPr>
        <w:t>find</w:t>
      </w:r>
      <w:r w:rsidR="00843644" w:rsidRPr="00E50F9D">
        <w:rPr>
          <w:rFonts w:asciiTheme="majorBidi" w:hAnsiTheme="majorBidi" w:cstheme="majorBidi"/>
          <w:sz w:val="24"/>
          <w:szCs w:val="24"/>
          <w:lang w:val="en-US"/>
        </w:rPr>
        <w:t xml:space="preserve"> that the presence of medium-large banks intensif</w:t>
      </w:r>
      <w:r w:rsidR="00C74F1D" w:rsidRPr="00E50F9D">
        <w:rPr>
          <w:rFonts w:asciiTheme="majorBidi" w:hAnsiTheme="majorBidi" w:cstheme="majorBidi"/>
          <w:sz w:val="24"/>
          <w:szCs w:val="24"/>
          <w:lang w:val="en-US"/>
        </w:rPr>
        <w:t>ies</w:t>
      </w:r>
      <w:r w:rsidR="00843644" w:rsidRPr="00E50F9D">
        <w:rPr>
          <w:rFonts w:asciiTheme="majorBidi" w:hAnsiTheme="majorBidi" w:cstheme="majorBidi"/>
          <w:sz w:val="24"/>
          <w:szCs w:val="24"/>
          <w:lang w:val="en-US"/>
        </w:rPr>
        <w:t xml:space="preserve"> </w:t>
      </w:r>
      <w:r w:rsidR="007371D3" w:rsidRPr="00E50F9D">
        <w:rPr>
          <w:rFonts w:asciiTheme="majorBidi" w:hAnsiTheme="majorBidi" w:cstheme="majorBidi"/>
          <w:sz w:val="24"/>
          <w:szCs w:val="24"/>
          <w:lang w:val="en-US"/>
        </w:rPr>
        <w:t>this</w:t>
      </w:r>
      <w:r w:rsidR="00843644" w:rsidRPr="00E50F9D">
        <w:rPr>
          <w:rFonts w:asciiTheme="majorBidi" w:hAnsiTheme="majorBidi" w:cstheme="majorBidi"/>
          <w:sz w:val="24"/>
          <w:szCs w:val="24"/>
          <w:lang w:val="en-US"/>
        </w:rPr>
        <w:t xml:space="preserve"> relationship. </w:t>
      </w:r>
      <w:r w:rsidR="005F5C6B" w:rsidRPr="00E50F9D">
        <w:rPr>
          <w:rFonts w:asciiTheme="majorBidi" w:hAnsiTheme="majorBidi" w:cstheme="majorBidi"/>
          <w:sz w:val="24"/>
          <w:szCs w:val="24"/>
          <w:lang w:val="en-US"/>
        </w:rPr>
        <w:t xml:space="preserve">This outcome is not consistent with previous studies on the US banking system. For example, </w:t>
      </w:r>
      <w:r w:rsidR="005F5C6B" w:rsidRPr="00E50F9D">
        <w:rPr>
          <w:rFonts w:asciiTheme="majorBidi" w:hAnsiTheme="majorBidi" w:cstheme="majorBidi"/>
          <w:sz w:val="24"/>
          <w:szCs w:val="24"/>
          <w:lang w:val="en-GB"/>
        </w:rPr>
        <w:t xml:space="preserve">Berger et al. (2007) find that the profitability of single-small banks is negatively related to multi-market bank presence in the 1990s, because multi-market banks experienced unprecedented technological progress in lending, which provides them with an advantage compared to their smaller counterparts. </w:t>
      </w:r>
      <w:r w:rsidR="005F5C6B" w:rsidRPr="00E50F9D">
        <w:rPr>
          <w:rFonts w:asciiTheme="majorBidi" w:hAnsiTheme="majorBidi" w:cstheme="majorBidi"/>
          <w:sz w:val="24"/>
          <w:szCs w:val="24"/>
          <w:lang w:val="en-US"/>
        </w:rPr>
        <w:t>Our</w:t>
      </w:r>
      <w:r w:rsidR="000013DD" w:rsidRPr="00E50F9D">
        <w:rPr>
          <w:rFonts w:asciiTheme="majorBidi" w:hAnsiTheme="majorBidi" w:cstheme="majorBidi"/>
          <w:sz w:val="24"/>
          <w:szCs w:val="24"/>
          <w:lang w:val="en-US"/>
        </w:rPr>
        <w:t xml:space="preserve"> results may suggest that small banks do not compete with large and medium banks and do not share the same type of clients. Consistently, the </w:t>
      </w:r>
      <w:r w:rsidR="00843644" w:rsidRPr="00E50F9D">
        <w:rPr>
          <w:rFonts w:asciiTheme="majorBidi" w:hAnsiTheme="majorBidi" w:cstheme="majorBidi"/>
          <w:sz w:val="24"/>
          <w:szCs w:val="24"/>
          <w:lang w:val="en-US"/>
        </w:rPr>
        <w:t>banking literature acknowledges the importance of bank organizational form and complexity for</w:t>
      </w:r>
      <w:r w:rsidR="00CD7ED0" w:rsidRPr="00E50F9D">
        <w:rPr>
          <w:rFonts w:asciiTheme="majorBidi" w:hAnsiTheme="majorBidi" w:cstheme="majorBidi"/>
          <w:sz w:val="24"/>
          <w:szCs w:val="24"/>
          <w:lang w:val="en-US"/>
        </w:rPr>
        <w:t xml:space="preserve"> </w:t>
      </w:r>
      <w:r w:rsidR="00843644" w:rsidRPr="00E50F9D">
        <w:rPr>
          <w:rFonts w:asciiTheme="majorBidi" w:hAnsiTheme="majorBidi" w:cstheme="majorBidi"/>
          <w:sz w:val="24"/>
          <w:szCs w:val="24"/>
          <w:lang w:val="en-US"/>
        </w:rPr>
        <w:t xml:space="preserve">credit allocation. </w:t>
      </w:r>
      <w:r w:rsidR="0068779F" w:rsidRPr="00E50F9D">
        <w:rPr>
          <w:rFonts w:asciiTheme="majorBidi" w:hAnsiTheme="majorBidi" w:cstheme="majorBidi"/>
          <w:sz w:val="24"/>
          <w:szCs w:val="24"/>
          <w:lang w:val="en-US"/>
        </w:rPr>
        <w:t xml:space="preserve">Highly hierarchically organized banks tend to experience more organizational frictions in lending information to opaque borrowers, which are typically small and innovative firms (Berger and Frame, 2005; Uchida et al., 2008). The gathering of soft information is a costly and unobservable investment for local officers (Alessandrini et al., 2010) and generates agency and incentive problems throughout the banking organisation, especially if several managerial layers (Berger and Udell, 2002). Therefore, large banks are more prone to lend to larger and more transparent firms (Berger et al., 2005; Uchida et al., 2008), rather than financing small and innovative businesses. </w:t>
      </w:r>
      <w:r w:rsidR="00CD7ED0" w:rsidRPr="00E50F9D">
        <w:rPr>
          <w:rFonts w:asciiTheme="majorBidi" w:hAnsiTheme="majorBidi" w:cstheme="majorBidi"/>
          <w:sz w:val="24"/>
          <w:szCs w:val="24"/>
          <w:lang w:val="en-US"/>
        </w:rPr>
        <w:t xml:space="preserve">In contrast, small </w:t>
      </w:r>
      <w:r w:rsidR="00843644" w:rsidRPr="00E50F9D">
        <w:rPr>
          <w:rFonts w:asciiTheme="majorBidi" w:hAnsiTheme="majorBidi" w:cstheme="majorBidi"/>
          <w:sz w:val="24"/>
          <w:szCs w:val="24"/>
          <w:lang w:val="en-US"/>
        </w:rPr>
        <w:t>banks allocate more lending to small businesses than large banks. Small ban</w:t>
      </w:r>
      <w:r w:rsidR="00CD7ED0" w:rsidRPr="00E50F9D">
        <w:rPr>
          <w:rFonts w:asciiTheme="majorBidi" w:hAnsiTheme="majorBidi" w:cstheme="majorBidi"/>
          <w:sz w:val="24"/>
          <w:szCs w:val="24"/>
          <w:lang w:val="en-US"/>
        </w:rPr>
        <w:t xml:space="preserve">ks are able to meet the </w:t>
      </w:r>
      <w:r w:rsidR="00843644" w:rsidRPr="00E50F9D">
        <w:rPr>
          <w:rFonts w:asciiTheme="majorBidi" w:hAnsiTheme="majorBidi" w:cstheme="majorBidi"/>
          <w:sz w:val="24"/>
          <w:szCs w:val="24"/>
          <w:lang w:val="en-US"/>
        </w:rPr>
        <w:t>credit needs of small businesses more effectively due to their access to better</w:t>
      </w:r>
      <w:r w:rsidR="00CD7ED0" w:rsidRPr="00E50F9D">
        <w:rPr>
          <w:rFonts w:asciiTheme="majorBidi" w:hAnsiTheme="majorBidi" w:cstheme="majorBidi"/>
          <w:sz w:val="24"/>
          <w:szCs w:val="24"/>
          <w:lang w:val="en-US"/>
        </w:rPr>
        <w:t xml:space="preserve"> credit information and ability </w:t>
      </w:r>
      <w:r w:rsidR="00843644" w:rsidRPr="00E50F9D">
        <w:rPr>
          <w:rFonts w:asciiTheme="majorBidi" w:hAnsiTheme="majorBidi" w:cstheme="majorBidi"/>
          <w:sz w:val="24"/>
          <w:szCs w:val="24"/>
          <w:lang w:val="en-US"/>
        </w:rPr>
        <w:t>to manage soft inf</w:t>
      </w:r>
      <w:r w:rsidR="00DB7AF6" w:rsidRPr="00E50F9D">
        <w:rPr>
          <w:rFonts w:asciiTheme="majorBidi" w:hAnsiTheme="majorBidi" w:cstheme="majorBidi"/>
          <w:sz w:val="24"/>
          <w:szCs w:val="24"/>
          <w:lang w:val="en-US"/>
        </w:rPr>
        <w:t>ormation (Berger and Udell 2002;</w:t>
      </w:r>
      <w:r w:rsidR="00843644" w:rsidRPr="00E50F9D">
        <w:rPr>
          <w:rFonts w:asciiTheme="majorBidi" w:hAnsiTheme="majorBidi" w:cstheme="majorBidi"/>
          <w:sz w:val="24"/>
          <w:szCs w:val="24"/>
          <w:lang w:val="en-US"/>
        </w:rPr>
        <w:t xml:space="preserve"> </w:t>
      </w:r>
      <w:r w:rsidR="00843644" w:rsidRPr="00E50F9D">
        <w:rPr>
          <w:rFonts w:asciiTheme="majorBidi" w:hAnsiTheme="majorBidi" w:cstheme="majorBidi"/>
          <w:sz w:val="24"/>
          <w:szCs w:val="24"/>
          <w:lang w:val="en-GB"/>
        </w:rPr>
        <w:t xml:space="preserve">Uchida et al., 2008). </w:t>
      </w:r>
      <w:r w:rsidR="0068779F" w:rsidRPr="00E50F9D">
        <w:rPr>
          <w:rFonts w:asciiTheme="majorBidi" w:hAnsiTheme="majorBidi" w:cstheme="majorBidi"/>
          <w:sz w:val="24"/>
          <w:szCs w:val="24"/>
          <w:lang w:val="en-GB"/>
        </w:rPr>
        <w:t xml:space="preserve">Therefore, small banks can still preserve a privileged position in lending to SMEs compared to large banks. </w:t>
      </w:r>
      <w:r w:rsidR="000013DD" w:rsidRPr="00E50F9D">
        <w:rPr>
          <w:rFonts w:asciiTheme="majorBidi" w:hAnsiTheme="majorBidi" w:cstheme="majorBidi"/>
          <w:sz w:val="24"/>
          <w:szCs w:val="24"/>
          <w:lang w:val="en-GB"/>
        </w:rPr>
        <w:t>This</w:t>
      </w:r>
      <w:r w:rsidR="000F6F93" w:rsidRPr="00E50F9D">
        <w:rPr>
          <w:rFonts w:asciiTheme="majorBidi" w:hAnsiTheme="majorBidi" w:cstheme="majorBidi"/>
          <w:sz w:val="24"/>
          <w:szCs w:val="24"/>
          <w:lang w:val="en-GB"/>
        </w:rPr>
        <w:t xml:space="preserve"> view finds further confirmation </w:t>
      </w:r>
      <w:r w:rsidR="000013DD" w:rsidRPr="00E50F9D">
        <w:rPr>
          <w:rFonts w:asciiTheme="majorBidi" w:hAnsiTheme="majorBidi" w:cstheme="majorBidi"/>
          <w:sz w:val="24"/>
          <w:szCs w:val="24"/>
          <w:lang w:val="en-GB"/>
        </w:rPr>
        <w:t xml:space="preserve">when we look at the </w:t>
      </w:r>
      <w:r w:rsidR="000F6F93" w:rsidRPr="00E50F9D">
        <w:rPr>
          <w:rFonts w:asciiTheme="majorBidi" w:hAnsiTheme="majorBidi" w:cstheme="majorBidi"/>
          <w:sz w:val="24"/>
          <w:szCs w:val="24"/>
          <w:lang w:val="en-GB"/>
        </w:rPr>
        <w:t xml:space="preserve">relationship between the presence of large-medium bank in the province and the Lerner Index for loans and deposits of single-market banks. </w:t>
      </w:r>
      <w:r w:rsidR="00B2003A" w:rsidRPr="00E50F9D">
        <w:rPr>
          <w:rFonts w:asciiTheme="majorBidi" w:hAnsiTheme="majorBidi" w:cstheme="majorBidi"/>
          <w:sz w:val="24"/>
          <w:szCs w:val="24"/>
          <w:lang w:val="en-GB"/>
        </w:rPr>
        <w:t>In contrast to H3.b</w:t>
      </w:r>
      <w:r w:rsidR="000F6F93" w:rsidRPr="00E50F9D">
        <w:rPr>
          <w:rFonts w:asciiTheme="majorBidi" w:hAnsiTheme="majorBidi" w:cstheme="majorBidi"/>
          <w:sz w:val="24"/>
          <w:szCs w:val="24"/>
          <w:lang w:val="en-GB"/>
        </w:rPr>
        <w:t xml:space="preserve">, the entrance of medium-large banks do not affect the monopoly market power of single-market banks in the loan market. </w:t>
      </w:r>
      <w:r w:rsidR="000013DD" w:rsidRPr="00E50F9D">
        <w:rPr>
          <w:rFonts w:asciiTheme="majorBidi" w:hAnsiTheme="majorBidi" w:cstheme="majorBidi"/>
          <w:sz w:val="24"/>
          <w:szCs w:val="24"/>
          <w:lang w:val="en-GB"/>
        </w:rPr>
        <w:t xml:space="preserve"> </w:t>
      </w:r>
      <w:r w:rsidR="00C04E4E" w:rsidRPr="00E50F9D">
        <w:rPr>
          <w:rFonts w:asciiTheme="majorBidi" w:hAnsiTheme="majorBidi" w:cstheme="majorBidi"/>
          <w:sz w:val="24"/>
          <w:szCs w:val="24"/>
          <w:lang w:val="en-GB"/>
        </w:rPr>
        <w:t xml:space="preserve">We find that single-market banks experience a </w:t>
      </w:r>
      <w:r w:rsidR="00ED587B" w:rsidRPr="00E50F9D">
        <w:rPr>
          <w:rFonts w:asciiTheme="majorBidi" w:hAnsiTheme="majorBidi" w:cstheme="majorBidi"/>
          <w:sz w:val="24"/>
          <w:szCs w:val="24"/>
          <w:lang w:val="en-GB"/>
        </w:rPr>
        <w:t xml:space="preserve">drop </w:t>
      </w:r>
      <w:r w:rsidR="00C04E4E" w:rsidRPr="00E50F9D">
        <w:rPr>
          <w:rFonts w:asciiTheme="majorBidi" w:hAnsiTheme="majorBidi" w:cstheme="majorBidi"/>
          <w:sz w:val="24"/>
          <w:szCs w:val="24"/>
          <w:lang w:val="en-GB"/>
        </w:rPr>
        <w:t>in the Lerner Index in the deposit market</w:t>
      </w:r>
      <w:r w:rsidR="00175346" w:rsidRPr="00E50F9D">
        <w:rPr>
          <w:rFonts w:asciiTheme="majorBidi" w:hAnsiTheme="majorBidi" w:cstheme="majorBidi"/>
          <w:sz w:val="24"/>
          <w:szCs w:val="24"/>
          <w:lang w:val="en-GB"/>
        </w:rPr>
        <w:t>,</w:t>
      </w:r>
      <w:r w:rsidR="00C04E4E" w:rsidRPr="00E50F9D">
        <w:rPr>
          <w:rFonts w:asciiTheme="majorBidi" w:hAnsiTheme="majorBidi" w:cstheme="majorBidi"/>
          <w:sz w:val="24"/>
          <w:szCs w:val="24"/>
          <w:lang w:val="en-GB"/>
        </w:rPr>
        <w:t xml:space="preserve"> due to an increase in the number of medium-large banks in this market.</w:t>
      </w:r>
      <w:r w:rsidR="008B695C" w:rsidRPr="00E50F9D">
        <w:rPr>
          <w:rFonts w:asciiTheme="majorBidi" w:hAnsiTheme="majorBidi" w:cstheme="majorBidi"/>
          <w:sz w:val="24"/>
          <w:szCs w:val="24"/>
          <w:lang w:val="en-GB"/>
        </w:rPr>
        <w:t xml:space="preserve"> </w:t>
      </w:r>
      <w:r w:rsidR="00983CCB" w:rsidRPr="00E50F9D">
        <w:rPr>
          <w:rFonts w:asciiTheme="majorBidi" w:hAnsiTheme="majorBidi" w:cstheme="majorBidi"/>
          <w:sz w:val="24"/>
          <w:szCs w:val="24"/>
          <w:lang w:val="en-GB"/>
        </w:rPr>
        <w:t>As argued by Park and Pennacchi (2009</w:t>
      </w:r>
      <w:r w:rsidR="00983CCB" w:rsidRPr="00E50F9D">
        <w:rPr>
          <w:rFonts w:asciiTheme="majorBidi" w:hAnsiTheme="majorBidi" w:cstheme="majorBidi"/>
          <w:sz w:val="24"/>
          <w:szCs w:val="24"/>
          <w:lang w:val="en-US"/>
        </w:rPr>
        <w:t xml:space="preserve">), medium and </w:t>
      </w:r>
      <w:r w:rsidR="00983CCB" w:rsidRPr="00E50F9D">
        <w:rPr>
          <w:rFonts w:asciiTheme="majorBidi" w:hAnsiTheme="majorBidi" w:cstheme="majorBidi"/>
          <w:sz w:val="24"/>
          <w:szCs w:val="24"/>
          <w:lang w:val="en-GB"/>
        </w:rPr>
        <w:t xml:space="preserve">large banks tend to </w:t>
      </w:r>
      <w:r w:rsidR="00A44FE7" w:rsidRPr="00E50F9D">
        <w:rPr>
          <w:rFonts w:asciiTheme="majorBidi" w:hAnsiTheme="majorBidi" w:cstheme="majorBidi"/>
          <w:sz w:val="24"/>
          <w:szCs w:val="24"/>
          <w:lang w:val="en-GB"/>
        </w:rPr>
        <w:t>harm competition in retail deposit markets</w:t>
      </w:r>
      <w:r w:rsidR="00983CCB" w:rsidRPr="00E50F9D">
        <w:rPr>
          <w:rFonts w:asciiTheme="majorBidi" w:hAnsiTheme="majorBidi" w:cstheme="majorBidi"/>
          <w:sz w:val="24"/>
          <w:szCs w:val="24"/>
          <w:lang w:val="en-GB"/>
        </w:rPr>
        <w:t xml:space="preserve">. </w:t>
      </w:r>
      <w:r w:rsidR="004B7E72" w:rsidRPr="00E50F9D">
        <w:rPr>
          <w:rFonts w:asciiTheme="majorBidi" w:hAnsiTheme="majorBidi" w:cstheme="majorBidi"/>
          <w:sz w:val="24"/>
          <w:szCs w:val="24"/>
          <w:lang w:val="en-GB"/>
        </w:rPr>
        <w:t>Thus,</w:t>
      </w:r>
      <w:r w:rsidR="00983CCB" w:rsidRPr="00E50F9D">
        <w:rPr>
          <w:rFonts w:asciiTheme="majorBidi" w:hAnsiTheme="majorBidi" w:cstheme="majorBidi"/>
          <w:sz w:val="24"/>
          <w:szCs w:val="24"/>
          <w:lang w:val="en-US"/>
        </w:rPr>
        <w:t xml:space="preserve"> the presence of multi-market banks generate</w:t>
      </w:r>
      <w:r w:rsidR="0068779F" w:rsidRPr="00E50F9D">
        <w:rPr>
          <w:rFonts w:asciiTheme="majorBidi" w:hAnsiTheme="majorBidi" w:cstheme="majorBidi"/>
          <w:sz w:val="24"/>
          <w:szCs w:val="24"/>
          <w:lang w:val="en-US"/>
        </w:rPr>
        <w:t>s</w:t>
      </w:r>
      <w:r w:rsidR="00983CCB" w:rsidRPr="00E50F9D">
        <w:rPr>
          <w:rFonts w:asciiTheme="majorBidi" w:hAnsiTheme="majorBidi" w:cstheme="majorBidi"/>
          <w:sz w:val="24"/>
          <w:szCs w:val="24"/>
          <w:lang w:val="en-US"/>
        </w:rPr>
        <w:t xml:space="preserve"> an anti-competitive effect on retail deposits. </w:t>
      </w:r>
      <w:r w:rsidR="00387D32" w:rsidRPr="00E50F9D">
        <w:rPr>
          <w:rFonts w:asciiTheme="majorBidi" w:hAnsiTheme="majorBidi" w:cstheme="majorBidi"/>
          <w:sz w:val="24"/>
          <w:szCs w:val="24"/>
          <w:lang w:val="en-US"/>
        </w:rPr>
        <w:t xml:space="preserve">Furthermore, consistently with </w:t>
      </w:r>
      <w:r w:rsidR="00B2003A" w:rsidRPr="00E50F9D">
        <w:rPr>
          <w:rFonts w:asciiTheme="majorBidi" w:hAnsiTheme="majorBidi" w:cstheme="majorBidi"/>
          <w:sz w:val="24"/>
          <w:szCs w:val="24"/>
          <w:lang w:val="en-US"/>
        </w:rPr>
        <w:t>H4.a</w:t>
      </w:r>
      <w:r w:rsidR="00387D32" w:rsidRPr="00E50F9D">
        <w:rPr>
          <w:rFonts w:asciiTheme="majorBidi" w:hAnsiTheme="majorBidi" w:cstheme="majorBidi"/>
          <w:sz w:val="24"/>
          <w:szCs w:val="24"/>
          <w:lang w:val="en-US"/>
        </w:rPr>
        <w:t>, we find that the amount of loans to total assets of single-market banks decrease</w:t>
      </w:r>
      <w:r w:rsidR="00B2003A" w:rsidRPr="00E50F9D">
        <w:rPr>
          <w:rFonts w:asciiTheme="majorBidi" w:hAnsiTheme="majorBidi" w:cstheme="majorBidi"/>
          <w:sz w:val="24"/>
          <w:szCs w:val="24"/>
          <w:lang w:val="en-US"/>
        </w:rPr>
        <w:t>s</w:t>
      </w:r>
      <w:r w:rsidR="00387D32" w:rsidRPr="00E50F9D">
        <w:rPr>
          <w:rFonts w:asciiTheme="majorBidi" w:hAnsiTheme="majorBidi" w:cstheme="majorBidi"/>
          <w:sz w:val="24"/>
          <w:szCs w:val="24"/>
          <w:lang w:val="en-US"/>
        </w:rPr>
        <w:t xml:space="preserve"> as the market coverage of medium and large banks increases together with the market concentration</w:t>
      </w:r>
      <w:r w:rsidR="00112B3D" w:rsidRPr="00E50F9D">
        <w:rPr>
          <w:rFonts w:asciiTheme="majorBidi" w:hAnsiTheme="majorBidi" w:cstheme="majorBidi"/>
          <w:sz w:val="24"/>
          <w:szCs w:val="24"/>
          <w:lang w:val="en-US"/>
        </w:rPr>
        <w:t xml:space="preserve"> (See Specification</w:t>
      </w:r>
      <w:r w:rsidR="00387D32" w:rsidRPr="00E50F9D">
        <w:rPr>
          <w:rFonts w:asciiTheme="majorBidi" w:hAnsiTheme="majorBidi" w:cstheme="majorBidi"/>
          <w:sz w:val="24"/>
          <w:szCs w:val="24"/>
          <w:lang w:val="en-US"/>
        </w:rPr>
        <w:t xml:space="preserve"> 3</w:t>
      </w:r>
      <w:r w:rsidR="001B6B69" w:rsidRPr="00E50F9D">
        <w:rPr>
          <w:rFonts w:asciiTheme="majorBidi" w:hAnsiTheme="majorBidi" w:cstheme="majorBidi"/>
          <w:sz w:val="24"/>
          <w:szCs w:val="24"/>
          <w:lang w:val="en-US"/>
        </w:rPr>
        <w:t xml:space="preserve"> of Model 2</w:t>
      </w:r>
      <w:r w:rsidR="00387D32" w:rsidRPr="00E50F9D">
        <w:rPr>
          <w:rFonts w:asciiTheme="majorBidi" w:hAnsiTheme="majorBidi" w:cstheme="majorBidi"/>
          <w:sz w:val="24"/>
          <w:szCs w:val="24"/>
          <w:lang w:val="en-US"/>
        </w:rPr>
        <w:t>, Table 6).</w:t>
      </w:r>
      <w:r w:rsidR="00387D32" w:rsidRPr="00E50F9D">
        <w:rPr>
          <w:rStyle w:val="EndnoteReference"/>
          <w:rFonts w:asciiTheme="majorBidi" w:hAnsiTheme="majorBidi" w:cstheme="majorBidi"/>
          <w:sz w:val="24"/>
          <w:szCs w:val="24"/>
          <w:lang w:val="en-US"/>
        </w:rPr>
        <w:t xml:space="preserve"> </w:t>
      </w:r>
      <w:r w:rsidR="00387D32" w:rsidRPr="00E50F9D">
        <w:rPr>
          <w:rFonts w:asciiTheme="majorBidi" w:hAnsiTheme="majorBidi" w:cstheme="majorBidi"/>
          <w:sz w:val="24"/>
          <w:szCs w:val="24"/>
          <w:lang w:val="en-US"/>
        </w:rPr>
        <w:t xml:space="preserve">Large banks are also more diversified: the availability of a full </w:t>
      </w:r>
      <w:r w:rsidR="00387D32" w:rsidRPr="00E50F9D">
        <w:rPr>
          <w:rFonts w:asciiTheme="majorBidi" w:hAnsiTheme="majorBidi" w:cstheme="majorBidi"/>
          <w:sz w:val="24"/>
          <w:szCs w:val="24"/>
          <w:lang w:val="en-GB"/>
        </w:rPr>
        <w:t xml:space="preserve">range of products (factoring, international payments, consultant activities etc.) by a single provider is perceived as a factor of product </w:t>
      </w:r>
      <w:r w:rsidR="00461B29" w:rsidRPr="00E50F9D">
        <w:rPr>
          <w:rFonts w:asciiTheme="majorBidi" w:hAnsiTheme="majorBidi" w:cstheme="majorBidi"/>
          <w:sz w:val="24"/>
          <w:szCs w:val="24"/>
          <w:lang w:val="en-GB"/>
        </w:rPr>
        <w:t>quality, which</w:t>
      </w:r>
      <w:r w:rsidR="00387D32" w:rsidRPr="00E50F9D">
        <w:rPr>
          <w:rFonts w:asciiTheme="majorBidi" w:hAnsiTheme="majorBidi" w:cstheme="majorBidi"/>
          <w:sz w:val="24"/>
          <w:szCs w:val="24"/>
          <w:lang w:val="en-GB"/>
        </w:rPr>
        <w:t xml:space="preserve"> can in turn bolster the reputation of a bank. </w:t>
      </w:r>
      <w:r w:rsidR="00B2003A" w:rsidRPr="00E50F9D">
        <w:rPr>
          <w:rFonts w:asciiTheme="majorBidi" w:hAnsiTheme="majorBidi" w:cstheme="majorBidi"/>
          <w:sz w:val="24"/>
          <w:szCs w:val="24"/>
          <w:lang w:val="en-GB"/>
        </w:rPr>
        <w:t>Finally, we do not find support for H4.b.</w:t>
      </w:r>
    </w:p>
    <w:p w14:paraId="364930BF" w14:textId="47FC17AE" w:rsidR="00AE36BD" w:rsidRPr="00E50F9D" w:rsidRDefault="00AE36BD" w:rsidP="00333904">
      <w:pPr>
        <w:autoSpaceDE w:val="0"/>
        <w:autoSpaceDN w:val="0"/>
        <w:adjustRightInd w:val="0"/>
        <w:spacing w:after="0" w:line="480" w:lineRule="auto"/>
        <w:ind w:firstLine="708"/>
        <w:jc w:val="both"/>
        <w:rPr>
          <w:rFonts w:asciiTheme="majorBidi" w:hAnsiTheme="majorBidi" w:cstheme="majorBidi"/>
          <w:sz w:val="24"/>
          <w:szCs w:val="24"/>
          <w:lang w:val="en-US"/>
        </w:rPr>
      </w:pPr>
      <w:r w:rsidRPr="00E50F9D">
        <w:rPr>
          <w:rFonts w:ascii="Times New Roman" w:hAnsi="Times New Roman" w:cs="Times New Roman"/>
          <w:sz w:val="24"/>
          <w:szCs w:val="24"/>
          <w:lang w:val="en-GB"/>
        </w:rPr>
        <w:t>The relationship between HHI×MC_Large</w:t>
      </w:r>
      <w:r w:rsidR="00C14826" w:rsidRPr="00E50F9D">
        <w:rPr>
          <w:rFonts w:ascii="Times New Roman" w:hAnsi="Times New Roman" w:cs="Times New Roman"/>
          <w:sz w:val="24"/>
          <w:szCs w:val="24"/>
          <w:lang w:val="en-GB"/>
        </w:rPr>
        <w:t>B</w:t>
      </w:r>
      <w:r w:rsidRPr="00E50F9D">
        <w:rPr>
          <w:rFonts w:ascii="Times New Roman" w:hAnsi="Times New Roman" w:cs="Times New Roman"/>
          <w:sz w:val="24"/>
          <w:szCs w:val="24"/>
          <w:lang w:val="en-GB"/>
        </w:rPr>
        <w:t xml:space="preserve"> and the dependent variables are economically significant. For example, a one standard deviation increase of HHI×MC_Large</w:t>
      </w:r>
      <w:r w:rsidR="00C14826" w:rsidRPr="00E50F9D">
        <w:rPr>
          <w:rFonts w:ascii="Times New Roman" w:hAnsi="Times New Roman" w:cs="Times New Roman"/>
          <w:sz w:val="24"/>
          <w:szCs w:val="24"/>
          <w:lang w:val="en-GB"/>
        </w:rPr>
        <w:t>B</w:t>
      </w:r>
      <w:r w:rsidRPr="00E50F9D">
        <w:rPr>
          <w:rFonts w:ascii="Times New Roman" w:hAnsi="Times New Roman" w:cs="Times New Roman"/>
          <w:sz w:val="24"/>
          <w:szCs w:val="24"/>
          <w:lang w:val="en-GB"/>
        </w:rPr>
        <w:t xml:space="preserve"> is associated with a 2.6% (0.67</w:t>
      </w:r>
      <m:oMath>
        <m:r>
          <m:rPr>
            <m:sty m:val="p"/>
          </m:rPr>
          <w:rPr>
            <w:rFonts w:ascii="Cambria Math" w:hAnsi="Cambria Math" w:cs="Times New Roman"/>
            <w:sz w:val="24"/>
            <w:szCs w:val="24"/>
          </w:rPr>
          <m:t>×</m:t>
        </m:r>
      </m:oMath>
      <w:r w:rsidRPr="00E50F9D">
        <w:rPr>
          <w:rFonts w:ascii="Times New Roman" w:hAnsi="Times New Roman" w:cs="Times New Roman"/>
          <w:sz w:val="24"/>
          <w:szCs w:val="24"/>
          <w:lang w:val="en-GB"/>
        </w:rPr>
        <w:t xml:space="preserve">0.04) decrease in the ratio loans to total assets. The reduction of the Lerner Index in the deposit market appears to be more consistent, </w:t>
      </w:r>
      <w:r w:rsidR="00C20FD1" w:rsidRPr="00E50F9D">
        <w:rPr>
          <w:rFonts w:ascii="Times New Roman" w:hAnsi="Times New Roman" w:cs="Times New Roman"/>
          <w:sz w:val="24"/>
          <w:szCs w:val="24"/>
          <w:lang w:val="en-GB"/>
        </w:rPr>
        <w:t>2.2</w:t>
      </w:r>
      <w:r w:rsidR="007E7995" w:rsidRPr="00E50F9D">
        <w:rPr>
          <w:rFonts w:ascii="Times New Roman" w:hAnsi="Times New Roman" w:cs="Times New Roman"/>
          <w:sz w:val="24"/>
          <w:szCs w:val="24"/>
          <w:lang w:val="en-GB"/>
        </w:rPr>
        <w:t>%</w:t>
      </w:r>
      <w:r w:rsidR="00714FD9" w:rsidRPr="00E50F9D">
        <w:rPr>
          <w:rFonts w:ascii="Times New Roman" w:hAnsi="Times New Roman" w:cs="Times New Roman"/>
          <w:sz w:val="24"/>
          <w:szCs w:val="24"/>
          <w:lang w:val="en-GB"/>
        </w:rPr>
        <w:t xml:space="preserve"> (</w:t>
      </w:r>
      <w:r w:rsidR="00C20FD1" w:rsidRPr="00E50F9D">
        <w:rPr>
          <w:rFonts w:ascii="Times New Roman" w:hAnsi="Times New Roman" w:cs="Times New Roman"/>
          <w:sz w:val="24"/>
          <w:szCs w:val="24"/>
          <w:lang w:val="en-GB"/>
        </w:rPr>
        <w:t>-</w:t>
      </w:r>
      <w:r w:rsidR="00714FD9" w:rsidRPr="00E50F9D">
        <w:rPr>
          <w:rFonts w:ascii="Times New Roman" w:hAnsi="Times New Roman" w:cs="Times New Roman"/>
          <w:sz w:val="24"/>
          <w:szCs w:val="24"/>
          <w:lang w:val="en-GB"/>
        </w:rPr>
        <w:t>0.</w:t>
      </w:r>
      <w:r w:rsidR="00C20FD1" w:rsidRPr="00E50F9D">
        <w:rPr>
          <w:rFonts w:ascii="Times New Roman" w:hAnsi="Times New Roman" w:cs="Times New Roman"/>
          <w:sz w:val="24"/>
          <w:szCs w:val="24"/>
          <w:lang w:val="en-GB"/>
        </w:rPr>
        <w:t>547</w:t>
      </w:r>
      <m:oMath>
        <m:r>
          <m:rPr>
            <m:sty m:val="p"/>
          </m:rPr>
          <w:rPr>
            <w:rFonts w:ascii="Cambria Math" w:hAnsi="Cambria Math" w:cs="Times New Roman"/>
            <w:sz w:val="24"/>
            <w:szCs w:val="24"/>
          </w:rPr>
          <m:t>×</m:t>
        </m:r>
      </m:oMath>
      <w:r w:rsidR="00714FD9" w:rsidRPr="00E50F9D">
        <w:rPr>
          <w:rFonts w:ascii="Times New Roman" w:hAnsi="Times New Roman" w:cs="Times New Roman"/>
          <w:sz w:val="24"/>
          <w:szCs w:val="24"/>
          <w:lang w:val="en-GB"/>
        </w:rPr>
        <w:t>0.04)</w:t>
      </w:r>
      <w:r w:rsidRPr="00E50F9D">
        <w:rPr>
          <w:rFonts w:ascii="Times New Roman" w:hAnsi="Times New Roman" w:cs="Times New Roman"/>
          <w:sz w:val="24"/>
          <w:szCs w:val="24"/>
          <w:lang w:val="en-GB"/>
        </w:rPr>
        <w:t>.</w:t>
      </w:r>
    </w:p>
    <w:p w14:paraId="480AEB36" w14:textId="77777777" w:rsidR="00862E4D" w:rsidRPr="00E50F9D" w:rsidRDefault="00862E4D" w:rsidP="00862E4D">
      <w:pPr>
        <w:pStyle w:val="Default"/>
        <w:spacing w:line="480" w:lineRule="auto"/>
        <w:rPr>
          <w:rFonts w:ascii="Times New Roman" w:hAnsi="Times New Roman" w:cs="Times New Roman"/>
          <w:b/>
          <w:bCs/>
          <w:lang w:val="en-GB"/>
        </w:rPr>
      </w:pPr>
    </w:p>
    <w:p w14:paraId="57113058" w14:textId="530527F2" w:rsidR="00862E4D" w:rsidRPr="00E50F9D" w:rsidRDefault="00E17D71" w:rsidP="00862E4D">
      <w:pPr>
        <w:pStyle w:val="Default"/>
        <w:spacing w:line="480" w:lineRule="auto"/>
        <w:rPr>
          <w:rFonts w:ascii="Times New Roman" w:hAnsi="Times New Roman" w:cs="Times New Roman"/>
          <w:b/>
          <w:bCs/>
          <w:lang w:val="en-GB"/>
        </w:rPr>
      </w:pPr>
      <w:r w:rsidRPr="00E50F9D">
        <w:rPr>
          <w:rFonts w:ascii="Times New Roman" w:hAnsi="Times New Roman" w:cs="Times New Roman"/>
          <w:b/>
          <w:bCs/>
          <w:lang w:val="en-GB"/>
        </w:rPr>
        <w:t>5.2</w:t>
      </w:r>
      <w:r w:rsidR="00862E4D" w:rsidRPr="00E50F9D">
        <w:rPr>
          <w:rFonts w:ascii="Times New Roman" w:hAnsi="Times New Roman" w:cs="Times New Roman"/>
          <w:b/>
          <w:bCs/>
          <w:lang w:val="en-GB"/>
        </w:rPr>
        <w:t xml:space="preserve"> Endogeneity bias and distributional effects</w:t>
      </w:r>
    </w:p>
    <w:p w14:paraId="69033B2A" w14:textId="57BD56BE" w:rsidR="00862E4D" w:rsidRPr="00E50F9D" w:rsidRDefault="00862E4D" w:rsidP="00CD4EE0">
      <w:pPr>
        <w:pStyle w:val="Default"/>
        <w:spacing w:line="480" w:lineRule="auto"/>
        <w:ind w:firstLine="567"/>
        <w:jc w:val="both"/>
        <w:rPr>
          <w:rFonts w:ascii="Times New Roman" w:hAnsi="Times New Roman" w:cs="Times New Roman"/>
          <w:bCs/>
          <w:lang w:val="en-GB"/>
        </w:rPr>
      </w:pPr>
      <w:r w:rsidRPr="00E50F9D">
        <w:rPr>
          <w:rFonts w:ascii="Times New Roman" w:hAnsi="Times New Roman" w:cs="Times New Roman"/>
          <w:bCs/>
          <w:lang w:val="en-GB"/>
        </w:rPr>
        <w:t>We empirically test the potential endogeneity issues between diversification and performance. First of all, we run the Durbin-Wu-Hausman test for endogeneity. As several other papers that have studied the Italian banking system (Alessandrini et al., 2010, Minetti et al., 2015) have done, we follow Guiso et al. (2004) for the choice of the instruments. In particular, we use the number of branches per 10,000 inhabitants in 1936 and the number of cooperative banks in the province per 100,000 inhabitants. As argued by Alessandrini et al. (2010) and Minetti et al. (2015), the structure of the banking system in 1936 is correlated to the geographical distribution of branches in the 1990s. As the banking market structure can affect a bank’s diversification strategy, this means that the structure of the banking system in 1936 could also potentially affect a bank’s diversification strategy. However, the banking structure in 1936 is not correlated to the current economic environment and is therefore unlikely to affect the current performance and market power of a bank. The Durbin-Wu-Hausman test for endogeneity is not significant for any of our specifications.  This suggests that diversification strategies are not endogeneous with respect to performance and the adjusted Lerner Index. Our instruments are not weak as they impact significantly on the geographical diversification variable</w:t>
      </w:r>
      <w:r w:rsidR="00280D46" w:rsidRPr="00E50F9D">
        <w:rPr>
          <w:rFonts w:ascii="Times New Roman" w:hAnsi="Times New Roman" w:cs="Times New Roman"/>
          <w:bCs/>
          <w:lang w:val="en-GB"/>
        </w:rPr>
        <w:t xml:space="preserve"> (See Appendix </w:t>
      </w:r>
      <w:r w:rsidR="00C517FA" w:rsidRPr="00E50F9D">
        <w:rPr>
          <w:rFonts w:ascii="Times New Roman" w:hAnsi="Times New Roman" w:cs="Times New Roman"/>
          <w:bCs/>
          <w:lang w:val="en-GB"/>
        </w:rPr>
        <w:t>3</w:t>
      </w:r>
      <w:r w:rsidR="00280D46" w:rsidRPr="00E50F9D">
        <w:rPr>
          <w:rFonts w:ascii="Times New Roman" w:hAnsi="Times New Roman" w:cs="Times New Roman"/>
          <w:bCs/>
          <w:lang w:val="en-GB"/>
        </w:rPr>
        <w:t>)</w:t>
      </w:r>
      <w:r w:rsidRPr="00E50F9D">
        <w:rPr>
          <w:rFonts w:ascii="Times New Roman" w:hAnsi="Times New Roman" w:cs="Times New Roman"/>
          <w:bCs/>
          <w:lang w:val="en-GB"/>
        </w:rPr>
        <w:t xml:space="preserve">. </w:t>
      </w:r>
    </w:p>
    <w:p w14:paraId="6E10A387" w14:textId="77777777" w:rsidR="00A5055A" w:rsidRPr="00E50F9D" w:rsidRDefault="00A5055A" w:rsidP="00F13E97">
      <w:pPr>
        <w:pStyle w:val="Default"/>
        <w:spacing w:line="480" w:lineRule="auto"/>
        <w:rPr>
          <w:rFonts w:ascii="Times New Roman" w:hAnsi="Times New Roman" w:cs="Times New Roman"/>
          <w:b/>
          <w:bCs/>
          <w:lang w:val="en-GB"/>
        </w:rPr>
      </w:pPr>
    </w:p>
    <w:p w14:paraId="2BAFDE23" w14:textId="3F72CF86" w:rsidR="00F13E97" w:rsidRPr="0088644C" w:rsidRDefault="00862E4D" w:rsidP="00F13E97">
      <w:pPr>
        <w:pStyle w:val="Default"/>
        <w:spacing w:line="480" w:lineRule="auto"/>
        <w:jc w:val="both"/>
        <w:rPr>
          <w:rFonts w:ascii="Times New Roman" w:hAnsi="Times New Roman" w:cs="Times New Roman"/>
          <w:b/>
          <w:bCs/>
          <w:color w:val="auto"/>
          <w:lang w:val="en-GB"/>
        </w:rPr>
      </w:pPr>
      <w:r w:rsidRPr="0088644C">
        <w:rPr>
          <w:rFonts w:ascii="Times New Roman" w:hAnsi="Times New Roman" w:cs="Times New Roman"/>
          <w:b/>
          <w:bCs/>
          <w:color w:val="auto"/>
          <w:lang w:val="en-GB"/>
        </w:rPr>
        <w:t>5.3</w:t>
      </w:r>
      <w:r w:rsidR="003D3AD9" w:rsidRPr="0088644C">
        <w:rPr>
          <w:rFonts w:ascii="Times New Roman" w:hAnsi="Times New Roman" w:cs="Times New Roman"/>
          <w:b/>
          <w:bCs/>
          <w:color w:val="auto"/>
          <w:lang w:val="en-GB"/>
        </w:rPr>
        <w:t xml:space="preserve"> Distributional effects</w:t>
      </w:r>
    </w:p>
    <w:p w14:paraId="1DA8C565" w14:textId="0C05E793" w:rsidR="009974A8" w:rsidRPr="00E50F9D" w:rsidRDefault="00F13E97" w:rsidP="00CD4EE0">
      <w:pPr>
        <w:pStyle w:val="Default"/>
        <w:spacing w:line="480" w:lineRule="auto"/>
        <w:ind w:firstLine="567"/>
        <w:jc w:val="both"/>
        <w:rPr>
          <w:rFonts w:ascii="Times New Roman" w:hAnsi="Times New Roman" w:cs="Times New Roman"/>
          <w:bCs/>
          <w:color w:val="auto"/>
          <w:lang w:val="en-GB"/>
        </w:rPr>
      </w:pPr>
      <w:r w:rsidRPr="00E50F9D">
        <w:rPr>
          <w:rFonts w:ascii="Times New Roman" w:hAnsi="Times New Roman" w:cs="Times New Roman"/>
          <w:bCs/>
          <w:color w:val="auto"/>
          <w:lang w:val="en-GB"/>
        </w:rPr>
        <w:t xml:space="preserve">In Tables </w:t>
      </w:r>
      <w:r w:rsidR="009974A8" w:rsidRPr="00E50F9D">
        <w:rPr>
          <w:rFonts w:ascii="Times New Roman" w:hAnsi="Times New Roman" w:cs="Times New Roman"/>
          <w:bCs/>
          <w:color w:val="auto"/>
          <w:lang w:val="en-GB"/>
        </w:rPr>
        <w:t>7</w:t>
      </w:r>
      <w:r w:rsidR="004F555C" w:rsidRPr="00E50F9D">
        <w:rPr>
          <w:rFonts w:ascii="Times New Roman" w:hAnsi="Times New Roman" w:cs="Times New Roman"/>
          <w:bCs/>
          <w:color w:val="auto"/>
          <w:lang w:val="en-GB"/>
        </w:rPr>
        <w:t>,</w:t>
      </w:r>
      <w:r w:rsidRPr="00E50F9D">
        <w:rPr>
          <w:rFonts w:ascii="Times New Roman" w:hAnsi="Times New Roman" w:cs="Times New Roman"/>
          <w:bCs/>
          <w:color w:val="auto"/>
          <w:lang w:val="en-GB"/>
        </w:rPr>
        <w:t xml:space="preserve"> </w:t>
      </w:r>
      <w:r w:rsidR="009974A8" w:rsidRPr="00E50F9D">
        <w:rPr>
          <w:rFonts w:ascii="Times New Roman" w:hAnsi="Times New Roman" w:cs="Times New Roman"/>
          <w:bCs/>
          <w:color w:val="auto"/>
          <w:lang w:val="en-GB"/>
        </w:rPr>
        <w:t>8</w:t>
      </w:r>
      <w:r w:rsidR="004F555C" w:rsidRPr="00E50F9D">
        <w:rPr>
          <w:rFonts w:ascii="Times New Roman" w:hAnsi="Times New Roman" w:cs="Times New Roman"/>
          <w:bCs/>
          <w:color w:val="auto"/>
          <w:lang w:val="en-GB"/>
        </w:rPr>
        <w:t xml:space="preserve"> and 9</w:t>
      </w:r>
      <w:r w:rsidRPr="00E50F9D">
        <w:rPr>
          <w:rFonts w:ascii="Times New Roman" w:hAnsi="Times New Roman" w:cs="Times New Roman"/>
          <w:bCs/>
          <w:color w:val="auto"/>
          <w:lang w:val="en-GB"/>
        </w:rPr>
        <w:t xml:space="preserve"> we have presented quantile regression estimates for the impact of geographic diversification and local banking on ROA, efficiency-adjusted Lerner Index</w:t>
      </w:r>
      <w:r w:rsidR="001E28AD" w:rsidRPr="00E50F9D">
        <w:rPr>
          <w:rFonts w:ascii="Times New Roman" w:hAnsi="Times New Roman" w:cs="Times New Roman"/>
          <w:bCs/>
          <w:color w:val="auto"/>
          <w:lang w:val="en-GB"/>
        </w:rPr>
        <w:t xml:space="preserve">, </w:t>
      </w:r>
      <w:r w:rsidR="001E28AD" w:rsidRPr="00E50F9D">
        <w:rPr>
          <w:rFonts w:ascii="Times New Roman" w:hAnsi="Times New Roman" w:cs="Times New Roman"/>
          <w:lang w:val="en-GB"/>
        </w:rPr>
        <w:t>Adj LE,</w:t>
      </w:r>
      <w:r w:rsidRPr="00E50F9D">
        <w:rPr>
          <w:rFonts w:ascii="Times New Roman" w:hAnsi="Times New Roman" w:cs="Times New Roman"/>
          <w:bCs/>
          <w:color w:val="auto"/>
          <w:lang w:val="en-GB"/>
        </w:rPr>
        <w:t xml:space="preserve"> (Table </w:t>
      </w:r>
      <w:r w:rsidR="009974A8" w:rsidRPr="00E50F9D">
        <w:rPr>
          <w:rFonts w:ascii="Times New Roman" w:hAnsi="Times New Roman" w:cs="Times New Roman"/>
          <w:bCs/>
          <w:color w:val="auto"/>
          <w:lang w:val="en-GB"/>
        </w:rPr>
        <w:t>7</w:t>
      </w:r>
      <w:r w:rsidRPr="00E50F9D">
        <w:rPr>
          <w:rFonts w:ascii="Times New Roman" w:hAnsi="Times New Roman" w:cs="Times New Roman"/>
          <w:bCs/>
          <w:color w:val="auto"/>
          <w:lang w:val="en-GB"/>
        </w:rPr>
        <w:t>), loan growth and Lerner Index for loans</w:t>
      </w:r>
      <w:r w:rsidR="001E28AD" w:rsidRPr="00E50F9D">
        <w:rPr>
          <w:rFonts w:ascii="Times New Roman" w:hAnsi="Times New Roman" w:cs="Times New Roman"/>
          <w:bCs/>
          <w:color w:val="auto"/>
          <w:lang w:val="en-GB"/>
        </w:rPr>
        <w:t xml:space="preserve">, </w:t>
      </w:r>
      <w:r w:rsidR="004778CE" w:rsidRPr="00E50F9D">
        <w:rPr>
          <w:rFonts w:asciiTheme="majorBidi" w:eastAsia="Times New Roman" w:hAnsiTheme="majorBidi" w:cstheme="majorBidi"/>
          <w:bCs/>
          <w:iCs/>
          <w:lang w:val="en-GB"/>
        </w:rPr>
        <w:t>LE</w:t>
      </w:r>
      <w:r w:rsidR="004778CE" w:rsidRPr="00E50F9D">
        <w:rPr>
          <w:rFonts w:asciiTheme="majorBidi" w:eastAsia="Times New Roman" w:hAnsiTheme="majorBidi" w:cstheme="majorBidi"/>
          <w:bCs/>
          <w:iCs/>
          <w:sz w:val="14"/>
          <w:szCs w:val="14"/>
          <w:lang w:val="en-GB"/>
        </w:rPr>
        <w:t>L</w:t>
      </w:r>
      <w:r w:rsidR="001E28AD" w:rsidRPr="00E50F9D">
        <w:rPr>
          <w:rFonts w:ascii="Times New Roman" w:hAnsi="Times New Roman" w:cs="Times New Roman"/>
          <w:bCs/>
          <w:color w:val="auto"/>
          <w:sz w:val="20"/>
          <w:lang w:val="en-GB"/>
        </w:rPr>
        <w:t>,</w:t>
      </w:r>
      <w:r w:rsidRPr="00E50F9D">
        <w:rPr>
          <w:rFonts w:ascii="Times New Roman" w:hAnsi="Times New Roman" w:cs="Times New Roman"/>
          <w:bCs/>
          <w:color w:val="auto"/>
          <w:lang w:val="en-GB"/>
        </w:rPr>
        <w:t xml:space="preserve"> (Table </w:t>
      </w:r>
      <w:r w:rsidR="009974A8" w:rsidRPr="00E50F9D">
        <w:rPr>
          <w:rFonts w:ascii="Times New Roman" w:hAnsi="Times New Roman" w:cs="Times New Roman"/>
          <w:bCs/>
          <w:color w:val="auto"/>
          <w:lang w:val="en-GB"/>
        </w:rPr>
        <w:t>8</w:t>
      </w:r>
      <w:r w:rsidRPr="00E50F9D">
        <w:rPr>
          <w:rFonts w:ascii="Times New Roman" w:hAnsi="Times New Roman" w:cs="Times New Roman"/>
          <w:bCs/>
          <w:color w:val="auto"/>
          <w:lang w:val="en-GB"/>
        </w:rPr>
        <w:t>)</w:t>
      </w:r>
      <w:r w:rsidR="004F555C" w:rsidRPr="00E50F9D">
        <w:rPr>
          <w:rFonts w:ascii="Times New Roman" w:hAnsi="Times New Roman" w:cs="Times New Roman"/>
          <w:bCs/>
          <w:color w:val="auto"/>
          <w:lang w:val="en-GB"/>
        </w:rPr>
        <w:t>, deposit growth and Lerner Index for deposits</w:t>
      </w:r>
      <w:r w:rsidR="001E28AD" w:rsidRPr="00E50F9D">
        <w:rPr>
          <w:rFonts w:ascii="Times New Roman" w:hAnsi="Times New Roman" w:cs="Times New Roman"/>
          <w:bCs/>
          <w:color w:val="auto"/>
          <w:lang w:val="en-GB"/>
        </w:rPr>
        <w:t xml:space="preserve">, </w:t>
      </w:r>
      <w:r w:rsidR="004778CE" w:rsidRPr="00E50F9D">
        <w:rPr>
          <w:rFonts w:asciiTheme="majorBidi" w:eastAsia="Times New Roman" w:hAnsiTheme="majorBidi" w:cstheme="majorBidi"/>
          <w:bCs/>
          <w:iCs/>
          <w:lang w:val="en-GB"/>
        </w:rPr>
        <w:t>LE</w:t>
      </w:r>
      <w:r w:rsidR="004778CE" w:rsidRPr="00E50F9D">
        <w:rPr>
          <w:rFonts w:asciiTheme="majorBidi" w:eastAsia="Times New Roman" w:hAnsiTheme="majorBidi" w:cstheme="majorBidi"/>
          <w:bCs/>
          <w:iCs/>
          <w:sz w:val="14"/>
          <w:szCs w:val="14"/>
          <w:lang w:val="en-GB"/>
        </w:rPr>
        <w:t>D</w:t>
      </w:r>
      <w:r w:rsidR="004F555C" w:rsidRPr="00E50F9D">
        <w:rPr>
          <w:rFonts w:ascii="Times New Roman" w:hAnsi="Times New Roman" w:cs="Times New Roman"/>
          <w:bCs/>
          <w:color w:val="auto"/>
          <w:lang w:val="en-GB"/>
        </w:rPr>
        <w:t xml:space="preserve"> (Table 9)</w:t>
      </w:r>
      <w:r w:rsidRPr="00E50F9D">
        <w:rPr>
          <w:rFonts w:ascii="Times New Roman" w:hAnsi="Times New Roman" w:cs="Times New Roman"/>
          <w:bCs/>
          <w:color w:val="auto"/>
          <w:lang w:val="en-GB"/>
        </w:rPr>
        <w:t xml:space="preserve">. </w:t>
      </w:r>
    </w:p>
    <w:p w14:paraId="70EF879F" w14:textId="77588B92" w:rsidR="009974A8" w:rsidRPr="00E50F9D" w:rsidRDefault="009974A8" w:rsidP="009974A8">
      <w:pPr>
        <w:spacing w:after="0" w:line="480" w:lineRule="auto"/>
        <w:jc w:val="center"/>
        <w:rPr>
          <w:rFonts w:ascii="Times New Roman" w:hAnsi="Times New Roman" w:cs="Times New Roman"/>
          <w:sz w:val="24"/>
          <w:szCs w:val="24"/>
          <w:lang w:val="en-GB"/>
        </w:rPr>
      </w:pPr>
      <w:r w:rsidRPr="00E50F9D">
        <w:rPr>
          <w:rFonts w:ascii="Times New Roman" w:hAnsi="Times New Roman" w:cs="Times New Roman"/>
          <w:sz w:val="24"/>
          <w:szCs w:val="24"/>
          <w:lang w:val="en-GB"/>
        </w:rPr>
        <w:t>&lt;Insert Table 7 about here&gt;</w:t>
      </w:r>
    </w:p>
    <w:p w14:paraId="17D21154" w14:textId="39DB8936" w:rsidR="009974A8" w:rsidRPr="00E50F9D" w:rsidRDefault="009974A8" w:rsidP="009974A8">
      <w:pPr>
        <w:spacing w:after="0" w:line="480" w:lineRule="auto"/>
        <w:jc w:val="center"/>
        <w:rPr>
          <w:rFonts w:ascii="Times New Roman" w:hAnsi="Times New Roman" w:cs="Times New Roman"/>
          <w:sz w:val="24"/>
          <w:szCs w:val="24"/>
          <w:lang w:val="en-GB"/>
        </w:rPr>
      </w:pPr>
      <w:r w:rsidRPr="00E50F9D">
        <w:rPr>
          <w:rFonts w:ascii="Times New Roman" w:hAnsi="Times New Roman" w:cs="Times New Roman"/>
          <w:sz w:val="24"/>
          <w:szCs w:val="24"/>
          <w:lang w:val="en-GB"/>
        </w:rPr>
        <w:t>&lt;Insert Table 8 about here&gt;</w:t>
      </w:r>
    </w:p>
    <w:p w14:paraId="615F1442" w14:textId="6748B9AB" w:rsidR="00340F4F" w:rsidRPr="00E50F9D" w:rsidRDefault="00340F4F" w:rsidP="00340F4F">
      <w:pPr>
        <w:spacing w:after="0" w:line="480" w:lineRule="auto"/>
        <w:jc w:val="center"/>
        <w:rPr>
          <w:rFonts w:ascii="Times New Roman" w:hAnsi="Times New Roman" w:cs="Times New Roman"/>
          <w:sz w:val="24"/>
          <w:szCs w:val="24"/>
          <w:lang w:val="en-GB"/>
        </w:rPr>
      </w:pPr>
      <w:r w:rsidRPr="00E50F9D">
        <w:rPr>
          <w:rFonts w:ascii="Times New Roman" w:hAnsi="Times New Roman" w:cs="Times New Roman"/>
          <w:sz w:val="24"/>
          <w:szCs w:val="24"/>
          <w:lang w:val="en-GB"/>
        </w:rPr>
        <w:t>&lt;Insert Table 9 about here&gt;</w:t>
      </w:r>
    </w:p>
    <w:p w14:paraId="23572625" w14:textId="77777777" w:rsidR="00340F4F" w:rsidRPr="00E50F9D" w:rsidRDefault="00340F4F" w:rsidP="009974A8">
      <w:pPr>
        <w:spacing w:after="0" w:line="480" w:lineRule="auto"/>
        <w:jc w:val="center"/>
        <w:rPr>
          <w:rFonts w:ascii="Times New Roman" w:hAnsi="Times New Roman" w:cs="Times New Roman"/>
          <w:sz w:val="24"/>
          <w:szCs w:val="24"/>
          <w:lang w:val="en-GB"/>
        </w:rPr>
      </w:pPr>
    </w:p>
    <w:p w14:paraId="05C6880D" w14:textId="5A3F7BF7" w:rsidR="00A73770" w:rsidRPr="00E50F9D" w:rsidRDefault="00B948B3" w:rsidP="00CD4EE0">
      <w:pPr>
        <w:pStyle w:val="Default"/>
        <w:spacing w:line="480" w:lineRule="auto"/>
        <w:ind w:firstLine="567"/>
        <w:jc w:val="both"/>
        <w:rPr>
          <w:rFonts w:ascii="Times New Roman" w:hAnsi="Times New Roman" w:cs="Times New Roman"/>
          <w:color w:val="auto"/>
          <w:lang w:val="en-GB"/>
        </w:rPr>
      </w:pPr>
      <w:r w:rsidRPr="00E50F9D">
        <w:rPr>
          <w:rFonts w:ascii="Times New Roman" w:hAnsi="Times New Roman" w:cs="Times New Roman"/>
        </w:rPr>
        <w:t>Similar to the mean-based IV panel regression, we also use Bank Branches_1936 (the number of branches per 10,000 inhabitants in 1936) and Cooperative Banks_1936 (the number of cooperative banks in the province per 100,000 inhabitants) as our instruments. The estimation is carried</w:t>
      </w:r>
      <w:r w:rsidR="00E04E77" w:rsidRPr="00E50F9D">
        <w:rPr>
          <w:rFonts w:ascii="Times New Roman" w:hAnsi="Times New Roman" w:cs="Times New Roman"/>
        </w:rPr>
        <w:t xml:space="preserve"> out</w:t>
      </w:r>
      <w:r w:rsidRPr="00E50F9D">
        <w:rPr>
          <w:rFonts w:ascii="Times New Roman" w:hAnsi="Times New Roman" w:cs="Times New Roman"/>
        </w:rPr>
        <w:t xml:space="preserve"> in two steps; </w:t>
      </w:r>
      <w:r w:rsidR="00E04E77" w:rsidRPr="00E50F9D">
        <w:rPr>
          <w:rFonts w:ascii="Times New Roman" w:hAnsi="Times New Roman" w:cs="Times New Roman"/>
        </w:rPr>
        <w:t xml:space="preserve">in the first step, </w:t>
      </w:r>
      <w:r w:rsidR="00E04E77" w:rsidRPr="00E50F9D">
        <w:rPr>
          <w:rFonts w:ascii="Times New Roman" w:hAnsi="Times New Roman" w:cs="Times New Roman"/>
          <w:bCs/>
          <w:lang w:val="en-GB"/>
        </w:rPr>
        <w:t xml:space="preserve">performance variable is regressed upon the instruments and other possible exogenous regressors. In the second step, the endogeneity free regressor is used in the final quantile regression. Although we have estimated for all quantiles </w:t>
      </w:r>
      <m:oMath>
        <m:r>
          <w:rPr>
            <w:rFonts w:ascii="Cambria Math" w:hAnsi="Cambria Math" w:cs="Times New Roman"/>
            <w:color w:val="auto"/>
            <w:lang w:val="en-GB"/>
          </w:rPr>
          <m:t>τ</m:t>
        </m:r>
      </m:oMath>
      <w:r w:rsidR="00E04E77" w:rsidRPr="00E50F9D">
        <w:rPr>
          <w:rFonts w:ascii="Times New Roman" w:hAnsi="Times New Roman" w:cs="Times New Roman"/>
          <w:color w:val="auto"/>
          <w:lang w:val="en-GB"/>
        </w:rPr>
        <w:t xml:space="preserve"> between 0 and 1, we are reporting in Tables 7-9 only the results of 50</w:t>
      </w:r>
      <w:r w:rsidR="00E04E77" w:rsidRPr="00E50F9D">
        <w:rPr>
          <w:rFonts w:ascii="Times New Roman" w:hAnsi="Times New Roman" w:cs="Times New Roman"/>
          <w:color w:val="auto"/>
          <w:vertAlign w:val="superscript"/>
          <w:lang w:val="en-GB"/>
        </w:rPr>
        <w:t>th</w:t>
      </w:r>
      <w:r w:rsidR="00E04E77" w:rsidRPr="00E50F9D">
        <w:rPr>
          <w:rFonts w:ascii="Times New Roman" w:hAnsi="Times New Roman" w:cs="Times New Roman"/>
          <w:color w:val="auto"/>
          <w:lang w:val="en-GB"/>
        </w:rPr>
        <w:t xml:space="preserve"> quantile or the median (to save space). </w:t>
      </w:r>
      <w:r w:rsidR="00CD4EE0" w:rsidRPr="00E50F9D">
        <w:rPr>
          <w:rFonts w:ascii="Times New Roman" w:hAnsi="Times New Roman" w:cs="Times New Roman"/>
          <w:color w:val="auto"/>
          <w:lang w:val="en-GB"/>
        </w:rPr>
        <w:t xml:space="preserve"> </w:t>
      </w:r>
      <w:r w:rsidR="00F13E97" w:rsidRPr="00E50F9D">
        <w:rPr>
          <w:rFonts w:ascii="Times New Roman" w:hAnsi="Times New Roman" w:cs="Times New Roman"/>
          <w:bCs/>
          <w:color w:val="auto"/>
          <w:lang w:val="en-GB"/>
        </w:rPr>
        <w:t xml:space="preserve">Several interesting results emerge. </w:t>
      </w:r>
      <w:r w:rsidR="00A73770" w:rsidRPr="00E50F9D">
        <w:rPr>
          <w:rFonts w:ascii="Times New Roman" w:hAnsi="Times New Roman" w:cs="Times New Roman"/>
          <w:bCs/>
          <w:color w:val="auto"/>
          <w:lang w:val="en-GB"/>
        </w:rPr>
        <w:t>To begin with,</w:t>
      </w:r>
      <w:r w:rsidR="00E04E77" w:rsidRPr="00E50F9D">
        <w:rPr>
          <w:rFonts w:ascii="Times New Roman" w:hAnsi="Times New Roman" w:cs="Times New Roman"/>
          <w:bCs/>
          <w:color w:val="auto"/>
          <w:lang w:val="en-GB"/>
        </w:rPr>
        <w:t xml:space="preserve"> our IV panel quantile results are similar to ones obtained using the conventional mean-based IV panel regression although the statistical significance of the coefficients are stronger than the</w:t>
      </w:r>
      <w:r w:rsidR="00A73770" w:rsidRPr="00E50F9D">
        <w:rPr>
          <w:rFonts w:ascii="Times New Roman" w:hAnsi="Times New Roman" w:cs="Times New Roman"/>
          <w:bCs/>
          <w:color w:val="auto"/>
          <w:lang w:val="en-GB"/>
        </w:rPr>
        <w:t xml:space="preserve"> former. One of the reasons being that </w:t>
      </w:r>
      <w:r w:rsidR="00E04E77" w:rsidRPr="00E50F9D">
        <w:rPr>
          <w:rFonts w:ascii="Times New Roman" w:hAnsi="Times New Roman" w:cs="Times New Roman"/>
          <w:bCs/>
          <w:color w:val="auto"/>
          <w:lang w:val="en-GB"/>
        </w:rPr>
        <w:t>estimation at the median, for large samples, can approximate the results from the mean-regression</w:t>
      </w:r>
      <w:r w:rsidR="00A73770" w:rsidRPr="00E50F9D">
        <w:rPr>
          <w:rFonts w:ascii="Times New Roman" w:hAnsi="Times New Roman" w:cs="Times New Roman"/>
          <w:bCs/>
          <w:color w:val="auto"/>
          <w:lang w:val="en-GB"/>
        </w:rPr>
        <w:t xml:space="preserve"> with some bias (positive or negative). Moreover, at the median, the observations which estimate the functions are possibly well-behaved and pertain to the estimation from the mean.</w:t>
      </w:r>
      <w:r w:rsidR="00E04E77" w:rsidRPr="00E50F9D">
        <w:rPr>
          <w:rFonts w:ascii="Times New Roman" w:hAnsi="Times New Roman" w:cs="Times New Roman"/>
          <w:bCs/>
          <w:color w:val="auto"/>
          <w:lang w:val="en-GB"/>
        </w:rPr>
        <w:t xml:space="preserve"> </w:t>
      </w:r>
    </w:p>
    <w:p w14:paraId="21C70E5D" w14:textId="7B83F132" w:rsidR="00F13E97" w:rsidRPr="00E50F9D" w:rsidRDefault="00F13E97" w:rsidP="00CD4EE0">
      <w:pPr>
        <w:pStyle w:val="Default"/>
        <w:spacing w:line="480" w:lineRule="auto"/>
        <w:ind w:firstLine="567"/>
        <w:jc w:val="both"/>
        <w:rPr>
          <w:rFonts w:ascii="Times New Roman" w:hAnsi="Times New Roman" w:cs="Times New Roman"/>
          <w:bCs/>
          <w:color w:val="auto"/>
          <w:lang w:val="en-GB"/>
        </w:rPr>
      </w:pPr>
      <w:r w:rsidRPr="00E50F9D">
        <w:rPr>
          <w:rFonts w:ascii="Times New Roman" w:hAnsi="Times New Roman" w:cs="Times New Roman"/>
          <w:bCs/>
          <w:color w:val="auto"/>
          <w:lang w:val="en-GB"/>
        </w:rPr>
        <w:t xml:space="preserve">Table </w:t>
      </w:r>
      <w:r w:rsidR="00A73770" w:rsidRPr="00E50F9D">
        <w:rPr>
          <w:rFonts w:ascii="Times New Roman" w:hAnsi="Times New Roman" w:cs="Times New Roman"/>
          <w:bCs/>
          <w:color w:val="auto"/>
          <w:lang w:val="en-GB"/>
        </w:rPr>
        <w:t>7</w:t>
      </w:r>
      <w:r w:rsidRPr="00E50F9D">
        <w:rPr>
          <w:rFonts w:ascii="Times New Roman" w:hAnsi="Times New Roman" w:cs="Times New Roman"/>
          <w:bCs/>
          <w:color w:val="auto"/>
          <w:lang w:val="en-GB"/>
        </w:rPr>
        <w:t xml:space="preserve"> (col. 1 with ROA as dependent variable) we observe that the effect of GD </w:t>
      </w:r>
      <w:r w:rsidR="00A73770" w:rsidRPr="00E50F9D">
        <w:rPr>
          <w:rFonts w:ascii="Times New Roman" w:hAnsi="Times New Roman" w:cs="Times New Roman"/>
          <w:bCs/>
          <w:color w:val="auto"/>
          <w:lang w:val="en-GB"/>
        </w:rPr>
        <w:t>is</w:t>
      </w:r>
      <w:r w:rsidRPr="00E50F9D">
        <w:rPr>
          <w:rFonts w:ascii="Times New Roman" w:hAnsi="Times New Roman" w:cs="Times New Roman"/>
          <w:bCs/>
          <w:color w:val="auto"/>
          <w:lang w:val="en-GB"/>
        </w:rPr>
        <w:t xml:space="preserve"> negative is </w:t>
      </w:r>
      <w:r w:rsidR="00A73770" w:rsidRPr="00E50F9D">
        <w:rPr>
          <w:rFonts w:ascii="Times New Roman" w:hAnsi="Times New Roman" w:cs="Times New Roman"/>
          <w:bCs/>
          <w:color w:val="auto"/>
          <w:lang w:val="en-GB"/>
        </w:rPr>
        <w:t>and highly si</w:t>
      </w:r>
      <w:r w:rsidRPr="00E50F9D">
        <w:rPr>
          <w:rFonts w:ascii="Times New Roman" w:hAnsi="Times New Roman" w:cs="Times New Roman"/>
          <w:bCs/>
          <w:color w:val="auto"/>
          <w:lang w:val="en-GB"/>
        </w:rPr>
        <w:t xml:space="preserve">gnificant. </w:t>
      </w:r>
      <w:r w:rsidR="00E17D71" w:rsidRPr="00E50F9D">
        <w:rPr>
          <w:rFonts w:ascii="Times New Roman" w:hAnsi="Times New Roman" w:cs="Times New Roman"/>
          <w:bCs/>
          <w:color w:val="auto"/>
          <w:lang w:val="en-GB"/>
        </w:rPr>
        <w:t>Comparing the</w:t>
      </w:r>
      <w:r w:rsidR="00A73770" w:rsidRPr="00E50F9D">
        <w:rPr>
          <w:rFonts w:ascii="Times New Roman" w:hAnsi="Times New Roman" w:cs="Times New Roman"/>
          <w:bCs/>
          <w:color w:val="auto"/>
          <w:lang w:val="en-GB"/>
        </w:rPr>
        <w:t xml:space="preserve"> results with the same variable in Table 3 (col. 1) we</w:t>
      </w:r>
      <w:r w:rsidR="00E17D71" w:rsidRPr="00E50F9D">
        <w:rPr>
          <w:rFonts w:ascii="Times New Roman" w:hAnsi="Times New Roman" w:cs="Times New Roman"/>
          <w:bCs/>
          <w:color w:val="auto"/>
          <w:lang w:val="en-GB"/>
        </w:rPr>
        <w:t xml:space="preserve"> find that (i) the effect of GD at median quantile is generally negative but displays positive effects for ROA (col. </w:t>
      </w:r>
      <w:r w:rsidR="00523893" w:rsidRPr="00E50F9D">
        <w:rPr>
          <w:rFonts w:ascii="Times New Roman" w:hAnsi="Times New Roman" w:cs="Times New Roman"/>
          <w:bCs/>
          <w:color w:val="auto"/>
          <w:lang w:val="en-GB"/>
        </w:rPr>
        <w:t>2</w:t>
      </w:r>
      <w:r w:rsidR="00E17D71" w:rsidRPr="00E50F9D">
        <w:rPr>
          <w:rFonts w:ascii="Times New Roman" w:hAnsi="Times New Roman" w:cs="Times New Roman"/>
          <w:bCs/>
          <w:color w:val="auto"/>
          <w:lang w:val="en-GB"/>
        </w:rPr>
        <w:t xml:space="preserve">). </w:t>
      </w:r>
      <w:r w:rsidRPr="00E50F9D">
        <w:rPr>
          <w:rFonts w:ascii="Times New Roman" w:hAnsi="Times New Roman" w:cs="Times New Roman"/>
          <w:bCs/>
          <w:color w:val="auto"/>
          <w:lang w:val="en-GB"/>
        </w:rPr>
        <w:t xml:space="preserve">The results seem to be robust across specifications and replacement of the dependent variable by </w:t>
      </w:r>
      <w:r w:rsidR="00FE426B" w:rsidRPr="00E50F9D">
        <w:rPr>
          <w:rFonts w:ascii="Times New Roman" w:hAnsi="Times New Roman" w:cs="Times New Roman"/>
          <w:lang w:val="en-GB"/>
        </w:rPr>
        <w:t>Adj LE and the first two models with ROA as dependent variable</w:t>
      </w:r>
      <w:r w:rsidRPr="00E50F9D">
        <w:rPr>
          <w:rFonts w:ascii="Times New Roman" w:hAnsi="Times New Roman" w:cs="Times New Roman"/>
          <w:bCs/>
          <w:color w:val="auto"/>
          <w:lang w:val="en-GB"/>
        </w:rPr>
        <w:t xml:space="preserve">. </w:t>
      </w:r>
      <w:r w:rsidR="00254CEE" w:rsidRPr="00E50F9D">
        <w:rPr>
          <w:rFonts w:ascii="Times New Roman" w:hAnsi="Times New Roman" w:cs="Times New Roman"/>
          <w:bCs/>
          <w:color w:val="auto"/>
          <w:lang w:val="en-GB"/>
        </w:rPr>
        <w:t>Notably, NPL</w:t>
      </w:r>
      <w:r w:rsidR="00254CEE" w:rsidRPr="00E50F9D">
        <w:rPr>
          <w:rFonts w:ascii="Times New Roman" w:hAnsi="Times New Roman" w:cs="Times New Roman"/>
          <w:bCs/>
          <w:color w:val="auto"/>
          <w:sz w:val="18"/>
          <w:lang w:val="en-GB"/>
        </w:rPr>
        <w:t>S</w:t>
      </w:r>
      <w:r w:rsidR="00127839" w:rsidRPr="00E50F9D">
        <w:rPr>
          <w:rFonts w:ascii="Times New Roman" w:hAnsi="Times New Roman" w:cs="Times New Roman"/>
          <w:bCs/>
          <w:color w:val="auto"/>
          <w:lang w:val="en-GB"/>
        </w:rPr>
        <w:t xml:space="preserve"> impact</w:t>
      </w:r>
      <w:r w:rsidR="00254CEE" w:rsidRPr="00E50F9D">
        <w:rPr>
          <w:rFonts w:ascii="Times New Roman" w:hAnsi="Times New Roman" w:cs="Times New Roman"/>
          <w:bCs/>
          <w:color w:val="auto"/>
          <w:lang w:val="en-GB"/>
        </w:rPr>
        <w:t>s</w:t>
      </w:r>
      <w:r w:rsidR="00127839" w:rsidRPr="00E50F9D">
        <w:rPr>
          <w:rFonts w:ascii="Times New Roman" w:hAnsi="Times New Roman" w:cs="Times New Roman"/>
          <w:bCs/>
          <w:color w:val="auto"/>
          <w:lang w:val="en-GB"/>
        </w:rPr>
        <w:t xml:space="preserve"> negatively on ROA and the </w:t>
      </w:r>
      <w:r w:rsidR="001E28AD" w:rsidRPr="00E50F9D">
        <w:rPr>
          <w:rFonts w:ascii="Times New Roman" w:hAnsi="Times New Roman" w:cs="Times New Roman"/>
          <w:lang w:val="en-GB"/>
        </w:rPr>
        <w:t>Adj LE</w:t>
      </w:r>
      <w:r w:rsidR="001E28AD" w:rsidRPr="00E50F9D">
        <w:rPr>
          <w:rFonts w:ascii="Times New Roman" w:hAnsi="Times New Roman" w:cs="Times New Roman"/>
          <w:bCs/>
          <w:color w:val="auto"/>
          <w:lang w:val="en-GB"/>
        </w:rPr>
        <w:t xml:space="preserve"> </w:t>
      </w:r>
      <w:r w:rsidR="00127839" w:rsidRPr="00E50F9D">
        <w:rPr>
          <w:rFonts w:ascii="Times New Roman" w:hAnsi="Times New Roman" w:cs="Times New Roman"/>
          <w:bCs/>
          <w:color w:val="auto"/>
          <w:lang w:val="en-GB"/>
        </w:rPr>
        <w:t>for all the quantiles, in this way strengthening the results of Table 3</w:t>
      </w:r>
      <w:r w:rsidR="00681FEA" w:rsidRPr="00E50F9D">
        <w:rPr>
          <w:rFonts w:ascii="Times New Roman" w:hAnsi="Times New Roman" w:cs="Times New Roman"/>
          <w:bCs/>
          <w:color w:val="auto"/>
          <w:lang w:val="en-GB"/>
        </w:rPr>
        <w:t>.</w:t>
      </w:r>
      <w:r w:rsidR="00127839" w:rsidRPr="00E50F9D">
        <w:rPr>
          <w:rFonts w:ascii="Times New Roman" w:hAnsi="Times New Roman" w:cs="Times New Roman"/>
          <w:bCs/>
          <w:color w:val="auto"/>
          <w:lang w:val="en-GB"/>
        </w:rPr>
        <w:t xml:space="preserve"> In </w:t>
      </w:r>
      <w:r w:rsidR="00620035" w:rsidRPr="00E50F9D">
        <w:rPr>
          <w:rFonts w:ascii="Times New Roman" w:hAnsi="Times New Roman" w:cs="Times New Roman"/>
          <w:bCs/>
          <w:color w:val="auto"/>
          <w:lang w:val="en-GB"/>
        </w:rPr>
        <w:t>addition,</w:t>
      </w:r>
      <w:r w:rsidR="00127839" w:rsidRPr="00E50F9D">
        <w:rPr>
          <w:rFonts w:ascii="Times New Roman" w:hAnsi="Times New Roman" w:cs="Times New Roman"/>
          <w:bCs/>
          <w:color w:val="auto"/>
          <w:lang w:val="en-GB"/>
        </w:rPr>
        <w:t xml:space="preserve"> we find that</w:t>
      </w:r>
      <w:r w:rsidR="00620035" w:rsidRPr="00E50F9D">
        <w:rPr>
          <w:rFonts w:ascii="Times New Roman" w:hAnsi="Times New Roman" w:cs="Times New Roman"/>
          <w:bCs/>
          <w:color w:val="auto"/>
          <w:lang w:val="en-GB"/>
        </w:rPr>
        <w:t xml:space="preserve"> EQTA positively and </w:t>
      </w:r>
      <w:r w:rsidR="00127839" w:rsidRPr="00E50F9D">
        <w:rPr>
          <w:rFonts w:ascii="Times New Roman" w:hAnsi="Times New Roman" w:cs="Times New Roman"/>
          <w:bCs/>
          <w:color w:val="auto"/>
          <w:lang w:val="en-GB"/>
        </w:rPr>
        <w:t>significant</w:t>
      </w:r>
      <w:r w:rsidR="00620035" w:rsidRPr="00E50F9D">
        <w:rPr>
          <w:rFonts w:ascii="Times New Roman" w:hAnsi="Times New Roman" w:cs="Times New Roman"/>
          <w:bCs/>
          <w:color w:val="auto"/>
          <w:lang w:val="en-GB"/>
        </w:rPr>
        <w:t>ly</w:t>
      </w:r>
      <w:r w:rsidR="00127839" w:rsidRPr="00E50F9D">
        <w:rPr>
          <w:rFonts w:ascii="Times New Roman" w:hAnsi="Times New Roman" w:cs="Times New Roman"/>
          <w:bCs/>
          <w:color w:val="auto"/>
          <w:lang w:val="en-GB"/>
        </w:rPr>
        <w:t xml:space="preserve"> </w:t>
      </w:r>
      <w:r w:rsidR="00254CEE" w:rsidRPr="00E50F9D">
        <w:rPr>
          <w:rFonts w:ascii="Times New Roman" w:hAnsi="Times New Roman" w:cs="Times New Roman"/>
          <w:bCs/>
          <w:color w:val="auto"/>
          <w:lang w:val="en-GB"/>
        </w:rPr>
        <w:t xml:space="preserve">affects </w:t>
      </w:r>
      <w:r w:rsidR="00127839" w:rsidRPr="00E50F9D">
        <w:rPr>
          <w:rFonts w:ascii="Times New Roman" w:hAnsi="Times New Roman" w:cs="Times New Roman"/>
          <w:bCs/>
          <w:color w:val="auto"/>
          <w:lang w:val="en-GB"/>
        </w:rPr>
        <w:t>ROA and Adj LE</w:t>
      </w:r>
      <w:r w:rsidR="00B526CF" w:rsidRPr="00E50F9D">
        <w:rPr>
          <w:rFonts w:ascii="Times New Roman" w:hAnsi="Times New Roman" w:cs="Times New Roman"/>
          <w:bCs/>
          <w:color w:val="auto"/>
          <w:lang w:val="en-GB"/>
        </w:rPr>
        <w:t xml:space="preserve"> at the median quantile</w:t>
      </w:r>
      <w:r w:rsidR="00127839" w:rsidRPr="00E50F9D">
        <w:rPr>
          <w:rFonts w:ascii="Times New Roman" w:hAnsi="Times New Roman" w:cs="Times New Roman"/>
          <w:bCs/>
          <w:color w:val="auto"/>
          <w:lang w:val="en-GB"/>
        </w:rPr>
        <w:t>.</w:t>
      </w:r>
      <w:r w:rsidRPr="00E50F9D">
        <w:rPr>
          <w:rFonts w:ascii="Times New Roman" w:hAnsi="Times New Roman" w:cs="Times New Roman"/>
          <w:bCs/>
          <w:color w:val="auto"/>
          <w:lang w:val="en-GB"/>
        </w:rPr>
        <w:t xml:space="preserve"> </w:t>
      </w:r>
      <w:r w:rsidR="00127839" w:rsidRPr="00E50F9D">
        <w:rPr>
          <w:rFonts w:ascii="Times New Roman" w:hAnsi="Times New Roman" w:cs="Times New Roman"/>
          <w:bCs/>
          <w:color w:val="auto"/>
          <w:lang w:val="en-GB"/>
        </w:rPr>
        <w:t xml:space="preserve">Furthermore, we find that DISTANCE impacts negatively on ROA, Adj LE, </w:t>
      </w:r>
      <w:r w:rsidR="00127839" w:rsidRPr="00E50F9D">
        <w:rPr>
          <w:rFonts w:ascii="Times New Roman" w:hAnsi="Times New Roman" w:cs="Times New Roman"/>
        </w:rPr>
        <w:t xml:space="preserve">ΔlnLoans, </w:t>
      </w:r>
      <w:r w:rsidR="004778CE" w:rsidRPr="00E50F9D">
        <w:rPr>
          <w:rFonts w:asciiTheme="majorBidi" w:eastAsia="Times New Roman" w:hAnsiTheme="majorBidi" w:cstheme="majorBidi"/>
          <w:bCs/>
          <w:iCs/>
          <w:lang w:val="en-GB"/>
        </w:rPr>
        <w:t>LE</w:t>
      </w:r>
      <w:r w:rsidR="004778CE" w:rsidRPr="00E50F9D">
        <w:rPr>
          <w:rFonts w:asciiTheme="majorBidi" w:eastAsia="Times New Roman" w:hAnsiTheme="majorBidi" w:cstheme="majorBidi"/>
          <w:bCs/>
          <w:iCs/>
          <w:sz w:val="14"/>
          <w:szCs w:val="14"/>
          <w:lang w:val="en-GB"/>
        </w:rPr>
        <w:t>L</w:t>
      </w:r>
      <w:r w:rsidR="00127839" w:rsidRPr="00E50F9D">
        <w:rPr>
          <w:rFonts w:ascii="Times New Roman" w:hAnsi="Times New Roman" w:cs="Times New Roman"/>
          <w:sz w:val="18"/>
        </w:rPr>
        <w:t xml:space="preserve">, </w:t>
      </w:r>
      <w:r w:rsidR="00127839" w:rsidRPr="00E50F9D">
        <w:rPr>
          <w:rFonts w:ascii="Times New Roman" w:hAnsi="Times New Roman" w:cs="Times New Roman"/>
        </w:rPr>
        <w:t xml:space="preserve">ΔlnDep and </w:t>
      </w:r>
      <w:r w:rsidR="004778CE" w:rsidRPr="00E50F9D">
        <w:rPr>
          <w:rFonts w:asciiTheme="majorBidi" w:eastAsia="Times New Roman" w:hAnsiTheme="majorBidi" w:cstheme="majorBidi"/>
          <w:bCs/>
          <w:iCs/>
          <w:lang w:val="en-GB"/>
        </w:rPr>
        <w:t>LE</w:t>
      </w:r>
      <w:r w:rsidR="004778CE" w:rsidRPr="00E50F9D">
        <w:rPr>
          <w:rFonts w:asciiTheme="majorBidi" w:eastAsia="Times New Roman" w:hAnsiTheme="majorBidi" w:cstheme="majorBidi"/>
          <w:bCs/>
          <w:iCs/>
          <w:sz w:val="14"/>
          <w:szCs w:val="14"/>
          <w:lang w:val="en-GB"/>
        </w:rPr>
        <w:t>D</w:t>
      </w:r>
      <w:r w:rsidR="00127839" w:rsidRPr="00E50F9D">
        <w:rPr>
          <w:rFonts w:ascii="Times New Roman" w:hAnsi="Times New Roman" w:cs="Times New Roman"/>
          <w:sz w:val="18"/>
        </w:rPr>
        <w:t>.</w:t>
      </w:r>
      <w:r w:rsidR="00127839" w:rsidRPr="00E50F9D">
        <w:rPr>
          <w:rFonts w:ascii="Times New Roman" w:hAnsi="Times New Roman" w:cs="Times New Roman"/>
          <w:bCs/>
          <w:color w:val="auto"/>
          <w:lang w:val="en-GB"/>
        </w:rPr>
        <w:t xml:space="preserve">  </w:t>
      </w:r>
      <w:r w:rsidRPr="00E50F9D">
        <w:rPr>
          <w:rFonts w:ascii="Times New Roman" w:hAnsi="Times New Roman" w:cs="Times New Roman"/>
          <w:bCs/>
          <w:color w:val="auto"/>
          <w:lang w:val="en-GB"/>
        </w:rPr>
        <w:t>A point on the smaller coefficients for covariates such as DISTANCE needs to be made. The smaller coefficients are firstly due to non-rescaling of the variables (it is possible to have smaller coefficients due to the sheer and variables magnitudes of depende</w:t>
      </w:r>
      <w:r w:rsidR="002E4D3F" w:rsidRPr="00E50F9D">
        <w:rPr>
          <w:rFonts w:ascii="Times New Roman" w:hAnsi="Times New Roman" w:cs="Times New Roman"/>
          <w:bCs/>
          <w:color w:val="auto"/>
          <w:lang w:val="en-GB"/>
        </w:rPr>
        <w:t xml:space="preserve">nt and explanatory variables). </w:t>
      </w:r>
      <w:r w:rsidRPr="00E50F9D">
        <w:rPr>
          <w:rFonts w:ascii="Times New Roman" w:hAnsi="Times New Roman" w:cs="Times New Roman"/>
          <w:bCs/>
          <w:color w:val="auto"/>
          <w:lang w:val="en-GB"/>
        </w:rPr>
        <w:t xml:space="preserve">In Table </w:t>
      </w:r>
      <w:r w:rsidR="009974A8" w:rsidRPr="00E50F9D">
        <w:rPr>
          <w:rFonts w:ascii="Times New Roman" w:hAnsi="Times New Roman" w:cs="Times New Roman"/>
          <w:bCs/>
          <w:color w:val="auto"/>
          <w:lang w:val="en-GB"/>
        </w:rPr>
        <w:t>8</w:t>
      </w:r>
      <w:r w:rsidRPr="00E50F9D">
        <w:rPr>
          <w:rFonts w:ascii="Times New Roman" w:hAnsi="Times New Roman" w:cs="Times New Roman"/>
          <w:bCs/>
          <w:color w:val="auto"/>
          <w:lang w:val="en-GB"/>
        </w:rPr>
        <w:t xml:space="preserve"> we </w:t>
      </w:r>
      <w:r w:rsidR="00340F4F" w:rsidRPr="00E50F9D">
        <w:rPr>
          <w:rFonts w:ascii="Times New Roman" w:hAnsi="Times New Roman" w:cs="Times New Roman"/>
          <w:bCs/>
          <w:color w:val="auto"/>
          <w:lang w:val="en-GB"/>
        </w:rPr>
        <w:t>examine</w:t>
      </w:r>
      <w:r w:rsidRPr="00E50F9D">
        <w:rPr>
          <w:rFonts w:ascii="Times New Roman" w:hAnsi="Times New Roman" w:cs="Times New Roman"/>
          <w:bCs/>
          <w:color w:val="auto"/>
          <w:lang w:val="en-GB"/>
        </w:rPr>
        <w:t xml:space="preserve"> the distributional effects of geographic diversification and local banking structure on loan growth. From Table 4 (without instrumentation) it is clear that the effect of GD is variable (negative/positive) and insignificant throughout specifications. In contrast, these estimates are highly statistically significant </w:t>
      </w:r>
      <w:r w:rsidR="004778CE" w:rsidRPr="00E50F9D">
        <w:rPr>
          <w:rFonts w:ascii="Times New Roman" w:hAnsi="Times New Roman" w:cs="Times New Roman"/>
          <w:bCs/>
          <w:color w:val="auto"/>
          <w:lang w:val="en-GB"/>
        </w:rPr>
        <w:t>in Table 8</w:t>
      </w:r>
      <w:r w:rsidRPr="00E50F9D">
        <w:rPr>
          <w:rFonts w:ascii="Times New Roman" w:hAnsi="Times New Roman" w:cs="Times New Roman"/>
          <w:bCs/>
          <w:color w:val="auto"/>
          <w:lang w:val="en-GB"/>
        </w:rPr>
        <w:t xml:space="preserve">. Notably, the effects of DISTANCE are significant at 1% level in most instances and for all quantiles. Similarly, HHIw is also highly significant and displays large positive effects at 90th than at </w:t>
      </w:r>
      <w:r w:rsidR="00340F4F" w:rsidRPr="00E50F9D">
        <w:rPr>
          <w:rFonts w:ascii="Times New Roman" w:hAnsi="Times New Roman" w:cs="Times New Roman"/>
          <w:bCs/>
          <w:color w:val="auto"/>
          <w:lang w:val="en-GB"/>
        </w:rPr>
        <w:t>25</w:t>
      </w:r>
      <w:r w:rsidRPr="00E50F9D">
        <w:rPr>
          <w:rFonts w:ascii="Times New Roman" w:hAnsi="Times New Roman" w:cs="Times New Roman"/>
          <w:bCs/>
          <w:color w:val="auto"/>
          <w:lang w:val="en-GB"/>
        </w:rPr>
        <w:t>th and 50th quantiles on average</w:t>
      </w:r>
      <w:r w:rsidR="00E53EFE" w:rsidRPr="00E50F9D">
        <w:rPr>
          <w:rFonts w:ascii="Times New Roman" w:hAnsi="Times New Roman" w:cs="Times New Roman"/>
          <w:bCs/>
          <w:color w:val="auto"/>
          <w:lang w:val="en-GB"/>
        </w:rPr>
        <w:t xml:space="preserve"> for </w:t>
      </w:r>
      <w:r w:rsidR="004778CE" w:rsidRPr="00E50F9D">
        <w:rPr>
          <w:rFonts w:asciiTheme="majorBidi" w:eastAsia="Times New Roman" w:hAnsiTheme="majorBidi" w:cstheme="majorBidi"/>
          <w:bCs/>
          <w:iCs/>
          <w:lang w:val="en-GB"/>
        </w:rPr>
        <w:t>LE</w:t>
      </w:r>
      <w:r w:rsidR="004778CE" w:rsidRPr="00E50F9D">
        <w:rPr>
          <w:rFonts w:asciiTheme="majorBidi" w:eastAsia="Times New Roman" w:hAnsiTheme="majorBidi" w:cstheme="majorBidi"/>
          <w:bCs/>
          <w:iCs/>
          <w:sz w:val="14"/>
          <w:szCs w:val="14"/>
          <w:lang w:val="en-GB"/>
        </w:rPr>
        <w:t>L</w:t>
      </w:r>
      <w:r w:rsidRPr="00E50F9D">
        <w:rPr>
          <w:rFonts w:ascii="Times New Roman" w:hAnsi="Times New Roman" w:cs="Times New Roman"/>
          <w:bCs/>
          <w:color w:val="auto"/>
          <w:lang w:val="en-GB"/>
        </w:rPr>
        <w:t>.</w:t>
      </w:r>
      <w:r w:rsidR="004F555C" w:rsidRPr="00E50F9D">
        <w:rPr>
          <w:rFonts w:ascii="Times New Roman" w:hAnsi="Times New Roman" w:cs="Times New Roman"/>
          <w:bCs/>
          <w:color w:val="auto"/>
          <w:lang w:val="en-GB"/>
        </w:rPr>
        <w:t xml:space="preserve"> </w:t>
      </w:r>
      <w:r w:rsidR="001C3A91" w:rsidRPr="00E50F9D">
        <w:rPr>
          <w:rFonts w:ascii="Times New Roman" w:hAnsi="Times New Roman" w:cs="Times New Roman"/>
          <w:bCs/>
          <w:color w:val="auto"/>
          <w:lang w:val="en-GB"/>
        </w:rPr>
        <w:t xml:space="preserve">By focusing on Table 9, we find that </w:t>
      </w:r>
      <w:r w:rsidR="00A73770" w:rsidRPr="00E50F9D">
        <w:rPr>
          <w:rFonts w:ascii="Times New Roman" w:hAnsi="Times New Roman" w:cs="Times New Roman"/>
          <w:bCs/>
          <w:color w:val="auto"/>
          <w:lang w:val="en-GB"/>
        </w:rPr>
        <w:t>positive</w:t>
      </w:r>
      <w:r w:rsidR="001C3A91" w:rsidRPr="00E50F9D">
        <w:rPr>
          <w:rFonts w:ascii="Times New Roman" w:hAnsi="Times New Roman" w:cs="Times New Roman"/>
          <w:bCs/>
          <w:color w:val="auto"/>
          <w:lang w:val="en-GB"/>
        </w:rPr>
        <w:t xml:space="preserve"> effect of GD on growth of</w:t>
      </w:r>
      <w:r w:rsidR="00523893" w:rsidRPr="00E50F9D">
        <w:rPr>
          <w:rFonts w:ascii="Times New Roman" w:hAnsi="Times New Roman" w:cs="Times New Roman"/>
          <w:bCs/>
          <w:color w:val="auto"/>
          <w:lang w:val="en-GB"/>
        </w:rPr>
        <w:t xml:space="preserve"> deposits</w:t>
      </w:r>
      <w:r w:rsidR="001C3A91" w:rsidRPr="00E50F9D">
        <w:rPr>
          <w:rFonts w:ascii="Times New Roman" w:hAnsi="Times New Roman" w:cs="Times New Roman"/>
          <w:bCs/>
          <w:color w:val="auto"/>
          <w:lang w:val="en-GB"/>
        </w:rPr>
        <w:t xml:space="preserve">. Interestingly, MCw now appears to be significant related to </w:t>
      </w:r>
      <w:r w:rsidR="004778CE" w:rsidRPr="00E50F9D">
        <w:rPr>
          <w:rFonts w:asciiTheme="majorBidi" w:eastAsia="Times New Roman" w:hAnsiTheme="majorBidi" w:cstheme="majorBidi"/>
          <w:bCs/>
          <w:iCs/>
          <w:lang w:val="en-GB"/>
        </w:rPr>
        <w:t>LE</w:t>
      </w:r>
      <w:r w:rsidR="004778CE" w:rsidRPr="00E50F9D">
        <w:rPr>
          <w:rFonts w:asciiTheme="majorBidi" w:eastAsia="Times New Roman" w:hAnsiTheme="majorBidi" w:cstheme="majorBidi"/>
          <w:bCs/>
          <w:iCs/>
          <w:sz w:val="14"/>
          <w:szCs w:val="14"/>
          <w:lang w:val="en-GB"/>
        </w:rPr>
        <w:t>D</w:t>
      </w:r>
      <w:r w:rsidR="001C3A91" w:rsidRPr="00E50F9D">
        <w:rPr>
          <w:rFonts w:ascii="Times New Roman" w:hAnsi="Times New Roman" w:cs="Times New Roman"/>
          <w:bCs/>
          <w:color w:val="auto"/>
          <w:lang w:val="en-GB"/>
        </w:rPr>
        <w:t xml:space="preserve"> at the median quantile (tau = 0.5). Furthermore, </w:t>
      </w:r>
      <w:r w:rsidR="00540D1C" w:rsidRPr="00E50F9D">
        <w:rPr>
          <w:rFonts w:ascii="Times New Roman" w:hAnsi="Times New Roman" w:cs="Times New Roman"/>
          <w:bCs/>
          <w:color w:val="auto"/>
          <w:lang w:val="en-GB"/>
        </w:rPr>
        <w:t xml:space="preserve">NPLs and EQTA result to be respectively positively and negatively related to </w:t>
      </w:r>
      <w:r w:rsidR="004778CE" w:rsidRPr="00E50F9D">
        <w:rPr>
          <w:rFonts w:asciiTheme="majorBidi" w:eastAsia="Times New Roman" w:hAnsiTheme="majorBidi" w:cstheme="majorBidi"/>
          <w:bCs/>
          <w:iCs/>
          <w:lang w:val="en-GB"/>
        </w:rPr>
        <w:t>LE</w:t>
      </w:r>
      <w:r w:rsidR="004778CE" w:rsidRPr="00E50F9D">
        <w:rPr>
          <w:rFonts w:asciiTheme="majorBidi" w:eastAsia="Times New Roman" w:hAnsiTheme="majorBidi" w:cstheme="majorBidi"/>
          <w:bCs/>
          <w:iCs/>
          <w:sz w:val="14"/>
          <w:szCs w:val="14"/>
          <w:lang w:val="en-GB"/>
        </w:rPr>
        <w:t>D</w:t>
      </w:r>
      <w:r w:rsidR="00540D1C" w:rsidRPr="00E50F9D">
        <w:rPr>
          <w:rFonts w:ascii="Times New Roman" w:hAnsi="Times New Roman" w:cs="Times New Roman"/>
          <w:bCs/>
          <w:color w:val="auto"/>
          <w:sz w:val="20"/>
          <w:lang w:val="en-GB"/>
        </w:rPr>
        <w:t xml:space="preserve"> </w:t>
      </w:r>
      <w:r w:rsidR="00540D1C" w:rsidRPr="00E50F9D">
        <w:rPr>
          <w:rFonts w:ascii="Times New Roman" w:hAnsi="Times New Roman" w:cs="Times New Roman"/>
          <w:bCs/>
          <w:color w:val="auto"/>
          <w:lang w:val="en-GB"/>
        </w:rPr>
        <w:t>for almost all the quantiles</w:t>
      </w:r>
      <w:r w:rsidR="00903EF7" w:rsidRPr="00E50F9D">
        <w:rPr>
          <w:rFonts w:ascii="Times New Roman" w:hAnsi="Times New Roman" w:cs="Times New Roman"/>
          <w:bCs/>
          <w:color w:val="auto"/>
          <w:lang w:val="en-GB"/>
        </w:rPr>
        <w:t xml:space="preserve"> as in Table 5</w:t>
      </w:r>
      <w:r w:rsidR="00540D1C" w:rsidRPr="00E50F9D">
        <w:rPr>
          <w:rFonts w:ascii="Times New Roman" w:hAnsi="Times New Roman" w:cs="Times New Roman"/>
          <w:bCs/>
          <w:color w:val="auto"/>
          <w:lang w:val="en-GB"/>
        </w:rPr>
        <w:t>.</w:t>
      </w:r>
    </w:p>
    <w:p w14:paraId="257D336C" w14:textId="77777777" w:rsidR="002E6A16" w:rsidRPr="00E50F9D" w:rsidRDefault="002E6A16" w:rsidP="00471BB5">
      <w:pPr>
        <w:pStyle w:val="Default"/>
        <w:spacing w:line="480" w:lineRule="auto"/>
        <w:rPr>
          <w:rFonts w:ascii="Times New Roman" w:hAnsi="Times New Roman" w:cs="Times New Roman"/>
          <w:b/>
          <w:bCs/>
          <w:lang w:val="en-GB"/>
        </w:rPr>
      </w:pPr>
    </w:p>
    <w:p w14:paraId="0E058BF7" w14:textId="77777777" w:rsidR="004B4900" w:rsidRPr="00E50F9D" w:rsidRDefault="004B4900" w:rsidP="004B4900">
      <w:pPr>
        <w:pStyle w:val="Default"/>
        <w:numPr>
          <w:ilvl w:val="0"/>
          <w:numId w:val="11"/>
        </w:numPr>
        <w:spacing w:line="480" w:lineRule="auto"/>
        <w:ind w:left="357" w:hanging="357"/>
        <w:rPr>
          <w:rFonts w:ascii="Times New Roman" w:hAnsi="Times New Roman" w:cs="Times New Roman"/>
          <w:b/>
          <w:bCs/>
          <w:lang w:val="en-GB"/>
        </w:rPr>
      </w:pPr>
      <w:r w:rsidRPr="00E50F9D">
        <w:rPr>
          <w:rFonts w:ascii="Times New Roman" w:hAnsi="Times New Roman" w:cs="Times New Roman"/>
          <w:b/>
          <w:bCs/>
          <w:lang w:val="en-GB"/>
        </w:rPr>
        <w:t>Conclusion</w:t>
      </w:r>
    </w:p>
    <w:p w14:paraId="600C80DE" w14:textId="77777777" w:rsidR="00CD4EE0" w:rsidRPr="00E50F9D" w:rsidRDefault="004B4900" w:rsidP="00CD4EE0">
      <w:pPr>
        <w:spacing w:after="0" w:line="480" w:lineRule="auto"/>
        <w:ind w:firstLine="567"/>
        <w:jc w:val="both"/>
        <w:rPr>
          <w:rFonts w:asciiTheme="majorBidi" w:hAnsiTheme="majorBidi" w:cstheme="majorBidi"/>
          <w:color w:val="000000"/>
          <w:sz w:val="24"/>
          <w:szCs w:val="24"/>
          <w:lang w:val="en-US"/>
        </w:rPr>
      </w:pPr>
      <w:r w:rsidRPr="00E50F9D">
        <w:rPr>
          <w:rFonts w:asciiTheme="majorBidi" w:hAnsiTheme="majorBidi" w:cstheme="majorBidi"/>
          <w:sz w:val="24"/>
          <w:szCs w:val="24"/>
          <w:lang w:val="en-US"/>
        </w:rPr>
        <w:t xml:space="preserve">The reduction, or even removal of legal barriers to bank branching, has contributed to changes in the market structure and the competitive conditions of the banking sector. As this paper examines the dynamics of competitive behaviour and local </w:t>
      </w:r>
      <w:r w:rsidRPr="00E50F9D">
        <w:rPr>
          <w:rFonts w:asciiTheme="majorBidi" w:hAnsiTheme="majorBidi" w:cstheme="majorBidi"/>
          <w:color w:val="000000"/>
          <w:sz w:val="24"/>
          <w:szCs w:val="24"/>
          <w:lang w:val="en-US"/>
        </w:rPr>
        <w:t xml:space="preserve">market structure of Italian banks during the period 1993 to 2011, it has relevance for both policy makers and the viability of local banking. One reason for this is that this paper examines the effect of local geographic strategies, measured in terms of geographic dispersion and average distance between the headquarters of a bank and its branches, and branch density on performance, </w:t>
      </w:r>
      <w:r w:rsidRPr="00E50F9D">
        <w:rPr>
          <w:rFonts w:ascii="Times New Roman" w:hAnsi="Times New Roman" w:cs="Times New Roman"/>
          <w:sz w:val="24"/>
          <w:szCs w:val="24"/>
          <w:lang w:val="en-GB"/>
        </w:rPr>
        <w:t>loan origination</w:t>
      </w:r>
      <w:r w:rsidRPr="00E50F9D">
        <w:rPr>
          <w:rFonts w:asciiTheme="majorBidi" w:hAnsiTheme="majorBidi" w:cstheme="majorBidi"/>
          <w:color w:val="000000"/>
          <w:sz w:val="24"/>
          <w:szCs w:val="24"/>
          <w:lang w:val="en-GB"/>
        </w:rPr>
        <w:t xml:space="preserve">, </w:t>
      </w:r>
      <w:r w:rsidRPr="00E50F9D">
        <w:rPr>
          <w:rFonts w:asciiTheme="majorBidi" w:hAnsiTheme="majorBidi" w:cstheme="majorBidi"/>
          <w:color w:val="000000"/>
          <w:sz w:val="24"/>
          <w:szCs w:val="24"/>
          <w:lang w:val="en-US"/>
        </w:rPr>
        <w:t>deposit collection and monopoly market power. Another reason is that it analyzes the effect of market coverage of medium and large banks and local market concentration of branches on the competitive viability and lending of single-market banks. First, we have applied a panel data fixed effects model. Next, we have rerun our main models by using unconditional instrumental variables (IV) quantile regression to verify the robustness of the effect of geographical diversification strategies on performance, adjusted Lerner index, lending and funding strategies under full distributional assumptions.</w:t>
      </w:r>
    </w:p>
    <w:p w14:paraId="290D5248" w14:textId="5AB8C107" w:rsidR="00CD4EE0" w:rsidRPr="00E50F9D" w:rsidRDefault="004B4900" w:rsidP="00CD4EE0">
      <w:pPr>
        <w:spacing w:after="0" w:line="480" w:lineRule="auto"/>
        <w:ind w:firstLine="567"/>
        <w:jc w:val="both"/>
        <w:rPr>
          <w:rFonts w:asciiTheme="majorBidi" w:hAnsiTheme="majorBidi" w:cstheme="majorBidi"/>
          <w:color w:val="000000"/>
          <w:sz w:val="24"/>
          <w:szCs w:val="24"/>
          <w:lang w:val="en-US"/>
        </w:rPr>
      </w:pPr>
      <w:r w:rsidRPr="00E50F9D">
        <w:rPr>
          <w:rFonts w:asciiTheme="majorBidi" w:hAnsiTheme="majorBidi" w:cstheme="majorBidi"/>
          <w:color w:val="000000"/>
          <w:sz w:val="24"/>
          <w:szCs w:val="24"/>
          <w:lang w:val="en-US"/>
        </w:rPr>
        <w:t>Our findings show that the distance between the headquarters of a bank and its branches decreases the performance, the growth of loans</w:t>
      </w:r>
      <w:r w:rsidR="00952BAF" w:rsidRPr="00E50F9D">
        <w:rPr>
          <w:rFonts w:asciiTheme="majorBidi" w:hAnsiTheme="majorBidi" w:cstheme="majorBidi"/>
          <w:color w:val="000000"/>
          <w:sz w:val="24"/>
          <w:szCs w:val="24"/>
          <w:lang w:val="en-US"/>
        </w:rPr>
        <w:t>,</w:t>
      </w:r>
      <w:r w:rsidRPr="00E50F9D">
        <w:rPr>
          <w:rFonts w:asciiTheme="majorBidi" w:hAnsiTheme="majorBidi" w:cstheme="majorBidi"/>
          <w:color w:val="000000"/>
          <w:sz w:val="24"/>
          <w:szCs w:val="24"/>
          <w:lang w:val="en-US"/>
        </w:rPr>
        <w:t xml:space="preserve"> and deposits of banks</w:t>
      </w:r>
      <w:r w:rsidR="007620F1" w:rsidRPr="00E50F9D">
        <w:rPr>
          <w:rFonts w:asciiTheme="majorBidi" w:hAnsiTheme="majorBidi" w:cstheme="majorBidi"/>
          <w:color w:val="000000"/>
          <w:sz w:val="24"/>
          <w:szCs w:val="24"/>
          <w:lang w:val="en-US"/>
        </w:rPr>
        <w:t>. Moreover</w:t>
      </w:r>
      <w:r w:rsidRPr="00E50F9D">
        <w:rPr>
          <w:rFonts w:asciiTheme="majorBidi" w:hAnsiTheme="majorBidi" w:cstheme="majorBidi"/>
          <w:color w:val="000000"/>
          <w:sz w:val="24"/>
          <w:szCs w:val="24"/>
          <w:lang w:val="en-US"/>
        </w:rPr>
        <w:t xml:space="preserve">, our findings indicate that an increase of capitalization can increase </w:t>
      </w:r>
      <w:r w:rsidR="00952BAF" w:rsidRPr="00E50F9D">
        <w:rPr>
          <w:rFonts w:asciiTheme="majorBidi" w:hAnsiTheme="majorBidi" w:cstheme="majorBidi"/>
          <w:color w:val="000000"/>
          <w:sz w:val="24"/>
          <w:szCs w:val="24"/>
          <w:lang w:val="en-US"/>
        </w:rPr>
        <w:t xml:space="preserve">the </w:t>
      </w:r>
      <w:r w:rsidRPr="00E50F9D">
        <w:rPr>
          <w:rFonts w:asciiTheme="majorBidi" w:hAnsiTheme="majorBidi" w:cstheme="majorBidi"/>
          <w:color w:val="000000"/>
          <w:sz w:val="24"/>
          <w:szCs w:val="24"/>
          <w:lang w:val="en-US"/>
        </w:rPr>
        <w:t>lending activities</w:t>
      </w:r>
      <w:r w:rsidR="00952BAF" w:rsidRPr="00E50F9D">
        <w:rPr>
          <w:rFonts w:asciiTheme="majorBidi" w:hAnsiTheme="majorBidi" w:cstheme="majorBidi"/>
          <w:color w:val="000000"/>
          <w:sz w:val="24"/>
          <w:szCs w:val="24"/>
          <w:lang w:val="en-US"/>
        </w:rPr>
        <w:t xml:space="preserve"> of a bank</w:t>
      </w:r>
      <w:r w:rsidRPr="00E50F9D">
        <w:rPr>
          <w:rFonts w:asciiTheme="majorBidi" w:hAnsiTheme="majorBidi" w:cstheme="majorBidi"/>
          <w:color w:val="000000"/>
          <w:sz w:val="24"/>
          <w:szCs w:val="24"/>
          <w:lang w:val="en-US"/>
        </w:rPr>
        <w:t xml:space="preserve">, but harm </w:t>
      </w:r>
      <w:r w:rsidR="00952BAF" w:rsidRPr="00E50F9D">
        <w:rPr>
          <w:rFonts w:asciiTheme="majorBidi" w:hAnsiTheme="majorBidi" w:cstheme="majorBidi"/>
          <w:color w:val="000000"/>
          <w:sz w:val="24"/>
          <w:szCs w:val="24"/>
          <w:lang w:val="en-US"/>
        </w:rPr>
        <w:t>its</w:t>
      </w:r>
      <w:r w:rsidRPr="00E50F9D">
        <w:rPr>
          <w:rFonts w:asciiTheme="majorBidi" w:hAnsiTheme="majorBidi" w:cstheme="majorBidi"/>
          <w:color w:val="000000"/>
          <w:sz w:val="24"/>
          <w:szCs w:val="24"/>
          <w:lang w:val="en-US"/>
        </w:rPr>
        <w:t xml:space="preserve"> monopoly market power in both the deposit and loan market.</w:t>
      </w:r>
      <w:r w:rsidRPr="00E50F9D">
        <w:rPr>
          <w:rFonts w:asciiTheme="majorBidi" w:hAnsiTheme="majorBidi" w:cstheme="majorBidi"/>
          <w:sz w:val="24"/>
          <w:szCs w:val="24"/>
          <w:lang w:val="en-US"/>
        </w:rPr>
        <w:t xml:space="preserve"> </w:t>
      </w:r>
      <w:r w:rsidRPr="00E50F9D">
        <w:rPr>
          <w:rFonts w:asciiTheme="majorBidi" w:hAnsiTheme="majorBidi" w:cstheme="majorBidi"/>
          <w:color w:val="000000"/>
          <w:sz w:val="24"/>
          <w:szCs w:val="24"/>
          <w:lang w:val="en-US"/>
        </w:rPr>
        <w:t>Our results further indicate that</w:t>
      </w:r>
      <w:r w:rsidR="00BA58B0" w:rsidRPr="00E50F9D">
        <w:rPr>
          <w:rFonts w:asciiTheme="majorBidi" w:hAnsiTheme="majorBidi" w:cstheme="majorBidi"/>
          <w:color w:val="000000"/>
          <w:sz w:val="24"/>
          <w:szCs w:val="24"/>
          <w:lang w:val="en-US"/>
        </w:rPr>
        <w:t xml:space="preserve"> an</w:t>
      </w:r>
      <w:r w:rsidRPr="00E50F9D">
        <w:rPr>
          <w:rFonts w:asciiTheme="majorBidi" w:hAnsiTheme="majorBidi" w:cstheme="majorBidi"/>
          <w:color w:val="000000"/>
          <w:sz w:val="24"/>
          <w:szCs w:val="24"/>
          <w:lang w:val="en-US"/>
        </w:rPr>
        <w:t xml:space="preserve"> </w:t>
      </w:r>
      <w:r w:rsidR="007620F1" w:rsidRPr="00E50F9D">
        <w:rPr>
          <w:rFonts w:asciiTheme="majorBidi" w:hAnsiTheme="majorBidi" w:cstheme="majorBidi"/>
          <w:sz w:val="24"/>
          <w:szCs w:val="24"/>
          <w:lang w:val="en-US"/>
        </w:rPr>
        <w:t>increase</w:t>
      </w:r>
      <w:r w:rsidRPr="00E50F9D">
        <w:rPr>
          <w:rFonts w:asciiTheme="majorBidi" w:hAnsiTheme="majorBidi" w:cstheme="majorBidi"/>
          <w:sz w:val="24"/>
          <w:szCs w:val="24"/>
          <w:lang w:val="en-US"/>
        </w:rPr>
        <w:t xml:space="preserve"> of medium-large banks</w:t>
      </w:r>
      <w:r w:rsidR="007620F1" w:rsidRPr="00E50F9D">
        <w:rPr>
          <w:rFonts w:asciiTheme="majorBidi" w:hAnsiTheme="majorBidi" w:cstheme="majorBidi"/>
          <w:sz w:val="24"/>
          <w:szCs w:val="24"/>
          <w:lang w:val="en-US"/>
        </w:rPr>
        <w:t>’ branches</w:t>
      </w:r>
      <w:r w:rsidRPr="00E50F9D">
        <w:rPr>
          <w:rFonts w:asciiTheme="majorBidi" w:hAnsiTheme="majorBidi" w:cstheme="majorBidi"/>
          <w:sz w:val="24"/>
          <w:szCs w:val="24"/>
          <w:lang w:val="en-US"/>
        </w:rPr>
        <w:t xml:space="preserve"> </w:t>
      </w:r>
      <w:r w:rsidR="007620F1" w:rsidRPr="00E50F9D">
        <w:rPr>
          <w:rFonts w:asciiTheme="majorBidi" w:hAnsiTheme="majorBidi" w:cstheme="majorBidi"/>
          <w:sz w:val="24"/>
          <w:szCs w:val="24"/>
          <w:lang w:val="en-US"/>
        </w:rPr>
        <w:t xml:space="preserve">in highly concentrated markets impacts </w:t>
      </w:r>
      <w:r w:rsidRPr="00E50F9D">
        <w:rPr>
          <w:rFonts w:asciiTheme="majorBidi" w:hAnsiTheme="majorBidi" w:cstheme="majorBidi"/>
          <w:sz w:val="24"/>
          <w:szCs w:val="24"/>
          <w:lang w:val="en-US"/>
        </w:rPr>
        <w:t xml:space="preserve">negatively on the lending of </w:t>
      </w:r>
      <w:r w:rsidRPr="00E50F9D">
        <w:rPr>
          <w:rFonts w:asciiTheme="majorBidi" w:hAnsiTheme="majorBidi" w:cstheme="majorBidi"/>
          <w:color w:val="000000"/>
          <w:sz w:val="24"/>
          <w:szCs w:val="24"/>
          <w:lang w:val="en-US"/>
        </w:rPr>
        <w:t>single-market banks</w:t>
      </w:r>
      <w:r w:rsidR="007620F1" w:rsidRPr="00E50F9D">
        <w:rPr>
          <w:rFonts w:asciiTheme="majorBidi" w:hAnsiTheme="majorBidi" w:cstheme="majorBidi"/>
          <w:color w:val="000000"/>
          <w:sz w:val="24"/>
          <w:szCs w:val="24"/>
          <w:lang w:val="en-US"/>
        </w:rPr>
        <w:t xml:space="preserve">. </w:t>
      </w:r>
      <w:r w:rsidRPr="00E50F9D">
        <w:rPr>
          <w:rFonts w:asciiTheme="majorBidi" w:hAnsiTheme="majorBidi" w:cstheme="majorBidi"/>
          <w:sz w:val="24"/>
          <w:szCs w:val="24"/>
          <w:lang w:val="en-US"/>
        </w:rPr>
        <w:t xml:space="preserve">Finally, the </w:t>
      </w:r>
      <w:r w:rsidR="00B526CF" w:rsidRPr="00E50F9D">
        <w:rPr>
          <w:rFonts w:asciiTheme="majorBidi" w:hAnsiTheme="majorBidi" w:cstheme="majorBidi"/>
          <w:sz w:val="24"/>
          <w:szCs w:val="24"/>
          <w:lang w:val="en-US"/>
        </w:rPr>
        <w:t>heightened</w:t>
      </w:r>
      <w:r w:rsidRPr="00E50F9D">
        <w:rPr>
          <w:rFonts w:asciiTheme="majorBidi" w:hAnsiTheme="majorBidi" w:cstheme="majorBidi"/>
          <w:sz w:val="24"/>
          <w:szCs w:val="24"/>
          <w:lang w:val="en-US"/>
        </w:rPr>
        <w:t xml:space="preserve"> presence of large and medium banks in concentrated markets do</w:t>
      </w:r>
      <w:r w:rsidR="00BA58B0" w:rsidRPr="00E50F9D">
        <w:rPr>
          <w:rFonts w:asciiTheme="majorBidi" w:hAnsiTheme="majorBidi" w:cstheme="majorBidi"/>
          <w:sz w:val="24"/>
          <w:szCs w:val="24"/>
          <w:lang w:val="en-US"/>
        </w:rPr>
        <w:t>es</w:t>
      </w:r>
      <w:r w:rsidRPr="00E50F9D">
        <w:rPr>
          <w:rFonts w:asciiTheme="majorBidi" w:hAnsiTheme="majorBidi" w:cstheme="majorBidi"/>
          <w:sz w:val="24"/>
          <w:szCs w:val="24"/>
          <w:lang w:val="en-US"/>
        </w:rPr>
        <w:t xml:space="preserve"> not affect the Lerner Index of single-market banks in the loan market, while it decreases the Lerner Index in the deposit market. </w:t>
      </w:r>
    </w:p>
    <w:p w14:paraId="42672165" w14:textId="7F1A5B09" w:rsidR="004B4900" w:rsidRPr="00E50F9D" w:rsidRDefault="007620F1" w:rsidP="00CD4EE0">
      <w:pPr>
        <w:spacing w:after="0" w:line="480" w:lineRule="auto"/>
        <w:ind w:firstLine="567"/>
        <w:jc w:val="both"/>
        <w:rPr>
          <w:rFonts w:asciiTheme="majorBidi" w:hAnsiTheme="majorBidi" w:cstheme="majorBidi"/>
          <w:sz w:val="24"/>
          <w:szCs w:val="24"/>
          <w:lang w:val="en-US"/>
        </w:rPr>
      </w:pPr>
      <w:r w:rsidRPr="00E50F9D">
        <w:rPr>
          <w:rFonts w:asciiTheme="majorBidi" w:hAnsiTheme="majorBidi" w:cstheme="majorBidi"/>
          <w:sz w:val="24"/>
          <w:szCs w:val="24"/>
          <w:lang w:val="en-US"/>
        </w:rPr>
        <w:t xml:space="preserve">This suggests that antitrust authorities should be mindful that the entrance of medium and large banks in a local market and the consolidation of their market share can increase the level of competition in the deposit markets. At the same time, it may be appropriate for these authorities to take into account </w:t>
      </w:r>
      <w:r w:rsidR="00BA58B0" w:rsidRPr="00E50F9D">
        <w:rPr>
          <w:rFonts w:asciiTheme="majorBidi" w:hAnsiTheme="majorBidi" w:cstheme="majorBidi"/>
          <w:sz w:val="24"/>
          <w:szCs w:val="24"/>
          <w:lang w:val="en-US"/>
        </w:rPr>
        <w:t xml:space="preserve">the fact </w:t>
      </w:r>
      <w:r w:rsidRPr="00E50F9D">
        <w:rPr>
          <w:rFonts w:asciiTheme="majorBidi" w:hAnsiTheme="majorBidi" w:cstheme="majorBidi"/>
          <w:sz w:val="24"/>
          <w:szCs w:val="24"/>
          <w:lang w:val="en-US"/>
        </w:rPr>
        <w:t>that the increase of the share of local market branches of medium and large banks in highly concentrated market</w:t>
      </w:r>
      <w:r w:rsidR="00BA58B0" w:rsidRPr="00E50F9D">
        <w:rPr>
          <w:rFonts w:asciiTheme="majorBidi" w:hAnsiTheme="majorBidi" w:cstheme="majorBidi"/>
          <w:sz w:val="24"/>
          <w:szCs w:val="24"/>
          <w:lang w:val="en-US"/>
        </w:rPr>
        <w:t>s</w:t>
      </w:r>
      <w:r w:rsidRPr="00E50F9D">
        <w:rPr>
          <w:rFonts w:asciiTheme="majorBidi" w:hAnsiTheme="majorBidi" w:cstheme="majorBidi"/>
          <w:sz w:val="24"/>
          <w:szCs w:val="24"/>
          <w:lang w:val="en-US"/>
        </w:rPr>
        <w:t xml:space="preserve"> can harm the lending activities of small banks without reducing their price of loans. This is </w:t>
      </w:r>
      <w:r w:rsidR="00BA58B0" w:rsidRPr="00E50F9D">
        <w:rPr>
          <w:rFonts w:asciiTheme="majorBidi" w:hAnsiTheme="majorBidi" w:cstheme="majorBidi"/>
          <w:sz w:val="24"/>
          <w:szCs w:val="24"/>
          <w:lang w:val="en-US"/>
        </w:rPr>
        <w:t xml:space="preserve">an </w:t>
      </w:r>
      <w:r w:rsidRPr="00E50F9D">
        <w:rPr>
          <w:rFonts w:asciiTheme="majorBidi" w:hAnsiTheme="majorBidi" w:cstheme="majorBidi"/>
          <w:sz w:val="24"/>
          <w:szCs w:val="24"/>
          <w:lang w:val="en-US"/>
        </w:rPr>
        <w:t>important warning since these type of banks play a pivotal role for</w:t>
      </w:r>
      <w:r w:rsidR="00B526CF" w:rsidRPr="00E50F9D">
        <w:rPr>
          <w:rFonts w:asciiTheme="majorBidi" w:hAnsiTheme="majorBidi" w:cstheme="majorBidi"/>
          <w:sz w:val="24"/>
          <w:szCs w:val="24"/>
          <w:lang w:val="en-US"/>
        </w:rPr>
        <w:t xml:space="preserve"> SMEs to</w:t>
      </w:r>
      <w:r w:rsidRPr="00E50F9D">
        <w:rPr>
          <w:rFonts w:asciiTheme="majorBidi" w:hAnsiTheme="majorBidi" w:cstheme="majorBidi"/>
          <w:sz w:val="24"/>
          <w:szCs w:val="24"/>
          <w:lang w:val="en-US"/>
        </w:rPr>
        <w:t xml:space="preserve"> access credit. Thus, the reduction of their lending activities could potentially harm the local economic development</w:t>
      </w:r>
      <w:r w:rsidR="00BA58B0" w:rsidRPr="00E50F9D">
        <w:rPr>
          <w:rFonts w:asciiTheme="majorBidi" w:hAnsiTheme="majorBidi" w:cstheme="majorBidi"/>
          <w:sz w:val="24"/>
          <w:szCs w:val="24"/>
          <w:lang w:val="en-US"/>
        </w:rPr>
        <w:t>,</w:t>
      </w:r>
      <w:r w:rsidRPr="00E50F9D">
        <w:rPr>
          <w:rFonts w:asciiTheme="majorBidi" w:hAnsiTheme="majorBidi" w:cstheme="majorBidi"/>
          <w:sz w:val="24"/>
          <w:szCs w:val="24"/>
          <w:lang w:val="en-US"/>
        </w:rPr>
        <w:t xml:space="preserve"> especially</w:t>
      </w:r>
      <w:r w:rsidR="00BA58B0" w:rsidRPr="00E50F9D">
        <w:rPr>
          <w:rFonts w:asciiTheme="majorBidi" w:hAnsiTheme="majorBidi" w:cstheme="majorBidi"/>
          <w:sz w:val="24"/>
          <w:szCs w:val="24"/>
          <w:lang w:val="en-US"/>
        </w:rPr>
        <w:t xml:space="preserve"> in</w:t>
      </w:r>
      <w:r w:rsidRPr="00E50F9D">
        <w:rPr>
          <w:rFonts w:asciiTheme="majorBidi" w:hAnsiTheme="majorBidi" w:cstheme="majorBidi"/>
          <w:sz w:val="24"/>
          <w:szCs w:val="24"/>
          <w:lang w:val="en-US"/>
        </w:rPr>
        <w:t xml:space="preserve"> </w:t>
      </w:r>
      <w:r w:rsidR="00BA58B0" w:rsidRPr="00E50F9D">
        <w:rPr>
          <w:rFonts w:asciiTheme="majorBidi" w:hAnsiTheme="majorBidi" w:cstheme="majorBidi"/>
          <w:sz w:val="24"/>
          <w:szCs w:val="24"/>
          <w:lang w:val="en-US"/>
        </w:rPr>
        <w:t xml:space="preserve">areas </w:t>
      </w:r>
      <w:r w:rsidRPr="00E50F9D">
        <w:rPr>
          <w:rFonts w:asciiTheme="majorBidi" w:hAnsiTheme="majorBidi" w:cstheme="majorBidi"/>
          <w:sz w:val="24"/>
          <w:szCs w:val="24"/>
          <w:lang w:val="en-US"/>
        </w:rPr>
        <w:t>where SMEs are more spread-out</w:t>
      </w:r>
      <w:r w:rsidR="00C517FA" w:rsidRPr="00E50F9D">
        <w:rPr>
          <w:rFonts w:asciiTheme="majorBidi" w:hAnsiTheme="majorBidi" w:cstheme="majorBidi"/>
          <w:sz w:val="24"/>
          <w:szCs w:val="24"/>
          <w:lang w:val="en-US"/>
        </w:rPr>
        <w:t>.</w:t>
      </w:r>
    </w:p>
    <w:p w14:paraId="335C4566" w14:textId="77777777" w:rsidR="00C04E4E" w:rsidRPr="00E50F9D" w:rsidRDefault="00C04E4E" w:rsidP="00CD4EE0">
      <w:pPr>
        <w:spacing w:after="0" w:line="480" w:lineRule="auto"/>
        <w:ind w:firstLine="567"/>
        <w:jc w:val="both"/>
        <w:rPr>
          <w:rFonts w:asciiTheme="majorBidi" w:hAnsiTheme="majorBidi" w:cstheme="majorBidi"/>
          <w:sz w:val="24"/>
          <w:szCs w:val="24"/>
          <w:lang w:val="en-US"/>
        </w:rPr>
      </w:pPr>
    </w:p>
    <w:p w14:paraId="28C8FADB" w14:textId="4C065CDC" w:rsidR="00BF1ADB" w:rsidRPr="00E50F9D" w:rsidRDefault="00BF1ADB" w:rsidP="00BF1ADB">
      <w:pPr>
        <w:pStyle w:val="Default"/>
        <w:spacing w:line="480" w:lineRule="auto"/>
        <w:rPr>
          <w:rFonts w:ascii="Times New Roman" w:hAnsi="Times New Roman" w:cs="Times New Roman"/>
          <w:b/>
          <w:bCs/>
          <w:lang w:val="en-GB"/>
        </w:rPr>
      </w:pPr>
      <w:r w:rsidRPr="00E50F9D">
        <w:rPr>
          <w:rFonts w:ascii="Times New Roman" w:hAnsi="Times New Roman" w:cs="Times New Roman"/>
          <w:b/>
          <w:bCs/>
          <w:lang w:val="en-GB"/>
        </w:rPr>
        <w:t>Acknowledgements</w:t>
      </w:r>
    </w:p>
    <w:p w14:paraId="1C720364" w14:textId="0AC8F88E" w:rsidR="00130018" w:rsidRPr="00E50F9D" w:rsidRDefault="00BF1ADB" w:rsidP="00254CEE">
      <w:pPr>
        <w:pStyle w:val="Default"/>
        <w:jc w:val="both"/>
        <w:rPr>
          <w:rFonts w:asciiTheme="majorBidi" w:hAnsiTheme="majorBidi" w:cstheme="majorBidi"/>
          <w:color w:val="auto"/>
          <w:lang w:val="en-US"/>
        </w:rPr>
      </w:pPr>
      <w:r w:rsidRPr="00E50F9D">
        <w:rPr>
          <w:rFonts w:asciiTheme="majorBidi" w:hAnsiTheme="majorBidi" w:cstheme="majorBidi"/>
          <w:color w:val="auto"/>
          <w:lang w:val="en-US"/>
        </w:rPr>
        <w:t>We thank two anonymous referees for their comments</w:t>
      </w:r>
      <w:r w:rsidR="007371D3" w:rsidRPr="00E50F9D">
        <w:rPr>
          <w:rFonts w:asciiTheme="majorBidi" w:hAnsiTheme="majorBidi" w:cstheme="majorBidi"/>
          <w:color w:val="auto"/>
          <w:lang w:val="en-US"/>
        </w:rPr>
        <w:t xml:space="preserve"> </w:t>
      </w:r>
      <w:r w:rsidR="00C04E4E" w:rsidRPr="00E50F9D">
        <w:rPr>
          <w:rFonts w:asciiTheme="majorBidi" w:hAnsiTheme="majorBidi" w:cstheme="majorBidi"/>
          <w:color w:val="auto"/>
          <w:lang w:val="en-US"/>
        </w:rPr>
        <w:t>and</w:t>
      </w:r>
      <w:r w:rsidRPr="00E50F9D">
        <w:rPr>
          <w:rFonts w:asciiTheme="majorBidi" w:hAnsiTheme="majorBidi" w:cstheme="majorBidi"/>
          <w:color w:val="auto"/>
          <w:lang w:val="en-US"/>
        </w:rPr>
        <w:t xml:space="preserve"> express our gratitude to Chris Ad</w:t>
      </w:r>
      <w:r w:rsidR="007371D3" w:rsidRPr="00E50F9D">
        <w:rPr>
          <w:rFonts w:asciiTheme="majorBidi" w:hAnsiTheme="majorBidi" w:cstheme="majorBidi"/>
          <w:color w:val="auto"/>
          <w:lang w:val="en-US"/>
        </w:rPr>
        <w:t>c</w:t>
      </w:r>
      <w:r w:rsidRPr="00E50F9D">
        <w:rPr>
          <w:rFonts w:asciiTheme="majorBidi" w:hAnsiTheme="majorBidi" w:cstheme="majorBidi"/>
          <w:color w:val="auto"/>
          <w:lang w:val="en-US"/>
        </w:rPr>
        <w:t>ock (the editor). We also thank Claudia</w:t>
      </w:r>
      <w:r w:rsidR="00F13E97" w:rsidRPr="00E50F9D">
        <w:rPr>
          <w:rFonts w:asciiTheme="majorBidi" w:hAnsiTheme="majorBidi" w:cstheme="majorBidi"/>
          <w:color w:val="auto"/>
          <w:lang w:val="en-US"/>
        </w:rPr>
        <w:t xml:space="preserve"> Girardone, Giuseppe Torluccio</w:t>
      </w:r>
      <w:r w:rsidR="00BC4B39" w:rsidRPr="00E50F9D">
        <w:rPr>
          <w:rFonts w:asciiTheme="majorBidi" w:hAnsiTheme="majorBidi" w:cstheme="majorBidi"/>
          <w:color w:val="auto"/>
          <w:lang w:val="en-US"/>
        </w:rPr>
        <w:t>, Athanasios Sakkas, Pierluigi Murro</w:t>
      </w:r>
      <w:r w:rsidRPr="00E50F9D">
        <w:rPr>
          <w:rFonts w:asciiTheme="majorBidi" w:hAnsiTheme="majorBidi" w:cstheme="majorBidi"/>
          <w:color w:val="auto"/>
          <w:lang w:val="en-US"/>
        </w:rPr>
        <w:t xml:space="preserve"> and the seminar and conference participants at Southampton Business School, 4th International Conference of the Financial Engineering and Banking Society (F.E.B.S.),</w:t>
      </w:r>
      <w:r w:rsidRPr="00E50F9D">
        <w:rPr>
          <w:rFonts w:asciiTheme="majorBidi" w:hAnsiTheme="majorBidi" w:cstheme="majorBidi"/>
          <w:b/>
          <w:bCs/>
          <w:color w:val="auto"/>
          <w:lang w:val="en-US"/>
        </w:rPr>
        <w:t xml:space="preserve"> </w:t>
      </w:r>
      <w:r w:rsidRPr="00E50F9D">
        <w:rPr>
          <w:rFonts w:asciiTheme="majorBidi" w:hAnsiTheme="majorBidi" w:cstheme="majorBidi"/>
          <w:iCs/>
          <w:color w:val="auto"/>
          <w:lang w:val="en-US"/>
        </w:rPr>
        <w:t xml:space="preserve">International Conference on the Global Financial Crisis: European Financial Markets and Institutions </w:t>
      </w:r>
      <w:r w:rsidRPr="00E50F9D">
        <w:rPr>
          <w:rFonts w:asciiTheme="majorBidi" w:hAnsiTheme="majorBidi" w:cstheme="majorBidi"/>
          <w:color w:val="auto"/>
          <w:lang w:val="en-US"/>
        </w:rPr>
        <w:t>for comments. Any remaining errors are the</w:t>
      </w:r>
      <w:r w:rsidR="00254CEE" w:rsidRPr="00E50F9D">
        <w:rPr>
          <w:rFonts w:asciiTheme="majorBidi" w:hAnsiTheme="majorBidi" w:cstheme="majorBidi"/>
          <w:color w:val="auto"/>
          <w:lang w:val="en-US"/>
        </w:rPr>
        <w:t xml:space="preserve"> authors’ responsibility alone.</w:t>
      </w:r>
    </w:p>
    <w:p w14:paraId="5CF8C2D5" w14:textId="77777777" w:rsidR="00130018" w:rsidRPr="00E50F9D" w:rsidRDefault="00130018" w:rsidP="003C503E">
      <w:pPr>
        <w:pStyle w:val="Default"/>
        <w:spacing w:line="480" w:lineRule="auto"/>
        <w:rPr>
          <w:rFonts w:ascii="Times New Roman" w:hAnsi="Times New Roman" w:cs="Times New Roman"/>
          <w:b/>
          <w:bCs/>
          <w:lang w:val="en-GB"/>
        </w:rPr>
      </w:pPr>
    </w:p>
    <w:p w14:paraId="31933C77" w14:textId="77777777" w:rsidR="0088644C" w:rsidRDefault="0088644C" w:rsidP="003C503E">
      <w:pPr>
        <w:pStyle w:val="Default"/>
        <w:spacing w:line="480" w:lineRule="auto"/>
        <w:rPr>
          <w:rFonts w:ascii="Times New Roman" w:hAnsi="Times New Roman" w:cs="Times New Roman"/>
          <w:b/>
          <w:bCs/>
          <w:lang w:val="en-GB"/>
        </w:rPr>
      </w:pPr>
    </w:p>
    <w:p w14:paraId="0767E48D" w14:textId="77777777" w:rsidR="003C503E" w:rsidRPr="00E50F9D" w:rsidRDefault="003C503E" w:rsidP="003C503E">
      <w:pPr>
        <w:pStyle w:val="Default"/>
        <w:spacing w:line="480" w:lineRule="auto"/>
        <w:rPr>
          <w:rFonts w:ascii="Times New Roman" w:hAnsi="Times New Roman" w:cs="Times New Roman"/>
          <w:lang w:val="en-GB"/>
        </w:rPr>
      </w:pPr>
      <w:r w:rsidRPr="00E50F9D">
        <w:rPr>
          <w:rFonts w:ascii="Times New Roman" w:hAnsi="Times New Roman" w:cs="Times New Roman"/>
          <w:b/>
          <w:bCs/>
          <w:lang w:val="en-GB"/>
        </w:rPr>
        <w:t>References</w:t>
      </w:r>
    </w:p>
    <w:p w14:paraId="37B7B9C8" w14:textId="13674188" w:rsidR="003C503E" w:rsidRPr="00E50F9D" w:rsidRDefault="003C503E" w:rsidP="00535EEF">
      <w:pPr>
        <w:autoSpaceDE w:val="0"/>
        <w:autoSpaceDN w:val="0"/>
        <w:adjustRightInd w:val="0"/>
        <w:spacing w:after="240" w:line="240" w:lineRule="auto"/>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Acharya</w:t>
      </w:r>
      <w:r w:rsidR="0098197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V</w:t>
      </w:r>
      <w:r w:rsidR="0098197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H</w:t>
      </w:r>
      <w:r w:rsidR="00A1502A" w:rsidRPr="00E50F9D">
        <w:rPr>
          <w:rFonts w:ascii="Times New Roman" w:hAnsi="Times New Roman" w:cs="Times New Roman"/>
          <w:sz w:val="24"/>
          <w:szCs w:val="24"/>
          <w:lang w:val="en-GB"/>
        </w:rPr>
        <w:t>asan, I.</w:t>
      </w:r>
      <w:r w:rsidR="00535EEF" w:rsidRPr="00E50F9D">
        <w:rPr>
          <w:rFonts w:ascii="Times New Roman" w:hAnsi="Times New Roman" w:cs="Times New Roman"/>
          <w:sz w:val="24"/>
          <w:szCs w:val="24"/>
          <w:lang w:val="en-GB"/>
        </w:rPr>
        <w:t>,</w:t>
      </w:r>
      <w:r w:rsidR="00981979" w:rsidRPr="00E50F9D">
        <w:rPr>
          <w:rFonts w:ascii="Times New Roman" w:hAnsi="Times New Roman" w:cs="Times New Roman"/>
          <w:sz w:val="24"/>
          <w:szCs w:val="24"/>
          <w:lang w:val="en-GB"/>
        </w:rPr>
        <w:t xml:space="preserve"> and</w:t>
      </w:r>
      <w:r w:rsidRPr="00E50F9D">
        <w:rPr>
          <w:rFonts w:ascii="Times New Roman" w:hAnsi="Times New Roman" w:cs="Times New Roman"/>
          <w:sz w:val="24"/>
          <w:szCs w:val="24"/>
          <w:lang w:val="en-GB"/>
        </w:rPr>
        <w:t xml:space="preserve"> Saunders</w:t>
      </w:r>
      <w:r w:rsidR="0098197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A</w:t>
      </w:r>
      <w:r w:rsidR="00981979" w:rsidRPr="00E50F9D">
        <w:rPr>
          <w:rFonts w:ascii="Times New Roman" w:hAnsi="Times New Roman" w:cs="Times New Roman"/>
          <w:sz w:val="24"/>
          <w:szCs w:val="24"/>
          <w:lang w:val="en-GB"/>
        </w:rPr>
        <w:t>.</w:t>
      </w:r>
      <w:r w:rsidR="00535EEF" w:rsidRPr="00E50F9D">
        <w:rPr>
          <w:rFonts w:ascii="Times New Roman" w:hAnsi="Times New Roman" w:cs="Times New Roman"/>
          <w:sz w:val="24"/>
          <w:szCs w:val="24"/>
          <w:lang w:val="en-GB"/>
        </w:rPr>
        <w:t xml:space="preserve"> 2006.</w:t>
      </w:r>
      <w:r w:rsidRPr="00E50F9D">
        <w:rPr>
          <w:rFonts w:ascii="Times New Roman" w:hAnsi="Times New Roman" w:cs="Times New Roman"/>
          <w:sz w:val="24"/>
          <w:szCs w:val="24"/>
          <w:lang w:val="en-GB"/>
        </w:rPr>
        <w:t xml:space="preserve"> </w:t>
      </w:r>
      <w:r w:rsidR="00535EEF"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Should banks be diversified?  Evidence from individual bank loan portfolios</w:t>
      </w:r>
      <w:r w:rsidR="00535EEF"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w:t>
      </w:r>
      <w:r w:rsidR="007371D3" w:rsidRPr="00E50F9D">
        <w:rPr>
          <w:rFonts w:ascii="Times New Roman" w:hAnsi="Times New Roman" w:cs="Times New Roman"/>
          <w:i/>
          <w:sz w:val="24"/>
          <w:szCs w:val="24"/>
          <w:lang w:val="en-GB"/>
        </w:rPr>
        <w:t xml:space="preserve">Journal of </w:t>
      </w:r>
      <w:r w:rsidRPr="00E50F9D">
        <w:rPr>
          <w:rFonts w:ascii="Times New Roman" w:hAnsi="Times New Roman" w:cs="Times New Roman"/>
          <w:i/>
          <w:sz w:val="24"/>
          <w:szCs w:val="24"/>
          <w:lang w:val="en-GB"/>
        </w:rPr>
        <w:t>Business</w:t>
      </w:r>
      <w:r w:rsidR="00535EEF"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79</w:t>
      </w:r>
      <w:r w:rsidR="00535EEF"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1355-411.</w:t>
      </w:r>
    </w:p>
    <w:p w14:paraId="13C4BD5C" w14:textId="029E462E" w:rsidR="008F753E" w:rsidRPr="00E50F9D" w:rsidRDefault="008F753E" w:rsidP="00535EEF">
      <w:pPr>
        <w:autoSpaceDE w:val="0"/>
        <w:autoSpaceDN w:val="0"/>
        <w:adjustRightInd w:val="0"/>
        <w:spacing w:after="240" w:line="240" w:lineRule="auto"/>
        <w:jc w:val="both"/>
        <w:rPr>
          <w:rFonts w:ascii="Times New Roman" w:hAnsi="Times New Roman" w:cs="Times New Roman"/>
          <w:sz w:val="24"/>
          <w:szCs w:val="24"/>
          <w:lang w:val="en-US"/>
        </w:rPr>
      </w:pPr>
      <w:r w:rsidRPr="00E50F9D">
        <w:rPr>
          <w:rFonts w:ascii="Times New Roman" w:hAnsi="Times New Roman" w:cs="Times New Roman"/>
          <w:sz w:val="24"/>
          <w:szCs w:val="24"/>
          <w:lang w:val="en-GB"/>
        </w:rPr>
        <w:t>Alessandrini, P., Presbitero, A.F., and Zazzaro, A. 2010. “</w:t>
      </w:r>
      <w:r w:rsidRPr="00E50F9D">
        <w:rPr>
          <w:rFonts w:ascii="Times New Roman" w:hAnsi="Times New Roman" w:cs="Times New Roman"/>
          <w:sz w:val="24"/>
          <w:szCs w:val="24"/>
          <w:lang w:val="en-US"/>
        </w:rPr>
        <w:t xml:space="preserve">Banks size or distances: what hampers innovation adoption by SMEs.” </w:t>
      </w:r>
      <w:r w:rsidRPr="00E50F9D">
        <w:rPr>
          <w:rFonts w:ascii="Times New Roman" w:hAnsi="Times New Roman" w:cs="Times New Roman"/>
          <w:i/>
          <w:sz w:val="24"/>
          <w:szCs w:val="24"/>
          <w:lang w:val="en-US"/>
        </w:rPr>
        <w:t xml:space="preserve">Journal of Economic Geography </w:t>
      </w:r>
      <w:r w:rsidRPr="00E50F9D">
        <w:rPr>
          <w:rFonts w:ascii="Times New Roman" w:hAnsi="Times New Roman" w:cs="Times New Roman"/>
          <w:sz w:val="24"/>
          <w:szCs w:val="24"/>
          <w:lang w:val="en-US"/>
        </w:rPr>
        <w:t>10: 845-881.</w:t>
      </w:r>
    </w:p>
    <w:p w14:paraId="6A042D63" w14:textId="5C655B73" w:rsidR="003C503E" w:rsidRPr="00E50F9D" w:rsidRDefault="003C503E" w:rsidP="00B239EF">
      <w:pPr>
        <w:autoSpaceDE w:val="0"/>
        <w:autoSpaceDN w:val="0"/>
        <w:adjustRightInd w:val="0"/>
        <w:spacing w:after="240" w:line="240" w:lineRule="auto"/>
        <w:jc w:val="both"/>
        <w:rPr>
          <w:rFonts w:ascii="Times New Roman" w:hAnsi="Times New Roman" w:cs="Times New Roman"/>
          <w:sz w:val="24"/>
          <w:szCs w:val="24"/>
          <w:lang w:val="en-US"/>
        </w:rPr>
      </w:pPr>
      <w:r w:rsidRPr="00E50F9D">
        <w:rPr>
          <w:rFonts w:ascii="Times New Roman" w:hAnsi="Times New Roman" w:cs="Times New Roman"/>
          <w:sz w:val="24"/>
          <w:szCs w:val="24"/>
          <w:lang w:val="en-GB"/>
        </w:rPr>
        <w:t>Alessandrini</w:t>
      </w:r>
      <w:r w:rsidR="0098197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P</w:t>
      </w:r>
      <w:r w:rsidR="0098197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Presbitero</w:t>
      </w:r>
      <w:r w:rsidR="0098197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A</w:t>
      </w:r>
      <w:r w:rsidR="0098197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F</w:t>
      </w:r>
      <w:r w:rsidR="00981979" w:rsidRPr="00E50F9D">
        <w:rPr>
          <w:rFonts w:ascii="Times New Roman" w:hAnsi="Times New Roman" w:cs="Times New Roman"/>
          <w:sz w:val="24"/>
          <w:szCs w:val="24"/>
          <w:lang w:val="en-GB"/>
        </w:rPr>
        <w:t>.</w:t>
      </w:r>
      <w:r w:rsidR="00535EEF" w:rsidRPr="00E50F9D">
        <w:rPr>
          <w:rFonts w:ascii="Times New Roman" w:hAnsi="Times New Roman" w:cs="Times New Roman"/>
          <w:sz w:val="24"/>
          <w:szCs w:val="24"/>
          <w:lang w:val="en-GB"/>
        </w:rPr>
        <w:t>,</w:t>
      </w:r>
      <w:r w:rsidR="00981979" w:rsidRPr="00E50F9D">
        <w:rPr>
          <w:rFonts w:ascii="Times New Roman" w:hAnsi="Times New Roman" w:cs="Times New Roman"/>
          <w:sz w:val="24"/>
          <w:szCs w:val="24"/>
          <w:lang w:val="en-GB"/>
        </w:rPr>
        <w:t xml:space="preserve"> and </w:t>
      </w:r>
      <w:r w:rsidRPr="00E50F9D">
        <w:rPr>
          <w:rFonts w:ascii="Times New Roman" w:hAnsi="Times New Roman" w:cs="Times New Roman"/>
          <w:sz w:val="24"/>
          <w:szCs w:val="24"/>
          <w:lang w:val="en-GB"/>
        </w:rPr>
        <w:t>Zazzaro</w:t>
      </w:r>
      <w:r w:rsidR="0098197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A</w:t>
      </w:r>
      <w:r w:rsidR="00981979" w:rsidRPr="00E50F9D">
        <w:rPr>
          <w:rFonts w:ascii="Times New Roman" w:hAnsi="Times New Roman" w:cs="Times New Roman"/>
          <w:sz w:val="24"/>
          <w:szCs w:val="24"/>
          <w:lang w:val="en-GB"/>
        </w:rPr>
        <w:t>.</w:t>
      </w:r>
      <w:r w:rsidR="00535EEF" w:rsidRPr="00E50F9D">
        <w:rPr>
          <w:rFonts w:ascii="Times New Roman" w:hAnsi="Times New Roman" w:cs="Times New Roman"/>
          <w:sz w:val="24"/>
          <w:szCs w:val="24"/>
          <w:lang w:val="en-GB"/>
        </w:rPr>
        <w:t xml:space="preserve"> 2009.</w:t>
      </w:r>
      <w:r w:rsidRPr="00E50F9D">
        <w:rPr>
          <w:rFonts w:ascii="Times New Roman" w:hAnsi="Times New Roman" w:cs="Times New Roman"/>
          <w:sz w:val="24"/>
          <w:szCs w:val="24"/>
          <w:lang w:val="en-GB"/>
        </w:rPr>
        <w:t xml:space="preserve"> </w:t>
      </w:r>
      <w:r w:rsidR="00535EEF" w:rsidRPr="00E50F9D">
        <w:rPr>
          <w:rFonts w:ascii="Times New Roman" w:hAnsi="Times New Roman" w:cs="Times New Roman"/>
          <w:sz w:val="24"/>
          <w:szCs w:val="24"/>
          <w:lang w:val="en-GB"/>
        </w:rPr>
        <w:t>“</w:t>
      </w:r>
      <w:r w:rsidRPr="00E50F9D">
        <w:rPr>
          <w:rFonts w:ascii="Times New Roman" w:hAnsi="Times New Roman" w:cs="Times New Roman"/>
          <w:sz w:val="24"/>
          <w:szCs w:val="24"/>
          <w:lang w:val="en-US"/>
        </w:rPr>
        <w:t>Banks, distances a</w:t>
      </w:r>
      <w:r w:rsidR="00981979" w:rsidRPr="00E50F9D">
        <w:rPr>
          <w:rFonts w:ascii="Times New Roman" w:hAnsi="Times New Roman" w:cs="Times New Roman"/>
          <w:sz w:val="24"/>
          <w:szCs w:val="24"/>
          <w:lang w:val="en-US"/>
        </w:rPr>
        <w:t>nd firms’ financing constraints</w:t>
      </w:r>
      <w:r w:rsidR="00535EEF"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w:t>
      </w:r>
      <w:r w:rsidRPr="00E50F9D">
        <w:rPr>
          <w:rFonts w:ascii="Times New Roman" w:hAnsi="Times New Roman" w:cs="Times New Roman"/>
          <w:i/>
          <w:sz w:val="24"/>
          <w:szCs w:val="24"/>
          <w:lang w:val="en-US"/>
        </w:rPr>
        <w:t xml:space="preserve">Review of Finance </w:t>
      </w:r>
      <w:r w:rsidRPr="00E50F9D">
        <w:rPr>
          <w:rFonts w:ascii="Times New Roman" w:hAnsi="Times New Roman" w:cs="Times New Roman"/>
          <w:sz w:val="24"/>
          <w:szCs w:val="24"/>
          <w:lang w:val="en-US"/>
        </w:rPr>
        <w:t>13</w:t>
      </w:r>
      <w:r w:rsidR="00535EEF"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261-307.</w:t>
      </w:r>
    </w:p>
    <w:p w14:paraId="29512F11" w14:textId="77777777" w:rsidR="00F8736B" w:rsidRPr="00E50F9D" w:rsidRDefault="00286012" w:rsidP="00F8736B">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E50F9D">
        <w:rPr>
          <w:rFonts w:ascii="Times New Roman" w:eastAsiaTheme="minorEastAsia" w:hAnsi="Times New Roman" w:cs="Times New Roman"/>
          <w:sz w:val="24"/>
          <w:szCs w:val="24"/>
          <w:lang w:val="en-GB" w:eastAsia="zh-CN"/>
        </w:rPr>
        <w:t xml:space="preserve">Baum, J. A. C., and Korn, H. J. 1996. “Competitive dynamics of inter firm rivalry.” </w:t>
      </w:r>
      <w:r w:rsidRPr="00E50F9D">
        <w:rPr>
          <w:rFonts w:ascii="Times New Roman" w:eastAsiaTheme="minorEastAsia" w:hAnsi="Times New Roman" w:cs="Times New Roman"/>
          <w:i/>
          <w:iCs/>
          <w:sz w:val="24"/>
          <w:szCs w:val="24"/>
          <w:lang w:val="en-GB" w:eastAsia="zh-CN"/>
        </w:rPr>
        <w:t>Academy of Management Journal</w:t>
      </w:r>
      <w:r w:rsidR="00F8736B" w:rsidRPr="00E50F9D">
        <w:rPr>
          <w:rFonts w:ascii="Times New Roman" w:eastAsiaTheme="minorEastAsia" w:hAnsi="Times New Roman" w:cs="Times New Roman"/>
          <w:sz w:val="24"/>
          <w:szCs w:val="24"/>
          <w:lang w:val="en-GB" w:eastAsia="zh-CN"/>
        </w:rPr>
        <w:t xml:space="preserve"> 39: 255-291.</w:t>
      </w:r>
    </w:p>
    <w:p w14:paraId="254C78E7" w14:textId="77777777" w:rsidR="00F8736B" w:rsidRPr="00E50F9D" w:rsidRDefault="00F8736B" w:rsidP="00F8736B">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FD419C7" w14:textId="2A87581F" w:rsidR="00F8736B" w:rsidRPr="00E50F9D" w:rsidRDefault="00535EEF" w:rsidP="00F8736B">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E50F9D">
        <w:rPr>
          <w:rFonts w:ascii="Times New Roman" w:eastAsiaTheme="minorEastAsia" w:hAnsi="Times New Roman" w:cs="Times New Roman"/>
          <w:sz w:val="24"/>
          <w:szCs w:val="24"/>
          <w:lang w:val="en-GB" w:eastAsia="zh-CN"/>
        </w:rPr>
        <w:t xml:space="preserve">Berger, A.N. </w:t>
      </w:r>
      <w:r w:rsidR="007B673C" w:rsidRPr="00E50F9D">
        <w:rPr>
          <w:rFonts w:ascii="Times New Roman" w:eastAsiaTheme="minorEastAsia" w:hAnsi="Times New Roman" w:cs="Times New Roman"/>
          <w:sz w:val="24"/>
          <w:szCs w:val="24"/>
          <w:lang w:val="en-GB" w:eastAsia="zh-CN"/>
        </w:rPr>
        <w:t>1995</w:t>
      </w:r>
      <w:r w:rsidRPr="00E50F9D">
        <w:rPr>
          <w:rFonts w:ascii="Times New Roman" w:eastAsiaTheme="minorEastAsia" w:hAnsi="Times New Roman" w:cs="Times New Roman"/>
          <w:sz w:val="24"/>
          <w:szCs w:val="24"/>
          <w:lang w:val="en-GB" w:eastAsia="zh-CN"/>
        </w:rPr>
        <w:t>.</w:t>
      </w:r>
      <w:r w:rsidR="007B673C" w:rsidRPr="00E50F9D">
        <w:rPr>
          <w:rFonts w:ascii="Times New Roman" w:eastAsiaTheme="minorEastAsia" w:hAnsi="Times New Roman" w:cs="Times New Roman"/>
          <w:sz w:val="24"/>
          <w:szCs w:val="24"/>
          <w:lang w:val="en-GB" w:eastAsia="zh-CN"/>
        </w:rPr>
        <w:t xml:space="preserve"> </w:t>
      </w:r>
      <w:r w:rsidRPr="00E50F9D">
        <w:rPr>
          <w:rFonts w:ascii="Times New Roman" w:eastAsiaTheme="minorEastAsia" w:hAnsi="Times New Roman" w:cs="Times New Roman"/>
          <w:sz w:val="24"/>
          <w:szCs w:val="24"/>
          <w:lang w:val="en-GB" w:eastAsia="zh-CN"/>
        </w:rPr>
        <w:t>“</w:t>
      </w:r>
      <w:r w:rsidR="007B673C" w:rsidRPr="00E50F9D">
        <w:rPr>
          <w:rFonts w:ascii="Times New Roman" w:eastAsiaTheme="minorEastAsia" w:hAnsi="Times New Roman" w:cs="Times New Roman"/>
          <w:sz w:val="24"/>
          <w:szCs w:val="24"/>
          <w:lang w:val="en-GB" w:eastAsia="zh-CN"/>
        </w:rPr>
        <w:t>The relationship between capital and earnings in banking</w:t>
      </w:r>
      <w:r w:rsidRPr="00E50F9D">
        <w:rPr>
          <w:rFonts w:ascii="Times New Roman" w:eastAsiaTheme="minorEastAsia" w:hAnsi="Times New Roman" w:cs="Times New Roman"/>
          <w:sz w:val="24"/>
          <w:szCs w:val="24"/>
          <w:lang w:val="en-GB" w:eastAsia="zh-CN"/>
        </w:rPr>
        <w:t xml:space="preserve">.” </w:t>
      </w:r>
      <w:r w:rsidR="007B673C" w:rsidRPr="00E50F9D">
        <w:rPr>
          <w:rFonts w:ascii="Times New Roman" w:hAnsi="Times New Roman" w:cs="Times New Roman"/>
          <w:i/>
          <w:sz w:val="24"/>
          <w:szCs w:val="24"/>
          <w:lang w:val="en-US"/>
        </w:rPr>
        <w:t>Journal of Money, Credit and Banking</w:t>
      </w:r>
      <w:r w:rsidR="007B673C" w:rsidRPr="00E50F9D">
        <w:rPr>
          <w:rFonts w:ascii="Times New Roman" w:eastAsiaTheme="minorEastAsia" w:hAnsi="Times New Roman" w:cs="Times New Roman"/>
          <w:i/>
          <w:iCs/>
          <w:sz w:val="24"/>
          <w:szCs w:val="24"/>
          <w:lang w:val="en-GB" w:eastAsia="zh-CN"/>
        </w:rPr>
        <w:t xml:space="preserve"> </w:t>
      </w:r>
      <w:r w:rsidR="007B673C" w:rsidRPr="00E50F9D">
        <w:rPr>
          <w:rFonts w:ascii="Times New Roman" w:eastAsiaTheme="minorEastAsia" w:hAnsi="Times New Roman" w:cs="Times New Roman"/>
          <w:sz w:val="24"/>
          <w:szCs w:val="24"/>
          <w:lang w:val="en-GB" w:eastAsia="zh-CN"/>
        </w:rPr>
        <w:t>27</w:t>
      </w:r>
      <w:r w:rsidRPr="00E50F9D">
        <w:rPr>
          <w:rFonts w:ascii="Times New Roman" w:eastAsiaTheme="minorEastAsia" w:hAnsi="Times New Roman" w:cs="Times New Roman"/>
          <w:sz w:val="24"/>
          <w:szCs w:val="24"/>
          <w:lang w:val="en-GB" w:eastAsia="zh-CN"/>
        </w:rPr>
        <w:t>:</w:t>
      </w:r>
      <w:r w:rsidR="00F8736B" w:rsidRPr="00E50F9D">
        <w:rPr>
          <w:rFonts w:ascii="Times New Roman" w:eastAsiaTheme="minorEastAsia" w:hAnsi="Times New Roman" w:cs="Times New Roman"/>
          <w:sz w:val="24"/>
          <w:szCs w:val="24"/>
          <w:lang w:val="en-GB" w:eastAsia="zh-CN"/>
        </w:rPr>
        <w:t xml:space="preserve"> 432-456.</w:t>
      </w:r>
    </w:p>
    <w:p w14:paraId="01C6EF04" w14:textId="77777777" w:rsidR="00F8736B" w:rsidRPr="00E50F9D" w:rsidRDefault="00F8736B" w:rsidP="00F8736B">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5F29F3BA" w14:textId="36EDD451" w:rsidR="007B673C" w:rsidRPr="00E50F9D" w:rsidRDefault="007B673C" w:rsidP="00F8736B">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E50F9D">
        <w:rPr>
          <w:rFonts w:ascii="Times New Roman" w:eastAsiaTheme="minorEastAsia" w:hAnsi="Times New Roman" w:cs="Times New Roman"/>
          <w:sz w:val="24"/>
          <w:szCs w:val="24"/>
          <w:lang w:val="en-GB" w:eastAsia="zh-CN"/>
        </w:rPr>
        <w:t>Berger, A.N.</w:t>
      </w:r>
      <w:r w:rsidR="00535EEF" w:rsidRPr="00E50F9D">
        <w:rPr>
          <w:rFonts w:ascii="Times New Roman" w:eastAsiaTheme="minorEastAsia" w:hAnsi="Times New Roman" w:cs="Times New Roman"/>
          <w:sz w:val="24"/>
          <w:szCs w:val="24"/>
          <w:lang w:val="en-GB" w:eastAsia="zh-CN"/>
        </w:rPr>
        <w:t>,</w:t>
      </w:r>
      <w:r w:rsidRPr="00E50F9D">
        <w:rPr>
          <w:rFonts w:ascii="Times New Roman" w:hAnsi="Times New Roman" w:cs="Times New Roman"/>
          <w:sz w:val="24"/>
          <w:szCs w:val="24"/>
          <w:lang w:val="en-GB"/>
        </w:rPr>
        <w:t xml:space="preserve"> and Bouwman, C.H.S. 2013</w:t>
      </w:r>
      <w:r w:rsidR="00535EEF"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w:t>
      </w:r>
      <w:r w:rsidR="00535EEF"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How does capital affect bank performance during financial crises?</w:t>
      </w:r>
      <w:r w:rsidR="00535EEF"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w:t>
      </w:r>
      <w:r w:rsidRPr="00E50F9D">
        <w:rPr>
          <w:rFonts w:ascii="Times New Roman" w:hAnsi="Times New Roman" w:cs="Times New Roman"/>
          <w:i/>
          <w:iCs/>
          <w:sz w:val="24"/>
          <w:szCs w:val="24"/>
          <w:lang w:val="en-GB"/>
        </w:rPr>
        <w:t>Journal of Financial Economics</w:t>
      </w:r>
      <w:r w:rsidRPr="00E50F9D">
        <w:rPr>
          <w:rFonts w:ascii="Times New Roman" w:hAnsi="Times New Roman" w:cs="Times New Roman"/>
          <w:sz w:val="24"/>
          <w:szCs w:val="24"/>
          <w:lang w:val="en-GB"/>
        </w:rPr>
        <w:t xml:space="preserve"> 109</w:t>
      </w:r>
      <w:r w:rsidR="00535EEF"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146-176.</w:t>
      </w:r>
    </w:p>
    <w:p w14:paraId="47CC2FAA" w14:textId="77777777" w:rsidR="00F8736B" w:rsidRPr="00E50F9D" w:rsidRDefault="00F8736B" w:rsidP="00535EEF">
      <w:pPr>
        <w:spacing w:after="0" w:line="240" w:lineRule="auto"/>
        <w:jc w:val="both"/>
        <w:rPr>
          <w:rFonts w:ascii="Times New Roman" w:eastAsiaTheme="minorEastAsia" w:hAnsi="Times New Roman" w:cs="Times New Roman"/>
          <w:sz w:val="24"/>
          <w:szCs w:val="24"/>
          <w:lang w:val="en-GB" w:eastAsia="zh-CN"/>
        </w:rPr>
      </w:pPr>
    </w:p>
    <w:p w14:paraId="052A9784" w14:textId="1FA31446" w:rsidR="007B673C" w:rsidRPr="00E50F9D" w:rsidRDefault="007B673C" w:rsidP="00535EEF">
      <w:pPr>
        <w:spacing w:after="0" w:line="240" w:lineRule="auto"/>
        <w:jc w:val="both"/>
        <w:rPr>
          <w:rFonts w:ascii="Times New Roman" w:eastAsia="Times New Roman" w:hAnsi="Times New Roman" w:cs="Times New Roman"/>
          <w:sz w:val="24"/>
          <w:szCs w:val="24"/>
          <w:lang w:val="en-GB" w:eastAsia="nl-NL"/>
        </w:rPr>
      </w:pPr>
      <w:r w:rsidRPr="00E50F9D">
        <w:rPr>
          <w:rFonts w:ascii="Times New Roman" w:eastAsiaTheme="minorEastAsia" w:hAnsi="Times New Roman" w:cs="Times New Roman"/>
          <w:sz w:val="24"/>
          <w:szCs w:val="24"/>
          <w:lang w:val="en-GB" w:eastAsia="zh-CN"/>
        </w:rPr>
        <w:t>Berger, A.N.</w:t>
      </w:r>
      <w:r w:rsidR="00535EEF"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 xml:space="preserve"> and </w:t>
      </w:r>
      <w:r w:rsidR="00535EEF" w:rsidRPr="00E50F9D">
        <w:rPr>
          <w:rFonts w:ascii="Times New Roman" w:eastAsia="Times New Roman" w:hAnsi="Times New Roman" w:cs="Times New Roman"/>
          <w:sz w:val="24"/>
          <w:szCs w:val="24"/>
          <w:lang w:val="en-GB" w:eastAsia="nl-NL"/>
        </w:rPr>
        <w:t xml:space="preserve">DeYoung, R. </w:t>
      </w:r>
      <w:r w:rsidRPr="00E50F9D">
        <w:rPr>
          <w:rFonts w:ascii="Times New Roman" w:eastAsia="Times New Roman" w:hAnsi="Times New Roman" w:cs="Times New Roman"/>
          <w:sz w:val="24"/>
          <w:szCs w:val="24"/>
          <w:lang w:val="en-GB" w:eastAsia="nl-NL"/>
        </w:rPr>
        <w:t>2001</w:t>
      </w:r>
      <w:r w:rsidR="00535EEF" w:rsidRPr="00E50F9D">
        <w:rPr>
          <w:rFonts w:ascii="Times New Roman" w:eastAsia="Times New Roman" w:hAnsi="Times New Roman" w:cs="Times New Roman"/>
          <w:sz w:val="24"/>
          <w:szCs w:val="24"/>
          <w:lang w:val="en-GB" w:eastAsia="nl-NL"/>
        </w:rPr>
        <w:t>.</w:t>
      </w:r>
      <w:r w:rsidRPr="00E50F9D">
        <w:rPr>
          <w:rFonts w:ascii="Times New Roman" w:eastAsia="Times New Roman" w:hAnsi="Times New Roman" w:cs="Times New Roman"/>
          <w:sz w:val="24"/>
          <w:szCs w:val="24"/>
          <w:lang w:val="en-GB" w:eastAsia="nl-NL"/>
        </w:rPr>
        <w:t xml:space="preserve"> </w:t>
      </w:r>
      <w:r w:rsidR="00535EEF" w:rsidRPr="00E50F9D">
        <w:rPr>
          <w:rFonts w:ascii="Times New Roman" w:eastAsia="Times New Roman" w:hAnsi="Times New Roman" w:cs="Times New Roman"/>
          <w:sz w:val="24"/>
          <w:szCs w:val="24"/>
          <w:lang w:val="en-GB" w:eastAsia="nl-NL"/>
        </w:rPr>
        <w:t>“</w:t>
      </w:r>
      <w:r w:rsidRPr="00E50F9D">
        <w:rPr>
          <w:rFonts w:ascii="Times New Roman" w:eastAsia="Times New Roman" w:hAnsi="Times New Roman" w:cs="Times New Roman"/>
          <w:sz w:val="24"/>
          <w:szCs w:val="24"/>
          <w:lang w:val="en-GB" w:eastAsia="nl-NL"/>
        </w:rPr>
        <w:t>The effects of geographic expansion on bank efficiency</w:t>
      </w:r>
      <w:r w:rsidR="00535EEF" w:rsidRPr="00E50F9D">
        <w:rPr>
          <w:rFonts w:ascii="Times New Roman" w:eastAsia="Times New Roman" w:hAnsi="Times New Roman" w:cs="Times New Roman"/>
          <w:sz w:val="24"/>
          <w:szCs w:val="24"/>
          <w:lang w:val="en-GB" w:eastAsia="nl-NL"/>
        </w:rPr>
        <w:t>.”</w:t>
      </w:r>
      <w:r w:rsidRPr="00E50F9D">
        <w:rPr>
          <w:rFonts w:ascii="Times New Roman" w:eastAsia="Times New Roman" w:hAnsi="Times New Roman" w:cs="Times New Roman"/>
          <w:sz w:val="24"/>
          <w:szCs w:val="24"/>
          <w:lang w:val="en-GB" w:eastAsia="nl-NL"/>
        </w:rPr>
        <w:t xml:space="preserve"> </w:t>
      </w:r>
      <w:r w:rsidRPr="00E50F9D">
        <w:rPr>
          <w:rFonts w:ascii="Times New Roman" w:eastAsia="Times New Roman" w:hAnsi="Times New Roman" w:cs="Times New Roman"/>
          <w:i/>
          <w:iCs/>
          <w:sz w:val="24"/>
          <w:szCs w:val="24"/>
          <w:lang w:val="en-GB" w:eastAsia="nl-NL"/>
        </w:rPr>
        <w:t>Journal of Financial Service Research</w:t>
      </w:r>
      <w:r w:rsidRPr="00E50F9D">
        <w:rPr>
          <w:rFonts w:ascii="Times New Roman" w:eastAsia="Times New Roman" w:hAnsi="Times New Roman" w:cs="Times New Roman"/>
          <w:sz w:val="24"/>
          <w:szCs w:val="24"/>
          <w:lang w:val="en-GB" w:eastAsia="nl-NL"/>
        </w:rPr>
        <w:t xml:space="preserve"> </w:t>
      </w:r>
      <w:r w:rsidRPr="00E50F9D">
        <w:rPr>
          <w:rFonts w:ascii="Times New Roman" w:eastAsia="Times New Roman" w:hAnsi="Times New Roman" w:cs="Times New Roman"/>
          <w:iCs/>
          <w:sz w:val="24"/>
          <w:szCs w:val="24"/>
          <w:lang w:val="en-GB" w:eastAsia="nl-NL"/>
        </w:rPr>
        <w:t>19</w:t>
      </w:r>
      <w:r w:rsidR="00535EEF" w:rsidRPr="00E50F9D">
        <w:rPr>
          <w:rFonts w:ascii="Times New Roman" w:eastAsia="Times New Roman" w:hAnsi="Times New Roman" w:cs="Times New Roman"/>
          <w:sz w:val="24"/>
          <w:szCs w:val="24"/>
          <w:lang w:val="en-GB" w:eastAsia="nl-NL"/>
        </w:rPr>
        <w:t>(2-3):</w:t>
      </w:r>
      <w:r w:rsidRPr="00E50F9D">
        <w:rPr>
          <w:rFonts w:ascii="Times New Roman" w:eastAsia="Times New Roman" w:hAnsi="Times New Roman" w:cs="Times New Roman"/>
          <w:sz w:val="24"/>
          <w:szCs w:val="24"/>
          <w:lang w:val="en-GB" w:eastAsia="nl-NL"/>
        </w:rPr>
        <w:t xml:space="preserve"> 163-184.</w:t>
      </w:r>
    </w:p>
    <w:p w14:paraId="4E03621E" w14:textId="77777777" w:rsidR="007B673C" w:rsidRPr="00E50F9D" w:rsidRDefault="007B673C" w:rsidP="007B673C">
      <w:pPr>
        <w:spacing w:after="0" w:line="240" w:lineRule="auto"/>
        <w:jc w:val="both"/>
        <w:rPr>
          <w:rFonts w:ascii="Times New Roman" w:eastAsia="Times New Roman" w:hAnsi="Times New Roman" w:cs="Times New Roman"/>
          <w:sz w:val="24"/>
          <w:szCs w:val="24"/>
          <w:lang w:val="en-GB" w:eastAsia="nl-NL"/>
        </w:rPr>
      </w:pPr>
    </w:p>
    <w:p w14:paraId="11ED7EE6" w14:textId="01900705" w:rsidR="007B673C" w:rsidRPr="00E50F9D" w:rsidRDefault="007B673C" w:rsidP="00535EEF">
      <w:pPr>
        <w:autoSpaceDE w:val="0"/>
        <w:autoSpaceDN w:val="0"/>
        <w:adjustRightInd w:val="0"/>
        <w:spacing w:after="240" w:line="240" w:lineRule="auto"/>
        <w:jc w:val="both"/>
        <w:rPr>
          <w:rFonts w:ascii="Times New Roman" w:hAnsi="Times New Roman" w:cs="Times New Roman"/>
          <w:sz w:val="24"/>
          <w:szCs w:val="24"/>
          <w:lang w:val="en-US"/>
        </w:rPr>
      </w:pPr>
      <w:r w:rsidRPr="00E50F9D">
        <w:rPr>
          <w:rFonts w:ascii="Times New Roman" w:eastAsiaTheme="minorEastAsia" w:hAnsi="Times New Roman" w:cs="Times New Roman"/>
          <w:sz w:val="24"/>
          <w:szCs w:val="24"/>
          <w:lang w:val="en-GB" w:eastAsia="zh-CN"/>
        </w:rPr>
        <w:t>Berger, A.N.</w:t>
      </w:r>
      <w:r w:rsidR="00535EEF"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 xml:space="preserve"> and </w:t>
      </w:r>
      <w:r w:rsidRPr="00E50F9D">
        <w:rPr>
          <w:rFonts w:ascii="Times New Roman" w:eastAsia="Times New Roman" w:hAnsi="Times New Roman" w:cs="Times New Roman"/>
          <w:sz w:val="24"/>
          <w:szCs w:val="24"/>
          <w:lang w:val="en-GB" w:eastAsia="nl-NL"/>
        </w:rPr>
        <w:t xml:space="preserve">DeYoung, R. </w:t>
      </w:r>
      <w:r w:rsidR="00535EEF" w:rsidRPr="00E50F9D">
        <w:rPr>
          <w:rFonts w:ascii="Times New Roman" w:hAnsi="Times New Roman" w:cs="Times New Roman"/>
          <w:sz w:val="24"/>
          <w:szCs w:val="24"/>
          <w:lang w:val="en-GB"/>
        </w:rPr>
        <w:t>2006.</w:t>
      </w:r>
      <w:r w:rsidRPr="00E50F9D">
        <w:rPr>
          <w:rFonts w:ascii="Times New Roman" w:hAnsi="Times New Roman" w:cs="Times New Roman"/>
          <w:sz w:val="24"/>
          <w:szCs w:val="24"/>
          <w:lang w:val="en-GB"/>
        </w:rPr>
        <w:t xml:space="preserve"> </w:t>
      </w:r>
      <w:r w:rsidR="00535EEF" w:rsidRPr="00E50F9D">
        <w:rPr>
          <w:rFonts w:ascii="Times New Roman" w:hAnsi="Times New Roman" w:cs="Times New Roman"/>
          <w:sz w:val="24"/>
          <w:szCs w:val="24"/>
          <w:lang w:val="en-GB"/>
        </w:rPr>
        <w:t>“</w:t>
      </w:r>
      <w:r w:rsidRPr="00E50F9D">
        <w:rPr>
          <w:rFonts w:ascii="Times New Roman" w:hAnsi="Times New Roman" w:cs="Times New Roman"/>
          <w:sz w:val="24"/>
          <w:szCs w:val="24"/>
          <w:lang w:val="en-US"/>
        </w:rPr>
        <w:t>Technological progress and the geographic expansion of the banking industry</w:t>
      </w:r>
      <w:r w:rsidR="00535EEF" w:rsidRPr="00E50F9D">
        <w:rPr>
          <w:rFonts w:ascii="Times New Roman" w:hAnsi="Times New Roman" w:cs="Times New Roman"/>
          <w:i/>
          <w:iCs/>
          <w:sz w:val="24"/>
          <w:szCs w:val="24"/>
          <w:lang w:val="en-US"/>
        </w:rPr>
        <w:t>.”</w:t>
      </w:r>
      <w:r w:rsidRPr="00E50F9D">
        <w:rPr>
          <w:rFonts w:ascii="Times New Roman" w:hAnsi="Times New Roman" w:cs="Times New Roman"/>
          <w:i/>
          <w:iCs/>
          <w:sz w:val="24"/>
          <w:szCs w:val="24"/>
          <w:lang w:val="en-US"/>
        </w:rPr>
        <w:t xml:space="preserve"> Journal of Money, Credit and Banking </w:t>
      </w:r>
      <w:r w:rsidRPr="00E50F9D">
        <w:rPr>
          <w:rFonts w:ascii="Times New Roman" w:hAnsi="Times New Roman" w:cs="Times New Roman"/>
          <w:sz w:val="24"/>
          <w:szCs w:val="24"/>
          <w:lang w:val="en-US"/>
        </w:rPr>
        <w:t>38(6)</w:t>
      </w:r>
      <w:r w:rsidR="00535EEF"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1483–1513.</w:t>
      </w:r>
    </w:p>
    <w:p w14:paraId="4E513AF9" w14:textId="570E1A66" w:rsidR="007B673C" w:rsidRPr="00E50F9D" w:rsidRDefault="007B673C" w:rsidP="00237569">
      <w:pPr>
        <w:autoSpaceDE w:val="0"/>
        <w:autoSpaceDN w:val="0"/>
        <w:adjustRightInd w:val="0"/>
        <w:spacing w:after="240" w:line="240" w:lineRule="auto"/>
        <w:jc w:val="both"/>
        <w:rPr>
          <w:rFonts w:ascii="Times New Roman" w:hAnsi="Times New Roman" w:cs="Times New Roman"/>
          <w:sz w:val="24"/>
          <w:szCs w:val="24"/>
          <w:lang w:val="en-US"/>
        </w:rPr>
      </w:pPr>
      <w:r w:rsidRPr="00E50F9D">
        <w:rPr>
          <w:rFonts w:ascii="Times New Roman" w:eastAsiaTheme="minorEastAsia" w:hAnsi="Times New Roman" w:cs="Times New Roman"/>
          <w:sz w:val="24"/>
          <w:szCs w:val="24"/>
          <w:lang w:val="en-GB" w:eastAsia="zh-CN"/>
        </w:rPr>
        <w:t>Berger, A.N.</w:t>
      </w:r>
      <w:r w:rsidRPr="00E50F9D">
        <w:rPr>
          <w:rFonts w:ascii="Times New Roman" w:eastAsia="Times New Roman" w:hAnsi="Times New Roman" w:cs="Times New Roman"/>
          <w:sz w:val="24"/>
          <w:szCs w:val="24"/>
          <w:lang w:val="en-GB" w:eastAsia="nl-NL"/>
        </w:rPr>
        <w:t>,</w:t>
      </w:r>
      <w:r w:rsidRPr="00E50F9D">
        <w:rPr>
          <w:rFonts w:ascii="Times New Roman" w:hAnsi="Times New Roman" w:cs="Times New Roman"/>
          <w:sz w:val="24"/>
          <w:szCs w:val="24"/>
          <w:lang w:val="en-GB"/>
        </w:rPr>
        <w:t xml:space="preserve"> Dick, A.A., Goldberg, L.G</w:t>
      </w:r>
      <w:r w:rsidR="00237569"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and White, L.J. 2007</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w:t>
      </w:r>
      <w:r w:rsidR="00B14AFB" w:rsidRPr="00E50F9D">
        <w:rPr>
          <w:rFonts w:ascii="Times New Roman" w:hAnsi="Times New Roman" w:cs="Times New Roman"/>
          <w:sz w:val="24"/>
          <w:szCs w:val="24"/>
          <w:lang w:val="en-GB"/>
        </w:rPr>
        <w:t>“</w:t>
      </w:r>
      <w:r w:rsidRPr="00E50F9D">
        <w:rPr>
          <w:rFonts w:ascii="Times New Roman" w:hAnsi="Times New Roman" w:cs="Times New Roman"/>
          <w:sz w:val="24"/>
          <w:szCs w:val="24"/>
          <w:lang w:val="en-US"/>
        </w:rPr>
        <w:t>Competition from large, multimarket firms and the performance of small, single-market firms: Evidence from the banking industry</w:t>
      </w:r>
      <w:r w:rsidR="00237569" w:rsidRPr="00E50F9D">
        <w:rPr>
          <w:rFonts w:ascii="Times New Roman" w:hAnsi="Times New Roman" w:cs="Times New Roman"/>
          <w:sz w:val="24"/>
          <w:szCs w:val="24"/>
          <w:lang w:val="en-US"/>
        </w:rPr>
        <w:t>.</w:t>
      </w:r>
      <w:r w:rsidR="00B14AFB"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w:t>
      </w:r>
      <w:r w:rsidRPr="00E50F9D">
        <w:rPr>
          <w:rFonts w:ascii="Times New Roman" w:hAnsi="Times New Roman" w:cs="Times New Roman"/>
          <w:i/>
          <w:sz w:val="24"/>
          <w:szCs w:val="24"/>
          <w:lang w:val="en-US"/>
        </w:rPr>
        <w:t>Journal of Money, Credit and Banking</w:t>
      </w:r>
      <w:r w:rsidR="00237569" w:rsidRPr="00E50F9D">
        <w:rPr>
          <w:rFonts w:ascii="Times New Roman" w:hAnsi="Times New Roman" w:cs="Times New Roman"/>
          <w:i/>
          <w:sz w:val="24"/>
          <w:szCs w:val="24"/>
          <w:lang w:val="en-US"/>
        </w:rPr>
        <w:t xml:space="preserve"> </w:t>
      </w:r>
      <w:r w:rsidRPr="00E50F9D">
        <w:rPr>
          <w:rFonts w:ascii="Times New Roman" w:hAnsi="Times New Roman" w:cs="Times New Roman"/>
          <w:sz w:val="24"/>
          <w:szCs w:val="24"/>
          <w:lang w:val="en-US"/>
        </w:rPr>
        <w:t>39</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w:t>
      </w:r>
      <w:r w:rsidRPr="00E50F9D">
        <w:rPr>
          <w:rFonts w:ascii="Times New Roman" w:hAnsi="Times New Roman" w:cs="Times New Roman"/>
          <w:sz w:val="24"/>
          <w:szCs w:val="24"/>
          <w:lang w:val="en-GB"/>
        </w:rPr>
        <w:t>331–368.</w:t>
      </w:r>
    </w:p>
    <w:p w14:paraId="74DA8EE7" w14:textId="3986EC1C" w:rsidR="003C503E" w:rsidRPr="00E50F9D" w:rsidRDefault="003C503E" w:rsidP="00237569">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E50F9D">
        <w:rPr>
          <w:rFonts w:ascii="Times New Roman" w:eastAsiaTheme="minorEastAsia" w:hAnsi="Times New Roman" w:cs="Times New Roman"/>
          <w:sz w:val="24"/>
          <w:szCs w:val="24"/>
          <w:lang w:val="en-GB" w:eastAsia="zh-CN"/>
        </w:rPr>
        <w:t>Berger</w:t>
      </w:r>
      <w:r w:rsidR="00BD2B83"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 xml:space="preserve"> A</w:t>
      </w:r>
      <w:r w:rsidR="00BD2B83"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N</w:t>
      </w:r>
      <w:r w:rsidR="00BD2B83" w:rsidRPr="00E50F9D">
        <w:rPr>
          <w:rFonts w:ascii="Times New Roman" w:eastAsiaTheme="minorEastAsia" w:hAnsi="Times New Roman" w:cs="Times New Roman"/>
          <w:sz w:val="24"/>
          <w:szCs w:val="24"/>
          <w:lang w:val="en-GB" w:eastAsia="zh-CN"/>
        </w:rPr>
        <w:t>.</w:t>
      </w:r>
      <w:r w:rsidR="00237569" w:rsidRPr="00E50F9D">
        <w:rPr>
          <w:rFonts w:ascii="Times New Roman" w:eastAsiaTheme="minorEastAsia" w:hAnsi="Times New Roman" w:cs="Times New Roman"/>
          <w:sz w:val="24"/>
          <w:szCs w:val="24"/>
          <w:lang w:val="en-GB" w:eastAsia="zh-CN"/>
        </w:rPr>
        <w:t>,</w:t>
      </w:r>
      <w:r w:rsidR="00BD2B83" w:rsidRPr="00E50F9D">
        <w:rPr>
          <w:rFonts w:ascii="Times New Roman" w:eastAsiaTheme="minorEastAsia" w:hAnsi="Times New Roman" w:cs="Times New Roman"/>
          <w:sz w:val="24"/>
          <w:szCs w:val="24"/>
          <w:lang w:val="en-GB" w:eastAsia="zh-CN"/>
        </w:rPr>
        <w:t xml:space="preserve"> </w:t>
      </w:r>
      <w:r w:rsidR="00AE36BD" w:rsidRPr="00E50F9D">
        <w:rPr>
          <w:rFonts w:ascii="Times New Roman" w:eastAsiaTheme="minorEastAsia" w:hAnsi="Times New Roman" w:cs="Times New Roman"/>
          <w:sz w:val="24"/>
          <w:szCs w:val="24"/>
          <w:lang w:val="en-GB" w:eastAsia="zh-CN"/>
        </w:rPr>
        <w:t xml:space="preserve">and </w:t>
      </w:r>
      <w:r w:rsidRPr="00E50F9D">
        <w:rPr>
          <w:rFonts w:ascii="Times New Roman" w:eastAsiaTheme="minorEastAsia" w:hAnsi="Times New Roman" w:cs="Times New Roman"/>
          <w:sz w:val="24"/>
          <w:szCs w:val="24"/>
          <w:lang w:val="en-GB" w:eastAsia="zh-CN"/>
        </w:rPr>
        <w:t>Hannan</w:t>
      </w:r>
      <w:r w:rsidR="00BD2B83"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 xml:space="preserve"> T</w:t>
      </w:r>
      <w:r w:rsidR="00BD2B83"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H</w:t>
      </w:r>
      <w:r w:rsidR="00BD2B83" w:rsidRPr="00E50F9D">
        <w:rPr>
          <w:rFonts w:ascii="Times New Roman" w:eastAsiaTheme="minorEastAsia" w:hAnsi="Times New Roman" w:cs="Times New Roman"/>
          <w:sz w:val="24"/>
          <w:szCs w:val="24"/>
          <w:lang w:val="en-GB" w:eastAsia="zh-CN"/>
        </w:rPr>
        <w:t>.</w:t>
      </w:r>
      <w:r w:rsidR="00237569" w:rsidRPr="00E50F9D">
        <w:rPr>
          <w:rFonts w:ascii="Times New Roman" w:eastAsiaTheme="minorEastAsia" w:hAnsi="Times New Roman" w:cs="Times New Roman"/>
          <w:sz w:val="24"/>
          <w:szCs w:val="24"/>
          <w:lang w:val="en-GB" w:eastAsia="zh-CN"/>
        </w:rPr>
        <w:t xml:space="preserve"> </w:t>
      </w:r>
      <w:r w:rsidRPr="00E50F9D">
        <w:rPr>
          <w:rFonts w:ascii="Times New Roman" w:eastAsiaTheme="minorEastAsia" w:hAnsi="Times New Roman" w:cs="Times New Roman"/>
          <w:sz w:val="24"/>
          <w:szCs w:val="24"/>
          <w:lang w:val="en-GB" w:eastAsia="zh-CN"/>
        </w:rPr>
        <w:t>1989</w:t>
      </w:r>
      <w:r w:rsidR="00237569"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 xml:space="preserve"> </w:t>
      </w:r>
      <w:r w:rsidR="00237569"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The Price-Concentration Relationship in Banking</w:t>
      </w:r>
      <w:r w:rsidR="00B14AFB" w:rsidRPr="00E50F9D">
        <w:rPr>
          <w:rFonts w:ascii="Times New Roman" w:eastAsiaTheme="minorEastAsia" w:hAnsi="Times New Roman" w:cs="Times New Roman"/>
          <w:sz w:val="24"/>
          <w:szCs w:val="24"/>
          <w:lang w:val="en-GB" w:eastAsia="zh-CN"/>
        </w:rPr>
        <w:t>.”</w:t>
      </w:r>
      <w:r w:rsidR="00237569" w:rsidRPr="00E50F9D">
        <w:rPr>
          <w:rFonts w:ascii="Times New Roman" w:eastAsiaTheme="minorEastAsia" w:hAnsi="Times New Roman" w:cs="Times New Roman"/>
          <w:sz w:val="24"/>
          <w:szCs w:val="24"/>
          <w:lang w:val="en-GB" w:eastAsia="zh-CN"/>
        </w:rPr>
        <w:t xml:space="preserve"> </w:t>
      </w:r>
      <w:r w:rsidRPr="00E50F9D">
        <w:rPr>
          <w:rFonts w:ascii="Times New Roman" w:eastAsiaTheme="minorEastAsia" w:hAnsi="Times New Roman" w:cs="Times New Roman"/>
          <w:i/>
          <w:iCs/>
          <w:sz w:val="24"/>
          <w:szCs w:val="24"/>
          <w:lang w:val="en-GB" w:eastAsia="zh-CN"/>
        </w:rPr>
        <w:t>Review of Economics and Statistics</w:t>
      </w:r>
      <w:r w:rsidRPr="00E50F9D">
        <w:rPr>
          <w:rFonts w:ascii="Times New Roman" w:eastAsiaTheme="minorEastAsia" w:hAnsi="Times New Roman" w:cs="Times New Roman"/>
          <w:sz w:val="24"/>
          <w:szCs w:val="24"/>
          <w:lang w:val="en-GB" w:eastAsia="zh-CN"/>
        </w:rPr>
        <w:t xml:space="preserve"> 71</w:t>
      </w:r>
      <w:r w:rsidR="00237569"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 xml:space="preserve"> 291-299.</w:t>
      </w:r>
    </w:p>
    <w:p w14:paraId="7FA9188B" w14:textId="77777777" w:rsidR="003C503E" w:rsidRPr="00E50F9D" w:rsidRDefault="003C503E" w:rsidP="003C503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15F34DD6" w14:textId="638D29BC" w:rsidR="008F753E" w:rsidRPr="00E50F9D" w:rsidRDefault="008F753E" w:rsidP="008F753E">
      <w:pPr>
        <w:jc w:val="both"/>
        <w:rPr>
          <w:rFonts w:ascii="Times New Roman" w:hAnsi="Times New Roman" w:cs="Times New Roman"/>
          <w:i/>
          <w:sz w:val="24"/>
          <w:szCs w:val="24"/>
        </w:rPr>
      </w:pPr>
      <w:r w:rsidRPr="00E50F9D">
        <w:rPr>
          <w:rFonts w:ascii="Times New Roman" w:hAnsi="Times New Roman" w:cs="Times New Roman"/>
          <w:sz w:val="24"/>
          <w:szCs w:val="24"/>
        </w:rPr>
        <w:t xml:space="preserve">Berger, A.N., Hasan, I., </w:t>
      </w:r>
      <w:r w:rsidR="00AE36BD" w:rsidRPr="00E50F9D">
        <w:rPr>
          <w:rFonts w:ascii="Times New Roman" w:hAnsi="Times New Roman" w:cs="Times New Roman"/>
          <w:sz w:val="24"/>
          <w:szCs w:val="24"/>
        </w:rPr>
        <w:t xml:space="preserve">and </w:t>
      </w:r>
      <w:r w:rsidRPr="00E50F9D">
        <w:rPr>
          <w:rFonts w:ascii="Times New Roman" w:hAnsi="Times New Roman" w:cs="Times New Roman"/>
          <w:sz w:val="24"/>
          <w:szCs w:val="24"/>
        </w:rPr>
        <w:t xml:space="preserve">Zhou, M. 2010. The effects of focus versus diversification on bank performance: Evidence from Chinese Banks. </w:t>
      </w:r>
      <w:hyperlink r:id="rId16" w:tooltip="Go to Journal of Banking &amp; Finance on ScienceDirect" w:history="1">
        <w:r w:rsidRPr="00E50F9D">
          <w:rPr>
            <w:rFonts w:ascii="Times New Roman" w:hAnsi="Times New Roman" w:cs="Times New Roman"/>
            <w:i/>
            <w:sz w:val="24"/>
            <w:szCs w:val="24"/>
          </w:rPr>
          <w:t>Journal of Banking &amp; Finance</w:t>
        </w:r>
      </w:hyperlink>
      <w:r w:rsidRPr="00E50F9D">
        <w:rPr>
          <w:rFonts w:ascii="Times New Roman" w:hAnsi="Times New Roman" w:cs="Times New Roman"/>
          <w:i/>
          <w:sz w:val="24"/>
          <w:szCs w:val="24"/>
        </w:rPr>
        <w:t xml:space="preserve"> 34: 1417-1435.</w:t>
      </w:r>
    </w:p>
    <w:p w14:paraId="05528E43" w14:textId="77777777" w:rsidR="00F8736B" w:rsidRPr="00E50F9D" w:rsidRDefault="00BD2B83" w:rsidP="00F8736B">
      <w:pPr>
        <w:autoSpaceDE w:val="0"/>
        <w:autoSpaceDN w:val="0"/>
        <w:adjustRightInd w:val="0"/>
        <w:spacing w:after="240" w:line="240" w:lineRule="auto"/>
        <w:jc w:val="both"/>
        <w:rPr>
          <w:rFonts w:ascii="Times New Roman" w:hAnsi="Times New Roman" w:cs="Times New Roman"/>
          <w:sz w:val="24"/>
          <w:szCs w:val="24"/>
          <w:lang w:val="en-US"/>
        </w:rPr>
      </w:pPr>
      <w:r w:rsidRPr="00E50F9D">
        <w:rPr>
          <w:rFonts w:ascii="Times New Roman" w:eastAsiaTheme="minorEastAsia" w:hAnsi="Times New Roman" w:cs="Times New Roman"/>
          <w:sz w:val="24"/>
          <w:szCs w:val="24"/>
          <w:lang w:val="en-GB" w:eastAsia="zh-CN"/>
        </w:rPr>
        <w:t xml:space="preserve">Berger, A.N., </w:t>
      </w:r>
      <w:r w:rsidR="003C503E" w:rsidRPr="00E50F9D">
        <w:rPr>
          <w:rFonts w:ascii="Times New Roman" w:hAnsi="Times New Roman" w:cs="Times New Roman"/>
          <w:sz w:val="24"/>
          <w:szCs w:val="24"/>
          <w:lang w:val="en-GB"/>
        </w:rPr>
        <w:t>Leusner</w:t>
      </w:r>
      <w:r w:rsidRPr="00E50F9D">
        <w:rPr>
          <w:rFonts w:ascii="Times New Roman" w:hAnsi="Times New Roman" w:cs="Times New Roman"/>
          <w:sz w:val="24"/>
          <w:szCs w:val="24"/>
          <w:lang w:val="en-GB"/>
        </w:rPr>
        <w:t>,</w:t>
      </w:r>
      <w:r w:rsidR="003C503E" w:rsidRPr="00E50F9D">
        <w:rPr>
          <w:rFonts w:ascii="Times New Roman" w:hAnsi="Times New Roman" w:cs="Times New Roman"/>
          <w:sz w:val="24"/>
          <w:szCs w:val="24"/>
          <w:lang w:val="en-GB"/>
        </w:rPr>
        <w:t xml:space="preserve"> J</w:t>
      </w:r>
      <w:r w:rsidRPr="00E50F9D">
        <w:rPr>
          <w:rFonts w:ascii="Times New Roman" w:hAnsi="Times New Roman" w:cs="Times New Roman"/>
          <w:sz w:val="24"/>
          <w:szCs w:val="24"/>
          <w:lang w:val="en-GB"/>
        </w:rPr>
        <w:t>.</w:t>
      </w:r>
      <w:r w:rsidR="003C503E" w:rsidRPr="00E50F9D">
        <w:rPr>
          <w:rFonts w:ascii="Times New Roman" w:hAnsi="Times New Roman" w:cs="Times New Roman"/>
          <w:sz w:val="24"/>
          <w:szCs w:val="24"/>
          <w:lang w:val="en-GB"/>
        </w:rPr>
        <w:t>H</w:t>
      </w:r>
      <w:r w:rsidRPr="00E50F9D">
        <w:rPr>
          <w:rFonts w:ascii="Times New Roman" w:hAnsi="Times New Roman" w:cs="Times New Roman"/>
          <w:sz w:val="24"/>
          <w:szCs w:val="24"/>
          <w:lang w:val="en-GB"/>
        </w:rPr>
        <w:t>.</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and</w:t>
      </w:r>
      <w:r w:rsidR="003C503E" w:rsidRPr="00E50F9D">
        <w:rPr>
          <w:rFonts w:ascii="Times New Roman" w:hAnsi="Times New Roman" w:cs="Times New Roman"/>
          <w:sz w:val="24"/>
          <w:szCs w:val="24"/>
          <w:lang w:val="en-GB"/>
        </w:rPr>
        <w:t xml:space="preserve"> Mingo</w:t>
      </w:r>
      <w:r w:rsidRPr="00E50F9D">
        <w:rPr>
          <w:rFonts w:ascii="Times New Roman" w:hAnsi="Times New Roman" w:cs="Times New Roman"/>
          <w:sz w:val="24"/>
          <w:szCs w:val="24"/>
          <w:lang w:val="en-GB"/>
        </w:rPr>
        <w:t>,</w:t>
      </w:r>
      <w:r w:rsidR="003C503E" w:rsidRPr="00E50F9D">
        <w:rPr>
          <w:rFonts w:ascii="Times New Roman" w:hAnsi="Times New Roman" w:cs="Times New Roman"/>
          <w:sz w:val="24"/>
          <w:szCs w:val="24"/>
          <w:lang w:val="en-GB"/>
        </w:rPr>
        <w:t xml:space="preserve"> J</w:t>
      </w:r>
      <w:r w:rsidRPr="00E50F9D">
        <w:rPr>
          <w:rFonts w:ascii="Times New Roman" w:hAnsi="Times New Roman" w:cs="Times New Roman"/>
          <w:sz w:val="24"/>
          <w:szCs w:val="24"/>
          <w:lang w:val="en-GB"/>
        </w:rPr>
        <w:t>.</w:t>
      </w:r>
      <w:r w:rsidR="003C503E" w:rsidRPr="00E50F9D">
        <w:rPr>
          <w:rFonts w:ascii="Times New Roman" w:hAnsi="Times New Roman" w:cs="Times New Roman"/>
          <w:sz w:val="24"/>
          <w:szCs w:val="24"/>
          <w:lang w:val="en-GB"/>
        </w:rPr>
        <w:t>J</w:t>
      </w:r>
      <w:r w:rsidRPr="00E50F9D">
        <w:rPr>
          <w:rFonts w:ascii="Times New Roman" w:hAnsi="Times New Roman" w:cs="Times New Roman"/>
          <w:sz w:val="24"/>
          <w:szCs w:val="24"/>
          <w:lang w:val="en-GB"/>
        </w:rPr>
        <w:t>.</w:t>
      </w:r>
      <w:r w:rsidR="00237569" w:rsidRPr="00E50F9D">
        <w:rPr>
          <w:rFonts w:ascii="Times New Roman" w:hAnsi="Times New Roman" w:cs="Times New Roman"/>
          <w:sz w:val="24"/>
          <w:szCs w:val="24"/>
          <w:lang w:val="en-GB"/>
        </w:rPr>
        <w:t xml:space="preserve"> 1</w:t>
      </w:r>
      <w:r w:rsidR="003C503E" w:rsidRPr="00E50F9D">
        <w:rPr>
          <w:rFonts w:ascii="Times New Roman" w:hAnsi="Times New Roman" w:cs="Times New Roman"/>
          <w:sz w:val="24"/>
          <w:szCs w:val="24"/>
          <w:lang w:val="en-GB"/>
        </w:rPr>
        <w:t>997</w:t>
      </w:r>
      <w:r w:rsidR="00237569" w:rsidRPr="00E50F9D">
        <w:rPr>
          <w:rFonts w:ascii="Times New Roman" w:hAnsi="Times New Roman" w:cs="Times New Roman"/>
          <w:sz w:val="24"/>
          <w:szCs w:val="24"/>
          <w:lang w:val="en-GB"/>
        </w:rPr>
        <w:t>.</w:t>
      </w:r>
      <w:r w:rsidR="003C503E" w:rsidRPr="00E50F9D">
        <w:rPr>
          <w:rFonts w:ascii="Times New Roman" w:hAnsi="Times New Roman" w:cs="Times New Roman"/>
          <w:sz w:val="24"/>
          <w:szCs w:val="24"/>
          <w:lang w:val="en-GB"/>
        </w:rPr>
        <w:t xml:space="preserve"> </w:t>
      </w:r>
      <w:r w:rsidR="00237569" w:rsidRPr="00E50F9D">
        <w:rPr>
          <w:rFonts w:ascii="Times New Roman" w:hAnsi="Times New Roman" w:cs="Times New Roman"/>
          <w:sz w:val="24"/>
          <w:szCs w:val="24"/>
          <w:lang w:val="en-GB"/>
        </w:rPr>
        <w:t>“</w:t>
      </w:r>
      <w:r w:rsidR="003C503E" w:rsidRPr="00E50F9D">
        <w:rPr>
          <w:rFonts w:ascii="Times New Roman" w:hAnsi="Times New Roman" w:cs="Times New Roman"/>
          <w:sz w:val="24"/>
          <w:szCs w:val="24"/>
          <w:lang w:val="en-US"/>
        </w:rPr>
        <w:t>The efficiency of bank branches</w:t>
      </w:r>
      <w:r w:rsidR="00237569" w:rsidRPr="00E50F9D">
        <w:rPr>
          <w:rFonts w:ascii="Times New Roman" w:hAnsi="Times New Roman" w:cs="Times New Roman"/>
          <w:sz w:val="24"/>
          <w:szCs w:val="24"/>
          <w:lang w:val="en-US"/>
        </w:rPr>
        <w:t>.”</w:t>
      </w:r>
      <w:r w:rsidR="003C503E" w:rsidRPr="00E50F9D">
        <w:rPr>
          <w:rFonts w:ascii="Times New Roman" w:hAnsi="Times New Roman" w:cs="Times New Roman"/>
          <w:sz w:val="24"/>
          <w:szCs w:val="24"/>
          <w:lang w:val="en-US"/>
        </w:rPr>
        <w:t xml:space="preserve"> </w:t>
      </w:r>
      <w:r w:rsidR="003C503E" w:rsidRPr="00E50F9D">
        <w:rPr>
          <w:rFonts w:ascii="Times New Roman" w:hAnsi="Times New Roman" w:cs="Times New Roman"/>
          <w:i/>
          <w:iCs/>
          <w:sz w:val="24"/>
          <w:szCs w:val="24"/>
          <w:lang w:val="en-US"/>
        </w:rPr>
        <w:t>Journal of Monetary Economics</w:t>
      </w:r>
      <w:r w:rsidR="003C503E" w:rsidRPr="00E50F9D">
        <w:rPr>
          <w:rFonts w:ascii="Times New Roman" w:hAnsi="Times New Roman" w:cs="Times New Roman"/>
          <w:sz w:val="24"/>
          <w:szCs w:val="24"/>
          <w:lang w:val="en-US"/>
        </w:rPr>
        <w:t xml:space="preserve"> 40(1)</w:t>
      </w:r>
      <w:r w:rsidR="00237569" w:rsidRPr="00E50F9D">
        <w:rPr>
          <w:rFonts w:ascii="Times New Roman" w:hAnsi="Times New Roman" w:cs="Times New Roman"/>
          <w:sz w:val="24"/>
          <w:szCs w:val="24"/>
          <w:lang w:val="en-US"/>
        </w:rPr>
        <w:t>:</w:t>
      </w:r>
      <w:r w:rsidR="00F8736B" w:rsidRPr="00E50F9D">
        <w:rPr>
          <w:rFonts w:ascii="Times New Roman" w:hAnsi="Times New Roman" w:cs="Times New Roman"/>
          <w:sz w:val="24"/>
          <w:szCs w:val="24"/>
          <w:lang w:val="en-US"/>
        </w:rPr>
        <w:t xml:space="preserve"> 141-162.</w:t>
      </w:r>
    </w:p>
    <w:p w14:paraId="7EF264B8" w14:textId="7F4D63F9" w:rsidR="00F8736B" w:rsidRPr="00E50F9D" w:rsidRDefault="00F8736B" w:rsidP="00F8736B">
      <w:pPr>
        <w:autoSpaceDE w:val="0"/>
        <w:autoSpaceDN w:val="0"/>
        <w:adjustRightInd w:val="0"/>
        <w:spacing w:after="240" w:line="240" w:lineRule="auto"/>
        <w:jc w:val="both"/>
        <w:rPr>
          <w:rFonts w:ascii="Times New Roman" w:hAnsi="Times New Roman" w:cs="Times New Roman"/>
          <w:sz w:val="24"/>
          <w:szCs w:val="24"/>
          <w:lang w:val="en-US"/>
        </w:rPr>
      </w:pPr>
      <w:r w:rsidRPr="00E50F9D">
        <w:rPr>
          <w:rFonts w:ascii="Times New Roman" w:eastAsiaTheme="minorEastAsia" w:hAnsi="Times New Roman" w:cs="Times New Roman"/>
          <w:sz w:val="24"/>
          <w:szCs w:val="24"/>
          <w:lang w:val="en-GB" w:eastAsia="zh-CN"/>
        </w:rPr>
        <w:t xml:space="preserve">Berger, A. N., Miller, N. H., Petersen,M. A., Rajan, R. G., and Stein, J. C. 2005. “Does function follow organizational form? Evidence from the lending practices of large and small banks.” </w:t>
      </w:r>
      <w:r w:rsidRPr="00E50F9D">
        <w:rPr>
          <w:rFonts w:ascii="Times New Roman" w:eastAsiaTheme="minorEastAsia" w:hAnsi="Times New Roman" w:cs="Times New Roman"/>
          <w:i/>
          <w:sz w:val="24"/>
          <w:szCs w:val="24"/>
          <w:lang w:val="en-GB" w:eastAsia="zh-CN"/>
        </w:rPr>
        <w:t>Journal of Financial Economics</w:t>
      </w:r>
      <w:r w:rsidRPr="00E50F9D">
        <w:rPr>
          <w:rFonts w:ascii="Times New Roman" w:eastAsiaTheme="minorEastAsia" w:hAnsi="Times New Roman" w:cs="Times New Roman"/>
          <w:sz w:val="24"/>
          <w:szCs w:val="24"/>
          <w:lang w:val="en-GB" w:eastAsia="zh-CN"/>
        </w:rPr>
        <w:t xml:space="preserve"> 76: 237-269.</w:t>
      </w:r>
    </w:p>
    <w:p w14:paraId="532D7775" w14:textId="25134686" w:rsidR="003C503E" w:rsidRPr="00E50F9D" w:rsidRDefault="00BD2B83" w:rsidP="00237569">
      <w:pPr>
        <w:autoSpaceDE w:val="0"/>
        <w:autoSpaceDN w:val="0"/>
        <w:adjustRightInd w:val="0"/>
        <w:spacing w:after="240" w:line="240" w:lineRule="auto"/>
        <w:rPr>
          <w:rFonts w:ascii="Times New Roman" w:hAnsi="Times New Roman" w:cs="Times New Roman"/>
          <w:sz w:val="24"/>
          <w:szCs w:val="24"/>
          <w:lang w:val="en-GB"/>
        </w:rPr>
      </w:pPr>
      <w:r w:rsidRPr="00E50F9D">
        <w:rPr>
          <w:rFonts w:ascii="Times New Roman" w:eastAsiaTheme="minorEastAsia" w:hAnsi="Times New Roman" w:cs="Times New Roman"/>
          <w:sz w:val="24"/>
          <w:szCs w:val="24"/>
          <w:lang w:val="en-GB" w:eastAsia="zh-CN"/>
        </w:rPr>
        <w:t>Berger, A.N.</w:t>
      </w:r>
      <w:r w:rsidR="00237569"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 xml:space="preserve"> and </w:t>
      </w:r>
      <w:r w:rsidR="003C503E" w:rsidRPr="00E50F9D">
        <w:rPr>
          <w:rFonts w:ascii="Times New Roman" w:hAnsi="Times New Roman" w:cs="Times New Roman"/>
          <w:sz w:val="24"/>
          <w:szCs w:val="24"/>
          <w:lang w:val="en-GB"/>
        </w:rPr>
        <w:t>Udell</w:t>
      </w:r>
      <w:r w:rsidRPr="00E50F9D">
        <w:rPr>
          <w:rFonts w:ascii="Times New Roman" w:hAnsi="Times New Roman" w:cs="Times New Roman"/>
          <w:sz w:val="24"/>
          <w:szCs w:val="24"/>
          <w:lang w:val="en-GB"/>
        </w:rPr>
        <w:t>,</w:t>
      </w:r>
      <w:r w:rsidR="003C503E" w:rsidRPr="00E50F9D">
        <w:rPr>
          <w:rFonts w:ascii="Times New Roman" w:hAnsi="Times New Roman" w:cs="Times New Roman"/>
          <w:sz w:val="24"/>
          <w:szCs w:val="24"/>
          <w:lang w:val="en-GB"/>
        </w:rPr>
        <w:t xml:space="preserve"> G</w:t>
      </w:r>
      <w:r w:rsidRPr="00E50F9D">
        <w:rPr>
          <w:rFonts w:ascii="Times New Roman" w:hAnsi="Times New Roman" w:cs="Times New Roman"/>
          <w:sz w:val="24"/>
          <w:szCs w:val="24"/>
          <w:lang w:val="en-GB"/>
        </w:rPr>
        <w:t>.</w:t>
      </w:r>
      <w:r w:rsidR="003C503E" w:rsidRPr="00E50F9D">
        <w:rPr>
          <w:rFonts w:ascii="Times New Roman" w:hAnsi="Times New Roman" w:cs="Times New Roman"/>
          <w:sz w:val="24"/>
          <w:szCs w:val="24"/>
          <w:lang w:val="en-GB"/>
        </w:rPr>
        <w:t>F</w:t>
      </w:r>
      <w:r w:rsidRPr="00E50F9D">
        <w:rPr>
          <w:rFonts w:ascii="Times New Roman" w:hAnsi="Times New Roman" w:cs="Times New Roman"/>
          <w:sz w:val="24"/>
          <w:szCs w:val="24"/>
          <w:lang w:val="en-GB"/>
        </w:rPr>
        <w:t>.</w:t>
      </w:r>
      <w:r w:rsidR="00237569" w:rsidRPr="00E50F9D">
        <w:rPr>
          <w:rFonts w:ascii="Times New Roman" w:hAnsi="Times New Roman" w:cs="Times New Roman"/>
          <w:sz w:val="24"/>
          <w:szCs w:val="24"/>
          <w:lang w:val="en-GB"/>
        </w:rPr>
        <w:t xml:space="preserve"> </w:t>
      </w:r>
      <w:r w:rsidR="003C503E" w:rsidRPr="00E50F9D">
        <w:rPr>
          <w:rFonts w:ascii="Times New Roman" w:hAnsi="Times New Roman" w:cs="Times New Roman"/>
          <w:sz w:val="24"/>
          <w:szCs w:val="24"/>
          <w:lang w:val="en-GB"/>
        </w:rPr>
        <w:t>2002</w:t>
      </w:r>
      <w:r w:rsidR="00237569" w:rsidRPr="00E50F9D">
        <w:rPr>
          <w:rFonts w:ascii="Times New Roman" w:hAnsi="Times New Roman" w:cs="Times New Roman"/>
          <w:sz w:val="24"/>
          <w:szCs w:val="24"/>
          <w:lang w:val="en-GB"/>
        </w:rPr>
        <w:t>.</w:t>
      </w:r>
      <w:r w:rsidR="003C503E" w:rsidRPr="00E50F9D">
        <w:rPr>
          <w:rFonts w:ascii="Times New Roman" w:hAnsi="Times New Roman" w:cs="Times New Roman"/>
          <w:sz w:val="24"/>
          <w:szCs w:val="24"/>
          <w:lang w:val="en-GB"/>
        </w:rPr>
        <w:t xml:space="preserve"> </w:t>
      </w:r>
      <w:r w:rsidR="00237569" w:rsidRPr="00E50F9D">
        <w:rPr>
          <w:rFonts w:ascii="Times New Roman" w:hAnsi="Times New Roman" w:cs="Times New Roman"/>
          <w:sz w:val="24"/>
          <w:szCs w:val="24"/>
          <w:lang w:val="en-GB"/>
        </w:rPr>
        <w:t>“</w:t>
      </w:r>
      <w:r w:rsidR="003C503E" w:rsidRPr="00E50F9D">
        <w:rPr>
          <w:rFonts w:ascii="Times New Roman" w:hAnsi="Times New Roman" w:cs="Times New Roman"/>
          <w:sz w:val="24"/>
          <w:szCs w:val="24"/>
          <w:lang w:val="en-GB"/>
        </w:rPr>
        <w:t>Small business credit availability and relationship lending: The importance of bank organisational structure</w:t>
      </w:r>
      <w:r w:rsidR="00237569" w:rsidRPr="00E50F9D">
        <w:rPr>
          <w:rFonts w:ascii="Times New Roman" w:hAnsi="Times New Roman" w:cs="Times New Roman"/>
          <w:sz w:val="24"/>
          <w:szCs w:val="24"/>
          <w:lang w:val="en-GB"/>
        </w:rPr>
        <w:t>.”</w:t>
      </w:r>
      <w:r w:rsidR="003C503E" w:rsidRPr="00E50F9D">
        <w:rPr>
          <w:rFonts w:ascii="Times New Roman" w:hAnsi="Times New Roman" w:cs="Times New Roman"/>
          <w:sz w:val="24"/>
          <w:szCs w:val="24"/>
          <w:lang w:val="en-GB"/>
        </w:rPr>
        <w:t xml:space="preserve"> </w:t>
      </w:r>
      <w:r w:rsidR="003C503E" w:rsidRPr="00E50F9D">
        <w:rPr>
          <w:rFonts w:ascii="Times New Roman" w:hAnsi="Times New Roman" w:cs="Times New Roman"/>
          <w:i/>
          <w:iCs/>
          <w:sz w:val="24"/>
          <w:szCs w:val="24"/>
          <w:lang w:val="en-GB"/>
        </w:rPr>
        <w:t>The Economic Journal</w:t>
      </w:r>
      <w:r w:rsidR="003C503E" w:rsidRPr="00E50F9D">
        <w:rPr>
          <w:rFonts w:ascii="Times New Roman" w:hAnsi="Times New Roman" w:cs="Times New Roman"/>
          <w:sz w:val="24"/>
          <w:szCs w:val="24"/>
          <w:lang w:val="en-GB"/>
        </w:rPr>
        <w:t xml:space="preserve"> </w:t>
      </w:r>
      <w:r w:rsidR="003C503E" w:rsidRPr="00E50F9D">
        <w:rPr>
          <w:rFonts w:ascii="Times New Roman" w:hAnsi="Times New Roman" w:cs="Times New Roman"/>
          <w:iCs/>
          <w:sz w:val="24"/>
          <w:szCs w:val="24"/>
          <w:lang w:val="en-GB"/>
        </w:rPr>
        <w:t>112</w:t>
      </w:r>
      <w:r w:rsidR="003C503E" w:rsidRPr="00E50F9D">
        <w:rPr>
          <w:rFonts w:ascii="Times New Roman" w:hAnsi="Times New Roman" w:cs="Times New Roman"/>
          <w:sz w:val="24"/>
          <w:szCs w:val="24"/>
          <w:lang w:val="en-GB"/>
        </w:rPr>
        <w:t>(477)</w:t>
      </w:r>
      <w:r w:rsidR="00237569" w:rsidRPr="00E50F9D">
        <w:rPr>
          <w:rFonts w:ascii="Times New Roman" w:hAnsi="Times New Roman" w:cs="Times New Roman"/>
          <w:sz w:val="24"/>
          <w:szCs w:val="24"/>
          <w:lang w:val="en-GB"/>
        </w:rPr>
        <w:t>:</w:t>
      </w:r>
      <w:r w:rsidR="003C503E" w:rsidRPr="00E50F9D">
        <w:rPr>
          <w:rFonts w:ascii="Times New Roman" w:hAnsi="Times New Roman" w:cs="Times New Roman"/>
          <w:sz w:val="24"/>
          <w:szCs w:val="24"/>
          <w:lang w:val="en-GB"/>
        </w:rPr>
        <w:t xml:space="preserve"> F32-F53</w:t>
      </w:r>
      <w:r w:rsidRPr="00E50F9D">
        <w:rPr>
          <w:rFonts w:ascii="Times New Roman" w:hAnsi="Times New Roman" w:cs="Times New Roman"/>
          <w:sz w:val="24"/>
          <w:szCs w:val="24"/>
          <w:lang w:val="en-GB"/>
        </w:rPr>
        <w:t>.</w:t>
      </w:r>
    </w:p>
    <w:p w14:paraId="663064FC" w14:textId="2ED95175" w:rsidR="00921C75" w:rsidRPr="00E50F9D" w:rsidRDefault="00237569" w:rsidP="00921C75">
      <w:pPr>
        <w:autoSpaceDE w:val="0"/>
        <w:autoSpaceDN w:val="0"/>
        <w:adjustRightInd w:val="0"/>
        <w:spacing w:after="240" w:line="240" w:lineRule="auto"/>
        <w:jc w:val="both"/>
        <w:rPr>
          <w:rFonts w:ascii="Times New Roman" w:hAnsi="Times New Roman" w:cs="Times New Roman"/>
          <w:sz w:val="24"/>
          <w:szCs w:val="24"/>
          <w:lang w:val="en-GB"/>
        </w:rPr>
      </w:pPr>
      <w:r w:rsidRPr="00E50F9D">
        <w:rPr>
          <w:rFonts w:ascii="Times New Roman" w:eastAsiaTheme="minorEastAsia" w:hAnsi="Times New Roman" w:cs="Times New Roman"/>
          <w:sz w:val="24"/>
          <w:szCs w:val="24"/>
          <w:lang w:val="en-GB" w:eastAsia="zh-CN"/>
        </w:rPr>
        <w:t xml:space="preserve">Berger, A.N., and </w:t>
      </w:r>
      <w:r w:rsidRPr="00E50F9D">
        <w:rPr>
          <w:rFonts w:ascii="Times New Roman" w:hAnsi="Times New Roman" w:cs="Times New Roman"/>
          <w:sz w:val="24"/>
          <w:szCs w:val="24"/>
          <w:lang w:val="en-GB"/>
        </w:rPr>
        <w:t>Udell, G.F. 2006</w:t>
      </w:r>
      <w:r w:rsidR="00921C75"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w:t>
      </w:r>
      <w:r w:rsidR="00921C75" w:rsidRPr="00E50F9D">
        <w:rPr>
          <w:rFonts w:ascii="Times New Roman" w:hAnsi="Times New Roman" w:cs="Times New Roman"/>
          <w:sz w:val="24"/>
          <w:szCs w:val="24"/>
          <w:lang w:val="en-GB"/>
        </w:rPr>
        <w:t>A more complete conceptual framework for sme finance.</w:t>
      </w:r>
      <w:r w:rsidRPr="00E50F9D">
        <w:rPr>
          <w:rFonts w:ascii="Times New Roman" w:hAnsi="Times New Roman" w:cs="Times New Roman"/>
          <w:sz w:val="24"/>
          <w:szCs w:val="24"/>
          <w:lang w:val="en-GB"/>
        </w:rPr>
        <w:t>”</w:t>
      </w:r>
      <w:r w:rsidR="00921C75" w:rsidRPr="00E50F9D">
        <w:rPr>
          <w:rFonts w:ascii="Times New Roman" w:hAnsi="Times New Roman" w:cs="Times New Roman"/>
          <w:sz w:val="24"/>
          <w:szCs w:val="24"/>
          <w:lang w:val="en-GB"/>
        </w:rPr>
        <w:t xml:space="preserve"> </w:t>
      </w:r>
      <w:r w:rsidR="00921C75" w:rsidRPr="00E50F9D">
        <w:rPr>
          <w:rFonts w:ascii="Times New Roman" w:hAnsi="Times New Roman" w:cs="Times New Roman"/>
          <w:i/>
          <w:iCs/>
          <w:sz w:val="24"/>
          <w:szCs w:val="24"/>
          <w:lang w:val="en-GB"/>
        </w:rPr>
        <w:t>Journal of Banking &amp; Finance</w:t>
      </w:r>
      <w:r w:rsidR="00921C75" w:rsidRPr="00E50F9D">
        <w:rPr>
          <w:rFonts w:ascii="Times New Roman" w:hAnsi="Times New Roman" w:cs="Times New Roman"/>
          <w:sz w:val="24"/>
          <w:szCs w:val="24"/>
          <w:lang w:val="en-GB"/>
        </w:rPr>
        <w:t xml:space="preserve"> 30 (477)</w:t>
      </w:r>
      <w:r w:rsidRPr="00E50F9D">
        <w:rPr>
          <w:rFonts w:ascii="Times New Roman" w:hAnsi="Times New Roman" w:cs="Times New Roman"/>
          <w:sz w:val="24"/>
          <w:szCs w:val="24"/>
          <w:lang w:val="en-GB"/>
        </w:rPr>
        <w:t xml:space="preserve">: </w:t>
      </w:r>
      <w:r w:rsidR="00921C75" w:rsidRPr="00E50F9D">
        <w:rPr>
          <w:rFonts w:ascii="Times New Roman" w:hAnsi="Times New Roman" w:cs="Times New Roman"/>
          <w:sz w:val="24"/>
          <w:szCs w:val="24"/>
          <w:lang w:val="en-GB"/>
        </w:rPr>
        <w:t>2945–2966</w:t>
      </w:r>
      <w:r w:rsidRPr="00E50F9D">
        <w:rPr>
          <w:rFonts w:ascii="Times New Roman" w:hAnsi="Times New Roman" w:cs="Times New Roman"/>
          <w:sz w:val="24"/>
          <w:szCs w:val="24"/>
          <w:lang w:val="en-GB"/>
        </w:rPr>
        <w:t>.</w:t>
      </w:r>
    </w:p>
    <w:p w14:paraId="041CB9F7" w14:textId="68FD417B" w:rsidR="00DA213B" w:rsidRPr="00E50F9D" w:rsidRDefault="007B673C" w:rsidP="00237569">
      <w:pPr>
        <w:autoSpaceDE w:val="0"/>
        <w:autoSpaceDN w:val="0"/>
        <w:adjustRightInd w:val="0"/>
        <w:spacing w:after="240" w:line="240" w:lineRule="auto"/>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Bos, J.W.B.</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and</w:t>
      </w:r>
      <w:r w:rsidR="00237569" w:rsidRPr="00E50F9D">
        <w:rPr>
          <w:rFonts w:ascii="Times New Roman" w:hAnsi="Times New Roman" w:cs="Times New Roman"/>
          <w:sz w:val="24"/>
          <w:szCs w:val="24"/>
          <w:lang w:val="en-GB"/>
        </w:rPr>
        <w:t xml:space="preserve"> Koetter, M. 2011</w:t>
      </w:r>
      <w:r w:rsidR="00DA213B" w:rsidRPr="00E50F9D">
        <w:rPr>
          <w:rFonts w:ascii="Times New Roman" w:hAnsi="Times New Roman" w:cs="Times New Roman"/>
          <w:sz w:val="24"/>
          <w:szCs w:val="24"/>
          <w:lang w:val="en-GB"/>
        </w:rPr>
        <w:t xml:space="preserve">. </w:t>
      </w:r>
      <w:r w:rsidR="00237569" w:rsidRPr="00E50F9D">
        <w:rPr>
          <w:rFonts w:ascii="Times New Roman" w:hAnsi="Times New Roman" w:cs="Times New Roman"/>
          <w:sz w:val="24"/>
          <w:szCs w:val="24"/>
          <w:lang w:val="en-GB"/>
        </w:rPr>
        <w:t>“</w:t>
      </w:r>
      <w:r w:rsidR="00DA213B" w:rsidRPr="00E50F9D">
        <w:rPr>
          <w:rFonts w:ascii="Times New Roman" w:hAnsi="Times New Roman" w:cs="Times New Roman"/>
          <w:sz w:val="24"/>
          <w:szCs w:val="24"/>
          <w:lang w:val="en-GB"/>
        </w:rPr>
        <w:t>Handling losses in translog profit models.</w:t>
      </w:r>
      <w:r w:rsidR="00237569" w:rsidRPr="00E50F9D">
        <w:rPr>
          <w:rFonts w:ascii="Times New Roman" w:hAnsi="Times New Roman" w:cs="Times New Roman"/>
          <w:sz w:val="24"/>
          <w:szCs w:val="24"/>
          <w:lang w:val="en-GB"/>
        </w:rPr>
        <w:t>”</w:t>
      </w:r>
      <w:r w:rsidR="00DA213B" w:rsidRPr="00E50F9D">
        <w:rPr>
          <w:rFonts w:ascii="Times New Roman" w:hAnsi="Times New Roman" w:cs="Times New Roman"/>
          <w:sz w:val="24"/>
          <w:szCs w:val="24"/>
          <w:lang w:val="en-GB"/>
        </w:rPr>
        <w:t xml:space="preserve"> </w:t>
      </w:r>
      <w:r w:rsidR="00DA213B" w:rsidRPr="00E50F9D">
        <w:rPr>
          <w:rFonts w:ascii="Times New Roman" w:hAnsi="Times New Roman" w:cs="Times New Roman"/>
          <w:i/>
          <w:iCs/>
          <w:sz w:val="24"/>
          <w:szCs w:val="24"/>
          <w:lang w:val="en-GB"/>
        </w:rPr>
        <w:t>Applied Economics</w:t>
      </w:r>
      <w:r w:rsidR="00DA213B" w:rsidRPr="00E50F9D">
        <w:rPr>
          <w:rFonts w:ascii="Times New Roman" w:hAnsi="Times New Roman" w:cs="Times New Roman"/>
          <w:sz w:val="24"/>
          <w:szCs w:val="24"/>
          <w:lang w:val="en-GB"/>
        </w:rPr>
        <w:t xml:space="preserve"> 43</w:t>
      </w:r>
      <w:r w:rsidR="00237569" w:rsidRPr="00E50F9D">
        <w:rPr>
          <w:rFonts w:ascii="Times New Roman" w:hAnsi="Times New Roman" w:cs="Times New Roman"/>
          <w:sz w:val="24"/>
          <w:szCs w:val="24"/>
          <w:lang w:val="en-GB"/>
        </w:rPr>
        <w:t>:</w:t>
      </w:r>
      <w:r w:rsidR="00DA213B" w:rsidRPr="00E50F9D">
        <w:rPr>
          <w:rFonts w:ascii="Times New Roman" w:hAnsi="Times New Roman" w:cs="Times New Roman"/>
          <w:sz w:val="24"/>
          <w:szCs w:val="24"/>
          <w:lang w:val="en-GB"/>
        </w:rPr>
        <w:t xml:space="preserve"> 307–312.</w:t>
      </w:r>
    </w:p>
    <w:p w14:paraId="2583E4B4" w14:textId="618D29F9" w:rsidR="00C42829" w:rsidRPr="00E50F9D" w:rsidRDefault="008F753E" w:rsidP="0051246E">
      <w:pPr>
        <w:jc w:val="both"/>
        <w:rPr>
          <w:rFonts w:ascii="Times New Roman" w:hAnsi="Times New Roman" w:cs="Times New Roman"/>
          <w:sz w:val="24"/>
          <w:szCs w:val="24"/>
        </w:rPr>
      </w:pPr>
      <w:r w:rsidRPr="00E50F9D">
        <w:rPr>
          <w:rFonts w:ascii="Times New Roman" w:hAnsi="Times New Roman" w:cs="Times New Roman"/>
          <w:sz w:val="24"/>
          <w:szCs w:val="24"/>
        </w:rPr>
        <w:t xml:space="preserve">Buch, C., Koch, C., and Koetter, M. 2013. “Do Banks Benefit from Internationalization?: Revisiting the Market Power-Risk Nexus.” </w:t>
      </w:r>
      <w:r w:rsidRPr="00E50F9D">
        <w:rPr>
          <w:rFonts w:ascii="Times New Roman" w:hAnsi="Times New Roman" w:cs="Times New Roman"/>
          <w:i/>
          <w:sz w:val="24"/>
          <w:szCs w:val="24"/>
        </w:rPr>
        <w:t>Review of Finance</w:t>
      </w:r>
      <w:r w:rsidR="0051246E" w:rsidRPr="00E50F9D">
        <w:rPr>
          <w:rFonts w:ascii="Times New Roman" w:hAnsi="Times New Roman" w:cs="Times New Roman"/>
          <w:sz w:val="24"/>
          <w:szCs w:val="24"/>
        </w:rPr>
        <w:t xml:space="preserve"> 17(4): 1401-1435.</w:t>
      </w:r>
    </w:p>
    <w:p w14:paraId="236BA4DB" w14:textId="4E527E70" w:rsidR="00360792" w:rsidRPr="00E50F9D" w:rsidRDefault="00360792" w:rsidP="00360792">
      <w:pPr>
        <w:jc w:val="both"/>
        <w:rPr>
          <w:rFonts w:ascii="Times New Roman" w:hAnsi="Times New Roman" w:cs="Times New Roman"/>
          <w:sz w:val="24"/>
          <w:szCs w:val="24"/>
        </w:rPr>
      </w:pPr>
      <w:r w:rsidRPr="00E50F9D">
        <w:rPr>
          <w:rFonts w:ascii="Times New Roman" w:hAnsi="Times New Roman" w:cs="Times New Roman"/>
          <w:sz w:val="24"/>
          <w:szCs w:val="24"/>
        </w:rPr>
        <w:t xml:space="preserve">Cameron, A.C., Gelbachb, J.B., </w:t>
      </w:r>
      <w:r w:rsidR="00AE36BD" w:rsidRPr="00E50F9D">
        <w:rPr>
          <w:rFonts w:ascii="Times New Roman" w:hAnsi="Times New Roman" w:cs="Times New Roman"/>
          <w:sz w:val="24"/>
          <w:szCs w:val="24"/>
        </w:rPr>
        <w:t xml:space="preserve">and </w:t>
      </w:r>
      <w:r w:rsidRPr="00E50F9D">
        <w:rPr>
          <w:rFonts w:ascii="Times New Roman" w:hAnsi="Times New Roman" w:cs="Times New Roman"/>
          <w:sz w:val="24"/>
          <w:szCs w:val="24"/>
        </w:rPr>
        <w:t xml:space="preserve">Millerc, D.L. 2011. </w:t>
      </w:r>
      <w:r w:rsidR="000C7434" w:rsidRPr="00E50F9D">
        <w:rPr>
          <w:rFonts w:ascii="Times New Roman" w:hAnsi="Times New Roman" w:cs="Times New Roman"/>
          <w:sz w:val="24"/>
          <w:szCs w:val="24"/>
        </w:rPr>
        <w:t>“</w:t>
      </w:r>
      <w:r w:rsidRPr="00E50F9D">
        <w:rPr>
          <w:rFonts w:ascii="Times New Roman" w:hAnsi="Times New Roman" w:cs="Times New Roman"/>
          <w:sz w:val="24"/>
          <w:szCs w:val="24"/>
        </w:rPr>
        <w:t>Robust Inference With Multiway Clustering</w:t>
      </w:r>
      <w:r w:rsidR="000C7434" w:rsidRPr="00E50F9D">
        <w:rPr>
          <w:rFonts w:ascii="Times New Roman" w:hAnsi="Times New Roman" w:cs="Times New Roman"/>
          <w:sz w:val="24"/>
          <w:szCs w:val="24"/>
        </w:rPr>
        <w:t xml:space="preserve">.” </w:t>
      </w:r>
      <w:r w:rsidRPr="00E50F9D">
        <w:rPr>
          <w:rFonts w:ascii="Times New Roman" w:hAnsi="Times New Roman" w:cs="Times New Roman"/>
          <w:i/>
          <w:sz w:val="24"/>
          <w:szCs w:val="24"/>
        </w:rPr>
        <w:t>Journal of Business &amp; Economic Statistics</w:t>
      </w:r>
      <w:r w:rsidRPr="00E50F9D">
        <w:rPr>
          <w:rFonts w:ascii="Times New Roman" w:hAnsi="Times New Roman" w:cs="Times New Roman"/>
          <w:sz w:val="24"/>
          <w:szCs w:val="24"/>
        </w:rPr>
        <w:t xml:space="preserve"> 29(2): </w:t>
      </w:r>
      <w:r w:rsidRPr="00E50F9D">
        <w:rPr>
          <w:rFonts w:ascii="Times New Roman" w:hAnsi="Times New Roman" w:cs="Times New Roman"/>
          <w:sz w:val="24"/>
          <w:szCs w:val="24"/>
          <w:lang w:val="en"/>
        </w:rPr>
        <w:t>238-249.</w:t>
      </w:r>
    </w:p>
    <w:p w14:paraId="645E8EF8" w14:textId="311B9B57" w:rsidR="000C7434" w:rsidRPr="00E50F9D" w:rsidRDefault="000C7434" w:rsidP="000C7434">
      <w:pPr>
        <w:autoSpaceDE w:val="0"/>
        <w:autoSpaceDN w:val="0"/>
        <w:adjustRightInd w:val="0"/>
        <w:spacing w:after="240" w:line="240" w:lineRule="auto"/>
        <w:jc w:val="both"/>
        <w:rPr>
          <w:rFonts w:ascii="Times New Roman" w:hAnsi="Times New Roman" w:cs="Times New Roman"/>
          <w:sz w:val="24"/>
          <w:szCs w:val="24"/>
          <w:lang w:val="pt-PT"/>
        </w:rPr>
      </w:pPr>
      <w:r w:rsidRPr="00E50F9D">
        <w:rPr>
          <w:rFonts w:ascii="Times New Roman" w:hAnsi="Times New Roman" w:cs="Times New Roman"/>
          <w:sz w:val="24"/>
          <w:szCs w:val="24"/>
          <w:lang w:val="pt-PT"/>
        </w:rPr>
        <w:t xml:space="preserve">Carbó -Valverde, S., Rodríguez-Fernάndez, F., and Udell, G. F. 2009. “Bank market power and SME financing constraints.” </w:t>
      </w:r>
      <w:r w:rsidRPr="00E50F9D">
        <w:rPr>
          <w:rFonts w:ascii="Times New Roman" w:hAnsi="Times New Roman" w:cs="Times New Roman"/>
          <w:i/>
          <w:sz w:val="24"/>
          <w:szCs w:val="24"/>
          <w:lang w:val="pt-PT"/>
        </w:rPr>
        <w:t>Review of Finance</w:t>
      </w:r>
      <w:r w:rsidRPr="00E50F9D">
        <w:rPr>
          <w:rFonts w:ascii="Times New Roman" w:hAnsi="Times New Roman" w:cs="Times New Roman"/>
          <w:sz w:val="24"/>
          <w:szCs w:val="24"/>
          <w:lang w:val="pt-PT"/>
        </w:rPr>
        <w:t xml:space="preserve"> 13: 309–340.</w:t>
      </w:r>
    </w:p>
    <w:p w14:paraId="4523D225" w14:textId="3631203A" w:rsidR="003C503E" w:rsidRPr="00E50F9D" w:rsidRDefault="003C503E" w:rsidP="00237569">
      <w:pPr>
        <w:autoSpaceDE w:val="0"/>
        <w:autoSpaceDN w:val="0"/>
        <w:adjustRightInd w:val="0"/>
        <w:spacing w:after="240" w:line="240" w:lineRule="auto"/>
        <w:jc w:val="both"/>
        <w:rPr>
          <w:rFonts w:ascii="Times New Roman" w:hAnsi="Times New Roman" w:cs="Times New Roman"/>
          <w:sz w:val="24"/>
          <w:szCs w:val="24"/>
          <w:lang w:val="en-US"/>
        </w:rPr>
      </w:pPr>
      <w:r w:rsidRPr="00E50F9D">
        <w:rPr>
          <w:rFonts w:ascii="Times New Roman" w:hAnsi="Times New Roman" w:cs="Times New Roman"/>
          <w:sz w:val="24"/>
          <w:szCs w:val="24"/>
          <w:lang w:val="pt-PT"/>
        </w:rPr>
        <w:t>Cerqueiro</w:t>
      </w:r>
      <w:r w:rsidR="00BD2B83" w:rsidRPr="00E50F9D">
        <w:rPr>
          <w:rFonts w:ascii="Times New Roman" w:hAnsi="Times New Roman" w:cs="Times New Roman"/>
          <w:sz w:val="24"/>
          <w:szCs w:val="24"/>
          <w:lang w:val="pt-PT"/>
        </w:rPr>
        <w:t>,</w:t>
      </w:r>
      <w:r w:rsidRPr="00E50F9D">
        <w:rPr>
          <w:rFonts w:ascii="Times New Roman" w:hAnsi="Times New Roman" w:cs="Times New Roman"/>
          <w:sz w:val="24"/>
          <w:szCs w:val="24"/>
          <w:lang w:val="pt-PT"/>
        </w:rPr>
        <w:t xml:space="preserve"> G</w:t>
      </w:r>
      <w:r w:rsidR="00BD2B83" w:rsidRPr="00E50F9D">
        <w:rPr>
          <w:rFonts w:ascii="Times New Roman" w:hAnsi="Times New Roman" w:cs="Times New Roman"/>
          <w:sz w:val="24"/>
          <w:szCs w:val="24"/>
          <w:lang w:val="pt-PT"/>
        </w:rPr>
        <w:t>.</w:t>
      </w:r>
      <w:r w:rsidRPr="00E50F9D">
        <w:rPr>
          <w:rFonts w:ascii="Times New Roman" w:hAnsi="Times New Roman" w:cs="Times New Roman"/>
          <w:sz w:val="24"/>
          <w:szCs w:val="24"/>
          <w:lang w:val="pt-PT"/>
        </w:rPr>
        <w:t>, Degryse</w:t>
      </w:r>
      <w:r w:rsidR="00BD2B83" w:rsidRPr="00E50F9D">
        <w:rPr>
          <w:rFonts w:ascii="Times New Roman" w:hAnsi="Times New Roman" w:cs="Times New Roman"/>
          <w:sz w:val="24"/>
          <w:szCs w:val="24"/>
          <w:lang w:val="pt-PT"/>
        </w:rPr>
        <w:t>,</w:t>
      </w:r>
      <w:r w:rsidRPr="00E50F9D">
        <w:rPr>
          <w:rFonts w:ascii="Times New Roman" w:hAnsi="Times New Roman" w:cs="Times New Roman"/>
          <w:sz w:val="24"/>
          <w:szCs w:val="24"/>
          <w:lang w:val="pt-PT"/>
        </w:rPr>
        <w:t xml:space="preserve"> H</w:t>
      </w:r>
      <w:r w:rsidR="00BD2B83" w:rsidRPr="00E50F9D">
        <w:rPr>
          <w:rFonts w:ascii="Times New Roman" w:hAnsi="Times New Roman" w:cs="Times New Roman"/>
          <w:sz w:val="24"/>
          <w:szCs w:val="24"/>
          <w:lang w:val="pt-PT"/>
        </w:rPr>
        <w:t>.</w:t>
      </w:r>
      <w:r w:rsidR="00237569" w:rsidRPr="00E50F9D">
        <w:rPr>
          <w:rFonts w:ascii="Times New Roman" w:hAnsi="Times New Roman" w:cs="Times New Roman"/>
          <w:sz w:val="24"/>
          <w:szCs w:val="24"/>
          <w:lang w:val="pt-PT"/>
        </w:rPr>
        <w:t>,</w:t>
      </w:r>
      <w:r w:rsidR="00BD2B83" w:rsidRPr="00E50F9D">
        <w:rPr>
          <w:rFonts w:ascii="Times New Roman" w:hAnsi="Times New Roman" w:cs="Times New Roman"/>
          <w:sz w:val="24"/>
          <w:szCs w:val="24"/>
          <w:lang w:val="pt-PT"/>
        </w:rPr>
        <w:t xml:space="preserve"> and</w:t>
      </w:r>
      <w:r w:rsidRPr="00E50F9D">
        <w:rPr>
          <w:rFonts w:ascii="Times New Roman" w:hAnsi="Times New Roman" w:cs="Times New Roman"/>
          <w:sz w:val="24"/>
          <w:szCs w:val="24"/>
          <w:lang w:val="pt-PT"/>
        </w:rPr>
        <w:t xml:space="preserve"> Ongena</w:t>
      </w:r>
      <w:r w:rsidR="00BD2B83" w:rsidRPr="00E50F9D">
        <w:rPr>
          <w:rFonts w:ascii="Times New Roman" w:hAnsi="Times New Roman" w:cs="Times New Roman"/>
          <w:sz w:val="24"/>
          <w:szCs w:val="24"/>
          <w:lang w:val="pt-PT"/>
        </w:rPr>
        <w:t>,</w:t>
      </w:r>
      <w:r w:rsidRPr="00E50F9D">
        <w:rPr>
          <w:rFonts w:ascii="Times New Roman" w:hAnsi="Times New Roman" w:cs="Times New Roman"/>
          <w:sz w:val="24"/>
          <w:szCs w:val="24"/>
          <w:lang w:val="pt-PT"/>
        </w:rPr>
        <w:t xml:space="preserve"> S</w:t>
      </w:r>
      <w:r w:rsidR="00BD2B83" w:rsidRPr="00E50F9D">
        <w:rPr>
          <w:rFonts w:ascii="Times New Roman" w:hAnsi="Times New Roman" w:cs="Times New Roman"/>
          <w:sz w:val="24"/>
          <w:szCs w:val="24"/>
          <w:lang w:val="pt-PT"/>
        </w:rPr>
        <w:t>.</w:t>
      </w:r>
      <w:r w:rsidR="00237569" w:rsidRPr="00E50F9D">
        <w:rPr>
          <w:rFonts w:ascii="Times New Roman" w:hAnsi="Times New Roman" w:cs="Times New Roman"/>
          <w:sz w:val="24"/>
          <w:szCs w:val="24"/>
          <w:lang w:val="pt-PT"/>
        </w:rPr>
        <w:t xml:space="preserve"> </w:t>
      </w:r>
      <w:r w:rsidRPr="00E50F9D">
        <w:rPr>
          <w:rFonts w:ascii="Times New Roman" w:hAnsi="Times New Roman" w:cs="Times New Roman"/>
          <w:sz w:val="24"/>
          <w:szCs w:val="24"/>
          <w:lang w:val="pt-PT"/>
        </w:rPr>
        <w:t>2009</w:t>
      </w:r>
      <w:r w:rsidR="00237569" w:rsidRPr="00E50F9D">
        <w:rPr>
          <w:rFonts w:ascii="Times New Roman" w:hAnsi="Times New Roman" w:cs="Times New Roman"/>
          <w:sz w:val="24"/>
          <w:szCs w:val="24"/>
          <w:lang w:val="pt-PT"/>
        </w:rPr>
        <w:t>.</w:t>
      </w:r>
      <w:r w:rsidRPr="00E50F9D">
        <w:rPr>
          <w:rFonts w:ascii="Times New Roman" w:hAnsi="Times New Roman" w:cs="Times New Roman"/>
          <w:sz w:val="24"/>
          <w:szCs w:val="24"/>
          <w:lang w:val="pt-PT"/>
        </w:rPr>
        <w:t xml:space="preserve"> </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Distance, bank organizational structure, and lending decisions.</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In: Alessandrini</w:t>
      </w:r>
      <w:r w:rsidR="00BD2B83" w:rsidRPr="00E50F9D">
        <w:rPr>
          <w:rFonts w:ascii="Times New Roman" w:hAnsi="Times New Roman" w:cs="Times New Roman"/>
          <w:sz w:val="24"/>
          <w:szCs w:val="24"/>
          <w:lang w:val="en-GB"/>
        </w:rPr>
        <w:t>,</w:t>
      </w:r>
      <w:r w:rsidRPr="00E50F9D">
        <w:rPr>
          <w:rFonts w:ascii="Times New Roman" w:hAnsi="Times New Roman" w:cs="Times New Roman"/>
          <w:sz w:val="24"/>
          <w:szCs w:val="24"/>
          <w:lang w:val="en-US"/>
        </w:rPr>
        <w:t xml:space="preserve"> P</w:t>
      </w:r>
      <w:r w:rsidR="00BD2B83"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Fratianni</w:t>
      </w:r>
      <w:r w:rsidR="00BD2B83"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M</w:t>
      </w:r>
      <w:r w:rsidR="00BD2B83" w:rsidRPr="00E50F9D">
        <w:rPr>
          <w:rFonts w:ascii="Times New Roman" w:hAnsi="Times New Roman" w:cs="Times New Roman"/>
          <w:sz w:val="24"/>
          <w:szCs w:val="24"/>
          <w:lang w:val="en-US"/>
        </w:rPr>
        <w:t>. and</w:t>
      </w:r>
      <w:r w:rsidRPr="00E50F9D">
        <w:rPr>
          <w:rFonts w:ascii="Times New Roman" w:hAnsi="Times New Roman" w:cs="Times New Roman"/>
          <w:sz w:val="24"/>
          <w:szCs w:val="24"/>
          <w:lang w:val="en-US"/>
        </w:rPr>
        <w:t xml:space="preserve"> Zazzaro</w:t>
      </w:r>
      <w:r w:rsidR="00BD2B83"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A</w:t>
      </w:r>
      <w:r w:rsidR="00BD2B83"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(eds.). </w:t>
      </w:r>
      <w:r w:rsidRPr="00E50F9D">
        <w:rPr>
          <w:rFonts w:ascii="Times New Roman" w:hAnsi="Times New Roman" w:cs="Times New Roman"/>
          <w:i/>
          <w:iCs/>
          <w:sz w:val="24"/>
          <w:szCs w:val="24"/>
          <w:lang w:val="en-US"/>
        </w:rPr>
        <w:t>The changing geography of banking and finance</w:t>
      </w:r>
      <w:r w:rsidRPr="00E50F9D">
        <w:rPr>
          <w:rFonts w:ascii="Times New Roman" w:hAnsi="Times New Roman" w:cs="Times New Roman"/>
          <w:sz w:val="24"/>
          <w:szCs w:val="24"/>
          <w:lang w:val="en-US"/>
        </w:rPr>
        <w:t>, New York, Springer, 75-108.</w:t>
      </w:r>
    </w:p>
    <w:p w14:paraId="0A419E80" w14:textId="47A0E19C" w:rsidR="003C503E" w:rsidRPr="00E50F9D" w:rsidRDefault="003C503E" w:rsidP="00237569">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E50F9D">
        <w:rPr>
          <w:rFonts w:ascii="Times New Roman" w:eastAsiaTheme="minorEastAsia" w:hAnsi="Times New Roman" w:cs="Times New Roman"/>
          <w:sz w:val="24"/>
          <w:szCs w:val="24"/>
          <w:lang w:eastAsia="zh-CN"/>
        </w:rPr>
        <w:t>Chiappori</w:t>
      </w:r>
      <w:r w:rsidR="00BD2B83" w:rsidRPr="00E50F9D">
        <w:rPr>
          <w:rFonts w:ascii="Times New Roman" w:eastAsiaTheme="minorEastAsia" w:hAnsi="Times New Roman" w:cs="Times New Roman"/>
          <w:sz w:val="24"/>
          <w:szCs w:val="24"/>
          <w:lang w:eastAsia="zh-CN"/>
        </w:rPr>
        <w:t>,</w:t>
      </w:r>
      <w:r w:rsidRPr="00E50F9D">
        <w:rPr>
          <w:rFonts w:ascii="Times New Roman" w:eastAsiaTheme="minorEastAsia" w:hAnsi="Times New Roman" w:cs="Times New Roman"/>
          <w:sz w:val="24"/>
          <w:szCs w:val="24"/>
          <w:lang w:eastAsia="zh-CN"/>
        </w:rPr>
        <w:t xml:space="preserve"> P</w:t>
      </w:r>
      <w:r w:rsidR="00BD2B83" w:rsidRPr="00E50F9D">
        <w:rPr>
          <w:rFonts w:ascii="Times New Roman" w:eastAsiaTheme="minorEastAsia" w:hAnsi="Times New Roman" w:cs="Times New Roman"/>
          <w:sz w:val="24"/>
          <w:szCs w:val="24"/>
          <w:lang w:eastAsia="zh-CN"/>
        </w:rPr>
        <w:t>.</w:t>
      </w:r>
      <w:r w:rsidRPr="00E50F9D">
        <w:rPr>
          <w:rFonts w:ascii="Times New Roman" w:eastAsiaTheme="minorEastAsia" w:hAnsi="Times New Roman" w:cs="Times New Roman"/>
          <w:sz w:val="24"/>
          <w:szCs w:val="24"/>
          <w:lang w:eastAsia="zh-CN"/>
        </w:rPr>
        <w:t>A</w:t>
      </w:r>
      <w:r w:rsidR="00BD2B83" w:rsidRPr="00E50F9D">
        <w:rPr>
          <w:rFonts w:ascii="Times New Roman" w:eastAsiaTheme="minorEastAsia" w:hAnsi="Times New Roman" w:cs="Times New Roman"/>
          <w:sz w:val="24"/>
          <w:szCs w:val="24"/>
          <w:lang w:eastAsia="zh-CN"/>
        </w:rPr>
        <w:t>.</w:t>
      </w:r>
      <w:r w:rsidRPr="00E50F9D">
        <w:rPr>
          <w:rFonts w:ascii="Times New Roman" w:eastAsiaTheme="minorEastAsia" w:hAnsi="Times New Roman" w:cs="Times New Roman"/>
          <w:sz w:val="24"/>
          <w:szCs w:val="24"/>
          <w:lang w:eastAsia="zh-CN"/>
        </w:rPr>
        <w:t>, Perez-Castrillo</w:t>
      </w:r>
      <w:r w:rsidR="00BD2B83" w:rsidRPr="00E50F9D">
        <w:rPr>
          <w:rFonts w:ascii="Times New Roman" w:eastAsiaTheme="minorEastAsia" w:hAnsi="Times New Roman" w:cs="Times New Roman"/>
          <w:sz w:val="24"/>
          <w:szCs w:val="24"/>
          <w:lang w:eastAsia="zh-CN"/>
        </w:rPr>
        <w:t>,</w:t>
      </w:r>
      <w:r w:rsidRPr="00E50F9D">
        <w:rPr>
          <w:rFonts w:ascii="Times New Roman" w:eastAsiaTheme="minorEastAsia" w:hAnsi="Times New Roman" w:cs="Times New Roman"/>
          <w:sz w:val="24"/>
          <w:szCs w:val="24"/>
          <w:lang w:eastAsia="zh-CN"/>
        </w:rPr>
        <w:t xml:space="preserve"> D</w:t>
      </w:r>
      <w:r w:rsidR="007371D3" w:rsidRPr="00E50F9D">
        <w:rPr>
          <w:rFonts w:ascii="Times New Roman" w:eastAsiaTheme="minorEastAsia" w:hAnsi="Times New Roman" w:cs="Times New Roman"/>
          <w:sz w:val="24"/>
          <w:szCs w:val="24"/>
          <w:lang w:eastAsia="zh-CN"/>
        </w:rPr>
        <w:t>.,</w:t>
      </w:r>
      <w:r w:rsidR="00BD2B83" w:rsidRPr="00E50F9D">
        <w:rPr>
          <w:rFonts w:ascii="Times New Roman" w:eastAsiaTheme="minorEastAsia" w:hAnsi="Times New Roman" w:cs="Times New Roman"/>
          <w:sz w:val="24"/>
          <w:szCs w:val="24"/>
          <w:lang w:eastAsia="zh-CN"/>
        </w:rPr>
        <w:t xml:space="preserve"> and</w:t>
      </w:r>
      <w:r w:rsidRPr="00E50F9D">
        <w:rPr>
          <w:rFonts w:ascii="Times New Roman" w:eastAsiaTheme="minorEastAsia" w:hAnsi="Times New Roman" w:cs="Times New Roman"/>
          <w:sz w:val="24"/>
          <w:szCs w:val="24"/>
          <w:lang w:eastAsia="zh-CN"/>
        </w:rPr>
        <w:t xml:space="preserve"> Verdier</w:t>
      </w:r>
      <w:r w:rsidR="00BD2B83" w:rsidRPr="00E50F9D">
        <w:rPr>
          <w:rFonts w:ascii="Times New Roman" w:eastAsiaTheme="minorEastAsia" w:hAnsi="Times New Roman" w:cs="Times New Roman"/>
          <w:sz w:val="24"/>
          <w:szCs w:val="24"/>
          <w:lang w:eastAsia="zh-CN"/>
        </w:rPr>
        <w:t>,</w:t>
      </w:r>
      <w:r w:rsidRPr="00E50F9D">
        <w:rPr>
          <w:rFonts w:ascii="Times New Roman" w:eastAsiaTheme="minorEastAsia" w:hAnsi="Times New Roman" w:cs="Times New Roman"/>
          <w:sz w:val="24"/>
          <w:szCs w:val="24"/>
          <w:lang w:eastAsia="zh-CN"/>
        </w:rPr>
        <w:t xml:space="preserve"> T</w:t>
      </w:r>
      <w:r w:rsidR="00BD2B83" w:rsidRPr="00E50F9D">
        <w:rPr>
          <w:rFonts w:ascii="Times New Roman" w:eastAsiaTheme="minorEastAsia" w:hAnsi="Times New Roman" w:cs="Times New Roman"/>
          <w:sz w:val="24"/>
          <w:szCs w:val="24"/>
          <w:lang w:eastAsia="zh-CN"/>
        </w:rPr>
        <w:t>.</w:t>
      </w:r>
      <w:r w:rsidR="00237569" w:rsidRPr="00E50F9D">
        <w:rPr>
          <w:rFonts w:ascii="Times New Roman" w:eastAsiaTheme="minorEastAsia" w:hAnsi="Times New Roman" w:cs="Times New Roman"/>
          <w:sz w:val="24"/>
          <w:szCs w:val="24"/>
          <w:lang w:eastAsia="zh-CN"/>
        </w:rPr>
        <w:t xml:space="preserve"> </w:t>
      </w:r>
      <w:r w:rsidRPr="00E50F9D">
        <w:rPr>
          <w:rFonts w:ascii="Times New Roman" w:eastAsiaTheme="minorEastAsia" w:hAnsi="Times New Roman" w:cs="Times New Roman"/>
          <w:sz w:val="24"/>
          <w:szCs w:val="24"/>
          <w:lang w:eastAsia="zh-CN"/>
        </w:rPr>
        <w:t>1995</w:t>
      </w:r>
      <w:r w:rsidR="00237569" w:rsidRPr="00E50F9D">
        <w:rPr>
          <w:rFonts w:ascii="Times New Roman" w:eastAsiaTheme="minorEastAsia" w:hAnsi="Times New Roman" w:cs="Times New Roman"/>
          <w:sz w:val="24"/>
          <w:szCs w:val="24"/>
          <w:lang w:eastAsia="zh-CN"/>
        </w:rPr>
        <w:t>.</w:t>
      </w:r>
      <w:r w:rsidRPr="00E50F9D">
        <w:rPr>
          <w:rFonts w:ascii="Times New Roman" w:eastAsiaTheme="minorEastAsia" w:hAnsi="Times New Roman" w:cs="Times New Roman"/>
          <w:sz w:val="24"/>
          <w:szCs w:val="24"/>
          <w:lang w:eastAsia="zh-CN"/>
        </w:rPr>
        <w:t xml:space="preserve"> </w:t>
      </w:r>
      <w:r w:rsidR="00DF2F04"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 xml:space="preserve">Spatial competition in the banking system: Localization, cross subsidies and </w:t>
      </w:r>
      <w:r w:rsidR="00BD2B83" w:rsidRPr="00E50F9D">
        <w:rPr>
          <w:rFonts w:ascii="Times New Roman" w:eastAsiaTheme="minorEastAsia" w:hAnsi="Times New Roman" w:cs="Times New Roman"/>
          <w:sz w:val="24"/>
          <w:szCs w:val="24"/>
          <w:lang w:val="en-GB" w:eastAsia="zh-CN"/>
        </w:rPr>
        <w:t>the regulation of deposit rates</w:t>
      </w:r>
      <w:r w:rsidR="00237569"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 xml:space="preserve"> </w:t>
      </w:r>
      <w:r w:rsidRPr="00E50F9D">
        <w:rPr>
          <w:rFonts w:ascii="Times New Roman" w:eastAsiaTheme="minorEastAsia" w:hAnsi="Times New Roman" w:cs="Times New Roman"/>
          <w:i/>
          <w:sz w:val="24"/>
          <w:szCs w:val="24"/>
          <w:lang w:val="en-GB" w:eastAsia="zh-CN"/>
        </w:rPr>
        <w:t>European Economic Review</w:t>
      </w:r>
      <w:r w:rsidR="00237569" w:rsidRPr="00E50F9D">
        <w:rPr>
          <w:rFonts w:ascii="Times New Roman" w:eastAsiaTheme="minorEastAsia" w:hAnsi="Times New Roman" w:cs="Times New Roman"/>
          <w:i/>
          <w:sz w:val="24"/>
          <w:szCs w:val="24"/>
          <w:lang w:val="en-GB" w:eastAsia="zh-CN"/>
        </w:rPr>
        <w:t xml:space="preserve"> </w:t>
      </w:r>
      <w:r w:rsidRPr="00E50F9D">
        <w:rPr>
          <w:rFonts w:ascii="Times New Roman" w:eastAsiaTheme="minorEastAsia" w:hAnsi="Times New Roman" w:cs="Times New Roman"/>
          <w:sz w:val="24"/>
          <w:szCs w:val="24"/>
          <w:lang w:val="en-GB" w:eastAsia="zh-CN"/>
        </w:rPr>
        <w:t>39</w:t>
      </w:r>
      <w:r w:rsidR="00237569" w:rsidRPr="00E50F9D">
        <w:rPr>
          <w:rFonts w:ascii="Times New Roman" w:eastAsiaTheme="minorEastAsia" w:hAnsi="Times New Roman" w:cs="Times New Roman"/>
          <w:sz w:val="24"/>
          <w:szCs w:val="24"/>
          <w:lang w:val="en-GB" w:eastAsia="zh-CN"/>
        </w:rPr>
        <w:t>:</w:t>
      </w:r>
      <w:r w:rsidRPr="00E50F9D">
        <w:rPr>
          <w:rFonts w:ascii="Times New Roman" w:eastAsiaTheme="minorEastAsia" w:hAnsi="Times New Roman" w:cs="Times New Roman"/>
          <w:sz w:val="24"/>
          <w:szCs w:val="24"/>
          <w:lang w:val="en-GB" w:eastAsia="zh-CN"/>
        </w:rPr>
        <w:t xml:space="preserve"> 889-918.</w:t>
      </w:r>
    </w:p>
    <w:p w14:paraId="4FF7BA96" w14:textId="77777777" w:rsidR="003C503E" w:rsidRPr="00E50F9D" w:rsidRDefault="003C503E" w:rsidP="003C503E">
      <w:pPr>
        <w:autoSpaceDE w:val="0"/>
        <w:autoSpaceDN w:val="0"/>
        <w:adjustRightInd w:val="0"/>
        <w:spacing w:after="0" w:line="240" w:lineRule="auto"/>
        <w:jc w:val="both"/>
        <w:rPr>
          <w:rFonts w:ascii="Times New Roman" w:hAnsi="Times New Roman" w:cs="Times New Roman"/>
          <w:sz w:val="24"/>
          <w:szCs w:val="24"/>
          <w:lang w:val="en-GB"/>
        </w:rPr>
      </w:pPr>
    </w:p>
    <w:p w14:paraId="6DBDEDD2" w14:textId="10ED061E" w:rsidR="003C503E" w:rsidRPr="00E50F9D" w:rsidRDefault="003C503E" w:rsidP="00237569">
      <w:pPr>
        <w:autoSpaceDE w:val="0"/>
        <w:autoSpaceDN w:val="0"/>
        <w:adjustRightInd w:val="0"/>
        <w:spacing w:after="240" w:line="240" w:lineRule="auto"/>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Chronopoulos</w:t>
      </w:r>
      <w:r w:rsidR="00BD2B83"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D</w:t>
      </w:r>
      <w:r w:rsidR="00BD2B83"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K</w:t>
      </w:r>
      <w:r w:rsidR="00BD2B83"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Liu</w:t>
      </w:r>
      <w:r w:rsidR="00BD2B83"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H</w:t>
      </w:r>
      <w:r w:rsidR="00BD2B83"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McMillan</w:t>
      </w:r>
      <w:r w:rsidR="00BD2B83"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F</w:t>
      </w:r>
      <w:r w:rsidR="00BD2B83"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J</w:t>
      </w:r>
      <w:r w:rsidR="00237569" w:rsidRPr="00E50F9D">
        <w:rPr>
          <w:rFonts w:ascii="Times New Roman" w:hAnsi="Times New Roman" w:cs="Times New Roman"/>
          <w:sz w:val="24"/>
          <w:szCs w:val="24"/>
          <w:lang w:val="en-GB"/>
        </w:rPr>
        <w:t xml:space="preserve">., </w:t>
      </w:r>
      <w:r w:rsidR="00BD2B83" w:rsidRPr="00E50F9D">
        <w:rPr>
          <w:rFonts w:ascii="Times New Roman" w:hAnsi="Times New Roman" w:cs="Times New Roman"/>
          <w:sz w:val="24"/>
          <w:szCs w:val="24"/>
          <w:lang w:val="en-GB"/>
        </w:rPr>
        <w:t>and</w:t>
      </w:r>
      <w:r w:rsidRPr="00E50F9D">
        <w:rPr>
          <w:rFonts w:ascii="Times New Roman" w:hAnsi="Times New Roman" w:cs="Times New Roman"/>
          <w:sz w:val="24"/>
          <w:szCs w:val="24"/>
          <w:lang w:val="en-GB"/>
        </w:rPr>
        <w:t xml:space="preserve"> Wilson</w:t>
      </w:r>
      <w:r w:rsidR="00BD2B83"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J</w:t>
      </w:r>
      <w:r w:rsidR="00BD2B83"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O</w:t>
      </w:r>
      <w:r w:rsidR="00BD2B83"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S</w:t>
      </w:r>
      <w:r w:rsidR="00BD2B83" w:rsidRPr="00E50F9D">
        <w:rPr>
          <w:rFonts w:ascii="Times New Roman" w:hAnsi="Times New Roman" w:cs="Times New Roman"/>
          <w:sz w:val="24"/>
          <w:szCs w:val="24"/>
          <w:lang w:val="en-GB"/>
        </w:rPr>
        <w:t>.</w:t>
      </w:r>
      <w:r w:rsidR="00237569"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201</w:t>
      </w:r>
      <w:r w:rsidR="00130018" w:rsidRPr="00E50F9D">
        <w:rPr>
          <w:rFonts w:ascii="Times New Roman" w:hAnsi="Times New Roman" w:cs="Times New Roman"/>
          <w:sz w:val="24"/>
          <w:szCs w:val="24"/>
          <w:lang w:val="en-GB"/>
        </w:rPr>
        <w:t>5</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The Dynamics of US Bank Profitability</w:t>
      </w:r>
      <w:r w:rsidR="00237569" w:rsidRPr="00E50F9D">
        <w:rPr>
          <w:rFonts w:ascii="Times New Roman" w:hAnsi="Times New Roman" w:cs="Times New Roman"/>
          <w:sz w:val="24"/>
          <w:szCs w:val="24"/>
          <w:lang w:val="en-GB"/>
        </w:rPr>
        <w:t>.”</w:t>
      </w:r>
      <w:r w:rsidRPr="00E50F9D">
        <w:rPr>
          <w:rFonts w:ascii="Times New Roman" w:hAnsi="Times New Roman" w:cs="Times New Roman"/>
          <w:i/>
          <w:sz w:val="24"/>
          <w:szCs w:val="24"/>
          <w:lang w:val="en-GB"/>
        </w:rPr>
        <w:t>European Journal of Finance</w:t>
      </w:r>
      <w:r w:rsidR="00130018" w:rsidRPr="00E50F9D">
        <w:rPr>
          <w:rFonts w:ascii="Times New Roman" w:hAnsi="Times New Roman" w:cs="Times New Roman"/>
          <w:sz w:val="24"/>
          <w:szCs w:val="24"/>
          <w:lang w:val="en-GB"/>
        </w:rPr>
        <w:t xml:space="preserve"> 21(5): 426-443.</w:t>
      </w:r>
    </w:p>
    <w:p w14:paraId="72636033" w14:textId="753C2170" w:rsidR="000B3ABE" w:rsidRPr="00E50F9D" w:rsidRDefault="003C503E" w:rsidP="00237569">
      <w:pPr>
        <w:autoSpaceDE w:val="0"/>
        <w:autoSpaceDN w:val="0"/>
        <w:adjustRightInd w:val="0"/>
        <w:spacing w:after="240" w:line="240" w:lineRule="auto"/>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Coccorese</w:t>
      </w:r>
      <w:r w:rsidR="00BD2B83"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P</w:t>
      </w:r>
      <w:r w:rsidR="00BD2B83" w:rsidRPr="00E50F9D">
        <w:rPr>
          <w:rFonts w:ascii="Times New Roman" w:hAnsi="Times New Roman" w:cs="Times New Roman"/>
          <w:sz w:val="24"/>
          <w:szCs w:val="24"/>
          <w:lang w:val="en-GB"/>
        </w:rPr>
        <w:t>.</w:t>
      </w:r>
      <w:r w:rsidR="00237569"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2009</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Market power in local banking monopolies</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w:t>
      </w:r>
      <w:r w:rsidRPr="00E50F9D">
        <w:rPr>
          <w:rFonts w:ascii="Times New Roman" w:hAnsi="Times New Roman" w:cs="Times New Roman"/>
          <w:i/>
          <w:sz w:val="24"/>
          <w:szCs w:val="24"/>
          <w:lang w:val="en-GB"/>
        </w:rPr>
        <w:t>Journal of Banking &amp; Finance</w:t>
      </w:r>
      <w:r w:rsidR="00237569" w:rsidRPr="00E50F9D">
        <w:rPr>
          <w:rFonts w:ascii="Times New Roman" w:hAnsi="Times New Roman" w:cs="Times New Roman"/>
          <w:i/>
          <w:sz w:val="24"/>
          <w:szCs w:val="24"/>
          <w:lang w:val="en-GB"/>
        </w:rPr>
        <w:t xml:space="preserve"> </w:t>
      </w:r>
      <w:r w:rsidRPr="00E50F9D">
        <w:rPr>
          <w:rFonts w:ascii="Times New Roman" w:hAnsi="Times New Roman" w:cs="Times New Roman"/>
          <w:sz w:val="24"/>
          <w:szCs w:val="24"/>
          <w:lang w:val="en-GB"/>
        </w:rPr>
        <w:t>33(7)</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1196-1210.</w:t>
      </w:r>
    </w:p>
    <w:p w14:paraId="1D44D99D" w14:textId="168A84DC" w:rsidR="008D3E01" w:rsidRPr="00E50F9D" w:rsidRDefault="007B673C" w:rsidP="00237569">
      <w:pPr>
        <w:autoSpaceDE w:val="0"/>
        <w:autoSpaceDN w:val="0"/>
        <w:adjustRightInd w:val="0"/>
        <w:spacing w:after="240" w:line="240" w:lineRule="auto"/>
        <w:jc w:val="both"/>
        <w:rPr>
          <w:rFonts w:ascii="Times New Roman" w:hAnsi="Times New Roman" w:cs="Times New Roman"/>
          <w:sz w:val="24"/>
          <w:szCs w:val="24"/>
          <w:lang w:val="en-US"/>
        </w:rPr>
      </w:pPr>
      <w:r w:rsidRPr="00E50F9D">
        <w:rPr>
          <w:rFonts w:ascii="Times New Roman" w:hAnsi="Times New Roman" w:cs="Times New Roman"/>
          <w:sz w:val="24"/>
          <w:szCs w:val="24"/>
        </w:rPr>
        <w:t>Coccorese, P.</w:t>
      </w:r>
      <w:r w:rsidR="00237569" w:rsidRPr="00E50F9D">
        <w:rPr>
          <w:rFonts w:ascii="Times New Roman" w:hAnsi="Times New Roman" w:cs="Times New Roman"/>
          <w:sz w:val="24"/>
          <w:szCs w:val="24"/>
        </w:rPr>
        <w:t>,</w:t>
      </w:r>
      <w:r w:rsidRPr="00E50F9D">
        <w:rPr>
          <w:rFonts w:ascii="Times New Roman" w:hAnsi="Times New Roman" w:cs="Times New Roman"/>
          <w:sz w:val="24"/>
          <w:szCs w:val="24"/>
        </w:rPr>
        <w:t xml:space="preserve"> and</w:t>
      </w:r>
      <w:r w:rsidR="008D3E01" w:rsidRPr="00E50F9D">
        <w:rPr>
          <w:rFonts w:ascii="Times New Roman" w:hAnsi="Times New Roman" w:cs="Times New Roman"/>
          <w:sz w:val="24"/>
          <w:szCs w:val="24"/>
        </w:rPr>
        <w:t xml:space="preserve"> Pellecchia, A. 2009. </w:t>
      </w:r>
      <w:r w:rsidR="00237569" w:rsidRPr="00E50F9D">
        <w:rPr>
          <w:rFonts w:ascii="Times New Roman" w:hAnsi="Times New Roman" w:cs="Times New Roman"/>
          <w:sz w:val="24"/>
          <w:szCs w:val="24"/>
          <w:lang w:val="en-GB"/>
        </w:rPr>
        <w:t>“</w:t>
      </w:r>
      <w:r w:rsidR="008D3E01" w:rsidRPr="00E50F9D">
        <w:rPr>
          <w:rFonts w:ascii="Times New Roman" w:hAnsi="Times New Roman" w:cs="Times New Roman"/>
          <w:sz w:val="24"/>
          <w:szCs w:val="24"/>
          <w:lang w:val="en-US"/>
        </w:rPr>
        <w:t>Multimarket contact and profitability in banking: Evidence from Italy.</w:t>
      </w:r>
      <w:r w:rsidR="00237569" w:rsidRPr="00E50F9D">
        <w:rPr>
          <w:rFonts w:ascii="Times New Roman" w:hAnsi="Times New Roman" w:cs="Times New Roman"/>
          <w:sz w:val="24"/>
          <w:szCs w:val="24"/>
          <w:lang w:val="en-US"/>
        </w:rPr>
        <w:t>”</w:t>
      </w:r>
      <w:r w:rsidR="008D3E01" w:rsidRPr="00E50F9D">
        <w:rPr>
          <w:rFonts w:ascii="Times New Roman" w:hAnsi="Times New Roman" w:cs="Times New Roman"/>
          <w:sz w:val="24"/>
          <w:szCs w:val="24"/>
          <w:lang w:val="en-US"/>
        </w:rPr>
        <w:t xml:space="preserve"> </w:t>
      </w:r>
      <w:r w:rsidR="008D3E01" w:rsidRPr="00E50F9D">
        <w:rPr>
          <w:rFonts w:ascii="Times New Roman" w:hAnsi="Times New Roman" w:cs="Times New Roman"/>
          <w:i/>
          <w:iCs/>
          <w:sz w:val="24"/>
          <w:szCs w:val="24"/>
          <w:lang w:val="en-US"/>
        </w:rPr>
        <w:t>Journal of Financial Services Research</w:t>
      </w:r>
      <w:r w:rsidR="008D3E01" w:rsidRPr="00E50F9D">
        <w:rPr>
          <w:rFonts w:ascii="Times New Roman" w:hAnsi="Times New Roman" w:cs="Times New Roman"/>
          <w:sz w:val="24"/>
          <w:szCs w:val="24"/>
          <w:lang w:val="en-US"/>
        </w:rPr>
        <w:t xml:space="preserve"> 35</w:t>
      </w:r>
      <w:r w:rsidR="00237569" w:rsidRPr="00E50F9D">
        <w:rPr>
          <w:rFonts w:ascii="Times New Roman" w:hAnsi="Times New Roman" w:cs="Times New Roman"/>
          <w:sz w:val="24"/>
          <w:szCs w:val="24"/>
          <w:lang w:val="en-US"/>
        </w:rPr>
        <w:t xml:space="preserve">: </w:t>
      </w:r>
      <w:r w:rsidR="008D3E01" w:rsidRPr="00E50F9D">
        <w:rPr>
          <w:rFonts w:ascii="Times New Roman" w:hAnsi="Times New Roman" w:cs="Times New Roman"/>
          <w:sz w:val="24"/>
          <w:szCs w:val="24"/>
          <w:lang w:val="en-US"/>
        </w:rPr>
        <w:t>245-271.</w:t>
      </w:r>
    </w:p>
    <w:p w14:paraId="4C4095C9" w14:textId="468004F5" w:rsidR="000B3ABE" w:rsidRPr="00E50F9D" w:rsidRDefault="00237569" w:rsidP="00237569">
      <w:pPr>
        <w:autoSpaceDE w:val="0"/>
        <w:autoSpaceDN w:val="0"/>
        <w:adjustRightInd w:val="0"/>
        <w:spacing w:after="240" w:line="240" w:lineRule="auto"/>
        <w:jc w:val="both"/>
        <w:rPr>
          <w:rFonts w:ascii="Times New Roman" w:hAnsi="Times New Roman" w:cs="Times New Roman"/>
          <w:sz w:val="24"/>
          <w:szCs w:val="24"/>
          <w:lang w:val="en-US"/>
        </w:rPr>
      </w:pPr>
      <w:r w:rsidRPr="00E50F9D">
        <w:rPr>
          <w:rFonts w:ascii="Times New Roman" w:hAnsi="Times New Roman" w:cs="Times New Roman"/>
          <w:sz w:val="24"/>
          <w:szCs w:val="24"/>
        </w:rPr>
        <w:t>Coccorese, P., and Pellecchia, A. 2013</w:t>
      </w:r>
      <w:r w:rsidR="000B3ABE" w:rsidRPr="00E50F9D">
        <w:rPr>
          <w:rFonts w:ascii="Times New Roman" w:hAnsi="Times New Roman" w:cs="Times New Roman"/>
          <w:sz w:val="24"/>
          <w:szCs w:val="24"/>
        </w:rPr>
        <w:t xml:space="preserve">. </w:t>
      </w:r>
      <w:r w:rsidRPr="00E50F9D">
        <w:rPr>
          <w:rFonts w:ascii="Times New Roman" w:hAnsi="Times New Roman" w:cs="Times New Roman"/>
          <w:sz w:val="24"/>
          <w:szCs w:val="24"/>
          <w:lang w:val="en-GB"/>
        </w:rPr>
        <w:t>“</w:t>
      </w:r>
      <w:r w:rsidR="000B3ABE" w:rsidRPr="00E50F9D">
        <w:rPr>
          <w:rFonts w:ascii="Times New Roman" w:hAnsi="Times New Roman" w:cs="Times New Roman"/>
          <w:sz w:val="24"/>
          <w:szCs w:val="24"/>
          <w:lang w:val="en-US"/>
        </w:rPr>
        <w:t>Multimarket contact, competition and pricing in banking.</w:t>
      </w:r>
      <w:r w:rsidRPr="00E50F9D">
        <w:rPr>
          <w:rFonts w:ascii="Times New Roman" w:hAnsi="Times New Roman" w:cs="Times New Roman"/>
          <w:sz w:val="24"/>
          <w:szCs w:val="24"/>
          <w:lang w:val="en-US"/>
        </w:rPr>
        <w:t>”</w:t>
      </w:r>
      <w:r w:rsidR="000B3ABE" w:rsidRPr="00E50F9D">
        <w:rPr>
          <w:rFonts w:ascii="Times New Roman" w:hAnsi="Times New Roman" w:cs="Times New Roman"/>
          <w:sz w:val="24"/>
          <w:szCs w:val="24"/>
          <w:lang w:val="en-US"/>
        </w:rPr>
        <w:t xml:space="preserve"> </w:t>
      </w:r>
      <w:r w:rsidR="000B3ABE" w:rsidRPr="00E50F9D">
        <w:rPr>
          <w:rFonts w:ascii="Times New Roman" w:hAnsi="Times New Roman" w:cs="Times New Roman"/>
          <w:i/>
          <w:iCs/>
          <w:sz w:val="24"/>
          <w:szCs w:val="24"/>
          <w:lang w:val="en-US"/>
        </w:rPr>
        <w:t>Journal of International Money and Finance</w:t>
      </w:r>
      <w:r w:rsidR="000B3ABE" w:rsidRPr="00E50F9D">
        <w:rPr>
          <w:rFonts w:ascii="Times New Roman" w:hAnsi="Times New Roman" w:cs="Times New Roman"/>
          <w:sz w:val="24"/>
          <w:szCs w:val="24"/>
          <w:lang w:val="en-US"/>
        </w:rPr>
        <w:t xml:space="preserve"> 37</w:t>
      </w:r>
      <w:r w:rsidRPr="00E50F9D">
        <w:rPr>
          <w:rFonts w:ascii="Times New Roman" w:hAnsi="Times New Roman" w:cs="Times New Roman"/>
          <w:sz w:val="24"/>
          <w:szCs w:val="24"/>
          <w:lang w:val="en-US"/>
        </w:rPr>
        <w:t>:</w:t>
      </w:r>
      <w:r w:rsidR="000B3ABE" w:rsidRPr="00E50F9D">
        <w:rPr>
          <w:rFonts w:ascii="Times New Roman" w:hAnsi="Times New Roman" w:cs="Times New Roman"/>
          <w:sz w:val="24"/>
          <w:szCs w:val="24"/>
          <w:lang w:val="en-US"/>
        </w:rPr>
        <w:t xml:space="preserve"> 187-214.</w:t>
      </w:r>
    </w:p>
    <w:p w14:paraId="48E783D4" w14:textId="06848C44" w:rsidR="003C503E" w:rsidRPr="00E50F9D" w:rsidRDefault="003C503E" w:rsidP="00237569">
      <w:pPr>
        <w:autoSpaceDE w:val="0"/>
        <w:autoSpaceDN w:val="0"/>
        <w:adjustRightInd w:val="0"/>
        <w:spacing w:after="240" w:line="240" w:lineRule="auto"/>
        <w:jc w:val="both"/>
        <w:rPr>
          <w:rFonts w:ascii="Times New Roman" w:hAnsi="Times New Roman" w:cs="Times New Roman"/>
          <w:sz w:val="24"/>
          <w:szCs w:val="24"/>
          <w:lang w:val="en-GB"/>
        </w:rPr>
      </w:pPr>
      <w:r w:rsidRPr="00E50F9D">
        <w:rPr>
          <w:rFonts w:ascii="Times New Roman" w:hAnsi="Times New Roman" w:cs="Times New Roman"/>
          <w:sz w:val="24"/>
          <w:szCs w:val="24"/>
          <w:lang w:val="en-US"/>
        </w:rPr>
        <w:t>Corvoisier</w:t>
      </w:r>
      <w:r w:rsidR="00BD2B83"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S</w:t>
      </w:r>
      <w:r w:rsidR="00BD2B83" w:rsidRPr="00E50F9D">
        <w:rPr>
          <w:rFonts w:ascii="Times New Roman" w:hAnsi="Times New Roman" w:cs="Times New Roman"/>
          <w:sz w:val="24"/>
          <w:szCs w:val="24"/>
          <w:lang w:val="en-US"/>
        </w:rPr>
        <w:t>.</w:t>
      </w:r>
      <w:r w:rsidR="00237569" w:rsidRPr="00E50F9D">
        <w:rPr>
          <w:rFonts w:ascii="Times New Roman" w:hAnsi="Times New Roman" w:cs="Times New Roman"/>
          <w:sz w:val="24"/>
          <w:szCs w:val="24"/>
          <w:lang w:val="en-US"/>
        </w:rPr>
        <w:t>,</w:t>
      </w:r>
      <w:r w:rsidR="00BD2B83" w:rsidRPr="00E50F9D">
        <w:rPr>
          <w:rFonts w:ascii="Times New Roman" w:hAnsi="Times New Roman" w:cs="Times New Roman"/>
          <w:sz w:val="24"/>
          <w:szCs w:val="24"/>
          <w:lang w:val="en-US"/>
        </w:rPr>
        <w:t xml:space="preserve"> and</w:t>
      </w:r>
      <w:r w:rsidRPr="00E50F9D">
        <w:rPr>
          <w:rFonts w:ascii="Times New Roman" w:hAnsi="Times New Roman" w:cs="Times New Roman"/>
          <w:sz w:val="24"/>
          <w:szCs w:val="24"/>
          <w:lang w:val="en-US"/>
        </w:rPr>
        <w:t xml:space="preserve"> Gropp</w:t>
      </w:r>
      <w:r w:rsidR="00BD2B83"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R</w:t>
      </w:r>
      <w:r w:rsidR="00BD2B83" w:rsidRPr="00E50F9D">
        <w:rPr>
          <w:rFonts w:ascii="Times New Roman" w:hAnsi="Times New Roman" w:cs="Times New Roman"/>
          <w:sz w:val="24"/>
          <w:szCs w:val="24"/>
          <w:lang w:val="en-US"/>
        </w:rPr>
        <w:t>.</w:t>
      </w:r>
      <w:r w:rsidR="00237569" w:rsidRPr="00E50F9D">
        <w:rPr>
          <w:rFonts w:ascii="Times New Roman" w:hAnsi="Times New Roman" w:cs="Times New Roman"/>
          <w:sz w:val="24"/>
          <w:szCs w:val="24"/>
          <w:lang w:val="en-US"/>
        </w:rPr>
        <w:t xml:space="preserve"> </w:t>
      </w:r>
      <w:r w:rsidRPr="00E50F9D">
        <w:rPr>
          <w:rFonts w:ascii="Times New Roman" w:hAnsi="Times New Roman" w:cs="Times New Roman"/>
          <w:sz w:val="24"/>
          <w:szCs w:val="24"/>
          <w:lang w:val="en-US"/>
        </w:rPr>
        <w:t>2009</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w:t>
      </w:r>
      <w:r w:rsidRPr="00E50F9D">
        <w:rPr>
          <w:rFonts w:ascii="Times New Roman" w:hAnsi="Times New Roman" w:cs="Times New Roman"/>
          <w:i/>
          <w:iCs/>
          <w:sz w:val="24"/>
          <w:szCs w:val="24"/>
          <w:lang w:val="en-US"/>
        </w:rPr>
        <w:t>Contestability, technology and banking</w:t>
      </w:r>
      <w:r w:rsidRPr="00E50F9D">
        <w:rPr>
          <w:rFonts w:ascii="Times New Roman" w:hAnsi="Times New Roman" w:cs="Times New Roman"/>
          <w:sz w:val="24"/>
          <w:szCs w:val="24"/>
          <w:lang w:val="en-US"/>
        </w:rPr>
        <w:t xml:space="preserve">. </w:t>
      </w:r>
      <w:r w:rsidRPr="00E50F9D">
        <w:rPr>
          <w:rFonts w:ascii="Times New Roman" w:hAnsi="Times New Roman" w:cs="Times New Roman"/>
          <w:sz w:val="24"/>
          <w:szCs w:val="24"/>
          <w:lang w:val="en-GB"/>
        </w:rPr>
        <w:t>Discussion Paper No. 09-007, ZEW.</w:t>
      </w:r>
    </w:p>
    <w:p w14:paraId="008A81C7" w14:textId="5F2F2342" w:rsidR="003C503E" w:rsidRPr="00E50F9D" w:rsidRDefault="003C503E" w:rsidP="00237569">
      <w:pPr>
        <w:pStyle w:val="NormalWeb"/>
        <w:spacing w:before="0" w:beforeAutospacing="0" w:after="150" w:afterAutospacing="0" w:line="257" w:lineRule="atLeast"/>
        <w:jc w:val="both"/>
        <w:rPr>
          <w:rFonts w:ascii="Times New Roman" w:hAnsi="Times New Roman"/>
          <w:lang w:val="en-GB"/>
        </w:rPr>
      </w:pPr>
      <w:r w:rsidRPr="00E50F9D">
        <w:rPr>
          <w:rFonts w:ascii="Times New Roman" w:hAnsi="Times New Roman"/>
          <w:lang w:val="en-GB"/>
        </w:rPr>
        <w:t>Degl'Innocenti</w:t>
      </w:r>
      <w:r w:rsidR="00BD2B83" w:rsidRPr="00E50F9D">
        <w:rPr>
          <w:rFonts w:ascii="Times New Roman" w:hAnsi="Times New Roman"/>
          <w:lang w:val="en-GB"/>
        </w:rPr>
        <w:t>,</w:t>
      </w:r>
      <w:r w:rsidRPr="00E50F9D">
        <w:rPr>
          <w:rFonts w:ascii="Times New Roman" w:hAnsi="Times New Roman"/>
          <w:lang w:val="en-GB"/>
        </w:rPr>
        <w:t xml:space="preserve"> M</w:t>
      </w:r>
      <w:r w:rsidR="00BD2B83" w:rsidRPr="00E50F9D">
        <w:rPr>
          <w:rFonts w:ascii="Times New Roman" w:hAnsi="Times New Roman"/>
          <w:lang w:val="en-GB"/>
        </w:rPr>
        <w:t>.</w:t>
      </w:r>
      <w:r w:rsidRPr="00E50F9D">
        <w:rPr>
          <w:rFonts w:ascii="Times New Roman" w:hAnsi="Times New Roman"/>
          <w:lang w:val="en-GB"/>
        </w:rPr>
        <w:t>, Girardone</w:t>
      </w:r>
      <w:r w:rsidR="00BD2B83" w:rsidRPr="00E50F9D">
        <w:rPr>
          <w:rFonts w:ascii="Times New Roman" w:hAnsi="Times New Roman"/>
          <w:lang w:val="en-GB"/>
        </w:rPr>
        <w:t>,</w:t>
      </w:r>
      <w:r w:rsidRPr="00E50F9D">
        <w:rPr>
          <w:rFonts w:ascii="Times New Roman" w:hAnsi="Times New Roman"/>
          <w:lang w:val="en-GB"/>
        </w:rPr>
        <w:t xml:space="preserve"> C</w:t>
      </w:r>
      <w:r w:rsidR="00BD2B83" w:rsidRPr="00E50F9D">
        <w:rPr>
          <w:rFonts w:ascii="Times New Roman" w:hAnsi="Times New Roman"/>
          <w:lang w:val="en-GB"/>
        </w:rPr>
        <w:t>.</w:t>
      </w:r>
      <w:r w:rsidR="00237569" w:rsidRPr="00E50F9D">
        <w:rPr>
          <w:rFonts w:ascii="Times New Roman" w:hAnsi="Times New Roman"/>
          <w:lang w:val="en-GB"/>
        </w:rPr>
        <w:t>,</w:t>
      </w:r>
      <w:r w:rsidR="00BD2B83" w:rsidRPr="00E50F9D">
        <w:rPr>
          <w:rFonts w:ascii="Times New Roman" w:hAnsi="Times New Roman"/>
          <w:lang w:val="en-GB"/>
        </w:rPr>
        <w:t xml:space="preserve"> and</w:t>
      </w:r>
      <w:r w:rsidRPr="00E50F9D">
        <w:rPr>
          <w:rFonts w:ascii="Times New Roman" w:hAnsi="Times New Roman"/>
          <w:lang w:val="en-GB"/>
        </w:rPr>
        <w:t xml:space="preserve"> Torluccio</w:t>
      </w:r>
      <w:r w:rsidR="00BD2B83" w:rsidRPr="00E50F9D">
        <w:rPr>
          <w:rFonts w:ascii="Times New Roman" w:hAnsi="Times New Roman"/>
          <w:lang w:val="en-GB"/>
        </w:rPr>
        <w:t>,</w:t>
      </w:r>
      <w:r w:rsidRPr="00E50F9D">
        <w:rPr>
          <w:rFonts w:ascii="Times New Roman" w:hAnsi="Times New Roman"/>
          <w:lang w:val="en-GB"/>
        </w:rPr>
        <w:t xml:space="preserve"> G</w:t>
      </w:r>
      <w:r w:rsidR="00BD2B83" w:rsidRPr="00E50F9D">
        <w:rPr>
          <w:rFonts w:ascii="Times New Roman" w:hAnsi="Times New Roman"/>
          <w:lang w:val="en-GB"/>
        </w:rPr>
        <w:t>.</w:t>
      </w:r>
      <w:r w:rsidRPr="00E50F9D">
        <w:rPr>
          <w:rFonts w:ascii="Times New Roman" w:hAnsi="Times New Roman"/>
          <w:lang w:val="en-GB"/>
        </w:rPr>
        <w:t xml:space="preserve"> 2014</w:t>
      </w:r>
      <w:r w:rsidR="00237569" w:rsidRPr="00E50F9D">
        <w:rPr>
          <w:rFonts w:ascii="Times New Roman" w:hAnsi="Times New Roman"/>
          <w:lang w:val="en-GB"/>
        </w:rPr>
        <w:t>.</w:t>
      </w:r>
      <w:r w:rsidRPr="00E50F9D">
        <w:rPr>
          <w:rFonts w:ascii="Times New Roman" w:hAnsi="Times New Roman"/>
          <w:lang w:val="en-GB"/>
        </w:rPr>
        <w:t> </w:t>
      </w:r>
      <w:r w:rsidR="00237569" w:rsidRPr="00E50F9D">
        <w:rPr>
          <w:rFonts w:ascii="Times New Roman" w:hAnsi="Times New Roman"/>
          <w:lang w:val="en-GB"/>
        </w:rPr>
        <w:t>“</w:t>
      </w:r>
      <w:hyperlink r:id="rId17" w:history="1">
        <w:r w:rsidRPr="00E50F9D">
          <w:rPr>
            <w:rFonts w:ascii="Times New Roman" w:hAnsi="Times New Roman"/>
            <w:lang w:val="en-GB"/>
          </w:rPr>
          <w:t>Diversification, multimarket contacts and profits in the leasing industry</w:t>
        </w:r>
        <w:r w:rsidR="00237569" w:rsidRPr="00E50F9D">
          <w:rPr>
            <w:rFonts w:ascii="Times New Roman" w:hAnsi="Times New Roman"/>
            <w:lang w:val="en-GB"/>
          </w:rPr>
          <w:t>.”</w:t>
        </w:r>
      </w:hyperlink>
      <w:r w:rsidRPr="00E50F9D">
        <w:rPr>
          <w:rFonts w:ascii="Times New Roman" w:hAnsi="Times New Roman"/>
          <w:lang w:val="en-GB"/>
        </w:rPr>
        <w:t> J</w:t>
      </w:r>
      <w:r w:rsidRPr="00E50F9D">
        <w:rPr>
          <w:rFonts w:ascii="Times New Roman" w:hAnsi="Times New Roman"/>
          <w:i/>
          <w:iCs/>
          <w:lang w:val="en-GB"/>
        </w:rPr>
        <w:t>ournal of International Financial Markets, Institutions and Money</w:t>
      </w:r>
      <w:r w:rsidR="00237569" w:rsidRPr="00E50F9D">
        <w:rPr>
          <w:rFonts w:ascii="Times New Roman" w:hAnsi="Times New Roman"/>
          <w:i/>
          <w:iCs/>
          <w:lang w:val="en-GB"/>
        </w:rPr>
        <w:t xml:space="preserve"> </w:t>
      </w:r>
      <w:r w:rsidRPr="00E50F9D">
        <w:rPr>
          <w:rFonts w:ascii="Times New Roman" w:hAnsi="Times New Roman"/>
          <w:lang w:val="en-GB"/>
        </w:rPr>
        <w:t>31</w:t>
      </w:r>
      <w:r w:rsidR="00237569" w:rsidRPr="00E50F9D">
        <w:rPr>
          <w:rFonts w:ascii="Times New Roman" w:hAnsi="Times New Roman"/>
          <w:lang w:val="en-GB"/>
        </w:rPr>
        <w:t>:</w:t>
      </w:r>
      <w:r w:rsidRPr="00E50F9D">
        <w:rPr>
          <w:rFonts w:ascii="Times New Roman" w:hAnsi="Times New Roman"/>
          <w:lang w:val="en-GB"/>
        </w:rPr>
        <w:t xml:space="preserve"> 231-252. </w:t>
      </w:r>
    </w:p>
    <w:p w14:paraId="5CA160D2" w14:textId="7E06220D" w:rsidR="003C503E" w:rsidRPr="00E50F9D" w:rsidRDefault="003C503E" w:rsidP="00237569">
      <w:pPr>
        <w:autoSpaceDE w:val="0"/>
        <w:autoSpaceDN w:val="0"/>
        <w:adjustRightInd w:val="0"/>
        <w:spacing w:after="240" w:line="240" w:lineRule="auto"/>
        <w:jc w:val="both"/>
        <w:rPr>
          <w:rFonts w:ascii="Times New Roman" w:hAnsi="Times New Roman" w:cs="Times New Roman"/>
          <w:sz w:val="24"/>
          <w:szCs w:val="24"/>
          <w:lang w:val="en-US"/>
        </w:rPr>
      </w:pPr>
      <w:r w:rsidRPr="00E50F9D">
        <w:rPr>
          <w:rFonts w:ascii="Times New Roman" w:hAnsi="Times New Roman" w:cs="Times New Roman"/>
          <w:sz w:val="24"/>
          <w:szCs w:val="24"/>
          <w:lang w:val="en-GB"/>
        </w:rPr>
        <w:t>Degryse</w:t>
      </w:r>
      <w:r w:rsidR="001A6278"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H</w:t>
      </w:r>
      <w:r w:rsidR="001A6278"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Á</w:t>
      </w:r>
      <w:r w:rsidR="001A6278" w:rsidRPr="00E50F9D">
        <w:rPr>
          <w:rFonts w:ascii="Times New Roman" w:hAnsi="Times New Roman" w:cs="Times New Roman"/>
          <w:sz w:val="24"/>
          <w:szCs w:val="24"/>
          <w:lang w:val="en-GB"/>
        </w:rPr>
        <w:t>.</w:t>
      </w:r>
      <w:r w:rsidR="00237569" w:rsidRPr="00E50F9D">
        <w:rPr>
          <w:rFonts w:ascii="Times New Roman" w:hAnsi="Times New Roman" w:cs="Times New Roman"/>
          <w:sz w:val="24"/>
          <w:szCs w:val="24"/>
          <w:lang w:val="en-GB"/>
        </w:rPr>
        <w:t>,</w:t>
      </w:r>
      <w:r w:rsidR="001A6278" w:rsidRPr="00E50F9D">
        <w:rPr>
          <w:rFonts w:ascii="Times New Roman" w:hAnsi="Times New Roman" w:cs="Times New Roman"/>
          <w:sz w:val="24"/>
          <w:szCs w:val="24"/>
          <w:lang w:val="en-GB"/>
        </w:rPr>
        <w:t xml:space="preserve"> and</w:t>
      </w:r>
      <w:r w:rsidRPr="00E50F9D">
        <w:rPr>
          <w:rFonts w:ascii="Times New Roman" w:hAnsi="Times New Roman" w:cs="Times New Roman"/>
          <w:sz w:val="24"/>
          <w:szCs w:val="24"/>
          <w:lang w:val="en-GB"/>
        </w:rPr>
        <w:t xml:space="preserve"> Ongena</w:t>
      </w:r>
      <w:r w:rsidR="001A6278"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S</w:t>
      </w:r>
      <w:r w:rsidR="001A6278" w:rsidRPr="00E50F9D">
        <w:rPr>
          <w:rFonts w:ascii="Times New Roman" w:hAnsi="Times New Roman" w:cs="Times New Roman"/>
          <w:sz w:val="24"/>
          <w:szCs w:val="24"/>
          <w:lang w:val="en-GB"/>
        </w:rPr>
        <w:t>.</w:t>
      </w:r>
      <w:r w:rsidR="00237569"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2005</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US"/>
        </w:rPr>
        <w:t>Distance, lending relationship, and competition</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w:t>
      </w:r>
      <w:r w:rsidRPr="00E50F9D">
        <w:rPr>
          <w:rFonts w:ascii="Times New Roman" w:hAnsi="Times New Roman" w:cs="Times New Roman"/>
          <w:i/>
          <w:sz w:val="24"/>
          <w:szCs w:val="24"/>
          <w:lang w:val="en-US"/>
        </w:rPr>
        <w:t>Journal of Finance</w:t>
      </w:r>
      <w:r w:rsidRPr="00E50F9D">
        <w:rPr>
          <w:rFonts w:ascii="Times New Roman" w:hAnsi="Times New Roman" w:cs="Times New Roman"/>
          <w:sz w:val="24"/>
          <w:szCs w:val="24"/>
          <w:lang w:val="en-US"/>
        </w:rPr>
        <w:t xml:space="preserve"> 60</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231–266.</w:t>
      </w:r>
    </w:p>
    <w:p w14:paraId="360C349A" w14:textId="57217951" w:rsidR="003C503E" w:rsidRPr="00E50F9D" w:rsidRDefault="003C503E" w:rsidP="00237569">
      <w:pPr>
        <w:autoSpaceDE w:val="0"/>
        <w:autoSpaceDN w:val="0"/>
        <w:adjustRightInd w:val="0"/>
        <w:spacing w:after="240" w:line="240" w:lineRule="auto"/>
        <w:jc w:val="both"/>
        <w:rPr>
          <w:rFonts w:ascii="Times New Roman" w:hAnsi="Times New Roman" w:cs="Times New Roman"/>
          <w:sz w:val="24"/>
          <w:szCs w:val="24"/>
          <w:lang w:val="en-US"/>
        </w:rPr>
      </w:pPr>
      <w:r w:rsidRPr="00E50F9D">
        <w:rPr>
          <w:rFonts w:ascii="Times New Roman" w:hAnsi="Times New Roman" w:cs="Times New Roman"/>
          <w:sz w:val="24"/>
          <w:szCs w:val="24"/>
          <w:lang w:val="en-US"/>
        </w:rPr>
        <w:t>Dell’Ariccia</w:t>
      </w:r>
      <w:r w:rsidR="001A6278"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G</w:t>
      </w:r>
      <w:r w:rsidR="001A6278" w:rsidRPr="00E50F9D">
        <w:rPr>
          <w:rFonts w:ascii="Times New Roman" w:hAnsi="Times New Roman" w:cs="Times New Roman"/>
          <w:sz w:val="24"/>
          <w:szCs w:val="24"/>
          <w:lang w:val="en-US"/>
        </w:rPr>
        <w:t>.</w:t>
      </w:r>
      <w:r w:rsidR="00237569" w:rsidRPr="00E50F9D">
        <w:rPr>
          <w:rFonts w:ascii="Times New Roman" w:hAnsi="Times New Roman" w:cs="Times New Roman"/>
          <w:sz w:val="24"/>
          <w:szCs w:val="24"/>
          <w:lang w:val="en-US"/>
        </w:rPr>
        <w:t xml:space="preserve"> 2001.</w:t>
      </w:r>
      <w:r w:rsidRPr="00E50F9D">
        <w:rPr>
          <w:rFonts w:ascii="Times New Roman" w:hAnsi="Times New Roman" w:cs="Times New Roman"/>
          <w:sz w:val="24"/>
          <w:szCs w:val="24"/>
          <w:lang w:val="en-US"/>
        </w:rPr>
        <w:t xml:space="preserve"> </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Asymmetric information and the structure of the banking industry</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w:t>
      </w:r>
      <w:r w:rsidRPr="00E50F9D">
        <w:rPr>
          <w:rFonts w:ascii="Times New Roman" w:hAnsi="Times New Roman" w:cs="Times New Roman"/>
          <w:i/>
          <w:sz w:val="24"/>
          <w:szCs w:val="24"/>
          <w:lang w:val="en-US"/>
        </w:rPr>
        <w:t>European Economic Review</w:t>
      </w:r>
      <w:r w:rsidR="001A6278" w:rsidRPr="00E50F9D">
        <w:rPr>
          <w:rFonts w:ascii="Times New Roman" w:hAnsi="Times New Roman" w:cs="Times New Roman"/>
          <w:sz w:val="24"/>
          <w:szCs w:val="24"/>
          <w:lang w:val="en-US"/>
        </w:rPr>
        <w:t xml:space="preserve"> </w:t>
      </w:r>
      <w:r w:rsidRPr="00E50F9D">
        <w:rPr>
          <w:rFonts w:ascii="Times New Roman" w:hAnsi="Times New Roman" w:cs="Times New Roman"/>
          <w:sz w:val="24"/>
          <w:szCs w:val="24"/>
          <w:lang w:val="en-US"/>
        </w:rPr>
        <w:t>45(10)</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1957–1980.</w:t>
      </w:r>
    </w:p>
    <w:p w14:paraId="0D4AD4DC" w14:textId="1268A133" w:rsidR="003C503E" w:rsidRPr="00E50F9D" w:rsidRDefault="003C503E" w:rsidP="00237569">
      <w:pPr>
        <w:autoSpaceDE w:val="0"/>
        <w:autoSpaceDN w:val="0"/>
        <w:adjustRightInd w:val="0"/>
        <w:spacing w:after="0" w:line="240" w:lineRule="auto"/>
        <w:jc w:val="both"/>
        <w:rPr>
          <w:rFonts w:ascii="Times New Roman" w:hAnsi="Times New Roman" w:cs="Times New Roman"/>
          <w:sz w:val="24"/>
          <w:szCs w:val="24"/>
          <w:lang w:val="en-US"/>
        </w:rPr>
      </w:pPr>
      <w:r w:rsidRPr="00E50F9D">
        <w:rPr>
          <w:rFonts w:ascii="Times New Roman" w:hAnsi="Times New Roman" w:cs="Times New Roman"/>
          <w:sz w:val="24"/>
          <w:szCs w:val="24"/>
          <w:lang w:val="en-US"/>
        </w:rPr>
        <w:t>DeLong</w:t>
      </w:r>
      <w:r w:rsidR="001A6278"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G</w:t>
      </w:r>
      <w:r w:rsidR="001A6278"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L</w:t>
      </w:r>
      <w:r w:rsidR="001A6278" w:rsidRPr="00E50F9D">
        <w:rPr>
          <w:rFonts w:ascii="Times New Roman" w:hAnsi="Times New Roman" w:cs="Times New Roman"/>
          <w:sz w:val="24"/>
          <w:szCs w:val="24"/>
          <w:lang w:val="en-US"/>
        </w:rPr>
        <w:t>.</w:t>
      </w:r>
      <w:r w:rsidR="00237569" w:rsidRPr="00E50F9D">
        <w:rPr>
          <w:rFonts w:ascii="Times New Roman" w:hAnsi="Times New Roman" w:cs="Times New Roman"/>
          <w:sz w:val="24"/>
          <w:szCs w:val="24"/>
          <w:lang w:val="en-US"/>
        </w:rPr>
        <w:t xml:space="preserve"> </w:t>
      </w:r>
      <w:r w:rsidRPr="00E50F9D">
        <w:rPr>
          <w:rFonts w:ascii="Times New Roman" w:hAnsi="Times New Roman" w:cs="Times New Roman"/>
          <w:sz w:val="24"/>
          <w:szCs w:val="24"/>
          <w:lang w:val="en-US"/>
        </w:rPr>
        <w:t>2001</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Stockholder gains from focusing versus diversifying bank mergers</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w:t>
      </w:r>
      <w:r w:rsidRPr="00E50F9D">
        <w:rPr>
          <w:rFonts w:ascii="Times New Roman" w:hAnsi="Times New Roman" w:cs="Times New Roman"/>
          <w:i/>
          <w:sz w:val="24"/>
          <w:szCs w:val="24"/>
          <w:lang w:val="en-US"/>
        </w:rPr>
        <w:t>Journal of Financial Economics</w:t>
      </w:r>
      <w:r w:rsidR="00237569" w:rsidRPr="00E50F9D">
        <w:rPr>
          <w:rFonts w:ascii="Times New Roman" w:hAnsi="Times New Roman" w:cs="Times New Roman"/>
          <w:i/>
          <w:sz w:val="24"/>
          <w:szCs w:val="24"/>
          <w:lang w:val="en-US"/>
        </w:rPr>
        <w:t xml:space="preserve"> </w:t>
      </w:r>
      <w:r w:rsidRPr="00E50F9D">
        <w:rPr>
          <w:rFonts w:ascii="Times New Roman" w:hAnsi="Times New Roman" w:cs="Times New Roman"/>
          <w:sz w:val="24"/>
          <w:szCs w:val="24"/>
          <w:lang w:val="en-US"/>
        </w:rPr>
        <w:t>59</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221-52.</w:t>
      </w:r>
    </w:p>
    <w:p w14:paraId="37723E9E" w14:textId="77777777" w:rsidR="00B239EF" w:rsidRPr="00E50F9D" w:rsidRDefault="00B239EF" w:rsidP="00237569">
      <w:pPr>
        <w:autoSpaceDE w:val="0"/>
        <w:autoSpaceDN w:val="0"/>
        <w:adjustRightInd w:val="0"/>
        <w:spacing w:after="0" w:line="240" w:lineRule="auto"/>
        <w:jc w:val="both"/>
        <w:rPr>
          <w:rFonts w:ascii="Times New Roman" w:hAnsi="Times New Roman" w:cs="Times New Roman"/>
          <w:sz w:val="24"/>
          <w:szCs w:val="24"/>
          <w:lang w:val="en-GB"/>
        </w:rPr>
      </w:pPr>
    </w:p>
    <w:p w14:paraId="1DB29E36" w14:textId="02A3B1B8" w:rsidR="003C503E" w:rsidRPr="00E50F9D" w:rsidRDefault="003C503E" w:rsidP="00237569">
      <w:pPr>
        <w:autoSpaceDE w:val="0"/>
        <w:autoSpaceDN w:val="0"/>
        <w:adjustRightInd w:val="0"/>
        <w:spacing w:after="0" w:line="240" w:lineRule="auto"/>
        <w:jc w:val="both"/>
        <w:rPr>
          <w:rFonts w:ascii="Times New Roman" w:hAnsi="Times New Roman" w:cs="Times New Roman"/>
          <w:sz w:val="24"/>
          <w:szCs w:val="24"/>
          <w:lang w:val="en-US"/>
        </w:rPr>
      </w:pPr>
      <w:r w:rsidRPr="00E50F9D">
        <w:rPr>
          <w:rFonts w:ascii="Times New Roman" w:hAnsi="Times New Roman" w:cs="Times New Roman"/>
          <w:sz w:val="24"/>
          <w:szCs w:val="24"/>
          <w:lang w:val="en-GB"/>
        </w:rPr>
        <w:t>Deng</w:t>
      </w:r>
      <w:r w:rsidR="001A6278"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S</w:t>
      </w:r>
      <w:r w:rsidR="001A6278"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E</w:t>
      </w:r>
      <w:r w:rsidR="001A6278" w:rsidRPr="00E50F9D">
        <w:rPr>
          <w:rFonts w:ascii="Times New Roman" w:hAnsi="Times New Roman" w:cs="Times New Roman"/>
          <w:sz w:val="24"/>
          <w:szCs w:val="24"/>
          <w:lang w:val="en-GB"/>
        </w:rPr>
        <w:t>.</w:t>
      </w:r>
      <w:r w:rsidR="00237569" w:rsidRPr="00E50F9D">
        <w:rPr>
          <w:rFonts w:ascii="Times New Roman" w:hAnsi="Times New Roman" w:cs="Times New Roman"/>
          <w:sz w:val="24"/>
          <w:szCs w:val="24"/>
          <w:lang w:val="en-GB"/>
        </w:rPr>
        <w:t>,</w:t>
      </w:r>
      <w:r w:rsidR="001A6278" w:rsidRPr="00E50F9D">
        <w:rPr>
          <w:rFonts w:ascii="Times New Roman" w:hAnsi="Times New Roman" w:cs="Times New Roman"/>
          <w:sz w:val="24"/>
          <w:szCs w:val="24"/>
          <w:lang w:val="en-GB"/>
        </w:rPr>
        <w:t xml:space="preserve"> and</w:t>
      </w:r>
      <w:r w:rsidRPr="00E50F9D">
        <w:rPr>
          <w:rFonts w:ascii="Times New Roman" w:hAnsi="Times New Roman" w:cs="Times New Roman"/>
          <w:sz w:val="24"/>
          <w:szCs w:val="24"/>
          <w:lang w:val="en-GB"/>
        </w:rPr>
        <w:t xml:space="preserve"> Elyasiani</w:t>
      </w:r>
      <w:r w:rsidR="001A6278"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E</w:t>
      </w:r>
      <w:r w:rsidR="001A6278" w:rsidRPr="00E50F9D">
        <w:rPr>
          <w:rFonts w:ascii="Times New Roman" w:hAnsi="Times New Roman" w:cs="Times New Roman"/>
          <w:sz w:val="24"/>
          <w:szCs w:val="24"/>
          <w:lang w:val="en-GB"/>
        </w:rPr>
        <w:t>.</w:t>
      </w:r>
      <w:r w:rsidR="00237569" w:rsidRPr="00E50F9D">
        <w:rPr>
          <w:rFonts w:ascii="Times New Roman" w:hAnsi="Times New Roman" w:cs="Times New Roman"/>
          <w:sz w:val="24"/>
          <w:szCs w:val="24"/>
          <w:lang w:val="en-GB"/>
        </w:rPr>
        <w:t xml:space="preserve"> </w:t>
      </w:r>
      <w:r w:rsidRPr="00E50F9D">
        <w:rPr>
          <w:rFonts w:ascii="Times New Roman" w:hAnsi="Times New Roman" w:cs="Times New Roman"/>
          <w:sz w:val="24"/>
          <w:szCs w:val="24"/>
          <w:lang w:val="en-GB"/>
        </w:rPr>
        <w:t>2008</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US"/>
        </w:rPr>
        <w:t>Geographic diversification, bank holding, company value, and non-performing loans</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w:t>
      </w:r>
      <w:r w:rsidRPr="00E50F9D">
        <w:rPr>
          <w:rFonts w:ascii="Times New Roman" w:hAnsi="Times New Roman" w:cs="Times New Roman"/>
          <w:i/>
          <w:sz w:val="24"/>
          <w:szCs w:val="24"/>
          <w:lang w:val="en-US"/>
        </w:rPr>
        <w:t>Journal of Money, Credit and Banking</w:t>
      </w:r>
      <w:r w:rsidR="00237569" w:rsidRPr="00E50F9D">
        <w:rPr>
          <w:rFonts w:ascii="Times New Roman" w:hAnsi="Times New Roman" w:cs="Times New Roman"/>
          <w:i/>
          <w:sz w:val="24"/>
          <w:szCs w:val="24"/>
          <w:lang w:val="en-US"/>
        </w:rPr>
        <w:t xml:space="preserve"> </w:t>
      </w:r>
      <w:r w:rsidRPr="00E50F9D">
        <w:rPr>
          <w:rFonts w:ascii="Times New Roman" w:hAnsi="Times New Roman" w:cs="Times New Roman"/>
          <w:sz w:val="24"/>
          <w:szCs w:val="24"/>
          <w:lang w:val="en-US"/>
        </w:rPr>
        <w:t>40(6)</w:t>
      </w:r>
      <w:r w:rsidR="00237569" w:rsidRPr="00E50F9D">
        <w:rPr>
          <w:rFonts w:ascii="Times New Roman" w:hAnsi="Times New Roman" w:cs="Times New Roman"/>
          <w:sz w:val="24"/>
          <w:szCs w:val="24"/>
          <w:lang w:val="en-US"/>
        </w:rPr>
        <w:t>:</w:t>
      </w:r>
      <w:r w:rsidRPr="00E50F9D">
        <w:rPr>
          <w:rFonts w:ascii="Times New Roman" w:hAnsi="Times New Roman" w:cs="Times New Roman"/>
          <w:sz w:val="24"/>
          <w:szCs w:val="24"/>
          <w:lang w:val="en-US"/>
        </w:rPr>
        <w:t xml:space="preserve"> 1217-1238.</w:t>
      </w:r>
    </w:p>
    <w:p w14:paraId="686C34D6" w14:textId="77777777" w:rsidR="003C503E" w:rsidRPr="00E50F9D" w:rsidRDefault="003C503E" w:rsidP="003C503E">
      <w:pPr>
        <w:autoSpaceDE w:val="0"/>
        <w:autoSpaceDN w:val="0"/>
        <w:adjustRightInd w:val="0"/>
        <w:spacing w:after="0" w:line="240" w:lineRule="auto"/>
        <w:jc w:val="both"/>
        <w:rPr>
          <w:rFonts w:ascii="Times New Roman" w:hAnsi="Times New Roman" w:cs="Times New Roman"/>
          <w:sz w:val="24"/>
          <w:szCs w:val="24"/>
          <w:lang w:val="en-US"/>
        </w:rPr>
      </w:pPr>
    </w:p>
    <w:p w14:paraId="66D1EFFD" w14:textId="77777777" w:rsidR="001333AA" w:rsidRPr="00E50F9D" w:rsidRDefault="003C503E" w:rsidP="001333AA">
      <w:pPr>
        <w:autoSpaceDE w:val="0"/>
        <w:autoSpaceDN w:val="0"/>
        <w:adjustRightInd w:val="0"/>
        <w:spacing w:after="240" w:line="240" w:lineRule="auto"/>
        <w:jc w:val="both"/>
        <w:rPr>
          <w:rFonts w:ascii="Times New Roman" w:hAnsi="Times New Roman" w:cs="Times New Roman"/>
          <w:sz w:val="24"/>
          <w:szCs w:val="24"/>
          <w:lang w:val="en-GB"/>
        </w:rPr>
      </w:pPr>
      <w:r w:rsidRPr="00E50F9D">
        <w:rPr>
          <w:rFonts w:ascii="Times New Roman" w:hAnsi="Times New Roman" w:cs="Times New Roman"/>
          <w:sz w:val="24"/>
          <w:szCs w:val="24"/>
          <w:lang w:val="en-GB"/>
        </w:rPr>
        <w:t>Dick</w:t>
      </w:r>
      <w:r w:rsidR="001A6278"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A</w:t>
      </w:r>
      <w:r w:rsidR="001A6278"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A</w:t>
      </w:r>
      <w:r w:rsidR="001A6278"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 xml:space="preserve"> </w:t>
      </w:r>
      <w:r w:rsidR="00237569" w:rsidRPr="00E50F9D">
        <w:rPr>
          <w:rFonts w:ascii="Times New Roman" w:hAnsi="Times New Roman" w:cs="Times New Roman"/>
          <w:sz w:val="24"/>
          <w:szCs w:val="24"/>
          <w:lang w:val="en-GB"/>
        </w:rPr>
        <w:t>2006.</w:t>
      </w:r>
      <w:r w:rsidRPr="00E50F9D">
        <w:rPr>
          <w:rFonts w:ascii="Times New Roman" w:hAnsi="Times New Roman" w:cs="Times New Roman"/>
          <w:sz w:val="24"/>
          <w:szCs w:val="24"/>
          <w:lang w:val="en-GB"/>
        </w:rPr>
        <w:t xml:space="preserve"> </w:t>
      </w:r>
      <w:r w:rsidR="00237569" w:rsidRPr="00E50F9D">
        <w:rPr>
          <w:rFonts w:ascii="Times New Roman" w:hAnsi="Times New Roman" w:cs="Times New Roman"/>
          <w:sz w:val="24"/>
          <w:szCs w:val="24"/>
          <w:lang w:val="en-GB"/>
        </w:rPr>
        <w:t>“</w:t>
      </w:r>
      <w:r w:rsidRPr="00E50F9D">
        <w:rPr>
          <w:rFonts w:ascii="Times New Roman" w:hAnsi="Times New Roman" w:cs="Times New Roman"/>
          <w:sz w:val="24"/>
          <w:szCs w:val="24"/>
          <w:lang w:val="en-GB"/>
        </w:rPr>
        <w:t>Nationwide branching and its impact on market structure</w:t>
      </w:r>
      <w:r w:rsidR="00237569" w:rsidRPr="00E50F9D">
        <w:rPr>
          <w:rFonts w:ascii="Times New Roman" w:hAnsi="Times New Roman" w:cs="Times New Roman"/>
          <w:sz w:val="24"/>
          <w:szCs w:val="24"/>
          <w:lang w:val="en-GB"/>
        </w:rPr>
        <w:t xml:space="preserve">, quality, and bank performance.” </w:t>
      </w:r>
      <w:r w:rsidRPr="00E50F9D">
        <w:rPr>
          <w:rFonts w:ascii="Times New Roman" w:hAnsi="Times New Roman" w:cs="Times New Roman"/>
          <w:i/>
          <w:iCs/>
          <w:sz w:val="24"/>
          <w:szCs w:val="24"/>
          <w:lang w:val="en-GB"/>
        </w:rPr>
        <w:t>Journal of Business</w:t>
      </w:r>
      <w:r w:rsidR="00237569" w:rsidRPr="00E50F9D">
        <w:rPr>
          <w:rFonts w:ascii="Times New Roman" w:hAnsi="Times New Roman" w:cs="Times New Roman"/>
          <w:i/>
          <w:iCs/>
          <w:sz w:val="24"/>
          <w:szCs w:val="24"/>
          <w:lang w:val="en-GB"/>
        </w:rPr>
        <w:t xml:space="preserve"> </w:t>
      </w:r>
      <w:r w:rsidRPr="00E50F9D">
        <w:rPr>
          <w:rFonts w:ascii="Times New Roman" w:hAnsi="Times New Roman" w:cs="Times New Roman"/>
          <w:iCs/>
          <w:sz w:val="24"/>
          <w:szCs w:val="24"/>
          <w:lang w:val="en-GB"/>
        </w:rPr>
        <w:t>79</w:t>
      </w:r>
      <w:r w:rsidRPr="00E50F9D">
        <w:rPr>
          <w:rFonts w:ascii="Times New Roman" w:hAnsi="Times New Roman" w:cs="Times New Roman"/>
          <w:sz w:val="24"/>
          <w:szCs w:val="24"/>
          <w:lang w:val="en-GB"/>
        </w:rPr>
        <w:t>(2)</w:t>
      </w:r>
      <w:r w:rsidR="00237569" w:rsidRPr="00E50F9D">
        <w:rPr>
          <w:rFonts w:ascii="Times New Roman" w:hAnsi="Times New Roman" w:cs="Times New Roman"/>
          <w:sz w:val="24"/>
          <w:szCs w:val="24"/>
          <w:lang w:val="en-GB"/>
        </w:rPr>
        <w:t>:</w:t>
      </w:r>
      <w:r w:rsidR="001333AA" w:rsidRPr="00E50F9D">
        <w:rPr>
          <w:rFonts w:ascii="Times New Roman" w:hAnsi="Times New Roman" w:cs="Times New Roman"/>
          <w:sz w:val="24"/>
          <w:szCs w:val="24"/>
          <w:lang w:val="en-GB"/>
        </w:rPr>
        <w:t xml:space="preserve"> 567-592.</w:t>
      </w:r>
    </w:p>
    <w:p w14:paraId="0B7D6A02" w14:textId="77777777" w:rsidR="002743D1" w:rsidRDefault="00237569" w:rsidP="002743D1">
      <w:pPr>
        <w:autoSpaceDE w:val="0"/>
        <w:autoSpaceDN w:val="0"/>
        <w:adjustRightInd w:val="0"/>
        <w:spacing w:after="0" w:line="240" w:lineRule="auto"/>
        <w:jc w:val="both"/>
        <w:rPr>
          <w:rFonts w:ascii="Times New Roman" w:hAnsi="Times New Roman" w:cs="Times New Roman"/>
          <w:sz w:val="24"/>
          <w:szCs w:val="24"/>
          <w:lang w:val="en-GB"/>
        </w:rPr>
      </w:pPr>
      <w:r w:rsidRPr="00E50F9D">
        <w:rPr>
          <w:rFonts w:asciiTheme="majorBidi" w:hAnsiTheme="majorBidi" w:cstheme="majorBidi"/>
          <w:sz w:val="24"/>
          <w:szCs w:val="24"/>
          <w:lang w:val="en-GB"/>
        </w:rPr>
        <w:t xml:space="preserve">ECB, </w:t>
      </w:r>
      <w:r w:rsidR="003C503E" w:rsidRPr="00E50F9D">
        <w:rPr>
          <w:rFonts w:asciiTheme="majorBidi" w:hAnsiTheme="majorBidi" w:cstheme="majorBidi"/>
          <w:sz w:val="24"/>
          <w:szCs w:val="24"/>
          <w:lang w:val="en-GB"/>
        </w:rPr>
        <w:t>2013. EU structural financial indicators. Retrieved 30 November 2014 from</w:t>
      </w:r>
      <w:r w:rsidR="003C503E" w:rsidRPr="00535EEF">
        <w:rPr>
          <w:rFonts w:asciiTheme="majorBidi" w:hAnsiTheme="majorBidi" w:cstheme="majorBidi"/>
          <w:sz w:val="24"/>
          <w:szCs w:val="24"/>
          <w:lang w:val="en-GB"/>
        </w:rPr>
        <w:t xml:space="preserve"> </w:t>
      </w:r>
      <w:hyperlink r:id="rId18" w:history="1">
        <w:r w:rsidR="003C503E" w:rsidRPr="00535EEF">
          <w:rPr>
            <w:rFonts w:asciiTheme="majorBidi" w:hAnsiTheme="majorBidi" w:cstheme="majorBidi"/>
            <w:sz w:val="24"/>
            <w:szCs w:val="24"/>
            <w:lang w:val="en-GB"/>
          </w:rPr>
          <w:t>http://www.ecb.europa.eu/stats/pdf/140711_ssi_table.pdf?7e1fd6d87f874cd8cc43f91f271189f7</w:t>
        </w:r>
      </w:hyperlink>
      <w:r w:rsidR="002743D1">
        <w:rPr>
          <w:rFonts w:ascii="Times New Roman" w:hAnsi="Times New Roman" w:cs="Times New Roman"/>
          <w:sz w:val="24"/>
          <w:szCs w:val="24"/>
          <w:lang w:val="en-GB"/>
        </w:rPr>
        <w:t>.</w:t>
      </w:r>
    </w:p>
    <w:p w14:paraId="109BCA27" w14:textId="77777777" w:rsidR="002743D1" w:rsidRDefault="002743D1" w:rsidP="002743D1">
      <w:pPr>
        <w:autoSpaceDE w:val="0"/>
        <w:autoSpaceDN w:val="0"/>
        <w:adjustRightInd w:val="0"/>
        <w:spacing w:after="0" w:line="240" w:lineRule="auto"/>
        <w:jc w:val="both"/>
        <w:rPr>
          <w:rFonts w:ascii="Times New Roman" w:hAnsi="Times New Roman" w:cs="Times New Roman"/>
          <w:sz w:val="24"/>
          <w:szCs w:val="24"/>
          <w:lang w:val="en-GB"/>
        </w:rPr>
      </w:pPr>
    </w:p>
    <w:p w14:paraId="10EBE78C" w14:textId="412AAD56" w:rsidR="002743D1" w:rsidRPr="002743D1" w:rsidRDefault="002743D1" w:rsidP="002743D1">
      <w:pPr>
        <w:autoSpaceDE w:val="0"/>
        <w:autoSpaceDN w:val="0"/>
        <w:adjustRightInd w:val="0"/>
        <w:spacing w:after="0" w:line="240" w:lineRule="auto"/>
        <w:jc w:val="both"/>
        <w:rPr>
          <w:rFonts w:ascii="Times New Roman" w:hAnsi="Times New Roman" w:cs="Times New Roman"/>
          <w:sz w:val="28"/>
          <w:szCs w:val="24"/>
          <w:lang w:val="en-GB"/>
        </w:rPr>
      </w:pPr>
      <w:r w:rsidRPr="002743D1">
        <w:rPr>
          <w:rFonts w:ascii="Times New Roman" w:hAnsi="Times New Roman" w:cs="Times New Roman"/>
          <w:color w:val="000000"/>
          <w:sz w:val="24"/>
        </w:rPr>
        <w:t xml:space="preserve">Firpo, S. 2007. “Efficient semiparametric estimation of quantile treatment effects.” </w:t>
      </w:r>
      <w:r w:rsidRPr="002743D1">
        <w:rPr>
          <w:rFonts w:ascii="Times New Roman" w:hAnsi="Times New Roman" w:cs="Times New Roman"/>
          <w:i/>
          <w:color w:val="000000"/>
          <w:sz w:val="24"/>
        </w:rPr>
        <w:t>Econometrica</w:t>
      </w:r>
      <w:r w:rsidRPr="002743D1">
        <w:rPr>
          <w:rFonts w:ascii="Times New Roman" w:hAnsi="Times New Roman" w:cs="Times New Roman"/>
          <w:color w:val="000000"/>
          <w:sz w:val="24"/>
        </w:rPr>
        <w:t xml:space="preserve"> 75(1):</w:t>
      </w:r>
      <w:r w:rsidR="000D153C">
        <w:rPr>
          <w:rFonts w:ascii="Times New Roman" w:hAnsi="Times New Roman" w:cs="Times New Roman"/>
          <w:color w:val="000000"/>
          <w:sz w:val="24"/>
        </w:rPr>
        <w:t xml:space="preserve"> </w:t>
      </w:r>
      <w:r w:rsidRPr="002743D1">
        <w:rPr>
          <w:rFonts w:ascii="Times New Roman" w:hAnsi="Times New Roman" w:cs="Times New Roman"/>
          <w:color w:val="000000"/>
          <w:sz w:val="24"/>
        </w:rPr>
        <w:t>259–276.</w:t>
      </w:r>
    </w:p>
    <w:p w14:paraId="71C1D82F" w14:textId="77777777" w:rsidR="002743D1" w:rsidRDefault="002743D1" w:rsidP="00237569">
      <w:pPr>
        <w:autoSpaceDE w:val="0"/>
        <w:autoSpaceDN w:val="0"/>
        <w:adjustRightInd w:val="0"/>
        <w:spacing w:after="0" w:line="240" w:lineRule="auto"/>
        <w:jc w:val="both"/>
        <w:rPr>
          <w:rFonts w:ascii="Times New Roman" w:hAnsi="Times New Roman" w:cs="Times New Roman"/>
          <w:sz w:val="24"/>
          <w:szCs w:val="24"/>
          <w:lang w:val="en-GB"/>
        </w:rPr>
      </w:pPr>
    </w:p>
    <w:p w14:paraId="5B27D850" w14:textId="234C5BAD" w:rsidR="0048335B" w:rsidRPr="000D153C" w:rsidRDefault="000D153C" w:rsidP="000D153C">
      <w:pPr>
        <w:spacing w:after="172"/>
        <w:ind w:left="-5" w:right="191"/>
        <w:jc w:val="both"/>
        <w:rPr>
          <w:rFonts w:ascii="Times New Roman" w:hAnsi="Times New Roman" w:cs="Times New Roman"/>
          <w:i/>
          <w:color w:val="000000"/>
          <w:sz w:val="24"/>
        </w:rPr>
      </w:pPr>
      <w:r w:rsidRPr="000D153C">
        <w:rPr>
          <w:rFonts w:ascii="Times New Roman" w:hAnsi="Times New Roman" w:cs="Times New Roman"/>
          <w:color w:val="000000"/>
          <w:sz w:val="24"/>
        </w:rPr>
        <w:t>Firpo, S.</w:t>
      </w:r>
      <w:r w:rsidR="0048335B" w:rsidRPr="000D153C">
        <w:rPr>
          <w:rFonts w:ascii="Times New Roman" w:hAnsi="Times New Roman" w:cs="Times New Roman"/>
          <w:color w:val="000000"/>
          <w:sz w:val="24"/>
        </w:rPr>
        <w:t>, Fortin,</w:t>
      </w:r>
      <w:r w:rsidRPr="000D153C">
        <w:rPr>
          <w:rFonts w:ascii="Times New Roman" w:hAnsi="Times New Roman" w:cs="Times New Roman"/>
          <w:color w:val="000000"/>
          <w:sz w:val="24"/>
        </w:rPr>
        <w:t xml:space="preserve"> N.M.,</w:t>
      </w:r>
      <w:r w:rsidR="0048335B" w:rsidRPr="000D153C">
        <w:rPr>
          <w:rFonts w:ascii="Times New Roman" w:hAnsi="Times New Roman" w:cs="Times New Roman"/>
          <w:color w:val="000000"/>
          <w:sz w:val="24"/>
        </w:rPr>
        <w:t xml:space="preserve"> </w:t>
      </w:r>
      <w:r w:rsidR="00A555DC">
        <w:rPr>
          <w:rFonts w:ascii="Times New Roman" w:hAnsi="Times New Roman" w:cs="Times New Roman"/>
          <w:color w:val="000000"/>
          <w:sz w:val="24"/>
        </w:rPr>
        <w:t xml:space="preserve">and </w:t>
      </w:r>
      <w:r w:rsidR="0048335B" w:rsidRPr="000D153C">
        <w:rPr>
          <w:rFonts w:ascii="Times New Roman" w:hAnsi="Times New Roman" w:cs="Times New Roman"/>
          <w:color w:val="000000"/>
          <w:sz w:val="24"/>
        </w:rPr>
        <w:t>Lemieux</w:t>
      </w:r>
      <w:r w:rsidRPr="000D153C">
        <w:rPr>
          <w:rFonts w:ascii="Times New Roman" w:hAnsi="Times New Roman" w:cs="Times New Roman"/>
          <w:color w:val="000000"/>
          <w:sz w:val="24"/>
        </w:rPr>
        <w:t>, T. 2009.</w:t>
      </w:r>
      <w:r w:rsidR="0048335B" w:rsidRPr="000D153C">
        <w:rPr>
          <w:rFonts w:ascii="Times New Roman" w:hAnsi="Times New Roman" w:cs="Times New Roman"/>
          <w:i/>
          <w:color w:val="000000"/>
          <w:sz w:val="24"/>
        </w:rPr>
        <w:t xml:space="preserve"> </w:t>
      </w:r>
      <w:r w:rsidRPr="000D153C">
        <w:rPr>
          <w:rFonts w:ascii="Times New Roman" w:hAnsi="Times New Roman" w:cs="Times New Roman"/>
          <w:color w:val="000000"/>
          <w:sz w:val="24"/>
        </w:rPr>
        <w:t>“</w:t>
      </w:r>
      <w:r w:rsidR="0048335B" w:rsidRPr="000D153C">
        <w:rPr>
          <w:rFonts w:ascii="Times New Roman" w:hAnsi="Times New Roman" w:cs="Times New Roman"/>
          <w:color w:val="000000"/>
          <w:sz w:val="24"/>
        </w:rPr>
        <w:t>Unconditional quantile regressions.</w:t>
      </w:r>
      <w:r w:rsidRPr="000D153C">
        <w:rPr>
          <w:rFonts w:ascii="Times New Roman" w:hAnsi="Times New Roman" w:cs="Times New Roman"/>
          <w:color w:val="000000"/>
          <w:sz w:val="24"/>
        </w:rPr>
        <w:t>”</w:t>
      </w:r>
      <w:r>
        <w:rPr>
          <w:rFonts w:ascii="Times New Roman" w:hAnsi="Times New Roman" w:cs="Times New Roman"/>
          <w:i/>
          <w:color w:val="000000"/>
          <w:sz w:val="24"/>
        </w:rPr>
        <w:t xml:space="preserve"> </w:t>
      </w:r>
      <w:r w:rsidR="0048335B" w:rsidRPr="000D153C">
        <w:rPr>
          <w:rFonts w:ascii="Times New Roman" w:hAnsi="Times New Roman" w:cs="Times New Roman"/>
          <w:i/>
          <w:color w:val="000000"/>
          <w:sz w:val="24"/>
        </w:rPr>
        <w:t>Econometrica</w:t>
      </w:r>
      <w:r>
        <w:rPr>
          <w:rFonts w:ascii="Times New Roman" w:hAnsi="Times New Roman" w:cs="Times New Roman"/>
          <w:i/>
          <w:color w:val="000000"/>
          <w:sz w:val="24"/>
        </w:rPr>
        <w:t xml:space="preserve"> 77(3): </w:t>
      </w:r>
      <w:r w:rsidRPr="00A555DC">
        <w:rPr>
          <w:rFonts w:ascii="Times New Roman" w:hAnsi="Times New Roman" w:cs="Times New Roman"/>
          <w:color w:val="000000"/>
          <w:sz w:val="24"/>
        </w:rPr>
        <w:t>953–973</w:t>
      </w:r>
      <w:r w:rsidR="0048335B" w:rsidRPr="000D153C">
        <w:rPr>
          <w:rFonts w:ascii="Times New Roman" w:hAnsi="Times New Roman" w:cs="Times New Roman"/>
          <w:i/>
          <w:color w:val="000000"/>
          <w:sz w:val="24"/>
        </w:rPr>
        <w:t xml:space="preserve">. </w:t>
      </w:r>
    </w:p>
    <w:p w14:paraId="49C620B8" w14:textId="1D36580C" w:rsidR="00C45530" w:rsidRDefault="00C45530" w:rsidP="00C45530">
      <w:pPr>
        <w:autoSpaceDE w:val="0"/>
        <w:autoSpaceDN w:val="0"/>
        <w:adjustRightInd w:val="0"/>
        <w:spacing w:after="0" w:line="240" w:lineRule="auto"/>
        <w:jc w:val="both"/>
        <w:rPr>
          <w:rFonts w:ascii="Times New Roman" w:hAnsi="Times New Roman" w:cs="Times New Roman"/>
          <w:sz w:val="24"/>
          <w:szCs w:val="24"/>
          <w:lang w:val="en-GB"/>
        </w:rPr>
      </w:pPr>
      <w:r w:rsidRPr="00A564A8">
        <w:rPr>
          <w:rFonts w:ascii="Times New Roman" w:hAnsi="Times New Roman" w:cs="Times New Roman"/>
          <w:sz w:val="24"/>
          <w:szCs w:val="24"/>
          <w:lang w:val="en-GB"/>
        </w:rPr>
        <w:t xml:space="preserve">Forssbæck, J., and Shehzad, C.T. 2015. “The Conditional Effects of Market Power on Bank Risk Cross - Country Evidence”. </w:t>
      </w:r>
      <w:r w:rsidRPr="00A564A8">
        <w:rPr>
          <w:rFonts w:ascii="Times New Roman" w:hAnsi="Times New Roman" w:cs="Times New Roman"/>
          <w:i/>
          <w:sz w:val="24"/>
          <w:szCs w:val="24"/>
          <w:lang w:val="en-GB"/>
        </w:rPr>
        <w:t xml:space="preserve">Review of Finance 10(5): </w:t>
      </w:r>
      <w:r w:rsidRPr="00A564A8">
        <w:rPr>
          <w:rFonts w:ascii="Times New Roman" w:hAnsi="Times New Roman" w:cs="Times New Roman"/>
          <w:sz w:val="24"/>
          <w:szCs w:val="24"/>
          <w:lang w:val="en-GB"/>
        </w:rPr>
        <w:t>1997-2038.</w:t>
      </w:r>
    </w:p>
    <w:p w14:paraId="1A298DE1" w14:textId="77777777" w:rsidR="00C45530" w:rsidRDefault="00C45530" w:rsidP="00C45530">
      <w:pPr>
        <w:autoSpaceDE w:val="0"/>
        <w:autoSpaceDN w:val="0"/>
        <w:adjustRightInd w:val="0"/>
        <w:spacing w:after="0" w:line="240" w:lineRule="auto"/>
        <w:jc w:val="both"/>
        <w:rPr>
          <w:rFonts w:ascii="Times New Roman" w:hAnsi="Times New Roman" w:cs="Times New Roman"/>
          <w:sz w:val="24"/>
          <w:szCs w:val="24"/>
          <w:lang w:val="en-GB"/>
        </w:rPr>
      </w:pPr>
    </w:p>
    <w:p w14:paraId="6410C1D0" w14:textId="03AE72FC" w:rsidR="000D153C" w:rsidRDefault="000D153C" w:rsidP="00130018">
      <w:pPr>
        <w:autoSpaceDE w:val="0"/>
        <w:autoSpaceDN w:val="0"/>
        <w:adjustRightInd w:val="0"/>
        <w:spacing w:after="0" w:line="240" w:lineRule="auto"/>
        <w:jc w:val="both"/>
        <w:rPr>
          <w:rFonts w:ascii="Times New Roman" w:hAnsi="Times New Roman" w:cs="Times New Roman"/>
          <w:sz w:val="24"/>
          <w:szCs w:val="24"/>
          <w:lang w:val="en-GB"/>
        </w:rPr>
      </w:pPr>
      <w:r w:rsidRPr="000D153C">
        <w:rPr>
          <w:rFonts w:ascii="Times New Roman" w:hAnsi="Times New Roman" w:cs="Times New Roman"/>
          <w:sz w:val="24"/>
          <w:szCs w:val="24"/>
          <w:lang w:val="en-GB"/>
        </w:rPr>
        <w:t>Frölich,   M.</w:t>
      </w:r>
      <w:r w:rsidR="00A555DC">
        <w:rPr>
          <w:rFonts w:ascii="Times New Roman" w:hAnsi="Times New Roman" w:cs="Times New Roman"/>
          <w:sz w:val="24"/>
          <w:szCs w:val="24"/>
          <w:lang w:val="en-GB"/>
        </w:rPr>
        <w:t>, and Melly,   B.,   2013</w:t>
      </w:r>
      <w:r>
        <w:rPr>
          <w:rFonts w:ascii="Times New Roman" w:hAnsi="Times New Roman" w:cs="Times New Roman"/>
          <w:sz w:val="24"/>
          <w:szCs w:val="24"/>
          <w:lang w:val="en-GB"/>
        </w:rPr>
        <w:t>.   “Uncond</w:t>
      </w:r>
      <w:r w:rsidRPr="000D153C">
        <w:rPr>
          <w:rFonts w:ascii="Times New Roman" w:hAnsi="Times New Roman" w:cs="Times New Roman"/>
          <w:sz w:val="24"/>
          <w:szCs w:val="24"/>
          <w:lang w:val="en-GB"/>
        </w:rPr>
        <w:t xml:space="preserve">itional   quantile </w:t>
      </w:r>
      <w:r w:rsidR="00130018">
        <w:rPr>
          <w:rFonts w:ascii="Times New Roman" w:hAnsi="Times New Roman" w:cs="Times New Roman"/>
          <w:sz w:val="24"/>
          <w:szCs w:val="24"/>
          <w:lang w:val="en-GB"/>
        </w:rPr>
        <w:t xml:space="preserve">  treatment   effects   under </w:t>
      </w:r>
      <w:r w:rsidRPr="000D153C">
        <w:rPr>
          <w:rFonts w:ascii="Times New Roman" w:hAnsi="Times New Roman" w:cs="Times New Roman"/>
          <w:sz w:val="24"/>
          <w:szCs w:val="24"/>
          <w:lang w:val="en-GB"/>
        </w:rPr>
        <w:t>endogeneity.</w:t>
      </w:r>
      <w:r>
        <w:rPr>
          <w:rFonts w:ascii="Times New Roman" w:hAnsi="Times New Roman" w:cs="Times New Roman"/>
          <w:sz w:val="24"/>
          <w:szCs w:val="24"/>
          <w:lang w:val="en-GB"/>
        </w:rPr>
        <w:t>”</w:t>
      </w:r>
      <w:r w:rsidRPr="000D153C">
        <w:rPr>
          <w:rFonts w:ascii="Times New Roman" w:hAnsi="Times New Roman" w:cs="Times New Roman"/>
          <w:sz w:val="24"/>
          <w:szCs w:val="24"/>
          <w:lang w:val="en-GB"/>
        </w:rPr>
        <w:t xml:space="preserve"> </w:t>
      </w:r>
      <w:r w:rsidR="00A555DC" w:rsidRPr="00A555DC">
        <w:rPr>
          <w:rFonts w:ascii="Times New Roman" w:hAnsi="Times New Roman" w:cs="Times New Roman"/>
          <w:i/>
          <w:sz w:val="24"/>
          <w:szCs w:val="24"/>
          <w:lang w:val="en-GB"/>
        </w:rPr>
        <w:t>Journal of Business &amp; Economic Statistics</w:t>
      </w:r>
      <w:r w:rsidR="00A555DC">
        <w:rPr>
          <w:rFonts w:ascii="Times New Roman" w:hAnsi="Times New Roman" w:cs="Times New Roman"/>
          <w:sz w:val="24"/>
          <w:szCs w:val="24"/>
          <w:lang w:val="en-GB"/>
        </w:rPr>
        <w:t xml:space="preserve"> </w:t>
      </w:r>
      <w:r w:rsidR="00A555DC" w:rsidRPr="00A555DC">
        <w:rPr>
          <w:rFonts w:ascii="Times New Roman" w:hAnsi="Times New Roman" w:cs="Times New Roman"/>
          <w:sz w:val="24"/>
          <w:szCs w:val="24"/>
          <w:lang w:val="en-GB"/>
        </w:rPr>
        <w:t xml:space="preserve">31(3): </w:t>
      </w:r>
      <w:r w:rsidR="00A555DC" w:rsidRPr="00A555DC">
        <w:rPr>
          <w:rFonts w:ascii="Times New Roman" w:hAnsi="Times New Roman" w:cs="Times New Roman"/>
          <w:sz w:val="24"/>
          <w:szCs w:val="24"/>
          <w:lang w:val="en"/>
        </w:rPr>
        <w:t>346-357</w:t>
      </w:r>
      <w:r w:rsidRPr="000D153C">
        <w:rPr>
          <w:rFonts w:ascii="Times New Roman" w:hAnsi="Times New Roman" w:cs="Times New Roman"/>
          <w:sz w:val="24"/>
          <w:szCs w:val="24"/>
          <w:lang w:val="en-GB"/>
        </w:rPr>
        <w:t xml:space="preserve">  </w:t>
      </w:r>
    </w:p>
    <w:p w14:paraId="58A002BE" w14:textId="115BA3FA" w:rsidR="000D153C" w:rsidRDefault="00A555DC" w:rsidP="00237569">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p w14:paraId="2F143CE8" w14:textId="3ABB71DF" w:rsidR="003C503E" w:rsidRPr="00535EEF" w:rsidRDefault="003C503E" w:rsidP="00237569">
      <w:pPr>
        <w:autoSpaceDE w:val="0"/>
        <w:autoSpaceDN w:val="0"/>
        <w:adjustRightInd w:val="0"/>
        <w:spacing w:after="0" w:line="240" w:lineRule="auto"/>
        <w:jc w:val="both"/>
        <w:rPr>
          <w:rFonts w:ascii="Times New Roman" w:hAnsi="Times New Roman" w:cs="Times New Roman"/>
          <w:sz w:val="24"/>
          <w:szCs w:val="24"/>
          <w:lang w:val="en-GB"/>
        </w:rPr>
      </w:pPr>
      <w:r w:rsidRPr="00535EEF">
        <w:rPr>
          <w:rFonts w:ascii="Times New Roman" w:hAnsi="Times New Roman" w:cs="Times New Roman"/>
          <w:sz w:val="24"/>
          <w:szCs w:val="24"/>
          <w:lang w:val="en-GB"/>
        </w:rPr>
        <w:t>Goldberg</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L</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G</w:t>
      </w:r>
      <w:r w:rsidR="001A6278" w:rsidRPr="00535EEF">
        <w:rPr>
          <w:rFonts w:ascii="Times New Roman" w:hAnsi="Times New Roman" w:cs="Times New Roman"/>
          <w:sz w:val="24"/>
          <w:szCs w:val="24"/>
          <w:lang w:val="en-GB"/>
        </w:rPr>
        <w:t>.</w:t>
      </w:r>
      <w:r w:rsidR="00237569">
        <w:rPr>
          <w:rFonts w:ascii="Times New Roman" w:hAnsi="Times New Roman" w:cs="Times New Roman"/>
          <w:sz w:val="24"/>
          <w:szCs w:val="24"/>
          <w:lang w:val="en-GB"/>
        </w:rPr>
        <w:t>,</w:t>
      </w:r>
      <w:r w:rsidR="001A6278" w:rsidRPr="00535EEF">
        <w:rPr>
          <w:rFonts w:ascii="Times New Roman" w:hAnsi="Times New Roman" w:cs="Times New Roman"/>
          <w:sz w:val="24"/>
          <w:szCs w:val="24"/>
          <w:lang w:val="en-GB"/>
        </w:rPr>
        <w:t xml:space="preserve"> and</w:t>
      </w:r>
      <w:r w:rsidRPr="00535EEF">
        <w:rPr>
          <w:rFonts w:ascii="Times New Roman" w:hAnsi="Times New Roman" w:cs="Times New Roman"/>
          <w:sz w:val="24"/>
          <w:szCs w:val="24"/>
          <w:lang w:val="en-GB"/>
        </w:rPr>
        <w:t xml:space="preserve"> Rai</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A</w:t>
      </w:r>
      <w:r w:rsidR="001A6278" w:rsidRPr="00535EEF">
        <w:rPr>
          <w:rFonts w:ascii="Times New Roman" w:hAnsi="Times New Roman" w:cs="Times New Roman"/>
          <w:sz w:val="24"/>
          <w:szCs w:val="24"/>
          <w:lang w:val="en-GB"/>
        </w:rPr>
        <w:t>.</w:t>
      </w:r>
      <w:r w:rsidR="00237569">
        <w:rPr>
          <w:rFonts w:ascii="Times New Roman" w:hAnsi="Times New Roman" w:cs="Times New Roman"/>
          <w:sz w:val="24"/>
          <w:szCs w:val="24"/>
          <w:lang w:val="en-GB"/>
        </w:rPr>
        <w:t xml:space="preserve"> </w:t>
      </w:r>
      <w:r w:rsidRPr="00535EEF">
        <w:rPr>
          <w:rFonts w:ascii="Times New Roman" w:hAnsi="Times New Roman" w:cs="Times New Roman"/>
          <w:sz w:val="24"/>
          <w:szCs w:val="24"/>
          <w:lang w:val="en-GB"/>
        </w:rPr>
        <w:t>1996</w:t>
      </w:r>
      <w:r w:rsidR="00237569">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w:t>
      </w:r>
      <w:r w:rsidR="00237569">
        <w:rPr>
          <w:rFonts w:ascii="Times New Roman" w:hAnsi="Times New Roman" w:cs="Times New Roman"/>
          <w:sz w:val="24"/>
          <w:szCs w:val="24"/>
          <w:lang w:val="en-GB"/>
        </w:rPr>
        <w:t>“</w:t>
      </w:r>
      <w:r w:rsidRPr="00535EEF">
        <w:rPr>
          <w:rFonts w:ascii="Times New Roman" w:hAnsi="Times New Roman" w:cs="Times New Roman"/>
          <w:sz w:val="24"/>
          <w:szCs w:val="24"/>
          <w:lang w:val="en-GB"/>
        </w:rPr>
        <w:t>The Structure-Performance Relationship for European Banking</w:t>
      </w:r>
      <w:r w:rsidR="00237569">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w:t>
      </w:r>
      <w:r w:rsidRPr="00535EEF">
        <w:rPr>
          <w:rFonts w:ascii="Times New Roman" w:hAnsi="Times New Roman" w:cs="Times New Roman"/>
          <w:i/>
          <w:iCs/>
          <w:sz w:val="24"/>
          <w:szCs w:val="24"/>
          <w:lang w:val="en-GB"/>
        </w:rPr>
        <w:t>Journal of Banking &amp; Finance</w:t>
      </w:r>
      <w:r w:rsidRPr="00535EEF">
        <w:rPr>
          <w:rFonts w:ascii="Times New Roman" w:hAnsi="Times New Roman" w:cs="Times New Roman"/>
          <w:sz w:val="24"/>
          <w:szCs w:val="24"/>
          <w:lang w:val="en-GB"/>
        </w:rPr>
        <w:t xml:space="preserve"> 20</w:t>
      </w:r>
      <w:r w:rsidR="00237569">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745-771.</w:t>
      </w:r>
    </w:p>
    <w:p w14:paraId="36716BC5" w14:textId="77777777" w:rsidR="003C503E" w:rsidRPr="00535EEF" w:rsidRDefault="003C503E" w:rsidP="003C503E">
      <w:pPr>
        <w:autoSpaceDE w:val="0"/>
        <w:autoSpaceDN w:val="0"/>
        <w:adjustRightInd w:val="0"/>
        <w:spacing w:after="0" w:line="240" w:lineRule="auto"/>
        <w:jc w:val="both"/>
        <w:rPr>
          <w:rFonts w:ascii="Times New Roman" w:hAnsi="Times New Roman" w:cs="Times New Roman"/>
          <w:sz w:val="24"/>
          <w:szCs w:val="24"/>
          <w:lang w:val="en-GB"/>
        </w:rPr>
      </w:pPr>
    </w:p>
    <w:p w14:paraId="10ED68D5" w14:textId="2C4731F0" w:rsidR="0076454E" w:rsidRDefault="0076454E" w:rsidP="00237569">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Guiso, L. Sapienza, P.</w:t>
      </w:r>
      <w:r w:rsidR="00502750">
        <w:rPr>
          <w:rFonts w:ascii="Times New Roman" w:hAnsi="Times New Roman" w:cs="Times New Roman"/>
          <w:sz w:val="24"/>
          <w:szCs w:val="24"/>
          <w:lang w:val="en-GB"/>
        </w:rPr>
        <w:t>, and</w:t>
      </w:r>
      <w:r>
        <w:rPr>
          <w:rFonts w:ascii="Times New Roman" w:hAnsi="Times New Roman" w:cs="Times New Roman"/>
          <w:sz w:val="24"/>
          <w:szCs w:val="24"/>
          <w:lang w:val="en-GB"/>
        </w:rPr>
        <w:t xml:space="preserve"> Zingales, L. 2004. </w:t>
      </w:r>
      <w:r w:rsidR="002743D1">
        <w:rPr>
          <w:rFonts w:ascii="Times New Roman" w:hAnsi="Times New Roman" w:cs="Times New Roman"/>
          <w:sz w:val="24"/>
          <w:szCs w:val="24"/>
          <w:lang w:val="en-GB"/>
        </w:rPr>
        <w:t>“</w:t>
      </w:r>
      <w:r>
        <w:rPr>
          <w:rFonts w:ascii="Times New Roman" w:hAnsi="Times New Roman" w:cs="Times New Roman"/>
          <w:sz w:val="24"/>
          <w:szCs w:val="24"/>
          <w:lang w:val="en-GB"/>
        </w:rPr>
        <w:t>Does local financial development matter?</w:t>
      </w:r>
      <w:r w:rsidR="002743D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76454E">
        <w:rPr>
          <w:rFonts w:ascii="Times New Roman" w:hAnsi="Times New Roman" w:cs="Times New Roman"/>
          <w:i/>
          <w:sz w:val="24"/>
          <w:szCs w:val="24"/>
          <w:lang w:val="en-GB"/>
        </w:rPr>
        <w:t>Quarterly Journal of Economics</w:t>
      </w:r>
      <w:r>
        <w:rPr>
          <w:rFonts w:ascii="Times New Roman" w:hAnsi="Times New Roman" w:cs="Times New Roman"/>
          <w:sz w:val="24"/>
          <w:szCs w:val="24"/>
          <w:lang w:val="en-GB"/>
        </w:rPr>
        <w:t xml:space="preserve"> 119(3): 929-969.</w:t>
      </w:r>
    </w:p>
    <w:p w14:paraId="7EDB64E7" w14:textId="77777777" w:rsidR="0076454E" w:rsidRDefault="0076454E" w:rsidP="00237569">
      <w:pPr>
        <w:autoSpaceDE w:val="0"/>
        <w:autoSpaceDN w:val="0"/>
        <w:adjustRightInd w:val="0"/>
        <w:spacing w:after="0" w:line="240" w:lineRule="auto"/>
        <w:jc w:val="both"/>
        <w:rPr>
          <w:rFonts w:ascii="Times New Roman" w:hAnsi="Times New Roman" w:cs="Times New Roman"/>
          <w:sz w:val="24"/>
          <w:szCs w:val="24"/>
          <w:lang w:val="en-GB"/>
        </w:rPr>
      </w:pPr>
    </w:p>
    <w:p w14:paraId="38403617" w14:textId="3BE39A76" w:rsidR="003C503E" w:rsidRPr="00535EEF" w:rsidRDefault="003C503E" w:rsidP="00237569">
      <w:pPr>
        <w:autoSpaceDE w:val="0"/>
        <w:autoSpaceDN w:val="0"/>
        <w:adjustRightInd w:val="0"/>
        <w:spacing w:after="0" w:line="240" w:lineRule="auto"/>
        <w:jc w:val="both"/>
        <w:rPr>
          <w:rFonts w:ascii="Times New Roman" w:hAnsi="Times New Roman" w:cs="Times New Roman"/>
          <w:sz w:val="24"/>
          <w:szCs w:val="24"/>
          <w:lang w:val="en-GB"/>
        </w:rPr>
      </w:pPr>
      <w:r w:rsidRPr="00535EEF">
        <w:rPr>
          <w:rFonts w:ascii="Times New Roman" w:hAnsi="Times New Roman" w:cs="Times New Roman"/>
          <w:sz w:val="24"/>
          <w:szCs w:val="24"/>
          <w:lang w:val="en-GB"/>
        </w:rPr>
        <w:t>Hakenes</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H</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Hasan</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I</w:t>
      </w:r>
      <w:r w:rsidR="001A6278" w:rsidRPr="00535EEF">
        <w:rPr>
          <w:rFonts w:ascii="Times New Roman" w:hAnsi="Times New Roman" w:cs="Times New Roman"/>
          <w:sz w:val="24"/>
          <w:szCs w:val="24"/>
          <w:lang w:val="en-GB"/>
        </w:rPr>
        <w:t xml:space="preserve">. </w:t>
      </w:r>
      <w:r w:rsidR="00C3238C" w:rsidRPr="00535EEF">
        <w:rPr>
          <w:rFonts w:ascii="Times New Roman" w:hAnsi="Times New Roman" w:cs="Times New Roman"/>
          <w:sz w:val="24"/>
          <w:szCs w:val="24"/>
          <w:lang w:val="en-GB"/>
        </w:rPr>
        <w:t>Molyneux, P.</w:t>
      </w:r>
      <w:r w:rsidR="00237569">
        <w:rPr>
          <w:rFonts w:ascii="Times New Roman" w:hAnsi="Times New Roman" w:cs="Times New Roman"/>
          <w:sz w:val="24"/>
          <w:szCs w:val="24"/>
          <w:lang w:val="en-GB"/>
        </w:rPr>
        <w:t>,</w:t>
      </w:r>
      <w:r w:rsidR="00C3238C" w:rsidRPr="00535EEF">
        <w:rPr>
          <w:rFonts w:ascii="Times New Roman" w:hAnsi="Times New Roman" w:cs="Times New Roman"/>
          <w:sz w:val="24"/>
          <w:szCs w:val="24"/>
          <w:lang w:val="en-GB"/>
        </w:rPr>
        <w:t xml:space="preserve"> </w:t>
      </w:r>
      <w:r w:rsidR="001A6278" w:rsidRPr="00535EEF">
        <w:rPr>
          <w:rFonts w:ascii="Times New Roman" w:hAnsi="Times New Roman" w:cs="Times New Roman"/>
          <w:sz w:val="24"/>
          <w:szCs w:val="24"/>
          <w:lang w:val="en-GB"/>
        </w:rPr>
        <w:t xml:space="preserve">and </w:t>
      </w:r>
      <w:r w:rsidRPr="00535EEF">
        <w:rPr>
          <w:rFonts w:ascii="Times New Roman" w:hAnsi="Times New Roman" w:cs="Times New Roman"/>
          <w:sz w:val="24"/>
          <w:szCs w:val="24"/>
          <w:lang w:val="en-GB"/>
        </w:rPr>
        <w:t>Xie</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R</w:t>
      </w:r>
      <w:r w:rsidR="001A6278" w:rsidRPr="00535EEF">
        <w:rPr>
          <w:rFonts w:ascii="Times New Roman" w:hAnsi="Times New Roman" w:cs="Times New Roman"/>
          <w:sz w:val="24"/>
          <w:szCs w:val="24"/>
          <w:lang w:val="en-GB"/>
        </w:rPr>
        <w:t>.</w:t>
      </w:r>
      <w:r w:rsidR="00237569">
        <w:rPr>
          <w:rFonts w:ascii="Times New Roman" w:hAnsi="Times New Roman" w:cs="Times New Roman"/>
          <w:sz w:val="24"/>
          <w:szCs w:val="24"/>
          <w:lang w:val="en-GB"/>
        </w:rPr>
        <w:t xml:space="preserve"> </w:t>
      </w:r>
      <w:r w:rsidRPr="00535EEF">
        <w:rPr>
          <w:rFonts w:ascii="Times New Roman" w:hAnsi="Times New Roman" w:cs="Times New Roman"/>
          <w:sz w:val="24"/>
          <w:szCs w:val="24"/>
          <w:lang w:val="en-GB"/>
        </w:rPr>
        <w:t>2014</w:t>
      </w:r>
      <w:r w:rsidR="00237569">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w:t>
      </w:r>
      <w:r w:rsidR="002743D1">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Small banks and local economic </w:t>
      </w:r>
      <w:r w:rsidR="001A6278" w:rsidRPr="00535EEF">
        <w:rPr>
          <w:rFonts w:ascii="Times New Roman" w:hAnsi="Times New Roman" w:cs="Times New Roman"/>
          <w:sz w:val="24"/>
          <w:szCs w:val="24"/>
          <w:lang w:val="en-GB"/>
        </w:rPr>
        <w:t>development</w:t>
      </w:r>
      <w:r w:rsidR="00237569">
        <w:rPr>
          <w:rFonts w:ascii="Times New Roman" w:hAnsi="Times New Roman" w:cs="Times New Roman"/>
          <w:sz w:val="24"/>
          <w:szCs w:val="24"/>
          <w:lang w:val="en-GB"/>
        </w:rPr>
        <w:t>.</w:t>
      </w:r>
      <w:r w:rsidR="002743D1">
        <w:rPr>
          <w:rFonts w:ascii="Times New Roman" w:hAnsi="Times New Roman" w:cs="Times New Roman"/>
          <w:sz w:val="24"/>
          <w:szCs w:val="24"/>
          <w:lang w:val="en-GB"/>
        </w:rPr>
        <w:t>”</w:t>
      </w:r>
      <w:r w:rsidRPr="00535EEF">
        <w:rPr>
          <w:rFonts w:ascii="Times New Roman" w:hAnsi="Times New Roman" w:cs="Times New Roman"/>
          <w:sz w:val="24"/>
          <w:szCs w:val="24"/>
          <w:lang w:val="en-GB"/>
        </w:rPr>
        <w:t> </w:t>
      </w:r>
      <w:r w:rsidRPr="00535EEF">
        <w:rPr>
          <w:rFonts w:ascii="Times New Roman" w:hAnsi="Times New Roman" w:cs="Times New Roman"/>
          <w:i/>
          <w:iCs/>
          <w:sz w:val="24"/>
          <w:szCs w:val="24"/>
          <w:lang w:val="en-GB"/>
        </w:rPr>
        <w:t>Review of Finance</w:t>
      </w:r>
      <w:r w:rsidRPr="00535EEF">
        <w:rPr>
          <w:rFonts w:ascii="Times New Roman" w:hAnsi="Times New Roman" w:cs="Times New Roman"/>
          <w:sz w:val="24"/>
          <w:szCs w:val="24"/>
          <w:lang w:val="en-GB"/>
        </w:rPr>
        <w:t xml:space="preserve"> forthcoming.</w:t>
      </w:r>
      <w:r w:rsidR="00237569" w:rsidRPr="00B14AFB">
        <w:rPr>
          <w:lang w:val="en-GB"/>
        </w:rPr>
        <w:t xml:space="preserve"> </w:t>
      </w:r>
      <w:r w:rsidR="00237569" w:rsidRPr="00237569">
        <w:rPr>
          <w:rFonts w:ascii="Times New Roman" w:hAnsi="Times New Roman" w:cs="Times New Roman"/>
          <w:sz w:val="24"/>
          <w:szCs w:val="24"/>
          <w:lang w:val="en-GB"/>
        </w:rPr>
        <w:t>doi: 10.1093/rof/rfu003</w:t>
      </w:r>
      <w:r w:rsidR="00237569">
        <w:rPr>
          <w:rFonts w:ascii="Times New Roman" w:hAnsi="Times New Roman" w:cs="Times New Roman"/>
          <w:sz w:val="24"/>
          <w:szCs w:val="24"/>
          <w:lang w:val="en-GB"/>
        </w:rPr>
        <w:t>.</w:t>
      </w:r>
    </w:p>
    <w:p w14:paraId="1267DBD0" w14:textId="77777777" w:rsidR="003C503E" w:rsidRPr="00535EEF" w:rsidRDefault="003C503E" w:rsidP="003C503E">
      <w:pPr>
        <w:autoSpaceDE w:val="0"/>
        <w:autoSpaceDN w:val="0"/>
        <w:adjustRightInd w:val="0"/>
        <w:spacing w:after="0" w:line="240" w:lineRule="auto"/>
        <w:jc w:val="both"/>
        <w:rPr>
          <w:rFonts w:ascii="Times New Roman" w:hAnsi="Times New Roman" w:cs="Times New Roman"/>
          <w:sz w:val="24"/>
          <w:szCs w:val="24"/>
          <w:lang w:val="en-GB"/>
        </w:rPr>
      </w:pPr>
    </w:p>
    <w:p w14:paraId="35686AAB" w14:textId="6ABECC6F" w:rsidR="003C503E" w:rsidRPr="00535EEF" w:rsidRDefault="003C503E" w:rsidP="00B14AFB">
      <w:pPr>
        <w:autoSpaceDE w:val="0"/>
        <w:autoSpaceDN w:val="0"/>
        <w:adjustRightInd w:val="0"/>
        <w:spacing w:after="0" w:line="240" w:lineRule="auto"/>
        <w:jc w:val="both"/>
        <w:rPr>
          <w:rFonts w:ascii="Times New Roman" w:hAnsi="Times New Roman" w:cs="Times New Roman"/>
          <w:sz w:val="24"/>
          <w:szCs w:val="24"/>
          <w:lang w:val="en-US"/>
        </w:rPr>
      </w:pPr>
      <w:r w:rsidRPr="00535EEF">
        <w:rPr>
          <w:rFonts w:ascii="Times New Roman" w:hAnsi="Times New Roman" w:cs="Times New Roman"/>
          <w:sz w:val="24"/>
          <w:szCs w:val="24"/>
          <w:lang w:val="en-GB"/>
        </w:rPr>
        <w:t>Hannan</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T</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H</w:t>
      </w:r>
      <w:r w:rsidR="001A6278" w:rsidRPr="00535EEF">
        <w:rPr>
          <w:rFonts w:ascii="Times New Roman" w:hAnsi="Times New Roman" w:cs="Times New Roman"/>
          <w:sz w:val="24"/>
          <w:szCs w:val="24"/>
          <w:lang w:val="en-GB"/>
        </w:rPr>
        <w:t>.</w:t>
      </w:r>
      <w:r w:rsidR="00B14AFB">
        <w:rPr>
          <w:rFonts w:ascii="Times New Roman" w:hAnsi="Times New Roman" w:cs="Times New Roman"/>
          <w:sz w:val="24"/>
          <w:szCs w:val="24"/>
          <w:lang w:val="en-GB"/>
        </w:rPr>
        <w:t>,</w:t>
      </w:r>
      <w:r w:rsidR="001A6278" w:rsidRPr="00535EEF">
        <w:rPr>
          <w:rFonts w:ascii="Times New Roman" w:hAnsi="Times New Roman" w:cs="Times New Roman"/>
          <w:sz w:val="24"/>
          <w:szCs w:val="24"/>
          <w:lang w:val="en-GB"/>
        </w:rPr>
        <w:t xml:space="preserve"> and</w:t>
      </w:r>
      <w:r w:rsidRPr="00535EEF">
        <w:rPr>
          <w:rFonts w:ascii="Times New Roman" w:hAnsi="Times New Roman" w:cs="Times New Roman"/>
          <w:sz w:val="24"/>
          <w:szCs w:val="24"/>
          <w:lang w:val="en-GB"/>
        </w:rPr>
        <w:t xml:space="preserve"> Prager</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R</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A</w:t>
      </w:r>
      <w:r w:rsidR="001A6278" w:rsidRPr="00535EEF">
        <w:rPr>
          <w:rFonts w:ascii="Times New Roman" w:hAnsi="Times New Roman" w:cs="Times New Roman"/>
          <w:sz w:val="24"/>
          <w:szCs w:val="24"/>
          <w:lang w:val="en-GB"/>
        </w:rPr>
        <w:t>.</w:t>
      </w:r>
      <w:r w:rsidR="00B14AFB">
        <w:rPr>
          <w:rFonts w:ascii="Times New Roman" w:hAnsi="Times New Roman" w:cs="Times New Roman"/>
          <w:sz w:val="24"/>
          <w:szCs w:val="24"/>
          <w:lang w:val="en-GB"/>
        </w:rPr>
        <w:t xml:space="preserve"> </w:t>
      </w:r>
      <w:r w:rsidRPr="00535EEF">
        <w:rPr>
          <w:rFonts w:ascii="Times New Roman" w:hAnsi="Times New Roman" w:cs="Times New Roman"/>
          <w:sz w:val="24"/>
          <w:szCs w:val="24"/>
          <w:lang w:val="en-GB"/>
        </w:rPr>
        <w:t>2004</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US"/>
        </w:rPr>
        <w:t>The competitive implication</w:t>
      </w:r>
      <w:r w:rsidR="00B14AFB">
        <w:rPr>
          <w:rFonts w:ascii="Times New Roman" w:hAnsi="Times New Roman" w:cs="Times New Roman"/>
          <w:sz w:val="24"/>
          <w:szCs w:val="24"/>
          <w:lang w:val="en-US"/>
        </w:rPr>
        <w:t>s of multimarket bank branching.”</w:t>
      </w:r>
      <w:r w:rsidRPr="00535EEF">
        <w:rPr>
          <w:rFonts w:ascii="Times New Roman" w:hAnsi="Times New Roman" w:cs="Times New Roman"/>
          <w:sz w:val="24"/>
          <w:szCs w:val="24"/>
          <w:lang w:val="en-US"/>
        </w:rPr>
        <w:t xml:space="preserve"> </w:t>
      </w:r>
      <w:r w:rsidRPr="00535EEF">
        <w:rPr>
          <w:rFonts w:ascii="Times New Roman" w:eastAsiaTheme="minorEastAsia" w:hAnsi="Times New Roman" w:cs="Times New Roman"/>
          <w:i/>
          <w:iCs/>
          <w:sz w:val="24"/>
          <w:szCs w:val="24"/>
          <w:lang w:val="en-GB" w:eastAsia="zh-CN"/>
        </w:rPr>
        <w:t>Journal of Banking &amp; Finance</w:t>
      </w:r>
      <w:r w:rsidR="001A6278" w:rsidRPr="00535EEF">
        <w:rPr>
          <w:rFonts w:ascii="Times New Roman" w:hAnsi="Times New Roman" w:cs="Times New Roman"/>
          <w:sz w:val="24"/>
          <w:szCs w:val="24"/>
          <w:lang w:val="en-US"/>
        </w:rPr>
        <w:t xml:space="preserve"> 28</w:t>
      </w:r>
      <w:r w:rsidR="00B14AFB">
        <w:rPr>
          <w:rFonts w:ascii="Times New Roman" w:hAnsi="Times New Roman" w:cs="Times New Roman"/>
          <w:sz w:val="24"/>
          <w:szCs w:val="24"/>
          <w:lang w:val="en-US"/>
        </w:rPr>
        <w:t>:</w:t>
      </w:r>
      <w:r w:rsidRPr="00535EEF">
        <w:rPr>
          <w:rFonts w:ascii="Times New Roman" w:hAnsi="Times New Roman" w:cs="Times New Roman"/>
          <w:sz w:val="24"/>
          <w:szCs w:val="24"/>
          <w:lang w:val="en-US"/>
        </w:rPr>
        <w:t xml:space="preserve"> 1889-1914.</w:t>
      </w:r>
    </w:p>
    <w:p w14:paraId="01D0ED21" w14:textId="77777777" w:rsidR="003C503E" w:rsidRPr="00535EEF" w:rsidRDefault="003C503E" w:rsidP="003C503E">
      <w:pPr>
        <w:autoSpaceDE w:val="0"/>
        <w:autoSpaceDN w:val="0"/>
        <w:adjustRightInd w:val="0"/>
        <w:spacing w:after="0" w:line="240" w:lineRule="auto"/>
        <w:jc w:val="both"/>
        <w:rPr>
          <w:rFonts w:ascii="Times New Roman" w:hAnsi="Times New Roman" w:cs="Times New Roman"/>
          <w:sz w:val="24"/>
          <w:szCs w:val="24"/>
          <w:lang w:val="en-US"/>
        </w:rPr>
      </w:pPr>
    </w:p>
    <w:p w14:paraId="4725B7A5" w14:textId="4EC3A537" w:rsidR="003C503E" w:rsidRPr="00535EEF" w:rsidRDefault="001A6278" w:rsidP="00B14AFB">
      <w:pPr>
        <w:autoSpaceDE w:val="0"/>
        <w:autoSpaceDN w:val="0"/>
        <w:adjustRightInd w:val="0"/>
        <w:spacing w:after="0" w:line="240" w:lineRule="auto"/>
        <w:jc w:val="both"/>
        <w:rPr>
          <w:rFonts w:ascii="Times New Roman" w:hAnsi="Times New Roman" w:cs="Times New Roman"/>
          <w:sz w:val="24"/>
          <w:szCs w:val="24"/>
          <w:lang w:val="en-US"/>
        </w:rPr>
      </w:pPr>
      <w:r w:rsidRPr="00535EEF">
        <w:rPr>
          <w:rFonts w:ascii="Times New Roman" w:hAnsi="Times New Roman" w:cs="Times New Roman"/>
          <w:sz w:val="24"/>
          <w:szCs w:val="24"/>
          <w:lang w:val="en-GB"/>
        </w:rPr>
        <w:t>Hannan, T.H.</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and Prager, R.A. </w:t>
      </w:r>
      <w:r w:rsidR="003C503E" w:rsidRPr="00535EEF">
        <w:rPr>
          <w:rFonts w:ascii="Times New Roman" w:hAnsi="Times New Roman" w:cs="Times New Roman"/>
          <w:sz w:val="24"/>
          <w:szCs w:val="24"/>
          <w:lang w:val="en-GB"/>
        </w:rPr>
        <w:t xml:space="preserve"> 2009</w:t>
      </w:r>
      <w:r w:rsidR="00B14AFB">
        <w:rPr>
          <w:rFonts w:ascii="Times New Roman" w:hAnsi="Times New Roman" w:cs="Times New Roman"/>
          <w:sz w:val="24"/>
          <w:szCs w:val="24"/>
          <w:lang w:val="en-GB"/>
        </w:rPr>
        <w:t>.</w:t>
      </w:r>
      <w:r w:rsidR="003C503E" w:rsidRPr="00535EEF">
        <w:rPr>
          <w:rFonts w:ascii="Times New Roman" w:hAnsi="Times New Roman" w:cs="Times New Roman"/>
          <w:sz w:val="24"/>
          <w:szCs w:val="24"/>
          <w:lang w:val="en-GB"/>
        </w:rPr>
        <w:t xml:space="preserve"> </w:t>
      </w:r>
      <w:r w:rsidR="00B14AFB">
        <w:rPr>
          <w:rFonts w:ascii="Times New Roman" w:hAnsi="Times New Roman" w:cs="Times New Roman"/>
          <w:sz w:val="24"/>
          <w:szCs w:val="24"/>
          <w:lang w:val="en-GB"/>
        </w:rPr>
        <w:t>“</w:t>
      </w:r>
      <w:r w:rsidR="003C503E" w:rsidRPr="00535EEF">
        <w:rPr>
          <w:rFonts w:ascii="Times New Roman" w:hAnsi="Times New Roman" w:cs="Times New Roman"/>
          <w:sz w:val="24"/>
          <w:szCs w:val="24"/>
          <w:lang w:val="en-GB"/>
        </w:rPr>
        <w:t>The profitability of small single-market banks in an era of multi-market banking</w:t>
      </w:r>
      <w:r w:rsidR="00B14AFB">
        <w:rPr>
          <w:rFonts w:ascii="Times New Roman" w:hAnsi="Times New Roman" w:cs="Times New Roman"/>
          <w:sz w:val="24"/>
          <w:szCs w:val="24"/>
          <w:lang w:val="en-GB"/>
        </w:rPr>
        <w:t>.”</w:t>
      </w:r>
      <w:r w:rsidR="003C503E" w:rsidRPr="00535EEF">
        <w:rPr>
          <w:rFonts w:ascii="Times New Roman" w:hAnsi="Times New Roman" w:cs="Times New Roman"/>
          <w:sz w:val="24"/>
          <w:szCs w:val="24"/>
          <w:lang w:val="en-GB"/>
        </w:rPr>
        <w:t xml:space="preserve"> </w:t>
      </w:r>
      <w:r w:rsidR="003C503E" w:rsidRPr="00535EEF">
        <w:rPr>
          <w:rFonts w:ascii="Times New Roman" w:eastAsiaTheme="minorEastAsia" w:hAnsi="Times New Roman" w:cs="Times New Roman"/>
          <w:i/>
          <w:iCs/>
          <w:sz w:val="24"/>
          <w:szCs w:val="24"/>
          <w:lang w:val="en-GB" w:eastAsia="zh-CN"/>
        </w:rPr>
        <w:t>Journal of Banking &amp; Finance</w:t>
      </w:r>
      <w:r w:rsidR="00B14AFB">
        <w:rPr>
          <w:rFonts w:ascii="Times New Roman" w:eastAsiaTheme="minorEastAsia" w:hAnsi="Times New Roman" w:cs="Times New Roman"/>
          <w:i/>
          <w:iCs/>
          <w:sz w:val="24"/>
          <w:szCs w:val="24"/>
          <w:lang w:val="en-GB" w:eastAsia="zh-CN"/>
        </w:rPr>
        <w:t xml:space="preserve"> </w:t>
      </w:r>
      <w:r w:rsidR="003C503E" w:rsidRPr="00535EEF">
        <w:rPr>
          <w:rFonts w:ascii="Times New Roman" w:hAnsi="Times New Roman" w:cs="Times New Roman"/>
          <w:iCs/>
          <w:sz w:val="24"/>
          <w:szCs w:val="24"/>
          <w:lang w:val="en-GB"/>
        </w:rPr>
        <w:t>33</w:t>
      </w:r>
      <w:r w:rsidR="003C503E" w:rsidRPr="00535EEF">
        <w:rPr>
          <w:rFonts w:ascii="Times New Roman" w:hAnsi="Times New Roman" w:cs="Times New Roman"/>
          <w:sz w:val="24"/>
          <w:szCs w:val="24"/>
          <w:lang w:val="en-GB"/>
        </w:rPr>
        <w:t>(2)</w:t>
      </w:r>
      <w:r w:rsidR="00B14AFB">
        <w:rPr>
          <w:rFonts w:ascii="Times New Roman" w:hAnsi="Times New Roman" w:cs="Times New Roman"/>
          <w:sz w:val="24"/>
          <w:szCs w:val="24"/>
          <w:lang w:val="en-GB"/>
        </w:rPr>
        <w:t>:</w:t>
      </w:r>
      <w:r w:rsidR="003C503E" w:rsidRPr="00535EEF">
        <w:rPr>
          <w:rFonts w:ascii="Times New Roman" w:hAnsi="Times New Roman" w:cs="Times New Roman"/>
          <w:sz w:val="24"/>
          <w:szCs w:val="24"/>
          <w:lang w:val="en-GB"/>
        </w:rPr>
        <w:t xml:space="preserve"> 263-271.</w:t>
      </w:r>
    </w:p>
    <w:p w14:paraId="0D0318AD" w14:textId="77777777" w:rsidR="003C503E" w:rsidRPr="00535EEF" w:rsidRDefault="003C503E" w:rsidP="003C503E">
      <w:pPr>
        <w:spacing w:after="0" w:line="240" w:lineRule="auto"/>
        <w:jc w:val="both"/>
        <w:rPr>
          <w:rFonts w:ascii="Times New Roman" w:eastAsia="Times New Roman" w:hAnsi="Times New Roman" w:cs="Times New Roman"/>
          <w:sz w:val="24"/>
          <w:szCs w:val="24"/>
          <w:lang w:val="en-GB" w:eastAsia="nl-NL"/>
        </w:rPr>
      </w:pPr>
    </w:p>
    <w:p w14:paraId="035F0D22" w14:textId="2B01FCA4" w:rsidR="000D153C" w:rsidRPr="000D153C" w:rsidRDefault="000D153C" w:rsidP="00B14AFB">
      <w:pPr>
        <w:spacing w:after="0" w:line="240" w:lineRule="auto"/>
        <w:jc w:val="both"/>
        <w:rPr>
          <w:rFonts w:ascii="Times New Roman" w:hAnsi="Times New Roman" w:cs="Times New Roman"/>
          <w:sz w:val="24"/>
          <w:szCs w:val="24"/>
          <w:lang w:val="en-GB"/>
        </w:rPr>
      </w:pPr>
      <w:r w:rsidRPr="000D153C">
        <w:rPr>
          <w:rFonts w:ascii="Times New Roman" w:hAnsi="Times New Roman" w:cs="Times New Roman"/>
          <w:sz w:val="24"/>
          <w:szCs w:val="24"/>
          <w:lang w:val="en-GB"/>
        </w:rPr>
        <w:t xml:space="preserve">Harding, M., </w:t>
      </w:r>
      <w:r w:rsidR="00425AC7">
        <w:rPr>
          <w:rFonts w:ascii="Times New Roman" w:hAnsi="Times New Roman" w:cs="Times New Roman"/>
          <w:sz w:val="24"/>
          <w:szCs w:val="24"/>
          <w:lang w:val="en-GB"/>
        </w:rPr>
        <w:t xml:space="preserve">and </w:t>
      </w:r>
      <w:r w:rsidRPr="000D153C">
        <w:rPr>
          <w:rFonts w:ascii="Times New Roman" w:hAnsi="Times New Roman" w:cs="Times New Roman"/>
          <w:sz w:val="24"/>
          <w:szCs w:val="24"/>
          <w:lang w:val="en-GB"/>
        </w:rPr>
        <w:t xml:space="preserve">Lamarche, C. 2009. “A Quantile Regression Approach for Estimating Panel Data Models </w:t>
      </w:r>
      <w:r>
        <w:rPr>
          <w:rFonts w:ascii="Times New Roman" w:hAnsi="Times New Roman" w:cs="Times New Roman"/>
          <w:sz w:val="24"/>
          <w:szCs w:val="24"/>
          <w:lang w:val="en-GB"/>
        </w:rPr>
        <w:t>Using Instrumental Variables</w:t>
      </w:r>
      <w:r w:rsidRPr="000D153C">
        <w:rPr>
          <w:rFonts w:ascii="Times New Roman" w:hAnsi="Times New Roman" w:cs="Times New Roman"/>
          <w:sz w:val="24"/>
          <w:szCs w:val="24"/>
          <w:lang w:val="en-GB"/>
        </w:rPr>
        <w:t xml:space="preserve">.” </w:t>
      </w:r>
      <w:r w:rsidRPr="000D153C">
        <w:rPr>
          <w:rFonts w:ascii="Times New Roman" w:hAnsi="Times New Roman" w:cs="Times New Roman"/>
          <w:i/>
          <w:sz w:val="24"/>
          <w:szCs w:val="24"/>
          <w:lang w:val="en-GB"/>
        </w:rPr>
        <w:t>Economics Letters</w:t>
      </w:r>
      <w:r w:rsidRPr="000D153C">
        <w:rPr>
          <w:rFonts w:ascii="Times New Roman" w:hAnsi="Times New Roman" w:cs="Times New Roman"/>
          <w:sz w:val="24"/>
          <w:szCs w:val="24"/>
          <w:lang w:val="en-GB"/>
        </w:rPr>
        <w:t xml:space="preserve"> 104: 133-135.</w:t>
      </w:r>
    </w:p>
    <w:p w14:paraId="13BA0550" w14:textId="77777777" w:rsidR="000D153C" w:rsidRDefault="000D153C" w:rsidP="00B14AFB">
      <w:pPr>
        <w:spacing w:after="0" w:line="240" w:lineRule="auto"/>
        <w:jc w:val="both"/>
        <w:rPr>
          <w:rFonts w:ascii="Times New Roman" w:eastAsia="Times New Roman" w:hAnsi="Times New Roman" w:cs="Times New Roman"/>
          <w:sz w:val="24"/>
          <w:szCs w:val="24"/>
          <w:lang w:val="en-GB" w:eastAsia="nl-NL"/>
        </w:rPr>
      </w:pPr>
    </w:p>
    <w:p w14:paraId="4AD66642" w14:textId="693383F7" w:rsidR="003C503E" w:rsidRPr="00535EEF" w:rsidRDefault="003C503E" w:rsidP="00B14AFB">
      <w:pPr>
        <w:spacing w:after="0" w:line="240" w:lineRule="auto"/>
        <w:jc w:val="both"/>
        <w:rPr>
          <w:rFonts w:ascii="Times New Roman" w:eastAsia="Times New Roman" w:hAnsi="Times New Roman" w:cs="Times New Roman"/>
          <w:sz w:val="24"/>
          <w:szCs w:val="24"/>
          <w:lang w:val="en-GB" w:eastAsia="nl-NL"/>
        </w:rPr>
      </w:pPr>
      <w:r w:rsidRPr="00535EEF">
        <w:rPr>
          <w:rFonts w:ascii="Times New Roman" w:eastAsia="Times New Roman" w:hAnsi="Times New Roman" w:cs="Times New Roman"/>
          <w:sz w:val="24"/>
          <w:szCs w:val="24"/>
          <w:lang w:val="en-GB" w:eastAsia="nl-NL"/>
        </w:rPr>
        <w:t>Hirtle</w:t>
      </w:r>
      <w:r w:rsidR="001A6278" w:rsidRPr="00535EEF">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 xml:space="preserve"> B</w:t>
      </w:r>
      <w:r w:rsidR="001A6278" w:rsidRPr="00535EEF">
        <w:rPr>
          <w:rFonts w:ascii="Times New Roman" w:eastAsia="Times New Roman" w:hAnsi="Times New Roman" w:cs="Times New Roman"/>
          <w:sz w:val="24"/>
          <w:szCs w:val="24"/>
          <w:lang w:val="en-GB" w:eastAsia="nl-NL"/>
        </w:rPr>
        <w:t>.</w:t>
      </w:r>
      <w:r w:rsidR="00B14AFB">
        <w:rPr>
          <w:rFonts w:ascii="Times New Roman" w:eastAsia="Times New Roman" w:hAnsi="Times New Roman" w:cs="Times New Roman"/>
          <w:sz w:val="24"/>
          <w:szCs w:val="24"/>
          <w:lang w:val="en-GB" w:eastAsia="nl-NL"/>
        </w:rPr>
        <w:t xml:space="preserve"> </w:t>
      </w:r>
      <w:r w:rsidRPr="00535EEF">
        <w:rPr>
          <w:rFonts w:ascii="Times New Roman" w:eastAsia="Times New Roman" w:hAnsi="Times New Roman" w:cs="Times New Roman"/>
          <w:sz w:val="24"/>
          <w:szCs w:val="24"/>
          <w:lang w:val="en-GB" w:eastAsia="nl-NL"/>
        </w:rPr>
        <w:t>2007</w:t>
      </w:r>
      <w:r w:rsidR="00B14AFB">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 xml:space="preserve"> </w:t>
      </w:r>
      <w:r w:rsidR="00B14AFB">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The impact of network size on bank branch performance.</w:t>
      </w:r>
      <w:r w:rsidR="00B14AFB">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 xml:space="preserve"> </w:t>
      </w:r>
      <w:r w:rsidRPr="00535EEF">
        <w:rPr>
          <w:rFonts w:ascii="Times New Roman" w:eastAsiaTheme="minorEastAsia" w:hAnsi="Times New Roman" w:cs="Times New Roman"/>
          <w:i/>
          <w:iCs/>
          <w:sz w:val="24"/>
          <w:szCs w:val="24"/>
          <w:lang w:val="en-GB" w:eastAsia="zh-CN"/>
        </w:rPr>
        <w:t>Journal Banking &amp; Finance</w:t>
      </w:r>
      <w:r w:rsidR="00B14AFB">
        <w:rPr>
          <w:rFonts w:ascii="Times New Roman" w:eastAsiaTheme="minorEastAsia" w:hAnsi="Times New Roman" w:cs="Times New Roman"/>
          <w:i/>
          <w:iCs/>
          <w:sz w:val="24"/>
          <w:szCs w:val="24"/>
          <w:lang w:val="en-GB" w:eastAsia="zh-CN"/>
        </w:rPr>
        <w:t xml:space="preserve"> </w:t>
      </w:r>
      <w:r w:rsidRPr="00535EEF">
        <w:rPr>
          <w:rFonts w:ascii="Times New Roman" w:eastAsia="Times New Roman" w:hAnsi="Times New Roman" w:cs="Times New Roman"/>
          <w:iCs/>
          <w:sz w:val="24"/>
          <w:szCs w:val="24"/>
          <w:lang w:val="en-GB" w:eastAsia="nl-NL"/>
        </w:rPr>
        <w:t>31</w:t>
      </w:r>
      <w:r w:rsidRPr="00535EEF">
        <w:rPr>
          <w:rFonts w:ascii="Times New Roman" w:eastAsia="Times New Roman" w:hAnsi="Times New Roman" w:cs="Times New Roman"/>
          <w:sz w:val="24"/>
          <w:szCs w:val="24"/>
          <w:lang w:val="en-GB" w:eastAsia="nl-NL"/>
        </w:rPr>
        <w:t>(12)</w:t>
      </w:r>
      <w:r w:rsidR="00B14AFB">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 xml:space="preserve"> 3782-3805.</w:t>
      </w:r>
    </w:p>
    <w:p w14:paraId="1E1DE1C6" w14:textId="77777777" w:rsidR="003C503E" w:rsidRPr="00535EEF" w:rsidRDefault="003C503E" w:rsidP="003C503E">
      <w:pPr>
        <w:autoSpaceDE w:val="0"/>
        <w:autoSpaceDN w:val="0"/>
        <w:adjustRightInd w:val="0"/>
        <w:spacing w:after="0" w:line="240" w:lineRule="auto"/>
        <w:jc w:val="both"/>
        <w:rPr>
          <w:rFonts w:ascii="Times New Roman" w:hAnsi="Times New Roman" w:cs="Times New Roman"/>
          <w:sz w:val="24"/>
          <w:szCs w:val="24"/>
          <w:lang w:val="en-GB"/>
        </w:rPr>
      </w:pPr>
    </w:p>
    <w:p w14:paraId="7B6B1CB4" w14:textId="60EF4433" w:rsidR="003C503E" w:rsidRPr="00535EEF" w:rsidRDefault="003C503E" w:rsidP="00B14AFB">
      <w:pPr>
        <w:autoSpaceDE w:val="0"/>
        <w:autoSpaceDN w:val="0"/>
        <w:adjustRightInd w:val="0"/>
        <w:spacing w:after="0" w:line="240" w:lineRule="auto"/>
        <w:jc w:val="both"/>
        <w:rPr>
          <w:rFonts w:ascii="Times New Roman" w:hAnsi="Times New Roman" w:cs="Times New Roman"/>
          <w:sz w:val="24"/>
          <w:szCs w:val="24"/>
          <w:lang w:val="en-US"/>
        </w:rPr>
      </w:pPr>
      <w:r w:rsidRPr="00BD18D8">
        <w:rPr>
          <w:rFonts w:ascii="Times New Roman" w:hAnsi="Times New Roman" w:cs="Times New Roman"/>
          <w:sz w:val="24"/>
          <w:szCs w:val="24"/>
          <w:lang w:val="en-GB"/>
        </w:rPr>
        <w:t>Humphrey</w:t>
      </w:r>
      <w:r w:rsidR="001A6278" w:rsidRPr="00BD18D8">
        <w:rPr>
          <w:rFonts w:ascii="Times New Roman" w:hAnsi="Times New Roman" w:cs="Times New Roman"/>
          <w:sz w:val="24"/>
          <w:szCs w:val="24"/>
          <w:lang w:val="en-GB"/>
        </w:rPr>
        <w:t>,</w:t>
      </w:r>
      <w:r w:rsidRPr="00BD18D8">
        <w:rPr>
          <w:rFonts w:ascii="Times New Roman" w:hAnsi="Times New Roman" w:cs="Times New Roman"/>
          <w:sz w:val="24"/>
          <w:szCs w:val="24"/>
          <w:lang w:val="en-GB"/>
        </w:rPr>
        <w:t xml:space="preserve"> D</w:t>
      </w:r>
      <w:r w:rsidR="001A6278" w:rsidRPr="00BD18D8">
        <w:rPr>
          <w:rFonts w:ascii="Times New Roman" w:hAnsi="Times New Roman" w:cs="Times New Roman"/>
          <w:sz w:val="24"/>
          <w:szCs w:val="24"/>
          <w:lang w:val="en-GB"/>
        </w:rPr>
        <w:t>.</w:t>
      </w:r>
      <w:r w:rsidRPr="00BD18D8">
        <w:rPr>
          <w:rFonts w:ascii="Times New Roman" w:hAnsi="Times New Roman" w:cs="Times New Roman"/>
          <w:sz w:val="24"/>
          <w:szCs w:val="24"/>
          <w:lang w:val="en-GB"/>
        </w:rPr>
        <w:t>, Willesson</w:t>
      </w:r>
      <w:r w:rsidR="001A6278" w:rsidRPr="00BD18D8">
        <w:rPr>
          <w:rFonts w:ascii="Times New Roman" w:hAnsi="Times New Roman" w:cs="Times New Roman"/>
          <w:sz w:val="24"/>
          <w:szCs w:val="24"/>
          <w:lang w:val="en-GB"/>
        </w:rPr>
        <w:t>,</w:t>
      </w:r>
      <w:r w:rsidRPr="00BD18D8">
        <w:rPr>
          <w:rFonts w:ascii="Times New Roman" w:hAnsi="Times New Roman" w:cs="Times New Roman"/>
          <w:sz w:val="24"/>
          <w:szCs w:val="24"/>
          <w:lang w:val="en-GB"/>
        </w:rPr>
        <w:t xml:space="preserve"> M</w:t>
      </w:r>
      <w:r w:rsidR="001A6278" w:rsidRPr="00BD18D8">
        <w:rPr>
          <w:rFonts w:ascii="Times New Roman" w:hAnsi="Times New Roman" w:cs="Times New Roman"/>
          <w:sz w:val="24"/>
          <w:szCs w:val="24"/>
          <w:lang w:val="en-GB"/>
        </w:rPr>
        <w:t>.</w:t>
      </w:r>
      <w:r w:rsidRPr="00BD18D8">
        <w:rPr>
          <w:rFonts w:ascii="Times New Roman" w:hAnsi="Times New Roman" w:cs="Times New Roman"/>
          <w:sz w:val="24"/>
          <w:szCs w:val="24"/>
          <w:lang w:val="en-GB"/>
        </w:rPr>
        <w:t>, Bergendahl</w:t>
      </w:r>
      <w:r w:rsidR="001A6278" w:rsidRPr="00BD18D8">
        <w:rPr>
          <w:rFonts w:ascii="Times New Roman" w:hAnsi="Times New Roman" w:cs="Times New Roman"/>
          <w:sz w:val="24"/>
          <w:szCs w:val="24"/>
          <w:lang w:val="en-GB"/>
        </w:rPr>
        <w:t>,</w:t>
      </w:r>
      <w:r w:rsidRPr="00BD18D8">
        <w:rPr>
          <w:rFonts w:ascii="Times New Roman" w:hAnsi="Times New Roman" w:cs="Times New Roman"/>
          <w:sz w:val="24"/>
          <w:szCs w:val="24"/>
          <w:lang w:val="en-GB"/>
        </w:rPr>
        <w:t xml:space="preserve"> G</w:t>
      </w:r>
      <w:r w:rsidR="001A6278" w:rsidRPr="00BD18D8">
        <w:rPr>
          <w:rFonts w:ascii="Times New Roman" w:hAnsi="Times New Roman" w:cs="Times New Roman"/>
          <w:sz w:val="24"/>
          <w:szCs w:val="24"/>
          <w:lang w:val="en-GB"/>
        </w:rPr>
        <w:t>.</w:t>
      </w:r>
      <w:r w:rsidR="00B14AFB" w:rsidRPr="00BD18D8">
        <w:rPr>
          <w:rFonts w:ascii="Times New Roman" w:hAnsi="Times New Roman" w:cs="Times New Roman"/>
          <w:sz w:val="24"/>
          <w:szCs w:val="24"/>
          <w:lang w:val="en-GB"/>
        </w:rPr>
        <w:t>,</w:t>
      </w:r>
      <w:r w:rsidR="001A6278" w:rsidRPr="00BD18D8">
        <w:rPr>
          <w:rFonts w:ascii="Times New Roman" w:hAnsi="Times New Roman" w:cs="Times New Roman"/>
          <w:sz w:val="24"/>
          <w:szCs w:val="24"/>
          <w:lang w:val="en-GB"/>
        </w:rPr>
        <w:t xml:space="preserve"> and</w:t>
      </w:r>
      <w:r w:rsidRPr="00BD18D8">
        <w:rPr>
          <w:rFonts w:ascii="Times New Roman" w:hAnsi="Times New Roman" w:cs="Times New Roman"/>
          <w:sz w:val="24"/>
          <w:szCs w:val="24"/>
          <w:lang w:val="en-GB"/>
        </w:rPr>
        <w:t xml:space="preserve"> Lindblom</w:t>
      </w:r>
      <w:r w:rsidR="001A6278" w:rsidRPr="00BD18D8">
        <w:rPr>
          <w:rFonts w:ascii="Times New Roman" w:hAnsi="Times New Roman" w:cs="Times New Roman"/>
          <w:sz w:val="24"/>
          <w:szCs w:val="24"/>
          <w:lang w:val="en-GB"/>
        </w:rPr>
        <w:t>,</w:t>
      </w:r>
      <w:r w:rsidRPr="00BD18D8">
        <w:rPr>
          <w:rFonts w:ascii="Times New Roman" w:hAnsi="Times New Roman" w:cs="Times New Roman"/>
          <w:sz w:val="24"/>
          <w:szCs w:val="24"/>
          <w:lang w:val="en-GB"/>
        </w:rPr>
        <w:t xml:space="preserve"> T</w:t>
      </w:r>
      <w:r w:rsidR="001A6278" w:rsidRPr="00BD18D8">
        <w:rPr>
          <w:rFonts w:ascii="Times New Roman" w:hAnsi="Times New Roman" w:cs="Times New Roman"/>
          <w:sz w:val="24"/>
          <w:szCs w:val="24"/>
          <w:lang w:val="en-GB"/>
        </w:rPr>
        <w:t>.</w:t>
      </w:r>
      <w:r w:rsidR="00B14AFB" w:rsidRPr="00BD18D8">
        <w:rPr>
          <w:rFonts w:ascii="Times New Roman" w:hAnsi="Times New Roman" w:cs="Times New Roman"/>
          <w:sz w:val="24"/>
          <w:szCs w:val="24"/>
          <w:lang w:val="en-GB"/>
        </w:rPr>
        <w:t xml:space="preserve"> </w:t>
      </w:r>
      <w:r w:rsidRPr="00BD18D8">
        <w:rPr>
          <w:rFonts w:ascii="Times New Roman" w:hAnsi="Times New Roman" w:cs="Times New Roman"/>
          <w:sz w:val="24"/>
          <w:szCs w:val="24"/>
          <w:lang w:val="en-GB"/>
        </w:rPr>
        <w:t>2006</w:t>
      </w:r>
      <w:r w:rsidR="00B14AFB" w:rsidRPr="00BD18D8">
        <w:rPr>
          <w:rFonts w:ascii="Times New Roman" w:hAnsi="Times New Roman" w:cs="Times New Roman"/>
          <w:sz w:val="24"/>
          <w:szCs w:val="24"/>
          <w:lang w:val="en-GB"/>
        </w:rPr>
        <w:t>.</w:t>
      </w:r>
      <w:r w:rsidRPr="00BD18D8">
        <w:rPr>
          <w:rFonts w:ascii="Times New Roman" w:hAnsi="Times New Roman" w:cs="Times New Roman"/>
          <w:sz w:val="24"/>
          <w:szCs w:val="24"/>
          <w:lang w:val="en-GB"/>
        </w:rPr>
        <w:t xml:space="preserve"> </w:t>
      </w:r>
      <w:r w:rsidR="00B14AFB" w:rsidRPr="00BD18D8">
        <w:rPr>
          <w:rFonts w:ascii="Times New Roman" w:hAnsi="Times New Roman" w:cs="Times New Roman"/>
          <w:sz w:val="24"/>
          <w:szCs w:val="24"/>
          <w:lang w:val="en-GB"/>
        </w:rPr>
        <w:t>“</w:t>
      </w:r>
      <w:r w:rsidRPr="00BD18D8">
        <w:rPr>
          <w:rFonts w:ascii="Times New Roman" w:hAnsi="Times New Roman" w:cs="Times New Roman"/>
          <w:sz w:val="24"/>
          <w:szCs w:val="24"/>
          <w:lang w:val="en-US"/>
        </w:rPr>
        <w:t>Benefits from a changing payment technology in European</w:t>
      </w:r>
      <w:r w:rsidRPr="00535EEF">
        <w:rPr>
          <w:rFonts w:ascii="Times New Roman" w:hAnsi="Times New Roman" w:cs="Times New Roman"/>
          <w:sz w:val="24"/>
          <w:szCs w:val="24"/>
          <w:lang w:val="en-US"/>
        </w:rPr>
        <w:t xml:space="preserve"> banking</w:t>
      </w:r>
      <w:r w:rsidR="00B14AFB">
        <w:rPr>
          <w:rFonts w:ascii="Times New Roman" w:hAnsi="Times New Roman" w:cs="Times New Roman"/>
          <w:sz w:val="24"/>
          <w:szCs w:val="24"/>
          <w:lang w:val="en-US"/>
        </w:rPr>
        <w:t>.”</w:t>
      </w:r>
      <w:r w:rsidR="001A6278" w:rsidRPr="00535EEF">
        <w:rPr>
          <w:rFonts w:ascii="Times New Roman" w:hAnsi="Times New Roman" w:cs="Times New Roman"/>
          <w:sz w:val="24"/>
          <w:szCs w:val="24"/>
          <w:lang w:val="en-US"/>
        </w:rPr>
        <w:t xml:space="preserve"> </w:t>
      </w:r>
      <w:r w:rsidRPr="00535EEF">
        <w:rPr>
          <w:rFonts w:ascii="Times New Roman" w:hAnsi="Times New Roman" w:cs="Times New Roman"/>
          <w:i/>
          <w:iCs/>
          <w:sz w:val="24"/>
          <w:szCs w:val="24"/>
          <w:lang w:val="en-US"/>
        </w:rPr>
        <w:t>Journal of Banking &amp; Finance</w:t>
      </w:r>
      <w:r w:rsidRPr="00535EEF">
        <w:rPr>
          <w:rFonts w:ascii="Times New Roman" w:hAnsi="Times New Roman" w:cs="Times New Roman"/>
          <w:sz w:val="24"/>
          <w:szCs w:val="24"/>
          <w:lang w:val="en-US"/>
        </w:rPr>
        <w:t xml:space="preserve"> 30</w:t>
      </w:r>
      <w:r w:rsidR="00B14AFB">
        <w:rPr>
          <w:rFonts w:ascii="Times New Roman" w:hAnsi="Times New Roman" w:cs="Times New Roman"/>
          <w:sz w:val="24"/>
          <w:szCs w:val="24"/>
          <w:lang w:val="en-US"/>
        </w:rPr>
        <w:t>:</w:t>
      </w:r>
      <w:r w:rsidRPr="00535EEF">
        <w:rPr>
          <w:rFonts w:ascii="Times New Roman" w:hAnsi="Times New Roman" w:cs="Times New Roman"/>
          <w:sz w:val="24"/>
          <w:szCs w:val="24"/>
          <w:lang w:val="en-US"/>
        </w:rPr>
        <w:t xml:space="preserve"> 1631-1652.</w:t>
      </w:r>
    </w:p>
    <w:p w14:paraId="573912EF" w14:textId="77777777" w:rsidR="003C503E" w:rsidRPr="00535EEF" w:rsidRDefault="003C503E" w:rsidP="003C503E">
      <w:pPr>
        <w:autoSpaceDE w:val="0"/>
        <w:autoSpaceDN w:val="0"/>
        <w:adjustRightInd w:val="0"/>
        <w:spacing w:after="0" w:line="240" w:lineRule="auto"/>
        <w:jc w:val="both"/>
        <w:rPr>
          <w:rFonts w:ascii="Times New Roman" w:hAnsi="Times New Roman" w:cs="Times New Roman"/>
          <w:sz w:val="24"/>
          <w:szCs w:val="24"/>
          <w:lang w:val="en-GB"/>
        </w:rPr>
      </w:pPr>
    </w:p>
    <w:p w14:paraId="43984A3E" w14:textId="6FAE7599" w:rsidR="003C503E" w:rsidRPr="00535EEF" w:rsidRDefault="003C503E" w:rsidP="00B14AFB">
      <w:pPr>
        <w:autoSpaceDE w:val="0"/>
        <w:autoSpaceDN w:val="0"/>
        <w:adjustRightInd w:val="0"/>
        <w:spacing w:after="0" w:line="240" w:lineRule="auto"/>
        <w:jc w:val="both"/>
        <w:rPr>
          <w:rFonts w:ascii="Times New Roman" w:hAnsi="Times New Roman" w:cs="Times New Roman"/>
          <w:sz w:val="24"/>
          <w:szCs w:val="24"/>
          <w:lang w:val="en-GB"/>
        </w:rPr>
      </w:pPr>
      <w:r w:rsidRPr="00535EEF">
        <w:rPr>
          <w:rFonts w:ascii="Times New Roman" w:hAnsi="Times New Roman" w:cs="Times New Roman"/>
          <w:sz w:val="24"/>
          <w:szCs w:val="24"/>
          <w:lang w:val="en-GB"/>
        </w:rPr>
        <w:t>Jayaratne</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J</w:t>
      </w:r>
      <w:r w:rsidR="001A6278" w:rsidRPr="00535EEF">
        <w:rPr>
          <w:rFonts w:ascii="Times New Roman" w:hAnsi="Times New Roman" w:cs="Times New Roman"/>
          <w:sz w:val="24"/>
          <w:szCs w:val="24"/>
          <w:lang w:val="en-GB"/>
        </w:rPr>
        <w:t>.</w:t>
      </w:r>
      <w:r w:rsidR="00B14AFB">
        <w:rPr>
          <w:rFonts w:ascii="Times New Roman" w:hAnsi="Times New Roman" w:cs="Times New Roman"/>
          <w:sz w:val="24"/>
          <w:szCs w:val="24"/>
          <w:lang w:val="en-GB"/>
        </w:rPr>
        <w:t>,</w:t>
      </w:r>
      <w:r w:rsidR="001A6278" w:rsidRPr="00535EEF">
        <w:rPr>
          <w:rFonts w:ascii="Times New Roman" w:hAnsi="Times New Roman" w:cs="Times New Roman"/>
          <w:sz w:val="24"/>
          <w:szCs w:val="24"/>
          <w:lang w:val="en-GB"/>
        </w:rPr>
        <w:t xml:space="preserve"> and</w:t>
      </w:r>
      <w:r w:rsidRPr="00535EEF">
        <w:rPr>
          <w:rFonts w:ascii="Times New Roman" w:hAnsi="Times New Roman" w:cs="Times New Roman"/>
          <w:sz w:val="24"/>
          <w:szCs w:val="24"/>
          <w:lang w:val="en-GB"/>
        </w:rPr>
        <w:t xml:space="preserve"> Strahan</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P</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E</w:t>
      </w:r>
      <w:r w:rsidR="001A6278" w:rsidRPr="00535EEF">
        <w:rPr>
          <w:rFonts w:ascii="Times New Roman" w:hAnsi="Times New Roman" w:cs="Times New Roman"/>
          <w:sz w:val="24"/>
          <w:szCs w:val="24"/>
          <w:lang w:val="en-GB"/>
        </w:rPr>
        <w:t>.</w:t>
      </w:r>
      <w:r w:rsidR="00B14AFB">
        <w:rPr>
          <w:rFonts w:ascii="Times New Roman" w:hAnsi="Times New Roman" w:cs="Times New Roman"/>
          <w:sz w:val="24"/>
          <w:szCs w:val="24"/>
          <w:lang w:val="en-GB"/>
        </w:rPr>
        <w:t xml:space="preserve"> </w:t>
      </w:r>
      <w:r w:rsidRPr="00535EEF">
        <w:rPr>
          <w:rFonts w:ascii="Times New Roman" w:hAnsi="Times New Roman" w:cs="Times New Roman"/>
          <w:sz w:val="24"/>
          <w:szCs w:val="24"/>
          <w:lang w:val="en-GB"/>
        </w:rPr>
        <w:t>1998</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Entry restrictions, industry evolution, and dynamic efficiency: Evidence from commercial banking</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w:t>
      </w:r>
      <w:r w:rsidRPr="00535EEF">
        <w:rPr>
          <w:rFonts w:ascii="Times New Roman" w:hAnsi="Times New Roman" w:cs="Times New Roman"/>
          <w:i/>
          <w:iCs/>
          <w:sz w:val="24"/>
          <w:szCs w:val="24"/>
          <w:lang w:val="en-GB"/>
        </w:rPr>
        <w:t>The Journal of Law and Economics</w:t>
      </w:r>
      <w:r w:rsidR="00B14AFB">
        <w:rPr>
          <w:rFonts w:ascii="Times New Roman" w:hAnsi="Times New Roman" w:cs="Times New Roman"/>
          <w:i/>
          <w:iCs/>
          <w:sz w:val="24"/>
          <w:szCs w:val="24"/>
          <w:lang w:val="en-GB"/>
        </w:rPr>
        <w:t xml:space="preserve"> </w:t>
      </w:r>
      <w:r w:rsidRPr="00535EEF">
        <w:rPr>
          <w:rFonts w:ascii="Times New Roman" w:hAnsi="Times New Roman" w:cs="Times New Roman"/>
          <w:iCs/>
          <w:sz w:val="24"/>
          <w:szCs w:val="24"/>
          <w:lang w:val="en-GB"/>
        </w:rPr>
        <w:t>41(1)</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239-274.</w:t>
      </w:r>
    </w:p>
    <w:p w14:paraId="44650A2F" w14:textId="77777777" w:rsidR="003C503E" w:rsidRPr="00535EEF" w:rsidRDefault="003C503E" w:rsidP="003C503E">
      <w:pPr>
        <w:autoSpaceDE w:val="0"/>
        <w:autoSpaceDN w:val="0"/>
        <w:adjustRightInd w:val="0"/>
        <w:spacing w:after="0" w:line="240" w:lineRule="auto"/>
        <w:jc w:val="both"/>
        <w:rPr>
          <w:rFonts w:ascii="Times New Roman" w:hAnsi="Times New Roman" w:cs="Times New Roman"/>
          <w:sz w:val="24"/>
          <w:szCs w:val="24"/>
          <w:lang w:val="en-GB"/>
        </w:rPr>
      </w:pPr>
    </w:p>
    <w:p w14:paraId="728BD337" w14:textId="3D0A7E16" w:rsidR="007B673C" w:rsidRPr="00535EEF" w:rsidRDefault="007B673C" w:rsidP="007B673C">
      <w:pPr>
        <w:autoSpaceDE w:val="0"/>
        <w:autoSpaceDN w:val="0"/>
        <w:adjustRightInd w:val="0"/>
        <w:spacing w:after="0" w:line="240" w:lineRule="auto"/>
        <w:jc w:val="both"/>
        <w:rPr>
          <w:rFonts w:ascii="Times New Roman" w:hAnsi="Times New Roman" w:cs="Times New Roman"/>
          <w:sz w:val="24"/>
          <w:szCs w:val="24"/>
          <w:lang w:val="en-GB"/>
        </w:rPr>
      </w:pPr>
      <w:r w:rsidRPr="00535EEF">
        <w:rPr>
          <w:rFonts w:ascii="Times New Roman" w:hAnsi="Times New Roman" w:cs="Times New Roman"/>
          <w:sz w:val="24"/>
          <w:szCs w:val="24"/>
          <w:lang w:val="en-GB"/>
        </w:rPr>
        <w:t>Koetter, M., Kolari, J.</w:t>
      </w:r>
      <w:r w:rsidR="00B14AFB">
        <w:rPr>
          <w:rFonts w:ascii="Times New Roman" w:hAnsi="Times New Roman" w:cs="Times New Roman"/>
          <w:sz w:val="24"/>
          <w:szCs w:val="24"/>
          <w:lang w:val="en-GB"/>
        </w:rPr>
        <w:t>, and Spierdijk, L.</w:t>
      </w:r>
      <w:r w:rsidRPr="00535EEF">
        <w:rPr>
          <w:rFonts w:ascii="Times New Roman" w:hAnsi="Times New Roman" w:cs="Times New Roman"/>
          <w:sz w:val="24"/>
          <w:szCs w:val="24"/>
          <w:lang w:val="en-GB"/>
        </w:rPr>
        <w:t xml:space="preserve"> 2012. </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Enjoying the Quiet Life under Deregulation?: Evidence from Adjuste</w:t>
      </w:r>
      <w:r w:rsidR="00B14AFB">
        <w:rPr>
          <w:rFonts w:ascii="Times New Roman" w:hAnsi="Times New Roman" w:cs="Times New Roman"/>
          <w:sz w:val="24"/>
          <w:szCs w:val="24"/>
          <w:lang w:val="en-GB"/>
        </w:rPr>
        <w:t>d Lerner Indices for U.S. Banks.”</w:t>
      </w:r>
      <w:r w:rsidRPr="00535EEF">
        <w:rPr>
          <w:rFonts w:ascii="Times New Roman" w:hAnsi="Times New Roman" w:cs="Times New Roman"/>
          <w:sz w:val="24"/>
          <w:szCs w:val="24"/>
          <w:lang w:val="en-GB"/>
        </w:rPr>
        <w:t xml:space="preserve"> </w:t>
      </w:r>
      <w:r w:rsidRPr="00535EEF">
        <w:rPr>
          <w:rFonts w:ascii="Times New Roman" w:hAnsi="Times New Roman" w:cs="Times New Roman"/>
          <w:i/>
          <w:iCs/>
          <w:sz w:val="24"/>
          <w:szCs w:val="24"/>
          <w:lang w:val="en-GB"/>
        </w:rPr>
        <w:t>Review of Economics and Statistics</w:t>
      </w:r>
      <w:r w:rsidRPr="00535EEF">
        <w:rPr>
          <w:rFonts w:ascii="Times New Roman" w:hAnsi="Times New Roman" w:cs="Times New Roman"/>
          <w:sz w:val="24"/>
          <w:szCs w:val="24"/>
          <w:lang w:val="en-GB"/>
        </w:rPr>
        <w:t xml:space="preserve"> </w:t>
      </w:r>
      <w:r w:rsidR="00B14AFB">
        <w:rPr>
          <w:rFonts w:ascii="Times New Roman" w:hAnsi="Times New Roman" w:cs="Times New Roman"/>
          <w:sz w:val="24"/>
          <w:szCs w:val="24"/>
          <w:lang w:val="en-GB"/>
        </w:rPr>
        <w:t>94(2):</w:t>
      </w:r>
      <w:r w:rsidRPr="00535EEF">
        <w:rPr>
          <w:rFonts w:ascii="Times New Roman" w:hAnsi="Times New Roman" w:cs="Times New Roman"/>
          <w:sz w:val="24"/>
          <w:szCs w:val="24"/>
          <w:lang w:val="en-GB"/>
        </w:rPr>
        <w:t xml:space="preserve"> 462-480.</w:t>
      </w:r>
    </w:p>
    <w:p w14:paraId="7FB6197D" w14:textId="77777777" w:rsidR="007B673C" w:rsidRPr="00535EEF" w:rsidRDefault="007B673C" w:rsidP="001A6278">
      <w:pPr>
        <w:autoSpaceDE w:val="0"/>
        <w:autoSpaceDN w:val="0"/>
        <w:adjustRightInd w:val="0"/>
        <w:spacing w:after="0" w:line="240" w:lineRule="auto"/>
        <w:jc w:val="both"/>
        <w:rPr>
          <w:rFonts w:ascii="Times New Roman" w:hAnsi="Times New Roman" w:cs="Times New Roman"/>
          <w:sz w:val="24"/>
          <w:szCs w:val="24"/>
          <w:lang w:val="en-GB"/>
        </w:rPr>
      </w:pPr>
    </w:p>
    <w:p w14:paraId="734488DC" w14:textId="774C7EAC" w:rsidR="003C503E" w:rsidRPr="00535EEF" w:rsidRDefault="003C503E" w:rsidP="00B14AFB">
      <w:pPr>
        <w:autoSpaceDE w:val="0"/>
        <w:autoSpaceDN w:val="0"/>
        <w:adjustRightInd w:val="0"/>
        <w:spacing w:after="0" w:line="240" w:lineRule="auto"/>
        <w:jc w:val="both"/>
        <w:rPr>
          <w:rFonts w:ascii="Times New Roman" w:hAnsi="Times New Roman" w:cs="Times New Roman"/>
          <w:sz w:val="24"/>
          <w:szCs w:val="24"/>
          <w:lang w:val="en-US"/>
        </w:rPr>
      </w:pPr>
      <w:r w:rsidRPr="00535EEF">
        <w:rPr>
          <w:rFonts w:ascii="Times New Roman" w:hAnsi="Times New Roman" w:cs="Times New Roman"/>
          <w:sz w:val="24"/>
          <w:szCs w:val="24"/>
          <w:lang w:val="en-GB"/>
        </w:rPr>
        <w:t>Kroszner</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R</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S</w:t>
      </w:r>
      <w:r w:rsidR="001A6278" w:rsidRPr="00535EEF">
        <w:rPr>
          <w:rFonts w:ascii="Times New Roman" w:hAnsi="Times New Roman" w:cs="Times New Roman"/>
          <w:sz w:val="24"/>
          <w:szCs w:val="24"/>
          <w:lang w:val="en-GB"/>
        </w:rPr>
        <w:t>.</w:t>
      </w:r>
      <w:r w:rsidR="00B14AFB">
        <w:rPr>
          <w:rFonts w:ascii="Times New Roman" w:hAnsi="Times New Roman" w:cs="Times New Roman"/>
          <w:sz w:val="24"/>
          <w:szCs w:val="24"/>
          <w:lang w:val="en-GB"/>
        </w:rPr>
        <w:t>,</w:t>
      </w:r>
      <w:r w:rsidR="001A6278" w:rsidRPr="00535EEF">
        <w:rPr>
          <w:rFonts w:ascii="Times New Roman" w:hAnsi="Times New Roman" w:cs="Times New Roman"/>
          <w:sz w:val="24"/>
          <w:szCs w:val="24"/>
          <w:lang w:val="en-GB"/>
        </w:rPr>
        <w:t xml:space="preserve"> and</w:t>
      </w:r>
      <w:r w:rsidRPr="00535EEF">
        <w:rPr>
          <w:rFonts w:ascii="Times New Roman" w:hAnsi="Times New Roman" w:cs="Times New Roman"/>
          <w:sz w:val="24"/>
          <w:szCs w:val="24"/>
          <w:lang w:val="en-GB"/>
        </w:rPr>
        <w:t xml:space="preserve"> Strahan</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P</w:t>
      </w:r>
      <w:r w:rsidR="001A6278" w:rsidRPr="00535EEF">
        <w:rPr>
          <w:rFonts w:ascii="Times New Roman" w:hAnsi="Times New Roman" w:cs="Times New Roman"/>
          <w:sz w:val="24"/>
          <w:szCs w:val="24"/>
          <w:lang w:val="en-GB"/>
        </w:rPr>
        <w:t>.</w:t>
      </w:r>
      <w:r w:rsidR="00B14AFB">
        <w:rPr>
          <w:rFonts w:ascii="Times New Roman" w:hAnsi="Times New Roman" w:cs="Times New Roman"/>
          <w:sz w:val="24"/>
          <w:szCs w:val="24"/>
          <w:lang w:val="en-GB"/>
        </w:rPr>
        <w:t xml:space="preserve"> </w:t>
      </w:r>
      <w:r w:rsidRPr="00535EEF">
        <w:rPr>
          <w:rFonts w:ascii="Times New Roman" w:hAnsi="Times New Roman" w:cs="Times New Roman"/>
          <w:sz w:val="24"/>
          <w:szCs w:val="24"/>
          <w:lang w:val="en-GB"/>
        </w:rPr>
        <w:t>1999</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US"/>
        </w:rPr>
        <w:t>What drives deregulation? Economics and politics of the relaxation of bank branching restrictions</w:t>
      </w:r>
      <w:r w:rsidR="007371D3">
        <w:rPr>
          <w:rFonts w:ascii="Times New Roman" w:hAnsi="Times New Roman" w:cs="Times New Roman"/>
          <w:sz w:val="24"/>
          <w:szCs w:val="24"/>
          <w:lang w:val="en-GB"/>
        </w:rPr>
        <w:t xml:space="preserve">.” </w:t>
      </w:r>
      <w:r w:rsidRPr="00535EEF">
        <w:rPr>
          <w:rFonts w:ascii="Times New Roman" w:hAnsi="Times New Roman" w:cs="Times New Roman"/>
          <w:i/>
          <w:sz w:val="24"/>
          <w:szCs w:val="24"/>
          <w:lang w:val="en-US"/>
        </w:rPr>
        <w:t>The Quarterly Journal of Economics</w:t>
      </w:r>
      <w:r w:rsidRPr="00535EEF">
        <w:rPr>
          <w:rFonts w:ascii="Times New Roman" w:hAnsi="Times New Roman" w:cs="Times New Roman"/>
          <w:iCs/>
          <w:sz w:val="24"/>
          <w:szCs w:val="24"/>
          <w:lang w:val="en-US"/>
        </w:rPr>
        <w:t xml:space="preserve"> </w:t>
      </w:r>
      <w:r w:rsidRPr="00535EEF">
        <w:rPr>
          <w:rFonts w:ascii="Times New Roman" w:hAnsi="Times New Roman" w:cs="Times New Roman"/>
          <w:sz w:val="24"/>
          <w:szCs w:val="24"/>
          <w:lang w:val="en-US"/>
        </w:rPr>
        <w:t>67(1)</w:t>
      </w:r>
      <w:r w:rsidR="00B14AFB">
        <w:rPr>
          <w:rFonts w:ascii="Times New Roman" w:hAnsi="Times New Roman" w:cs="Times New Roman"/>
          <w:sz w:val="24"/>
          <w:szCs w:val="24"/>
          <w:lang w:val="en-US"/>
        </w:rPr>
        <w:t>:</w:t>
      </w:r>
      <w:r w:rsidRPr="00535EEF">
        <w:rPr>
          <w:rFonts w:ascii="Times New Roman" w:hAnsi="Times New Roman" w:cs="Times New Roman"/>
          <w:sz w:val="24"/>
          <w:szCs w:val="24"/>
          <w:lang w:val="en-US"/>
        </w:rPr>
        <w:t xml:space="preserve"> 1437-1467.</w:t>
      </w:r>
    </w:p>
    <w:p w14:paraId="27434D52" w14:textId="77777777" w:rsidR="003C503E" w:rsidRPr="00535EEF" w:rsidRDefault="003C503E" w:rsidP="003C503E">
      <w:pPr>
        <w:autoSpaceDE w:val="0"/>
        <w:autoSpaceDN w:val="0"/>
        <w:adjustRightInd w:val="0"/>
        <w:spacing w:after="0" w:line="240" w:lineRule="auto"/>
        <w:jc w:val="both"/>
        <w:rPr>
          <w:rFonts w:ascii="Times New Roman" w:hAnsi="Times New Roman" w:cs="Times New Roman"/>
          <w:sz w:val="24"/>
          <w:szCs w:val="24"/>
          <w:lang w:val="en-US"/>
        </w:rPr>
      </w:pPr>
    </w:p>
    <w:p w14:paraId="6ED907D9" w14:textId="363BB0F1" w:rsidR="00DE5787" w:rsidRPr="00535EEF" w:rsidRDefault="00DE5787" w:rsidP="00B14AFB">
      <w:pPr>
        <w:autoSpaceDE w:val="0"/>
        <w:autoSpaceDN w:val="0"/>
        <w:adjustRightInd w:val="0"/>
        <w:spacing w:after="0" w:line="240" w:lineRule="auto"/>
        <w:jc w:val="both"/>
        <w:rPr>
          <w:rFonts w:ascii="Times New Roman" w:hAnsi="Times New Roman" w:cs="Times New Roman"/>
          <w:sz w:val="24"/>
          <w:szCs w:val="24"/>
          <w:lang w:val="en-GB"/>
        </w:rPr>
      </w:pPr>
      <w:r w:rsidRPr="00535EEF">
        <w:rPr>
          <w:rFonts w:ascii="Times New Roman" w:hAnsi="Times New Roman" w:cs="Times New Roman"/>
          <w:sz w:val="24"/>
          <w:szCs w:val="24"/>
          <w:lang w:val="en-GB"/>
        </w:rPr>
        <w:t>Kumbhakar, S. C.</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and Lovell C.A.K. 2000</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w:t>
      </w:r>
      <w:r w:rsidRPr="00B14AFB">
        <w:rPr>
          <w:rFonts w:ascii="Times New Roman" w:hAnsi="Times New Roman" w:cs="Times New Roman"/>
          <w:i/>
          <w:iCs/>
          <w:sz w:val="24"/>
          <w:szCs w:val="24"/>
          <w:lang w:val="en-GB"/>
        </w:rPr>
        <w:t>Stochastic Frontier Analysis</w:t>
      </w:r>
      <w:r w:rsidRPr="00535EEF">
        <w:rPr>
          <w:rFonts w:ascii="Times New Roman" w:hAnsi="Times New Roman" w:cs="Times New Roman"/>
          <w:sz w:val="24"/>
          <w:szCs w:val="24"/>
          <w:lang w:val="en-GB"/>
        </w:rPr>
        <w:t>. Cambridge: Cambridge University Press.</w:t>
      </w:r>
    </w:p>
    <w:p w14:paraId="2088D372" w14:textId="77777777" w:rsidR="003C503E" w:rsidRPr="00535EEF" w:rsidRDefault="003C503E" w:rsidP="003C503E">
      <w:pPr>
        <w:autoSpaceDE w:val="0"/>
        <w:autoSpaceDN w:val="0"/>
        <w:adjustRightInd w:val="0"/>
        <w:spacing w:after="0" w:line="240" w:lineRule="auto"/>
        <w:jc w:val="both"/>
        <w:rPr>
          <w:rFonts w:ascii="Times New Roman" w:hAnsi="Times New Roman" w:cs="Times New Roman"/>
          <w:sz w:val="24"/>
          <w:szCs w:val="24"/>
          <w:lang w:val="en-GB"/>
        </w:rPr>
      </w:pPr>
    </w:p>
    <w:p w14:paraId="14A9666E" w14:textId="77777777" w:rsidR="000A5D58" w:rsidRDefault="008D3E01" w:rsidP="000A5D58">
      <w:pPr>
        <w:autoSpaceDE w:val="0"/>
        <w:autoSpaceDN w:val="0"/>
        <w:adjustRightInd w:val="0"/>
        <w:spacing w:after="240" w:line="240" w:lineRule="auto"/>
        <w:jc w:val="both"/>
        <w:rPr>
          <w:rFonts w:ascii="Times New Roman" w:hAnsi="Times New Roman" w:cs="Times New Roman"/>
          <w:sz w:val="24"/>
          <w:szCs w:val="24"/>
          <w:lang w:val="en-GB"/>
        </w:rPr>
      </w:pPr>
      <w:r w:rsidRPr="00B14AFB">
        <w:rPr>
          <w:rFonts w:ascii="Times New Roman" w:hAnsi="Times New Roman" w:cs="Times New Roman"/>
          <w:sz w:val="24"/>
          <w:szCs w:val="24"/>
          <w:lang w:val="en-GB"/>
        </w:rPr>
        <w:t xml:space="preserve">Li, S. X., </w:t>
      </w:r>
      <w:r w:rsidR="00B14AFB" w:rsidRPr="00B14AFB">
        <w:rPr>
          <w:rFonts w:ascii="Times New Roman" w:hAnsi="Times New Roman" w:cs="Times New Roman"/>
          <w:sz w:val="24"/>
          <w:szCs w:val="24"/>
          <w:lang w:val="en-GB"/>
        </w:rPr>
        <w:t xml:space="preserve">and </w:t>
      </w:r>
      <w:r w:rsidR="00B14AFB">
        <w:rPr>
          <w:rFonts w:ascii="Times New Roman" w:hAnsi="Times New Roman" w:cs="Times New Roman"/>
          <w:sz w:val="24"/>
          <w:szCs w:val="24"/>
          <w:lang w:val="en-GB"/>
        </w:rPr>
        <w:t xml:space="preserve">Greenwood, R. </w:t>
      </w:r>
      <w:r w:rsidRPr="00B14AFB">
        <w:rPr>
          <w:rFonts w:ascii="Times New Roman" w:hAnsi="Times New Roman" w:cs="Times New Roman"/>
          <w:sz w:val="24"/>
          <w:szCs w:val="24"/>
          <w:lang w:val="en-GB"/>
        </w:rPr>
        <w:t xml:space="preserve">2004. </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The effect of within-industry diversification on firm performance: Synergy creation, multi-market contact and market structuration.</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w:t>
      </w:r>
      <w:r w:rsidRPr="00535EEF">
        <w:rPr>
          <w:rFonts w:ascii="Times New Roman" w:hAnsi="Times New Roman" w:cs="Times New Roman"/>
          <w:i/>
          <w:iCs/>
          <w:sz w:val="24"/>
          <w:szCs w:val="24"/>
          <w:lang w:val="en-GB"/>
        </w:rPr>
        <w:t>Strategic Management Journal</w:t>
      </w:r>
      <w:r w:rsidR="00B14AFB">
        <w:rPr>
          <w:rFonts w:ascii="Times New Roman" w:hAnsi="Times New Roman" w:cs="Times New Roman"/>
          <w:sz w:val="24"/>
          <w:szCs w:val="24"/>
          <w:lang w:val="en-GB"/>
        </w:rPr>
        <w:t xml:space="preserve"> </w:t>
      </w:r>
      <w:r w:rsidRPr="00535EEF">
        <w:rPr>
          <w:rFonts w:ascii="Times New Roman" w:hAnsi="Times New Roman" w:cs="Times New Roman"/>
          <w:sz w:val="24"/>
          <w:szCs w:val="24"/>
          <w:lang w:val="en-GB"/>
        </w:rPr>
        <w:t>25</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1131-1153.</w:t>
      </w:r>
    </w:p>
    <w:p w14:paraId="1A0FDFE2" w14:textId="77777777" w:rsidR="00E76B19" w:rsidRPr="00E76B19" w:rsidRDefault="003C503E" w:rsidP="00E76B19">
      <w:pPr>
        <w:autoSpaceDE w:val="0"/>
        <w:autoSpaceDN w:val="0"/>
        <w:adjustRightInd w:val="0"/>
        <w:spacing w:after="240" w:line="240" w:lineRule="auto"/>
        <w:jc w:val="both"/>
        <w:rPr>
          <w:rFonts w:ascii="Times New Roman" w:hAnsi="Times New Roman" w:cs="Times New Roman"/>
          <w:sz w:val="24"/>
          <w:szCs w:val="24"/>
          <w:lang w:val="en-US"/>
        </w:rPr>
      </w:pPr>
      <w:r w:rsidRPr="00535EEF">
        <w:rPr>
          <w:rFonts w:ascii="Times New Roman" w:hAnsi="Times New Roman" w:cs="Times New Roman"/>
          <w:sz w:val="24"/>
          <w:szCs w:val="24"/>
          <w:lang w:val="en-GB"/>
        </w:rPr>
        <w:t>Lu</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W</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J</w:t>
      </w:r>
      <w:r w:rsidR="001A6278" w:rsidRPr="00535EEF">
        <w:rPr>
          <w:rFonts w:ascii="Times New Roman" w:hAnsi="Times New Roman" w:cs="Times New Roman"/>
          <w:sz w:val="24"/>
          <w:szCs w:val="24"/>
          <w:lang w:val="en-GB"/>
        </w:rPr>
        <w:t>.</w:t>
      </w:r>
      <w:r w:rsidR="00B14AFB">
        <w:rPr>
          <w:rFonts w:ascii="Times New Roman" w:hAnsi="Times New Roman" w:cs="Times New Roman"/>
          <w:sz w:val="24"/>
          <w:szCs w:val="24"/>
          <w:lang w:val="en-GB"/>
        </w:rPr>
        <w:t>,</w:t>
      </w:r>
      <w:r w:rsidR="001A6278" w:rsidRPr="00535EEF">
        <w:rPr>
          <w:rFonts w:ascii="Times New Roman" w:hAnsi="Times New Roman" w:cs="Times New Roman"/>
          <w:sz w:val="24"/>
          <w:szCs w:val="24"/>
          <w:lang w:val="en-GB"/>
        </w:rPr>
        <w:t xml:space="preserve"> and</w:t>
      </w:r>
      <w:r w:rsidRPr="00535EEF">
        <w:rPr>
          <w:rFonts w:ascii="Times New Roman" w:hAnsi="Times New Roman" w:cs="Times New Roman"/>
          <w:sz w:val="24"/>
          <w:szCs w:val="24"/>
          <w:lang w:val="en-GB"/>
        </w:rPr>
        <w:t xml:space="preserve"> </w:t>
      </w:r>
      <w:r w:rsidRPr="00EC16EF">
        <w:rPr>
          <w:rFonts w:ascii="Times New Roman" w:hAnsi="Times New Roman" w:cs="Times New Roman"/>
          <w:sz w:val="24"/>
          <w:szCs w:val="24"/>
          <w:lang w:val="en-GB"/>
        </w:rPr>
        <w:t>Beamish</w:t>
      </w:r>
      <w:r w:rsidR="001A6278" w:rsidRPr="00EC16EF">
        <w:rPr>
          <w:rFonts w:ascii="Times New Roman" w:hAnsi="Times New Roman" w:cs="Times New Roman"/>
          <w:sz w:val="24"/>
          <w:szCs w:val="24"/>
          <w:lang w:val="en-GB"/>
        </w:rPr>
        <w:t>,</w:t>
      </w:r>
      <w:r w:rsidRPr="00EC16EF">
        <w:rPr>
          <w:rFonts w:ascii="Times New Roman" w:hAnsi="Times New Roman" w:cs="Times New Roman"/>
          <w:sz w:val="24"/>
          <w:szCs w:val="24"/>
          <w:lang w:val="en-GB"/>
        </w:rPr>
        <w:t xml:space="preserve"> P</w:t>
      </w:r>
      <w:r w:rsidR="001A6278" w:rsidRPr="00EC16EF">
        <w:rPr>
          <w:rFonts w:ascii="Times New Roman" w:hAnsi="Times New Roman" w:cs="Times New Roman"/>
          <w:sz w:val="24"/>
          <w:szCs w:val="24"/>
          <w:lang w:val="en-GB"/>
        </w:rPr>
        <w:t>.</w:t>
      </w:r>
      <w:r w:rsidRPr="00EC16EF">
        <w:rPr>
          <w:rFonts w:ascii="Times New Roman" w:hAnsi="Times New Roman" w:cs="Times New Roman"/>
          <w:sz w:val="24"/>
          <w:szCs w:val="24"/>
          <w:lang w:val="en-GB"/>
        </w:rPr>
        <w:t>W</w:t>
      </w:r>
      <w:r w:rsidR="001A6278" w:rsidRPr="00EC16EF">
        <w:rPr>
          <w:rFonts w:ascii="Times New Roman" w:hAnsi="Times New Roman" w:cs="Times New Roman"/>
          <w:sz w:val="24"/>
          <w:szCs w:val="24"/>
          <w:lang w:val="en-GB"/>
        </w:rPr>
        <w:t>.</w:t>
      </w:r>
      <w:r w:rsidR="00B14AFB" w:rsidRPr="00EC16EF">
        <w:rPr>
          <w:rFonts w:ascii="Times New Roman" w:hAnsi="Times New Roman" w:cs="Times New Roman"/>
          <w:sz w:val="24"/>
          <w:szCs w:val="24"/>
          <w:lang w:val="en-GB"/>
        </w:rPr>
        <w:t xml:space="preserve"> </w:t>
      </w:r>
      <w:r w:rsidRPr="00EC16EF">
        <w:rPr>
          <w:rFonts w:ascii="Times New Roman" w:hAnsi="Times New Roman" w:cs="Times New Roman"/>
          <w:sz w:val="24"/>
          <w:szCs w:val="24"/>
          <w:lang w:val="en-GB"/>
        </w:rPr>
        <w:t>2004</w:t>
      </w:r>
      <w:r w:rsidR="00B14AFB" w:rsidRPr="00EC16EF">
        <w:rPr>
          <w:rFonts w:ascii="Times New Roman" w:hAnsi="Times New Roman" w:cs="Times New Roman"/>
          <w:sz w:val="24"/>
          <w:szCs w:val="24"/>
          <w:lang w:val="en-GB"/>
        </w:rPr>
        <w:t>.</w:t>
      </w:r>
      <w:r w:rsidRPr="00EC16EF">
        <w:rPr>
          <w:rFonts w:ascii="Times New Roman" w:hAnsi="Times New Roman" w:cs="Times New Roman"/>
          <w:sz w:val="24"/>
          <w:szCs w:val="24"/>
          <w:lang w:val="en-GB"/>
        </w:rPr>
        <w:t xml:space="preserve"> </w:t>
      </w:r>
      <w:r w:rsidR="00B14AFB" w:rsidRPr="00EC16EF">
        <w:rPr>
          <w:rFonts w:ascii="Times New Roman" w:hAnsi="Times New Roman" w:cs="Times New Roman"/>
          <w:sz w:val="24"/>
          <w:szCs w:val="24"/>
          <w:lang w:val="en-GB"/>
        </w:rPr>
        <w:t>“</w:t>
      </w:r>
      <w:r w:rsidRPr="00EC16EF">
        <w:rPr>
          <w:rFonts w:ascii="Times New Roman" w:hAnsi="Times New Roman" w:cs="Times New Roman"/>
          <w:sz w:val="24"/>
          <w:szCs w:val="24"/>
          <w:lang w:val="en-US"/>
        </w:rPr>
        <w:t>International diversification and firm performance: The S-</w:t>
      </w:r>
      <w:r w:rsidRPr="00E76B19">
        <w:rPr>
          <w:rFonts w:ascii="Times New Roman" w:hAnsi="Times New Roman" w:cs="Times New Roman"/>
          <w:sz w:val="24"/>
          <w:szCs w:val="24"/>
          <w:lang w:val="en-US"/>
        </w:rPr>
        <w:t>curve</w:t>
      </w:r>
      <w:r w:rsidR="00B14AFB" w:rsidRPr="00E76B19">
        <w:rPr>
          <w:rFonts w:ascii="Times New Roman" w:hAnsi="Times New Roman" w:cs="Times New Roman"/>
          <w:sz w:val="24"/>
          <w:szCs w:val="24"/>
          <w:lang w:val="en-US"/>
        </w:rPr>
        <w:t>.”</w:t>
      </w:r>
      <w:r w:rsidRPr="00E76B19">
        <w:rPr>
          <w:rFonts w:ascii="Times New Roman" w:hAnsi="Times New Roman" w:cs="Times New Roman"/>
          <w:sz w:val="24"/>
          <w:szCs w:val="24"/>
          <w:lang w:val="en-US"/>
        </w:rPr>
        <w:t xml:space="preserve"> </w:t>
      </w:r>
      <w:r w:rsidRPr="00E76B19">
        <w:rPr>
          <w:rFonts w:ascii="Times New Roman" w:hAnsi="Times New Roman" w:cs="Times New Roman"/>
          <w:iCs/>
          <w:sz w:val="24"/>
          <w:szCs w:val="24"/>
          <w:lang w:val="en-US"/>
        </w:rPr>
        <w:t>Academy Management Journal</w:t>
      </w:r>
      <w:r w:rsidRPr="00E76B19">
        <w:rPr>
          <w:rFonts w:ascii="Times New Roman" w:hAnsi="Times New Roman" w:cs="Times New Roman"/>
          <w:sz w:val="24"/>
          <w:szCs w:val="24"/>
          <w:lang w:val="en-US"/>
        </w:rPr>
        <w:t xml:space="preserve"> 47(4)</w:t>
      </w:r>
      <w:r w:rsidR="00B14AFB" w:rsidRPr="00E76B19">
        <w:rPr>
          <w:rFonts w:ascii="Times New Roman" w:hAnsi="Times New Roman" w:cs="Times New Roman"/>
          <w:sz w:val="24"/>
          <w:szCs w:val="24"/>
          <w:lang w:val="en-US"/>
        </w:rPr>
        <w:t>:</w:t>
      </w:r>
      <w:r w:rsidRPr="00E76B19">
        <w:rPr>
          <w:rFonts w:ascii="Times New Roman" w:hAnsi="Times New Roman" w:cs="Times New Roman"/>
          <w:sz w:val="24"/>
          <w:szCs w:val="24"/>
          <w:lang w:val="en-US"/>
        </w:rPr>
        <w:t xml:space="preserve"> 598-609.</w:t>
      </w:r>
    </w:p>
    <w:p w14:paraId="6133DA31" w14:textId="1101575D" w:rsidR="008F753E" w:rsidRPr="00E76B19" w:rsidRDefault="008F753E" w:rsidP="00E76B19">
      <w:pPr>
        <w:autoSpaceDE w:val="0"/>
        <w:autoSpaceDN w:val="0"/>
        <w:adjustRightInd w:val="0"/>
        <w:spacing w:after="240" w:line="240" w:lineRule="auto"/>
        <w:jc w:val="both"/>
        <w:rPr>
          <w:rFonts w:ascii="Times New Roman" w:hAnsi="Times New Roman" w:cs="Times New Roman"/>
          <w:sz w:val="24"/>
          <w:szCs w:val="24"/>
          <w:lang w:val="en-GB"/>
        </w:rPr>
      </w:pPr>
      <w:r w:rsidRPr="00E76B19">
        <w:rPr>
          <w:rFonts w:ascii="Times New Roman" w:hAnsi="Times New Roman"/>
          <w:bCs/>
          <w:sz w:val="24"/>
          <w:szCs w:val="24"/>
          <w:lang w:val="en-GB"/>
        </w:rPr>
        <w:t xml:space="preserve">Magri, S., Mori, A, and Rossi, P. 2005. “The entry and the activity level of foreign banks in Italy: An analysis of the determinants.” </w:t>
      </w:r>
      <w:hyperlink r:id="rId19" w:tooltip="Go to Journal of Banking &amp; Finance on ScienceDirect" w:history="1">
        <w:r w:rsidRPr="00E76B19">
          <w:rPr>
            <w:rFonts w:ascii="Times New Roman" w:hAnsi="Times New Roman"/>
            <w:bCs/>
            <w:i/>
            <w:sz w:val="24"/>
            <w:szCs w:val="24"/>
            <w:lang w:val="en-GB"/>
          </w:rPr>
          <w:t>Journal of Banking &amp; Finance</w:t>
        </w:r>
      </w:hyperlink>
      <w:r w:rsidRPr="00E76B19">
        <w:rPr>
          <w:rFonts w:ascii="Times New Roman" w:hAnsi="Times New Roman"/>
          <w:bCs/>
          <w:i/>
          <w:sz w:val="24"/>
          <w:szCs w:val="24"/>
          <w:lang w:val="en-GB"/>
        </w:rPr>
        <w:t xml:space="preserve"> </w:t>
      </w:r>
      <w:r w:rsidRPr="00E76B19">
        <w:rPr>
          <w:rFonts w:ascii="Times New Roman" w:hAnsi="Times New Roman"/>
          <w:bCs/>
          <w:sz w:val="24"/>
          <w:szCs w:val="24"/>
          <w:lang w:val="en-GB"/>
        </w:rPr>
        <w:t>29(5): 1295–1310.</w:t>
      </w:r>
    </w:p>
    <w:p w14:paraId="74C26454" w14:textId="17208BC1" w:rsidR="003C503E" w:rsidRDefault="003C503E" w:rsidP="00B14AFB">
      <w:pPr>
        <w:spacing w:after="0" w:line="240" w:lineRule="auto"/>
        <w:jc w:val="both"/>
        <w:rPr>
          <w:rFonts w:ascii="Times New Roman" w:eastAsia="Times New Roman" w:hAnsi="Times New Roman" w:cs="Times New Roman"/>
          <w:sz w:val="24"/>
          <w:szCs w:val="24"/>
          <w:lang w:val="en-GB" w:eastAsia="nl-NL"/>
        </w:rPr>
      </w:pPr>
      <w:r w:rsidRPr="00E76B19">
        <w:rPr>
          <w:rFonts w:ascii="Times New Roman" w:eastAsia="Times New Roman" w:hAnsi="Times New Roman" w:cs="Times New Roman"/>
          <w:sz w:val="24"/>
          <w:szCs w:val="24"/>
          <w:lang w:val="en-GB" w:eastAsia="nl-NL"/>
        </w:rPr>
        <w:t>Maudos</w:t>
      </w:r>
      <w:r w:rsidR="001A6278" w:rsidRPr="00E76B19">
        <w:rPr>
          <w:rFonts w:ascii="Times New Roman" w:eastAsia="Times New Roman" w:hAnsi="Times New Roman" w:cs="Times New Roman"/>
          <w:sz w:val="24"/>
          <w:szCs w:val="24"/>
          <w:lang w:val="en-GB" w:eastAsia="nl-NL"/>
        </w:rPr>
        <w:t>,</w:t>
      </w:r>
      <w:r w:rsidRPr="00E76B19">
        <w:rPr>
          <w:rFonts w:ascii="Times New Roman" w:eastAsia="Times New Roman" w:hAnsi="Times New Roman" w:cs="Times New Roman"/>
          <w:sz w:val="24"/>
          <w:szCs w:val="24"/>
          <w:lang w:val="en-GB" w:eastAsia="nl-NL"/>
        </w:rPr>
        <w:t xml:space="preserve"> J</w:t>
      </w:r>
      <w:r w:rsidR="001A6278" w:rsidRPr="00E76B19">
        <w:rPr>
          <w:rFonts w:ascii="Times New Roman" w:eastAsia="Times New Roman" w:hAnsi="Times New Roman" w:cs="Times New Roman"/>
          <w:sz w:val="24"/>
          <w:szCs w:val="24"/>
          <w:lang w:val="en-GB" w:eastAsia="nl-NL"/>
        </w:rPr>
        <w:t>.</w:t>
      </w:r>
      <w:r w:rsidR="00B14AFB" w:rsidRPr="00E76B19">
        <w:rPr>
          <w:rFonts w:ascii="Times New Roman" w:eastAsia="Times New Roman" w:hAnsi="Times New Roman" w:cs="Times New Roman"/>
          <w:sz w:val="24"/>
          <w:szCs w:val="24"/>
          <w:lang w:val="en-GB" w:eastAsia="nl-NL"/>
        </w:rPr>
        <w:t>,</w:t>
      </w:r>
      <w:r w:rsidR="001A6278" w:rsidRPr="00E76B19">
        <w:rPr>
          <w:rFonts w:ascii="Times New Roman" w:eastAsia="Times New Roman" w:hAnsi="Times New Roman" w:cs="Times New Roman"/>
          <w:sz w:val="24"/>
          <w:szCs w:val="24"/>
          <w:lang w:val="en-GB" w:eastAsia="nl-NL"/>
        </w:rPr>
        <w:t xml:space="preserve"> and</w:t>
      </w:r>
      <w:r w:rsidRPr="00E76B19">
        <w:rPr>
          <w:rFonts w:ascii="Times New Roman" w:eastAsia="Times New Roman" w:hAnsi="Times New Roman" w:cs="Times New Roman"/>
          <w:sz w:val="24"/>
          <w:szCs w:val="24"/>
          <w:lang w:val="en-GB" w:eastAsia="nl-NL"/>
        </w:rPr>
        <w:t xml:space="preserve"> </w:t>
      </w:r>
      <w:r w:rsidRPr="00E76B19">
        <w:rPr>
          <w:rFonts w:ascii="Times New Roman" w:hAnsi="Times New Roman" w:cs="Times New Roman"/>
          <w:sz w:val="24"/>
          <w:szCs w:val="24"/>
          <w:lang w:val="en-GB"/>
        </w:rPr>
        <w:t>Fernández</w:t>
      </w:r>
      <w:r w:rsidRPr="00EC16EF">
        <w:rPr>
          <w:rFonts w:ascii="Times New Roman" w:hAnsi="Times New Roman" w:cs="Times New Roman"/>
          <w:sz w:val="24"/>
          <w:szCs w:val="24"/>
          <w:lang w:val="en-GB"/>
        </w:rPr>
        <w:t xml:space="preserve"> de Guevara</w:t>
      </w:r>
      <w:r w:rsidR="001A6278" w:rsidRPr="00EC16EF">
        <w:rPr>
          <w:rFonts w:ascii="Times New Roman" w:hAnsi="Times New Roman" w:cs="Times New Roman"/>
          <w:sz w:val="24"/>
          <w:szCs w:val="24"/>
          <w:lang w:val="en-GB"/>
        </w:rPr>
        <w:t>,</w:t>
      </w:r>
      <w:r w:rsidRPr="00EC16EF">
        <w:rPr>
          <w:rFonts w:ascii="Times New Roman" w:eastAsia="Times New Roman" w:hAnsi="Times New Roman" w:cs="Times New Roman"/>
          <w:sz w:val="24"/>
          <w:szCs w:val="24"/>
          <w:lang w:val="en-GB" w:eastAsia="nl-NL"/>
        </w:rPr>
        <w:t xml:space="preserve"> J</w:t>
      </w:r>
      <w:r w:rsidR="001A6278" w:rsidRPr="00EC16EF">
        <w:rPr>
          <w:rFonts w:ascii="Times New Roman" w:eastAsia="Times New Roman" w:hAnsi="Times New Roman" w:cs="Times New Roman"/>
          <w:sz w:val="24"/>
          <w:szCs w:val="24"/>
          <w:lang w:val="en-GB" w:eastAsia="nl-NL"/>
        </w:rPr>
        <w:t>.</w:t>
      </w:r>
      <w:r w:rsidR="00B14AFB" w:rsidRPr="00EC16EF">
        <w:rPr>
          <w:rFonts w:ascii="Times New Roman" w:eastAsia="Times New Roman" w:hAnsi="Times New Roman" w:cs="Times New Roman"/>
          <w:sz w:val="24"/>
          <w:szCs w:val="24"/>
          <w:lang w:val="en-GB" w:eastAsia="nl-NL"/>
        </w:rPr>
        <w:t xml:space="preserve"> </w:t>
      </w:r>
      <w:r w:rsidRPr="00EC16EF">
        <w:rPr>
          <w:rFonts w:ascii="Times New Roman" w:eastAsia="Times New Roman" w:hAnsi="Times New Roman" w:cs="Times New Roman"/>
          <w:sz w:val="24"/>
          <w:szCs w:val="24"/>
          <w:lang w:val="en-GB" w:eastAsia="nl-NL"/>
        </w:rPr>
        <w:t>2004</w:t>
      </w:r>
      <w:r w:rsidR="00B14AFB"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w:t>
      </w:r>
      <w:r w:rsidR="00B14AFB"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Factors explaining the interest margin in the banking sectors of the European Union</w:t>
      </w:r>
      <w:r w:rsidR="00B14AFB"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w:t>
      </w:r>
      <w:r w:rsidRPr="00EC16EF">
        <w:rPr>
          <w:rFonts w:ascii="Times New Roman" w:eastAsiaTheme="minorEastAsia" w:hAnsi="Times New Roman" w:cs="Times New Roman"/>
          <w:i/>
          <w:iCs/>
          <w:sz w:val="24"/>
          <w:szCs w:val="24"/>
          <w:lang w:val="en-GB" w:eastAsia="zh-CN"/>
        </w:rPr>
        <w:t>Journal of Banking &amp; Finance</w:t>
      </w:r>
      <w:r w:rsidRPr="00EC16EF">
        <w:rPr>
          <w:rFonts w:ascii="Times New Roman" w:hAnsi="Times New Roman" w:cs="Times New Roman"/>
          <w:sz w:val="24"/>
          <w:szCs w:val="24"/>
          <w:lang w:val="en-US"/>
        </w:rPr>
        <w:t xml:space="preserve"> </w:t>
      </w:r>
      <w:r w:rsidRPr="00EC16EF">
        <w:rPr>
          <w:rFonts w:ascii="Times New Roman" w:eastAsia="Times New Roman" w:hAnsi="Times New Roman" w:cs="Times New Roman"/>
          <w:iCs/>
          <w:sz w:val="24"/>
          <w:szCs w:val="24"/>
          <w:lang w:val="en-GB" w:eastAsia="nl-NL"/>
        </w:rPr>
        <w:t>28</w:t>
      </w:r>
      <w:r w:rsidRPr="00EC16EF">
        <w:rPr>
          <w:rFonts w:ascii="Times New Roman" w:eastAsia="Times New Roman" w:hAnsi="Times New Roman" w:cs="Times New Roman"/>
          <w:sz w:val="24"/>
          <w:szCs w:val="24"/>
          <w:lang w:val="en-GB" w:eastAsia="nl-NL"/>
        </w:rPr>
        <w:t>(9)</w:t>
      </w:r>
      <w:r w:rsidR="00B14AFB" w:rsidRPr="00EC16EF">
        <w:rPr>
          <w:rFonts w:ascii="Times New Roman" w:eastAsia="Times New Roman" w:hAnsi="Times New Roman" w:cs="Times New Roman"/>
          <w:sz w:val="24"/>
          <w:szCs w:val="24"/>
          <w:lang w:val="en-GB" w:eastAsia="nl-NL"/>
        </w:rPr>
        <w:t xml:space="preserve">: </w:t>
      </w:r>
      <w:r w:rsidRPr="00EC16EF">
        <w:rPr>
          <w:rFonts w:ascii="Times New Roman" w:eastAsia="Times New Roman" w:hAnsi="Times New Roman" w:cs="Times New Roman"/>
          <w:sz w:val="24"/>
          <w:szCs w:val="24"/>
          <w:lang w:val="en-GB" w:eastAsia="nl-NL"/>
        </w:rPr>
        <w:t>2259-2281.</w:t>
      </w:r>
    </w:p>
    <w:p w14:paraId="69FCD7AD" w14:textId="77777777" w:rsidR="00DC6654" w:rsidRDefault="00DC6654" w:rsidP="00B14AFB">
      <w:pPr>
        <w:spacing w:after="0" w:line="240" w:lineRule="auto"/>
        <w:jc w:val="both"/>
        <w:rPr>
          <w:rFonts w:ascii="Times New Roman" w:eastAsia="Times New Roman" w:hAnsi="Times New Roman" w:cs="Times New Roman"/>
          <w:sz w:val="24"/>
          <w:szCs w:val="24"/>
          <w:lang w:val="en-GB" w:eastAsia="nl-NL"/>
        </w:rPr>
      </w:pPr>
    </w:p>
    <w:p w14:paraId="091F7DBA" w14:textId="222DC312" w:rsidR="00DC6654" w:rsidRPr="00EC16EF" w:rsidRDefault="00DC6654" w:rsidP="00DC6654">
      <w:pPr>
        <w:spacing w:after="0" w:line="240" w:lineRule="auto"/>
        <w:jc w:val="both"/>
        <w:rPr>
          <w:rFonts w:ascii="Times New Roman" w:eastAsia="Times New Roman" w:hAnsi="Times New Roman" w:cs="Times New Roman"/>
          <w:sz w:val="24"/>
          <w:szCs w:val="24"/>
          <w:lang w:val="en-GB" w:eastAsia="nl-NL"/>
        </w:rPr>
      </w:pPr>
      <w:r w:rsidRPr="00E76B19">
        <w:rPr>
          <w:rFonts w:ascii="Times New Roman" w:eastAsia="Times New Roman" w:hAnsi="Times New Roman" w:cs="Times New Roman"/>
          <w:sz w:val="24"/>
          <w:szCs w:val="24"/>
          <w:lang w:val="en-GB" w:eastAsia="nl-NL"/>
        </w:rPr>
        <w:t xml:space="preserve">Maudos, J., and </w:t>
      </w:r>
      <w:r w:rsidRPr="00E76B19">
        <w:rPr>
          <w:rFonts w:ascii="Times New Roman" w:hAnsi="Times New Roman" w:cs="Times New Roman"/>
          <w:sz w:val="24"/>
          <w:szCs w:val="24"/>
          <w:lang w:val="en-GB"/>
        </w:rPr>
        <w:t>Fernández</w:t>
      </w:r>
      <w:r w:rsidRPr="00EC16EF">
        <w:rPr>
          <w:rFonts w:ascii="Times New Roman" w:hAnsi="Times New Roman" w:cs="Times New Roman"/>
          <w:sz w:val="24"/>
          <w:szCs w:val="24"/>
          <w:lang w:val="en-GB"/>
        </w:rPr>
        <w:t xml:space="preserve"> de Guevara,</w:t>
      </w:r>
      <w:r w:rsidRPr="00EC16EF">
        <w:rPr>
          <w:rFonts w:ascii="Times New Roman" w:eastAsia="Times New Roman" w:hAnsi="Times New Roman" w:cs="Times New Roman"/>
          <w:sz w:val="24"/>
          <w:szCs w:val="24"/>
          <w:lang w:val="en-GB" w:eastAsia="nl-NL"/>
        </w:rPr>
        <w:t xml:space="preserve"> J. 200</w:t>
      </w:r>
      <w:r>
        <w:rPr>
          <w:rFonts w:ascii="Times New Roman" w:eastAsia="Times New Roman" w:hAnsi="Times New Roman" w:cs="Times New Roman"/>
          <w:sz w:val="24"/>
          <w:szCs w:val="24"/>
          <w:lang w:val="en-GB" w:eastAsia="nl-NL"/>
        </w:rPr>
        <w:t>7</w:t>
      </w:r>
      <w:r w:rsidRPr="00EC16EF">
        <w:rPr>
          <w:rFonts w:ascii="Times New Roman" w:eastAsia="Times New Roman" w:hAnsi="Times New Roman" w:cs="Times New Roman"/>
          <w:sz w:val="24"/>
          <w:szCs w:val="24"/>
          <w:lang w:val="en-GB" w:eastAsia="nl-NL"/>
        </w:rPr>
        <w:t>. “</w:t>
      </w:r>
      <w:r w:rsidRPr="00DC6654">
        <w:rPr>
          <w:rFonts w:ascii="Times New Roman" w:eastAsia="Times New Roman" w:hAnsi="Times New Roman" w:cs="Times New Roman"/>
          <w:sz w:val="24"/>
          <w:szCs w:val="24"/>
          <w:lang w:val="en-GB" w:eastAsia="nl-NL"/>
        </w:rPr>
        <w:t>The cost of market power in banking: Social welfare loss vs. cost inefficiency</w:t>
      </w:r>
      <w:r>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w:t>
      </w:r>
      <w:r w:rsidRPr="00EC16EF">
        <w:rPr>
          <w:rFonts w:ascii="Times New Roman" w:eastAsiaTheme="minorEastAsia" w:hAnsi="Times New Roman" w:cs="Times New Roman"/>
          <w:i/>
          <w:iCs/>
          <w:sz w:val="24"/>
          <w:szCs w:val="24"/>
          <w:lang w:val="en-GB" w:eastAsia="zh-CN"/>
        </w:rPr>
        <w:t>Journal of Banking &amp; Finance</w:t>
      </w:r>
      <w:r w:rsidRPr="00EC16EF">
        <w:rPr>
          <w:rFonts w:ascii="Times New Roman" w:hAnsi="Times New Roman" w:cs="Times New Roman"/>
          <w:sz w:val="24"/>
          <w:szCs w:val="24"/>
          <w:lang w:val="en-US"/>
        </w:rPr>
        <w:t xml:space="preserve"> </w:t>
      </w:r>
      <w:r>
        <w:rPr>
          <w:rFonts w:ascii="Times New Roman" w:eastAsia="Times New Roman" w:hAnsi="Times New Roman" w:cs="Times New Roman"/>
          <w:iCs/>
          <w:sz w:val="24"/>
          <w:szCs w:val="24"/>
          <w:lang w:val="en-GB" w:eastAsia="nl-NL"/>
        </w:rPr>
        <w:t>31</w:t>
      </w:r>
      <w:r w:rsidRPr="00EC16EF">
        <w:rPr>
          <w:rFonts w:ascii="Times New Roman" w:eastAsia="Times New Roman" w:hAnsi="Times New Roman" w:cs="Times New Roman"/>
          <w:sz w:val="24"/>
          <w:szCs w:val="24"/>
          <w:lang w:val="en-GB" w:eastAsia="nl-NL"/>
        </w:rPr>
        <w:t>(</w:t>
      </w:r>
      <w:r>
        <w:rPr>
          <w:rFonts w:ascii="Times New Roman" w:eastAsia="Times New Roman" w:hAnsi="Times New Roman" w:cs="Times New Roman"/>
          <w:sz w:val="24"/>
          <w:szCs w:val="24"/>
          <w:lang w:val="en-GB" w:eastAsia="nl-NL"/>
        </w:rPr>
        <w:t>7</w:t>
      </w:r>
      <w:r w:rsidRPr="00EC16EF">
        <w:rPr>
          <w:rFonts w:ascii="Times New Roman" w:eastAsia="Times New Roman" w:hAnsi="Times New Roman" w:cs="Times New Roman"/>
          <w:sz w:val="24"/>
          <w:szCs w:val="24"/>
          <w:lang w:val="en-GB" w:eastAsia="nl-NL"/>
        </w:rPr>
        <w:t xml:space="preserve">): </w:t>
      </w:r>
      <w:r w:rsidRPr="00DC6654">
        <w:rPr>
          <w:rFonts w:ascii="Times New Roman" w:eastAsia="Times New Roman" w:hAnsi="Times New Roman" w:cs="Times New Roman"/>
          <w:sz w:val="24"/>
          <w:szCs w:val="24"/>
          <w:lang w:val="en-GB" w:eastAsia="nl-NL"/>
        </w:rPr>
        <w:t>2103–2125</w:t>
      </w:r>
      <w:r w:rsidRPr="00EC16EF">
        <w:rPr>
          <w:rFonts w:ascii="Times New Roman" w:eastAsia="Times New Roman" w:hAnsi="Times New Roman" w:cs="Times New Roman"/>
          <w:sz w:val="24"/>
          <w:szCs w:val="24"/>
          <w:lang w:val="en-GB" w:eastAsia="nl-NL"/>
        </w:rPr>
        <w:t>.</w:t>
      </w:r>
    </w:p>
    <w:p w14:paraId="608FE94C" w14:textId="77777777" w:rsidR="003C503E" w:rsidRPr="00EC16EF" w:rsidRDefault="003C503E" w:rsidP="003C503E">
      <w:pPr>
        <w:spacing w:after="0" w:line="240" w:lineRule="auto"/>
        <w:jc w:val="both"/>
        <w:rPr>
          <w:rFonts w:ascii="Times New Roman" w:eastAsia="Times New Roman" w:hAnsi="Times New Roman" w:cs="Times New Roman"/>
          <w:sz w:val="24"/>
          <w:szCs w:val="24"/>
          <w:lang w:val="en-GB" w:eastAsia="nl-NL"/>
        </w:rPr>
      </w:pPr>
    </w:p>
    <w:p w14:paraId="0BF5E00E" w14:textId="41700E35" w:rsidR="003C503E" w:rsidRPr="00EC16EF" w:rsidRDefault="003C503E" w:rsidP="00B14AFB">
      <w:pPr>
        <w:spacing w:after="0" w:line="240" w:lineRule="auto"/>
        <w:jc w:val="both"/>
        <w:rPr>
          <w:rFonts w:ascii="Times New Roman" w:eastAsia="Times New Roman" w:hAnsi="Times New Roman" w:cs="Times New Roman"/>
          <w:sz w:val="24"/>
          <w:szCs w:val="24"/>
          <w:lang w:val="en-GB" w:eastAsia="nl-NL"/>
        </w:rPr>
      </w:pPr>
      <w:r w:rsidRPr="00EC16EF">
        <w:rPr>
          <w:rFonts w:ascii="Times New Roman" w:eastAsia="Times New Roman" w:hAnsi="Times New Roman" w:cs="Times New Roman"/>
          <w:sz w:val="24"/>
          <w:szCs w:val="24"/>
          <w:lang w:val="en-GB" w:eastAsia="nl-NL"/>
        </w:rPr>
        <w:t>Mercieca</w:t>
      </w:r>
      <w:r w:rsidR="001A6278"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S</w:t>
      </w:r>
      <w:r w:rsidR="00DC6FF4" w:rsidRPr="00EC16EF">
        <w:rPr>
          <w:rFonts w:ascii="Times New Roman" w:eastAsia="Times New Roman" w:hAnsi="Times New Roman" w:cs="Times New Roman"/>
          <w:sz w:val="24"/>
          <w:szCs w:val="24"/>
          <w:lang w:val="en-GB" w:eastAsia="nl-NL"/>
        </w:rPr>
        <w:t>.</w:t>
      </w:r>
      <w:r w:rsidR="001A6278"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Schaeck</w:t>
      </w:r>
      <w:r w:rsidR="001A6278" w:rsidRPr="00EC16EF">
        <w:rPr>
          <w:rFonts w:ascii="Times New Roman" w:eastAsia="Times New Roman" w:hAnsi="Times New Roman" w:cs="Times New Roman"/>
          <w:sz w:val="24"/>
          <w:szCs w:val="24"/>
          <w:lang w:val="en-GB" w:eastAsia="nl-NL"/>
        </w:rPr>
        <w:t xml:space="preserve">, </w:t>
      </w:r>
      <w:r w:rsidRPr="00EC16EF">
        <w:rPr>
          <w:rFonts w:ascii="Times New Roman" w:eastAsia="Times New Roman" w:hAnsi="Times New Roman" w:cs="Times New Roman"/>
          <w:sz w:val="24"/>
          <w:szCs w:val="24"/>
          <w:lang w:val="en-GB" w:eastAsia="nl-NL"/>
        </w:rPr>
        <w:t>K</w:t>
      </w:r>
      <w:r w:rsidR="001A6278" w:rsidRPr="00EC16EF">
        <w:rPr>
          <w:rFonts w:ascii="Times New Roman" w:eastAsia="Times New Roman" w:hAnsi="Times New Roman" w:cs="Times New Roman"/>
          <w:sz w:val="24"/>
          <w:szCs w:val="24"/>
          <w:lang w:val="en-GB" w:eastAsia="nl-NL"/>
        </w:rPr>
        <w:t>.</w:t>
      </w:r>
      <w:r w:rsidR="00B14AFB" w:rsidRPr="00EC16EF">
        <w:rPr>
          <w:rFonts w:ascii="Times New Roman" w:eastAsia="Times New Roman" w:hAnsi="Times New Roman" w:cs="Times New Roman"/>
          <w:sz w:val="24"/>
          <w:szCs w:val="24"/>
          <w:lang w:val="en-GB" w:eastAsia="nl-NL"/>
        </w:rPr>
        <w:t>,</w:t>
      </w:r>
      <w:r w:rsidR="001A6278" w:rsidRPr="00EC16EF">
        <w:rPr>
          <w:rFonts w:ascii="Times New Roman" w:eastAsia="Times New Roman" w:hAnsi="Times New Roman" w:cs="Times New Roman"/>
          <w:sz w:val="24"/>
          <w:szCs w:val="24"/>
          <w:lang w:val="en-GB" w:eastAsia="nl-NL"/>
        </w:rPr>
        <w:t xml:space="preserve"> and</w:t>
      </w:r>
      <w:r w:rsidRPr="00EC16EF">
        <w:rPr>
          <w:rFonts w:ascii="Times New Roman" w:eastAsia="Times New Roman" w:hAnsi="Times New Roman" w:cs="Times New Roman"/>
          <w:sz w:val="24"/>
          <w:szCs w:val="24"/>
          <w:lang w:val="en-GB" w:eastAsia="nl-NL"/>
        </w:rPr>
        <w:t xml:space="preserve"> Wolfe</w:t>
      </w:r>
      <w:r w:rsidR="001A6278"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S</w:t>
      </w:r>
      <w:r w:rsidR="001A6278" w:rsidRPr="00EC16EF">
        <w:rPr>
          <w:rFonts w:ascii="Times New Roman" w:eastAsia="Times New Roman" w:hAnsi="Times New Roman" w:cs="Times New Roman"/>
          <w:sz w:val="24"/>
          <w:szCs w:val="24"/>
          <w:lang w:val="en-GB" w:eastAsia="nl-NL"/>
        </w:rPr>
        <w:t>.</w:t>
      </w:r>
      <w:r w:rsidR="00B14AFB" w:rsidRPr="00EC16EF">
        <w:rPr>
          <w:rFonts w:ascii="Times New Roman" w:eastAsia="Times New Roman" w:hAnsi="Times New Roman" w:cs="Times New Roman"/>
          <w:sz w:val="24"/>
          <w:szCs w:val="24"/>
          <w:lang w:val="en-GB" w:eastAsia="nl-NL"/>
        </w:rPr>
        <w:t xml:space="preserve"> </w:t>
      </w:r>
      <w:r w:rsidRPr="00EC16EF">
        <w:rPr>
          <w:rFonts w:ascii="Times New Roman" w:eastAsia="Times New Roman" w:hAnsi="Times New Roman" w:cs="Times New Roman"/>
          <w:sz w:val="24"/>
          <w:szCs w:val="24"/>
          <w:lang w:val="en-GB" w:eastAsia="nl-NL"/>
        </w:rPr>
        <w:t>2007</w:t>
      </w:r>
      <w:r w:rsidR="00B14AFB"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w:t>
      </w:r>
      <w:r w:rsidR="00B14AFB" w:rsidRPr="00EC16EF">
        <w:rPr>
          <w:rFonts w:ascii="Times New Roman" w:eastAsia="Times New Roman" w:hAnsi="Times New Roman" w:cs="Times New Roman"/>
          <w:sz w:val="24"/>
          <w:szCs w:val="24"/>
          <w:lang w:val="en-GB" w:eastAsia="nl-NL"/>
        </w:rPr>
        <w:t>“</w:t>
      </w:r>
      <w:hyperlink r:id="rId20" w:history="1">
        <w:r w:rsidRPr="00EC16EF">
          <w:rPr>
            <w:rFonts w:ascii="Times New Roman" w:eastAsia="Times New Roman" w:hAnsi="Times New Roman" w:cs="Times New Roman"/>
            <w:sz w:val="24"/>
            <w:szCs w:val="24"/>
            <w:lang w:val="en-GB" w:eastAsia="nl-NL"/>
          </w:rPr>
          <w:t>Small European banks: benefits from diversification?</w:t>
        </w:r>
      </w:hyperlink>
      <w:r w:rsidR="00B14AFB"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w:t>
      </w:r>
      <w:r w:rsidRPr="00EC16EF">
        <w:rPr>
          <w:rFonts w:ascii="Times New Roman" w:eastAsia="Times New Roman" w:hAnsi="Times New Roman" w:cs="Times New Roman"/>
          <w:i/>
          <w:iCs/>
          <w:sz w:val="24"/>
          <w:szCs w:val="24"/>
          <w:lang w:val="en-GB" w:eastAsia="nl-NL"/>
        </w:rPr>
        <w:t>Journal of Banking &amp; Finance</w:t>
      </w:r>
      <w:r w:rsidRPr="00EC16EF">
        <w:rPr>
          <w:rFonts w:ascii="Times New Roman" w:eastAsia="Times New Roman" w:hAnsi="Times New Roman" w:cs="Times New Roman"/>
          <w:sz w:val="24"/>
          <w:szCs w:val="24"/>
          <w:lang w:val="en-GB" w:eastAsia="nl-NL"/>
        </w:rPr>
        <w:t xml:space="preserve"> 31(7)</w:t>
      </w:r>
      <w:r w:rsidR="00B14AFB"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1975-1998.</w:t>
      </w:r>
    </w:p>
    <w:p w14:paraId="72A12B96" w14:textId="77777777" w:rsidR="003C503E" w:rsidRPr="00EC16EF" w:rsidRDefault="003C503E" w:rsidP="003C503E">
      <w:pPr>
        <w:spacing w:after="0" w:line="240" w:lineRule="auto"/>
        <w:jc w:val="both"/>
        <w:rPr>
          <w:rFonts w:ascii="Times New Roman" w:eastAsia="Times New Roman" w:hAnsi="Times New Roman" w:cs="Times New Roman"/>
          <w:sz w:val="24"/>
          <w:szCs w:val="24"/>
          <w:lang w:val="en-GB" w:eastAsia="nl-NL"/>
        </w:rPr>
      </w:pPr>
    </w:p>
    <w:p w14:paraId="430D3447" w14:textId="6EBD8C50" w:rsidR="008F753E" w:rsidRDefault="008F753E" w:rsidP="00B14AFB">
      <w:pPr>
        <w:spacing w:after="0" w:line="240" w:lineRule="auto"/>
        <w:jc w:val="both"/>
        <w:rPr>
          <w:rFonts w:ascii="Times New Roman" w:eastAsia="Times New Roman" w:hAnsi="Times New Roman" w:cs="Times New Roman"/>
          <w:sz w:val="24"/>
          <w:szCs w:val="24"/>
          <w:lang w:val="en-GB" w:eastAsia="nl-NL"/>
        </w:rPr>
      </w:pPr>
      <w:r w:rsidRPr="00EC16EF">
        <w:rPr>
          <w:rFonts w:ascii="Times New Roman" w:eastAsia="Times New Roman" w:hAnsi="Times New Roman" w:cs="Times New Roman"/>
          <w:sz w:val="24"/>
          <w:szCs w:val="24"/>
          <w:lang w:val="en-GB" w:eastAsia="nl-NL"/>
        </w:rPr>
        <w:t xml:space="preserve">Miller, D. J. 2006.  Technological diversity, related diversification, and firm performance. </w:t>
      </w:r>
      <w:r w:rsidRPr="00EC16EF">
        <w:rPr>
          <w:rFonts w:ascii="Times New Roman" w:eastAsia="Times New Roman" w:hAnsi="Times New Roman" w:cs="Times New Roman"/>
          <w:i/>
          <w:sz w:val="24"/>
          <w:szCs w:val="24"/>
          <w:lang w:val="en-GB" w:eastAsia="nl-NL"/>
        </w:rPr>
        <w:t>Strategic Management Journal</w:t>
      </w:r>
      <w:r w:rsidRPr="00EC16EF">
        <w:rPr>
          <w:rFonts w:ascii="Times New Roman" w:eastAsia="Times New Roman" w:hAnsi="Times New Roman" w:cs="Times New Roman"/>
          <w:sz w:val="24"/>
          <w:szCs w:val="24"/>
          <w:lang w:val="en-GB" w:eastAsia="nl-NL"/>
        </w:rPr>
        <w:t xml:space="preserve"> 27: 601-619.</w:t>
      </w:r>
    </w:p>
    <w:p w14:paraId="65541F7A" w14:textId="77777777" w:rsidR="007371D3" w:rsidRDefault="007371D3" w:rsidP="00B14AFB">
      <w:pPr>
        <w:spacing w:after="0" w:line="240" w:lineRule="auto"/>
        <w:jc w:val="both"/>
        <w:rPr>
          <w:rFonts w:ascii="Times New Roman" w:eastAsia="Times New Roman" w:hAnsi="Times New Roman" w:cs="Times New Roman"/>
          <w:sz w:val="24"/>
          <w:szCs w:val="24"/>
          <w:lang w:val="en-GB" w:eastAsia="nl-NL"/>
        </w:rPr>
      </w:pPr>
    </w:p>
    <w:p w14:paraId="2A1AFF40" w14:textId="3190EE11" w:rsidR="007371D3" w:rsidRPr="00EC16EF" w:rsidRDefault="007371D3" w:rsidP="00B14AFB">
      <w:pPr>
        <w:spacing w:after="0" w:line="240" w:lineRule="auto"/>
        <w:jc w:val="both"/>
        <w:rPr>
          <w:rFonts w:ascii="Times New Roman" w:eastAsia="Times New Roman" w:hAnsi="Times New Roman" w:cs="Times New Roman"/>
          <w:sz w:val="24"/>
          <w:szCs w:val="24"/>
          <w:lang w:val="en-GB" w:eastAsia="nl-NL"/>
        </w:rPr>
      </w:pPr>
      <w:r w:rsidRPr="00EC16EF">
        <w:rPr>
          <w:rFonts w:ascii="Times New Roman" w:eastAsia="Times New Roman" w:hAnsi="Times New Roman" w:cs="Times New Roman"/>
          <w:sz w:val="24"/>
          <w:szCs w:val="24"/>
          <w:lang w:val="en-GB" w:eastAsia="nl-NL"/>
        </w:rPr>
        <w:t>Minetti, R, Murro, P., and Paiella, M. 2015. Ownership Structure, Governance and Innovation: Evidence from Italy, </w:t>
      </w:r>
      <w:r w:rsidRPr="00EC16EF">
        <w:rPr>
          <w:rFonts w:ascii="Times New Roman" w:eastAsia="Times New Roman" w:hAnsi="Times New Roman" w:cs="Times New Roman"/>
          <w:i/>
          <w:sz w:val="24"/>
          <w:szCs w:val="24"/>
          <w:lang w:val="en-GB" w:eastAsia="nl-NL"/>
        </w:rPr>
        <w:t>European Economic Review</w:t>
      </w:r>
      <w:r w:rsidRPr="00EC16EF">
        <w:rPr>
          <w:rFonts w:ascii="Times New Roman" w:eastAsia="Times New Roman" w:hAnsi="Times New Roman" w:cs="Times New Roman"/>
          <w:sz w:val="24"/>
          <w:szCs w:val="24"/>
          <w:lang w:val="en-GB" w:eastAsia="nl-NL"/>
        </w:rPr>
        <w:t xml:space="preserve"> 80:</w:t>
      </w:r>
      <w:r>
        <w:rPr>
          <w:rFonts w:ascii="Times New Roman" w:eastAsia="Times New Roman" w:hAnsi="Times New Roman" w:cs="Times New Roman"/>
          <w:sz w:val="24"/>
          <w:szCs w:val="24"/>
          <w:lang w:val="en-GB" w:eastAsia="nl-NL"/>
        </w:rPr>
        <w:t xml:space="preserve"> 165-193. </w:t>
      </w:r>
    </w:p>
    <w:p w14:paraId="6C9B5903" w14:textId="77777777" w:rsidR="008F753E" w:rsidRPr="00EC16EF" w:rsidRDefault="008F753E" w:rsidP="00B14AFB">
      <w:pPr>
        <w:spacing w:after="0" w:line="240" w:lineRule="auto"/>
        <w:jc w:val="both"/>
        <w:rPr>
          <w:rFonts w:ascii="Times New Roman" w:eastAsia="Times New Roman" w:hAnsi="Times New Roman" w:cs="Times New Roman"/>
          <w:sz w:val="24"/>
          <w:szCs w:val="24"/>
          <w:lang w:val="en-GB" w:eastAsia="nl-NL"/>
        </w:rPr>
      </w:pPr>
    </w:p>
    <w:p w14:paraId="2C1203AB" w14:textId="2009BD12" w:rsidR="003C503E" w:rsidRPr="00EC16EF" w:rsidRDefault="003C503E" w:rsidP="00B14AFB">
      <w:pPr>
        <w:spacing w:after="0" w:line="240" w:lineRule="auto"/>
        <w:jc w:val="both"/>
        <w:rPr>
          <w:rFonts w:ascii="Times New Roman" w:eastAsia="Times New Roman" w:hAnsi="Times New Roman" w:cs="Times New Roman"/>
          <w:sz w:val="24"/>
          <w:szCs w:val="24"/>
          <w:lang w:val="en-GB" w:eastAsia="nl-NL"/>
        </w:rPr>
      </w:pPr>
      <w:r w:rsidRPr="00EC16EF">
        <w:rPr>
          <w:rFonts w:ascii="Times New Roman" w:eastAsia="Times New Roman" w:hAnsi="Times New Roman" w:cs="Times New Roman"/>
          <w:sz w:val="24"/>
          <w:szCs w:val="24"/>
          <w:lang w:val="en-GB" w:eastAsia="nl-NL"/>
        </w:rPr>
        <w:t>Paradi</w:t>
      </w:r>
      <w:r w:rsidR="001A6278"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J</w:t>
      </w:r>
      <w:r w:rsidR="001A6278"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C</w:t>
      </w:r>
      <w:r w:rsidR="001A6278"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Rouatt</w:t>
      </w:r>
      <w:r w:rsidR="001A6278"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S</w:t>
      </w:r>
      <w:r w:rsidR="001A6278" w:rsidRPr="00EC16EF">
        <w:rPr>
          <w:rFonts w:ascii="Times New Roman" w:eastAsia="Times New Roman" w:hAnsi="Times New Roman" w:cs="Times New Roman"/>
          <w:sz w:val="24"/>
          <w:szCs w:val="24"/>
          <w:lang w:val="en-GB" w:eastAsia="nl-NL"/>
        </w:rPr>
        <w:t>.</w:t>
      </w:r>
      <w:r w:rsidR="00B14AFB" w:rsidRPr="00EC16EF">
        <w:rPr>
          <w:rFonts w:ascii="Times New Roman" w:eastAsia="Times New Roman" w:hAnsi="Times New Roman" w:cs="Times New Roman"/>
          <w:sz w:val="24"/>
          <w:szCs w:val="24"/>
          <w:lang w:val="en-GB" w:eastAsia="nl-NL"/>
        </w:rPr>
        <w:t>,</w:t>
      </w:r>
      <w:r w:rsidR="001A6278" w:rsidRPr="00EC16EF">
        <w:rPr>
          <w:rFonts w:ascii="Times New Roman" w:eastAsia="Times New Roman" w:hAnsi="Times New Roman" w:cs="Times New Roman"/>
          <w:sz w:val="24"/>
          <w:szCs w:val="24"/>
          <w:lang w:val="en-GB" w:eastAsia="nl-NL"/>
        </w:rPr>
        <w:t xml:space="preserve"> and</w:t>
      </w:r>
      <w:r w:rsidRPr="00EC16EF">
        <w:rPr>
          <w:rFonts w:ascii="Times New Roman" w:eastAsia="Times New Roman" w:hAnsi="Times New Roman" w:cs="Times New Roman"/>
          <w:sz w:val="24"/>
          <w:szCs w:val="24"/>
          <w:lang w:val="en-GB" w:eastAsia="nl-NL"/>
        </w:rPr>
        <w:t xml:space="preserve"> Zhu</w:t>
      </w:r>
      <w:r w:rsidR="001A6278"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H</w:t>
      </w:r>
      <w:r w:rsidR="001A6278" w:rsidRPr="00EC16EF">
        <w:rPr>
          <w:rFonts w:ascii="Times New Roman" w:eastAsia="Times New Roman" w:hAnsi="Times New Roman" w:cs="Times New Roman"/>
          <w:sz w:val="24"/>
          <w:szCs w:val="24"/>
          <w:lang w:val="en-GB" w:eastAsia="nl-NL"/>
        </w:rPr>
        <w:t>.</w:t>
      </w:r>
      <w:r w:rsidR="00B14AFB" w:rsidRPr="00EC16EF">
        <w:rPr>
          <w:rFonts w:ascii="Times New Roman" w:eastAsia="Times New Roman" w:hAnsi="Times New Roman" w:cs="Times New Roman"/>
          <w:sz w:val="24"/>
          <w:szCs w:val="24"/>
          <w:lang w:val="en-GB" w:eastAsia="nl-NL"/>
        </w:rPr>
        <w:t xml:space="preserve"> </w:t>
      </w:r>
      <w:r w:rsidRPr="00EC16EF">
        <w:rPr>
          <w:rFonts w:ascii="Times New Roman" w:eastAsia="Times New Roman" w:hAnsi="Times New Roman" w:cs="Times New Roman"/>
          <w:sz w:val="24"/>
          <w:szCs w:val="24"/>
          <w:lang w:val="en-GB" w:eastAsia="nl-NL"/>
        </w:rPr>
        <w:t>2011</w:t>
      </w:r>
      <w:r w:rsidR="00B14AFB"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w:t>
      </w:r>
      <w:r w:rsidR="00B14AFB"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Two-stage evaluation of bank branch efficiency using d</w:t>
      </w:r>
      <w:r w:rsidR="00B14AFB" w:rsidRPr="00EC16EF">
        <w:rPr>
          <w:rFonts w:ascii="Times New Roman" w:eastAsia="Times New Roman" w:hAnsi="Times New Roman" w:cs="Times New Roman"/>
          <w:sz w:val="24"/>
          <w:szCs w:val="24"/>
          <w:lang w:val="en-GB" w:eastAsia="nl-NL"/>
        </w:rPr>
        <w:t>ata envelopment analysis.”</w:t>
      </w:r>
      <w:r w:rsidRPr="00EC16EF">
        <w:rPr>
          <w:rFonts w:ascii="Times New Roman" w:eastAsia="Times New Roman" w:hAnsi="Times New Roman" w:cs="Times New Roman"/>
          <w:sz w:val="24"/>
          <w:szCs w:val="24"/>
          <w:lang w:val="en-GB" w:eastAsia="nl-NL"/>
        </w:rPr>
        <w:t xml:space="preserve"> </w:t>
      </w:r>
      <w:r w:rsidRPr="00130018">
        <w:rPr>
          <w:rFonts w:ascii="Times New Roman" w:eastAsia="Times New Roman" w:hAnsi="Times New Roman" w:cs="Times New Roman"/>
          <w:i/>
          <w:sz w:val="24"/>
          <w:szCs w:val="24"/>
          <w:lang w:val="en-GB" w:eastAsia="nl-NL"/>
        </w:rPr>
        <w:t>Omega</w:t>
      </w:r>
      <w:r w:rsidR="00B14AFB" w:rsidRPr="00EC16EF">
        <w:rPr>
          <w:rFonts w:ascii="Times New Roman" w:eastAsia="Times New Roman" w:hAnsi="Times New Roman" w:cs="Times New Roman"/>
          <w:sz w:val="24"/>
          <w:szCs w:val="24"/>
          <w:lang w:val="en-GB" w:eastAsia="nl-NL"/>
        </w:rPr>
        <w:t xml:space="preserve"> </w:t>
      </w:r>
      <w:r w:rsidRPr="00EC16EF">
        <w:rPr>
          <w:rFonts w:ascii="Times New Roman" w:eastAsia="Times New Roman" w:hAnsi="Times New Roman" w:cs="Times New Roman"/>
          <w:sz w:val="24"/>
          <w:szCs w:val="24"/>
          <w:lang w:val="en-GB" w:eastAsia="nl-NL"/>
        </w:rPr>
        <w:t>39(1)</w:t>
      </w:r>
      <w:r w:rsidR="00B14AFB" w:rsidRPr="00EC16EF">
        <w:rPr>
          <w:rFonts w:ascii="Times New Roman" w:eastAsia="Times New Roman" w:hAnsi="Times New Roman" w:cs="Times New Roman"/>
          <w:sz w:val="24"/>
          <w:szCs w:val="24"/>
          <w:lang w:val="en-GB" w:eastAsia="nl-NL"/>
        </w:rPr>
        <w:t>:</w:t>
      </w:r>
      <w:r w:rsidRPr="00EC16EF">
        <w:rPr>
          <w:rFonts w:ascii="Times New Roman" w:eastAsia="Times New Roman" w:hAnsi="Times New Roman" w:cs="Times New Roman"/>
          <w:sz w:val="24"/>
          <w:szCs w:val="24"/>
          <w:lang w:val="en-GB" w:eastAsia="nl-NL"/>
        </w:rPr>
        <w:t xml:space="preserve"> 99-109.</w:t>
      </w:r>
    </w:p>
    <w:p w14:paraId="4A23796F" w14:textId="77777777" w:rsidR="003C503E" w:rsidRPr="00EC16EF" w:rsidRDefault="003C503E" w:rsidP="003C503E">
      <w:pPr>
        <w:spacing w:after="0" w:line="240" w:lineRule="auto"/>
        <w:jc w:val="both"/>
        <w:rPr>
          <w:rFonts w:ascii="Times New Roman" w:eastAsia="Times New Roman" w:hAnsi="Times New Roman" w:cs="Times New Roman"/>
          <w:sz w:val="24"/>
          <w:szCs w:val="24"/>
          <w:lang w:val="en-GB" w:eastAsia="nl-NL"/>
        </w:rPr>
      </w:pPr>
    </w:p>
    <w:p w14:paraId="4DF667A6" w14:textId="0A15D411" w:rsidR="003C503E" w:rsidRPr="00EC16EF" w:rsidRDefault="003C503E" w:rsidP="00B14AFB">
      <w:pPr>
        <w:autoSpaceDE w:val="0"/>
        <w:autoSpaceDN w:val="0"/>
        <w:adjustRightInd w:val="0"/>
        <w:spacing w:after="0" w:line="240" w:lineRule="auto"/>
        <w:jc w:val="both"/>
        <w:rPr>
          <w:rFonts w:ascii="Times New Roman" w:hAnsi="Times New Roman" w:cs="Times New Roman"/>
          <w:sz w:val="24"/>
          <w:szCs w:val="24"/>
          <w:lang w:val="en-GB"/>
        </w:rPr>
      </w:pPr>
      <w:r w:rsidRPr="00EC16EF">
        <w:rPr>
          <w:rFonts w:ascii="Times New Roman" w:hAnsi="Times New Roman" w:cs="Times New Roman"/>
          <w:sz w:val="24"/>
          <w:szCs w:val="24"/>
          <w:lang w:val="en-GB"/>
        </w:rPr>
        <w:t>Park</w:t>
      </w:r>
      <w:r w:rsidR="001A6278" w:rsidRPr="00EC16EF">
        <w:rPr>
          <w:rFonts w:ascii="Times New Roman" w:hAnsi="Times New Roman" w:cs="Times New Roman"/>
          <w:sz w:val="24"/>
          <w:szCs w:val="24"/>
          <w:lang w:val="en-GB"/>
        </w:rPr>
        <w:t>,</w:t>
      </w:r>
      <w:r w:rsidRPr="00EC16EF">
        <w:rPr>
          <w:rFonts w:ascii="Times New Roman" w:hAnsi="Times New Roman" w:cs="Times New Roman"/>
          <w:sz w:val="24"/>
          <w:szCs w:val="24"/>
          <w:lang w:val="en-GB"/>
        </w:rPr>
        <w:t xml:space="preserve"> K</w:t>
      </w:r>
      <w:r w:rsidR="001A6278" w:rsidRPr="00EC16EF">
        <w:rPr>
          <w:rFonts w:ascii="Times New Roman" w:hAnsi="Times New Roman" w:cs="Times New Roman"/>
          <w:sz w:val="24"/>
          <w:szCs w:val="24"/>
          <w:lang w:val="en-GB"/>
        </w:rPr>
        <w:t>.</w:t>
      </w:r>
      <w:r w:rsidR="00B14AFB" w:rsidRPr="00EC16EF">
        <w:rPr>
          <w:rFonts w:ascii="Times New Roman" w:hAnsi="Times New Roman" w:cs="Times New Roman"/>
          <w:sz w:val="24"/>
          <w:szCs w:val="24"/>
          <w:lang w:val="en-GB"/>
        </w:rPr>
        <w:t>,</w:t>
      </w:r>
      <w:r w:rsidR="001A6278" w:rsidRPr="00EC16EF">
        <w:rPr>
          <w:rFonts w:ascii="Times New Roman" w:hAnsi="Times New Roman" w:cs="Times New Roman"/>
          <w:sz w:val="24"/>
          <w:szCs w:val="24"/>
          <w:lang w:val="en-GB"/>
        </w:rPr>
        <w:t xml:space="preserve"> and</w:t>
      </w:r>
      <w:r w:rsidRPr="00EC16EF">
        <w:rPr>
          <w:rFonts w:ascii="Times New Roman" w:hAnsi="Times New Roman" w:cs="Times New Roman"/>
          <w:sz w:val="24"/>
          <w:szCs w:val="24"/>
          <w:lang w:val="en-GB"/>
        </w:rPr>
        <w:t xml:space="preserve"> Pennacchi</w:t>
      </w:r>
      <w:r w:rsidR="001A6278" w:rsidRPr="00EC16EF">
        <w:rPr>
          <w:rFonts w:ascii="Times New Roman" w:hAnsi="Times New Roman" w:cs="Times New Roman"/>
          <w:sz w:val="24"/>
          <w:szCs w:val="24"/>
          <w:lang w:val="en-GB"/>
        </w:rPr>
        <w:t>,</w:t>
      </w:r>
      <w:r w:rsidRPr="00EC16EF">
        <w:rPr>
          <w:rFonts w:ascii="Times New Roman" w:hAnsi="Times New Roman" w:cs="Times New Roman"/>
          <w:sz w:val="24"/>
          <w:szCs w:val="24"/>
          <w:lang w:val="en-GB"/>
        </w:rPr>
        <w:t xml:space="preserve"> G</w:t>
      </w:r>
      <w:r w:rsidR="001A6278" w:rsidRPr="00EC16EF">
        <w:rPr>
          <w:rFonts w:ascii="Times New Roman" w:hAnsi="Times New Roman" w:cs="Times New Roman"/>
          <w:sz w:val="24"/>
          <w:szCs w:val="24"/>
          <w:lang w:val="en-GB"/>
        </w:rPr>
        <w:t>.</w:t>
      </w:r>
      <w:r w:rsidR="00B14AFB" w:rsidRPr="00EC16EF">
        <w:rPr>
          <w:rFonts w:ascii="Times New Roman" w:hAnsi="Times New Roman" w:cs="Times New Roman"/>
          <w:sz w:val="24"/>
          <w:szCs w:val="24"/>
          <w:lang w:val="en-GB"/>
        </w:rPr>
        <w:t xml:space="preserve"> 2</w:t>
      </w:r>
      <w:r w:rsidRPr="00EC16EF">
        <w:rPr>
          <w:rFonts w:ascii="Times New Roman" w:hAnsi="Times New Roman" w:cs="Times New Roman"/>
          <w:sz w:val="24"/>
          <w:szCs w:val="24"/>
          <w:lang w:val="en-GB"/>
        </w:rPr>
        <w:t>009</w:t>
      </w:r>
      <w:r w:rsidR="00B14AFB" w:rsidRPr="00EC16EF">
        <w:rPr>
          <w:rFonts w:ascii="Times New Roman" w:hAnsi="Times New Roman" w:cs="Times New Roman"/>
          <w:sz w:val="24"/>
          <w:szCs w:val="24"/>
          <w:lang w:val="en-GB"/>
        </w:rPr>
        <w:t>.</w:t>
      </w:r>
      <w:r w:rsidRPr="00EC16EF">
        <w:rPr>
          <w:rFonts w:ascii="Times New Roman" w:hAnsi="Times New Roman" w:cs="Times New Roman"/>
          <w:sz w:val="24"/>
          <w:szCs w:val="24"/>
          <w:lang w:val="en-GB"/>
        </w:rPr>
        <w:t xml:space="preserve"> </w:t>
      </w:r>
      <w:r w:rsidR="00B14AFB" w:rsidRPr="00EC16EF">
        <w:rPr>
          <w:rFonts w:ascii="Times New Roman" w:hAnsi="Times New Roman" w:cs="Times New Roman"/>
          <w:sz w:val="24"/>
          <w:szCs w:val="24"/>
          <w:lang w:val="en-GB"/>
        </w:rPr>
        <w:t>“</w:t>
      </w:r>
      <w:r w:rsidRPr="00EC16EF">
        <w:rPr>
          <w:rFonts w:ascii="Times New Roman" w:hAnsi="Times New Roman" w:cs="Times New Roman"/>
          <w:sz w:val="24"/>
          <w:szCs w:val="24"/>
          <w:lang w:val="en-GB"/>
        </w:rPr>
        <w:t>Harming depositors and helping borrowers: The dispara</w:t>
      </w:r>
      <w:r w:rsidR="00B14AFB" w:rsidRPr="00EC16EF">
        <w:rPr>
          <w:rFonts w:ascii="Times New Roman" w:hAnsi="Times New Roman" w:cs="Times New Roman"/>
          <w:sz w:val="24"/>
          <w:szCs w:val="24"/>
          <w:lang w:val="en-GB"/>
        </w:rPr>
        <w:t>te impact of bank consolidation.”</w:t>
      </w:r>
      <w:r w:rsidRPr="00EC16EF">
        <w:rPr>
          <w:rFonts w:ascii="Times New Roman" w:hAnsi="Times New Roman" w:cs="Times New Roman"/>
          <w:sz w:val="24"/>
          <w:szCs w:val="24"/>
          <w:lang w:val="en-GB"/>
        </w:rPr>
        <w:t xml:space="preserve"> </w:t>
      </w:r>
      <w:hyperlink r:id="rId21" w:history="1">
        <w:r w:rsidRPr="00EC16EF">
          <w:rPr>
            <w:rFonts w:asciiTheme="majorBidi" w:hAnsiTheme="majorBidi" w:cstheme="majorBidi"/>
            <w:i/>
            <w:iCs/>
            <w:sz w:val="24"/>
            <w:szCs w:val="24"/>
            <w:lang w:val="en-GB"/>
          </w:rPr>
          <w:t>Review of Financial Stud</w:t>
        </w:r>
      </w:hyperlink>
      <w:r w:rsidRPr="00EC16EF">
        <w:rPr>
          <w:rFonts w:asciiTheme="majorBidi" w:hAnsiTheme="majorBidi" w:cstheme="majorBidi"/>
          <w:i/>
          <w:iCs/>
          <w:sz w:val="24"/>
          <w:szCs w:val="24"/>
          <w:lang w:val="en-GB"/>
        </w:rPr>
        <w:t>ies</w:t>
      </w:r>
      <w:r w:rsidR="00B14AFB" w:rsidRPr="00EC16EF">
        <w:rPr>
          <w:rFonts w:asciiTheme="majorBidi" w:hAnsiTheme="majorBidi" w:cstheme="majorBidi"/>
          <w:i/>
          <w:iCs/>
          <w:sz w:val="24"/>
          <w:szCs w:val="24"/>
          <w:lang w:val="en-GB"/>
        </w:rPr>
        <w:t xml:space="preserve"> </w:t>
      </w:r>
      <w:r w:rsidRPr="00EC16EF">
        <w:rPr>
          <w:rFonts w:asciiTheme="majorBidi" w:hAnsiTheme="majorBidi" w:cstheme="majorBidi"/>
          <w:sz w:val="24"/>
          <w:szCs w:val="24"/>
          <w:lang w:val="en-GB"/>
        </w:rPr>
        <w:t>2</w:t>
      </w:r>
      <w:r w:rsidRPr="00EC16EF">
        <w:rPr>
          <w:rFonts w:ascii="Times New Roman" w:hAnsi="Times New Roman" w:cs="Times New Roman"/>
          <w:sz w:val="24"/>
          <w:szCs w:val="24"/>
          <w:lang w:val="en-GB"/>
        </w:rPr>
        <w:t>2(1)</w:t>
      </w:r>
      <w:r w:rsidR="00B14AFB" w:rsidRPr="00EC16EF">
        <w:rPr>
          <w:rFonts w:ascii="Times New Roman" w:hAnsi="Times New Roman" w:cs="Times New Roman"/>
          <w:sz w:val="24"/>
          <w:szCs w:val="24"/>
          <w:lang w:val="en-GB"/>
        </w:rPr>
        <w:t>:</w:t>
      </w:r>
      <w:r w:rsidRPr="00EC16EF">
        <w:rPr>
          <w:rFonts w:ascii="Times New Roman" w:hAnsi="Times New Roman" w:cs="Times New Roman"/>
          <w:sz w:val="24"/>
          <w:szCs w:val="24"/>
          <w:lang w:val="en-GB"/>
        </w:rPr>
        <w:t xml:space="preserve"> 1- 40.</w:t>
      </w:r>
    </w:p>
    <w:p w14:paraId="00F31A5C" w14:textId="77777777" w:rsidR="003C503E" w:rsidRPr="00EC16EF" w:rsidRDefault="003C503E" w:rsidP="003C503E">
      <w:pPr>
        <w:autoSpaceDE w:val="0"/>
        <w:autoSpaceDN w:val="0"/>
        <w:adjustRightInd w:val="0"/>
        <w:spacing w:after="0" w:line="240" w:lineRule="auto"/>
        <w:jc w:val="both"/>
        <w:rPr>
          <w:rFonts w:ascii="Times New Roman" w:hAnsi="Times New Roman" w:cs="Times New Roman"/>
          <w:sz w:val="24"/>
          <w:szCs w:val="24"/>
          <w:lang w:val="en-GB"/>
        </w:rPr>
      </w:pPr>
    </w:p>
    <w:p w14:paraId="0946E0BD" w14:textId="435288BD" w:rsidR="003C503E" w:rsidRPr="00EC16EF" w:rsidRDefault="003C503E" w:rsidP="00B14AFB">
      <w:pPr>
        <w:jc w:val="both"/>
        <w:rPr>
          <w:rFonts w:ascii="Times New Roman" w:hAnsi="Times New Roman"/>
          <w:sz w:val="24"/>
          <w:szCs w:val="24"/>
          <w:lang w:val="en-GB"/>
        </w:rPr>
      </w:pPr>
      <w:r w:rsidRPr="00EC16EF">
        <w:rPr>
          <w:rFonts w:ascii="Times New Roman" w:hAnsi="Times New Roman"/>
          <w:sz w:val="24"/>
          <w:szCs w:val="24"/>
          <w:lang w:val="en-GB"/>
        </w:rPr>
        <w:t>Pasiouras</w:t>
      </w:r>
      <w:r w:rsidR="001A6278" w:rsidRPr="00EC16EF">
        <w:rPr>
          <w:rFonts w:ascii="Times New Roman" w:hAnsi="Times New Roman"/>
          <w:sz w:val="24"/>
          <w:szCs w:val="24"/>
          <w:lang w:val="en-GB"/>
        </w:rPr>
        <w:t>,</w:t>
      </w:r>
      <w:r w:rsidRPr="00EC16EF">
        <w:rPr>
          <w:rFonts w:ascii="Times New Roman" w:hAnsi="Times New Roman"/>
          <w:sz w:val="24"/>
          <w:szCs w:val="24"/>
          <w:lang w:val="en-GB"/>
        </w:rPr>
        <w:t xml:space="preserve"> F</w:t>
      </w:r>
      <w:r w:rsidR="001A6278" w:rsidRPr="00EC16EF">
        <w:rPr>
          <w:rFonts w:ascii="Times New Roman" w:hAnsi="Times New Roman"/>
          <w:sz w:val="24"/>
          <w:szCs w:val="24"/>
          <w:lang w:val="en-GB"/>
        </w:rPr>
        <w:t>.</w:t>
      </w:r>
      <w:r w:rsidR="00B14AFB" w:rsidRPr="00EC16EF">
        <w:rPr>
          <w:rFonts w:ascii="Times New Roman" w:hAnsi="Times New Roman"/>
          <w:sz w:val="24"/>
          <w:szCs w:val="24"/>
          <w:lang w:val="en-GB"/>
        </w:rPr>
        <w:t>,</w:t>
      </w:r>
      <w:r w:rsidR="001A6278" w:rsidRPr="00EC16EF">
        <w:rPr>
          <w:rFonts w:ascii="Times New Roman" w:hAnsi="Times New Roman"/>
          <w:sz w:val="24"/>
          <w:szCs w:val="24"/>
          <w:lang w:val="en-GB"/>
        </w:rPr>
        <w:t xml:space="preserve"> and</w:t>
      </w:r>
      <w:r w:rsidRPr="00EC16EF">
        <w:rPr>
          <w:rFonts w:ascii="Times New Roman" w:hAnsi="Times New Roman"/>
          <w:sz w:val="24"/>
          <w:szCs w:val="24"/>
          <w:lang w:val="en-GB"/>
        </w:rPr>
        <w:t xml:space="preserve"> Kosmidou</w:t>
      </w:r>
      <w:r w:rsidR="001A6278" w:rsidRPr="00EC16EF">
        <w:rPr>
          <w:rFonts w:ascii="Times New Roman" w:hAnsi="Times New Roman"/>
          <w:sz w:val="24"/>
          <w:szCs w:val="24"/>
          <w:lang w:val="en-GB"/>
        </w:rPr>
        <w:t>,</w:t>
      </w:r>
      <w:r w:rsidRPr="00EC16EF">
        <w:rPr>
          <w:rFonts w:ascii="Times New Roman" w:hAnsi="Times New Roman"/>
          <w:sz w:val="24"/>
          <w:szCs w:val="24"/>
          <w:lang w:val="en-GB"/>
        </w:rPr>
        <w:t xml:space="preserve"> K</w:t>
      </w:r>
      <w:r w:rsidR="001A6278" w:rsidRPr="00EC16EF">
        <w:rPr>
          <w:rFonts w:ascii="Times New Roman" w:hAnsi="Times New Roman"/>
          <w:sz w:val="24"/>
          <w:szCs w:val="24"/>
          <w:lang w:val="en-GB"/>
        </w:rPr>
        <w:t>.</w:t>
      </w:r>
      <w:r w:rsidR="00B14AFB" w:rsidRPr="00EC16EF">
        <w:rPr>
          <w:rFonts w:ascii="Times New Roman" w:hAnsi="Times New Roman"/>
          <w:sz w:val="24"/>
          <w:szCs w:val="24"/>
          <w:lang w:val="en-GB"/>
        </w:rPr>
        <w:t xml:space="preserve"> </w:t>
      </w:r>
      <w:r w:rsidRPr="00EC16EF">
        <w:rPr>
          <w:rFonts w:ascii="Times New Roman" w:hAnsi="Times New Roman"/>
          <w:sz w:val="24"/>
          <w:szCs w:val="24"/>
          <w:lang w:val="en-GB"/>
        </w:rPr>
        <w:t>2007</w:t>
      </w:r>
      <w:r w:rsidR="00B14AFB" w:rsidRPr="00EC16EF">
        <w:rPr>
          <w:rFonts w:ascii="Times New Roman" w:hAnsi="Times New Roman"/>
          <w:sz w:val="24"/>
          <w:szCs w:val="24"/>
          <w:lang w:val="en-GB"/>
        </w:rPr>
        <w:t>.</w:t>
      </w:r>
      <w:r w:rsidRPr="00EC16EF">
        <w:rPr>
          <w:rFonts w:ascii="Times New Roman" w:hAnsi="Times New Roman"/>
          <w:sz w:val="24"/>
          <w:szCs w:val="24"/>
          <w:lang w:val="en-GB"/>
        </w:rPr>
        <w:t xml:space="preserve"> </w:t>
      </w:r>
      <w:r w:rsidR="00B14AFB" w:rsidRPr="00EC16EF">
        <w:rPr>
          <w:rFonts w:ascii="Times New Roman" w:hAnsi="Times New Roman"/>
          <w:sz w:val="24"/>
          <w:szCs w:val="24"/>
          <w:lang w:val="en-GB"/>
        </w:rPr>
        <w:t>“</w:t>
      </w:r>
      <w:r w:rsidRPr="00EC16EF">
        <w:rPr>
          <w:rFonts w:ascii="Times New Roman" w:hAnsi="Times New Roman"/>
          <w:sz w:val="24"/>
          <w:szCs w:val="24"/>
          <w:lang w:val="en-GB"/>
        </w:rPr>
        <w:t>Factors influencing the profitability of domestic and foreign commercial banks in the European Union</w:t>
      </w:r>
      <w:r w:rsidR="00B14AFB" w:rsidRPr="00EC16EF">
        <w:rPr>
          <w:rFonts w:ascii="Times New Roman" w:hAnsi="Times New Roman"/>
          <w:sz w:val="24"/>
          <w:szCs w:val="24"/>
          <w:lang w:val="en-GB"/>
        </w:rPr>
        <w:t>.”</w:t>
      </w:r>
      <w:r w:rsidRPr="00EC16EF">
        <w:rPr>
          <w:rFonts w:ascii="Times New Roman" w:hAnsi="Times New Roman"/>
          <w:sz w:val="24"/>
          <w:szCs w:val="24"/>
          <w:lang w:val="en-GB"/>
        </w:rPr>
        <w:t xml:space="preserve"> </w:t>
      </w:r>
      <w:r w:rsidRPr="00EC16EF">
        <w:rPr>
          <w:rFonts w:ascii="Times New Roman" w:hAnsi="Times New Roman"/>
          <w:i/>
          <w:iCs/>
          <w:sz w:val="24"/>
          <w:szCs w:val="24"/>
          <w:lang w:val="en-GB"/>
        </w:rPr>
        <w:t>Research in International Business and Finance</w:t>
      </w:r>
      <w:r w:rsidR="00B14AFB" w:rsidRPr="00EC16EF">
        <w:rPr>
          <w:rFonts w:ascii="Times New Roman" w:hAnsi="Times New Roman"/>
          <w:i/>
          <w:iCs/>
          <w:sz w:val="24"/>
          <w:szCs w:val="24"/>
          <w:lang w:val="en-GB"/>
        </w:rPr>
        <w:t xml:space="preserve"> </w:t>
      </w:r>
      <w:r w:rsidRPr="00EC16EF">
        <w:rPr>
          <w:rFonts w:ascii="Times New Roman" w:hAnsi="Times New Roman"/>
          <w:iCs/>
          <w:sz w:val="24"/>
          <w:szCs w:val="24"/>
          <w:lang w:val="en-GB"/>
        </w:rPr>
        <w:t>21</w:t>
      </w:r>
      <w:r w:rsidRPr="00EC16EF">
        <w:rPr>
          <w:rFonts w:ascii="Times New Roman" w:hAnsi="Times New Roman"/>
          <w:sz w:val="24"/>
          <w:szCs w:val="24"/>
          <w:lang w:val="en-GB"/>
        </w:rPr>
        <w:t>(2)</w:t>
      </w:r>
      <w:r w:rsidR="00B14AFB" w:rsidRPr="00EC16EF">
        <w:rPr>
          <w:rFonts w:ascii="Times New Roman" w:hAnsi="Times New Roman"/>
          <w:sz w:val="24"/>
          <w:szCs w:val="24"/>
          <w:lang w:val="en-GB"/>
        </w:rPr>
        <w:t>:</w:t>
      </w:r>
      <w:r w:rsidRPr="00EC16EF">
        <w:rPr>
          <w:rFonts w:ascii="Times New Roman" w:hAnsi="Times New Roman"/>
          <w:sz w:val="24"/>
          <w:szCs w:val="24"/>
          <w:lang w:val="en-GB"/>
        </w:rPr>
        <w:t xml:space="preserve"> 222-237.</w:t>
      </w:r>
    </w:p>
    <w:p w14:paraId="7B25C6A5" w14:textId="1A734162" w:rsidR="0076454E" w:rsidRDefault="0076454E" w:rsidP="00DF2F04">
      <w:pPr>
        <w:jc w:val="both"/>
        <w:rPr>
          <w:rFonts w:ascii="Times New Roman" w:eastAsia="Times New Roman" w:hAnsi="Times New Roman" w:cs="Times New Roman"/>
          <w:sz w:val="24"/>
          <w:szCs w:val="24"/>
          <w:lang w:eastAsia="nl-NL"/>
        </w:rPr>
      </w:pPr>
      <w:r w:rsidRPr="00EC16EF">
        <w:rPr>
          <w:rFonts w:ascii="Times New Roman" w:eastAsia="Times New Roman" w:hAnsi="Times New Roman" w:cs="Times New Roman"/>
          <w:sz w:val="24"/>
          <w:szCs w:val="24"/>
          <w:lang w:eastAsia="nl-NL"/>
        </w:rPr>
        <w:t xml:space="preserve">Peterson, </w:t>
      </w:r>
      <w:r w:rsidR="00CC7B1E" w:rsidRPr="00CC7B1E">
        <w:rPr>
          <w:rFonts w:ascii="Times New Roman" w:eastAsia="Times New Roman" w:hAnsi="Times New Roman" w:cs="Times New Roman"/>
          <w:sz w:val="24"/>
          <w:szCs w:val="24"/>
          <w:lang w:eastAsia="nl-NL"/>
        </w:rPr>
        <w:t>M.</w:t>
      </w:r>
      <w:r w:rsidR="00CC7B1E">
        <w:rPr>
          <w:rFonts w:ascii="Times New Roman" w:eastAsia="Times New Roman" w:hAnsi="Times New Roman" w:cs="Times New Roman"/>
          <w:sz w:val="24"/>
          <w:szCs w:val="24"/>
          <w:lang w:eastAsia="nl-NL"/>
        </w:rPr>
        <w:t xml:space="preserve"> </w:t>
      </w:r>
      <w:r w:rsidR="00CC7B1E" w:rsidRPr="00CC7B1E">
        <w:rPr>
          <w:rFonts w:ascii="Times New Roman" w:eastAsia="Times New Roman" w:hAnsi="Times New Roman" w:cs="Times New Roman"/>
          <w:sz w:val="24"/>
          <w:szCs w:val="24"/>
          <w:lang w:eastAsia="nl-NL"/>
        </w:rPr>
        <w:t>A.</w:t>
      </w:r>
      <w:r w:rsidRPr="00EC16EF">
        <w:rPr>
          <w:rFonts w:ascii="Times New Roman" w:eastAsia="Times New Roman" w:hAnsi="Times New Roman" w:cs="Times New Roman"/>
          <w:sz w:val="24"/>
          <w:szCs w:val="24"/>
          <w:lang w:eastAsia="nl-NL"/>
        </w:rPr>
        <w:t xml:space="preserve"> 2009. </w:t>
      </w:r>
      <w:r w:rsidR="00130018">
        <w:rPr>
          <w:rFonts w:ascii="Times New Roman" w:eastAsia="Times New Roman" w:hAnsi="Times New Roman" w:cs="Times New Roman"/>
          <w:sz w:val="24"/>
          <w:szCs w:val="24"/>
          <w:lang w:eastAsia="nl-NL"/>
        </w:rPr>
        <w:t>“</w:t>
      </w:r>
      <w:r w:rsidRPr="00EC16EF">
        <w:rPr>
          <w:rFonts w:ascii="Times New Roman" w:eastAsia="Times New Roman" w:hAnsi="Times New Roman" w:cs="Times New Roman"/>
          <w:sz w:val="24"/>
          <w:szCs w:val="24"/>
          <w:lang w:eastAsia="nl-NL"/>
        </w:rPr>
        <w:t>Estimating standard errors in finance panel data sets: comparing approaches.</w:t>
      </w:r>
      <w:r w:rsidR="00130018">
        <w:rPr>
          <w:rFonts w:ascii="Times New Roman" w:eastAsia="Times New Roman" w:hAnsi="Times New Roman" w:cs="Times New Roman"/>
          <w:sz w:val="24"/>
          <w:szCs w:val="24"/>
          <w:lang w:eastAsia="nl-NL"/>
        </w:rPr>
        <w:t>”</w:t>
      </w:r>
      <w:r w:rsidRPr="00EC16EF">
        <w:rPr>
          <w:rFonts w:ascii="Times New Roman" w:eastAsia="Times New Roman" w:hAnsi="Times New Roman" w:cs="Times New Roman"/>
          <w:sz w:val="24"/>
          <w:szCs w:val="24"/>
          <w:lang w:eastAsia="nl-NL"/>
        </w:rPr>
        <w:t xml:space="preserve"> </w:t>
      </w:r>
      <w:r w:rsidRPr="00EC16EF">
        <w:rPr>
          <w:rFonts w:ascii="Times New Roman" w:eastAsia="Times New Roman" w:hAnsi="Times New Roman" w:cs="Times New Roman"/>
          <w:i/>
          <w:sz w:val="24"/>
          <w:szCs w:val="24"/>
          <w:lang w:eastAsia="nl-NL"/>
        </w:rPr>
        <w:t>Review of financial Studies</w:t>
      </w:r>
      <w:r w:rsidRPr="00EC16EF">
        <w:rPr>
          <w:rFonts w:ascii="Times New Roman" w:eastAsia="Times New Roman" w:hAnsi="Times New Roman" w:cs="Times New Roman"/>
          <w:sz w:val="24"/>
          <w:szCs w:val="24"/>
          <w:lang w:eastAsia="nl-NL"/>
        </w:rPr>
        <w:t xml:space="preserve"> 22:435-480.</w:t>
      </w:r>
    </w:p>
    <w:p w14:paraId="7F2877AB" w14:textId="2887F630" w:rsidR="003C503E" w:rsidRPr="00535EEF" w:rsidRDefault="003C503E" w:rsidP="00DF2F04">
      <w:pPr>
        <w:jc w:val="both"/>
        <w:rPr>
          <w:rFonts w:ascii="Times New Roman" w:hAnsi="Times New Roman"/>
          <w:sz w:val="24"/>
          <w:szCs w:val="24"/>
          <w:lang w:val="en-GB"/>
        </w:rPr>
      </w:pPr>
      <w:r w:rsidRPr="00535EEF">
        <w:rPr>
          <w:rFonts w:ascii="Times New Roman" w:hAnsi="Times New Roman"/>
          <w:sz w:val="24"/>
          <w:szCs w:val="24"/>
          <w:lang w:val="en-GB"/>
        </w:rPr>
        <w:t>Porter</w:t>
      </w:r>
      <w:r w:rsidR="001A6278" w:rsidRPr="00535EEF">
        <w:rPr>
          <w:rFonts w:ascii="Times New Roman" w:hAnsi="Times New Roman"/>
          <w:sz w:val="24"/>
          <w:szCs w:val="24"/>
          <w:lang w:val="en-GB"/>
        </w:rPr>
        <w:t>,</w:t>
      </w:r>
      <w:r w:rsidRPr="00535EEF">
        <w:rPr>
          <w:rFonts w:ascii="Times New Roman" w:hAnsi="Times New Roman"/>
          <w:sz w:val="24"/>
          <w:szCs w:val="24"/>
          <w:lang w:val="en-GB"/>
        </w:rPr>
        <w:t xml:space="preserve"> M</w:t>
      </w:r>
      <w:r w:rsidR="001A6278" w:rsidRPr="00535EEF">
        <w:rPr>
          <w:rFonts w:ascii="Times New Roman" w:hAnsi="Times New Roman"/>
          <w:sz w:val="24"/>
          <w:szCs w:val="24"/>
          <w:lang w:val="en-GB"/>
        </w:rPr>
        <w:t>.</w:t>
      </w:r>
      <w:r w:rsidRPr="00535EEF">
        <w:rPr>
          <w:rFonts w:ascii="Times New Roman" w:hAnsi="Times New Roman"/>
          <w:sz w:val="24"/>
          <w:szCs w:val="24"/>
          <w:lang w:val="en-GB"/>
        </w:rPr>
        <w:t>E</w:t>
      </w:r>
      <w:r w:rsidR="001A6278" w:rsidRPr="00535EEF">
        <w:rPr>
          <w:rFonts w:ascii="Times New Roman" w:hAnsi="Times New Roman"/>
          <w:sz w:val="24"/>
          <w:szCs w:val="24"/>
          <w:lang w:val="en-GB"/>
        </w:rPr>
        <w:t>.</w:t>
      </w:r>
      <w:r w:rsidR="00B14AFB">
        <w:rPr>
          <w:rFonts w:ascii="Times New Roman" w:hAnsi="Times New Roman"/>
          <w:sz w:val="24"/>
          <w:szCs w:val="24"/>
          <w:lang w:val="en-GB"/>
        </w:rPr>
        <w:t xml:space="preserve"> </w:t>
      </w:r>
      <w:r w:rsidRPr="00535EEF">
        <w:rPr>
          <w:rFonts w:ascii="Times New Roman" w:hAnsi="Times New Roman"/>
          <w:sz w:val="24"/>
          <w:szCs w:val="24"/>
          <w:lang w:val="en-GB"/>
        </w:rPr>
        <w:t>1996</w:t>
      </w:r>
      <w:r w:rsidR="00B14AFB">
        <w:rPr>
          <w:rFonts w:ascii="Times New Roman" w:hAnsi="Times New Roman"/>
          <w:sz w:val="24"/>
          <w:szCs w:val="24"/>
          <w:lang w:val="en-GB"/>
        </w:rPr>
        <w:t>.</w:t>
      </w:r>
      <w:r w:rsidRPr="00535EEF">
        <w:rPr>
          <w:rFonts w:ascii="Times New Roman" w:hAnsi="Times New Roman"/>
          <w:sz w:val="24"/>
          <w:szCs w:val="24"/>
          <w:lang w:val="en-GB"/>
        </w:rPr>
        <w:t xml:space="preserve"> </w:t>
      </w:r>
      <w:r w:rsidR="00DF2F04">
        <w:rPr>
          <w:rFonts w:ascii="Times New Roman" w:hAnsi="Times New Roman"/>
          <w:sz w:val="24"/>
          <w:szCs w:val="24"/>
          <w:lang w:val="en-GB"/>
        </w:rPr>
        <w:t>“</w:t>
      </w:r>
      <w:r w:rsidRPr="00535EEF">
        <w:rPr>
          <w:rFonts w:ascii="Times New Roman" w:hAnsi="Times New Roman"/>
          <w:sz w:val="24"/>
          <w:szCs w:val="24"/>
          <w:lang w:val="en-GB"/>
        </w:rPr>
        <w:t>Competitive advantage, agglomeration</w:t>
      </w:r>
      <w:r w:rsidR="001A6278" w:rsidRPr="00535EEF">
        <w:rPr>
          <w:rFonts w:ascii="Times New Roman" w:hAnsi="Times New Roman"/>
          <w:sz w:val="24"/>
          <w:szCs w:val="24"/>
          <w:lang w:val="en-GB"/>
        </w:rPr>
        <w:t xml:space="preserve"> economies, and regional policy</w:t>
      </w:r>
      <w:r w:rsidR="00DF2F04">
        <w:rPr>
          <w:rFonts w:ascii="Times New Roman" w:hAnsi="Times New Roman"/>
          <w:sz w:val="24"/>
          <w:szCs w:val="24"/>
          <w:lang w:val="en-GB"/>
        </w:rPr>
        <w:t>.”</w:t>
      </w:r>
      <w:r w:rsidRPr="00535EEF">
        <w:rPr>
          <w:rFonts w:ascii="Times New Roman" w:hAnsi="Times New Roman"/>
          <w:sz w:val="24"/>
          <w:szCs w:val="24"/>
          <w:lang w:val="en-GB"/>
        </w:rPr>
        <w:t xml:space="preserve"> </w:t>
      </w:r>
      <w:r w:rsidRPr="00535EEF">
        <w:rPr>
          <w:rFonts w:ascii="Times New Roman" w:hAnsi="Times New Roman"/>
          <w:i/>
          <w:iCs/>
          <w:sz w:val="24"/>
          <w:szCs w:val="24"/>
          <w:lang w:val="en-GB"/>
        </w:rPr>
        <w:t>International Regional Science Review</w:t>
      </w:r>
      <w:r w:rsidRPr="00535EEF">
        <w:rPr>
          <w:rFonts w:ascii="Times New Roman" w:hAnsi="Times New Roman"/>
          <w:sz w:val="24"/>
          <w:szCs w:val="24"/>
          <w:lang w:val="en-GB"/>
        </w:rPr>
        <w:t xml:space="preserve"> </w:t>
      </w:r>
      <w:r w:rsidRPr="00535EEF">
        <w:rPr>
          <w:rFonts w:ascii="Times New Roman" w:hAnsi="Times New Roman"/>
          <w:iCs/>
          <w:sz w:val="24"/>
          <w:szCs w:val="24"/>
          <w:lang w:val="en-GB"/>
        </w:rPr>
        <w:t>19</w:t>
      </w:r>
      <w:r w:rsidRPr="00535EEF">
        <w:rPr>
          <w:rFonts w:ascii="Times New Roman" w:hAnsi="Times New Roman"/>
          <w:sz w:val="24"/>
          <w:szCs w:val="24"/>
          <w:lang w:val="en-GB"/>
        </w:rPr>
        <w:t>(1-2)</w:t>
      </w:r>
      <w:r w:rsidR="00B14AFB">
        <w:rPr>
          <w:rFonts w:ascii="Times New Roman" w:hAnsi="Times New Roman"/>
          <w:sz w:val="24"/>
          <w:szCs w:val="24"/>
          <w:lang w:val="en-GB"/>
        </w:rPr>
        <w:t>:</w:t>
      </w:r>
      <w:r w:rsidRPr="00535EEF">
        <w:rPr>
          <w:rFonts w:ascii="Times New Roman" w:hAnsi="Times New Roman"/>
          <w:sz w:val="24"/>
          <w:szCs w:val="24"/>
          <w:lang w:val="en-GB"/>
        </w:rPr>
        <w:t xml:space="preserve"> 85-90.</w:t>
      </w:r>
    </w:p>
    <w:p w14:paraId="5EC12CC4" w14:textId="699532E4" w:rsidR="000D153C" w:rsidRPr="00130018" w:rsidRDefault="000D153C" w:rsidP="008A7309">
      <w:pPr>
        <w:spacing w:after="0" w:line="240" w:lineRule="auto"/>
        <w:jc w:val="both"/>
        <w:rPr>
          <w:rFonts w:ascii="Times New Roman" w:hAnsi="Times New Roman"/>
          <w:sz w:val="24"/>
          <w:szCs w:val="24"/>
          <w:lang w:val="en-GB"/>
        </w:rPr>
      </w:pPr>
      <w:r w:rsidRPr="00130018">
        <w:rPr>
          <w:rFonts w:ascii="Times New Roman" w:hAnsi="Times New Roman"/>
          <w:sz w:val="24"/>
          <w:szCs w:val="24"/>
          <w:lang w:val="en-GB"/>
        </w:rPr>
        <w:t xml:space="preserve">Powell, D. 2016.  </w:t>
      </w:r>
      <w:r w:rsidRPr="00130018">
        <w:rPr>
          <w:rFonts w:ascii="Times New Roman" w:hAnsi="Times New Roman"/>
          <w:i/>
          <w:sz w:val="24"/>
          <w:szCs w:val="24"/>
          <w:lang w:val="en-GB"/>
        </w:rPr>
        <w:t>Quantile Treatment Effects in the Presence of Covariates</w:t>
      </w:r>
      <w:r w:rsidRPr="00130018">
        <w:rPr>
          <w:rFonts w:ascii="Times New Roman" w:hAnsi="Times New Roman"/>
          <w:sz w:val="24"/>
          <w:szCs w:val="24"/>
          <w:lang w:val="en-GB"/>
        </w:rPr>
        <w:t>.</w:t>
      </w:r>
      <w:r w:rsidR="008A7309" w:rsidRPr="00130018">
        <w:rPr>
          <w:rFonts w:ascii="Times New Roman" w:hAnsi="Times New Roman"/>
          <w:sz w:val="24"/>
          <w:szCs w:val="24"/>
          <w:lang w:val="en-GB"/>
        </w:rPr>
        <w:t xml:space="preserve"> RAND Labor </w:t>
      </w:r>
      <w:r w:rsidRPr="00130018">
        <w:rPr>
          <w:rFonts w:ascii="Times New Roman" w:hAnsi="Times New Roman"/>
          <w:sz w:val="24"/>
          <w:szCs w:val="24"/>
          <w:lang w:val="en-GB"/>
        </w:rPr>
        <w:t>and Population Working Paper.</w:t>
      </w:r>
    </w:p>
    <w:p w14:paraId="55951A7A" w14:textId="77777777" w:rsidR="00397E25" w:rsidRPr="00130018" w:rsidRDefault="00397E25" w:rsidP="008A7309">
      <w:pPr>
        <w:spacing w:after="0" w:line="240" w:lineRule="auto"/>
        <w:jc w:val="both"/>
        <w:rPr>
          <w:rFonts w:ascii="Tahoma" w:eastAsia="Times New Roman" w:hAnsi="Tahoma" w:cs="Tahoma"/>
          <w:color w:val="000000"/>
          <w:sz w:val="20"/>
          <w:szCs w:val="20"/>
        </w:rPr>
      </w:pPr>
    </w:p>
    <w:p w14:paraId="410AD68F" w14:textId="278B3979" w:rsidR="00397E25" w:rsidRPr="00130018" w:rsidRDefault="00656AFD" w:rsidP="008A7309">
      <w:pPr>
        <w:spacing w:after="0" w:line="240" w:lineRule="auto"/>
        <w:jc w:val="both"/>
        <w:rPr>
          <w:rFonts w:ascii="Tahoma" w:eastAsia="Times New Roman" w:hAnsi="Tahoma" w:cs="Tahoma"/>
          <w:color w:val="000000"/>
          <w:sz w:val="20"/>
          <w:szCs w:val="20"/>
        </w:rPr>
      </w:pPr>
      <w:r w:rsidRPr="00130018">
        <w:rPr>
          <w:rFonts w:ascii="Times New Roman" w:hAnsi="Times New Roman"/>
          <w:sz w:val="24"/>
          <w:szCs w:val="24"/>
          <w:lang w:val="en-GB"/>
        </w:rPr>
        <w:t xml:space="preserve">Powell, D. </w:t>
      </w:r>
      <w:r w:rsidR="00397E25" w:rsidRPr="00130018">
        <w:rPr>
          <w:rFonts w:ascii="Times New Roman" w:hAnsi="Times New Roman"/>
          <w:sz w:val="24"/>
          <w:szCs w:val="24"/>
          <w:lang w:val="en-GB"/>
        </w:rPr>
        <w:t>2010</w:t>
      </w:r>
      <w:r w:rsidRPr="00130018">
        <w:rPr>
          <w:rFonts w:ascii="Times New Roman" w:hAnsi="Times New Roman"/>
          <w:sz w:val="24"/>
          <w:szCs w:val="24"/>
          <w:lang w:val="en-GB"/>
        </w:rPr>
        <w:t>.</w:t>
      </w:r>
      <w:r w:rsidR="00130018">
        <w:rPr>
          <w:rFonts w:ascii="Times New Roman" w:hAnsi="Times New Roman"/>
          <w:sz w:val="24"/>
          <w:szCs w:val="24"/>
          <w:lang w:val="en-GB"/>
        </w:rPr>
        <w:t xml:space="preserve"> </w:t>
      </w:r>
      <w:r w:rsidR="00397E25" w:rsidRPr="00130018">
        <w:rPr>
          <w:rFonts w:ascii="Times New Roman" w:hAnsi="Times New Roman"/>
          <w:i/>
          <w:sz w:val="24"/>
          <w:szCs w:val="24"/>
          <w:lang w:val="en-GB"/>
        </w:rPr>
        <w:t>Unconditional quantile treatment effects in the presence</w:t>
      </w:r>
      <w:r w:rsidRPr="00130018">
        <w:rPr>
          <w:rFonts w:ascii="Times New Roman" w:hAnsi="Times New Roman"/>
          <w:i/>
          <w:sz w:val="24"/>
          <w:szCs w:val="24"/>
          <w:lang w:val="en-GB"/>
        </w:rPr>
        <w:t xml:space="preserve"> of covariates</w:t>
      </w:r>
      <w:r w:rsidR="00397E25" w:rsidRPr="00130018">
        <w:rPr>
          <w:rFonts w:ascii="Times New Roman" w:hAnsi="Times New Roman"/>
          <w:sz w:val="24"/>
          <w:szCs w:val="24"/>
          <w:lang w:val="en-GB"/>
        </w:rPr>
        <w:t>.</w:t>
      </w:r>
      <w:r w:rsidR="00130018" w:rsidRPr="00130018">
        <w:rPr>
          <w:rFonts w:ascii="Times New Roman" w:hAnsi="Times New Roman"/>
          <w:sz w:val="24"/>
          <w:szCs w:val="24"/>
          <w:lang w:val="en-GB"/>
        </w:rPr>
        <w:t xml:space="preserve"> </w:t>
      </w:r>
      <w:r w:rsidR="00397E25" w:rsidRPr="00130018">
        <w:rPr>
          <w:rFonts w:ascii="Times New Roman" w:hAnsi="Times New Roman"/>
          <w:sz w:val="24"/>
          <w:szCs w:val="24"/>
          <w:lang w:val="en-GB"/>
        </w:rPr>
        <w:t>Working</w:t>
      </w:r>
      <w:r w:rsidRPr="00130018">
        <w:rPr>
          <w:rFonts w:ascii="Times New Roman" w:hAnsi="Times New Roman"/>
          <w:sz w:val="24"/>
          <w:szCs w:val="24"/>
          <w:lang w:val="en-GB"/>
        </w:rPr>
        <w:t xml:space="preserve"> papers.</w:t>
      </w:r>
      <w:r w:rsidR="00397E25" w:rsidRPr="00130018">
        <w:rPr>
          <w:rFonts w:ascii="Times New Roman" w:hAnsi="Times New Roman"/>
          <w:sz w:val="24"/>
          <w:szCs w:val="24"/>
          <w:lang w:val="en-GB"/>
        </w:rPr>
        <w:t xml:space="preserve"> RAND Corp</w:t>
      </w:r>
      <w:r w:rsidR="00C23657" w:rsidRPr="00130018">
        <w:rPr>
          <w:rFonts w:ascii="Times New Roman" w:hAnsi="Times New Roman"/>
          <w:sz w:val="24"/>
          <w:szCs w:val="24"/>
          <w:lang w:val="en-GB"/>
        </w:rPr>
        <w:t>oration Publications Department</w:t>
      </w:r>
      <w:r w:rsidR="00397E25" w:rsidRPr="00130018">
        <w:rPr>
          <w:rFonts w:ascii="Times New Roman" w:hAnsi="Times New Roman"/>
          <w:sz w:val="24"/>
          <w:szCs w:val="24"/>
          <w:lang w:val="en-GB"/>
        </w:rPr>
        <w:t>.</w:t>
      </w:r>
      <w:r w:rsidR="00397E25" w:rsidRPr="00130018">
        <w:rPr>
          <w:rFonts w:ascii="Cambria" w:eastAsia="Cambria" w:hAnsi="Cambria" w:cs="Cambria"/>
          <w:color w:val="000000"/>
          <w:sz w:val="24"/>
          <w:lang w:eastAsia="en-GB"/>
        </w:rPr>
        <w:br/>
      </w:r>
    </w:p>
    <w:p w14:paraId="4E83CBA0" w14:textId="5BA35547" w:rsidR="003C503E" w:rsidRPr="00535EEF" w:rsidRDefault="003C503E" w:rsidP="00B14AFB">
      <w:pPr>
        <w:spacing w:after="0" w:line="240" w:lineRule="auto"/>
        <w:jc w:val="both"/>
        <w:rPr>
          <w:rFonts w:ascii="Times New Roman" w:eastAsia="Times New Roman" w:hAnsi="Times New Roman" w:cs="Times New Roman"/>
          <w:sz w:val="24"/>
          <w:szCs w:val="24"/>
          <w:lang w:val="en-GB" w:eastAsia="nl-NL"/>
        </w:rPr>
      </w:pPr>
      <w:r w:rsidRPr="00535EEF">
        <w:rPr>
          <w:rFonts w:ascii="Times New Roman" w:eastAsia="Times New Roman" w:hAnsi="Times New Roman" w:cs="Times New Roman"/>
          <w:sz w:val="24"/>
          <w:szCs w:val="24"/>
          <w:lang w:val="en-GB" w:eastAsia="nl-NL"/>
        </w:rPr>
        <w:t>Ramaswamy</w:t>
      </w:r>
      <w:r w:rsidR="001A6278" w:rsidRPr="00535EEF">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 xml:space="preserve"> K</w:t>
      </w:r>
      <w:r w:rsidR="001A6278" w:rsidRPr="00535EEF">
        <w:rPr>
          <w:rFonts w:ascii="Times New Roman" w:eastAsia="Times New Roman" w:hAnsi="Times New Roman" w:cs="Times New Roman"/>
          <w:sz w:val="24"/>
          <w:szCs w:val="24"/>
          <w:lang w:val="en-GB" w:eastAsia="nl-NL"/>
        </w:rPr>
        <w:t>.</w:t>
      </w:r>
      <w:r w:rsidR="00B14AFB">
        <w:rPr>
          <w:rFonts w:ascii="Times New Roman" w:eastAsia="Times New Roman" w:hAnsi="Times New Roman" w:cs="Times New Roman"/>
          <w:sz w:val="24"/>
          <w:szCs w:val="24"/>
          <w:lang w:val="en-GB" w:eastAsia="nl-NL"/>
        </w:rPr>
        <w:t xml:space="preserve"> </w:t>
      </w:r>
      <w:r w:rsidRPr="00535EEF">
        <w:rPr>
          <w:rFonts w:ascii="Times New Roman" w:eastAsia="Times New Roman" w:hAnsi="Times New Roman" w:cs="Times New Roman"/>
          <w:sz w:val="24"/>
          <w:szCs w:val="24"/>
          <w:lang w:val="en-GB" w:eastAsia="nl-NL"/>
        </w:rPr>
        <w:t>1995</w:t>
      </w:r>
      <w:r w:rsidR="00B14AFB">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 xml:space="preserve"> </w:t>
      </w:r>
      <w:r w:rsidR="00B14AFB">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Multinationality, configuration, and performance: A study of MNEs in the US drug and pharmaceutical industry</w:t>
      </w:r>
      <w:r w:rsidR="00B14AFB">
        <w:rPr>
          <w:rFonts w:ascii="Times New Roman" w:eastAsia="Times New Roman" w:hAnsi="Times New Roman" w:cs="Times New Roman"/>
          <w:i/>
          <w:iCs/>
          <w:sz w:val="24"/>
          <w:szCs w:val="24"/>
          <w:lang w:val="en-GB" w:eastAsia="nl-NL"/>
        </w:rPr>
        <w:t>.”</w:t>
      </w:r>
      <w:r w:rsidRPr="00535EEF">
        <w:rPr>
          <w:rFonts w:ascii="Times New Roman" w:eastAsia="Times New Roman" w:hAnsi="Times New Roman" w:cs="Times New Roman"/>
          <w:i/>
          <w:iCs/>
          <w:sz w:val="24"/>
          <w:szCs w:val="24"/>
          <w:lang w:val="en-GB" w:eastAsia="nl-NL"/>
        </w:rPr>
        <w:t xml:space="preserve"> Journal of International Management</w:t>
      </w:r>
      <w:r w:rsidR="00B14AFB">
        <w:rPr>
          <w:rFonts w:ascii="Times New Roman" w:eastAsia="Times New Roman" w:hAnsi="Times New Roman" w:cs="Times New Roman"/>
          <w:i/>
          <w:iCs/>
          <w:sz w:val="24"/>
          <w:szCs w:val="24"/>
          <w:lang w:val="en-GB" w:eastAsia="nl-NL"/>
        </w:rPr>
        <w:t xml:space="preserve"> </w:t>
      </w:r>
      <w:r w:rsidRPr="00535EEF">
        <w:rPr>
          <w:rFonts w:ascii="Times New Roman" w:eastAsia="Times New Roman" w:hAnsi="Times New Roman" w:cs="Times New Roman"/>
          <w:iCs/>
          <w:sz w:val="24"/>
          <w:szCs w:val="24"/>
          <w:lang w:val="en-GB" w:eastAsia="nl-NL"/>
        </w:rPr>
        <w:t>1</w:t>
      </w:r>
      <w:r w:rsidRPr="00535EEF">
        <w:rPr>
          <w:rFonts w:ascii="Times New Roman" w:eastAsia="Times New Roman" w:hAnsi="Times New Roman" w:cs="Times New Roman"/>
          <w:sz w:val="24"/>
          <w:szCs w:val="24"/>
          <w:lang w:val="en-GB" w:eastAsia="nl-NL"/>
        </w:rPr>
        <w:t>(2)</w:t>
      </w:r>
      <w:r w:rsidR="00B14AFB">
        <w:rPr>
          <w:rFonts w:ascii="Times New Roman" w:eastAsia="Times New Roman" w:hAnsi="Times New Roman" w:cs="Times New Roman"/>
          <w:sz w:val="24"/>
          <w:szCs w:val="24"/>
          <w:lang w:val="en-GB" w:eastAsia="nl-NL"/>
        </w:rPr>
        <w:t xml:space="preserve">: </w:t>
      </w:r>
      <w:r w:rsidRPr="00535EEF">
        <w:rPr>
          <w:rFonts w:ascii="Times New Roman" w:eastAsia="Times New Roman" w:hAnsi="Times New Roman" w:cs="Times New Roman"/>
          <w:sz w:val="24"/>
          <w:szCs w:val="24"/>
          <w:lang w:val="en-GB" w:eastAsia="nl-NL"/>
        </w:rPr>
        <w:t>231-253.</w:t>
      </w:r>
    </w:p>
    <w:p w14:paraId="4FB1EEB0" w14:textId="77777777" w:rsidR="003C503E" w:rsidRPr="00535EEF" w:rsidRDefault="003C503E" w:rsidP="003C503E">
      <w:pPr>
        <w:spacing w:after="0" w:line="240" w:lineRule="auto"/>
        <w:jc w:val="both"/>
        <w:rPr>
          <w:rFonts w:ascii="Times New Roman" w:eastAsia="Times New Roman" w:hAnsi="Times New Roman" w:cs="Times New Roman"/>
          <w:sz w:val="24"/>
          <w:szCs w:val="24"/>
          <w:lang w:val="en-GB" w:eastAsia="nl-NL"/>
        </w:rPr>
      </w:pPr>
    </w:p>
    <w:p w14:paraId="781EAAC1" w14:textId="400F6540" w:rsidR="003C503E" w:rsidRPr="00535EEF" w:rsidRDefault="003C503E" w:rsidP="00B14AFB">
      <w:pPr>
        <w:jc w:val="both"/>
        <w:rPr>
          <w:rFonts w:ascii="Times New Roman" w:hAnsi="Times New Roman"/>
          <w:sz w:val="24"/>
          <w:szCs w:val="24"/>
          <w:lang w:val="en-GB"/>
        </w:rPr>
      </w:pPr>
      <w:r w:rsidRPr="00535EEF">
        <w:rPr>
          <w:rFonts w:ascii="Times New Roman" w:hAnsi="Times New Roman"/>
          <w:sz w:val="24"/>
          <w:szCs w:val="24"/>
          <w:lang w:val="en-GB"/>
        </w:rPr>
        <w:t>Schaffnit</w:t>
      </w:r>
      <w:r w:rsidR="001A6278" w:rsidRPr="00535EEF">
        <w:rPr>
          <w:rFonts w:ascii="Times New Roman" w:hAnsi="Times New Roman"/>
          <w:sz w:val="24"/>
          <w:szCs w:val="24"/>
          <w:lang w:val="en-GB"/>
        </w:rPr>
        <w:t>,</w:t>
      </w:r>
      <w:r w:rsidRPr="00535EEF">
        <w:rPr>
          <w:rFonts w:ascii="Times New Roman" w:hAnsi="Times New Roman"/>
          <w:sz w:val="24"/>
          <w:szCs w:val="24"/>
          <w:lang w:val="en-GB"/>
        </w:rPr>
        <w:t xml:space="preserve"> C</w:t>
      </w:r>
      <w:r w:rsidR="001A6278" w:rsidRPr="00535EEF">
        <w:rPr>
          <w:rFonts w:ascii="Times New Roman" w:hAnsi="Times New Roman"/>
          <w:sz w:val="24"/>
          <w:szCs w:val="24"/>
          <w:lang w:val="en-GB"/>
        </w:rPr>
        <w:t>.</w:t>
      </w:r>
      <w:r w:rsidRPr="00535EEF">
        <w:rPr>
          <w:rFonts w:ascii="Times New Roman" w:hAnsi="Times New Roman"/>
          <w:sz w:val="24"/>
          <w:szCs w:val="24"/>
          <w:lang w:val="en-GB"/>
        </w:rPr>
        <w:t>, Rosen</w:t>
      </w:r>
      <w:r w:rsidR="001A6278" w:rsidRPr="00535EEF">
        <w:rPr>
          <w:rFonts w:ascii="Times New Roman" w:hAnsi="Times New Roman"/>
          <w:sz w:val="24"/>
          <w:szCs w:val="24"/>
          <w:lang w:val="en-GB"/>
        </w:rPr>
        <w:t>,</w:t>
      </w:r>
      <w:r w:rsidRPr="00535EEF">
        <w:rPr>
          <w:rFonts w:ascii="Times New Roman" w:hAnsi="Times New Roman"/>
          <w:sz w:val="24"/>
          <w:szCs w:val="24"/>
          <w:lang w:val="en-GB"/>
        </w:rPr>
        <w:t xml:space="preserve"> D</w:t>
      </w:r>
      <w:r w:rsidR="001A6278" w:rsidRPr="00535EEF">
        <w:rPr>
          <w:rFonts w:ascii="Times New Roman" w:hAnsi="Times New Roman"/>
          <w:sz w:val="24"/>
          <w:szCs w:val="24"/>
          <w:lang w:val="en-GB"/>
        </w:rPr>
        <w:t>.</w:t>
      </w:r>
      <w:r w:rsidR="00B14AFB">
        <w:rPr>
          <w:rFonts w:ascii="Times New Roman" w:hAnsi="Times New Roman"/>
          <w:sz w:val="24"/>
          <w:szCs w:val="24"/>
          <w:lang w:val="en-GB"/>
        </w:rPr>
        <w:t>,</w:t>
      </w:r>
      <w:r w:rsidR="001A6278" w:rsidRPr="00535EEF">
        <w:rPr>
          <w:rFonts w:ascii="Times New Roman" w:hAnsi="Times New Roman"/>
          <w:sz w:val="24"/>
          <w:szCs w:val="24"/>
          <w:lang w:val="en-GB"/>
        </w:rPr>
        <w:t xml:space="preserve"> and</w:t>
      </w:r>
      <w:r w:rsidRPr="00535EEF">
        <w:rPr>
          <w:rFonts w:ascii="Times New Roman" w:hAnsi="Times New Roman"/>
          <w:sz w:val="24"/>
          <w:szCs w:val="24"/>
          <w:lang w:val="en-GB"/>
        </w:rPr>
        <w:t xml:space="preserve"> Paradi</w:t>
      </w:r>
      <w:r w:rsidR="001A6278" w:rsidRPr="00535EEF">
        <w:rPr>
          <w:rFonts w:ascii="Times New Roman" w:hAnsi="Times New Roman"/>
          <w:sz w:val="24"/>
          <w:szCs w:val="24"/>
          <w:lang w:val="en-GB"/>
        </w:rPr>
        <w:t>,</w:t>
      </w:r>
      <w:r w:rsidRPr="00535EEF">
        <w:rPr>
          <w:rFonts w:ascii="Times New Roman" w:hAnsi="Times New Roman"/>
          <w:sz w:val="24"/>
          <w:szCs w:val="24"/>
          <w:lang w:val="en-GB"/>
        </w:rPr>
        <w:t xml:space="preserve"> J</w:t>
      </w:r>
      <w:r w:rsidR="001A6278" w:rsidRPr="00535EEF">
        <w:rPr>
          <w:rFonts w:ascii="Times New Roman" w:hAnsi="Times New Roman"/>
          <w:sz w:val="24"/>
          <w:szCs w:val="24"/>
          <w:lang w:val="en-GB"/>
        </w:rPr>
        <w:t>.</w:t>
      </w:r>
      <w:r w:rsidRPr="00535EEF">
        <w:rPr>
          <w:rFonts w:ascii="Times New Roman" w:hAnsi="Times New Roman"/>
          <w:sz w:val="24"/>
          <w:szCs w:val="24"/>
          <w:lang w:val="en-GB"/>
        </w:rPr>
        <w:t>C</w:t>
      </w:r>
      <w:r w:rsidR="001A6278" w:rsidRPr="00535EEF">
        <w:rPr>
          <w:rFonts w:ascii="Times New Roman" w:hAnsi="Times New Roman"/>
          <w:sz w:val="24"/>
          <w:szCs w:val="24"/>
          <w:lang w:val="en-GB"/>
        </w:rPr>
        <w:t>.</w:t>
      </w:r>
      <w:r w:rsidR="00B14AFB">
        <w:rPr>
          <w:rFonts w:ascii="Times New Roman" w:hAnsi="Times New Roman"/>
          <w:sz w:val="24"/>
          <w:szCs w:val="24"/>
          <w:lang w:val="en-GB"/>
        </w:rPr>
        <w:t xml:space="preserve"> </w:t>
      </w:r>
      <w:r w:rsidRPr="00535EEF">
        <w:rPr>
          <w:rFonts w:ascii="Times New Roman" w:hAnsi="Times New Roman"/>
          <w:sz w:val="24"/>
          <w:szCs w:val="24"/>
          <w:lang w:val="en-GB"/>
        </w:rPr>
        <w:t>19</w:t>
      </w:r>
      <w:r w:rsidR="00B14AFB">
        <w:rPr>
          <w:rFonts w:ascii="Times New Roman" w:hAnsi="Times New Roman"/>
          <w:sz w:val="24"/>
          <w:szCs w:val="24"/>
          <w:lang w:val="en-GB"/>
        </w:rPr>
        <w:t>97.</w:t>
      </w:r>
      <w:r w:rsidRPr="00535EEF">
        <w:rPr>
          <w:rFonts w:ascii="Times New Roman" w:hAnsi="Times New Roman"/>
          <w:sz w:val="24"/>
          <w:szCs w:val="24"/>
          <w:lang w:val="en-GB"/>
        </w:rPr>
        <w:t xml:space="preserve"> </w:t>
      </w:r>
      <w:r w:rsidR="00DF2F04">
        <w:rPr>
          <w:rFonts w:ascii="Times New Roman" w:hAnsi="Times New Roman"/>
          <w:sz w:val="24"/>
          <w:szCs w:val="24"/>
          <w:lang w:val="en-GB"/>
        </w:rPr>
        <w:t>“</w:t>
      </w:r>
      <w:r w:rsidRPr="00535EEF">
        <w:rPr>
          <w:rFonts w:ascii="Times New Roman" w:hAnsi="Times New Roman"/>
          <w:sz w:val="24"/>
          <w:szCs w:val="24"/>
          <w:lang w:val="en-GB"/>
        </w:rPr>
        <w:t>Best practice analysis of bank branches: An application of DEA in a large Canadian bank</w:t>
      </w:r>
      <w:r w:rsidR="00B14AFB">
        <w:rPr>
          <w:rFonts w:ascii="Times New Roman" w:hAnsi="Times New Roman"/>
          <w:sz w:val="24"/>
          <w:szCs w:val="24"/>
          <w:lang w:val="en-GB"/>
        </w:rPr>
        <w:t>.</w:t>
      </w:r>
      <w:r w:rsidR="00DF2F04">
        <w:rPr>
          <w:rFonts w:ascii="Times New Roman" w:hAnsi="Times New Roman"/>
          <w:sz w:val="24"/>
          <w:szCs w:val="24"/>
          <w:lang w:val="en-GB"/>
        </w:rPr>
        <w:t>”</w:t>
      </w:r>
      <w:r w:rsidRPr="00535EEF">
        <w:rPr>
          <w:rFonts w:ascii="Times New Roman" w:hAnsi="Times New Roman"/>
          <w:sz w:val="24"/>
          <w:szCs w:val="24"/>
          <w:lang w:val="en-GB"/>
        </w:rPr>
        <w:t xml:space="preserve"> </w:t>
      </w:r>
      <w:r w:rsidRPr="00535EEF">
        <w:rPr>
          <w:rFonts w:ascii="Times New Roman" w:hAnsi="Times New Roman"/>
          <w:i/>
          <w:iCs/>
          <w:sz w:val="24"/>
          <w:szCs w:val="24"/>
          <w:lang w:val="en-GB"/>
        </w:rPr>
        <w:t>European Journal of Operational Research</w:t>
      </w:r>
      <w:r w:rsidR="001A6278" w:rsidRPr="00535EEF">
        <w:rPr>
          <w:rFonts w:ascii="Times New Roman" w:hAnsi="Times New Roman"/>
          <w:iCs/>
          <w:sz w:val="24"/>
          <w:szCs w:val="24"/>
          <w:lang w:val="en-GB"/>
        </w:rPr>
        <w:t xml:space="preserve"> </w:t>
      </w:r>
      <w:r w:rsidRPr="00535EEF">
        <w:rPr>
          <w:rFonts w:ascii="Times New Roman" w:hAnsi="Times New Roman"/>
          <w:iCs/>
          <w:sz w:val="24"/>
          <w:szCs w:val="24"/>
          <w:lang w:val="en-GB"/>
        </w:rPr>
        <w:t>98</w:t>
      </w:r>
      <w:r w:rsidRPr="00535EEF">
        <w:rPr>
          <w:rFonts w:ascii="Times New Roman" w:hAnsi="Times New Roman"/>
          <w:sz w:val="24"/>
          <w:szCs w:val="24"/>
          <w:lang w:val="en-GB"/>
        </w:rPr>
        <w:t>(2)</w:t>
      </w:r>
      <w:r w:rsidR="00B14AFB">
        <w:rPr>
          <w:rFonts w:ascii="Times New Roman" w:hAnsi="Times New Roman"/>
          <w:sz w:val="24"/>
          <w:szCs w:val="24"/>
          <w:lang w:val="en-GB"/>
        </w:rPr>
        <w:t>:</w:t>
      </w:r>
      <w:r w:rsidRPr="00535EEF">
        <w:rPr>
          <w:rFonts w:ascii="Times New Roman" w:hAnsi="Times New Roman"/>
          <w:sz w:val="24"/>
          <w:szCs w:val="24"/>
          <w:lang w:val="en-GB"/>
        </w:rPr>
        <w:t xml:space="preserve"> 269-289.</w:t>
      </w:r>
    </w:p>
    <w:p w14:paraId="7E3B246B" w14:textId="4554E606" w:rsidR="00ED6396" w:rsidRPr="00535EEF" w:rsidRDefault="00ED6396" w:rsidP="00DF2F04">
      <w:pPr>
        <w:jc w:val="both"/>
        <w:rPr>
          <w:rFonts w:ascii="Times New Roman" w:eastAsia="Times New Roman" w:hAnsi="Times New Roman" w:cs="Times New Roman"/>
          <w:sz w:val="24"/>
          <w:szCs w:val="24"/>
          <w:lang w:val="en-GB" w:eastAsia="nl-NL"/>
        </w:rPr>
      </w:pPr>
      <w:r w:rsidRPr="00535EEF">
        <w:rPr>
          <w:rFonts w:ascii="Times New Roman" w:eastAsia="Times New Roman" w:hAnsi="Times New Roman" w:cs="Times New Roman"/>
          <w:sz w:val="24"/>
          <w:szCs w:val="24"/>
          <w:lang w:val="en-GB" w:eastAsia="nl-NL"/>
        </w:rPr>
        <w:t>Scott, J.A.</w:t>
      </w:r>
      <w:r w:rsidR="00B14AFB">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 xml:space="preserve"> </w:t>
      </w:r>
      <w:r w:rsidR="007B673C" w:rsidRPr="00535EEF">
        <w:rPr>
          <w:rFonts w:ascii="Times New Roman" w:eastAsia="Times New Roman" w:hAnsi="Times New Roman" w:cs="Times New Roman"/>
          <w:sz w:val="24"/>
          <w:szCs w:val="24"/>
          <w:lang w:val="en-GB" w:eastAsia="nl-NL"/>
        </w:rPr>
        <w:t xml:space="preserve">and </w:t>
      </w:r>
      <w:r w:rsidRPr="00535EEF">
        <w:rPr>
          <w:rFonts w:ascii="Times New Roman" w:eastAsia="Times New Roman" w:hAnsi="Times New Roman" w:cs="Times New Roman"/>
          <w:sz w:val="24"/>
          <w:szCs w:val="24"/>
          <w:lang w:val="en-GB" w:eastAsia="nl-NL"/>
        </w:rPr>
        <w:t>Dunkelberg, W.C. 2010</w:t>
      </w:r>
      <w:r w:rsidR="00B14AFB">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 xml:space="preserve"> </w:t>
      </w:r>
      <w:r w:rsidR="00DF2F04">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Competition for small firm banking business: Bank actions versus market structure</w:t>
      </w:r>
      <w:r w:rsidR="00B14AFB">
        <w:rPr>
          <w:rFonts w:ascii="Times New Roman" w:eastAsia="Times New Roman" w:hAnsi="Times New Roman" w:cs="Times New Roman"/>
          <w:sz w:val="24"/>
          <w:szCs w:val="24"/>
          <w:lang w:val="en-GB" w:eastAsia="nl-NL"/>
        </w:rPr>
        <w:t>.</w:t>
      </w:r>
      <w:r w:rsidR="00DF2F04">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 xml:space="preserve"> </w:t>
      </w:r>
      <w:r w:rsidR="00B14AFB">
        <w:rPr>
          <w:rFonts w:ascii="Times New Roman" w:eastAsia="Times New Roman" w:hAnsi="Times New Roman" w:cs="Times New Roman"/>
          <w:i/>
          <w:iCs/>
          <w:sz w:val="24"/>
          <w:szCs w:val="24"/>
          <w:lang w:val="en-GB" w:eastAsia="nl-NL"/>
        </w:rPr>
        <w:t>Journal of Banking &amp; Finance</w:t>
      </w:r>
      <w:r w:rsidRPr="00535EEF">
        <w:rPr>
          <w:rFonts w:ascii="Times New Roman" w:eastAsia="Times New Roman" w:hAnsi="Times New Roman" w:cs="Times New Roman"/>
          <w:sz w:val="24"/>
          <w:szCs w:val="24"/>
          <w:lang w:val="en-GB" w:eastAsia="nl-NL"/>
        </w:rPr>
        <w:t xml:space="preserve"> 34</w:t>
      </w:r>
      <w:r w:rsidR="00B14AFB">
        <w:rPr>
          <w:rFonts w:ascii="Times New Roman" w:eastAsia="Times New Roman" w:hAnsi="Times New Roman" w:cs="Times New Roman"/>
          <w:sz w:val="24"/>
          <w:szCs w:val="24"/>
          <w:lang w:val="en-GB" w:eastAsia="nl-NL"/>
        </w:rPr>
        <w:t>:</w:t>
      </w:r>
      <w:r w:rsidRPr="00535EEF">
        <w:rPr>
          <w:rFonts w:ascii="Times New Roman" w:eastAsia="Times New Roman" w:hAnsi="Times New Roman" w:cs="Times New Roman"/>
          <w:sz w:val="24"/>
          <w:szCs w:val="24"/>
          <w:lang w:val="en-GB" w:eastAsia="nl-NL"/>
        </w:rPr>
        <w:t xml:space="preserve"> 2788–2800.</w:t>
      </w:r>
    </w:p>
    <w:p w14:paraId="073747D7" w14:textId="170A98B9" w:rsidR="00DA213B" w:rsidRPr="00535EEF" w:rsidRDefault="007B673C" w:rsidP="00DF2F04">
      <w:pPr>
        <w:jc w:val="both"/>
        <w:rPr>
          <w:rFonts w:ascii="Times New Roman" w:hAnsi="Times New Roman" w:cs="Times New Roman"/>
          <w:sz w:val="24"/>
          <w:szCs w:val="24"/>
          <w:lang w:val="en-GB"/>
        </w:rPr>
      </w:pPr>
      <w:r w:rsidRPr="00535EEF">
        <w:rPr>
          <w:rFonts w:ascii="Times New Roman" w:hAnsi="Times New Roman" w:cs="Times New Roman"/>
          <w:sz w:val="24"/>
          <w:szCs w:val="24"/>
          <w:lang w:val="en-GB"/>
        </w:rPr>
        <w:t>Solís, L.</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and</w:t>
      </w:r>
      <w:r w:rsidR="00B14AFB">
        <w:rPr>
          <w:rFonts w:ascii="Times New Roman" w:hAnsi="Times New Roman" w:cs="Times New Roman"/>
          <w:sz w:val="24"/>
          <w:szCs w:val="24"/>
          <w:lang w:val="en-GB"/>
        </w:rPr>
        <w:t xml:space="preserve"> Maudos, J. </w:t>
      </w:r>
      <w:r w:rsidR="00DA213B" w:rsidRPr="00535EEF">
        <w:rPr>
          <w:rFonts w:ascii="Times New Roman" w:hAnsi="Times New Roman" w:cs="Times New Roman"/>
          <w:sz w:val="24"/>
          <w:szCs w:val="24"/>
          <w:lang w:val="en-GB"/>
        </w:rPr>
        <w:t xml:space="preserve">2008. </w:t>
      </w:r>
      <w:r w:rsidR="00DF2F04">
        <w:rPr>
          <w:rFonts w:ascii="Times New Roman" w:hAnsi="Times New Roman" w:cs="Times New Roman"/>
          <w:sz w:val="24"/>
          <w:szCs w:val="24"/>
          <w:lang w:val="en-GB"/>
        </w:rPr>
        <w:t>“</w:t>
      </w:r>
      <w:r w:rsidR="00DA213B" w:rsidRPr="00535EEF">
        <w:rPr>
          <w:rFonts w:ascii="Times New Roman" w:hAnsi="Times New Roman" w:cs="Times New Roman"/>
          <w:sz w:val="24"/>
          <w:szCs w:val="24"/>
          <w:lang w:val="en-GB"/>
        </w:rPr>
        <w:t>The social costs of bank market power: evidence from Mexico</w:t>
      </w:r>
      <w:r w:rsidR="00B14AFB">
        <w:rPr>
          <w:rFonts w:ascii="Times New Roman" w:hAnsi="Times New Roman" w:cs="Times New Roman"/>
          <w:sz w:val="24"/>
          <w:szCs w:val="24"/>
          <w:lang w:val="en-GB"/>
        </w:rPr>
        <w:t>.”</w:t>
      </w:r>
      <w:r w:rsidR="00DA213B" w:rsidRPr="00535EEF">
        <w:rPr>
          <w:rFonts w:ascii="Times New Roman" w:hAnsi="Times New Roman" w:cs="Times New Roman"/>
          <w:sz w:val="24"/>
          <w:szCs w:val="24"/>
          <w:lang w:val="en-GB"/>
        </w:rPr>
        <w:t xml:space="preserve"> </w:t>
      </w:r>
      <w:r w:rsidR="00DA213B" w:rsidRPr="00535EEF">
        <w:rPr>
          <w:rFonts w:ascii="Times New Roman" w:hAnsi="Times New Roman" w:cs="Times New Roman"/>
          <w:i/>
          <w:iCs/>
          <w:sz w:val="24"/>
          <w:szCs w:val="24"/>
          <w:lang w:val="en-GB"/>
        </w:rPr>
        <w:t>Journal of Comparative Economics</w:t>
      </w:r>
      <w:r w:rsidR="00DA213B" w:rsidRPr="00535EEF">
        <w:rPr>
          <w:rFonts w:ascii="Times New Roman" w:hAnsi="Times New Roman" w:cs="Times New Roman"/>
          <w:sz w:val="24"/>
          <w:szCs w:val="24"/>
          <w:lang w:val="en-GB"/>
        </w:rPr>
        <w:t xml:space="preserve"> 36</w:t>
      </w:r>
      <w:r w:rsidR="00B14AFB">
        <w:rPr>
          <w:rFonts w:ascii="Times New Roman" w:hAnsi="Times New Roman" w:cs="Times New Roman"/>
          <w:sz w:val="24"/>
          <w:szCs w:val="24"/>
          <w:lang w:val="en-GB"/>
        </w:rPr>
        <w:t>:</w:t>
      </w:r>
      <w:r w:rsidR="00DA213B" w:rsidRPr="00535EEF">
        <w:rPr>
          <w:rFonts w:ascii="Times New Roman" w:hAnsi="Times New Roman" w:cs="Times New Roman"/>
          <w:sz w:val="24"/>
          <w:szCs w:val="24"/>
          <w:lang w:val="en-GB"/>
        </w:rPr>
        <w:t xml:space="preserve"> 467–488.</w:t>
      </w:r>
    </w:p>
    <w:p w14:paraId="033F25A3" w14:textId="485A1BB8" w:rsidR="00360792" w:rsidRPr="00360792" w:rsidRDefault="00BB5E64" w:rsidP="00130018">
      <w:pPr>
        <w:shd w:val="clear" w:color="auto" w:fill="FFFFFF"/>
        <w:spacing w:before="100" w:beforeAutospacing="1" w:after="135" w:line="259" w:lineRule="auto"/>
        <w:jc w:val="both"/>
        <w:rPr>
          <w:rFonts w:ascii="Times New Roman" w:eastAsia="Times New Roman" w:hAnsi="Times New Roman" w:cs="Times New Roman"/>
          <w:sz w:val="24"/>
          <w:szCs w:val="24"/>
          <w:lang w:eastAsia="nl-NL"/>
        </w:rPr>
      </w:pPr>
      <w:hyperlink r:id="rId22" w:history="1">
        <w:r w:rsidR="00360792" w:rsidRPr="002025FC">
          <w:rPr>
            <w:rFonts w:ascii="Times New Roman" w:eastAsia="Times New Roman" w:hAnsi="Times New Roman" w:cs="Times New Roman"/>
            <w:sz w:val="24"/>
            <w:szCs w:val="24"/>
            <w:lang w:eastAsia="nl-NL"/>
          </w:rPr>
          <w:t>Thompson</w:t>
        </w:r>
      </w:hyperlink>
      <w:r w:rsidR="00360792" w:rsidRPr="002025FC">
        <w:rPr>
          <w:rFonts w:ascii="Times New Roman" w:eastAsia="Times New Roman" w:hAnsi="Times New Roman" w:cs="Times New Roman"/>
          <w:sz w:val="24"/>
          <w:szCs w:val="24"/>
          <w:lang w:eastAsia="nl-NL"/>
        </w:rPr>
        <w:t xml:space="preserve">, S.B. 2011. </w:t>
      </w:r>
      <w:r w:rsidR="00130018">
        <w:rPr>
          <w:rFonts w:ascii="Times New Roman" w:eastAsia="Times New Roman" w:hAnsi="Times New Roman" w:cs="Times New Roman"/>
          <w:sz w:val="24"/>
          <w:szCs w:val="24"/>
          <w:lang w:eastAsia="nl-NL"/>
        </w:rPr>
        <w:t>“</w:t>
      </w:r>
      <w:r w:rsidR="00360792" w:rsidRPr="002025FC">
        <w:rPr>
          <w:rFonts w:ascii="Times New Roman" w:eastAsia="Times New Roman" w:hAnsi="Times New Roman" w:cs="Times New Roman"/>
          <w:sz w:val="24"/>
          <w:szCs w:val="24"/>
          <w:lang w:eastAsia="nl-NL"/>
        </w:rPr>
        <w:t>Simple formulas for standard errors that cluster by both firm and time.</w:t>
      </w:r>
      <w:r w:rsidR="00130018">
        <w:rPr>
          <w:rFonts w:ascii="Times New Roman" w:eastAsia="Times New Roman" w:hAnsi="Times New Roman" w:cs="Times New Roman"/>
          <w:sz w:val="24"/>
          <w:szCs w:val="24"/>
          <w:lang w:eastAsia="nl-NL"/>
        </w:rPr>
        <w:t>”</w:t>
      </w:r>
      <w:r w:rsidR="00360792" w:rsidRPr="002025FC">
        <w:rPr>
          <w:rFonts w:ascii="Times New Roman" w:eastAsia="Times New Roman" w:hAnsi="Times New Roman" w:cs="Times New Roman"/>
          <w:sz w:val="24"/>
          <w:szCs w:val="24"/>
          <w:lang w:eastAsia="nl-NL"/>
        </w:rPr>
        <w:t xml:space="preserve"> </w:t>
      </w:r>
      <w:r w:rsidR="00360792" w:rsidRPr="002025FC">
        <w:rPr>
          <w:rFonts w:ascii="Times New Roman" w:eastAsia="Times New Roman" w:hAnsi="Times New Roman" w:cs="Times New Roman"/>
          <w:i/>
          <w:sz w:val="24"/>
          <w:szCs w:val="24"/>
          <w:lang w:eastAsia="nl-NL"/>
        </w:rPr>
        <w:t>Journal of Financial Economics</w:t>
      </w:r>
      <w:r w:rsidR="00360792" w:rsidRPr="002025FC">
        <w:rPr>
          <w:rFonts w:ascii="Times New Roman" w:eastAsia="Times New Roman" w:hAnsi="Times New Roman" w:cs="Times New Roman"/>
          <w:sz w:val="24"/>
          <w:szCs w:val="24"/>
          <w:lang w:eastAsia="nl-NL"/>
        </w:rPr>
        <w:t xml:space="preserve"> </w:t>
      </w:r>
      <w:hyperlink r:id="rId23" w:tooltip="Go to table of contents for this volume/issue" w:history="1">
        <w:r w:rsidR="00360792" w:rsidRPr="002025FC">
          <w:rPr>
            <w:rFonts w:ascii="Times New Roman" w:eastAsia="Times New Roman" w:hAnsi="Times New Roman" w:cs="Times New Roman"/>
            <w:sz w:val="24"/>
            <w:szCs w:val="24"/>
            <w:lang w:eastAsia="nl-NL"/>
          </w:rPr>
          <w:t>99(1)</w:t>
        </w:r>
      </w:hyperlink>
      <w:r w:rsidR="00360792" w:rsidRPr="002025FC">
        <w:rPr>
          <w:rFonts w:ascii="Times New Roman" w:eastAsia="Times New Roman" w:hAnsi="Times New Roman" w:cs="Times New Roman"/>
          <w:sz w:val="24"/>
          <w:szCs w:val="24"/>
          <w:lang w:eastAsia="nl-NL"/>
        </w:rPr>
        <w:t>: 1–10</w:t>
      </w:r>
      <w:r w:rsidR="00360792">
        <w:rPr>
          <w:rFonts w:ascii="Times New Roman" w:eastAsia="Times New Roman" w:hAnsi="Times New Roman" w:cs="Times New Roman"/>
          <w:sz w:val="24"/>
          <w:szCs w:val="24"/>
          <w:lang w:eastAsia="nl-NL"/>
        </w:rPr>
        <w:t>.</w:t>
      </w:r>
    </w:p>
    <w:p w14:paraId="7AE23E89" w14:textId="02C9B539" w:rsidR="00921C75" w:rsidRPr="00535EEF" w:rsidRDefault="00921C75" w:rsidP="00B14AFB">
      <w:pPr>
        <w:jc w:val="both"/>
        <w:rPr>
          <w:rFonts w:ascii="Times New Roman" w:hAnsi="Times New Roman" w:cs="Times New Roman"/>
          <w:sz w:val="24"/>
          <w:szCs w:val="24"/>
          <w:lang w:val="en-GB"/>
        </w:rPr>
      </w:pPr>
      <w:r w:rsidRPr="00535EEF">
        <w:rPr>
          <w:rFonts w:ascii="Times New Roman" w:hAnsi="Times New Roman" w:cs="Times New Roman"/>
          <w:sz w:val="24"/>
          <w:szCs w:val="24"/>
          <w:lang w:val="en-GB"/>
        </w:rPr>
        <w:t>Uchida, H., Udell, G. F.</w:t>
      </w:r>
      <w:r w:rsidR="00B14AFB">
        <w:rPr>
          <w:rFonts w:ascii="Times New Roman" w:hAnsi="Times New Roman" w:cs="Times New Roman"/>
          <w:sz w:val="24"/>
          <w:szCs w:val="24"/>
          <w:lang w:val="en-GB"/>
        </w:rPr>
        <w:t xml:space="preserve">, and Yamori, N. </w:t>
      </w:r>
      <w:r w:rsidRPr="00535EEF">
        <w:rPr>
          <w:rFonts w:ascii="Times New Roman" w:hAnsi="Times New Roman" w:cs="Times New Roman"/>
          <w:sz w:val="24"/>
          <w:szCs w:val="24"/>
          <w:lang w:val="en-GB"/>
        </w:rPr>
        <w:t xml:space="preserve">2008. </w:t>
      </w:r>
      <w:r w:rsidRPr="00DF2F04">
        <w:rPr>
          <w:rFonts w:ascii="Times New Roman" w:hAnsi="Times New Roman" w:cs="Times New Roman"/>
          <w:i/>
          <w:iCs/>
          <w:sz w:val="24"/>
          <w:szCs w:val="24"/>
          <w:lang w:val="en-GB"/>
        </w:rPr>
        <w:t>Loan Officers and Relationship Lending to SMEs</w:t>
      </w:r>
      <w:r w:rsidRPr="00535EEF">
        <w:rPr>
          <w:rFonts w:ascii="Times New Roman" w:hAnsi="Times New Roman" w:cs="Times New Roman"/>
          <w:sz w:val="24"/>
          <w:szCs w:val="24"/>
          <w:lang w:val="en-GB"/>
        </w:rPr>
        <w:t>. Working paper 16 MoFiR.</w:t>
      </w:r>
    </w:p>
    <w:p w14:paraId="6D8CDB87" w14:textId="1C0F91BC" w:rsidR="00DA213B" w:rsidRPr="00535EEF" w:rsidRDefault="00B14AFB" w:rsidP="00B14AF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Williams, J. </w:t>
      </w:r>
      <w:r w:rsidR="00DA213B" w:rsidRPr="00535EEF">
        <w:rPr>
          <w:rFonts w:ascii="Times New Roman" w:hAnsi="Times New Roman" w:cs="Times New Roman"/>
          <w:sz w:val="24"/>
          <w:szCs w:val="24"/>
          <w:lang w:val="en-GB"/>
        </w:rPr>
        <w:t xml:space="preserve">2012. </w:t>
      </w:r>
      <w:r>
        <w:rPr>
          <w:rFonts w:ascii="Times New Roman" w:hAnsi="Times New Roman" w:cs="Times New Roman"/>
          <w:sz w:val="24"/>
          <w:szCs w:val="24"/>
          <w:lang w:val="en-GB"/>
        </w:rPr>
        <w:t>“</w:t>
      </w:r>
      <w:r w:rsidR="00DA213B" w:rsidRPr="00535EEF">
        <w:rPr>
          <w:rFonts w:ascii="Times New Roman" w:hAnsi="Times New Roman" w:cs="Times New Roman"/>
          <w:sz w:val="24"/>
          <w:szCs w:val="24"/>
          <w:lang w:val="en-GB"/>
        </w:rPr>
        <w:t>Efficiency and market power in Latin American banking</w:t>
      </w:r>
      <w:r>
        <w:rPr>
          <w:rFonts w:ascii="Times New Roman" w:hAnsi="Times New Roman" w:cs="Times New Roman"/>
          <w:sz w:val="24"/>
          <w:szCs w:val="24"/>
          <w:lang w:val="en-GB"/>
        </w:rPr>
        <w:t>.”</w:t>
      </w:r>
      <w:r w:rsidR="00DA213B" w:rsidRPr="00535EEF">
        <w:rPr>
          <w:rFonts w:ascii="Times New Roman" w:hAnsi="Times New Roman" w:cs="Times New Roman"/>
          <w:sz w:val="24"/>
          <w:szCs w:val="24"/>
          <w:lang w:val="en-GB"/>
        </w:rPr>
        <w:t> </w:t>
      </w:r>
      <w:r>
        <w:rPr>
          <w:rFonts w:ascii="Times New Roman" w:hAnsi="Times New Roman" w:cs="Times New Roman"/>
          <w:i/>
          <w:iCs/>
          <w:sz w:val="24"/>
          <w:szCs w:val="24"/>
          <w:lang w:val="en-GB"/>
        </w:rPr>
        <w:t>Journal of Financial Stability</w:t>
      </w:r>
      <w:r w:rsidR="00DA213B" w:rsidRPr="00535EEF">
        <w:rPr>
          <w:rFonts w:ascii="Times New Roman" w:hAnsi="Times New Roman" w:cs="Times New Roman"/>
          <w:sz w:val="24"/>
          <w:szCs w:val="24"/>
          <w:lang w:val="en-GB"/>
        </w:rPr>
        <w:t> 8</w:t>
      </w:r>
      <w:r>
        <w:rPr>
          <w:rFonts w:ascii="Times New Roman" w:hAnsi="Times New Roman" w:cs="Times New Roman"/>
          <w:sz w:val="24"/>
          <w:szCs w:val="24"/>
          <w:lang w:val="en-GB"/>
        </w:rPr>
        <w:t>(</w:t>
      </w:r>
      <w:r w:rsidR="00044A52" w:rsidRPr="00535EEF">
        <w:rPr>
          <w:rFonts w:ascii="Times New Roman" w:hAnsi="Times New Roman" w:cs="Times New Roman"/>
          <w:sz w:val="24"/>
          <w:szCs w:val="24"/>
          <w:lang w:val="en-GB"/>
        </w:rPr>
        <w:t>4</w:t>
      </w:r>
      <w:r>
        <w:rPr>
          <w:rFonts w:ascii="Times New Roman" w:hAnsi="Times New Roman" w:cs="Times New Roman"/>
          <w:sz w:val="24"/>
          <w:szCs w:val="24"/>
          <w:lang w:val="en-GB"/>
        </w:rPr>
        <w:t>):</w:t>
      </w:r>
      <w:r w:rsidR="00044A52" w:rsidRPr="00535EEF">
        <w:rPr>
          <w:rFonts w:ascii="Times New Roman" w:hAnsi="Times New Roman" w:cs="Times New Roman"/>
          <w:sz w:val="24"/>
          <w:szCs w:val="24"/>
          <w:lang w:val="en-GB"/>
        </w:rPr>
        <w:t xml:space="preserve"> 263-276.</w:t>
      </w:r>
    </w:p>
    <w:p w14:paraId="4B899FA1" w14:textId="23B972DD" w:rsidR="003C503E" w:rsidRPr="00535EEF" w:rsidRDefault="003C503E" w:rsidP="00B14AFB">
      <w:pPr>
        <w:jc w:val="both"/>
        <w:rPr>
          <w:rFonts w:ascii="Times New Roman" w:hAnsi="Times New Roman" w:cs="Times New Roman"/>
          <w:sz w:val="24"/>
          <w:szCs w:val="24"/>
          <w:lang w:val="en-US"/>
        </w:rPr>
      </w:pPr>
      <w:r w:rsidRPr="00535EEF">
        <w:rPr>
          <w:rFonts w:ascii="Times New Roman" w:hAnsi="Times New Roman" w:cs="Times New Roman"/>
          <w:sz w:val="24"/>
          <w:szCs w:val="24"/>
          <w:lang w:val="en-GB"/>
        </w:rPr>
        <w:t>Winston</w:t>
      </w:r>
      <w:r w:rsidR="001A6278" w:rsidRPr="00535EEF">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C</w:t>
      </w:r>
      <w:r w:rsidR="001A6278" w:rsidRPr="00535EEF">
        <w:rPr>
          <w:rFonts w:ascii="Times New Roman" w:hAnsi="Times New Roman" w:cs="Times New Roman"/>
          <w:sz w:val="24"/>
          <w:szCs w:val="24"/>
          <w:lang w:val="en-GB"/>
        </w:rPr>
        <w:t>.</w:t>
      </w:r>
      <w:r w:rsidR="00B14AFB">
        <w:rPr>
          <w:rFonts w:ascii="Times New Roman" w:hAnsi="Times New Roman" w:cs="Times New Roman"/>
          <w:sz w:val="24"/>
          <w:szCs w:val="24"/>
          <w:lang w:val="en-GB"/>
        </w:rPr>
        <w:t xml:space="preserve"> </w:t>
      </w:r>
      <w:r w:rsidRPr="00535EEF">
        <w:rPr>
          <w:rFonts w:ascii="Times New Roman" w:hAnsi="Times New Roman" w:cs="Times New Roman"/>
          <w:sz w:val="24"/>
          <w:szCs w:val="24"/>
          <w:lang w:val="en-GB"/>
        </w:rPr>
        <w:t>1993</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Economic deregulation: Days o</w:t>
      </w:r>
      <w:r w:rsidR="00B14AFB">
        <w:rPr>
          <w:rFonts w:ascii="Times New Roman" w:hAnsi="Times New Roman" w:cs="Times New Roman"/>
          <w:sz w:val="24"/>
          <w:szCs w:val="24"/>
          <w:lang w:val="en-GB"/>
        </w:rPr>
        <w:t>f reckoning for microeconomists.”</w:t>
      </w:r>
      <w:r w:rsidR="001A6278" w:rsidRPr="00535EEF">
        <w:rPr>
          <w:rFonts w:ascii="Times New Roman" w:hAnsi="Times New Roman" w:cs="Times New Roman"/>
          <w:sz w:val="24"/>
          <w:szCs w:val="24"/>
          <w:lang w:val="en-GB"/>
        </w:rPr>
        <w:t xml:space="preserve"> </w:t>
      </w:r>
      <w:r w:rsidRPr="00535EEF">
        <w:rPr>
          <w:rFonts w:ascii="Times New Roman" w:hAnsi="Times New Roman" w:cs="Times New Roman"/>
          <w:i/>
          <w:iCs/>
          <w:sz w:val="24"/>
          <w:szCs w:val="24"/>
          <w:lang w:val="en-GB"/>
        </w:rPr>
        <w:t>Journal of Economic Literature</w:t>
      </w:r>
      <w:r w:rsidR="00B14AFB">
        <w:rPr>
          <w:rFonts w:ascii="Times New Roman" w:hAnsi="Times New Roman" w:cs="Times New Roman"/>
          <w:i/>
          <w:iCs/>
          <w:sz w:val="24"/>
          <w:szCs w:val="24"/>
          <w:lang w:val="en-GB"/>
        </w:rPr>
        <w:t xml:space="preserve"> </w:t>
      </w:r>
      <w:r w:rsidRPr="00535EEF">
        <w:rPr>
          <w:rFonts w:ascii="Times New Roman" w:hAnsi="Times New Roman" w:cs="Times New Roman"/>
          <w:iCs/>
          <w:sz w:val="24"/>
          <w:szCs w:val="24"/>
          <w:lang w:val="en-GB"/>
        </w:rPr>
        <w:t>31</w:t>
      </w:r>
      <w:r w:rsidRPr="00535EEF">
        <w:rPr>
          <w:rFonts w:ascii="Times New Roman" w:hAnsi="Times New Roman" w:cs="Times New Roman"/>
          <w:sz w:val="24"/>
          <w:szCs w:val="24"/>
          <w:lang w:val="en-GB"/>
        </w:rPr>
        <w:t>(3)</w:t>
      </w:r>
      <w:r w:rsidR="00B14AFB">
        <w:rPr>
          <w:rFonts w:ascii="Times New Roman" w:hAnsi="Times New Roman" w:cs="Times New Roman"/>
          <w:sz w:val="24"/>
          <w:szCs w:val="24"/>
          <w:lang w:val="en-GB"/>
        </w:rPr>
        <w:t>:</w:t>
      </w:r>
      <w:r w:rsidRPr="00535EEF">
        <w:rPr>
          <w:rFonts w:ascii="Times New Roman" w:hAnsi="Times New Roman" w:cs="Times New Roman"/>
          <w:sz w:val="24"/>
          <w:szCs w:val="24"/>
          <w:lang w:val="en-GB"/>
        </w:rPr>
        <w:t xml:space="preserve"> 1263-1289.</w:t>
      </w:r>
    </w:p>
    <w:p w14:paraId="43E64A5E" w14:textId="77777777" w:rsidR="00130018" w:rsidRDefault="00130018" w:rsidP="00702D55">
      <w:pPr>
        <w:spacing w:after="0" w:line="240" w:lineRule="auto"/>
        <w:rPr>
          <w:rFonts w:ascii="Times New Roman" w:hAnsi="Times New Roman" w:cs="Times New Roman"/>
          <w:b/>
          <w:bCs/>
          <w:sz w:val="24"/>
          <w:szCs w:val="24"/>
          <w:lang w:val="en-GB"/>
        </w:rPr>
      </w:pPr>
    </w:p>
    <w:p w14:paraId="60EE67E3" w14:textId="77777777" w:rsidR="00FB736C" w:rsidRDefault="00FB736C" w:rsidP="00702D55">
      <w:pPr>
        <w:spacing w:after="0" w:line="240" w:lineRule="auto"/>
        <w:rPr>
          <w:rFonts w:ascii="Times New Roman" w:hAnsi="Times New Roman" w:cs="Times New Roman"/>
          <w:b/>
          <w:bCs/>
          <w:sz w:val="24"/>
          <w:szCs w:val="24"/>
          <w:lang w:val="en-GB"/>
        </w:rPr>
      </w:pPr>
    </w:p>
    <w:p w14:paraId="351447CE" w14:textId="77777777" w:rsidR="00FB736C" w:rsidRDefault="00FB736C" w:rsidP="00702D55">
      <w:pPr>
        <w:spacing w:after="0" w:line="240" w:lineRule="auto"/>
        <w:rPr>
          <w:rFonts w:ascii="Times New Roman" w:hAnsi="Times New Roman" w:cs="Times New Roman"/>
          <w:b/>
          <w:bCs/>
          <w:sz w:val="24"/>
          <w:szCs w:val="24"/>
          <w:lang w:val="en-GB"/>
        </w:rPr>
      </w:pPr>
    </w:p>
    <w:p w14:paraId="66138998" w14:textId="77777777" w:rsidR="00FB736C" w:rsidRDefault="00FB736C" w:rsidP="00702D55">
      <w:pPr>
        <w:spacing w:after="0" w:line="240" w:lineRule="auto"/>
        <w:rPr>
          <w:rFonts w:ascii="Times New Roman" w:hAnsi="Times New Roman" w:cs="Times New Roman"/>
          <w:b/>
          <w:bCs/>
          <w:sz w:val="24"/>
          <w:szCs w:val="24"/>
          <w:lang w:val="en-GB"/>
        </w:rPr>
      </w:pPr>
    </w:p>
    <w:p w14:paraId="16926B4E" w14:textId="77777777" w:rsidR="00FB736C" w:rsidRDefault="00FB736C" w:rsidP="00702D55">
      <w:pPr>
        <w:spacing w:after="0" w:line="240" w:lineRule="auto"/>
        <w:rPr>
          <w:rFonts w:ascii="Times New Roman" w:hAnsi="Times New Roman" w:cs="Times New Roman"/>
          <w:b/>
          <w:bCs/>
          <w:sz w:val="24"/>
          <w:szCs w:val="24"/>
          <w:lang w:val="en-GB"/>
        </w:rPr>
      </w:pPr>
    </w:p>
    <w:p w14:paraId="0A2B5612" w14:textId="77777777" w:rsidR="00FB736C" w:rsidRDefault="00FB736C" w:rsidP="00702D55">
      <w:pPr>
        <w:spacing w:after="0" w:line="240" w:lineRule="auto"/>
        <w:rPr>
          <w:rFonts w:ascii="Times New Roman" w:hAnsi="Times New Roman" w:cs="Times New Roman"/>
          <w:b/>
          <w:bCs/>
          <w:sz w:val="24"/>
          <w:szCs w:val="24"/>
          <w:lang w:val="en-GB"/>
        </w:rPr>
      </w:pPr>
    </w:p>
    <w:p w14:paraId="3B91B600" w14:textId="77777777" w:rsidR="00FB736C" w:rsidRDefault="00FB736C" w:rsidP="00702D55">
      <w:pPr>
        <w:spacing w:after="0" w:line="240" w:lineRule="auto"/>
        <w:rPr>
          <w:rFonts w:ascii="Times New Roman" w:hAnsi="Times New Roman" w:cs="Times New Roman"/>
          <w:b/>
          <w:bCs/>
          <w:sz w:val="24"/>
          <w:szCs w:val="24"/>
          <w:lang w:val="en-GB"/>
        </w:rPr>
      </w:pPr>
    </w:p>
    <w:p w14:paraId="5FFFE016" w14:textId="77777777" w:rsidR="00FB736C" w:rsidRDefault="00FB736C" w:rsidP="00702D55">
      <w:pPr>
        <w:spacing w:after="0" w:line="240" w:lineRule="auto"/>
        <w:rPr>
          <w:rFonts w:ascii="Times New Roman" w:hAnsi="Times New Roman" w:cs="Times New Roman"/>
          <w:b/>
          <w:bCs/>
          <w:sz w:val="24"/>
          <w:szCs w:val="24"/>
          <w:lang w:val="en-GB"/>
        </w:rPr>
      </w:pPr>
    </w:p>
    <w:p w14:paraId="76448DC5" w14:textId="77777777" w:rsidR="00FB736C" w:rsidRDefault="00FB736C" w:rsidP="00702D55">
      <w:pPr>
        <w:spacing w:after="0" w:line="240" w:lineRule="auto"/>
        <w:rPr>
          <w:rFonts w:ascii="Times New Roman" w:hAnsi="Times New Roman" w:cs="Times New Roman"/>
          <w:b/>
          <w:bCs/>
          <w:sz w:val="24"/>
          <w:szCs w:val="24"/>
          <w:lang w:val="en-GB"/>
        </w:rPr>
      </w:pPr>
    </w:p>
    <w:p w14:paraId="3EFFC058" w14:textId="77777777" w:rsidR="00FB736C" w:rsidRDefault="00FB736C" w:rsidP="00702D55">
      <w:pPr>
        <w:spacing w:after="0" w:line="240" w:lineRule="auto"/>
        <w:rPr>
          <w:rFonts w:ascii="Times New Roman" w:hAnsi="Times New Roman" w:cs="Times New Roman"/>
          <w:b/>
          <w:bCs/>
          <w:sz w:val="24"/>
          <w:szCs w:val="24"/>
          <w:lang w:val="en-GB"/>
        </w:rPr>
      </w:pPr>
    </w:p>
    <w:p w14:paraId="7482BA85" w14:textId="77777777" w:rsidR="00FB736C" w:rsidRDefault="00FB736C" w:rsidP="00702D55">
      <w:pPr>
        <w:spacing w:after="0" w:line="240" w:lineRule="auto"/>
        <w:rPr>
          <w:rFonts w:ascii="Times New Roman" w:hAnsi="Times New Roman" w:cs="Times New Roman"/>
          <w:b/>
          <w:bCs/>
          <w:sz w:val="24"/>
          <w:szCs w:val="24"/>
          <w:lang w:val="en-GB"/>
        </w:rPr>
      </w:pPr>
    </w:p>
    <w:p w14:paraId="563A7641" w14:textId="77777777" w:rsidR="00FB736C" w:rsidRDefault="00FB736C" w:rsidP="00702D55">
      <w:pPr>
        <w:spacing w:after="0" w:line="240" w:lineRule="auto"/>
        <w:rPr>
          <w:rFonts w:ascii="Times New Roman" w:hAnsi="Times New Roman" w:cs="Times New Roman"/>
          <w:b/>
          <w:bCs/>
          <w:sz w:val="24"/>
          <w:szCs w:val="24"/>
          <w:lang w:val="en-GB"/>
        </w:rPr>
      </w:pPr>
    </w:p>
    <w:p w14:paraId="1BD771DC" w14:textId="77777777" w:rsidR="00FB736C" w:rsidRDefault="00FB736C" w:rsidP="00702D55">
      <w:pPr>
        <w:spacing w:after="0" w:line="240" w:lineRule="auto"/>
        <w:rPr>
          <w:rFonts w:ascii="Times New Roman" w:hAnsi="Times New Roman" w:cs="Times New Roman"/>
          <w:b/>
          <w:bCs/>
          <w:sz w:val="24"/>
          <w:szCs w:val="24"/>
          <w:lang w:val="en-GB"/>
        </w:rPr>
      </w:pPr>
    </w:p>
    <w:p w14:paraId="3337BB05" w14:textId="77777777" w:rsidR="00FB736C" w:rsidRDefault="00FB736C" w:rsidP="00702D55">
      <w:pPr>
        <w:spacing w:after="0" w:line="240" w:lineRule="auto"/>
        <w:rPr>
          <w:rFonts w:ascii="Times New Roman" w:hAnsi="Times New Roman" w:cs="Times New Roman"/>
          <w:b/>
          <w:bCs/>
          <w:sz w:val="24"/>
          <w:szCs w:val="24"/>
          <w:lang w:val="en-GB"/>
        </w:rPr>
      </w:pPr>
    </w:p>
    <w:p w14:paraId="7C0E8E32" w14:textId="77777777" w:rsidR="00FB736C" w:rsidRDefault="00FB736C" w:rsidP="00702D55">
      <w:pPr>
        <w:spacing w:after="0" w:line="240" w:lineRule="auto"/>
        <w:rPr>
          <w:rFonts w:ascii="Times New Roman" w:hAnsi="Times New Roman" w:cs="Times New Roman"/>
          <w:b/>
          <w:bCs/>
          <w:sz w:val="24"/>
          <w:szCs w:val="24"/>
          <w:lang w:val="en-GB"/>
        </w:rPr>
      </w:pPr>
    </w:p>
    <w:p w14:paraId="55721D22" w14:textId="77777777" w:rsidR="00FB736C" w:rsidRDefault="00FB736C" w:rsidP="00702D55">
      <w:pPr>
        <w:spacing w:after="0" w:line="240" w:lineRule="auto"/>
        <w:rPr>
          <w:rFonts w:ascii="Times New Roman" w:hAnsi="Times New Roman" w:cs="Times New Roman"/>
          <w:b/>
          <w:bCs/>
          <w:sz w:val="24"/>
          <w:szCs w:val="24"/>
          <w:lang w:val="en-GB"/>
        </w:rPr>
      </w:pPr>
    </w:p>
    <w:p w14:paraId="15D47CB1" w14:textId="77777777" w:rsidR="00FB736C" w:rsidRDefault="00FB736C" w:rsidP="00702D55">
      <w:pPr>
        <w:spacing w:after="0" w:line="240" w:lineRule="auto"/>
        <w:rPr>
          <w:rFonts w:ascii="Times New Roman" w:hAnsi="Times New Roman" w:cs="Times New Roman"/>
          <w:b/>
          <w:bCs/>
          <w:sz w:val="24"/>
          <w:szCs w:val="24"/>
          <w:lang w:val="en-GB"/>
        </w:rPr>
      </w:pPr>
    </w:p>
    <w:p w14:paraId="13C055E4" w14:textId="77777777" w:rsidR="00FB736C" w:rsidRDefault="00FB736C" w:rsidP="00702D55">
      <w:pPr>
        <w:spacing w:after="0" w:line="240" w:lineRule="auto"/>
        <w:rPr>
          <w:rFonts w:ascii="Times New Roman" w:hAnsi="Times New Roman" w:cs="Times New Roman"/>
          <w:b/>
          <w:bCs/>
          <w:sz w:val="24"/>
          <w:szCs w:val="24"/>
          <w:lang w:val="en-GB"/>
        </w:rPr>
      </w:pPr>
    </w:p>
    <w:p w14:paraId="54ABB929" w14:textId="77777777" w:rsidR="00FB736C" w:rsidRDefault="00FB736C" w:rsidP="00702D55">
      <w:pPr>
        <w:spacing w:after="0" w:line="240" w:lineRule="auto"/>
        <w:rPr>
          <w:rFonts w:ascii="Times New Roman" w:hAnsi="Times New Roman" w:cs="Times New Roman"/>
          <w:b/>
          <w:bCs/>
          <w:sz w:val="24"/>
          <w:szCs w:val="24"/>
          <w:lang w:val="en-GB"/>
        </w:rPr>
      </w:pPr>
    </w:p>
    <w:p w14:paraId="5AEB2F9C" w14:textId="77777777" w:rsidR="00FB736C" w:rsidRDefault="00FB736C" w:rsidP="00702D55">
      <w:pPr>
        <w:spacing w:after="0" w:line="240" w:lineRule="auto"/>
        <w:rPr>
          <w:rFonts w:ascii="Times New Roman" w:hAnsi="Times New Roman" w:cs="Times New Roman"/>
          <w:b/>
          <w:bCs/>
          <w:sz w:val="24"/>
          <w:szCs w:val="24"/>
          <w:lang w:val="en-GB"/>
        </w:rPr>
      </w:pPr>
    </w:p>
    <w:p w14:paraId="0B8E6C16" w14:textId="77777777" w:rsidR="00FB736C" w:rsidRDefault="00FB736C" w:rsidP="00702D55">
      <w:pPr>
        <w:spacing w:after="0" w:line="240" w:lineRule="auto"/>
        <w:rPr>
          <w:rFonts w:ascii="Times New Roman" w:hAnsi="Times New Roman" w:cs="Times New Roman"/>
          <w:b/>
          <w:bCs/>
          <w:sz w:val="24"/>
          <w:szCs w:val="24"/>
          <w:lang w:val="en-GB"/>
        </w:rPr>
      </w:pPr>
    </w:p>
    <w:p w14:paraId="71D5377E" w14:textId="77777777" w:rsidR="00FB736C" w:rsidRDefault="00FB736C" w:rsidP="00702D55">
      <w:pPr>
        <w:spacing w:after="0" w:line="240" w:lineRule="auto"/>
        <w:rPr>
          <w:rFonts w:ascii="Times New Roman" w:hAnsi="Times New Roman" w:cs="Times New Roman"/>
          <w:b/>
          <w:bCs/>
          <w:sz w:val="24"/>
          <w:szCs w:val="24"/>
          <w:lang w:val="en-GB"/>
        </w:rPr>
      </w:pPr>
    </w:p>
    <w:p w14:paraId="1BBEE31F" w14:textId="77777777" w:rsidR="00FB736C" w:rsidRDefault="00FB736C" w:rsidP="00702D55">
      <w:pPr>
        <w:spacing w:after="0" w:line="240" w:lineRule="auto"/>
        <w:rPr>
          <w:rFonts w:ascii="Times New Roman" w:hAnsi="Times New Roman" w:cs="Times New Roman"/>
          <w:b/>
          <w:bCs/>
          <w:sz w:val="24"/>
          <w:szCs w:val="24"/>
          <w:lang w:val="en-GB"/>
        </w:rPr>
      </w:pPr>
    </w:p>
    <w:p w14:paraId="051BE9F7" w14:textId="77777777" w:rsidR="00FB736C" w:rsidRDefault="00FB736C" w:rsidP="00702D55">
      <w:pPr>
        <w:spacing w:after="0" w:line="240" w:lineRule="auto"/>
        <w:rPr>
          <w:rFonts w:ascii="Times New Roman" w:hAnsi="Times New Roman" w:cs="Times New Roman"/>
          <w:b/>
          <w:bCs/>
          <w:sz w:val="24"/>
          <w:szCs w:val="24"/>
          <w:lang w:val="en-GB"/>
        </w:rPr>
      </w:pPr>
    </w:p>
    <w:p w14:paraId="6FA5A307" w14:textId="67A5F21C" w:rsidR="001715AC" w:rsidRPr="00465B02" w:rsidRDefault="001715AC" w:rsidP="00702D55">
      <w:pPr>
        <w:spacing w:after="0" w:line="240" w:lineRule="auto"/>
        <w:rPr>
          <w:rFonts w:ascii="Times New Roman" w:hAnsi="Times New Roman" w:cs="Times New Roman"/>
          <w:b/>
          <w:bCs/>
          <w:sz w:val="24"/>
          <w:szCs w:val="24"/>
          <w:lang w:val="en-US"/>
        </w:rPr>
      </w:pPr>
      <w:r w:rsidRPr="00720154">
        <w:rPr>
          <w:rFonts w:ascii="Times New Roman" w:hAnsi="Times New Roman" w:cs="Times New Roman"/>
          <w:b/>
          <w:bCs/>
          <w:sz w:val="24"/>
          <w:szCs w:val="24"/>
          <w:lang w:val="en-GB"/>
        </w:rPr>
        <w:t xml:space="preserve">Appendix </w:t>
      </w:r>
      <w:r w:rsidR="00702D55">
        <w:rPr>
          <w:rFonts w:ascii="Times New Roman" w:hAnsi="Times New Roman" w:cs="Times New Roman"/>
          <w:b/>
          <w:bCs/>
          <w:sz w:val="24"/>
          <w:szCs w:val="24"/>
          <w:lang w:val="en-GB"/>
        </w:rPr>
        <w:t>1</w:t>
      </w:r>
    </w:p>
    <w:p w14:paraId="406C36C8" w14:textId="77777777" w:rsidR="001715AC" w:rsidRDefault="001715AC" w:rsidP="001715AC">
      <w:pPr>
        <w:pStyle w:val="FootnoteText"/>
        <w:spacing w:after="120" w:line="360" w:lineRule="auto"/>
        <w:jc w:val="both"/>
        <w:rPr>
          <w:rFonts w:ascii="Times New Roman" w:hAnsi="Times New Roman" w:cs="Times New Roman"/>
          <w:b/>
          <w:bCs/>
          <w:sz w:val="24"/>
          <w:szCs w:val="24"/>
          <w:lang w:val="en-GB"/>
        </w:rPr>
      </w:pPr>
    </w:p>
    <w:p w14:paraId="127E7E6F" w14:textId="0ECDEBB7" w:rsidR="001715AC" w:rsidRPr="00720154" w:rsidRDefault="00702D55" w:rsidP="001715AC">
      <w:pPr>
        <w:pStyle w:val="FootnoteText"/>
        <w:spacing w:after="12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Cost and Profit Translog Function</w:t>
      </w:r>
    </w:p>
    <w:p w14:paraId="26A5FB2E" w14:textId="03214DDD" w:rsidR="001715AC" w:rsidRPr="00750F2D" w:rsidRDefault="00702D55" w:rsidP="001715AC">
      <w:pPr>
        <w:pStyle w:val="FootnoteText"/>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w:t>
      </w:r>
      <w:r w:rsidR="001715AC" w:rsidRPr="00750F2D">
        <w:rPr>
          <w:rFonts w:ascii="Times New Roman" w:hAnsi="Times New Roman" w:cs="Times New Roman"/>
          <w:sz w:val="24"/>
          <w:szCs w:val="24"/>
          <w:lang w:val="en-GB"/>
        </w:rPr>
        <w:t>ur model assumes the f</w:t>
      </w:r>
      <w:r w:rsidR="0015110E">
        <w:rPr>
          <w:rFonts w:ascii="Times New Roman" w:hAnsi="Times New Roman" w:cs="Times New Roman"/>
          <w:sz w:val="24"/>
          <w:szCs w:val="24"/>
          <w:lang w:val="en-GB"/>
        </w:rPr>
        <w:t>ollowing form</w:t>
      </w:r>
      <w:r w:rsidR="001715AC">
        <w:rPr>
          <w:rFonts w:ascii="Times New Roman" w:hAnsi="Times New Roman" w:cs="Times New Roman"/>
          <w:sz w:val="24"/>
          <w:szCs w:val="24"/>
          <w:lang w:val="en-GB"/>
        </w:rPr>
        <w:t xml:space="preserve">: </w:t>
      </w:r>
    </w:p>
    <w:p w14:paraId="657293EA" w14:textId="17277589" w:rsidR="007B673C" w:rsidRPr="007B673C" w:rsidRDefault="00702D55" w:rsidP="00A85A48">
      <w:pPr>
        <w:autoSpaceDE w:val="0"/>
        <w:autoSpaceDN w:val="0"/>
        <w:adjustRightInd w:val="0"/>
        <w:spacing w:after="0" w:line="480" w:lineRule="auto"/>
        <w:rPr>
          <w:rFonts w:ascii="Times New Roman" w:hAnsi="Times New Roman" w:cs="Times New Roman"/>
          <w:i/>
          <w:iCs/>
          <w:sz w:val="24"/>
          <w:szCs w:val="24"/>
        </w:rPr>
      </w:pPr>
      <w:r w:rsidRPr="006B4C8B">
        <w:rPr>
          <w:rFonts w:ascii="Times New Roman" w:hAnsi="Times New Roman" w:cs="Times New Roman"/>
          <w:i/>
          <w:iCs/>
          <w:sz w:val="24"/>
          <w:szCs w:val="24"/>
        </w:rPr>
        <w:t>Ln(TC</w:t>
      </w:r>
      <w:r w:rsidRPr="006B4C8B">
        <w:rPr>
          <w:rFonts w:ascii="Times New Roman" w:hAnsi="Times New Roman" w:cs="Times New Roman"/>
          <w:i/>
          <w:iCs/>
          <w:sz w:val="24"/>
          <w:szCs w:val="24"/>
          <w:vertAlign w:val="subscript"/>
        </w:rPr>
        <w:t>it</w:t>
      </w:r>
      <w:r w:rsidRPr="006B4C8B">
        <w:rPr>
          <w:rFonts w:ascii="Times New Roman" w:hAnsi="Times New Roman" w:cs="Times New Roman"/>
          <w:i/>
          <w:iCs/>
          <w:sz w:val="24"/>
          <w:szCs w:val="24"/>
        </w:rPr>
        <w:t xml:space="preserv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TA</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lnTA</m:t>
            </m:r>
          </m:e>
          <m:sub>
            <m:r>
              <w:rPr>
                <w:rFonts w:ascii="Cambria Math" w:hAnsi="Cambria Math" w:cs="Times New Roman"/>
                <w:sz w:val="24"/>
                <w:szCs w:val="24"/>
                <w:lang w:val="en-GB"/>
              </w:rPr>
              <m:t>it</m:t>
            </m:r>
          </m:sub>
        </m:sSub>
        <m:r>
          <w:rPr>
            <w:rFonts w:ascii="Cambria Math" w:hAnsi="Cambria Math" w:cs="Times New Roman"/>
            <w:sz w:val="24"/>
            <w:szCs w:val="24"/>
            <w:vertAlign w:val="subscript"/>
          </w:rPr>
          <m:t>+</m:t>
        </m:r>
        <m:r>
          <w:rPr>
            <w:rFonts w:ascii="Cambria Math" w:hAnsi="Cambria Math" w:cs="Times New Roman"/>
            <w:sz w:val="24"/>
            <w:szCs w:val="24"/>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rPr>
              <m:t>h</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lnW</m:t>
            </m:r>
          </m:e>
          <m:sub>
            <m:r>
              <w:rPr>
                <w:rFonts w:ascii="Cambria Math" w:hAnsi="Cambria Math" w:cs="Times New Roman"/>
                <w:sz w:val="24"/>
                <w:szCs w:val="24"/>
              </w:rPr>
              <m:t>h</m:t>
            </m:r>
            <m:r>
              <w:rPr>
                <w:rFonts w:ascii="Cambria Math" w:hAnsi="Cambria Math" w:cs="Times New Roman"/>
                <w:sz w:val="24"/>
                <w:szCs w:val="24"/>
                <w:lang w:val="en-GB"/>
              </w:rPr>
              <m:t>it</m:t>
            </m:r>
          </m:sub>
        </m:sSub>
        <m:r>
          <w:rPr>
            <w:rFonts w:ascii="Cambria Math" w:hAnsi="Cambria Math" w:cs="Times New Roman"/>
            <w:sz w:val="24"/>
            <w:szCs w:val="24"/>
            <w:vertAlign w:val="subscript"/>
          </w:rPr>
          <m:t xml:space="preserve">+ </m:t>
        </m:r>
        <m:f>
          <m:fPr>
            <m:ctrlPr>
              <w:rPr>
                <w:rFonts w:ascii="Cambria Math" w:hAnsi="Cambria Math" w:cs="Times New Roman"/>
                <w:i/>
                <w:iCs/>
                <w:sz w:val="24"/>
                <w:szCs w:val="24"/>
                <w:vertAlign w:val="subscript"/>
                <w:lang w:val="en-GB"/>
              </w:rPr>
            </m:ctrlPr>
          </m:fPr>
          <m:num>
            <m:r>
              <w:rPr>
                <w:rFonts w:ascii="Cambria Math" w:hAnsi="Cambria Math" w:cs="Times New Roman"/>
                <w:sz w:val="24"/>
                <w:szCs w:val="24"/>
                <w:vertAlign w:val="subscript"/>
              </w:rPr>
              <m:t>1</m:t>
            </m:r>
          </m:num>
          <m:den>
            <m:r>
              <w:rPr>
                <w:rFonts w:ascii="Cambria Math" w:hAnsi="Cambria Math" w:cs="Times New Roman"/>
                <w:sz w:val="24"/>
                <w:szCs w:val="24"/>
                <w:vertAlign w:val="subscript"/>
              </w:rPr>
              <m:t>2</m:t>
            </m:r>
          </m:den>
        </m:f>
        <m:r>
          <w:rPr>
            <w:rFonts w:ascii="Cambria Math" w:hAnsi="Cambria Math" w:cs="Times New Roman"/>
            <w:sz w:val="24"/>
            <w:szCs w:val="24"/>
            <w:vertAlign w:val="subscript"/>
          </w:rPr>
          <m:t xml:space="preserve"> </m:t>
        </m:r>
        <m:r>
          <w:rPr>
            <w:rFonts w:ascii="Cambria Math" w:hAnsi="Cambria Math" w:cs="Times New Roman"/>
            <w:sz w:val="24"/>
            <w:szCs w:val="24"/>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rPr>
              <m:t>h</m:t>
            </m:r>
            <m:r>
              <w:rPr>
                <w:rFonts w:ascii="Cambria Math" w:hAnsi="Cambria Math" w:cs="Times New Roman"/>
                <w:sz w:val="24"/>
                <w:szCs w:val="24"/>
                <w:lang w:val="en-GB"/>
              </w:rPr>
              <m:t>m</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lnW</m:t>
            </m:r>
          </m:e>
          <m:sub>
            <m:r>
              <w:rPr>
                <w:rFonts w:ascii="Cambria Math" w:hAnsi="Cambria Math" w:cs="Times New Roman"/>
                <w:sz w:val="24"/>
                <w:szCs w:val="24"/>
              </w:rPr>
              <m:t>h</m:t>
            </m:r>
            <m:r>
              <w:rPr>
                <w:rFonts w:ascii="Cambria Math" w:hAnsi="Cambria Math" w:cs="Times New Roman"/>
                <w:sz w:val="24"/>
                <w:szCs w:val="24"/>
                <w:lang w:val="en-GB"/>
              </w:rPr>
              <m:t>it</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lnW</m:t>
            </m:r>
          </m:e>
          <m:sub>
            <m:r>
              <w:rPr>
                <w:rFonts w:ascii="Cambria Math" w:hAnsi="Cambria Math" w:cs="Times New Roman"/>
                <w:sz w:val="24"/>
                <w:szCs w:val="24"/>
                <w:lang w:val="en-GB"/>
              </w:rPr>
              <m:t>mit</m:t>
            </m:r>
          </m:sub>
        </m:sSub>
      </m:oMath>
      <w:r w:rsidRPr="007B673C">
        <w:rPr>
          <w:rFonts w:ascii="Times New Roman" w:hAnsi="Times New Roman" w:cs="Times New Roman"/>
          <w:i/>
          <w:iCs/>
          <w:sz w:val="24"/>
          <w:szCs w:val="24"/>
        </w:rPr>
        <w:t>+</w:t>
      </w:r>
      <m:oMath>
        <m:f>
          <m:fPr>
            <m:ctrlPr>
              <w:rPr>
                <w:rFonts w:ascii="Cambria Math" w:hAnsi="Cambria Math" w:cs="Times New Roman"/>
                <w:i/>
                <w:iCs/>
                <w:sz w:val="24"/>
                <w:szCs w:val="24"/>
                <w:vertAlign w:val="subscript"/>
                <w:lang w:val="en-GB"/>
              </w:rPr>
            </m:ctrlPr>
          </m:fPr>
          <m:num>
            <m:r>
              <w:rPr>
                <w:rFonts w:ascii="Cambria Math" w:hAnsi="Cambria Math" w:cs="Times New Roman"/>
                <w:sz w:val="24"/>
                <w:szCs w:val="24"/>
                <w:vertAlign w:val="subscript"/>
              </w:rPr>
              <m:t>1</m:t>
            </m:r>
          </m:num>
          <m:den>
            <m:r>
              <w:rPr>
                <w:rFonts w:ascii="Cambria Math" w:hAnsi="Cambria Math" w:cs="Times New Roman"/>
                <w:sz w:val="24"/>
                <w:szCs w:val="24"/>
                <w:vertAlign w:val="subscript"/>
              </w:rPr>
              <m:t>2</m:t>
            </m:r>
          </m:den>
        </m:f>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TA</m:t>
            </m:r>
          </m:sub>
        </m:sSub>
        <m:sSup>
          <m:sSupPr>
            <m:ctrlPr>
              <w:rPr>
                <w:rFonts w:ascii="Cambria Math" w:hAnsi="Cambria Math" w:cs="Times New Roman"/>
                <w:i/>
                <w:iCs/>
                <w:sz w:val="24"/>
                <w:szCs w:val="24"/>
                <w:lang w:val="en-GB"/>
              </w:rPr>
            </m:ctrlPr>
          </m:sSupPr>
          <m:e>
            <m:sSub>
              <m:sSubPr>
                <m:ctrlPr>
                  <w:rPr>
                    <w:rFonts w:ascii="Cambria Math" w:hAnsi="Cambria Math" w:cs="Times New Roman"/>
                    <w:i/>
                    <w:iCs/>
                    <w:sz w:val="24"/>
                    <w:szCs w:val="24"/>
                    <w:lang w:val="en-GB"/>
                  </w:rPr>
                </m:ctrlPr>
              </m:sSubPr>
              <m:e>
                <m:r>
                  <w:rPr>
                    <w:rFonts w:ascii="Cambria Math" w:hAnsi="Cambria Math" w:cs="Times New Roman"/>
                    <w:sz w:val="24"/>
                    <w:szCs w:val="24"/>
                  </w:rPr>
                  <m:t>(</m:t>
                </m:r>
                <m:r>
                  <w:rPr>
                    <w:rFonts w:ascii="Cambria Math" w:hAnsi="Cambria Math" w:cs="Times New Roman"/>
                    <w:sz w:val="24"/>
                    <w:szCs w:val="24"/>
                    <w:lang w:val="en-GB"/>
                  </w:rPr>
                  <m:t>lnTA</m:t>
                </m:r>
              </m:e>
              <m:sub>
                <m:r>
                  <w:rPr>
                    <w:rFonts w:ascii="Cambria Math" w:hAnsi="Cambria Math" w:cs="Times New Roman"/>
                    <w:sz w:val="24"/>
                    <w:szCs w:val="24"/>
                    <w:lang w:val="en-GB"/>
                  </w:rPr>
                  <m:t>it</m:t>
                </m:r>
              </m:sub>
            </m:sSub>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m:t>
        </m:r>
      </m:oMath>
      <w:r w:rsidRPr="007B673C">
        <w:rPr>
          <w:rFonts w:ascii="Times New Roman" w:hAnsi="Times New Roman" w:cs="Times New Roman"/>
          <w:i/>
          <w:iCs/>
          <w:sz w:val="24"/>
          <w:szCs w:val="24"/>
        </w:rPr>
        <w:t>+</w:t>
      </w:r>
      <m:oMath>
        <m:r>
          <w:rPr>
            <w:rFonts w:ascii="Cambria Math" w:hAnsi="Cambria Math" w:cs="Times New Roman"/>
            <w:sz w:val="24"/>
            <w:szCs w:val="24"/>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rPr>
              <m:t>h</m:t>
            </m:r>
            <m:r>
              <w:rPr>
                <w:rFonts w:ascii="Cambria Math" w:hAnsi="Cambria Math" w:cs="Times New Roman"/>
                <w:sz w:val="24"/>
                <w:szCs w:val="24"/>
                <w:lang w:val="en-GB"/>
              </w:rPr>
              <m:t>TA</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lnW</m:t>
            </m:r>
          </m:e>
          <m:sub>
            <m:r>
              <w:rPr>
                <w:rFonts w:ascii="Cambria Math" w:hAnsi="Cambria Math" w:cs="Times New Roman"/>
                <w:sz w:val="24"/>
                <w:szCs w:val="24"/>
              </w:rPr>
              <m:t>h</m:t>
            </m:r>
            <m:r>
              <w:rPr>
                <w:rFonts w:ascii="Cambria Math" w:hAnsi="Cambria Math" w:cs="Times New Roman"/>
                <w:sz w:val="24"/>
                <w:szCs w:val="24"/>
                <w:lang w:val="en-GB"/>
              </w:rPr>
              <m:t>it</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lnTA</m:t>
            </m:r>
          </m:e>
          <m:sub>
            <m:r>
              <w:rPr>
                <w:rFonts w:ascii="Cambria Math" w:hAnsi="Cambria Math" w:cs="Times New Roman"/>
                <w:sz w:val="24"/>
                <w:szCs w:val="24"/>
                <w:lang w:val="en-GB"/>
              </w:rPr>
              <m:t>it</m:t>
            </m:r>
          </m:sub>
        </m:sSub>
        <m:r>
          <w:rPr>
            <w:rFonts w:ascii="Cambria Math" w:hAnsi="Cambria Math" w:cs="Times New Roman"/>
            <w:sz w:val="24"/>
            <w:szCs w:val="24"/>
            <w:vertAlign w:val="subscript"/>
          </w:rPr>
          <m:t xml:space="preserve"> + </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rPr>
              <m:t>1</m:t>
            </m:r>
          </m:sub>
        </m:sSub>
        <m:r>
          <w:rPr>
            <w:rFonts w:ascii="Cambria Math" w:hAnsi="Cambria Math" w:cs="Times New Roman"/>
            <w:sz w:val="24"/>
            <w:szCs w:val="24"/>
            <w:vertAlign w:val="subscript"/>
            <w:lang w:val="en-GB"/>
          </w:rPr>
          <m:t>T</m:t>
        </m:r>
        <m:sSub>
          <m:sSubPr>
            <m:ctrlPr>
              <w:rPr>
                <w:rFonts w:ascii="Cambria Math" w:hAnsi="Cambria Math" w:cs="Times New Roman"/>
                <w:i/>
                <w:iCs/>
                <w:sz w:val="24"/>
                <w:szCs w:val="24"/>
                <w:lang w:val="en-GB"/>
              </w:rPr>
            </m:ctrlPr>
          </m:sSubPr>
          <m:e>
            <m:r>
              <w:rPr>
                <w:rFonts w:ascii="Cambria Math" w:hAnsi="Cambria Math" w:cs="Times New Roman"/>
                <w:sz w:val="24"/>
                <w:szCs w:val="24"/>
                <w:vertAlign w:val="subscript"/>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rPr>
                  <m:t>2</m:t>
                </m:r>
              </m:sub>
            </m:sSub>
            <m:sSup>
              <m:sSupPr>
                <m:ctrlPr>
                  <w:rPr>
                    <w:rFonts w:ascii="Cambria Math" w:hAnsi="Cambria Math" w:cs="Times New Roman"/>
                    <w:i/>
                    <w:sz w:val="24"/>
                    <w:szCs w:val="24"/>
                    <w:vertAlign w:val="subscript"/>
                    <w:lang w:val="en-GB" w:eastAsia="en-US"/>
                  </w:rPr>
                </m:ctrlPr>
              </m:sSupPr>
              <m:e>
                <m:r>
                  <w:rPr>
                    <w:rFonts w:ascii="Cambria Math" w:hAnsi="Cambria Math" w:cs="Times New Roman"/>
                    <w:sz w:val="24"/>
                    <w:szCs w:val="24"/>
                    <w:vertAlign w:val="subscript"/>
                    <w:lang w:val="en-GB"/>
                  </w:rPr>
                  <m:t>T</m:t>
                </m:r>
              </m:e>
              <m:sup>
                <m:r>
                  <w:rPr>
                    <w:rFonts w:ascii="Cambria Math" w:hAnsi="Cambria Math" w:cs="Times New Roman"/>
                    <w:sz w:val="24"/>
                    <w:szCs w:val="24"/>
                    <w:vertAlign w:val="subscript"/>
                  </w:rPr>
                  <m:t>2</m:t>
                </m:r>
              </m:sup>
            </m:sSup>
            <m:r>
              <w:rPr>
                <w:rFonts w:ascii="Cambria Math" w:hAnsi="Cambria Math" w:cs="Times New Roman"/>
                <w:sz w:val="24"/>
                <w:szCs w:val="24"/>
              </w:rPr>
              <m:t>+</m:t>
            </m:r>
            <m:r>
              <w:rPr>
                <w:rFonts w:ascii="Cambria Math" w:hAnsi="Cambria Math" w:cs="Times New Roman"/>
                <w:sz w:val="24"/>
                <w:szCs w:val="24"/>
                <w:lang w:val="en-GB"/>
              </w:rPr>
              <m:t>t</m:t>
            </m:r>
          </m:e>
          <m:sub>
            <m:r>
              <w:rPr>
                <w:rFonts w:ascii="Cambria Math" w:hAnsi="Cambria Math" w:cs="Times New Roman"/>
                <w:sz w:val="24"/>
                <w:szCs w:val="24"/>
                <w:lang w:val="en-GB"/>
              </w:rPr>
              <m:t>TA</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lnTA</m:t>
            </m:r>
          </m:e>
          <m:sub>
            <m:r>
              <w:rPr>
                <w:rFonts w:ascii="Cambria Math" w:hAnsi="Cambria Math" w:cs="Times New Roman"/>
                <w:sz w:val="24"/>
                <w:szCs w:val="24"/>
                <w:lang w:val="en-GB"/>
              </w:rPr>
              <m:t>it</m:t>
            </m:r>
          </m:sub>
        </m:sSub>
        <m:r>
          <w:rPr>
            <w:rFonts w:ascii="Cambria Math" w:hAnsi="Cambria Math" w:cs="Times New Roman"/>
            <w:sz w:val="24"/>
            <w:szCs w:val="24"/>
            <w:vertAlign w:val="subscript"/>
          </w:rPr>
          <m:t xml:space="preserve"> </m:t>
        </m:r>
        <m:r>
          <w:rPr>
            <w:rFonts w:ascii="Cambria Math" w:hAnsi="Cambria Math" w:cs="Times New Roman"/>
            <w:sz w:val="24"/>
            <w:szCs w:val="24"/>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rPr>
              <m:t>h</m:t>
            </m:r>
          </m:sub>
        </m:sSub>
        <m:r>
          <w:rPr>
            <w:rFonts w:ascii="Cambria Math" w:hAnsi="Cambria Math" w:cs="Times New Roman"/>
            <w:sz w:val="24"/>
            <w:szCs w:val="24"/>
            <w:lang w:val="en-GB"/>
          </w:rPr>
          <m:t>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lnW</m:t>
            </m:r>
          </m:e>
          <m:sub>
            <m:r>
              <w:rPr>
                <w:rFonts w:ascii="Cambria Math" w:hAnsi="Cambria Math" w:cs="Times New Roman"/>
                <w:sz w:val="24"/>
                <w:szCs w:val="24"/>
              </w:rPr>
              <m:t>h</m:t>
            </m:r>
            <m:r>
              <w:rPr>
                <w:rFonts w:ascii="Cambria Math" w:hAnsi="Cambria Math" w:cs="Times New Roman"/>
                <w:sz w:val="24"/>
                <w:szCs w:val="24"/>
                <w:lang w:val="en-GB"/>
              </w:rPr>
              <m:t>it</m:t>
            </m:r>
          </m:sub>
        </m:sSub>
        <m:r>
          <w:rPr>
            <w:rFonts w:ascii="Cambria Math" w:hAnsi="Cambria Math" w:cs="Times New Roman"/>
            <w:sz w:val="24"/>
            <w:szCs w:val="24"/>
          </w:rPr>
          <m:t>+</m:t>
        </m:r>
        <m:sSub>
          <m:sSubPr>
            <m:ctrlPr>
              <w:rPr>
                <w:rFonts w:ascii="Cambria Math" w:hAnsi="Cambria Math" w:cs="Times New Roman"/>
                <w:i/>
                <w:iCs/>
                <w:sz w:val="24"/>
                <w:szCs w:val="24"/>
                <w:vertAlign w:val="subscript"/>
                <w:lang w:val="en-GB"/>
              </w:rPr>
            </m:ctrlPr>
          </m:sSubPr>
          <m:e>
            <m:r>
              <w:rPr>
                <w:rFonts w:ascii="Cambria Math" w:hAnsi="Cambria Math" w:cs="Times New Roman"/>
                <w:sz w:val="24"/>
                <w:szCs w:val="24"/>
                <w:vertAlign w:val="subscript"/>
                <w:lang w:val="en-GB"/>
              </w:rPr>
              <m:t>u</m:t>
            </m:r>
          </m:e>
          <m:sub>
            <m:r>
              <w:rPr>
                <w:rFonts w:ascii="Cambria Math" w:hAnsi="Cambria Math" w:cs="Times New Roman"/>
                <w:sz w:val="24"/>
                <w:szCs w:val="24"/>
                <w:vertAlign w:val="subscript"/>
                <w:lang w:val="en-GB"/>
              </w:rPr>
              <m:t>it</m:t>
            </m:r>
          </m:sub>
        </m:sSub>
        <m:r>
          <w:rPr>
            <w:rFonts w:ascii="Cambria Math" w:hAnsi="Cambria Math" w:cs="Times New Roman"/>
            <w:sz w:val="24"/>
            <w:szCs w:val="24"/>
            <w:vertAlign w:val="subscript"/>
          </w:rPr>
          <m:t>+</m:t>
        </m:r>
        <m:sSub>
          <m:sSubPr>
            <m:ctrlPr>
              <w:rPr>
                <w:rFonts w:ascii="Cambria Math" w:hAnsi="Cambria Math" w:cs="Times New Roman"/>
                <w:i/>
                <w:iCs/>
                <w:sz w:val="24"/>
                <w:szCs w:val="24"/>
                <w:vertAlign w:val="subscript"/>
                <w:lang w:val="en-GB"/>
              </w:rPr>
            </m:ctrlPr>
          </m:sSubPr>
          <m:e>
            <m:r>
              <w:rPr>
                <w:rFonts w:ascii="Cambria Math" w:hAnsi="Cambria Math" w:cs="Times New Roman"/>
                <w:sz w:val="24"/>
                <w:szCs w:val="24"/>
                <w:vertAlign w:val="subscript"/>
                <w:lang w:val="en-GB"/>
              </w:rPr>
              <m:t>v</m:t>
            </m:r>
          </m:e>
          <m:sub>
            <m:r>
              <w:rPr>
                <w:rFonts w:ascii="Cambria Math" w:hAnsi="Cambria Math" w:cs="Times New Roman"/>
                <w:sz w:val="24"/>
                <w:szCs w:val="24"/>
                <w:vertAlign w:val="subscript"/>
                <w:lang w:val="en-GB"/>
              </w:rPr>
              <m:t>it</m:t>
            </m:r>
          </m:sub>
        </m:sSub>
      </m:oMath>
      <w:r w:rsidR="007B673C" w:rsidRPr="007B673C">
        <w:rPr>
          <w:rFonts w:ascii="Times New Roman" w:hAnsi="Times New Roman" w:cs="Times New Roman"/>
          <w:i/>
          <w:iCs/>
          <w:sz w:val="24"/>
          <w:szCs w:val="24"/>
          <w:vertAlign w:val="subscript"/>
        </w:rPr>
        <w:t xml:space="preserve">                                                                                                    </w:t>
      </w:r>
      <w:r w:rsidR="00A85A48">
        <w:rPr>
          <w:rFonts w:ascii="Times New Roman" w:hAnsi="Times New Roman" w:cs="Times New Roman"/>
          <w:i/>
          <w:iCs/>
          <w:sz w:val="24"/>
          <w:szCs w:val="24"/>
          <w:vertAlign w:val="subscript"/>
        </w:rPr>
        <w:t xml:space="preserve">                           </w:t>
      </w:r>
      <w:r w:rsidR="00A85A48" w:rsidRPr="00A85A48">
        <w:rPr>
          <w:rFonts w:ascii="Times New Roman" w:hAnsi="Times New Roman" w:cs="Times New Roman"/>
          <w:i/>
          <w:iCs/>
          <w:sz w:val="24"/>
          <w:szCs w:val="24"/>
        </w:rPr>
        <w:t>(1A)</w:t>
      </w:r>
      <w:r w:rsidR="00A85A48">
        <w:rPr>
          <w:rFonts w:ascii="Times New Roman" w:hAnsi="Times New Roman" w:cs="Times New Roman"/>
          <w:i/>
          <w:iCs/>
          <w:sz w:val="24"/>
          <w:szCs w:val="24"/>
          <w:vertAlign w:val="subscript"/>
        </w:rPr>
        <w:t xml:space="preserve">            </w:t>
      </w:r>
    </w:p>
    <w:p w14:paraId="5702FA51" w14:textId="3378CBAD" w:rsidR="007B673C" w:rsidRDefault="001715AC" w:rsidP="007B673C">
      <w:pPr>
        <w:pStyle w:val="FootnoteText"/>
        <w:spacing w:line="480" w:lineRule="auto"/>
        <w:jc w:val="both"/>
        <w:rPr>
          <w:rFonts w:ascii="Times New Roman" w:hAnsi="Times New Roman" w:cs="Times New Roman"/>
          <w:sz w:val="24"/>
          <w:szCs w:val="24"/>
          <w:lang w:val="en-GB"/>
        </w:rPr>
      </w:pPr>
      <w:r w:rsidRPr="00EF24D0">
        <w:rPr>
          <w:rFonts w:ascii="Times New Roman" w:hAnsi="Times New Roman" w:cs="Times New Roman"/>
          <w:sz w:val="24"/>
          <w:szCs w:val="24"/>
          <w:lang w:val="en-GB"/>
        </w:rPr>
        <w:t xml:space="preserve">for </w:t>
      </w:r>
      <w:r w:rsidR="007B673C">
        <w:rPr>
          <w:rFonts w:ascii="Times New Roman" w:hAnsi="Times New Roman" w:cs="Times New Roman"/>
          <w:sz w:val="24"/>
          <w:szCs w:val="24"/>
          <w:lang w:val="en-GB"/>
        </w:rPr>
        <w:t>h</w:t>
      </w:r>
      <w:r w:rsidRPr="00EF24D0">
        <w:rPr>
          <w:rFonts w:ascii="Times New Roman" w:hAnsi="Times New Roman" w:cs="Times New Roman"/>
          <w:sz w:val="24"/>
          <w:szCs w:val="24"/>
          <w:lang w:val="en-GB"/>
        </w:rPr>
        <w:t>≠</w:t>
      </w:r>
      <w:r w:rsidR="007B673C">
        <w:rPr>
          <w:rFonts w:ascii="Times New Roman" w:hAnsi="Times New Roman" w:cs="Times New Roman"/>
          <w:sz w:val="24"/>
          <w:szCs w:val="24"/>
          <w:lang w:val="en-GB"/>
        </w:rPr>
        <w:t>m</w:t>
      </w:r>
      <w:r w:rsidRPr="00EF24D0">
        <w:rPr>
          <w:rFonts w:ascii="Times New Roman" w:hAnsi="Times New Roman" w:cs="Times New Roman"/>
          <w:sz w:val="24"/>
          <w:szCs w:val="24"/>
          <w:lang w:val="en-GB"/>
        </w:rPr>
        <w:t xml:space="preserve">. </w:t>
      </w:r>
    </w:p>
    <w:p w14:paraId="2497237C" w14:textId="05AD1792" w:rsidR="001715AC" w:rsidRDefault="001715AC" w:rsidP="00500990">
      <w:pPr>
        <w:pStyle w:val="FootnoteText"/>
        <w:spacing w:line="480" w:lineRule="auto"/>
        <w:jc w:val="both"/>
        <w:rPr>
          <w:rFonts w:ascii="Times New Roman" w:hAnsi="Times New Roman" w:cs="Times New Roman"/>
          <w:sz w:val="24"/>
          <w:szCs w:val="24"/>
          <w:lang w:val="en-GB"/>
        </w:rPr>
      </w:pPr>
      <w:r w:rsidRPr="00EF24D0">
        <w:rPr>
          <w:rFonts w:ascii="Times New Roman" w:hAnsi="Times New Roman" w:cs="Times New Roman"/>
          <w:sz w:val="24"/>
          <w:szCs w:val="24"/>
          <w:lang w:val="en-GB"/>
        </w:rPr>
        <w:t>Total costs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TC</m:t>
            </m:r>
          </m:e>
          <m:sub>
            <m:r>
              <w:rPr>
                <w:rFonts w:ascii="Cambria Math" w:hAnsi="Cambria Math" w:cs="Times New Roman"/>
                <w:sz w:val="24"/>
                <w:szCs w:val="24"/>
                <w:lang w:val="en-GB"/>
              </w:rPr>
              <m:t>it</m:t>
            </m:r>
          </m:sub>
        </m:sSub>
      </m:oMath>
      <w:r w:rsidRPr="00EF24D0">
        <w:rPr>
          <w:rFonts w:ascii="Times New Roman" w:hAnsi="Times New Roman" w:cs="Times New Roman"/>
          <w:sz w:val="24"/>
          <w:szCs w:val="24"/>
          <w:lang w:val="en-GB"/>
        </w:rPr>
        <w:t xml:space="preserve">) </w:t>
      </w:r>
      <w:r w:rsidR="00702D55">
        <w:rPr>
          <w:rFonts w:ascii="Times New Roman" w:hAnsi="Times New Roman" w:cs="Times New Roman"/>
          <w:sz w:val="24"/>
          <w:szCs w:val="24"/>
          <w:lang w:val="en-GB"/>
        </w:rPr>
        <w:t>includes</w:t>
      </w:r>
      <w:r w:rsidRPr="00EF24D0">
        <w:rPr>
          <w:rFonts w:ascii="Times New Roman" w:hAnsi="Times New Roman" w:cs="Times New Roman"/>
          <w:sz w:val="24"/>
          <w:szCs w:val="24"/>
          <w:lang w:val="en-GB"/>
        </w:rPr>
        <w:t xml:space="preserve"> other administrative expenses, personnel expenses and interest expenses.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TA</m:t>
            </m:r>
          </m:e>
          <m:sub>
            <m:r>
              <w:rPr>
                <w:rFonts w:ascii="Cambria Math" w:hAnsi="Cambria Math" w:cs="Times New Roman"/>
                <w:sz w:val="24"/>
                <w:szCs w:val="24"/>
                <w:lang w:val="en-GB"/>
              </w:rPr>
              <m:t>it</m:t>
            </m:r>
          </m:sub>
        </m:sSub>
      </m:oMath>
      <w:r w:rsidRPr="00EF24D0">
        <w:rPr>
          <w:rFonts w:ascii="Times New Roman" w:hAnsi="Times New Roman" w:cs="Times New Roman"/>
          <w:sz w:val="24"/>
          <w:szCs w:val="24"/>
          <w:lang w:val="en-GB"/>
        </w:rPr>
        <w:t xml:space="preserve"> is total assets;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1it</m:t>
            </m:r>
          </m:sub>
        </m:sSub>
        <m:r>
          <w:rPr>
            <w:rFonts w:ascii="Cambria Math" w:hAnsi="Cambria Math" w:cs="Times New Roman"/>
            <w:sz w:val="24"/>
            <w:szCs w:val="24"/>
            <w:lang w:val="en-GB"/>
          </w:rPr>
          <m:t xml:space="preserve"> </m:t>
        </m:r>
      </m:oMath>
      <w:r w:rsidRPr="00EF24D0">
        <w:rPr>
          <w:rFonts w:ascii="Times New Roman" w:hAnsi="Times New Roman" w:cs="Times New Roman"/>
          <w:sz w:val="24"/>
          <w:szCs w:val="24"/>
          <w:lang w:val="en-GB"/>
        </w:rPr>
        <w:t xml:space="preserve"> is the </w:t>
      </w:r>
      <w:r w:rsidRPr="00C65D66">
        <w:rPr>
          <w:rFonts w:ascii="Times New Roman" w:hAnsi="Times New Roman" w:cs="Times New Roman"/>
          <w:sz w:val="24"/>
          <w:szCs w:val="24"/>
          <w:lang w:val="en-GB"/>
        </w:rPr>
        <w:t xml:space="preserve">ratio of personnel expenses to the total number of employees;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2it</m:t>
            </m:r>
          </m:sub>
        </m:sSub>
      </m:oMath>
      <w:r w:rsidRPr="00C65D66">
        <w:rPr>
          <w:rFonts w:ascii="Times New Roman" w:hAnsi="Times New Roman" w:cs="Times New Roman"/>
          <w:sz w:val="24"/>
          <w:szCs w:val="24"/>
          <w:lang w:val="en-GB"/>
        </w:rPr>
        <w:t xml:space="preserve"> is the ratio of other administrative expenses to fixed assets; 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3it</m:t>
            </m:r>
          </m:sub>
        </m:sSub>
      </m:oMath>
      <w:r w:rsidRPr="00C65D66">
        <w:rPr>
          <w:rFonts w:ascii="Times New Roman" w:hAnsi="Times New Roman" w:cs="Times New Roman"/>
          <w:sz w:val="24"/>
          <w:szCs w:val="24"/>
          <w:lang w:val="en-GB"/>
        </w:rPr>
        <w:t xml:space="preserve"> the ratio of interest expenses to</w:t>
      </w:r>
      <w:r w:rsidR="00702D55" w:rsidRPr="00C65D66">
        <w:rPr>
          <w:rFonts w:ascii="Times New Roman" w:hAnsi="Times New Roman" w:cs="Times New Roman"/>
          <w:sz w:val="24"/>
          <w:szCs w:val="24"/>
          <w:lang w:val="en-GB"/>
        </w:rPr>
        <w:t xml:space="preserve"> customer deposits;</w:t>
      </w:r>
      <w:r w:rsidRPr="00C65D66">
        <w:rPr>
          <w:rFonts w:ascii="Times New Roman" w:hAnsi="Times New Roman" w:cs="Times New Roman"/>
          <w:sz w:val="24"/>
          <w:szCs w:val="24"/>
          <w:lang w:val="en-GB"/>
        </w:rPr>
        <w:t xml:space="preserve"> </w:t>
      </w:r>
      <w:r w:rsidRPr="00C65D66">
        <w:rPr>
          <w:rFonts w:ascii="Times New Roman" w:hAnsi="Times New Roman" w:cs="Times New Roman"/>
          <w:i/>
          <w:sz w:val="24"/>
          <w:szCs w:val="24"/>
          <w:lang w:val="en-GB"/>
        </w:rPr>
        <w:t>T</w:t>
      </w:r>
      <w:r w:rsidRPr="00C65D66">
        <w:rPr>
          <w:rFonts w:ascii="Times New Roman" w:hAnsi="Times New Roman" w:cs="Times New Roman"/>
          <w:sz w:val="24"/>
          <w:szCs w:val="24"/>
          <w:lang w:val="en-GB"/>
        </w:rPr>
        <w:t xml:space="preserve"> is the time trend. </w:t>
      </w:r>
      <w:r w:rsidR="00702D55" w:rsidRPr="00C65D66">
        <w:rPr>
          <w:rFonts w:ascii="Times New Roman" w:hAnsi="Times New Roman" w:cs="Times New Roman"/>
          <w:sz w:val="24"/>
          <w:szCs w:val="24"/>
          <w:lang w:val="en-GB"/>
        </w:rPr>
        <w:t>W</w:t>
      </w:r>
      <w:r w:rsidRPr="00C65D66">
        <w:rPr>
          <w:rFonts w:ascii="Times New Roman" w:hAnsi="Times New Roman" w:cs="Times New Roman"/>
          <w:sz w:val="24"/>
          <w:szCs w:val="24"/>
          <w:lang w:val="en-GB"/>
        </w:rPr>
        <w:t xml:space="preserve">e normalized with respect to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3it</m:t>
            </m:r>
          </m:sub>
        </m:sSub>
      </m:oMath>
      <w:r w:rsidR="00702D55" w:rsidRPr="00C65D66">
        <w:rPr>
          <w:rFonts w:ascii="Times New Roman" w:hAnsi="Times New Roman" w:cs="Times New Roman"/>
          <w:sz w:val="24"/>
          <w:szCs w:val="24"/>
          <w:lang w:val="en-GB"/>
        </w:rPr>
        <w:t xml:space="preserve"> to impose linear homogeneity on the input prices</w:t>
      </w:r>
      <w:r w:rsidRPr="00C65D66">
        <w:rPr>
          <w:rFonts w:ascii="Times New Roman" w:hAnsi="Times New Roman" w:cs="Times New Roman"/>
          <w:sz w:val="24"/>
          <w:szCs w:val="24"/>
          <w:lang w:val="en-GB"/>
        </w:rPr>
        <w:t>.</w:t>
      </w:r>
      <w:r w:rsidR="00702D55" w:rsidRPr="00C65D66">
        <w:rPr>
          <w:rFonts w:ascii="Times New Roman" w:hAnsi="Times New Roman" w:cs="Times New Roman"/>
          <w:sz w:val="24"/>
          <w:szCs w:val="24"/>
          <w:lang w:val="en-GB"/>
        </w:rPr>
        <w:t xml:space="preserve"> In the profit translog function we use profits before taxes</w:t>
      </w:r>
      <w:r w:rsidR="005F76A3" w:rsidRPr="00C65D66">
        <w:rPr>
          <w:rFonts w:ascii="Times New Roman" w:hAnsi="Times New Roman" w:cs="Times New Roman"/>
          <w:sz w:val="24"/>
          <w:szCs w:val="24"/>
          <w:lang w:val="en-GB"/>
        </w:rPr>
        <w:t xml:space="preserve"> as </w:t>
      </w:r>
      <w:r w:rsidR="00286012" w:rsidRPr="00C65D66">
        <w:rPr>
          <w:rFonts w:ascii="Times New Roman" w:hAnsi="Times New Roman" w:cs="Times New Roman"/>
          <w:sz w:val="24"/>
          <w:szCs w:val="24"/>
          <w:lang w:val="en-GB"/>
        </w:rPr>
        <w:t xml:space="preserve">the </w:t>
      </w:r>
      <w:r w:rsidR="005F76A3" w:rsidRPr="00C65D66">
        <w:rPr>
          <w:rFonts w:ascii="Times New Roman" w:hAnsi="Times New Roman" w:cs="Times New Roman"/>
          <w:sz w:val="24"/>
          <w:szCs w:val="24"/>
          <w:lang w:val="en-GB"/>
        </w:rPr>
        <w:t>dependent variable</w:t>
      </w:r>
      <w:r w:rsidR="00702D55" w:rsidRPr="00C65D66">
        <w:rPr>
          <w:rFonts w:ascii="Times New Roman" w:hAnsi="Times New Roman" w:cs="Times New Roman"/>
          <w:sz w:val="24"/>
          <w:szCs w:val="24"/>
          <w:lang w:val="en-GB"/>
        </w:rPr>
        <w:t>.</w:t>
      </w:r>
      <w:r w:rsidR="00B21D05">
        <w:rPr>
          <w:rFonts w:ascii="Times New Roman" w:hAnsi="Times New Roman" w:cs="Times New Roman"/>
          <w:sz w:val="24"/>
          <w:szCs w:val="24"/>
          <w:lang w:val="en-GB"/>
        </w:rPr>
        <w:t xml:space="preserve"> </w:t>
      </w:r>
    </w:p>
    <w:p w14:paraId="0EBE1729" w14:textId="77777777" w:rsidR="00130018" w:rsidRDefault="00130018" w:rsidP="007371D3">
      <w:pPr>
        <w:rPr>
          <w:rFonts w:asciiTheme="majorBidi" w:hAnsiTheme="majorBidi" w:cstheme="majorBidi"/>
          <w:b/>
          <w:bCs/>
          <w:i/>
          <w:iCs/>
          <w:sz w:val="24"/>
          <w:szCs w:val="24"/>
          <w:lang w:val="en-GB"/>
        </w:rPr>
      </w:pPr>
    </w:p>
    <w:p w14:paraId="2D8B4282" w14:textId="77777777" w:rsidR="00130018" w:rsidRDefault="00130018" w:rsidP="007371D3">
      <w:pPr>
        <w:rPr>
          <w:rFonts w:asciiTheme="majorBidi" w:hAnsiTheme="majorBidi" w:cstheme="majorBidi"/>
          <w:b/>
          <w:bCs/>
          <w:i/>
          <w:iCs/>
          <w:sz w:val="24"/>
          <w:szCs w:val="24"/>
          <w:lang w:val="en-GB"/>
        </w:rPr>
      </w:pPr>
    </w:p>
    <w:p w14:paraId="52833B0F" w14:textId="77777777" w:rsidR="00130018" w:rsidRDefault="00130018" w:rsidP="007371D3">
      <w:pPr>
        <w:rPr>
          <w:rFonts w:asciiTheme="majorBidi" w:hAnsiTheme="majorBidi" w:cstheme="majorBidi"/>
          <w:b/>
          <w:bCs/>
          <w:i/>
          <w:iCs/>
          <w:sz w:val="24"/>
          <w:szCs w:val="24"/>
          <w:lang w:val="en-GB"/>
        </w:rPr>
      </w:pPr>
    </w:p>
    <w:p w14:paraId="0F7D9362" w14:textId="77777777" w:rsidR="00130018" w:rsidRDefault="00130018" w:rsidP="007371D3">
      <w:pPr>
        <w:rPr>
          <w:rFonts w:asciiTheme="majorBidi" w:hAnsiTheme="majorBidi" w:cstheme="majorBidi"/>
          <w:b/>
          <w:bCs/>
          <w:i/>
          <w:iCs/>
          <w:sz w:val="24"/>
          <w:szCs w:val="24"/>
          <w:lang w:val="en-GB"/>
        </w:rPr>
      </w:pPr>
    </w:p>
    <w:p w14:paraId="5F8BBD6A" w14:textId="77777777" w:rsidR="00130018" w:rsidRDefault="00130018" w:rsidP="007371D3">
      <w:pPr>
        <w:rPr>
          <w:rFonts w:asciiTheme="majorBidi" w:hAnsiTheme="majorBidi" w:cstheme="majorBidi"/>
          <w:b/>
          <w:bCs/>
          <w:i/>
          <w:iCs/>
          <w:sz w:val="24"/>
          <w:szCs w:val="24"/>
          <w:lang w:val="en-GB"/>
        </w:rPr>
      </w:pPr>
    </w:p>
    <w:p w14:paraId="2FB4C55E" w14:textId="77777777" w:rsidR="0015110E" w:rsidRDefault="0015110E" w:rsidP="007371D3">
      <w:pPr>
        <w:rPr>
          <w:rFonts w:asciiTheme="majorBidi" w:hAnsiTheme="majorBidi" w:cstheme="majorBidi"/>
          <w:b/>
          <w:bCs/>
          <w:i/>
          <w:iCs/>
          <w:sz w:val="24"/>
          <w:szCs w:val="24"/>
          <w:lang w:val="en-GB"/>
        </w:rPr>
      </w:pPr>
    </w:p>
    <w:p w14:paraId="450475D3" w14:textId="77777777" w:rsidR="0015110E" w:rsidRDefault="0015110E" w:rsidP="007371D3">
      <w:pPr>
        <w:rPr>
          <w:rFonts w:asciiTheme="majorBidi" w:hAnsiTheme="majorBidi" w:cstheme="majorBidi"/>
          <w:b/>
          <w:bCs/>
          <w:i/>
          <w:iCs/>
          <w:sz w:val="24"/>
          <w:szCs w:val="24"/>
          <w:lang w:val="en-GB"/>
        </w:rPr>
      </w:pPr>
    </w:p>
    <w:p w14:paraId="572905DA" w14:textId="77777777" w:rsidR="0015110E" w:rsidRDefault="0015110E" w:rsidP="007371D3">
      <w:pPr>
        <w:rPr>
          <w:rFonts w:asciiTheme="majorBidi" w:hAnsiTheme="majorBidi" w:cstheme="majorBidi"/>
          <w:b/>
          <w:bCs/>
          <w:i/>
          <w:iCs/>
          <w:sz w:val="24"/>
          <w:szCs w:val="24"/>
          <w:lang w:val="en-GB"/>
        </w:rPr>
      </w:pPr>
    </w:p>
    <w:p w14:paraId="5BD2731B" w14:textId="77777777" w:rsidR="0015110E" w:rsidRDefault="0015110E" w:rsidP="007371D3">
      <w:pPr>
        <w:rPr>
          <w:rFonts w:asciiTheme="majorBidi" w:hAnsiTheme="majorBidi" w:cstheme="majorBidi"/>
          <w:b/>
          <w:bCs/>
          <w:i/>
          <w:iCs/>
          <w:sz w:val="24"/>
          <w:szCs w:val="24"/>
          <w:lang w:val="en-GB"/>
        </w:rPr>
      </w:pPr>
    </w:p>
    <w:p w14:paraId="3396B6C4" w14:textId="77777777" w:rsidR="0015110E" w:rsidRDefault="0015110E" w:rsidP="007371D3">
      <w:pPr>
        <w:rPr>
          <w:rFonts w:asciiTheme="majorBidi" w:hAnsiTheme="majorBidi" w:cstheme="majorBidi"/>
          <w:b/>
          <w:bCs/>
          <w:i/>
          <w:iCs/>
          <w:sz w:val="24"/>
          <w:szCs w:val="24"/>
          <w:lang w:val="en-GB"/>
        </w:rPr>
      </w:pPr>
    </w:p>
    <w:p w14:paraId="3DF3B8B3" w14:textId="77777777" w:rsidR="00AB2A66" w:rsidRDefault="00AB2A66" w:rsidP="007371D3">
      <w:pPr>
        <w:rPr>
          <w:rFonts w:asciiTheme="majorBidi" w:hAnsiTheme="majorBidi" w:cstheme="majorBidi"/>
          <w:b/>
          <w:bCs/>
          <w:i/>
          <w:iCs/>
          <w:sz w:val="24"/>
          <w:szCs w:val="24"/>
          <w:lang w:val="en-GB"/>
        </w:rPr>
      </w:pPr>
    </w:p>
    <w:p w14:paraId="02EA2CC9" w14:textId="77777777" w:rsidR="0088644C" w:rsidRDefault="0088644C" w:rsidP="007371D3">
      <w:pPr>
        <w:rPr>
          <w:rFonts w:asciiTheme="majorBidi" w:hAnsiTheme="majorBidi" w:cstheme="majorBidi"/>
          <w:b/>
          <w:bCs/>
          <w:i/>
          <w:iCs/>
          <w:sz w:val="24"/>
          <w:szCs w:val="24"/>
          <w:lang w:val="en-GB"/>
        </w:rPr>
      </w:pPr>
    </w:p>
    <w:p w14:paraId="6CC4DE61" w14:textId="77777777" w:rsidR="0088644C" w:rsidRDefault="0088644C" w:rsidP="007371D3">
      <w:pPr>
        <w:rPr>
          <w:rFonts w:asciiTheme="majorBidi" w:hAnsiTheme="majorBidi" w:cstheme="majorBidi"/>
          <w:b/>
          <w:bCs/>
          <w:i/>
          <w:iCs/>
          <w:sz w:val="24"/>
          <w:szCs w:val="24"/>
          <w:lang w:val="en-GB"/>
        </w:rPr>
      </w:pPr>
    </w:p>
    <w:p w14:paraId="57941465" w14:textId="77777777" w:rsidR="0088644C" w:rsidRDefault="0088644C" w:rsidP="007371D3">
      <w:pPr>
        <w:rPr>
          <w:rFonts w:asciiTheme="majorBidi" w:hAnsiTheme="majorBidi" w:cstheme="majorBidi"/>
          <w:b/>
          <w:bCs/>
          <w:i/>
          <w:iCs/>
          <w:sz w:val="24"/>
          <w:szCs w:val="24"/>
          <w:lang w:val="en-GB"/>
        </w:rPr>
      </w:pPr>
    </w:p>
    <w:p w14:paraId="66DF397C" w14:textId="77777777" w:rsidR="0088644C" w:rsidRDefault="0088644C" w:rsidP="007371D3">
      <w:pPr>
        <w:rPr>
          <w:rFonts w:asciiTheme="majorBidi" w:hAnsiTheme="majorBidi" w:cstheme="majorBidi"/>
          <w:b/>
          <w:bCs/>
          <w:i/>
          <w:iCs/>
          <w:sz w:val="24"/>
          <w:szCs w:val="24"/>
          <w:lang w:val="en-GB"/>
        </w:rPr>
      </w:pPr>
    </w:p>
    <w:p w14:paraId="1CAD3F3D" w14:textId="77777777" w:rsidR="0088644C" w:rsidRDefault="0088644C" w:rsidP="007371D3">
      <w:pPr>
        <w:rPr>
          <w:rFonts w:asciiTheme="majorBidi" w:hAnsiTheme="majorBidi" w:cstheme="majorBidi"/>
          <w:b/>
          <w:bCs/>
          <w:i/>
          <w:iCs/>
          <w:sz w:val="24"/>
          <w:szCs w:val="24"/>
          <w:lang w:val="en-GB"/>
        </w:rPr>
      </w:pPr>
    </w:p>
    <w:p w14:paraId="3D5FBDEF" w14:textId="77777777" w:rsidR="0088644C" w:rsidRDefault="0088644C" w:rsidP="007371D3">
      <w:pPr>
        <w:rPr>
          <w:rFonts w:asciiTheme="majorBidi" w:hAnsiTheme="majorBidi" w:cstheme="majorBidi"/>
          <w:b/>
          <w:bCs/>
          <w:i/>
          <w:iCs/>
          <w:sz w:val="24"/>
          <w:szCs w:val="24"/>
          <w:lang w:val="en-GB"/>
        </w:rPr>
      </w:pPr>
    </w:p>
    <w:p w14:paraId="1D064B33" w14:textId="77777777" w:rsidR="0088644C" w:rsidRDefault="0088644C" w:rsidP="007371D3">
      <w:pPr>
        <w:rPr>
          <w:rFonts w:asciiTheme="majorBidi" w:hAnsiTheme="majorBidi" w:cstheme="majorBidi"/>
          <w:b/>
          <w:bCs/>
          <w:i/>
          <w:iCs/>
          <w:sz w:val="24"/>
          <w:szCs w:val="24"/>
          <w:lang w:val="en-GB"/>
        </w:rPr>
      </w:pPr>
    </w:p>
    <w:p w14:paraId="157FA10C" w14:textId="77777777" w:rsidR="0088644C" w:rsidRDefault="0088644C" w:rsidP="007371D3">
      <w:pPr>
        <w:rPr>
          <w:rFonts w:asciiTheme="majorBidi" w:hAnsiTheme="majorBidi" w:cstheme="majorBidi"/>
          <w:b/>
          <w:bCs/>
          <w:i/>
          <w:iCs/>
          <w:sz w:val="24"/>
          <w:szCs w:val="24"/>
          <w:lang w:val="en-GB"/>
        </w:rPr>
      </w:pPr>
    </w:p>
    <w:p w14:paraId="34C229BD" w14:textId="77777777" w:rsidR="007371D3" w:rsidRPr="00F41245" w:rsidRDefault="007371D3" w:rsidP="007371D3">
      <w:pPr>
        <w:rPr>
          <w:rFonts w:asciiTheme="majorBidi" w:hAnsiTheme="majorBidi" w:cstheme="majorBidi"/>
          <w:b/>
          <w:bCs/>
          <w:i/>
          <w:iCs/>
          <w:sz w:val="24"/>
          <w:szCs w:val="24"/>
          <w:lang w:val="en-GB"/>
        </w:rPr>
      </w:pPr>
      <w:r w:rsidRPr="00F41245">
        <w:rPr>
          <w:rFonts w:asciiTheme="majorBidi" w:hAnsiTheme="majorBidi" w:cstheme="majorBidi"/>
          <w:b/>
          <w:bCs/>
          <w:i/>
          <w:iCs/>
          <w:sz w:val="24"/>
          <w:szCs w:val="24"/>
          <w:lang w:val="en-GB"/>
        </w:rPr>
        <w:t>Appendix 2</w:t>
      </w:r>
    </w:p>
    <w:p w14:paraId="17C7F541" w14:textId="7917B21A" w:rsidR="007371D3" w:rsidRPr="00B669F5" w:rsidRDefault="007371D3" w:rsidP="007371D3">
      <w:pPr>
        <w:ind w:left="851" w:hanging="851"/>
        <w:rPr>
          <w:rFonts w:asciiTheme="majorBidi" w:hAnsiTheme="majorBidi" w:cstheme="majorBidi"/>
          <w:b/>
          <w:bCs/>
          <w:i/>
          <w:iCs/>
          <w:sz w:val="24"/>
          <w:szCs w:val="24"/>
          <w:lang w:val="en-GB"/>
        </w:rPr>
      </w:pPr>
      <w:r w:rsidRPr="002C04F7">
        <w:rPr>
          <w:rFonts w:asciiTheme="majorBidi" w:hAnsiTheme="majorBidi" w:cstheme="majorBidi"/>
          <w:b/>
          <w:bCs/>
          <w:i/>
          <w:iCs/>
          <w:sz w:val="24"/>
          <w:szCs w:val="24"/>
          <w:lang w:val="en-GB"/>
        </w:rPr>
        <w:t>Table A1.Mean of</w:t>
      </w:r>
      <w:r w:rsidRPr="002C04F7">
        <w:rPr>
          <w:rFonts w:asciiTheme="majorBidi" w:hAnsiTheme="majorBidi" w:cstheme="majorBidi"/>
          <w:b/>
          <w:bCs/>
          <w:i/>
          <w:iCs/>
          <w:noProof/>
          <w:lang w:val="en-GB"/>
        </w:rPr>
        <w:t xml:space="preserve"> Efficiency-adjusted Lerner </w:t>
      </w:r>
      <w:r w:rsidR="00566934">
        <w:rPr>
          <w:rFonts w:asciiTheme="majorBidi" w:hAnsiTheme="majorBidi" w:cstheme="majorBidi"/>
          <w:b/>
          <w:bCs/>
          <w:i/>
          <w:iCs/>
          <w:noProof/>
          <w:lang w:val="en-GB"/>
        </w:rPr>
        <w:t>I</w:t>
      </w:r>
      <w:r w:rsidRPr="002C04F7">
        <w:rPr>
          <w:rFonts w:asciiTheme="majorBidi" w:hAnsiTheme="majorBidi" w:cstheme="majorBidi"/>
          <w:b/>
          <w:bCs/>
          <w:i/>
          <w:iCs/>
          <w:noProof/>
          <w:lang w:val="en-GB"/>
        </w:rPr>
        <w:t>ndex</w:t>
      </w:r>
      <w:r w:rsidRPr="002C04F7">
        <w:rPr>
          <w:rFonts w:asciiTheme="majorBidi" w:hAnsiTheme="majorBidi" w:cstheme="majorBidi"/>
          <w:b/>
          <w:bCs/>
          <w:i/>
          <w:iCs/>
          <w:noProof/>
          <w:sz w:val="24"/>
          <w:szCs w:val="24"/>
          <w:lang w:val="en-GB"/>
        </w:rPr>
        <w:t xml:space="preserve"> (</w:t>
      </w:r>
      <w:r w:rsidR="0099414A">
        <w:rPr>
          <w:rFonts w:asciiTheme="majorBidi" w:hAnsiTheme="majorBidi" w:cstheme="majorBidi"/>
          <w:b/>
          <w:bCs/>
          <w:i/>
          <w:iCs/>
          <w:noProof/>
          <w:sz w:val="24"/>
          <w:szCs w:val="24"/>
          <w:lang w:val="en-GB"/>
        </w:rPr>
        <w:t>A</w:t>
      </w:r>
      <w:r>
        <w:rPr>
          <w:rFonts w:asciiTheme="majorBidi" w:hAnsiTheme="majorBidi" w:cstheme="majorBidi"/>
          <w:b/>
          <w:bCs/>
          <w:i/>
          <w:iCs/>
          <w:noProof/>
          <w:sz w:val="24"/>
          <w:szCs w:val="24"/>
          <w:lang w:val="en-GB"/>
        </w:rPr>
        <w:t xml:space="preserve">dj </w:t>
      </w:r>
      <w:r w:rsidRPr="002C04F7">
        <w:rPr>
          <w:rFonts w:asciiTheme="majorBidi" w:hAnsiTheme="majorBidi" w:cstheme="majorBidi"/>
          <w:b/>
          <w:bCs/>
          <w:i/>
          <w:iCs/>
          <w:noProof/>
          <w:sz w:val="24"/>
          <w:szCs w:val="24"/>
          <w:lang w:val="en-GB"/>
        </w:rPr>
        <w:t>LE)</w:t>
      </w:r>
      <w:r w:rsidRPr="002C04F7">
        <w:rPr>
          <w:rFonts w:asciiTheme="majorBidi" w:hAnsiTheme="majorBidi" w:cstheme="majorBidi"/>
          <w:b/>
          <w:bCs/>
          <w:i/>
          <w:iCs/>
          <w:sz w:val="24"/>
          <w:szCs w:val="24"/>
          <w:lang w:val="en-GB"/>
        </w:rPr>
        <w:t xml:space="preserve">, </w:t>
      </w:r>
      <w:r w:rsidRPr="002C04F7">
        <w:rPr>
          <w:rFonts w:asciiTheme="majorBidi" w:hAnsiTheme="majorBidi" w:cstheme="majorBidi"/>
          <w:b/>
          <w:bCs/>
          <w:i/>
          <w:iCs/>
          <w:noProof/>
          <w:sz w:val="24"/>
          <w:szCs w:val="24"/>
          <w:lang w:val="en-GB"/>
        </w:rPr>
        <w:t>Lerner Index for Loans (</w:t>
      </w:r>
      <w:r w:rsidRPr="002C04F7">
        <w:rPr>
          <w:rFonts w:asciiTheme="majorBidi" w:eastAsia="Times New Roman" w:hAnsiTheme="majorBidi" w:cstheme="majorBidi"/>
          <w:b/>
          <w:bCs/>
          <w:i/>
          <w:iCs/>
          <w:color w:val="000000"/>
          <w:lang w:val="en-GB"/>
        </w:rPr>
        <w:t>LE</w:t>
      </w:r>
      <w:r w:rsidRPr="002C04F7">
        <w:rPr>
          <w:rFonts w:asciiTheme="majorBidi" w:eastAsia="Times New Roman" w:hAnsiTheme="majorBidi" w:cstheme="majorBidi"/>
          <w:b/>
          <w:bCs/>
          <w:i/>
          <w:iCs/>
          <w:color w:val="000000"/>
          <w:sz w:val="14"/>
          <w:szCs w:val="14"/>
          <w:lang w:val="en-GB"/>
        </w:rPr>
        <w:t>L</w:t>
      </w:r>
      <w:r w:rsidRPr="002C04F7">
        <w:rPr>
          <w:rFonts w:asciiTheme="majorBidi" w:hAnsiTheme="majorBidi" w:cstheme="majorBidi"/>
          <w:b/>
          <w:bCs/>
          <w:i/>
          <w:iCs/>
          <w:noProof/>
          <w:sz w:val="24"/>
          <w:szCs w:val="24"/>
          <w:lang w:val="en-GB"/>
        </w:rPr>
        <w:t>) and Deposits, (</w:t>
      </w:r>
      <w:r w:rsidRPr="002C04F7">
        <w:rPr>
          <w:rFonts w:asciiTheme="majorBidi" w:eastAsia="Times New Roman" w:hAnsiTheme="majorBidi" w:cstheme="majorBidi"/>
          <w:b/>
          <w:bCs/>
          <w:i/>
          <w:iCs/>
          <w:color w:val="000000"/>
          <w:lang w:val="en-GB"/>
        </w:rPr>
        <w:t>LE</w:t>
      </w:r>
      <w:r w:rsidRPr="002C04F7">
        <w:rPr>
          <w:rFonts w:asciiTheme="majorBidi" w:eastAsia="Times New Roman" w:hAnsiTheme="majorBidi" w:cstheme="majorBidi"/>
          <w:b/>
          <w:bCs/>
          <w:i/>
          <w:iCs/>
          <w:color w:val="000000"/>
          <w:sz w:val="14"/>
          <w:szCs w:val="14"/>
          <w:lang w:val="en-GB"/>
        </w:rPr>
        <w:t>D</w:t>
      </w:r>
      <w:r w:rsidRPr="00B669F5">
        <w:rPr>
          <w:rFonts w:asciiTheme="majorBidi" w:hAnsiTheme="majorBidi" w:cstheme="majorBidi"/>
          <w:b/>
          <w:bCs/>
          <w:i/>
          <w:iCs/>
          <w:noProof/>
          <w:sz w:val="24"/>
          <w:szCs w:val="24"/>
          <w:lang w:val="en-GB"/>
        </w:rPr>
        <w:t>)</w:t>
      </w:r>
    </w:p>
    <w:p w14:paraId="6D187DED" w14:textId="77777777" w:rsidR="007371D3" w:rsidRDefault="007371D3" w:rsidP="007371D3">
      <w:pPr>
        <w:rPr>
          <w:rFonts w:asciiTheme="majorBidi" w:hAnsiTheme="majorBidi" w:cstheme="majorBidi"/>
          <w:noProof/>
          <w:lang w:val="en-GB"/>
        </w:rPr>
      </w:pPr>
    </w:p>
    <w:tbl>
      <w:tblPr>
        <w:tblW w:w="6804" w:type="dxa"/>
        <w:jc w:val="center"/>
        <w:tblLayout w:type="fixed"/>
        <w:tblCellMar>
          <w:left w:w="70" w:type="dxa"/>
          <w:right w:w="70" w:type="dxa"/>
        </w:tblCellMar>
        <w:tblLook w:val="04A0" w:firstRow="1" w:lastRow="0" w:firstColumn="1" w:lastColumn="0" w:noHBand="0" w:noVBand="1"/>
      </w:tblPr>
      <w:tblGrid>
        <w:gridCol w:w="972"/>
        <w:gridCol w:w="268"/>
        <w:gridCol w:w="704"/>
        <w:gridCol w:w="223"/>
        <w:gridCol w:w="749"/>
        <w:gridCol w:w="178"/>
        <w:gridCol w:w="794"/>
        <w:gridCol w:w="134"/>
        <w:gridCol w:w="838"/>
        <w:gridCol w:w="89"/>
        <w:gridCol w:w="883"/>
        <w:gridCol w:w="44"/>
        <w:gridCol w:w="928"/>
      </w:tblGrid>
      <w:tr w:rsidR="007371D3" w:rsidRPr="00B669F5" w14:paraId="2702C0F3" w14:textId="77777777" w:rsidTr="00890B6F">
        <w:trPr>
          <w:trHeight w:val="780"/>
          <w:jc w:val="center"/>
        </w:trPr>
        <w:tc>
          <w:tcPr>
            <w:tcW w:w="1240" w:type="dxa"/>
            <w:gridSpan w:val="2"/>
            <w:tcBorders>
              <w:top w:val="single" w:sz="4" w:space="0" w:color="auto"/>
              <w:left w:val="nil"/>
              <w:bottom w:val="single" w:sz="4" w:space="0" w:color="auto"/>
              <w:right w:val="nil"/>
            </w:tcBorders>
            <w:shd w:val="clear" w:color="auto" w:fill="auto"/>
            <w:vAlign w:val="center"/>
            <w:hideMark/>
          </w:tcPr>
          <w:p w14:paraId="5FA3D998" w14:textId="77777777" w:rsidR="007371D3" w:rsidRPr="00B669F5" w:rsidRDefault="007371D3" w:rsidP="00890B6F">
            <w:pPr>
              <w:spacing w:after="0" w:line="240" w:lineRule="auto"/>
              <w:rPr>
                <w:rFonts w:asciiTheme="majorBidi" w:eastAsia="Times New Roman" w:hAnsiTheme="majorBidi" w:cstheme="majorBidi"/>
                <w:b/>
                <w:bCs/>
                <w:color w:val="000000"/>
                <w:sz w:val="20"/>
                <w:szCs w:val="20"/>
                <w:lang w:val="en-GB" w:eastAsia="zh-CN"/>
              </w:rPr>
            </w:pPr>
            <w:r w:rsidRPr="00B669F5">
              <w:rPr>
                <w:rFonts w:asciiTheme="majorBidi" w:eastAsia="Times New Roman" w:hAnsiTheme="majorBidi" w:cstheme="majorBidi"/>
                <w:b/>
                <w:bCs/>
                <w:color w:val="000000"/>
                <w:sz w:val="20"/>
                <w:szCs w:val="20"/>
                <w:lang w:val="en-GB" w:eastAsia="zh-CN"/>
              </w:rPr>
              <w:t>YEAR</w:t>
            </w:r>
          </w:p>
        </w:tc>
        <w:tc>
          <w:tcPr>
            <w:tcW w:w="927" w:type="dxa"/>
            <w:gridSpan w:val="2"/>
            <w:tcBorders>
              <w:top w:val="single" w:sz="4" w:space="0" w:color="auto"/>
              <w:left w:val="nil"/>
              <w:bottom w:val="single" w:sz="4" w:space="0" w:color="auto"/>
              <w:right w:val="nil"/>
            </w:tcBorders>
            <w:shd w:val="clear" w:color="auto" w:fill="auto"/>
            <w:vAlign w:val="center"/>
            <w:hideMark/>
          </w:tcPr>
          <w:p w14:paraId="2BDF76A9" w14:textId="77777777" w:rsidR="007371D3" w:rsidRPr="00B669F5" w:rsidRDefault="007371D3" w:rsidP="00890B6F">
            <w:pPr>
              <w:spacing w:after="0" w:line="240" w:lineRule="auto"/>
              <w:rPr>
                <w:rFonts w:asciiTheme="majorBidi" w:eastAsia="Times New Roman" w:hAnsiTheme="majorBidi" w:cstheme="majorBidi"/>
                <w:b/>
                <w:bCs/>
                <w:color w:val="000000"/>
                <w:sz w:val="20"/>
                <w:szCs w:val="20"/>
                <w:lang w:val="en-GB" w:eastAsia="zh-CN"/>
              </w:rPr>
            </w:pPr>
            <w:r>
              <w:rPr>
                <w:rFonts w:asciiTheme="majorBidi" w:eastAsia="Times New Roman" w:hAnsiTheme="majorBidi" w:cstheme="majorBidi"/>
                <w:b/>
                <w:bCs/>
                <w:color w:val="000000"/>
                <w:sz w:val="20"/>
                <w:szCs w:val="20"/>
                <w:lang w:val="en-GB" w:eastAsia="zh-CN"/>
              </w:rPr>
              <w:t xml:space="preserve">Adj </w:t>
            </w:r>
            <w:r w:rsidRPr="00B669F5">
              <w:rPr>
                <w:rFonts w:asciiTheme="majorBidi" w:eastAsia="Times New Roman" w:hAnsiTheme="majorBidi" w:cstheme="majorBidi"/>
                <w:b/>
                <w:bCs/>
                <w:color w:val="000000"/>
                <w:sz w:val="20"/>
                <w:szCs w:val="20"/>
                <w:lang w:val="en-GB" w:eastAsia="zh-CN"/>
              </w:rPr>
              <w:t>LE</w:t>
            </w:r>
          </w:p>
        </w:tc>
        <w:tc>
          <w:tcPr>
            <w:tcW w:w="927" w:type="dxa"/>
            <w:gridSpan w:val="2"/>
            <w:tcBorders>
              <w:top w:val="single" w:sz="4" w:space="0" w:color="auto"/>
              <w:left w:val="nil"/>
              <w:bottom w:val="single" w:sz="4" w:space="0" w:color="auto"/>
              <w:right w:val="nil"/>
            </w:tcBorders>
            <w:shd w:val="clear" w:color="auto" w:fill="auto"/>
            <w:vAlign w:val="center"/>
            <w:hideMark/>
          </w:tcPr>
          <w:p w14:paraId="36D7EE16" w14:textId="77777777" w:rsidR="007371D3" w:rsidRPr="00B669F5" w:rsidRDefault="007371D3" w:rsidP="00890B6F">
            <w:pPr>
              <w:spacing w:after="0" w:line="240" w:lineRule="auto"/>
              <w:rPr>
                <w:rFonts w:asciiTheme="majorBidi" w:eastAsia="Times New Roman" w:hAnsiTheme="majorBidi" w:cstheme="majorBidi"/>
                <w:b/>
                <w:bCs/>
                <w:color w:val="000000"/>
                <w:sz w:val="20"/>
                <w:szCs w:val="20"/>
                <w:lang w:val="en-GB" w:eastAsia="zh-CN"/>
              </w:rPr>
            </w:pPr>
            <w:r w:rsidRPr="00B669F5">
              <w:rPr>
                <w:rFonts w:asciiTheme="majorBidi" w:eastAsia="Times New Roman" w:hAnsiTheme="majorBidi" w:cstheme="majorBidi"/>
                <w:b/>
                <w:bCs/>
                <w:color w:val="000000"/>
                <w:sz w:val="20"/>
                <w:szCs w:val="20"/>
                <w:lang w:val="en-GB" w:eastAsia="zh-CN"/>
              </w:rPr>
              <w:t>S</w:t>
            </w:r>
            <w:r>
              <w:rPr>
                <w:rFonts w:asciiTheme="majorBidi" w:eastAsia="Times New Roman" w:hAnsiTheme="majorBidi" w:cstheme="majorBidi"/>
                <w:b/>
                <w:bCs/>
                <w:color w:val="000000"/>
                <w:sz w:val="20"/>
                <w:szCs w:val="20"/>
                <w:lang w:val="en-GB" w:eastAsia="zh-CN"/>
              </w:rPr>
              <w:t xml:space="preserve">t. </w:t>
            </w:r>
            <w:r w:rsidRPr="00B669F5">
              <w:rPr>
                <w:rFonts w:asciiTheme="majorBidi" w:eastAsia="Times New Roman" w:hAnsiTheme="majorBidi" w:cstheme="majorBidi"/>
                <w:b/>
                <w:bCs/>
                <w:color w:val="000000"/>
                <w:sz w:val="20"/>
                <w:szCs w:val="20"/>
                <w:lang w:val="en-GB" w:eastAsia="zh-CN"/>
              </w:rPr>
              <w:t>E</w:t>
            </w:r>
            <w:r>
              <w:rPr>
                <w:rFonts w:asciiTheme="majorBidi" w:eastAsia="Times New Roman" w:hAnsiTheme="majorBidi" w:cstheme="majorBidi"/>
                <w:b/>
                <w:bCs/>
                <w:color w:val="000000"/>
                <w:sz w:val="20"/>
                <w:szCs w:val="20"/>
                <w:lang w:val="en-GB" w:eastAsia="zh-CN"/>
              </w:rPr>
              <w:t>rr.</w:t>
            </w:r>
          </w:p>
        </w:tc>
        <w:tc>
          <w:tcPr>
            <w:tcW w:w="928" w:type="dxa"/>
            <w:gridSpan w:val="2"/>
            <w:tcBorders>
              <w:top w:val="single" w:sz="4" w:space="0" w:color="auto"/>
              <w:left w:val="nil"/>
              <w:bottom w:val="single" w:sz="4" w:space="0" w:color="auto"/>
              <w:right w:val="nil"/>
            </w:tcBorders>
            <w:shd w:val="clear" w:color="auto" w:fill="auto"/>
            <w:vAlign w:val="center"/>
            <w:hideMark/>
          </w:tcPr>
          <w:p w14:paraId="14D5A0C8" w14:textId="77777777" w:rsidR="007371D3" w:rsidRPr="00B669F5" w:rsidRDefault="007371D3" w:rsidP="00890B6F">
            <w:pPr>
              <w:spacing w:after="0" w:line="240" w:lineRule="auto"/>
              <w:rPr>
                <w:rFonts w:asciiTheme="majorBidi" w:eastAsia="Times New Roman" w:hAnsiTheme="majorBidi" w:cstheme="majorBidi"/>
                <w:b/>
                <w:bCs/>
                <w:i/>
                <w:iCs/>
                <w:color w:val="000000"/>
                <w:lang w:val="en-GB"/>
              </w:rPr>
            </w:pPr>
            <w:r w:rsidRPr="00B669F5">
              <w:rPr>
                <w:rFonts w:asciiTheme="majorBidi" w:eastAsia="Times New Roman" w:hAnsiTheme="majorBidi" w:cstheme="majorBidi"/>
                <w:b/>
                <w:bCs/>
                <w:i/>
                <w:iCs/>
                <w:color w:val="000000"/>
                <w:lang w:val="en-GB"/>
              </w:rPr>
              <w:t>LE</w:t>
            </w:r>
            <w:r w:rsidRPr="00B669F5">
              <w:rPr>
                <w:rFonts w:asciiTheme="majorBidi" w:eastAsia="Times New Roman" w:hAnsiTheme="majorBidi" w:cstheme="majorBidi"/>
                <w:b/>
                <w:bCs/>
                <w:i/>
                <w:iCs/>
                <w:color w:val="000000"/>
                <w:sz w:val="14"/>
                <w:szCs w:val="14"/>
                <w:lang w:val="en-GB"/>
              </w:rPr>
              <w:t>L</w:t>
            </w:r>
          </w:p>
        </w:tc>
        <w:tc>
          <w:tcPr>
            <w:tcW w:w="927" w:type="dxa"/>
            <w:gridSpan w:val="2"/>
            <w:tcBorders>
              <w:top w:val="single" w:sz="4" w:space="0" w:color="auto"/>
              <w:left w:val="nil"/>
              <w:bottom w:val="single" w:sz="4" w:space="0" w:color="auto"/>
              <w:right w:val="nil"/>
            </w:tcBorders>
            <w:shd w:val="clear" w:color="auto" w:fill="auto"/>
            <w:vAlign w:val="center"/>
            <w:hideMark/>
          </w:tcPr>
          <w:p w14:paraId="6285C383" w14:textId="77777777" w:rsidR="007371D3" w:rsidRPr="00B669F5" w:rsidRDefault="007371D3" w:rsidP="00890B6F">
            <w:pPr>
              <w:spacing w:after="0" w:line="240" w:lineRule="auto"/>
              <w:rPr>
                <w:rFonts w:asciiTheme="majorBidi" w:eastAsia="Times New Roman" w:hAnsiTheme="majorBidi" w:cstheme="majorBidi"/>
                <w:b/>
                <w:bCs/>
                <w:i/>
                <w:iCs/>
                <w:color w:val="000000"/>
                <w:lang w:val="en-GB"/>
              </w:rPr>
            </w:pPr>
            <w:r w:rsidRPr="00B669F5">
              <w:rPr>
                <w:rFonts w:asciiTheme="majorBidi" w:eastAsia="Times New Roman" w:hAnsiTheme="majorBidi" w:cstheme="majorBidi"/>
                <w:b/>
                <w:bCs/>
                <w:color w:val="000000"/>
                <w:sz w:val="20"/>
                <w:szCs w:val="20"/>
                <w:lang w:val="en-GB" w:eastAsia="zh-CN"/>
              </w:rPr>
              <w:t>S</w:t>
            </w:r>
            <w:r>
              <w:rPr>
                <w:rFonts w:asciiTheme="majorBidi" w:eastAsia="Times New Roman" w:hAnsiTheme="majorBidi" w:cstheme="majorBidi"/>
                <w:b/>
                <w:bCs/>
                <w:color w:val="000000"/>
                <w:sz w:val="20"/>
                <w:szCs w:val="20"/>
                <w:lang w:val="en-GB" w:eastAsia="zh-CN"/>
              </w:rPr>
              <w:t xml:space="preserve">t. </w:t>
            </w:r>
            <w:r w:rsidRPr="00B669F5">
              <w:rPr>
                <w:rFonts w:asciiTheme="majorBidi" w:eastAsia="Times New Roman" w:hAnsiTheme="majorBidi" w:cstheme="majorBidi"/>
                <w:b/>
                <w:bCs/>
                <w:color w:val="000000"/>
                <w:sz w:val="20"/>
                <w:szCs w:val="20"/>
                <w:lang w:val="en-GB" w:eastAsia="zh-CN"/>
              </w:rPr>
              <w:t>E</w:t>
            </w:r>
            <w:r>
              <w:rPr>
                <w:rFonts w:asciiTheme="majorBidi" w:eastAsia="Times New Roman" w:hAnsiTheme="majorBidi" w:cstheme="majorBidi"/>
                <w:b/>
                <w:bCs/>
                <w:color w:val="000000"/>
                <w:sz w:val="20"/>
                <w:szCs w:val="20"/>
                <w:lang w:val="en-GB" w:eastAsia="zh-CN"/>
              </w:rPr>
              <w:t>rr.</w:t>
            </w:r>
          </w:p>
        </w:tc>
        <w:tc>
          <w:tcPr>
            <w:tcW w:w="927" w:type="dxa"/>
            <w:gridSpan w:val="2"/>
            <w:tcBorders>
              <w:top w:val="single" w:sz="4" w:space="0" w:color="auto"/>
              <w:left w:val="nil"/>
              <w:bottom w:val="single" w:sz="4" w:space="0" w:color="auto"/>
              <w:right w:val="nil"/>
            </w:tcBorders>
            <w:shd w:val="clear" w:color="auto" w:fill="auto"/>
            <w:vAlign w:val="center"/>
            <w:hideMark/>
          </w:tcPr>
          <w:p w14:paraId="40AA74E5" w14:textId="77777777" w:rsidR="007371D3" w:rsidRPr="00B669F5" w:rsidRDefault="007371D3" w:rsidP="00890B6F">
            <w:pPr>
              <w:spacing w:after="0" w:line="240" w:lineRule="auto"/>
              <w:rPr>
                <w:rFonts w:asciiTheme="majorBidi" w:eastAsia="Times New Roman" w:hAnsiTheme="majorBidi" w:cstheme="majorBidi"/>
                <w:b/>
                <w:bCs/>
                <w:color w:val="000000"/>
                <w:sz w:val="20"/>
                <w:szCs w:val="20"/>
                <w:lang w:val="en-GB" w:eastAsia="zh-CN"/>
              </w:rPr>
            </w:pPr>
            <w:r w:rsidRPr="00B669F5">
              <w:rPr>
                <w:rFonts w:asciiTheme="majorBidi" w:eastAsia="Times New Roman" w:hAnsiTheme="majorBidi" w:cstheme="majorBidi"/>
                <w:b/>
                <w:bCs/>
                <w:i/>
                <w:iCs/>
                <w:color w:val="000000"/>
                <w:lang w:val="en-GB"/>
              </w:rPr>
              <w:t>LE</w:t>
            </w:r>
            <w:r w:rsidRPr="00B669F5">
              <w:rPr>
                <w:rFonts w:asciiTheme="majorBidi" w:eastAsia="Times New Roman" w:hAnsiTheme="majorBidi" w:cstheme="majorBidi"/>
                <w:b/>
                <w:bCs/>
                <w:i/>
                <w:iCs/>
                <w:color w:val="000000"/>
                <w:sz w:val="14"/>
                <w:szCs w:val="14"/>
                <w:lang w:val="en-GB"/>
              </w:rPr>
              <w:t>D</w:t>
            </w:r>
          </w:p>
        </w:tc>
        <w:tc>
          <w:tcPr>
            <w:tcW w:w="928" w:type="dxa"/>
            <w:tcBorders>
              <w:top w:val="single" w:sz="4" w:space="0" w:color="auto"/>
              <w:left w:val="nil"/>
              <w:bottom w:val="single" w:sz="4" w:space="0" w:color="auto"/>
              <w:right w:val="nil"/>
            </w:tcBorders>
            <w:shd w:val="clear" w:color="auto" w:fill="auto"/>
            <w:vAlign w:val="center"/>
            <w:hideMark/>
          </w:tcPr>
          <w:p w14:paraId="66535C24" w14:textId="77777777" w:rsidR="007371D3" w:rsidRPr="00B669F5" w:rsidRDefault="007371D3" w:rsidP="00890B6F">
            <w:pPr>
              <w:spacing w:after="0" w:line="240" w:lineRule="auto"/>
              <w:rPr>
                <w:rFonts w:asciiTheme="majorBidi" w:eastAsia="Times New Roman" w:hAnsiTheme="majorBidi" w:cstheme="majorBidi"/>
                <w:b/>
                <w:bCs/>
                <w:color w:val="000000"/>
                <w:sz w:val="20"/>
                <w:szCs w:val="20"/>
                <w:lang w:val="en-GB" w:eastAsia="zh-CN"/>
              </w:rPr>
            </w:pPr>
            <w:r w:rsidRPr="00B669F5">
              <w:rPr>
                <w:rFonts w:asciiTheme="majorBidi" w:eastAsia="Times New Roman" w:hAnsiTheme="majorBidi" w:cstheme="majorBidi"/>
                <w:b/>
                <w:bCs/>
                <w:color w:val="000000"/>
                <w:sz w:val="20"/>
                <w:szCs w:val="20"/>
                <w:lang w:val="en-GB" w:eastAsia="zh-CN"/>
              </w:rPr>
              <w:t>S</w:t>
            </w:r>
            <w:r>
              <w:rPr>
                <w:rFonts w:asciiTheme="majorBidi" w:eastAsia="Times New Roman" w:hAnsiTheme="majorBidi" w:cstheme="majorBidi"/>
                <w:b/>
                <w:bCs/>
                <w:color w:val="000000"/>
                <w:sz w:val="20"/>
                <w:szCs w:val="20"/>
                <w:lang w:val="en-GB" w:eastAsia="zh-CN"/>
              </w:rPr>
              <w:t xml:space="preserve">t. </w:t>
            </w:r>
            <w:r w:rsidRPr="00B669F5">
              <w:rPr>
                <w:rFonts w:asciiTheme="majorBidi" w:eastAsia="Times New Roman" w:hAnsiTheme="majorBidi" w:cstheme="majorBidi"/>
                <w:b/>
                <w:bCs/>
                <w:color w:val="000000"/>
                <w:sz w:val="20"/>
                <w:szCs w:val="20"/>
                <w:lang w:val="en-GB" w:eastAsia="zh-CN"/>
              </w:rPr>
              <w:t>E</w:t>
            </w:r>
            <w:r>
              <w:rPr>
                <w:rFonts w:asciiTheme="majorBidi" w:eastAsia="Times New Roman" w:hAnsiTheme="majorBidi" w:cstheme="majorBidi"/>
                <w:b/>
                <w:bCs/>
                <w:color w:val="000000"/>
                <w:sz w:val="20"/>
                <w:szCs w:val="20"/>
                <w:lang w:val="en-GB" w:eastAsia="zh-CN"/>
              </w:rPr>
              <w:t>rr.</w:t>
            </w:r>
          </w:p>
        </w:tc>
      </w:tr>
      <w:tr w:rsidR="00CF77B3" w:rsidRPr="00B669F5" w14:paraId="125452A7" w14:textId="77777777" w:rsidTr="00C30CD9">
        <w:trPr>
          <w:trHeight w:val="296"/>
          <w:jc w:val="center"/>
        </w:trPr>
        <w:tc>
          <w:tcPr>
            <w:tcW w:w="972" w:type="dxa"/>
            <w:tcBorders>
              <w:top w:val="single" w:sz="4" w:space="0" w:color="auto"/>
              <w:left w:val="nil"/>
              <w:bottom w:val="nil"/>
              <w:right w:val="dashed" w:sz="4" w:space="0" w:color="auto"/>
            </w:tcBorders>
            <w:shd w:val="clear" w:color="auto" w:fill="auto"/>
            <w:noWrap/>
            <w:vAlign w:val="center"/>
            <w:hideMark/>
          </w:tcPr>
          <w:p w14:paraId="2FB0E506"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val="en-GB" w:eastAsia="zh-CN"/>
              </w:rPr>
            </w:pPr>
            <w:r w:rsidRPr="00B669F5">
              <w:rPr>
                <w:rFonts w:asciiTheme="majorBidi" w:eastAsia="Times New Roman" w:hAnsiTheme="majorBidi" w:cstheme="majorBidi"/>
                <w:color w:val="000000"/>
                <w:sz w:val="20"/>
                <w:szCs w:val="20"/>
                <w:lang w:val="en-GB" w:eastAsia="zh-CN"/>
              </w:rPr>
              <w:t>1993</w:t>
            </w:r>
          </w:p>
        </w:tc>
        <w:tc>
          <w:tcPr>
            <w:tcW w:w="972" w:type="dxa"/>
            <w:gridSpan w:val="2"/>
            <w:tcBorders>
              <w:top w:val="single" w:sz="4" w:space="0" w:color="auto"/>
              <w:left w:val="dashed" w:sz="4" w:space="0" w:color="auto"/>
              <w:bottom w:val="nil"/>
              <w:right w:val="nil"/>
            </w:tcBorders>
            <w:shd w:val="clear" w:color="auto" w:fill="auto"/>
            <w:noWrap/>
            <w:hideMark/>
          </w:tcPr>
          <w:p w14:paraId="304EDA3E"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0.161</w:t>
            </w:r>
          </w:p>
        </w:tc>
        <w:tc>
          <w:tcPr>
            <w:tcW w:w="972" w:type="dxa"/>
            <w:gridSpan w:val="2"/>
            <w:tcBorders>
              <w:top w:val="single" w:sz="4" w:space="0" w:color="auto"/>
              <w:left w:val="nil"/>
              <w:bottom w:val="nil"/>
              <w:right w:val="dashed" w:sz="4" w:space="0" w:color="auto"/>
            </w:tcBorders>
            <w:shd w:val="clear" w:color="auto" w:fill="auto"/>
            <w:noWrap/>
            <w:hideMark/>
          </w:tcPr>
          <w:p w14:paraId="5C1745CD"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0.007</w:t>
            </w:r>
          </w:p>
        </w:tc>
        <w:tc>
          <w:tcPr>
            <w:tcW w:w="972" w:type="dxa"/>
            <w:gridSpan w:val="2"/>
            <w:tcBorders>
              <w:top w:val="single" w:sz="4" w:space="0" w:color="auto"/>
              <w:left w:val="dashed" w:sz="4" w:space="0" w:color="auto"/>
              <w:bottom w:val="nil"/>
              <w:right w:val="nil"/>
            </w:tcBorders>
            <w:shd w:val="clear" w:color="auto" w:fill="auto"/>
            <w:noWrap/>
            <w:hideMark/>
          </w:tcPr>
          <w:p w14:paraId="03DDBC0B" w14:textId="3B59B846"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0.871</w:t>
            </w:r>
          </w:p>
        </w:tc>
        <w:tc>
          <w:tcPr>
            <w:tcW w:w="972" w:type="dxa"/>
            <w:gridSpan w:val="2"/>
            <w:tcBorders>
              <w:top w:val="single" w:sz="4" w:space="0" w:color="auto"/>
              <w:left w:val="nil"/>
              <w:bottom w:val="nil"/>
              <w:right w:val="dashed" w:sz="4" w:space="0" w:color="auto"/>
            </w:tcBorders>
            <w:shd w:val="clear" w:color="auto" w:fill="auto"/>
            <w:noWrap/>
            <w:hideMark/>
          </w:tcPr>
          <w:p w14:paraId="6C839B0E" w14:textId="05A5F42F"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0.002</w:t>
            </w:r>
          </w:p>
        </w:tc>
        <w:tc>
          <w:tcPr>
            <w:tcW w:w="972" w:type="dxa"/>
            <w:gridSpan w:val="2"/>
            <w:tcBorders>
              <w:top w:val="single" w:sz="4" w:space="0" w:color="auto"/>
              <w:left w:val="dashed" w:sz="4" w:space="0" w:color="auto"/>
              <w:bottom w:val="nil"/>
              <w:right w:val="nil"/>
            </w:tcBorders>
            <w:shd w:val="clear" w:color="auto" w:fill="auto"/>
            <w:noWrap/>
            <w:vAlign w:val="bottom"/>
            <w:hideMark/>
          </w:tcPr>
          <w:p w14:paraId="0FE0569C" w14:textId="30B798FB"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0.736</w:t>
            </w:r>
          </w:p>
        </w:tc>
        <w:tc>
          <w:tcPr>
            <w:tcW w:w="972" w:type="dxa"/>
            <w:gridSpan w:val="2"/>
            <w:tcBorders>
              <w:top w:val="single" w:sz="4" w:space="0" w:color="auto"/>
              <w:left w:val="nil"/>
              <w:bottom w:val="nil"/>
              <w:right w:val="dashed" w:sz="4" w:space="0" w:color="auto"/>
            </w:tcBorders>
            <w:shd w:val="clear" w:color="auto" w:fill="auto"/>
            <w:noWrap/>
            <w:vAlign w:val="bottom"/>
            <w:hideMark/>
          </w:tcPr>
          <w:p w14:paraId="2C674F27" w14:textId="2C3D786F"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0.004</w:t>
            </w:r>
          </w:p>
        </w:tc>
      </w:tr>
      <w:tr w:rsidR="00CF77B3" w:rsidRPr="00B669F5" w14:paraId="35220E37"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47F38F15"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val="en-GB" w:eastAsia="zh-CN"/>
              </w:rPr>
            </w:pPr>
            <w:r w:rsidRPr="00B669F5">
              <w:rPr>
                <w:rFonts w:asciiTheme="majorBidi" w:eastAsia="Times New Roman" w:hAnsiTheme="majorBidi" w:cstheme="majorBidi"/>
                <w:color w:val="000000"/>
                <w:sz w:val="20"/>
                <w:szCs w:val="20"/>
                <w:lang w:val="en-GB" w:eastAsia="zh-CN"/>
              </w:rPr>
              <w:t>1994</w:t>
            </w:r>
          </w:p>
        </w:tc>
        <w:tc>
          <w:tcPr>
            <w:tcW w:w="972" w:type="dxa"/>
            <w:gridSpan w:val="2"/>
            <w:tcBorders>
              <w:top w:val="nil"/>
              <w:left w:val="dashed" w:sz="4" w:space="0" w:color="auto"/>
              <w:bottom w:val="nil"/>
              <w:right w:val="nil"/>
            </w:tcBorders>
            <w:shd w:val="clear" w:color="auto" w:fill="auto"/>
            <w:noWrap/>
            <w:hideMark/>
          </w:tcPr>
          <w:p w14:paraId="65C4FE3B"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0.157</w:t>
            </w:r>
          </w:p>
        </w:tc>
        <w:tc>
          <w:tcPr>
            <w:tcW w:w="972" w:type="dxa"/>
            <w:gridSpan w:val="2"/>
            <w:tcBorders>
              <w:top w:val="nil"/>
              <w:left w:val="nil"/>
              <w:bottom w:val="nil"/>
              <w:right w:val="dashed" w:sz="4" w:space="0" w:color="auto"/>
            </w:tcBorders>
            <w:shd w:val="clear" w:color="auto" w:fill="auto"/>
            <w:noWrap/>
            <w:hideMark/>
          </w:tcPr>
          <w:p w14:paraId="515A02F6"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0.004</w:t>
            </w:r>
          </w:p>
        </w:tc>
        <w:tc>
          <w:tcPr>
            <w:tcW w:w="972" w:type="dxa"/>
            <w:gridSpan w:val="2"/>
            <w:tcBorders>
              <w:top w:val="nil"/>
              <w:left w:val="dashed" w:sz="4" w:space="0" w:color="auto"/>
              <w:bottom w:val="nil"/>
              <w:right w:val="nil"/>
            </w:tcBorders>
            <w:shd w:val="clear" w:color="auto" w:fill="auto"/>
            <w:noWrap/>
            <w:hideMark/>
          </w:tcPr>
          <w:p w14:paraId="053075EE" w14:textId="61A1B97E"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0.852</w:t>
            </w:r>
          </w:p>
        </w:tc>
        <w:tc>
          <w:tcPr>
            <w:tcW w:w="972" w:type="dxa"/>
            <w:gridSpan w:val="2"/>
            <w:tcBorders>
              <w:top w:val="nil"/>
              <w:left w:val="nil"/>
              <w:bottom w:val="nil"/>
              <w:right w:val="dashed" w:sz="4" w:space="0" w:color="auto"/>
            </w:tcBorders>
            <w:shd w:val="clear" w:color="auto" w:fill="auto"/>
            <w:noWrap/>
            <w:hideMark/>
          </w:tcPr>
          <w:p w14:paraId="2F28E7C8" w14:textId="45044EC5"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0.002</w:t>
            </w:r>
          </w:p>
        </w:tc>
        <w:tc>
          <w:tcPr>
            <w:tcW w:w="972" w:type="dxa"/>
            <w:gridSpan w:val="2"/>
            <w:tcBorders>
              <w:top w:val="nil"/>
              <w:left w:val="dashed" w:sz="4" w:space="0" w:color="auto"/>
              <w:bottom w:val="nil"/>
              <w:right w:val="nil"/>
            </w:tcBorders>
            <w:shd w:val="clear" w:color="auto" w:fill="auto"/>
            <w:noWrap/>
            <w:vAlign w:val="bottom"/>
            <w:hideMark/>
          </w:tcPr>
          <w:p w14:paraId="4F509F99" w14:textId="76D6716D"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0.688</w:t>
            </w:r>
          </w:p>
        </w:tc>
        <w:tc>
          <w:tcPr>
            <w:tcW w:w="972" w:type="dxa"/>
            <w:gridSpan w:val="2"/>
            <w:tcBorders>
              <w:top w:val="nil"/>
              <w:left w:val="nil"/>
              <w:bottom w:val="nil"/>
              <w:right w:val="dashed" w:sz="4" w:space="0" w:color="auto"/>
            </w:tcBorders>
            <w:shd w:val="clear" w:color="auto" w:fill="auto"/>
            <w:noWrap/>
            <w:vAlign w:val="bottom"/>
            <w:hideMark/>
          </w:tcPr>
          <w:p w14:paraId="63079668" w14:textId="3A0CF489"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0.004</w:t>
            </w:r>
          </w:p>
        </w:tc>
      </w:tr>
      <w:tr w:rsidR="00CF77B3" w:rsidRPr="00B669F5" w14:paraId="3C00D77A"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7688262C"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val="en-GB" w:eastAsia="zh-CN"/>
              </w:rPr>
              <w:t>1</w:t>
            </w:r>
            <w:r w:rsidRPr="00B669F5">
              <w:rPr>
                <w:rFonts w:asciiTheme="majorBidi" w:eastAsia="Times New Roman" w:hAnsiTheme="majorBidi" w:cstheme="majorBidi"/>
                <w:color w:val="000000"/>
                <w:sz w:val="20"/>
                <w:szCs w:val="20"/>
                <w:lang w:eastAsia="zh-CN"/>
              </w:rPr>
              <w:t>995</w:t>
            </w:r>
          </w:p>
        </w:tc>
        <w:tc>
          <w:tcPr>
            <w:tcW w:w="972" w:type="dxa"/>
            <w:gridSpan w:val="2"/>
            <w:tcBorders>
              <w:top w:val="nil"/>
              <w:left w:val="dashed" w:sz="4" w:space="0" w:color="auto"/>
              <w:bottom w:val="nil"/>
              <w:right w:val="nil"/>
            </w:tcBorders>
            <w:shd w:val="clear" w:color="auto" w:fill="auto"/>
            <w:noWrap/>
            <w:hideMark/>
          </w:tcPr>
          <w:p w14:paraId="602D7027"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0.124</w:t>
            </w:r>
          </w:p>
        </w:tc>
        <w:tc>
          <w:tcPr>
            <w:tcW w:w="972" w:type="dxa"/>
            <w:gridSpan w:val="2"/>
            <w:tcBorders>
              <w:top w:val="nil"/>
              <w:left w:val="nil"/>
              <w:bottom w:val="nil"/>
              <w:right w:val="dashed" w:sz="4" w:space="0" w:color="auto"/>
            </w:tcBorders>
            <w:shd w:val="clear" w:color="auto" w:fill="auto"/>
            <w:noWrap/>
            <w:hideMark/>
          </w:tcPr>
          <w:p w14:paraId="4A345FE9"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0.004</w:t>
            </w:r>
          </w:p>
        </w:tc>
        <w:tc>
          <w:tcPr>
            <w:tcW w:w="972" w:type="dxa"/>
            <w:gridSpan w:val="2"/>
            <w:tcBorders>
              <w:top w:val="nil"/>
              <w:left w:val="dashed" w:sz="4" w:space="0" w:color="auto"/>
              <w:bottom w:val="nil"/>
              <w:right w:val="nil"/>
            </w:tcBorders>
            <w:shd w:val="clear" w:color="auto" w:fill="auto"/>
            <w:noWrap/>
            <w:hideMark/>
          </w:tcPr>
          <w:p w14:paraId="56503C05" w14:textId="52C8F181"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0.850</w:t>
            </w:r>
          </w:p>
        </w:tc>
        <w:tc>
          <w:tcPr>
            <w:tcW w:w="972" w:type="dxa"/>
            <w:gridSpan w:val="2"/>
            <w:tcBorders>
              <w:top w:val="nil"/>
              <w:left w:val="nil"/>
              <w:bottom w:val="nil"/>
              <w:right w:val="dashed" w:sz="4" w:space="0" w:color="auto"/>
            </w:tcBorders>
            <w:shd w:val="clear" w:color="auto" w:fill="auto"/>
            <w:noWrap/>
            <w:hideMark/>
          </w:tcPr>
          <w:p w14:paraId="5F1B6581" w14:textId="684A1870"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0.002</w:t>
            </w:r>
          </w:p>
        </w:tc>
        <w:tc>
          <w:tcPr>
            <w:tcW w:w="972" w:type="dxa"/>
            <w:gridSpan w:val="2"/>
            <w:tcBorders>
              <w:top w:val="nil"/>
              <w:left w:val="dashed" w:sz="4" w:space="0" w:color="auto"/>
              <w:bottom w:val="nil"/>
              <w:right w:val="nil"/>
            </w:tcBorders>
            <w:shd w:val="clear" w:color="auto" w:fill="auto"/>
            <w:noWrap/>
            <w:vAlign w:val="bottom"/>
            <w:hideMark/>
          </w:tcPr>
          <w:p w14:paraId="3911EFF6" w14:textId="17A449C2"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0.675</w:t>
            </w:r>
          </w:p>
        </w:tc>
        <w:tc>
          <w:tcPr>
            <w:tcW w:w="972" w:type="dxa"/>
            <w:gridSpan w:val="2"/>
            <w:tcBorders>
              <w:top w:val="nil"/>
              <w:left w:val="nil"/>
              <w:bottom w:val="nil"/>
              <w:right w:val="dashed" w:sz="4" w:space="0" w:color="auto"/>
            </w:tcBorders>
            <w:shd w:val="clear" w:color="auto" w:fill="auto"/>
            <w:noWrap/>
            <w:vAlign w:val="bottom"/>
            <w:hideMark/>
          </w:tcPr>
          <w:p w14:paraId="002F9201" w14:textId="7CE02B6C"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0.005</w:t>
            </w:r>
          </w:p>
        </w:tc>
      </w:tr>
      <w:tr w:rsidR="00CF77B3" w:rsidRPr="00B669F5" w14:paraId="3A2581F3"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0757361F"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1996</w:t>
            </w:r>
          </w:p>
        </w:tc>
        <w:tc>
          <w:tcPr>
            <w:tcW w:w="972" w:type="dxa"/>
            <w:gridSpan w:val="2"/>
            <w:tcBorders>
              <w:top w:val="nil"/>
              <w:left w:val="dashed" w:sz="4" w:space="0" w:color="auto"/>
              <w:bottom w:val="nil"/>
              <w:right w:val="nil"/>
            </w:tcBorders>
            <w:shd w:val="clear" w:color="auto" w:fill="auto"/>
            <w:noWrap/>
            <w:hideMark/>
          </w:tcPr>
          <w:p w14:paraId="37C3FA1C"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0.126</w:t>
            </w:r>
          </w:p>
        </w:tc>
        <w:tc>
          <w:tcPr>
            <w:tcW w:w="972" w:type="dxa"/>
            <w:gridSpan w:val="2"/>
            <w:tcBorders>
              <w:top w:val="nil"/>
              <w:left w:val="nil"/>
              <w:bottom w:val="nil"/>
              <w:right w:val="dashed" w:sz="4" w:space="0" w:color="auto"/>
            </w:tcBorders>
            <w:shd w:val="clear" w:color="auto" w:fill="auto"/>
            <w:noWrap/>
            <w:hideMark/>
          </w:tcPr>
          <w:p w14:paraId="745EDC82"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0.005</w:t>
            </w:r>
          </w:p>
        </w:tc>
        <w:tc>
          <w:tcPr>
            <w:tcW w:w="972" w:type="dxa"/>
            <w:gridSpan w:val="2"/>
            <w:tcBorders>
              <w:top w:val="nil"/>
              <w:left w:val="dashed" w:sz="4" w:space="0" w:color="auto"/>
              <w:bottom w:val="nil"/>
              <w:right w:val="nil"/>
            </w:tcBorders>
            <w:shd w:val="clear" w:color="auto" w:fill="auto"/>
            <w:noWrap/>
            <w:hideMark/>
          </w:tcPr>
          <w:p w14:paraId="763E6D58" w14:textId="592C11D6"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0.845</w:t>
            </w:r>
          </w:p>
        </w:tc>
        <w:tc>
          <w:tcPr>
            <w:tcW w:w="972" w:type="dxa"/>
            <w:gridSpan w:val="2"/>
            <w:tcBorders>
              <w:top w:val="nil"/>
              <w:left w:val="nil"/>
              <w:bottom w:val="nil"/>
              <w:right w:val="dashed" w:sz="4" w:space="0" w:color="auto"/>
            </w:tcBorders>
            <w:shd w:val="clear" w:color="auto" w:fill="auto"/>
            <w:noWrap/>
            <w:hideMark/>
          </w:tcPr>
          <w:p w14:paraId="53F5CE91" w14:textId="638ABA9F"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0.002</w:t>
            </w:r>
          </w:p>
        </w:tc>
        <w:tc>
          <w:tcPr>
            <w:tcW w:w="972" w:type="dxa"/>
            <w:gridSpan w:val="2"/>
            <w:tcBorders>
              <w:top w:val="nil"/>
              <w:left w:val="dashed" w:sz="4" w:space="0" w:color="auto"/>
              <w:bottom w:val="nil"/>
              <w:right w:val="nil"/>
            </w:tcBorders>
            <w:shd w:val="clear" w:color="auto" w:fill="auto"/>
            <w:noWrap/>
            <w:vAlign w:val="bottom"/>
            <w:hideMark/>
          </w:tcPr>
          <w:p w14:paraId="1802656C" w14:textId="69DA175C"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0.696</w:t>
            </w:r>
          </w:p>
        </w:tc>
        <w:tc>
          <w:tcPr>
            <w:tcW w:w="972" w:type="dxa"/>
            <w:gridSpan w:val="2"/>
            <w:tcBorders>
              <w:top w:val="nil"/>
              <w:left w:val="nil"/>
              <w:bottom w:val="nil"/>
              <w:right w:val="dashed" w:sz="4" w:space="0" w:color="auto"/>
            </w:tcBorders>
            <w:shd w:val="clear" w:color="auto" w:fill="auto"/>
            <w:noWrap/>
            <w:vAlign w:val="bottom"/>
            <w:hideMark/>
          </w:tcPr>
          <w:p w14:paraId="2EF9A46C" w14:textId="362EFCD3"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0.004</w:t>
            </w:r>
          </w:p>
        </w:tc>
      </w:tr>
      <w:tr w:rsidR="00CF77B3" w:rsidRPr="00B669F5" w14:paraId="3178A290"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4BF72264"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1997</w:t>
            </w:r>
          </w:p>
        </w:tc>
        <w:tc>
          <w:tcPr>
            <w:tcW w:w="972" w:type="dxa"/>
            <w:gridSpan w:val="2"/>
            <w:tcBorders>
              <w:top w:val="nil"/>
              <w:left w:val="dashed" w:sz="4" w:space="0" w:color="auto"/>
              <w:bottom w:val="nil"/>
              <w:right w:val="nil"/>
            </w:tcBorders>
            <w:shd w:val="clear" w:color="auto" w:fill="auto"/>
            <w:noWrap/>
            <w:hideMark/>
          </w:tcPr>
          <w:p w14:paraId="62EF2B5F"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0.145</w:t>
            </w:r>
          </w:p>
        </w:tc>
        <w:tc>
          <w:tcPr>
            <w:tcW w:w="972" w:type="dxa"/>
            <w:gridSpan w:val="2"/>
            <w:tcBorders>
              <w:top w:val="nil"/>
              <w:left w:val="nil"/>
              <w:bottom w:val="nil"/>
              <w:right w:val="dashed" w:sz="4" w:space="0" w:color="auto"/>
            </w:tcBorders>
            <w:shd w:val="clear" w:color="auto" w:fill="auto"/>
            <w:noWrap/>
            <w:hideMark/>
          </w:tcPr>
          <w:p w14:paraId="0C5FBB93"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0.005</w:t>
            </w:r>
          </w:p>
        </w:tc>
        <w:tc>
          <w:tcPr>
            <w:tcW w:w="972" w:type="dxa"/>
            <w:gridSpan w:val="2"/>
            <w:tcBorders>
              <w:top w:val="nil"/>
              <w:left w:val="dashed" w:sz="4" w:space="0" w:color="auto"/>
              <w:bottom w:val="nil"/>
              <w:right w:val="nil"/>
            </w:tcBorders>
            <w:shd w:val="clear" w:color="auto" w:fill="auto"/>
            <w:noWrap/>
            <w:hideMark/>
          </w:tcPr>
          <w:p w14:paraId="4FABA4A2" w14:textId="46CF55AA"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0.820</w:t>
            </w:r>
          </w:p>
        </w:tc>
        <w:tc>
          <w:tcPr>
            <w:tcW w:w="972" w:type="dxa"/>
            <w:gridSpan w:val="2"/>
            <w:tcBorders>
              <w:top w:val="nil"/>
              <w:left w:val="nil"/>
              <w:bottom w:val="nil"/>
              <w:right w:val="dashed" w:sz="4" w:space="0" w:color="auto"/>
            </w:tcBorders>
            <w:shd w:val="clear" w:color="auto" w:fill="auto"/>
            <w:noWrap/>
            <w:hideMark/>
          </w:tcPr>
          <w:p w14:paraId="06D7B777" w14:textId="3BFE3980"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0.002</w:t>
            </w:r>
          </w:p>
        </w:tc>
        <w:tc>
          <w:tcPr>
            <w:tcW w:w="972" w:type="dxa"/>
            <w:gridSpan w:val="2"/>
            <w:tcBorders>
              <w:top w:val="nil"/>
              <w:left w:val="dashed" w:sz="4" w:space="0" w:color="auto"/>
              <w:bottom w:val="nil"/>
              <w:right w:val="nil"/>
            </w:tcBorders>
            <w:shd w:val="clear" w:color="auto" w:fill="auto"/>
            <w:noWrap/>
            <w:vAlign w:val="bottom"/>
            <w:hideMark/>
          </w:tcPr>
          <w:p w14:paraId="1CA61731" w14:textId="50440742"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0.644</w:t>
            </w:r>
          </w:p>
        </w:tc>
        <w:tc>
          <w:tcPr>
            <w:tcW w:w="972" w:type="dxa"/>
            <w:gridSpan w:val="2"/>
            <w:tcBorders>
              <w:top w:val="nil"/>
              <w:left w:val="nil"/>
              <w:bottom w:val="nil"/>
              <w:right w:val="dashed" w:sz="4" w:space="0" w:color="auto"/>
            </w:tcBorders>
            <w:shd w:val="clear" w:color="auto" w:fill="auto"/>
            <w:noWrap/>
            <w:vAlign w:val="bottom"/>
            <w:hideMark/>
          </w:tcPr>
          <w:p w14:paraId="2AD466CD" w14:textId="4C72B02E"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0.005</w:t>
            </w:r>
          </w:p>
        </w:tc>
      </w:tr>
      <w:tr w:rsidR="00CF77B3" w:rsidRPr="00B669F5" w14:paraId="614447A7"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7C012ADA"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1998</w:t>
            </w:r>
          </w:p>
        </w:tc>
        <w:tc>
          <w:tcPr>
            <w:tcW w:w="972" w:type="dxa"/>
            <w:gridSpan w:val="2"/>
            <w:tcBorders>
              <w:top w:val="nil"/>
              <w:left w:val="dashed" w:sz="4" w:space="0" w:color="auto"/>
              <w:bottom w:val="nil"/>
              <w:right w:val="nil"/>
            </w:tcBorders>
            <w:shd w:val="clear" w:color="auto" w:fill="auto"/>
            <w:noWrap/>
            <w:hideMark/>
          </w:tcPr>
          <w:p w14:paraId="53D5E468"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0.195</w:t>
            </w:r>
          </w:p>
        </w:tc>
        <w:tc>
          <w:tcPr>
            <w:tcW w:w="972" w:type="dxa"/>
            <w:gridSpan w:val="2"/>
            <w:tcBorders>
              <w:top w:val="nil"/>
              <w:left w:val="nil"/>
              <w:bottom w:val="nil"/>
              <w:right w:val="dashed" w:sz="4" w:space="0" w:color="auto"/>
            </w:tcBorders>
            <w:shd w:val="clear" w:color="auto" w:fill="auto"/>
            <w:noWrap/>
            <w:hideMark/>
          </w:tcPr>
          <w:p w14:paraId="4FA84352"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0.005</w:t>
            </w:r>
          </w:p>
        </w:tc>
        <w:tc>
          <w:tcPr>
            <w:tcW w:w="972" w:type="dxa"/>
            <w:gridSpan w:val="2"/>
            <w:tcBorders>
              <w:top w:val="nil"/>
              <w:left w:val="dashed" w:sz="4" w:space="0" w:color="auto"/>
              <w:bottom w:val="nil"/>
              <w:right w:val="nil"/>
            </w:tcBorders>
            <w:shd w:val="clear" w:color="auto" w:fill="auto"/>
            <w:noWrap/>
            <w:hideMark/>
          </w:tcPr>
          <w:p w14:paraId="052B7CF4" w14:textId="0588E7B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0.789</w:t>
            </w:r>
          </w:p>
        </w:tc>
        <w:tc>
          <w:tcPr>
            <w:tcW w:w="972" w:type="dxa"/>
            <w:gridSpan w:val="2"/>
            <w:tcBorders>
              <w:top w:val="nil"/>
              <w:left w:val="nil"/>
              <w:bottom w:val="nil"/>
              <w:right w:val="dashed" w:sz="4" w:space="0" w:color="auto"/>
            </w:tcBorders>
            <w:shd w:val="clear" w:color="auto" w:fill="auto"/>
            <w:noWrap/>
            <w:hideMark/>
          </w:tcPr>
          <w:p w14:paraId="70656026" w14:textId="33D40EBE"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0.003</w:t>
            </w:r>
          </w:p>
        </w:tc>
        <w:tc>
          <w:tcPr>
            <w:tcW w:w="972" w:type="dxa"/>
            <w:gridSpan w:val="2"/>
            <w:tcBorders>
              <w:top w:val="nil"/>
              <w:left w:val="dashed" w:sz="4" w:space="0" w:color="auto"/>
              <w:bottom w:val="nil"/>
              <w:right w:val="nil"/>
            </w:tcBorders>
            <w:shd w:val="clear" w:color="auto" w:fill="auto"/>
            <w:noWrap/>
            <w:vAlign w:val="bottom"/>
            <w:hideMark/>
          </w:tcPr>
          <w:p w14:paraId="7C2684E4" w14:textId="62BA5AAB"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0.543</w:t>
            </w:r>
          </w:p>
        </w:tc>
        <w:tc>
          <w:tcPr>
            <w:tcW w:w="972" w:type="dxa"/>
            <w:gridSpan w:val="2"/>
            <w:tcBorders>
              <w:top w:val="nil"/>
              <w:left w:val="nil"/>
              <w:bottom w:val="nil"/>
              <w:right w:val="dashed" w:sz="4" w:space="0" w:color="auto"/>
            </w:tcBorders>
            <w:shd w:val="clear" w:color="auto" w:fill="auto"/>
            <w:noWrap/>
            <w:vAlign w:val="bottom"/>
            <w:hideMark/>
          </w:tcPr>
          <w:p w14:paraId="6CC51F07" w14:textId="6DE142A8"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0.006</w:t>
            </w:r>
          </w:p>
        </w:tc>
      </w:tr>
      <w:tr w:rsidR="00CF77B3" w:rsidRPr="00B669F5" w14:paraId="09D63833"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137DB21B"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1999</w:t>
            </w:r>
          </w:p>
        </w:tc>
        <w:tc>
          <w:tcPr>
            <w:tcW w:w="972" w:type="dxa"/>
            <w:gridSpan w:val="2"/>
            <w:tcBorders>
              <w:top w:val="nil"/>
              <w:left w:val="dashed" w:sz="4" w:space="0" w:color="auto"/>
              <w:bottom w:val="nil"/>
              <w:right w:val="nil"/>
            </w:tcBorders>
            <w:shd w:val="clear" w:color="auto" w:fill="auto"/>
            <w:noWrap/>
            <w:hideMark/>
          </w:tcPr>
          <w:p w14:paraId="58266084"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0.242</w:t>
            </w:r>
          </w:p>
        </w:tc>
        <w:tc>
          <w:tcPr>
            <w:tcW w:w="972" w:type="dxa"/>
            <w:gridSpan w:val="2"/>
            <w:tcBorders>
              <w:top w:val="nil"/>
              <w:left w:val="nil"/>
              <w:bottom w:val="nil"/>
              <w:right w:val="dashed" w:sz="4" w:space="0" w:color="auto"/>
            </w:tcBorders>
            <w:shd w:val="clear" w:color="auto" w:fill="auto"/>
            <w:noWrap/>
            <w:hideMark/>
          </w:tcPr>
          <w:p w14:paraId="53519652"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0.006</w:t>
            </w:r>
          </w:p>
        </w:tc>
        <w:tc>
          <w:tcPr>
            <w:tcW w:w="972" w:type="dxa"/>
            <w:gridSpan w:val="2"/>
            <w:tcBorders>
              <w:top w:val="nil"/>
              <w:left w:val="dashed" w:sz="4" w:space="0" w:color="auto"/>
              <w:bottom w:val="nil"/>
              <w:right w:val="nil"/>
            </w:tcBorders>
            <w:shd w:val="clear" w:color="auto" w:fill="auto"/>
            <w:noWrap/>
            <w:hideMark/>
          </w:tcPr>
          <w:p w14:paraId="7C00B6FB" w14:textId="4BFB45EC"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0.731</w:t>
            </w:r>
          </w:p>
        </w:tc>
        <w:tc>
          <w:tcPr>
            <w:tcW w:w="972" w:type="dxa"/>
            <w:gridSpan w:val="2"/>
            <w:tcBorders>
              <w:top w:val="nil"/>
              <w:left w:val="nil"/>
              <w:bottom w:val="nil"/>
              <w:right w:val="dashed" w:sz="4" w:space="0" w:color="auto"/>
            </w:tcBorders>
            <w:shd w:val="clear" w:color="auto" w:fill="auto"/>
            <w:noWrap/>
            <w:hideMark/>
          </w:tcPr>
          <w:p w14:paraId="4278AA4D" w14:textId="4C6F1A04"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0.004</w:t>
            </w:r>
          </w:p>
        </w:tc>
        <w:tc>
          <w:tcPr>
            <w:tcW w:w="972" w:type="dxa"/>
            <w:gridSpan w:val="2"/>
            <w:tcBorders>
              <w:top w:val="nil"/>
              <w:left w:val="dashed" w:sz="4" w:space="0" w:color="auto"/>
              <w:bottom w:val="nil"/>
              <w:right w:val="nil"/>
            </w:tcBorders>
            <w:shd w:val="clear" w:color="auto" w:fill="auto"/>
            <w:noWrap/>
            <w:vAlign w:val="bottom"/>
            <w:hideMark/>
          </w:tcPr>
          <w:p w14:paraId="2A2A3433" w14:textId="718CD952"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0.295</w:t>
            </w:r>
          </w:p>
        </w:tc>
        <w:tc>
          <w:tcPr>
            <w:tcW w:w="972" w:type="dxa"/>
            <w:gridSpan w:val="2"/>
            <w:tcBorders>
              <w:top w:val="nil"/>
              <w:left w:val="nil"/>
              <w:bottom w:val="nil"/>
              <w:right w:val="dashed" w:sz="4" w:space="0" w:color="auto"/>
            </w:tcBorders>
            <w:shd w:val="clear" w:color="auto" w:fill="auto"/>
            <w:noWrap/>
            <w:vAlign w:val="bottom"/>
            <w:hideMark/>
          </w:tcPr>
          <w:p w14:paraId="30215568" w14:textId="3D82995A"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0.009</w:t>
            </w:r>
          </w:p>
        </w:tc>
      </w:tr>
      <w:tr w:rsidR="00CF77B3" w:rsidRPr="00B669F5" w14:paraId="7C3A413B"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7A369F97"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2000</w:t>
            </w:r>
          </w:p>
        </w:tc>
        <w:tc>
          <w:tcPr>
            <w:tcW w:w="972" w:type="dxa"/>
            <w:gridSpan w:val="2"/>
            <w:tcBorders>
              <w:top w:val="nil"/>
              <w:left w:val="dashed" w:sz="4" w:space="0" w:color="auto"/>
              <w:bottom w:val="nil"/>
              <w:right w:val="nil"/>
            </w:tcBorders>
            <w:shd w:val="clear" w:color="auto" w:fill="auto"/>
            <w:noWrap/>
            <w:hideMark/>
          </w:tcPr>
          <w:p w14:paraId="1C95645C"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0.210</w:t>
            </w:r>
          </w:p>
        </w:tc>
        <w:tc>
          <w:tcPr>
            <w:tcW w:w="972" w:type="dxa"/>
            <w:gridSpan w:val="2"/>
            <w:tcBorders>
              <w:top w:val="nil"/>
              <w:left w:val="nil"/>
              <w:bottom w:val="nil"/>
              <w:right w:val="dashed" w:sz="4" w:space="0" w:color="auto"/>
            </w:tcBorders>
            <w:shd w:val="clear" w:color="auto" w:fill="auto"/>
            <w:noWrap/>
            <w:hideMark/>
          </w:tcPr>
          <w:p w14:paraId="2A37E4AE"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0.007</w:t>
            </w:r>
          </w:p>
        </w:tc>
        <w:tc>
          <w:tcPr>
            <w:tcW w:w="972" w:type="dxa"/>
            <w:gridSpan w:val="2"/>
            <w:tcBorders>
              <w:top w:val="nil"/>
              <w:left w:val="dashed" w:sz="4" w:space="0" w:color="auto"/>
              <w:bottom w:val="nil"/>
              <w:right w:val="nil"/>
            </w:tcBorders>
            <w:shd w:val="clear" w:color="auto" w:fill="auto"/>
            <w:noWrap/>
            <w:hideMark/>
          </w:tcPr>
          <w:p w14:paraId="3D4CB716" w14:textId="609F32B5"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0.750</w:t>
            </w:r>
          </w:p>
        </w:tc>
        <w:tc>
          <w:tcPr>
            <w:tcW w:w="972" w:type="dxa"/>
            <w:gridSpan w:val="2"/>
            <w:tcBorders>
              <w:top w:val="nil"/>
              <w:left w:val="nil"/>
              <w:bottom w:val="nil"/>
              <w:right w:val="dashed" w:sz="4" w:space="0" w:color="auto"/>
            </w:tcBorders>
            <w:shd w:val="clear" w:color="auto" w:fill="auto"/>
            <w:noWrap/>
            <w:hideMark/>
          </w:tcPr>
          <w:p w14:paraId="43189298" w14:textId="1E67034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0.004</w:t>
            </w:r>
          </w:p>
        </w:tc>
        <w:tc>
          <w:tcPr>
            <w:tcW w:w="972" w:type="dxa"/>
            <w:gridSpan w:val="2"/>
            <w:tcBorders>
              <w:top w:val="nil"/>
              <w:left w:val="dashed" w:sz="4" w:space="0" w:color="auto"/>
              <w:bottom w:val="nil"/>
              <w:right w:val="nil"/>
            </w:tcBorders>
            <w:shd w:val="clear" w:color="auto" w:fill="auto"/>
            <w:noWrap/>
            <w:vAlign w:val="bottom"/>
            <w:hideMark/>
          </w:tcPr>
          <w:p w14:paraId="20BCB5A0" w14:textId="3774B548"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0.382</w:t>
            </w:r>
          </w:p>
        </w:tc>
        <w:tc>
          <w:tcPr>
            <w:tcW w:w="972" w:type="dxa"/>
            <w:gridSpan w:val="2"/>
            <w:tcBorders>
              <w:top w:val="nil"/>
              <w:left w:val="nil"/>
              <w:bottom w:val="nil"/>
              <w:right w:val="dashed" w:sz="4" w:space="0" w:color="auto"/>
            </w:tcBorders>
            <w:shd w:val="clear" w:color="auto" w:fill="auto"/>
            <w:noWrap/>
            <w:vAlign w:val="bottom"/>
            <w:hideMark/>
          </w:tcPr>
          <w:p w14:paraId="02907DE4" w14:textId="33EB000F"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0.008</w:t>
            </w:r>
          </w:p>
        </w:tc>
      </w:tr>
      <w:tr w:rsidR="00CF77B3" w:rsidRPr="00B669F5" w14:paraId="5B7A0624"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61E5777C"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2001</w:t>
            </w:r>
          </w:p>
        </w:tc>
        <w:tc>
          <w:tcPr>
            <w:tcW w:w="972" w:type="dxa"/>
            <w:gridSpan w:val="2"/>
            <w:tcBorders>
              <w:top w:val="nil"/>
              <w:left w:val="dashed" w:sz="4" w:space="0" w:color="auto"/>
              <w:bottom w:val="nil"/>
              <w:right w:val="nil"/>
            </w:tcBorders>
            <w:shd w:val="clear" w:color="auto" w:fill="auto"/>
            <w:noWrap/>
            <w:hideMark/>
          </w:tcPr>
          <w:p w14:paraId="3B25B4FA"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0.185</w:t>
            </w:r>
          </w:p>
        </w:tc>
        <w:tc>
          <w:tcPr>
            <w:tcW w:w="972" w:type="dxa"/>
            <w:gridSpan w:val="2"/>
            <w:tcBorders>
              <w:top w:val="nil"/>
              <w:left w:val="nil"/>
              <w:bottom w:val="nil"/>
              <w:right w:val="dashed" w:sz="4" w:space="0" w:color="auto"/>
            </w:tcBorders>
            <w:shd w:val="clear" w:color="auto" w:fill="auto"/>
            <w:noWrap/>
            <w:hideMark/>
          </w:tcPr>
          <w:p w14:paraId="309CA7FF"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0.009</w:t>
            </w:r>
          </w:p>
        </w:tc>
        <w:tc>
          <w:tcPr>
            <w:tcW w:w="972" w:type="dxa"/>
            <w:gridSpan w:val="2"/>
            <w:tcBorders>
              <w:top w:val="nil"/>
              <w:left w:val="dashed" w:sz="4" w:space="0" w:color="auto"/>
              <w:bottom w:val="nil"/>
              <w:right w:val="nil"/>
            </w:tcBorders>
            <w:shd w:val="clear" w:color="auto" w:fill="auto"/>
            <w:noWrap/>
            <w:hideMark/>
          </w:tcPr>
          <w:p w14:paraId="04E5BEED" w14:textId="1229C38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0.753</w:t>
            </w:r>
          </w:p>
        </w:tc>
        <w:tc>
          <w:tcPr>
            <w:tcW w:w="972" w:type="dxa"/>
            <w:gridSpan w:val="2"/>
            <w:tcBorders>
              <w:top w:val="nil"/>
              <w:left w:val="nil"/>
              <w:bottom w:val="nil"/>
              <w:right w:val="dashed" w:sz="4" w:space="0" w:color="auto"/>
            </w:tcBorders>
            <w:shd w:val="clear" w:color="auto" w:fill="auto"/>
            <w:noWrap/>
            <w:hideMark/>
          </w:tcPr>
          <w:p w14:paraId="7CDA430A" w14:textId="6DF89350"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0.004</w:t>
            </w:r>
          </w:p>
        </w:tc>
        <w:tc>
          <w:tcPr>
            <w:tcW w:w="972" w:type="dxa"/>
            <w:gridSpan w:val="2"/>
            <w:tcBorders>
              <w:top w:val="nil"/>
              <w:left w:val="dashed" w:sz="4" w:space="0" w:color="auto"/>
              <w:bottom w:val="nil"/>
              <w:right w:val="nil"/>
            </w:tcBorders>
            <w:shd w:val="clear" w:color="auto" w:fill="auto"/>
            <w:noWrap/>
            <w:vAlign w:val="bottom"/>
            <w:hideMark/>
          </w:tcPr>
          <w:p w14:paraId="5C4AD8A2" w14:textId="706556B3"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0.468</w:t>
            </w:r>
          </w:p>
        </w:tc>
        <w:tc>
          <w:tcPr>
            <w:tcW w:w="972" w:type="dxa"/>
            <w:gridSpan w:val="2"/>
            <w:tcBorders>
              <w:top w:val="nil"/>
              <w:left w:val="nil"/>
              <w:bottom w:val="nil"/>
              <w:right w:val="dashed" w:sz="4" w:space="0" w:color="auto"/>
            </w:tcBorders>
            <w:shd w:val="clear" w:color="auto" w:fill="auto"/>
            <w:noWrap/>
            <w:vAlign w:val="bottom"/>
            <w:hideMark/>
          </w:tcPr>
          <w:p w14:paraId="3E659E63" w14:textId="17E024F2"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0.007</w:t>
            </w:r>
          </w:p>
        </w:tc>
      </w:tr>
      <w:tr w:rsidR="00CF77B3" w:rsidRPr="00B669F5" w14:paraId="0FDDB988"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734A8C89"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2002</w:t>
            </w:r>
          </w:p>
        </w:tc>
        <w:tc>
          <w:tcPr>
            <w:tcW w:w="972" w:type="dxa"/>
            <w:gridSpan w:val="2"/>
            <w:tcBorders>
              <w:top w:val="nil"/>
              <w:left w:val="dashed" w:sz="4" w:space="0" w:color="auto"/>
              <w:bottom w:val="nil"/>
              <w:right w:val="nil"/>
            </w:tcBorders>
            <w:shd w:val="clear" w:color="auto" w:fill="auto"/>
            <w:noWrap/>
            <w:hideMark/>
          </w:tcPr>
          <w:p w14:paraId="0DFE4E79"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0.205</w:t>
            </w:r>
          </w:p>
        </w:tc>
        <w:tc>
          <w:tcPr>
            <w:tcW w:w="972" w:type="dxa"/>
            <w:gridSpan w:val="2"/>
            <w:tcBorders>
              <w:top w:val="nil"/>
              <w:left w:val="nil"/>
              <w:bottom w:val="nil"/>
              <w:right w:val="dashed" w:sz="4" w:space="0" w:color="auto"/>
            </w:tcBorders>
            <w:shd w:val="clear" w:color="auto" w:fill="auto"/>
            <w:noWrap/>
            <w:hideMark/>
          </w:tcPr>
          <w:p w14:paraId="70151E3E"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0.009</w:t>
            </w:r>
          </w:p>
        </w:tc>
        <w:tc>
          <w:tcPr>
            <w:tcW w:w="972" w:type="dxa"/>
            <w:gridSpan w:val="2"/>
            <w:tcBorders>
              <w:top w:val="nil"/>
              <w:left w:val="dashed" w:sz="4" w:space="0" w:color="auto"/>
              <w:bottom w:val="nil"/>
              <w:right w:val="nil"/>
            </w:tcBorders>
            <w:shd w:val="clear" w:color="auto" w:fill="auto"/>
            <w:noWrap/>
            <w:hideMark/>
          </w:tcPr>
          <w:p w14:paraId="753629C1" w14:textId="31F85BA0"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0.728</w:t>
            </w:r>
          </w:p>
        </w:tc>
        <w:tc>
          <w:tcPr>
            <w:tcW w:w="972" w:type="dxa"/>
            <w:gridSpan w:val="2"/>
            <w:tcBorders>
              <w:top w:val="nil"/>
              <w:left w:val="nil"/>
              <w:bottom w:val="nil"/>
              <w:right w:val="dashed" w:sz="4" w:space="0" w:color="auto"/>
            </w:tcBorders>
            <w:shd w:val="clear" w:color="auto" w:fill="auto"/>
            <w:noWrap/>
            <w:hideMark/>
          </w:tcPr>
          <w:p w14:paraId="39ECCD6C" w14:textId="68051294"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0.004</w:t>
            </w:r>
          </w:p>
        </w:tc>
        <w:tc>
          <w:tcPr>
            <w:tcW w:w="972" w:type="dxa"/>
            <w:gridSpan w:val="2"/>
            <w:tcBorders>
              <w:top w:val="nil"/>
              <w:left w:val="dashed" w:sz="4" w:space="0" w:color="auto"/>
              <w:bottom w:val="nil"/>
              <w:right w:val="nil"/>
            </w:tcBorders>
            <w:shd w:val="clear" w:color="auto" w:fill="auto"/>
            <w:noWrap/>
            <w:vAlign w:val="bottom"/>
            <w:hideMark/>
          </w:tcPr>
          <w:p w14:paraId="4C9168E6" w14:textId="56E34434"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0.407</w:t>
            </w:r>
          </w:p>
        </w:tc>
        <w:tc>
          <w:tcPr>
            <w:tcW w:w="972" w:type="dxa"/>
            <w:gridSpan w:val="2"/>
            <w:tcBorders>
              <w:top w:val="nil"/>
              <w:left w:val="nil"/>
              <w:bottom w:val="nil"/>
              <w:right w:val="dashed" w:sz="4" w:space="0" w:color="auto"/>
            </w:tcBorders>
            <w:shd w:val="clear" w:color="auto" w:fill="auto"/>
            <w:noWrap/>
            <w:vAlign w:val="bottom"/>
            <w:hideMark/>
          </w:tcPr>
          <w:p w14:paraId="01721008" w14:textId="4392E25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0.008</w:t>
            </w:r>
          </w:p>
        </w:tc>
      </w:tr>
      <w:tr w:rsidR="00CF77B3" w:rsidRPr="00B669F5" w14:paraId="30D134BB"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482359D8"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2003</w:t>
            </w:r>
          </w:p>
        </w:tc>
        <w:tc>
          <w:tcPr>
            <w:tcW w:w="972" w:type="dxa"/>
            <w:gridSpan w:val="2"/>
            <w:tcBorders>
              <w:top w:val="nil"/>
              <w:left w:val="dashed" w:sz="4" w:space="0" w:color="auto"/>
              <w:bottom w:val="nil"/>
              <w:right w:val="nil"/>
            </w:tcBorders>
            <w:shd w:val="clear" w:color="auto" w:fill="auto"/>
            <w:noWrap/>
            <w:hideMark/>
          </w:tcPr>
          <w:p w14:paraId="0F3A84BB"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0.246</w:t>
            </w:r>
          </w:p>
        </w:tc>
        <w:tc>
          <w:tcPr>
            <w:tcW w:w="972" w:type="dxa"/>
            <w:gridSpan w:val="2"/>
            <w:tcBorders>
              <w:top w:val="nil"/>
              <w:left w:val="nil"/>
              <w:bottom w:val="nil"/>
              <w:right w:val="dashed" w:sz="4" w:space="0" w:color="auto"/>
            </w:tcBorders>
            <w:shd w:val="clear" w:color="auto" w:fill="auto"/>
            <w:noWrap/>
            <w:hideMark/>
          </w:tcPr>
          <w:p w14:paraId="5302C037"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0.008</w:t>
            </w:r>
          </w:p>
        </w:tc>
        <w:tc>
          <w:tcPr>
            <w:tcW w:w="972" w:type="dxa"/>
            <w:gridSpan w:val="2"/>
            <w:tcBorders>
              <w:top w:val="nil"/>
              <w:left w:val="dashed" w:sz="4" w:space="0" w:color="auto"/>
              <w:bottom w:val="nil"/>
              <w:right w:val="nil"/>
            </w:tcBorders>
            <w:shd w:val="clear" w:color="auto" w:fill="auto"/>
            <w:noWrap/>
            <w:hideMark/>
          </w:tcPr>
          <w:p w14:paraId="2B94E65B" w14:textId="035D6B4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0.712</w:t>
            </w:r>
          </w:p>
        </w:tc>
        <w:tc>
          <w:tcPr>
            <w:tcW w:w="972" w:type="dxa"/>
            <w:gridSpan w:val="2"/>
            <w:tcBorders>
              <w:top w:val="nil"/>
              <w:left w:val="nil"/>
              <w:bottom w:val="nil"/>
              <w:right w:val="dashed" w:sz="4" w:space="0" w:color="auto"/>
            </w:tcBorders>
            <w:shd w:val="clear" w:color="auto" w:fill="auto"/>
            <w:noWrap/>
            <w:hideMark/>
          </w:tcPr>
          <w:p w14:paraId="0A560BE0" w14:textId="5889611F"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0.004</w:t>
            </w:r>
          </w:p>
        </w:tc>
        <w:tc>
          <w:tcPr>
            <w:tcW w:w="972" w:type="dxa"/>
            <w:gridSpan w:val="2"/>
            <w:tcBorders>
              <w:top w:val="nil"/>
              <w:left w:val="dashed" w:sz="4" w:space="0" w:color="auto"/>
              <w:bottom w:val="nil"/>
              <w:right w:val="nil"/>
            </w:tcBorders>
            <w:shd w:val="clear" w:color="auto" w:fill="auto"/>
            <w:noWrap/>
            <w:vAlign w:val="bottom"/>
            <w:hideMark/>
          </w:tcPr>
          <w:p w14:paraId="2212498C" w14:textId="6AA3B638"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0.306</w:t>
            </w:r>
          </w:p>
        </w:tc>
        <w:tc>
          <w:tcPr>
            <w:tcW w:w="972" w:type="dxa"/>
            <w:gridSpan w:val="2"/>
            <w:tcBorders>
              <w:top w:val="nil"/>
              <w:left w:val="nil"/>
              <w:bottom w:val="nil"/>
              <w:right w:val="dashed" w:sz="4" w:space="0" w:color="auto"/>
            </w:tcBorders>
            <w:shd w:val="clear" w:color="auto" w:fill="auto"/>
            <w:noWrap/>
            <w:vAlign w:val="bottom"/>
            <w:hideMark/>
          </w:tcPr>
          <w:p w14:paraId="329C4A0A" w14:textId="7DD2A71E"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0.009</w:t>
            </w:r>
          </w:p>
        </w:tc>
      </w:tr>
      <w:tr w:rsidR="00CF77B3" w:rsidRPr="00B669F5" w14:paraId="6F3779DD"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64E0AE44"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2004</w:t>
            </w:r>
          </w:p>
        </w:tc>
        <w:tc>
          <w:tcPr>
            <w:tcW w:w="972" w:type="dxa"/>
            <w:gridSpan w:val="2"/>
            <w:tcBorders>
              <w:top w:val="nil"/>
              <w:left w:val="dashed" w:sz="4" w:space="0" w:color="auto"/>
              <w:bottom w:val="nil"/>
              <w:right w:val="nil"/>
            </w:tcBorders>
            <w:shd w:val="clear" w:color="auto" w:fill="auto"/>
            <w:noWrap/>
            <w:hideMark/>
          </w:tcPr>
          <w:p w14:paraId="1A8A59B8"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0.244</w:t>
            </w:r>
          </w:p>
        </w:tc>
        <w:tc>
          <w:tcPr>
            <w:tcW w:w="972" w:type="dxa"/>
            <w:gridSpan w:val="2"/>
            <w:tcBorders>
              <w:top w:val="nil"/>
              <w:left w:val="nil"/>
              <w:bottom w:val="nil"/>
              <w:right w:val="dashed" w:sz="4" w:space="0" w:color="auto"/>
            </w:tcBorders>
            <w:shd w:val="clear" w:color="auto" w:fill="auto"/>
            <w:noWrap/>
            <w:hideMark/>
          </w:tcPr>
          <w:p w14:paraId="48A0BAB7"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0.009</w:t>
            </w:r>
          </w:p>
        </w:tc>
        <w:tc>
          <w:tcPr>
            <w:tcW w:w="972" w:type="dxa"/>
            <w:gridSpan w:val="2"/>
            <w:tcBorders>
              <w:top w:val="nil"/>
              <w:left w:val="dashed" w:sz="4" w:space="0" w:color="auto"/>
              <w:bottom w:val="nil"/>
              <w:right w:val="nil"/>
            </w:tcBorders>
            <w:shd w:val="clear" w:color="auto" w:fill="auto"/>
            <w:noWrap/>
            <w:hideMark/>
          </w:tcPr>
          <w:p w14:paraId="5927D446" w14:textId="58304995"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0.691</w:t>
            </w:r>
          </w:p>
        </w:tc>
        <w:tc>
          <w:tcPr>
            <w:tcW w:w="972" w:type="dxa"/>
            <w:gridSpan w:val="2"/>
            <w:tcBorders>
              <w:top w:val="nil"/>
              <w:left w:val="nil"/>
              <w:bottom w:val="nil"/>
              <w:right w:val="dashed" w:sz="4" w:space="0" w:color="auto"/>
            </w:tcBorders>
            <w:shd w:val="clear" w:color="auto" w:fill="auto"/>
            <w:noWrap/>
            <w:hideMark/>
          </w:tcPr>
          <w:p w14:paraId="68075A71" w14:textId="0C868DF9"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0.005</w:t>
            </w:r>
          </w:p>
        </w:tc>
        <w:tc>
          <w:tcPr>
            <w:tcW w:w="972" w:type="dxa"/>
            <w:gridSpan w:val="2"/>
            <w:tcBorders>
              <w:top w:val="nil"/>
              <w:left w:val="dashed" w:sz="4" w:space="0" w:color="auto"/>
              <w:bottom w:val="nil"/>
              <w:right w:val="nil"/>
            </w:tcBorders>
            <w:shd w:val="clear" w:color="auto" w:fill="auto"/>
            <w:noWrap/>
            <w:vAlign w:val="bottom"/>
            <w:hideMark/>
          </w:tcPr>
          <w:p w14:paraId="7D259928" w14:textId="724C354F"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0.247</w:t>
            </w:r>
          </w:p>
        </w:tc>
        <w:tc>
          <w:tcPr>
            <w:tcW w:w="972" w:type="dxa"/>
            <w:gridSpan w:val="2"/>
            <w:tcBorders>
              <w:top w:val="nil"/>
              <w:left w:val="nil"/>
              <w:bottom w:val="nil"/>
              <w:right w:val="dashed" w:sz="4" w:space="0" w:color="auto"/>
            </w:tcBorders>
            <w:shd w:val="clear" w:color="auto" w:fill="auto"/>
            <w:noWrap/>
            <w:vAlign w:val="bottom"/>
            <w:hideMark/>
          </w:tcPr>
          <w:p w14:paraId="26719A41" w14:textId="2EA22E15"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0.010</w:t>
            </w:r>
          </w:p>
        </w:tc>
      </w:tr>
      <w:tr w:rsidR="00CF77B3" w:rsidRPr="00B669F5" w14:paraId="3F4130F1"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3E4B13B6"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2005</w:t>
            </w:r>
          </w:p>
        </w:tc>
        <w:tc>
          <w:tcPr>
            <w:tcW w:w="972" w:type="dxa"/>
            <w:gridSpan w:val="2"/>
            <w:tcBorders>
              <w:top w:val="nil"/>
              <w:left w:val="dashed" w:sz="4" w:space="0" w:color="auto"/>
              <w:bottom w:val="nil"/>
              <w:right w:val="nil"/>
            </w:tcBorders>
            <w:shd w:val="clear" w:color="auto" w:fill="auto"/>
            <w:noWrap/>
            <w:hideMark/>
          </w:tcPr>
          <w:p w14:paraId="614013D8"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0.218</w:t>
            </w:r>
          </w:p>
        </w:tc>
        <w:tc>
          <w:tcPr>
            <w:tcW w:w="972" w:type="dxa"/>
            <w:gridSpan w:val="2"/>
            <w:tcBorders>
              <w:top w:val="nil"/>
              <w:left w:val="nil"/>
              <w:bottom w:val="nil"/>
              <w:right w:val="dashed" w:sz="4" w:space="0" w:color="auto"/>
            </w:tcBorders>
            <w:shd w:val="clear" w:color="auto" w:fill="auto"/>
            <w:noWrap/>
            <w:hideMark/>
          </w:tcPr>
          <w:p w14:paraId="7246206E"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0.008</w:t>
            </w:r>
          </w:p>
        </w:tc>
        <w:tc>
          <w:tcPr>
            <w:tcW w:w="972" w:type="dxa"/>
            <w:gridSpan w:val="2"/>
            <w:tcBorders>
              <w:top w:val="nil"/>
              <w:left w:val="dashed" w:sz="4" w:space="0" w:color="auto"/>
              <w:bottom w:val="nil"/>
              <w:right w:val="nil"/>
            </w:tcBorders>
            <w:shd w:val="clear" w:color="auto" w:fill="auto"/>
            <w:noWrap/>
            <w:hideMark/>
          </w:tcPr>
          <w:p w14:paraId="0757096F" w14:textId="48D31FC1"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0.689</w:t>
            </w:r>
          </w:p>
        </w:tc>
        <w:tc>
          <w:tcPr>
            <w:tcW w:w="972" w:type="dxa"/>
            <w:gridSpan w:val="2"/>
            <w:tcBorders>
              <w:top w:val="nil"/>
              <w:left w:val="nil"/>
              <w:bottom w:val="nil"/>
              <w:right w:val="dashed" w:sz="4" w:space="0" w:color="auto"/>
            </w:tcBorders>
            <w:shd w:val="clear" w:color="auto" w:fill="auto"/>
            <w:noWrap/>
            <w:hideMark/>
          </w:tcPr>
          <w:p w14:paraId="3111A956" w14:textId="57C6DB62"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0.004</w:t>
            </w:r>
          </w:p>
        </w:tc>
        <w:tc>
          <w:tcPr>
            <w:tcW w:w="972" w:type="dxa"/>
            <w:gridSpan w:val="2"/>
            <w:tcBorders>
              <w:top w:val="nil"/>
              <w:left w:val="dashed" w:sz="4" w:space="0" w:color="auto"/>
              <w:bottom w:val="nil"/>
              <w:right w:val="nil"/>
            </w:tcBorders>
            <w:shd w:val="clear" w:color="auto" w:fill="auto"/>
            <w:noWrap/>
            <w:vAlign w:val="bottom"/>
            <w:hideMark/>
          </w:tcPr>
          <w:p w14:paraId="0D9A230F" w14:textId="7A739581"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0.262</w:t>
            </w:r>
          </w:p>
        </w:tc>
        <w:tc>
          <w:tcPr>
            <w:tcW w:w="972" w:type="dxa"/>
            <w:gridSpan w:val="2"/>
            <w:tcBorders>
              <w:top w:val="nil"/>
              <w:left w:val="nil"/>
              <w:bottom w:val="nil"/>
              <w:right w:val="dashed" w:sz="4" w:space="0" w:color="auto"/>
            </w:tcBorders>
            <w:shd w:val="clear" w:color="auto" w:fill="auto"/>
            <w:noWrap/>
            <w:vAlign w:val="bottom"/>
            <w:hideMark/>
          </w:tcPr>
          <w:p w14:paraId="6D3FAF9E" w14:textId="6732FBA9"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0.010</w:t>
            </w:r>
          </w:p>
        </w:tc>
      </w:tr>
      <w:tr w:rsidR="00CF77B3" w:rsidRPr="00B669F5" w14:paraId="00AE7D45"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42FF60CC"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2006</w:t>
            </w:r>
          </w:p>
        </w:tc>
        <w:tc>
          <w:tcPr>
            <w:tcW w:w="972" w:type="dxa"/>
            <w:gridSpan w:val="2"/>
            <w:tcBorders>
              <w:top w:val="nil"/>
              <w:left w:val="dashed" w:sz="4" w:space="0" w:color="auto"/>
              <w:bottom w:val="nil"/>
              <w:right w:val="nil"/>
            </w:tcBorders>
            <w:shd w:val="clear" w:color="auto" w:fill="auto"/>
            <w:noWrap/>
            <w:hideMark/>
          </w:tcPr>
          <w:p w14:paraId="5A314461"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0.187</w:t>
            </w:r>
          </w:p>
        </w:tc>
        <w:tc>
          <w:tcPr>
            <w:tcW w:w="972" w:type="dxa"/>
            <w:gridSpan w:val="2"/>
            <w:tcBorders>
              <w:top w:val="nil"/>
              <w:left w:val="nil"/>
              <w:bottom w:val="nil"/>
              <w:right w:val="dashed" w:sz="4" w:space="0" w:color="auto"/>
            </w:tcBorders>
            <w:shd w:val="clear" w:color="auto" w:fill="auto"/>
            <w:noWrap/>
            <w:hideMark/>
          </w:tcPr>
          <w:p w14:paraId="2F192803"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0.009</w:t>
            </w:r>
          </w:p>
        </w:tc>
        <w:tc>
          <w:tcPr>
            <w:tcW w:w="972" w:type="dxa"/>
            <w:gridSpan w:val="2"/>
            <w:tcBorders>
              <w:top w:val="nil"/>
              <w:left w:val="dashed" w:sz="4" w:space="0" w:color="auto"/>
              <w:bottom w:val="nil"/>
              <w:right w:val="nil"/>
            </w:tcBorders>
            <w:shd w:val="clear" w:color="auto" w:fill="auto"/>
            <w:noWrap/>
            <w:hideMark/>
          </w:tcPr>
          <w:p w14:paraId="7320CEB5" w14:textId="2B3CAD9A"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0.720</w:t>
            </w:r>
          </w:p>
        </w:tc>
        <w:tc>
          <w:tcPr>
            <w:tcW w:w="972" w:type="dxa"/>
            <w:gridSpan w:val="2"/>
            <w:tcBorders>
              <w:top w:val="nil"/>
              <w:left w:val="nil"/>
              <w:bottom w:val="nil"/>
              <w:right w:val="dashed" w:sz="4" w:space="0" w:color="auto"/>
            </w:tcBorders>
            <w:shd w:val="clear" w:color="auto" w:fill="auto"/>
            <w:noWrap/>
            <w:hideMark/>
          </w:tcPr>
          <w:p w14:paraId="4CA6EADE" w14:textId="1C530640"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0.004</w:t>
            </w:r>
          </w:p>
        </w:tc>
        <w:tc>
          <w:tcPr>
            <w:tcW w:w="972" w:type="dxa"/>
            <w:gridSpan w:val="2"/>
            <w:tcBorders>
              <w:top w:val="nil"/>
              <w:left w:val="dashed" w:sz="4" w:space="0" w:color="auto"/>
              <w:bottom w:val="nil"/>
              <w:right w:val="nil"/>
            </w:tcBorders>
            <w:shd w:val="clear" w:color="auto" w:fill="auto"/>
            <w:noWrap/>
            <w:vAlign w:val="bottom"/>
            <w:hideMark/>
          </w:tcPr>
          <w:p w14:paraId="3A8D1CE4" w14:textId="1775DC3B"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0.396</w:t>
            </w:r>
          </w:p>
        </w:tc>
        <w:tc>
          <w:tcPr>
            <w:tcW w:w="972" w:type="dxa"/>
            <w:gridSpan w:val="2"/>
            <w:tcBorders>
              <w:top w:val="nil"/>
              <w:left w:val="nil"/>
              <w:bottom w:val="nil"/>
              <w:right w:val="dashed" w:sz="4" w:space="0" w:color="auto"/>
            </w:tcBorders>
            <w:shd w:val="clear" w:color="auto" w:fill="auto"/>
            <w:noWrap/>
            <w:vAlign w:val="bottom"/>
            <w:hideMark/>
          </w:tcPr>
          <w:p w14:paraId="529A334A" w14:textId="3A181BED"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0.010</w:t>
            </w:r>
          </w:p>
        </w:tc>
      </w:tr>
      <w:tr w:rsidR="00CF77B3" w:rsidRPr="00B669F5" w14:paraId="5F4522F5"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41087C4F"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2007</w:t>
            </w:r>
          </w:p>
        </w:tc>
        <w:tc>
          <w:tcPr>
            <w:tcW w:w="972" w:type="dxa"/>
            <w:gridSpan w:val="2"/>
            <w:tcBorders>
              <w:top w:val="nil"/>
              <w:left w:val="dashed" w:sz="4" w:space="0" w:color="auto"/>
              <w:bottom w:val="nil"/>
              <w:right w:val="nil"/>
            </w:tcBorders>
            <w:shd w:val="clear" w:color="auto" w:fill="auto"/>
            <w:noWrap/>
            <w:hideMark/>
          </w:tcPr>
          <w:p w14:paraId="7D95BE09"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0.080</w:t>
            </w:r>
          </w:p>
        </w:tc>
        <w:tc>
          <w:tcPr>
            <w:tcW w:w="972" w:type="dxa"/>
            <w:gridSpan w:val="2"/>
            <w:tcBorders>
              <w:top w:val="nil"/>
              <w:left w:val="nil"/>
              <w:bottom w:val="nil"/>
              <w:right w:val="dashed" w:sz="4" w:space="0" w:color="auto"/>
            </w:tcBorders>
            <w:shd w:val="clear" w:color="auto" w:fill="auto"/>
            <w:noWrap/>
            <w:hideMark/>
          </w:tcPr>
          <w:p w14:paraId="74A854AE"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0.012</w:t>
            </w:r>
          </w:p>
        </w:tc>
        <w:tc>
          <w:tcPr>
            <w:tcW w:w="972" w:type="dxa"/>
            <w:gridSpan w:val="2"/>
            <w:tcBorders>
              <w:top w:val="nil"/>
              <w:left w:val="dashed" w:sz="4" w:space="0" w:color="auto"/>
              <w:bottom w:val="nil"/>
              <w:right w:val="nil"/>
            </w:tcBorders>
            <w:shd w:val="clear" w:color="auto" w:fill="auto"/>
            <w:noWrap/>
            <w:hideMark/>
          </w:tcPr>
          <w:p w14:paraId="78C58953" w14:textId="46BE0801"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0.748</w:t>
            </w:r>
          </w:p>
        </w:tc>
        <w:tc>
          <w:tcPr>
            <w:tcW w:w="972" w:type="dxa"/>
            <w:gridSpan w:val="2"/>
            <w:tcBorders>
              <w:top w:val="nil"/>
              <w:left w:val="nil"/>
              <w:bottom w:val="nil"/>
              <w:right w:val="dashed" w:sz="4" w:space="0" w:color="auto"/>
            </w:tcBorders>
            <w:shd w:val="clear" w:color="auto" w:fill="auto"/>
            <w:noWrap/>
            <w:hideMark/>
          </w:tcPr>
          <w:p w14:paraId="4D322791" w14:textId="2E1A6B58"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0.005</w:t>
            </w:r>
          </w:p>
        </w:tc>
        <w:tc>
          <w:tcPr>
            <w:tcW w:w="972" w:type="dxa"/>
            <w:gridSpan w:val="2"/>
            <w:tcBorders>
              <w:top w:val="nil"/>
              <w:left w:val="dashed" w:sz="4" w:space="0" w:color="auto"/>
              <w:bottom w:val="nil"/>
              <w:right w:val="nil"/>
            </w:tcBorders>
            <w:shd w:val="clear" w:color="auto" w:fill="auto"/>
            <w:noWrap/>
            <w:vAlign w:val="bottom"/>
            <w:hideMark/>
          </w:tcPr>
          <w:p w14:paraId="1824CD9B" w14:textId="35F435CD"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0.540</w:t>
            </w:r>
          </w:p>
        </w:tc>
        <w:tc>
          <w:tcPr>
            <w:tcW w:w="972" w:type="dxa"/>
            <w:gridSpan w:val="2"/>
            <w:tcBorders>
              <w:top w:val="nil"/>
              <w:left w:val="nil"/>
              <w:bottom w:val="nil"/>
              <w:right w:val="dashed" w:sz="4" w:space="0" w:color="auto"/>
            </w:tcBorders>
            <w:shd w:val="clear" w:color="auto" w:fill="auto"/>
            <w:noWrap/>
            <w:vAlign w:val="bottom"/>
            <w:hideMark/>
          </w:tcPr>
          <w:p w14:paraId="56F06450" w14:textId="24D091BA"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0.009</w:t>
            </w:r>
          </w:p>
        </w:tc>
      </w:tr>
      <w:tr w:rsidR="00CF77B3" w:rsidRPr="00B669F5" w14:paraId="38422DEE"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7A5AFF4C"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2008</w:t>
            </w:r>
          </w:p>
        </w:tc>
        <w:tc>
          <w:tcPr>
            <w:tcW w:w="972" w:type="dxa"/>
            <w:gridSpan w:val="2"/>
            <w:tcBorders>
              <w:top w:val="nil"/>
              <w:left w:val="dashed" w:sz="4" w:space="0" w:color="auto"/>
              <w:bottom w:val="nil"/>
              <w:right w:val="nil"/>
            </w:tcBorders>
            <w:shd w:val="clear" w:color="auto" w:fill="auto"/>
            <w:noWrap/>
            <w:hideMark/>
          </w:tcPr>
          <w:p w14:paraId="1000EED6"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0.039</w:t>
            </w:r>
          </w:p>
        </w:tc>
        <w:tc>
          <w:tcPr>
            <w:tcW w:w="972" w:type="dxa"/>
            <w:gridSpan w:val="2"/>
            <w:tcBorders>
              <w:top w:val="nil"/>
              <w:left w:val="nil"/>
              <w:bottom w:val="nil"/>
              <w:right w:val="dashed" w:sz="4" w:space="0" w:color="auto"/>
            </w:tcBorders>
            <w:shd w:val="clear" w:color="auto" w:fill="auto"/>
            <w:noWrap/>
            <w:hideMark/>
          </w:tcPr>
          <w:p w14:paraId="0ED754B2"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0.009</w:t>
            </w:r>
          </w:p>
        </w:tc>
        <w:tc>
          <w:tcPr>
            <w:tcW w:w="972" w:type="dxa"/>
            <w:gridSpan w:val="2"/>
            <w:tcBorders>
              <w:top w:val="nil"/>
              <w:left w:val="dashed" w:sz="4" w:space="0" w:color="auto"/>
              <w:bottom w:val="nil"/>
              <w:right w:val="nil"/>
            </w:tcBorders>
            <w:shd w:val="clear" w:color="auto" w:fill="auto"/>
            <w:noWrap/>
            <w:hideMark/>
          </w:tcPr>
          <w:p w14:paraId="75D8F90B" w14:textId="59F09328"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0.765</w:t>
            </w:r>
          </w:p>
        </w:tc>
        <w:tc>
          <w:tcPr>
            <w:tcW w:w="972" w:type="dxa"/>
            <w:gridSpan w:val="2"/>
            <w:tcBorders>
              <w:top w:val="nil"/>
              <w:left w:val="nil"/>
              <w:bottom w:val="nil"/>
              <w:right w:val="dashed" w:sz="4" w:space="0" w:color="auto"/>
            </w:tcBorders>
            <w:shd w:val="clear" w:color="auto" w:fill="auto"/>
            <w:noWrap/>
            <w:hideMark/>
          </w:tcPr>
          <w:p w14:paraId="1FD706AC" w14:textId="27481056"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0.004</w:t>
            </w:r>
          </w:p>
        </w:tc>
        <w:tc>
          <w:tcPr>
            <w:tcW w:w="972" w:type="dxa"/>
            <w:gridSpan w:val="2"/>
            <w:tcBorders>
              <w:top w:val="nil"/>
              <w:left w:val="dashed" w:sz="4" w:space="0" w:color="auto"/>
              <w:bottom w:val="nil"/>
              <w:right w:val="nil"/>
            </w:tcBorders>
            <w:shd w:val="clear" w:color="auto" w:fill="auto"/>
            <w:noWrap/>
            <w:vAlign w:val="bottom"/>
            <w:hideMark/>
          </w:tcPr>
          <w:p w14:paraId="1727A8B6" w14:textId="14387252"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0.615</w:t>
            </w:r>
          </w:p>
        </w:tc>
        <w:tc>
          <w:tcPr>
            <w:tcW w:w="972" w:type="dxa"/>
            <w:gridSpan w:val="2"/>
            <w:tcBorders>
              <w:top w:val="nil"/>
              <w:left w:val="nil"/>
              <w:bottom w:val="nil"/>
              <w:right w:val="dashed" w:sz="4" w:space="0" w:color="auto"/>
            </w:tcBorders>
            <w:shd w:val="clear" w:color="auto" w:fill="auto"/>
            <w:noWrap/>
            <w:vAlign w:val="bottom"/>
            <w:hideMark/>
          </w:tcPr>
          <w:p w14:paraId="678018BE" w14:textId="471CC05F"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0.008</w:t>
            </w:r>
          </w:p>
        </w:tc>
      </w:tr>
      <w:tr w:rsidR="00CF77B3" w:rsidRPr="00B669F5" w14:paraId="1C672ACD"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5DE8D56E"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2009</w:t>
            </w:r>
          </w:p>
        </w:tc>
        <w:tc>
          <w:tcPr>
            <w:tcW w:w="972" w:type="dxa"/>
            <w:gridSpan w:val="2"/>
            <w:tcBorders>
              <w:top w:val="nil"/>
              <w:left w:val="dashed" w:sz="4" w:space="0" w:color="auto"/>
              <w:bottom w:val="nil"/>
              <w:right w:val="nil"/>
            </w:tcBorders>
            <w:shd w:val="clear" w:color="auto" w:fill="auto"/>
            <w:noWrap/>
            <w:hideMark/>
          </w:tcPr>
          <w:p w14:paraId="4850D239"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0.147</w:t>
            </w:r>
          </w:p>
        </w:tc>
        <w:tc>
          <w:tcPr>
            <w:tcW w:w="972" w:type="dxa"/>
            <w:gridSpan w:val="2"/>
            <w:tcBorders>
              <w:top w:val="nil"/>
              <w:left w:val="nil"/>
              <w:bottom w:val="nil"/>
              <w:right w:val="dashed" w:sz="4" w:space="0" w:color="auto"/>
            </w:tcBorders>
            <w:shd w:val="clear" w:color="auto" w:fill="auto"/>
            <w:noWrap/>
            <w:hideMark/>
          </w:tcPr>
          <w:p w14:paraId="5F9DB8CF"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0.013</w:t>
            </w:r>
          </w:p>
        </w:tc>
        <w:tc>
          <w:tcPr>
            <w:tcW w:w="972" w:type="dxa"/>
            <w:gridSpan w:val="2"/>
            <w:tcBorders>
              <w:top w:val="nil"/>
              <w:left w:val="dashed" w:sz="4" w:space="0" w:color="auto"/>
              <w:bottom w:val="nil"/>
              <w:right w:val="nil"/>
            </w:tcBorders>
            <w:shd w:val="clear" w:color="auto" w:fill="auto"/>
            <w:noWrap/>
            <w:hideMark/>
          </w:tcPr>
          <w:p w14:paraId="40C7D0D0" w14:textId="3F2743F5"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0.670</w:t>
            </w:r>
          </w:p>
        </w:tc>
        <w:tc>
          <w:tcPr>
            <w:tcW w:w="972" w:type="dxa"/>
            <w:gridSpan w:val="2"/>
            <w:tcBorders>
              <w:top w:val="nil"/>
              <w:left w:val="nil"/>
              <w:bottom w:val="nil"/>
              <w:right w:val="dashed" w:sz="4" w:space="0" w:color="auto"/>
            </w:tcBorders>
            <w:shd w:val="clear" w:color="auto" w:fill="auto"/>
            <w:noWrap/>
            <w:hideMark/>
          </w:tcPr>
          <w:p w14:paraId="4CA29FD1" w14:textId="68AAC630"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0.005</w:t>
            </w:r>
          </w:p>
        </w:tc>
        <w:tc>
          <w:tcPr>
            <w:tcW w:w="972" w:type="dxa"/>
            <w:gridSpan w:val="2"/>
            <w:tcBorders>
              <w:top w:val="nil"/>
              <w:left w:val="dashed" w:sz="4" w:space="0" w:color="auto"/>
              <w:bottom w:val="nil"/>
              <w:right w:val="nil"/>
            </w:tcBorders>
            <w:shd w:val="clear" w:color="auto" w:fill="auto"/>
            <w:noWrap/>
            <w:vAlign w:val="bottom"/>
            <w:hideMark/>
          </w:tcPr>
          <w:p w14:paraId="15D9F01E" w14:textId="4643667E"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0.395</w:t>
            </w:r>
          </w:p>
        </w:tc>
        <w:tc>
          <w:tcPr>
            <w:tcW w:w="972" w:type="dxa"/>
            <w:gridSpan w:val="2"/>
            <w:tcBorders>
              <w:top w:val="nil"/>
              <w:left w:val="nil"/>
              <w:bottom w:val="nil"/>
              <w:right w:val="dashed" w:sz="4" w:space="0" w:color="auto"/>
            </w:tcBorders>
            <w:shd w:val="clear" w:color="auto" w:fill="auto"/>
            <w:noWrap/>
            <w:vAlign w:val="bottom"/>
            <w:hideMark/>
          </w:tcPr>
          <w:p w14:paraId="64DD648C" w14:textId="30DA7266"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0.010</w:t>
            </w:r>
          </w:p>
        </w:tc>
      </w:tr>
      <w:tr w:rsidR="00CF77B3" w:rsidRPr="00B669F5" w14:paraId="52A96736" w14:textId="77777777" w:rsidTr="00C30CD9">
        <w:trPr>
          <w:trHeight w:val="296"/>
          <w:jc w:val="center"/>
        </w:trPr>
        <w:tc>
          <w:tcPr>
            <w:tcW w:w="972" w:type="dxa"/>
            <w:tcBorders>
              <w:top w:val="nil"/>
              <w:left w:val="nil"/>
              <w:bottom w:val="nil"/>
              <w:right w:val="dashed" w:sz="4" w:space="0" w:color="auto"/>
            </w:tcBorders>
            <w:shd w:val="clear" w:color="auto" w:fill="auto"/>
            <w:noWrap/>
            <w:vAlign w:val="center"/>
            <w:hideMark/>
          </w:tcPr>
          <w:p w14:paraId="3CE1A914"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2010</w:t>
            </w:r>
          </w:p>
        </w:tc>
        <w:tc>
          <w:tcPr>
            <w:tcW w:w="972" w:type="dxa"/>
            <w:gridSpan w:val="2"/>
            <w:tcBorders>
              <w:top w:val="nil"/>
              <w:left w:val="dashed" w:sz="4" w:space="0" w:color="auto"/>
              <w:bottom w:val="nil"/>
              <w:right w:val="nil"/>
            </w:tcBorders>
            <w:shd w:val="clear" w:color="auto" w:fill="auto"/>
            <w:noWrap/>
            <w:hideMark/>
          </w:tcPr>
          <w:p w14:paraId="38203D5B"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0.192</w:t>
            </w:r>
          </w:p>
        </w:tc>
        <w:tc>
          <w:tcPr>
            <w:tcW w:w="972" w:type="dxa"/>
            <w:gridSpan w:val="2"/>
            <w:tcBorders>
              <w:top w:val="nil"/>
              <w:left w:val="nil"/>
              <w:bottom w:val="nil"/>
              <w:right w:val="dashed" w:sz="4" w:space="0" w:color="auto"/>
            </w:tcBorders>
            <w:shd w:val="clear" w:color="auto" w:fill="auto"/>
            <w:noWrap/>
            <w:hideMark/>
          </w:tcPr>
          <w:p w14:paraId="47DEA4C6"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0.009</w:t>
            </w:r>
          </w:p>
        </w:tc>
        <w:tc>
          <w:tcPr>
            <w:tcW w:w="972" w:type="dxa"/>
            <w:gridSpan w:val="2"/>
            <w:tcBorders>
              <w:top w:val="nil"/>
              <w:left w:val="dashed" w:sz="4" w:space="0" w:color="auto"/>
              <w:bottom w:val="nil"/>
              <w:right w:val="nil"/>
            </w:tcBorders>
            <w:shd w:val="clear" w:color="auto" w:fill="auto"/>
            <w:noWrap/>
            <w:hideMark/>
          </w:tcPr>
          <w:p w14:paraId="43641C2B" w14:textId="6AA343AA"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0.627</w:t>
            </w:r>
          </w:p>
        </w:tc>
        <w:tc>
          <w:tcPr>
            <w:tcW w:w="972" w:type="dxa"/>
            <w:gridSpan w:val="2"/>
            <w:tcBorders>
              <w:top w:val="nil"/>
              <w:left w:val="nil"/>
              <w:bottom w:val="nil"/>
              <w:right w:val="dashed" w:sz="4" w:space="0" w:color="auto"/>
            </w:tcBorders>
            <w:shd w:val="clear" w:color="auto" w:fill="auto"/>
            <w:noWrap/>
            <w:hideMark/>
          </w:tcPr>
          <w:p w14:paraId="72996819" w14:textId="6C6F4E8E"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0.005</w:t>
            </w:r>
          </w:p>
        </w:tc>
        <w:tc>
          <w:tcPr>
            <w:tcW w:w="972" w:type="dxa"/>
            <w:gridSpan w:val="2"/>
            <w:tcBorders>
              <w:top w:val="nil"/>
              <w:left w:val="dashed" w:sz="4" w:space="0" w:color="auto"/>
              <w:bottom w:val="nil"/>
              <w:right w:val="nil"/>
            </w:tcBorders>
            <w:shd w:val="clear" w:color="auto" w:fill="auto"/>
            <w:noWrap/>
            <w:vAlign w:val="bottom"/>
            <w:hideMark/>
          </w:tcPr>
          <w:p w14:paraId="023B760E" w14:textId="5223B339"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0.241</w:t>
            </w:r>
          </w:p>
        </w:tc>
        <w:tc>
          <w:tcPr>
            <w:tcW w:w="972" w:type="dxa"/>
            <w:gridSpan w:val="2"/>
            <w:tcBorders>
              <w:top w:val="nil"/>
              <w:left w:val="nil"/>
              <w:bottom w:val="nil"/>
              <w:right w:val="dashed" w:sz="4" w:space="0" w:color="auto"/>
            </w:tcBorders>
            <w:shd w:val="clear" w:color="auto" w:fill="auto"/>
            <w:noWrap/>
            <w:vAlign w:val="bottom"/>
            <w:hideMark/>
          </w:tcPr>
          <w:p w14:paraId="3E2CAB03" w14:textId="06C51653"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0.011</w:t>
            </w:r>
          </w:p>
        </w:tc>
      </w:tr>
      <w:tr w:rsidR="00CF77B3" w:rsidRPr="00B669F5" w14:paraId="3A56473C" w14:textId="77777777" w:rsidTr="00C30CD9">
        <w:trPr>
          <w:trHeight w:val="296"/>
          <w:jc w:val="center"/>
        </w:trPr>
        <w:tc>
          <w:tcPr>
            <w:tcW w:w="972" w:type="dxa"/>
            <w:tcBorders>
              <w:top w:val="nil"/>
              <w:left w:val="nil"/>
              <w:bottom w:val="single" w:sz="4" w:space="0" w:color="auto"/>
              <w:right w:val="dashed" w:sz="4" w:space="0" w:color="auto"/>
            </w:tcBorders>
            <w:shd w:val="clear" w:color="auto" w:fill="auto"/>
            <w:noWrap/>
            <w:vAlign w:val="center"/>
            <w:hideMark/>
          </w:tcPr>
          <w:p w14:paraId="47E95A48" w14:textId="77777777" w:rsidR="00CF77B3" w:rsidRPr="00B669F5" w:rsidRDefault="00CF77B3" w:rsidP="00CF77B3">
            <w:pPr>
              <w:spacing w:after="0" w:line="240" w:lineRule="auto"/>
              <w:rPr>
                <w:rFonts w:asciiTheme="majorBidi" w:eastAsia="Times New Roman" w:hAnsiTheme="majorBidi" w:cstheme="majorBidi"/>
                <w:color w:val="000000"/>
                <w:sz w:val="20"/>
                <w:szCs w:val="20"/>
                <w:lang w:eastAsia="zh-CN"/>
              </w:rPr>
            </w:pPr>
            <w:r w:rsidRPr="00B669F5">
              <w:rPr>
                <w:rFonts w:asciiTheme="majorBidi" w:eastAsia="Times New Roman" w:hAnsiTheme="majorBidi" w:cstheme="majorBidi"/>
                <w:color w:val="000000"/>
                <w:sz w:val="20"/>
                <w:szCs w:val="20"/>
                <w:lang w:eastAsia="zh-CN"/>
              </w:rPr>
              <w:t>2011</w:t>
            </w:r>
          </w:p>
        </w:tc>
        <w:tc>
          <w:tcPr>
            <w:tcW w:w="972" w:type="dxa"/>
            <w:gridSpan w:val="2"/>
            <w:tcBorders>
              <w:top w:val="nil"/>
              <w:left w:val="dashed" w:sz="4" w:space="0" w:color="auto"/>
              <w:bottom w:val="single" w:sz="4" w:space="0" w:color="auto"/>
              <w:right w:val="nil"/>
            </w:tcBorders>
            <w:shd w:val="clear" w:color="auto" w:fill="auto"/>
            <w:noWrap/>
            <w:hideMark/>
          </w:tcPr>
          <w:p w14:paraId="5E3969ED"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0.153</w:t>
            </w:r>
          </w:p>
        </w:tc>
        <w:tc>
          <w:tcPr>
            <w:tcW w:w="972" w:type="dxa"/>
            <w:gridSpan w:val="2"/>
            <w:tcBorders>
              <w:top w:val="nil"/>
              <w:left w:val="nil"/>
              <w:bottom w:val="single" w:sz="4" w:space="0" w:color="auto"/>
              <w:right w:val="dashed" w:sz="4" w:space="0" w:color="auto"/>
            </w:tcBorders>
            <w:shd w:val="clear" w:color="auto" w:fill="auto"/>
            <w:noWrap/>
            <w:hideMark/>
          </w:tcPr>
          <w:p w14:paraId="5BA186E8" w14:textId="7777777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711788">
              <w:rPr>
                <w:rFonts w:asciiTheme="majorBidi" w:eastAsia="Times New Roman" w:hAnsiTheme="majorBidi" w:cstheme="majorBidi"/>
                <w:color w:val="000000"/>
                <w:sz w:val="20"/>
                <w:szCs w:val="20"/>
                <w:lang w:val="en-GB" w:eastAsia="zh-CN"/>
              </w:rPr>
              <w:t>0.008</w:t>
            </w:r>
          </w:p>
        </w:tc>
        <w:tc>
          <w:tcPr>
            <w:tcW w:w="972" w:type="dxa"/>
            <w:gridSpan w:val="2"/>
            <w:tcBorders>
              <w:top w:val="nil"/>
              <w:left w:val="dashed" w:sz="4" w:space="0" w:color="auto"/>
              <w:bottom w:val="single" w:sz="4" w:space="0" w:color="auto"/>
              <w:right w:val="nil"/>
            </w:tcBorders>
            <w:shd w:val="clear" w:color="auto" w:fill="auto"/>
            <w:noWrap/>
            <w:hideMark/>
          </w:tcPr>
          <w:p w14:paraId="5EC15C01" w14:textId="0E70E827"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0.659</w:t>
            </w:r>
          </w:p>
        </w:tc>
        <w:tc>
          <w:tcPr>
            <w:tcW w:w="972" w:type="dxa"/>
            <w:gridSpan w:val="2"/>
            <w:tcBorders>
              <w:top w:val="nil"/>
              <w:left w:val="nil"/>
              <w:bottom w:val="single" w:sz="4" w:space="0" w:color="auto"/>
              <w:right w:val="dashed" w:sz="4" w:space="0" w:color="auto"/>
            </w:tcBorders>
            <w:shd w:val="clear" w:color="auto" w:fill="auto"/>
            <w:noWrap/>
            <w:hideMark/>
          </w:tcPr>
          <w:p w14:paraId="3AF37784" w14:textId="7A781DDD"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0.004</w:t>
            </w:r>
          </w:p>
        </w:tc>
        <w:tc>
          <w:tcPr>
            <w:tcW w:w="972" w:type="dxa"/>
            <w:gridSpan w:val="2"/>
            <w:tcBorders>
              <w:top w:val="nil"/>
              <w:left w:val="dashed" w:sz="4" w:space="0" w:color="auto"/>
              <w:bottom w:val="single" w:sz="4" w:space="0" w:color="auto"/>
              <w:right w:val="nil"/>
            </w:tcBorders>
            <w:shd w:val="clear" w:color="auto" w:fill="auto"/>
            <w:noWrap/>
            <w:vAlign w:val="bottom"/>
            <w:hideMark/>
          </w:tcPr>
          <w:p w14:paraId="293CE509" w14:textId="6C971696"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0.341</w:t>
            </w:r>
          </w:p>
        </w:tc>
        <w:tc>
          <w:tcPr>
            <w:tcW w:w="972" w:type="dxa"/>
            <w:gridSpan w:val="2"/>
            <w:tcBorders>
              <w:top w:val="nil"/>
              <w:left w:val="nil"/>
              <w:bottom w:val="single" w:sz="4" w:space="0" w:color="auto"/>
              <w:right w:val="dashed" w:sz="4" w:space="0" w:color="auto"/>
            </w:tcBorders>
            <w:shd w:val="clear" w:color="auto" w:fill="auto"/>
            <w:noWrap/>
            <w:vAlign w:val="bottom"/>
            <w:hideMark/>
          </w:tcPr>
          <w:p w14:paraId="202B5B32" w14:textId="70983258" w:rsidR="00CF77B3" w:rsidRPr="00E54F74" w:rsidRDefault="00CF77B3" w:rsidP="00CF77B3">
            <w:pPr>
              <w:spacing w:after="0" w:line="240" w:lineRule="auto"/>
              <w:jc w:val="center"/>
              <w:rPr>
                <w:rFonts w:asciiTheme="majorBidi" w:eastAsia="Times New Roman" w:hAnsiTheme="majorBidi" w:cstheme="majorBidi"/>
                <w:color w:val="000000"/>
                <w:sz w:val="20"/>
                <w:szCs w:val="20"/>
                <w:lang w:val="en-GB" w:eastAsia="zh-CN"/>
              </w:rPr>
            </w:pPr>
            <w:r w:rsidRPr="00CF77B3">
              <w:rPr>
                <w:rFonts w:asciiTheme="majorBidi" w:eastAsia="Times New Roman" w:hAnsiTheme="majorBidi" w:cstheme="majorBidi"/>
                <w:color w:val="000000"/>
                <w:sz w:val="20"/>
                <w:szCs w:val="20"/>
                <w:lang w:val="en-GB" w:eastAsia="zh-CN"/>
              </w:rPr>
              <w:t>0.011</w:t>
            </w:r>
          </w:p>
        </w:tc>
      </w:tr>
    </w:tbl>
    <w:p w14:paraId="1AF799DF" w14:textId="77777777" w:rsidR="007371D3" w:rsidRDefault="007371D3" w:rsidP="007371D3">
      <w:pPr>
        <w:autoSpaceDE w:val="0"/>
        <w:autoSpaceDN w:val="0"/>
        <w:adjustRightInd w:val="0"/>
        <w:spacing w:after="0" w:line="480" w:lineRule="auto"/>
        <w:rPr>
          <w:rFonts w:ascii="Times New Roman" w:hAnsi="Times New Roman" w:cs="Times New Roman"/>
          <w:sz w:val="24"/>
          <w:szCs w:val="24"/>
          <w:lang w:val="en-GB"/>
        </w:rPr>
      </w:pPr>
    </w:p>
    <w:p w14:paraId="2AD37533" w14:textId="77777777" w:rsidR="008715E8" w:rsidRDefault="008715E8" w:rsidP="001715AC">
      <w:pPr>
        <w:autoSpaceDE w:val="0"/>
        <w:autoSpaceDN w:val="0"/>
        <w:adjustRightInd w:val="0"/>
        <w:spacing w:after="0" w:line="480" w:lineRule="auto"/>
        <w:rPr>
          <w:rFonts w:ascii="Times New Roman" w:hAnsi="Times New Roman" w:cs="Times New Roman"/>
          <w:b/>
          <w:bCs/>
          <w:sz w:val="24"/>
          <w:szCs w:val="24"/>
          <w:lang w:val="en-GB"/>
        </w:rPr>
      </w:pPr>
    </w:p>
    <w:p w14:paraId="0D43F21C" w14:textId="77777777" w:rsidR="008715E8" w:rsidRDefault="008715E8" w:rsidP="001715AC">
      <w:pPr>
        <w:autoSpaceDE w:val="0"/>
        <w:autoSpaceDN w:val="0"/>
        <w:adjustRightInd w:val="0"/>
        <w:spacing w:after="0" w:line="480" w:lineRule="auto"/>
        <w:rPr>
          <w:rFonts w:ascii="Times New Roman" w:hAnsi="Times New Roman" w:cs="Times New Roman"/>
          <w:b/>
          <w:bCs/>
          <w:sz w:val="24"/>
          <w:szCs w:val="24"/>
          <w:lang w:val="en-GB"/>
        </w:rPr>
      </w:pPr>
    </w:p>
    <w:p w14:paraId="02ABC1B7" w14:textId="77777777" w:rsidR="008715E8" w:rsidRDefault="008715E8" w:rsidP="001715AC">
      <w:pPr>
        <w:autoSpaceDE w:val="0"/>
        <w:autoSpaceDN w:val="0"/>
        <w:adjustRightInd w:val="0"/>
        <w:spacing w:after="0" w:line="480" w:lineRule="auto"/>
        <w:rPr>
          <w:rFonts w:ascii="Times New Roman" w:hAnsi="Times New Roman" w:cs="Times New Roman"/>
          <w:b/>
          <w:bCs/>
          <w:sz w:val="24"/>
          <w:szCs w:val="24"/>
          <w:lang w:val="en-GB"/>
        </w:rPr>
      </w:pPr>
    </w:p>
    <w:p w14:paraId="4C8FDF15" w14:textId="5A4287FB" w:rsidR="008715E8" w:rsidRPr="008715E8" w:rsidRDefault="008715E8" w:rsidP="008715E8">
      <w:pPr>
        <w:rPr>
          <w:rFonts w:asciiTheme="majorBidi" w:hAnsiTheme="majorBidi" w:cstheme="majorBidi"/>
          <w:b/>
          <w:bCs/>
          <w:i/>
          <w:iCs/>
          <w:sz w:val="24"/>
          <w:szCs w:val="24"/>
          <w:lang w:val="en-GB"/>
        </w:rPr>
      </w:pPr>
      <w:r>
        <w:rPr>
          <w:rFonts w:asciiTheme="majorBidi" w:hAnsiTheme="majorBidi" w:cstheme="majorBidi"/>
          <w:b/>
          <w:bCs/>
          <w:i/>
          <w:iCs/>
          <w:sz w:val="24"/>
          <w:szCs w:val="24"/>
          <w:lang w:val="en-GB"/>
        </w:rPr>
        <w:t>Appendix 3</w:t>
      </w:r>
    </w:p>
    <w:p w14:paraId="48BF8118" w14:textId="49948073" w:rsidR="008715E8" w:rsidRPr="008715E8" w:rsidRDefault="008715E8" w:rsidP="008715E8">
      <w:pPr>
        <w:rPr>
          <w:rFonts w:ascii="Times New Roman" w:hAnsi="Times New Roman" w:cs="Times New Roman"/>
          <w:b/>
          <w:sz w:val="24"/>
          <w:szCs w:val="24"/>
        </w:rPr>
      </w:pPr>
      <w:r>
        <w:rPr>
          <w:rFonts w:ascii="Times New Roman" w:hAnsi="Times New Roman" w:cs="Times New Roman"/>
          <w:b/>
          <w:sz w:val="24"/>
          <w:szCs w:val="24"/>
        </w:rPr>
        <w:t>Table A.2</w:t>
      </w:r>
      <w:r w:rsidRPr="008715E8">
        <w:rPr>
          <w:rFonts w:ascii="Times New Roman" w:hAnsi="Times New Roman" w:cs="Times New Roman"/>
          <w:b/>
          <w:sz w:val="24"/>
          <w:szCs w:val="24"/>
        </w:rPr>
        <w:t xml:space="preserve"> Durbin-Wu-Hausman test for endogeneity</w:t>
      </w:r>
      <w:r w:rsidR="0015110E">
        <w:rPr>
          <w:rFonts w:ascii="Times New Roman" w:hAnsi="Times New Roman" w:cs="Times New Roman"/>
          <w:b/>
          <w:sz w:val="24"/>
          <w:szCs w:val="24"/>
        </w:rPr>
        <w:t>:</w:t>
      </w:r>
      <w:r w:rsidRPr="008715E8">
        <w:rPr>
          <w:rFonts w:ascii="Times New Roman" w:hAnsi="Times New Roman" w:cs="Times New Roman"/>
          <w:b/>
          <w:sz w:val="24"/>
          <w:szCs w:val="24"/>
        </w:rPr>
        <w:t xml:space="preserve"> Geographic Diversification vs Performance and Adj. Lerner Index</w:t>
      </w:r>
    </w:p>
    <w:tbl>
      <w:tblPr>
        <w:tblW w:w="0" w:type="auto"/>
        <w:jc w:val="center"/>
        <w:tblLayout w:type="fixed"/>
        <w:tblCellMar>
          <w:left w:w="75" w:type="dxa"/>
          <w:right w:w="75" w:type="dxa"/>
        </w:tblCellMar>
        <w:tblLook w:val="0000" w:firstRow="0" w:lastRow="0" w:firstColumn="0" w:lastColumn="0" w:noHBand="0" w:noVBand="0"/>
      </w:tblPr>
      <w:tblGrid>
        <w:gridCol w:w="3969"/>
        <w:gridCol w:w="1584"/>
        <w:gridCol w:w="1584"/>
        <w:gridCol w:w="1584"/>
      </w:tblGrid>
      <w:tr w:rsidR="008715E8" w14:paraId="21C4C7B4" w14:textId="77777777" w:rsidTr="001E4E58">
        <w:trPr>
          <w:jc w:val="center"/>
        </w:trPr>
        <w:tc>
          <w:tcPr>
            <w:tcW w:w="3969" w:type="dxa"/>
            <w:tcBorders>
              <w:top w:val="single" w:sz="6" w:space="0" w:color="auto"/>
              <w:left w:val="nil"/>
              <w:bottom w:val="nil"/>
              <w:right w:val="nil"/>
            </w:tcBorders>
          </w:tcPr>
          <w:p w14:paraId="75C855B3"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single" w:sz="6" w:space="0" w:color="auto"/>
              <w:left w:val="nil"/>
              <w:bottom w:val="nil"/>
              <w:right w:val="nil"/>
            </w:tcBorders>
          </w:tcPr>
          <w:p w14:paraId="218CA805"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84" w:type="dxa"/>
            <w:tcBorders>
              <w:top w:val="single" w:sz="6" w:space="0" w:color="auto"/>
              <w:left w:val="nil"/>
              <w:bottom w:val="nil"/>
              <w:right w:val="nil"/>
            </w:tcBorders>
          </w:tcPr>
          <w:p w14:paraId="2C168230"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84" w:type="dxa"/>
            <w:tcBorders>
              <w:top w:val="single" w:sz="6" w:space="0" w:color="auto"/>
              <w:left w:val="nil"/>
              <w:bottom w:val="nil"/>
              <w:right w:val="nil"/>
            </w:tcBorders>
          </w:tcPr>
          <w:p w14:paraId="768D3204"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715E8" w14:paraId="10976C01" w14:textId="77777777" w:rsidTr="001E4E58">
        <w:trPr>
          <w:jc w:val="center"/>
        </w:trPr>
        <w:tc>
          <w:tcPr>
            <w:tcW w:w="3969" w:type="dxa"/>
            <w:tcBorders>
              <w:top w:val="nil"/>
              <w:left w:val="nil"/>
              <w:bottom w:val="single" w:sz="6" w:space="0" w:color="auto"/>
              <w:right w:val="nil"/>
            </w:tcBorders>
          </w:tcPr>
          <w:p w14:paraId="152E0ECC"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VARIABLES</w:t>
            </w:r>
          </w:p>
        </w:tc>
        <w:tc>
          <w:tcPr>
            <w:tcW w:w="1584" w:type="dxa"/>
            <w:tcBorders>
              <w:top w:val="nil"/>
              <w:left w:val="nil"/>
              <w:bottom w:val="single" w:sz="6" w:space="0" w:color="auto"/>
              <w:right w:val="nil"/>
            </w:tcBorders>
          </w:tcPr>
          <w:p w14:paraId="22FA69C0"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GD</w:t>
            </w:r>
          </w:p>
        </w:tc>
        <w:tc>
          <w:tcPr>
            <w:tcW w:w="1584" w:type="dxa"/>
            <w:tcBorders>
              <w:top w:val="nil"/>
              <w:left w:val="nil"/>
              <w:bottom w:val="single" w:sz="6" w:space="0" w:color="auto"/>
              <w:right w:val="nil"/>
            </w:tcBorders>
          </w:tcPr>
          <w:p w14:paraId="7BB7A2B8"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ROA</w:t>
            </w:r>
          </w:p>
        </w:tc>
        <w:tc>
          <w:tcPr>
            <w:tcW w:w="1584" w:type="dxa"/>
            <w:tcBorders>
              <w:top w:val="nil"/>
              <w:left w:val="nil"/>
              <w:bottom w:val="single" w:sz="6" w:space="0" w:color="auto"/>
              <w:right w:val="nil"/>
            </w:tcBorders>
          </w:tcPr>
          <w:p w14:paraId="4EEA60FB"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Adjusted Lerner Index</w:t>
            </w:r>
          </w:p>
        </w:tc>
      </w:tr>
      <w:tr w:rsidR="008715E8" w14:paraId="394D1B5E" w14:textId="77777777" w:rsidTr="001E4E58">
        <w:trPr>
          <w:jc w:val="center"/>
        </w:trPr>
        <w:tc>
          <w:tcPr>
            <w:tcW w:w="3969" w:type="dxa"/>
            <w:tcBorders>
              <w:top w:val="nil"/>
              <w:left w:val="nil"/>
              <w:bottom w:val="nil"/>
              <w:right w:val="nil"/>
            </w:tcBorders>
          </w:tcPr>
          <w:p w14:paraId="1C172EA5"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40651FF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0288577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439153EA"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r>
      <w:tr w:rsidR="008715E8" w14:paraId="1AF20E1E" w14:textId="77777777" w:rsidTr="001E4E58">
        <w:trPr>
          <w:jc w:val="center"/>
        </w:trPr>
        <w:tc>
          <w:tcPr>
            <w:tcW w:w="3969" w:type="dxa"/>
            <w:tcBorders>
              <w:top w:val="nil"/>
              <w:left w:val="nil"/>
              <w:bottom w:val="nil"/>
              <w:right w:val="nil"/>
            </w:tcBorders>
          </w:tcPr>
          <w:p w14:paraId="5E1FAA15"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Bank Branches_1936</w:t>
            </w:r>
          </w:p>
        </w:tc>
        <w:tc>
          <w:tcPr>
            <w:tcW w:w="1584" w:type="dxa"/>
            <w:tcBorders>
              <w:top w:val="nil"/>
              <w:left w:val="nil"/>
              <w:bottom w:val="nil"/>
              <w:right w:val="nil"/>
            </w:tcBorders>
          </w:tcPr>
          <w:p w14:paraId="7FCCC5A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0.0134***</w:t>
            </w:r>
          </w:p>
        </w:tc>
        <w:tc>
          <w:tcPr>
            <w:tcW w:w="1584" w:type="dxa"/>
            <w:tcBorders>
              <w:top w:val="nil"/>
              <w:left w:val="nil"/>
              <w:bottom w:val="nil"/>
              <w:right w:val="nil"/>
            </w:tcBorders>
          </w:tcPr>
          <w:p w14:paraId="6DC7E305"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285D361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r>
      <w:tr w:rsidR="008715E8" w14:paraId="6EA7B8C9" w14:textId="77777777" w:rsidTr="001E4E58">
        <w:trPr>
          <w:jc w:val="center"/>
        </w:trPr>
        <w:tc>
          <w:tcPr>
            <w:tcW w:w="3969" w:type="dxa"/>
            <w:tcBorders>
              <w:top w:val="nil"/>
              <w:left w:val="nil"/>
              <w:bottom w:val="nil"/>
              <w:right w:val="nil"/>
            </w:tcBorders>
          </w:tcPr>
          <w:p w14:paraId="531459FB"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4ECCDE28"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584" w:type="dxa"/>
            <w:tcBorders>
              <w:top w:val="nil"/>
              <w:left w:val="nil"/>
              <w:bottom w:val="nil"/>
              <w:right w:val="nil"/>
            </w:tcBorders>
          </w:tcPr>
          <w:p w14:paraId="2473748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7C4B451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r>
      <w:tr w:rsidR="008715E8" w14:paraId="09715E37" w14:textId="77777777" w:rsidTr="001E4E58">
        <w:trPr>
          <w:jc w:val="center"/>
        </w:trPr>
        <w:tc>
          <w:tcPr>
            <w:tcW w:w="3969" w:type="dxa"/>
            <w:tcBorders>
              <w:top w:val="nil"/>
              <w:left w:val="nil"/>
              <w:bottom w:val="nil"/>
              <w:right w:val="nil"/>
            </w:tcBorders>
          </w:tcPr>
          <w:p w14:paraId="3368E10B"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Cooperative Banks_1936</w:t>
            </w:r>
          </w:p>
        </w:tc>
        <w:tc>
          <w:tcPr>
            <w:tcW w:w="1584" w:type="dxa"/>
            <w:tcBorders>
              <w:top w:val="nil"/>
              <w:left w:val="nil"/>
              <w:bottom w:val="nil"/>
              <w:right w:val="nil"/>
            </w:tcBorders>
          </w:tcPr>
          <w:p w14:paraId="598E3DBC"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0.1552***</w:t>
            </w:r>
          </w:p>
        </w:tc>
        <w:tc>
          <w:tcPr>
            <w:tcW w:w="1584" w:type="dxa"/>
            <w:tcBorders>
              <w:top w:val="nil"/>
              <w:left w:val="nil"/>
              <w:bottom w:val="nil"/>
              <w:right w:val="nil"/>
            </w:tcBorders>
          </w:tcPr>
          <w:p w14:paraId="40E32DDD"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66634595"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r>
      <w:tr w:rsidR="008715E8" w14:paraId="78945C95" w14:textId="77777777" w:rsidTr="001E4E58">
        <w:trPr>
          <w:jc w:val="center"/>
        </w:trPr>
        <w:tc>
          <w:tcPr>
            <w:tcW w:w="3969" w:type="dxa"/>
            <w:tcBorders>
              <w:top w:val="nil"/>
              <w:left w:val="nil"/>
              <w:bottom w:val="nil"/>
              <w:right w:val="nil"/>
            </w:tcBorders>
          </w:tcPr>
          <w:p w14:paraId="5D382BD6"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4EF69200"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[0.043]</w:t>
            </w:r>
          </w:p>
        </w:tc>
        <w:tc>
          <w:tcPr>
            <w:tcW w:w="1584" w:type="dxa"/>
            <w:tcBorders>
              <w:top w:val="nil"/>
              <w:left w:val="nil"/>
              <w:bottom w:val="nil"/>
              <w:right w:val="nil"/>
            </w:tcBorders>
          </w:tcPr>
          <w:p w14:paraId="644BDAF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4D1D500A"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r>
      <w:tr w:rsidR="008715E8" w14:paraId="359E8C6A" w14:textId="77777777" w:rsidTr="001E4E58">
        <w:trPr>
          <w:jc w:val="center"/>
        </w:trPr>
        <w:tc>
          <w:tcPr>
            <w:tcW w:w="3969" w:type="dxa"/>
            <w:tcBorders>
              <w:top w:val="nil"/>
              <w:left w:val="nil"/>
              <w:bottom w:val="nil"/>
              <w:right w:val="nil"/>
            </w:tcBorders>
          </w:tcPr>
          <w:p w14:paraId="6EB0AEDF"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GD</w:t>
            </w:r>
          </w:p>
        </w:tc>
        <w:tc>
          <w:tcPr>
            <w:tcW w:w="1584" w:type="dxa"/>
            <w:tcBorders>
              <w:top w:val="nil"/>
              <w:left w:val="nil"/>
              <w:bottom w:val="nil"/>
              <w:right w:val="nil"/>
            </w:tcBorders>
          </w:tcPr>
          <w:p w14:paraId="0B318CD6"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06F4AFE8"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-0.0005</w:t>
            </w:r>
          </w:p>
        </w:tc>
        <w:tc>
          <w:tcPr>
            <w:tcW w:w="1584" w:type="dxa"/>
            <w:tcBorders>
              <w:top w:val="nil"/>
              <w:left w:val="nil"/>
              <w:bottom w:val="nil"/>
              <w:right w:val="nil"/>
            </w:tcBorders>
          </w:tcPr>
          <w:p w14:paraId="740D19AA"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-0.0231</w:t>
            </w:r>
          </w:p>
        </w:tc>
      </w:tr>
      <w:tr w:rsidR="008715E8" w14:paraId="7C62EB4B" w14:textId="77777777" w:rsidTr="001E4E58">
        <w:trPr>
          <w:jc w:val="center"/>
        </w:trPr>
        <w:tc>
          <w:tcPr>
            <w:tcW w:w="3969" w:type="dxa"/>
            <w:tcBorders>
              <w:top w:val="nil"/>
              <w:left w:val="nil"/>
              <w:bottom w:val="nil"/>
              <w:right w:val="nil"/>
            </w:tcBorders>
          </w:tcPr>
          <w:p w14:paraId="1E7D8983"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5111399C"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1CDBF967"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584" w:type="dxa"/>
            <w:tcBorders>
              <w:top w:val="nil"/>
              <w:left w:val="nil"/>
              <w:bottom w:val="nil"/>
              <w:right w:val="nil"/>
            </w:tcBorders>
          </w:tcPr>
          <w:p w14:paraId="3DFBB531"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[0.026]</w:t>
            </w:r>
          </w:p>
        </w:tc>
      </w:tr>
      <w:tr w:rsidR="008715E8" w14:paraId="75BFD40A" w14:textId="77777777" w:rsidTr="001E4E58">
        <w:trPr>
          <w:jc w:val="center"/>
        </w:trPr>
        <w:tc>
          <w:tcPr>
            <w:tcW w:w="3969" w:type="dxa"/>
            <w:tcBorders>
              <w:top w:val="nil"/>
              <w:left w:val="nil"/>
              <w:bottom w:val="nil"/>
              <w:right w:val="nil"/>
            </w:tcBorders>
          </w:tcPr>
          <w:p w14:paraId="79E99BEC"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MCw</w:t>
            </w:r>
          </w:p>
        </w:tc>
        <w:tc>
          <w:tcPr>
            <w:tcW w:w="1584" w:type="dxa"/>
            <w:tcBorders>
              <w:top w:val="nil"/>
              <w:left w:val="nil"/>
              <w:bottom w:val="nil"/>
              <w:right w:val="nil"/>
            </w:tcBorders>
          </w:tcPr>
          <w:p w14:paraId="120F9A5C"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0.2508</w:t>
            </w:r>
          </w:p>
        </w:tc>
        <w:tc>
          <w:tcPr>
            <w:tcW w:w="1584" w:type="dxa"/>
            <w:tcBorders>
              <w:top w:val="nil"/>
              <w:left w:val="nil"/>
              <w:bottom w:val="nil"/>
              <w:right w:val="nil"/>
            </w:tcBorders>
          </w:tcPr>
          <w:p w14:paraId="7BA16501"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-0.0328</w:t>
            </w:r>
          </w:p>
        </w:tc>
        <w:tc>
          <w:tcPr>
            <w:tcW w:w="1584" w:type="dxa"/>
            <w:tcBorders>
              <w:top w:val="nil"/>
              <w:left w:val="nil"/>
              <w:bottom w:val="nil"/>
              <w:right w:val="nil"/>
            </w:tcBorders>
          </w:tcPr>
          <w:p w14:paraId="79ACD04B" w14:textId="07D9ADF4" w:rsidR="008715E8" w:rsidRDefault="005330C9"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-0.6965</w:t>
            </w:r>
          </w:p>
        </w:tc>
      </w:tr>
      <w:tr w:rsidR="008715E8" w14:paraId="7F0BC3CE" w14:textId="77777777" w:rsidTr="001E4E58">
        <w:trPr>
          <w:jc w:val="center"/>
        </w:trPr>
        <w:tc>
          <w:tcPr>
            <w:tcW w:w="3969" w:type="dxa"/>
            <w:tcBorders>
              <w:top w:val="nil"/>
              <w:left w:val="nil"/>
              <w:bottom w:val="nil"/>
              <w:right w:val="nil"/>
            </w:tcBorders>
          </w:tcPr>
          <w:p w14:paraId="5B367B24"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541F097D"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[0.159]</w:t>
            </w:r>
          </w:p>
        </w:tc>
        <w:tc>
          <w:tcPr>
            <w:tcW w:w="1584" w:type="dxa"/>
            <w:tcBorders>
              <w:top w:val="nil"/>
              <w:left w:val="nil"/>
              <w:bottom w:val="nil"/>
              <w:right w:val="nil"/>
            </w:tcBorders>
          </w:tcPr>
          <w:p w14:paraId="45BBF273"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[0.025]</w:t>
            </w:r>
          </w:p>
        </w:tc>
        <w:tc>
          <w:tcPr>
            <w:tcW w:w="1584" w:type="dxa"/>
            <w:tcBorders>
              <w:top w:val="nil"/>
              <w:left w:val="nil"/>
              <w:bottom w:val="nil"/>
              <w:right w:val="nil"/>
            </w:tcBorders>
          </w:tcPr>
          <w:p w14:paraId="56511126"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[0.356]</w:t>
            </w:r>
          </w:p>
        </w:tc>
      </w:tr>
      <w:tr w:rsidR="008715E8" w14:paraId="247E1F3C" w14:textId="77777777" w:rsidTr="001E4E58">
        <w:trPr>
          <w:jc w:val="center"/>
        </w:trPr>
        <w:tc>
          <w:tcPr>
            <w:tcW w:w="3969" w:type="dxa"/>
            <w:tcBorders>
              <w:top w:val="nil"/>
              <w:left w:val="nil"/>
              <w:bottom w:val="nil"/>
              <w:right w:val="nil"/>
            </w:tcBorders>
          </w:tcPr>
          <w:p w14:paraId="0163B059"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NPLs</w:t>
            </w:r>
          </w:p>
        </w:tc>
        <w:tc>
          <w:tcPr>
            <w:tcW w:w="1584" w:type="dxa"/>
            <w:tcBorders>
              <w:top w:val="nil"/>
              <w:left w:val="nil"/>
              <w:bottom w:val="nil"/>
              <w:right w:val="nil"/>
            </w:tcBorders>
          </w:tcPr>
          <w:p w14:paraId="6870F935"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-0.0557</w:t>
            </w:r>
          </w:p>
        </w:tc>
        <w:tc>
          <w:tcPr>
            <w:tcW w:w="1584" w:type="dxa"/>
            <w:tcBorders>
              <w:top w:val="nil"/>
              <w:left w:val="nil"/>
              <w:bottom w:val="nil"/>
              <w:right w:val="nil"/>
            </w:tcBorders>
          </w:tcPr>
          <w:p w14:paraId="51154CE8"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-0.0400***</w:t>
            </w:r>
          </w:p>
        </w:tc>
        <w:tc>
          <w:tcPr>
            <w:tcW w:w="1584" w:type="dxa"/>
            <w:tcBorders>
              <w:top w:val="nil"/>
              <w:left w:val="nil"/>
              <w:bottom w:val="nil"/>
              <w:right w:val="nil"/>
            </w:tcBorders>
          </w:tcPr>
          <w:p w14:paraId="39343FBE"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-0.0201</w:t>
            </w:r>
          </w:p>
        </w:tc>
      </w:tr>
      <w:tr w:rsidR="008715E8" w14:paraId="265530DC" w14:textId="77777777" w:rsidTr="001E4E58">
        <w:trPr>
          <w:jc w:val="center"/>
        </w:trPr>
        <w:tc>
          <w:tcPr>
            <w:tcW w:w="3969" w:type="dxa"/>
            <w:tcBorders>
              <w:top w:val="nil"/>
              <w:left w:val="nil"/>
              <w:bottom w:val="nil"/>
              <w:right w:val="nil"/>
            </w:tcBorders>
          </w:tcPr>
          <w:p w14:paraId="15811804"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1483156B"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[0.072]</w:t>
            </w:r>
          </w:p>
        </w:tc>
        <w:tc>
          <w:tcPr>
            <w:tcW w:w="1584" w:type="dxa"/>
            <w:tcBorders>
              <w:top w:val="nil"/>
              <w:left w:val="nil"/>
              <w:bottom w:val="nil"/>
              <w:right w:val="nil"/>
            </w:tcBorders>
          </w:tcPr>
          <w:p w14:paraId="03D953A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c>
          <w:tcPr>
            <w:tcW w:w="1584" w:type="dxa"/>
            <w:tcBorders>
              <w:top w:val="nil"/>
              <w:left w:val="nil"/>
              <w:bottom w:val="nil"/>
              <w:right w:val="nil"/>
            </w:tcBorders>
          </w:tcPr>
          <w:p w14:paraId="436C21B0"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[0.069]</w:t>
            </w:r>
          </w:p>
        </w:tc>
      </w:tr>
      <w:tr w:rsidR="008715E8" w14:paraId="592D29A0" w14:textId="77777777" w:rsidTr="001E4E58">
        <w:trPr>
          <w:jc w:val="center"/>
        </w:trPr>
        <w:tc>
          <w:tcPr>
            <w:tcW w:w="3969" w:type="dxa"/>
            <w:tcBorders>
              <w:top w:val="nil"/>
              <w:left w:val="nil"/>
              <w:bottom w:val="nil"/>
              <w:right w:val="nil"/>
            </w:tcBorders>
          </w:tcPr>
          <w:p w14:paraId="2D402C2F"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EQTA</w:t>
            </w:r>
          </w:p>
        </w:tc>
        <w:tc>
          <w:tcPr>
            <w:tcW w:w="1584" w:type="dxa"/>
            <w:tcBorders>
              <w:top w:val="nil"/>
              <w:left w:val="nil"/>
              <w:bottom w:val="nil"/>
              <w:right w:val="nil"/>
            </w:tcBorders>
          </w:tcPr>
          <w:p w14:paraId="11EBCCC3"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-0.2167***</w:t>
            </w:r>
          </w:p>
        </w:tc>
        <w:tc>
          <w:tcPr>
            <w:tcW w:w="1584" w:type="dxa"/>
            <w:tcBorders>
              <w:top w:val="nil"/>
              <w:left w:val="nil"/>
              <w:bottom w:val="nil"/>
              <w:right w:val="nil"/>
            </w:tcBorders>
          </w:tcPr>
          <w:p w14:paraId="1E1B057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0.0027</w:t>
            </w:r>
          </w:p>
        </w:tc>
        <w:tc>
          <w:tcPr>
            <w:tcW w:w="1584" w:type="dxa"/>
            <w:tcBorders>
              <w:top w:val="nil"/>
              <w:left w:val="nil"/>
              <w:bottom w:val="nil"/>
              <w:right w:val="nil"/>
            </w:tcBorders>
          </w:tcPr>
          <w:p w14:paraId="0DADA204"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0.0372</w:t>
            </w:r>
          </w:p>
        </w:tc>
      </w:tr>
      <w:tr w:rsidR="008715E8" w14:paraId="26E52FF9" w14:textId="77777777" w:rsidTr="001E4E58">
        <w:trPr>
          <w:jc w:val="center"/>
        </w:trPr>
        <w:tc>
          <w:tcPr>
            <w:tcW w:w="3969" w:type="dxa"/>
            <w:tcBorders>
              <w:top w:val="nil"/>
              <w:left w:val="nil"/>
              <w:bottom w:val="nil"/>
              <w:right w:val="nil"/>
            </w:tcBorders>
          </w:tcPr>
          <w:p w14:paraId="34A2C57A"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637EB7CE"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[0.064]</w:t>
            </w:r>
          </w:p>
        </w:tc>
        <w:tc>
          <w:tcPr>
            <w:tcW w:w="1584" w:type="dxa"/>
            <w:tcBorders>
              <w:top w:val="nil"/>
              <w:left w:val="nil"/>
              <w:bottom w:val="nil"/>
              <w:right w:val="nil"/>
            </w:tcBorders>
          </w:tcPr>
          <w:p w14:paraId="0F5E358D"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w:t>
            </w:r>
          </w:p>
        </w:tc>
        <w:tc>
          <w:tcPr>
            <w:tcW w:w="1584" w:type="dxa"/>
            <w:tcBorders>
              <w:top w:val="nil"/>
              <w:left w:val="nil"/>
              <w:bottom w:val="nil"/>
              <w:right w:val="nil"/>
            </w:tcBorders>
          </w:tcPr>
          <w:p w14:paraId="2C39224A"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[0.080]</w:t>
            </w:r>
          </w:p>
        </w:tc>
      </w:tr>
      <w:tr w:rsidR="008715E8" w14:paraId="0EA4B0AE" w14:textId="77777777" w:rsidTr="001E4E58">
        <w:trPr>
          <w:jc w:val="center"/>
        </w:trPr>
        <w:tc>
          <w:tcPr>
            <w:tcW w:w="3969" w:type="dxa"/>
            <w:tcBorders>
              <w:top w:val="nil"/>
              <w:left w:val="nil"/>
              <w:bottom w:val="nil"/>
              <w:right w:val="nil"/>
            </w:tcBorders>
          </w:tcPr>
          <w:p w14:paraId="416E3B0C"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ENTRY</w:t>
            </w:r>
          </w:p>
        </w:tc>
        <w:tc>
          <w:tcPr>
            <w:tcW w:w="1584" w:type="dxa"/>
            <w:tcBorders>
              <w:top w:val="nil"/>
              <w:left w:val="nil"/>
              <w:bottom w:val="nil"/>
              <w:right w:val="nil"/>
            </w:tcBorders>
          </w:tcPr>
          <w:p w14:paraId="3CDC222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0.0114***</w:t>
            </w:r>
          </w:p>
        </w:tc>
        <w:tc>
          <w:tcPr>
            <w:tcW w:w="1584" w:type="dxa"/>
            <w:tcBorders>
              <w:top w:val="nil"/>
              <w:left w:val="nil"/>
              <w:bottom w:val="nil"/>
              <w:right w:val="nil"/>
            </w:tcBorders>
          </w:tcPr>
          <w:p w14:paraId="641760D3"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0.0004***</w:t>
            </w:r>
          </w:p>
        </w:tc>
        <w:tc>
          <w:tcPr>
            <w:tcW w:w="1584" w:type="dxa"/>
            <w:tcBorders>
              <w:top w:val="nil"/>
              <w:left w:val="nil"/>
              <w:bottom w:val="nil"/>
              <w:right w:val="nil"/>
            </w:tcBorders>
          </w:tcPr>
          <w:p w14:paraId="6FEA6800"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0.0041***</w:t>
            </w:r>
          </w:p>
        </w:tc>
      </w:tr>
      <w:tr w:rsidR="008715E8" w14:paraId="6F7A43E4" w14:textId="77777777" w:rsidTr="001E4E58">
        <w:trPr>
          <w:jc w:val="center"/>
        </w:trPr>
        <w:tc>
          <w:tcPr>
            <w:tcW w:w="3969" w:type="dxa"/>
            <w:tcBorders>
              <w:top w:val="nil"/>
              <w:left w:val="nil"/>
              <w:bottom w:val="nil"/>
              <w:right w:val="nil"/>
            </w:tcBorders>
          </w:tcPr>
          <w:p w14:paraId="5F1AAD3F"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1D751FE8"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584" w:type="dxa"/>
            <w:tcBorders>
              <w:top w:val="nil"/>
              <w:left w:val="nil"/>
              <w:bottom w:val="nil"/>
              <w:right w:val="nil"/>
            </w:tcBorders>
          </w:tcPr>
          <w:p w14:paraId="3155CED7"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584" w:type="dxa"/>
            <w:tcBorders>
              <w:top w:val="nil"/>
              <w:left w:val="nil"/>
              <w:bottom w:val="nil"/>
              <w:right w:val="nil"/>
            </w:tcBorders>
          </w:tcPr>
          <w:p w14:paraId="43ECD37D"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r>
      <w:tr w:rsidR="008715E8" w14:paraId="620364C9" w14:textId="77777777" w:rsidTr="001E4E58">
        <w:trPr>
          <w:jc w:val="center"/>
        </w:trPr>
        <w:tc>
          <w:tcPr>
            <w:tcW w:w="3969" w:type="dxa"/>
            <w:tcBorders>
              <w:top w:val="nil"/>
              <w:left w:val="nil"/>
              <w:bottom w:val="nil"/>
              <w:right w:val="nil"/>
            </w:tcBorders>
          </w:tcPr>
          <w:p w14:paraId="408B67BB"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HHIw</w:t>
            </w:r>
          </w:p>
        </w:tc>
        <w:tc>
          <w:tcPr>
            <w:tcW w:w="1584" w:type="dxa"/>
            <w:tcBorders>
              <w:top w:val="nil"/>
              <w:left w:val="nil"/>
              <w:bottom w:val="nil"/>
              <w:right w:val="nil"/>
            </w:tcBorders>
          </w:tcPr>
          <w:p w14:paraId="3F174BF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0.0749</w:t>
            </w:r>
          </w:p>
        </w:tc>
        <w:tc>
          <w:tcPr>
            <w:tcW w:w="1584" w:type="dxa"/>
            <w:tcBorders>
              <w:top w:val="nil"/>
              <w:left w:val="nil"/>
              <w:bottom w:val="nil"/>
              <w:right w:val="nil"/>
            </w:tcBorders>
          </w:tcPr>
          <w:p w14:paraId="7BCA5D87"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-0.0139**</w:t>
            </w:r>
          </w:p>
        </w:tc>
        <w:tc>
          <w:tcPr>
            <w:tcW w:w="1584" w:type="dxa"/>
            <w:tcBorders>
              <w:top w:val="nil"/>
              <w:left w:val="nil"/>
              <w:bottom w:val="nil"/>
              <w:right w:val="nil"/>
            </w:tcBorders>
          </w:tcPr>
          <w:p w14:paraId="1D730E96"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0.2080**</w:t>
            </w:r>
          </w:p>
        </w:tc>
      </w:tr>
      <w:tr w:rsidR="008715E8" w14:paraId="09D83A5D" w14:textId="77777777" w:rsidTr="001E4E58">
        <w:trPr>
          <w:jc w:val="center"/>
        </w:trPr>
        <w:tc>
          <w:tcPr>
            <w:tcW w:w="3969" w:type="dxa"/>
            <w:tcBorders>
              <w:top w:val="nil"/>
              <w:left w:val="nil"/>
              <w:bottom w:val="nil"/>
              <w:right w:val="nil"/>
            </w:tcBorders>
          </w:tcPr>
          <w:p w14:paraId="373E5A1F"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6E142EB3"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[0.136]</w:t>
            </w:r>
          </w:p>
        </w:tc>
        <w:tc>
          <w:tcPr>
            <w:tcW w:w="1584" w:type="dxa"/>
            <w:tcBorders>
              <w:top w:val="nil"/>
              <w:left w:val="nil"/>
              <w:bottom w:val="nil"/>
              <w:right w:val="nil"/>
            </w:tcBorders>
          </w:tcPr>
          <w:p w14:paraId="17508842"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c>
          <w:tcPr>
            <w:tcW w:w="1584" w:type="dxa"/>
            <w:tcBorders>
              <w:top w:val="nil"/>
              <w:left w:val="nil"/>
              <w:bottom w:val="nil"/>
              <w:right w:val="nil"/>
            </w:tcBorders>
          </w:tcPr>
          <w:p w14:paraId="07880FF1"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[0.095]</w:t>
            </w:r>
          </w:p>
        </w:tc>
      </w:tr>
      <w:tr w:rsidR="008715E8" w14:paraId="54C25C8E" w14:textId="77777777" w:rsidTr="001E4E58">
        <w:trPr>
          <w:jc w:val="center"/>
        </w:trPr>
        <w:tc>
          <w:tcPr>
            <w:tcW w:w="3969" w:type="dxa"/>
            <w:tcBorders>
              <w:top w:val="nil"/>
              <w:left w:val="nil"/>
              <w:bottom w:val="nil"/>
              <w:right w:val="nil"/>
            </w:tcBorders>
          </w:tcPr>
          <w:p w14:paraId="4743C2E6"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Residuals (Model 1)</w:t>
            </w:r>
          </w:p>
        </w:tc>
        <w:tc>
          <w:tcPr>
            <w:tcW w:w="1584" w:type="dxa"/>
            <w:tcBorders>
              <w:top w:val="nil"/>
              <w:left w:val="nil"/>
              <w:bottom w:val="nil"/>
              <w:right w:val="nil"/>
            </w:tcBorders>
          </w:tcPr>
          <w:p w14:paraId="0D98C57A"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38DC9D95"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-0.0026</w:t>
            </w:r>
          </w:p>
        </w:tc>
        <w:tc>
          <w:tcPr>
            <w:tcW w:w="1584" w:type="dxa"/>
            <w:tcBorders>
              <w:top w:val="nil"/>
              <w:left w:val="nil"/>
              <w:bottom w:val="nil"/>
              <w:right w:val="nil"/>
            </w:tcBorders>
          </w:tcPr>
          <w:p w14:paraId="029622D1"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-0.0097</w:t>
            </w:r>
          </w:p>
        </w:tc>
      </w:tr>
      <w:tr w:rsidR="008715E8" w14:paraId="47B62B2A" w14:textId="77777777" w:rsidTr="001E4E58">
        <w:trPr>
          <w:jc w:val="center"/>
        </w:trPr>
        <w:tc>
          <w:tcPr>
            <w:tcW w:w="3969" w:type="dxa"/>
            <w:tcBorders>
              <w:top w:val="nil"/>
              <w:left w:val="nil"/>
              <w:bottom w:val="nil"/>
              <w:right w:val="nil"/>
            </w:tcBorders>
          </w:tcPr>
          <w:p w14:paraId="3F658902"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3545DEE7"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54852134"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584" w:type="dxa"/>
            <w:tcBorders>
              <w:top w:val="nil"/>
              <w:left w:val="nil"/>
              <w:bottom w:val="nil"/>
              <w:right w:val="nil"/>
            </w:tcBorders>
          </w:tcPr>
          <w:p w14:paraId="1257A734"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[0.041]</w:t>
            </w:r>
          </w:p>
        </w:tc>
      </w:tr>
      <w:tr w:rsidR="008715E8" w14:paraId="4CDB8EC8" w14:textId="77777777" w:rsidTr="001E4E58">
        <w:trPr>
          <w:jc w:val="center"/>
        </w:trPr>
        <w:tc>
          <w:tcPr>
            <w:tcW w:w="3969" w:type="dxa"/>
            <w:tcBorders>
              <w:top w:val="nil"/>
              <w:left w:val="nil"/>
              <w:bottom w:val="nil"/>
              <w:right w:val="nil"/>
            </w:tcBorders>
          </w:tcPr>
          <w:p w14:paraId="32A2C9B8"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Constant</w:t>
            </w:r>
          </w:p>
        </w:tc>
        <w:tc>
          <w:tcPr>
            <w:tcW w:w="1584" w:type="dxa"/>
            <w:tcBorders>
              <w:top w:val="nil"/>
              <w:left w:val="nil"/>
              <w:bottom w:val="nil"/>
              <w:right w:val="nil"/>
            </w:tcBorders>
          </w:tcPr>
          <w:p w14:paraId="2A215B0E"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0.2626***</w:t>
            </w:r>
          </w:p>
        </w:tc>
        <w:tc>
          <w:tcPr>
            <w:tcW w:w="1584" w:type="dxa"/>
            <w:tcBorders>
              <w:top w:val="nil"/>
              <w:left w:val="nil"/>
              <w:bottom w:val="nil"/>
              <w:right w:val="nil"/>
            </w:tcBorders>
          </w:tcPr>
          <w:p w14:paraId="5CAEFF4D" w14:textId="28341ED3" w:rsidR="008715E8" w:rsidRDefault="00952857"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0.0022</w:t>
            </w:r>
          </w:p>
        </w:tc>
        <w:tc>
          <w:tcPr>
            <w:tcW w:w="1584" w:type="dxa"/>
            <w:tcBorders>
              <w:top w:val="nil"/>
              <w:left w:val="nil"/>
              <w:bottom w:val="nil"/>
              <w:right w:val="nil"/>
            </w:tcBorders>
          </w:tcPr>
          <w:p w14:paraId="4085174C"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0.1329***</w:t>
            </w:r>
          </w:p>
        </w:tc>
      </w:tr>
      <w:tr w:rsidR="008715E8" w14:paraId="1E3ED48B" w14:textId="77777777" w:rsidTr="001E4E58">
        <w:trPr>
          <w:jc w:val="center"/>
        </w:trPr>
        <w:tc>
          <w:tcPr>
            <w:tcW w:w="3969" w:type="dxa"/>
            <w:tcBorders>
              <w:top w:val="nil"/>
              <w:left w:val="nil"/>
              <w:bottom w:val="nil"/>
              <w:right w:val="nil"/>
            </w:tcBorders>
          </w:tcPr>
          <w:p w14:paraId="1E017622"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391DCA46"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w:t>
            </w:r>
          </w:p>
        </w:tc>
        <w:tc>
          <w:tcPr>
            <w:tcW w:w="1584" w:type="dxa"/>
            <w:tcBorders>
              <w:top w:val="nil"/>
              <w:left w:val="nil"/>
              <w:bottom w:val="nil"/>
              <w:right w:val="nil"/>
            </w:tcBorders>
          </w:tcPr>
          <w:p w14:paraId="46E5A3B0"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584" w:type="dxa"/>
            <w:tcBorders>
              <w:top w:val="nil"/>
              <w:left w:val="nil"/>
              <w:bottom w:val="nil"/>
              <w:right w:val="nil"/>
            </w:tcBorders>
          </w:tcPr>
          <w:p w14:paraId="72C582FB"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w:t>
            </w:r>
          </w:p>
        </w:tc>
      </w:tr>
      <w:tr w:rsidR="008715E8" w14:paraId="5372F895" w14:textId="77777777" w:rsidTr="001E4E58">
        <w:trPr>
          <w:jc w:val="center"/>
        </w:trPr>
        <w:tc>
          <w:tcPr>
            <w:tcW w:w="3969" w:type="dxa"/>
            <w:tcBorders>
              <w:top w:val="nil"/>
              <w:left w:val="nil"/>
              <w:bottom w:val="nil"/>
              <w:right w:val="nil"/>
            </w:tcBorders>
          </w:tcPr>
          <w:p w14:paraId="6B6C87A0"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3D9BE8A1"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21384AB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079753B5"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r>
      <w:tr w:rsidR="008715E8" w14:paraId="53279B93" w14:textId="77777777" w:rsidTr="001E4E58">
        <w:trPr>
          <w:jc w:val="center"/>
        </w:trPr>
        <w:tc>
          <w:tcPr>
            <w:tcW w:w="3969" w:type="dxa"/>
            <w:tcBorders>
              <w:top w:val="nil"/>
              <w:left w:val="nil"/>
              <w:bottom w:val="nil"/>
              <w:right w:val="nil"/>
            </w:tcBorders>
          </w:tcPr>
          <w:p w14:paraId="7CB73DF2"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1584" w:type="dxa"/>
            <w:tcBorders>
              <w:top w:val="nil"/>
              <w:left w:val="nil"/>
              <w:bottom w:val="nil"/>
              <w:right w:val="nil"/>
            </w:tcBorders>
          </w:tcPr>
          <w:p w14:paraId="1CD07A9B"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sidRPr="00141BF2">
              <w:rPr>
                <w:rFonts w:ascii="Times New Roman" w:hAnsi="Times New Roman" w:cs="Times New Roman"/>
                <w:sz w:val="24"/>
                <w:szCs w:val="24"/>
              </w:rPr>
              <w:t>12,3</w:t>
            </w:r>
            <w:r>
              <w:rPr>
                <w:rFonts w:ascii="Times New Roman" w:hAnsi="Times New Roman" w:cs="Times New Roman"/>
                <w:sz w:val="24"/>
                <w:szCs w:val="24"/>
              </w:rPr>
              <w:t>71</w:t>
            </w:r>
          </w:p>
        </w:tc>
        <w:tc>
          <w:tcPr>
            <w:tcW w:w="1584" w:type="dxa"/>
            <w:tcBorders>
              <w:top w:val="nil"/>
              <w:left w:val="nil"/>
              <w:bottom w:val="nil"/>
              <w:right w:val="nil"/>
            </w:tcBorders>
          </w:tcPr>
          <w:p w14:paraId="04FC525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sidRPr="00141BF2">
              <w:rPr>
                <w:rFonts w:ascii="Times New Roman" w:hAnsi="Times New Roman" w:cs="Times New Roman"/>
                <w:sz w:val="24"/>
                <w:szCs w:val="24"/>
              </w:rPr>
              <w:t>12,3</w:t>
            </w:r>
            <w:r>
              <w:rPr>
                <w:rFonts w:ascii="Times New Roman" w:hAnsi="Times New Roman" w:cs="Times New Roman"/>
                <w:sz w:val="24"/>
                <w:szCs w:val="24"/>
              </w:rPr>
              <w:t>71</w:t>
            </w:r>
          </w:p>
        </w:tc>
        <w:tc>
          <w:tcPr>
            <w:tcW w:w="1584" w:type="dxa"/>
            <w:tcBorders>
              <w:top w:val="nil"/>
              <w:left w:val="nil"/>
              <w:bottom w:val="nil"/>
              <w:right w:val="nil"/>
            </w:tcBorders>
          </w:tcPr>
          <w:p w14:paraId="5EF0B39E"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sidRPr="00141BF2">
              <w:rPr>
                <w:rFonts w:ascii="Times New Roman" w:hAnsi="Times New Roman" w:cs="Times New Roman"/>
                <w:sz w:val="24"/>
                <w:szCs w:val="24"/>
              </w:rPr>
              <w:t>12,3</w:t>
            </w:r>
            <w:r>
              <w:rPr>
                <w:rFonts w:ascii="Times New Roman" w:hAnsi="Times New Roman" w:cs="Times New Roman"/>
                <w:sz w:val="24"/>
                <w:szCs w:val="24"/>
              </w:rPr>
              <w:t>71</w:t>
            </w:r>
          </w:p>
        </w:tc>
      </w:tr>
      <w:tr w:rsidR="008715E8" w14:paraId="66FFF4D2" w14:textId="77777777" w:rsidTr="001E4E58">
        <w:tblPrEx>
          <w:tblBorders>
            <w:bottom w:val="single" w:sz="6" w:space="0" w:color="auto"/>
          </w:tblBorders>
        </w:tblPrEx>
        <w:trPr>
          <w:jc w:val="center"/>
        </w:trPr>
        <w:tc>
          <w:tcPr>
            <w:tcW w:w="3969" w:type="dxa"/>
            <w:tcBorders>
              <w:top w:val="nil"/>
              <w:left w:val="nil"/>
              <w:bottom w:val="nil"/>
              <w:right w:val="nil"/>
            </w:tcBorders>
          </w:tcPr>
          <w:p w14:paraId="318834D0" w14:textId="77777777" w:rsidR="008715E8" w:rsidRPr="00AD2D53" w:rsidRDefault="008715E8" w:rsidP="001E4E58">
            <w:pPr>
              <w:widowControl w:val="0"/>
              <w:autoSpaceDE w:val="0"/>
              <w:autoSpaceDN w:val="0"/>
              <w:adjustRightInd w:val="0"/>
              <w:spacing w:after="0" w:line="240" w:lineRule="auto"/>
              <w:rPr>
                <w:rFonts w:ascii="Times New Roman" w:hAnsi="Times New Roman" w:cs="Times New Roman"/>
                <w:sz w:val="24"/>
                <w:szCs w:val="24"/>
              </w:rPr>
            </w:pPr>
            <w:r w:rsidRPr="00AD2D53">
              <w:rPr>
                <w:rFonts w:ascii="Times New Roman" w:hAnsi="Times New Roman" w:cs="Times New Roman"/>
                <w:sz w:val="24"/>
                <w:szCs w:val="24"/>
              </w:rPr>
              <w:t>TIME DUMMY</w:t>
            </w:r>
          </w:p>
        </w:tc>
        <w:tc>
          <w:tcPr>
            <w:tcW w:w="1584" w:type="dxa"/>
            <w:tcBorders>
              <w:top w:val="nil"/>
              <w:left w:val="nil"/>
              <w:bottom w:val="nil"/>
              <w:right w:val="nil"/>
            </w:tcBorders>
          </w:tcPr>
          <w:p w14:paraId="515EE44E"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584" w:type="dxa"/>
            <w:tcBorders>
              <w:top w:val="nil"/>
              <w:left w:val="nil"/>
              <w:bottom w:val="nil"/>
              <w:right w:val="nil"/>
            </w:tcBorders>
          </w:tcPr>
          <w:p w14:paraId="40696EE2"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584" w:type="dxa"/>
            <w:tcBorders>
              <w:top w:val="nil"/>
              <w:left w:val="nil"/>
              <w:bottom w:val="nil"/>
              <w:right w:val="nil"/>
            </w:tcBorders>
          </w:tcPr>
          <w:p w14:paraId="27CFB92E"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r>
      <w:tr w:rsidR="008715E8" w14:paraId="54CF4BD2" w14:textId="77777777" w:rsidTr="001E4E58">
        <w:tblPrEx>
          <w:tblBorders>
            <w:bottom w:val="single" w:sz="6" w:space="0" w:color="auto"/>
          </w:tblBorders>
        </w:tblPrEx>
        <w:trPr>
          <w:jc w:val="center"/>
        </w:trPr>
        <w:tc>
          <w:tcPr>
            <w:tcW w:w="3969" w:type="dxa"/>
            <w:tcBorders>
              <w:top w:val="nil"/>
              <w:left w:val="nil"/>
              <w:bottom w:val="single" w:sz="6" w:space="0" w:color="auto"/>
              <w:right w:val="nil"/>
            </w:tcBorders>
          </w:tcPr>
          <w:p w14:paraId="046017B3" w14:textId="77777777" w:rsidR="008715E8" w:rsidRPr="00AD2D53" w:rsidRDefault="008715E8" w:rsidP="001E4E58">
            <w:pPr>
              <w:widowControl w:val="0"/>
              <w:autoSpaceDE w:val="0"/>
              <w:autoSpaceDN w:val="0"/>
              <w:adjustRightInd w:val="0"/>
              <w:spacing w:after="0" w:line="240" w:lineRule="auto"/>
              <w:rPr>
                <w:rFonts w:ascii="Times New Roman" w:hAnsi="Times New Roman" w:cs="Times New Roman"/>
                <w:sz w:val="24"/>
                <w:szCs w:val="24"/>
              </w:rPr>
            </w:pPr>
            <w:r w:rsidRPr="00AD2D53">
              <w:rPr>
                <w:rFonts w:ascii="Times New Roman" w:hAnsi="Times New Roman" w:cs="Times New Roman"/>
                <w:sz w:val="24"/>
                <w:szCs w:val="24"/>
              </w:rPr>
              <w:t>BANK  DUMMY</w:t>
            </w:r>
          </w:p>
        </w:tc>
        <w:tc>
          <w:tcPr>
            <w:tcW w:w="1584" w:type="dxa"/>
            <w:tcBorders>
              <w:top w:val="nil"/>
              <w:left w:val="nil"/>
              <w:bottom w:val="single" w:sz="6" w:space="0" w:color="auto"/>
              <w:right w:val="nil"/>
            </w:tcBorders>
          </w:tcPr>
          <w:p w14:paraId="7579E7B8"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584" w:type="dxa"/>
            <w:tcBorders>
              <w:top w:val="nil"/>
              <w:left w:val="nil"/>
              <w:bottom w:val="single" w:sz="6" w:space="0" w:color="auto"/>
              <w:right w:val="nil"/>
            </w:tcBorders>
          </w:tcPr>
          <w:p w14:paraId="60BB78CD" w14:textId="77777777" w:rsidR="008715E8" w:rsidRPr="00327E4A"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584" w:type="dxa"/>
            <w:tcBorders>
              <w:top w:val="nil"/>
              <w:left w:val="nil"/>
              <w:bottom w:val="single" w:sz="6" w:space="0" w:color="auto"/>
              <w:right w:val="nil"/>
            </w:tcBorders>
          </w:tcPr>
          <w:p w14:paraId="13162D29" w14:textId="77777777" w:rsidR="008715E8" w:rsidRPr="00AD2D53"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r>
      <w:tr w:rsidR="008715E8" w14:paraId="0C02AFEE" w14:textId="77777777" w:rsidTr="001E4E58">
        <w:tblPrEx>
          <w:tblBorders>
            <w:bottom w:val="single" w:sz="6" w:space="0" w:color="auto"/>
          </w:tblBorders>
        </w:tblPrEx>
        <w:trPr>
          <w:jc w:val="center"/>
        </w:trPr>
        <w:tc>
          <w:tcPr>
            <w:tcW w:w="3969" w:type="dxa"/>
            <w:tcBorders>
              <w:top w:val="nil"/>
              <w:left w:val="nil"/>
              <w:bottom w:val="single" w:sz="6" w:space="0" w:color="auto"/>
              <w:right w:val="nil"/>
            </w:tcBorders>
          </w:tcPr>
          <w:p w14:paraId="2F9C8D88"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sidRPr="00763BEC">
              <w:rPr>
                <w:rFonts w:ascii="Times New Roman" w:hAnsi="Times New Roman" w:cs="Times New Roman"/>
                <w:i/>
                <w:sz w:val="24"/>
                <w:szCs w:val="24"/>
              </w:rPr>
              <w:t>Durbin-Wu-Hausman test</w:t>
            </w:r>
            <w:r>
              <w:rPr>
                <w:rFonts w:ascii="Times New Roman" w:hAnsi="Times New Roman" w:cs="Times New Roman"/>
                <w:i/>
                <w:sz w:val="24"/>
                <w:szCs w:val="24"/>
              </w:rPr>
              <w:t xml:space="preserve"> (p-value)</w:t>
            </w:r>
          </w:p>
        </w:tc>
        <w:tc>
          <w:tcPr>
            <w:tcW w:w="1584" w:type="dxa"/>
            <w:tcBorders>
              <w:top w:val="nil"/>
              <w:left w:val="nil"/>
              <w:bottom w:val="single" w:sz="6" w:space="0" w:color="auto"/>
              <w:right w:val="nil"/>
            </w:tcBorders>
          </w:tcPr>
          <w:p w14:paraId="23EE76D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single" w:sz="6" w:space="0" w:color="auto"/>
              <w:right w:val="nil"/>
            </w:tcBorders>
          </w:tcPr>
          <w:p w14:paraId="0E53020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sidRPr="00327E4A">
              <w:rPr>
                <w:rFonts w:ascii="Times New Roman" w:hAnsi="Times New Roman" w:cs="Times New Roman"/>
                <w:sz w:val="24"/>
                <w:szCs w:val="24"/>
              </w:rPr>
              <w:t>0.3182</w:t>
            </w:r>
          </w:p>
        </w:tc>
        <w:tc>
          <w:tcPr>
            <w:tcW w:w="1584" w:type="dxa"/>
            <w:tcBorders>
              <w:top w:val="nil"/>
              <w:left w:val="nil"/>
              <w:bottom w:val="single" w:sz="6" w:space="0" w:color="auto"/>
              <w:right w:val="nil"/>
            </w:tcBorders>
          </w:tcPr>
          <w:p w14:paraId="2181CF84" w14:textId="77777777" w:rsidR="008715E8" w:rsidRPr="00327E4A"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sidRPr="00AD2D53">
              <w:rPr>
                <w:rFonts w:ascii="Times New Roman" w:hAnsi="Times New Roman" w:cs="Times New Roman"/>
                <w:sz w:val="24"/>
                <w:szCs w:val="24"/>
              </w:rPr>
              <w:t>0.8134</w:t>
            </w:r>
          </w:p>
        </w:tc>
      </w:tr>
    </w:tbl>
    <w:p w14:paraId="5E24010B" w14:textId="77777777" w:rsidR="008715E8" w:rsidRDefault="008715E8" w:rsidP="008715E8">
      <w:pPr>
        <w:widowControl w:val="0"/>
        <w:autoSpaceDE w:val="0"/>
        <w:autoSpaceDN w:val="0"/>
        <w:adjustRightInd w:val="0"/>
        <w:spacing w:after="0" w:line="240" w:lineRule="auto"/>
        <w:jc w:val="both"/>
        <w:rPr>
          <w:rFonts w:ascii="Times New Roman" w:hAnsi="Times New Roman" w:cs="Times New Roman"/>
        </w:rPr>
      </w:pPr>
    </w:p>
    <w:p w14:paraId="5C03CBE2" w14:textId="6F2CBAE4" w:rsidR="008715E8" w:rsidRPr="0015110E" w:rsidRDefault="008715E8" w:rsidP="0015110E">
      <w:pPr>
        <w:widowControl w:val="0"/>
        <w:autoSpaceDE w:val="0"/>
        <w:autoSpaceDN w:val="0"/>
        <w:adjustRightInd w:val="0"/>
        <w:spacing w:after="0" w:line="240" w:lineRule="auto"/>
        <w:jc w:val="both"/>
        <w:rPr>
          <w:rFonts w:ascii="Times New Roman" w:hAnsi="Times New Roman" w:cs="Times New Roman"/>
        </w:rPr>
      </w:pPr>
      <w:r w:rsidRPr="0015110E">
        <w:rPr>
          <w:rFonts w:ascii="Times New Roman" w:hAnsi="Times New Roman" w:cs="Times New Roman"/>
          <w:b/>
        </w:rPr>
        <w:t xml:space="preserve">Note: </w:t>
      </w:r>
      <w:r w:rsidRPr="0015110E">
        <w:rPr>
          <w:rFonts w:ascii="Times New Roman" w:hAnsi="Times New Roman" w:cs="Times New Roman"/>
        </w:rPr>
        <w:t>Bank Branches_1936 (the number of branches per 10,000 inhabitants in 1936) and Cooperative Banks_1936 (the number of cooperative banks in the province per 100,000 inhabitants) are the instruments. GD is geographic diversification calculated with the Berry Index; MCw is the market coverage weighted for loan volume; NPLs is the amount of non-performing loans; EQTA is equity over total assets; ENTRY is the net number of new branches over total branches in each province; HHIw is the concentration of branches in each province weighted for loan volume. Standard errors are clustered by Bank ID and are reported in brackets.</w:t>
      </w:r>
      <w:r w:rsidR="0015110E">
        <w:rPr>
          <w:rFonts w:ascii="Times New Roman" w:hAnsi="Times New Roman" w:cs="Times New Roman"/>
        </w:rPr>
        <w:t xml:space="preserve"> </w:t>
      </w:r>
      <w:r w:rsidR="005330C9" w:rsidRPr="0015110E">
        <w:rPr>
          <w:rFonts w:ascii="Times New Roman" w:hAnsi="Times New Roman" w:cs="Times New Roman"/>
        </w:rPr>
        <w:t>All the variables are lagged. *** p&lt;0.01, ** p&lt;0.05</w:t>
      </w:r>
    </w:p>
    <w:p w14:paraId="5C35F0E4" w14:textId="77777777" w:rsidR="008715E8" w:rsidRDefault="008715E8" w:rsidP="008715E8">
      <w:pPr>
        <w:rPr>
          <w:rFonts w:ascii="Times New Roman" w:hAnsi="Times New Roman" w:cs="Times New Roman"/>
          <w:sz w:val="24"/>
          <w:szCs w:val="24"/>
          <w:u w:val="single"/>
        </w:rPr>
      </w:pPr>
    </w:p>
    <w:p w14:paraId="75B34EC1" w14:textId="77777777" w:rsidR="008715E8" w:rsidRDefault="008715E8" w:rsidP="008715E8">
      <w:pPr>
        <w:rPr>
          <w:rFonts w:ascii="Times New Roman" w:hAnsi="Times New Roman" w:cs="Times New Roman"/>
          <w:sz w:val="24"/>
          <w:szCs w:val="24"/>
        </w:rPr>
      </w:pPr>
    </w:p>
    <w:p w14:paraId="6ADD642A" w14:textId="77777777" w:rsidR="005330C9" w:rsidRDefault="005330C9" w:rsidP="008715E8">
      <w:pPr>
        <w:rPr>
          <w:rFonts w:ascii="Times New Roman" w:hAnsi="Times New Roman" w:cs="Times New Roman"/>
          <w:b/>
          <w:sz w:val="24"/>
          <w:szCs w:val="24"/>
        </w:rPr>
      </w:pPr>
    </w:p>
    <w:p w14:paraId="220AAF19" w14:textId="77777777" w:rsidR="0015110E" w:rsidRDefault="0015110E" w:rsidP="008715E8">
      <w:pPr>
        <w:rPr>
          <w:rFonts w:ascii="Times New Roman" w:hAnsi="Times New Roman" w:cs="Times New Roman"/>
          <w:b/>
          <w:sz w:val="24"/>
          <w:szCs w:val="24"/>
        </w:rPr>
      </w:pPr>
    </w:p>
    <w:p w14:paraId="1C673B90" w14:textId="545F9F09" w:rsidR="008715E8" w:rsidRPr="008715E8" w:rsidRDefault="008715E8" w:rsidP="008715E8">
      <w:pPr>
        <w:rPr>
          <w:rFonts w:ascii="Times New Roman" w:hAnsi="Times New Roman" w:cs="Times New Roman"/>
          <w:b/>
          <w:sz w:val="24"/>
          <w:szCs w:val="24"/>
        </w:rPr>
      </w:pPr>
      <w:r w:rsidRPr="008715E8">
        <w:rPr>
          <w:rFonts w:ascii="Times New Roman" w:hAnsi="Times New Roman" w:cs="Times New Roman"/>
          <w:b/>
          <w:sz w:val="24"/>
          <w:szCs w:val="24"/>
        </w:rPr>
        <w:t xml:space="preserve">Table </w:t>
      </w:r>
      <w:r w:rsidR="00C517FA">
        <w:rPr>
          <w:rFonts w:ascii="Times New Roman" w:hAnsi="Times New Roman" w:cs="Times New Roman"/>
          <w:b/>
          <w:sz w:val="24"/>
          <w:szCs w:val="24"/>
        </w:rPr>
        <w:t>A.3</w:t>
      </w:r>
      <w:r w:rsidRPr="008715E8">
        <w:rPr>
          <w:rFonts w:ascii="Times New Roman" w:hAnsi="Times New Roman" w:cs="Times New Roman"/>
          <w:b/>
          <w:sz w:val="24"/>
          <w:szCs w:val="24"/>
        </w:rPr>
        <w:t>. Durbin-W</w:t>
      </w:r>
      <w:r w:rsidR="0015110E">
        <w:rPr>
          <w:rFonts w:ascii="Times New Roman" w:hAnsi="Times New Roman" w:cs="Times New Roman"/>
          <w:b/>
          <w:sz w:val="24"/>
          <w:szCs w:val="24"/>
        </w:rPr>
        <w:t xml:space="preserve">u-Hausman test for endogeneity: </w:t>
      </w:r>
      <w:r w:rsidRPr="008715E8">
        <w:rPr>
          <w:rFonts w:ascii="Times New Roman" w:hAnsi="Times New Roman" w:cs="Times New Roman"/>
          <w:b/>
          <w:sz w:val="24"/>
          <w:szCs w:val="24"/>
        </w:rPr>
        <w:t>Distance vs Performance and Adj Lerner Index</w:t>
      </w:r>
    </w:p>
    <w:p w14:paraId="3F64C9E5" w14:textId="77777777" w:rsidR="008715E8" w:rsidRDefault="008715E8" w:rsidP="008715E8">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4111"/>
        <w:gridCol w:w="1584"/>
        <w:gridCol w:w="1584"/>
        <w:gridCol w:w="1584"/>
      </w:tblGrid>
      <w:tr w:rsidR="008715E8" w14:paraId="28FE2B28" w14:textId="77777777" w:rsidTr="001E4E58">
        <w:trPr>
          <w:jc w:val="center"/>
        </w:trPr>
        <w:tc>
          <w:tcPr>
            <w:tcW w:w="4111" w:type="dxa"/>
            <w:tcBorders>
              <w:top w:val="single" w:sz="6" w:space="0" w:color="auto"/>
              <w:left w:val="nil"/>
              <w:bottom w:val="nil"/>
              <w:right w:val="nil"/>
            </w:tcBorders>
          </w:tcPr>
          <w:p w14:paraId="18A23414"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single" w:sz="6" w:space="0" w:color="auto"/>
              <w:left w:val="nil"/>
              <w:bottom w:val="nil"/>
              <w:right w:val="nil"/>
            </w:tcBorders>
          </w:tcPr>
          <w:p w14:paraId="21B4AD9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84" w:type="dxa"/>
            <w:tcBorders>
              <w:top w:val="single" w:sz="6" w:space="0" w:color="auto"/>
              <w:left w:val="nil"/>
              <w:bottom w:val="nil"/>
              <w:right w:val="nil"/>
            </w:tcBorders>
          </w:tcPr>
          <w:p w14:paraId="2B748141"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84" w:type="dxa"/>
            <w:tcBorders>
              <w:top w:val="single" w:sz="6" w:space="0" w:color="auto"/>
              <w:left w:val="nil"/>
              <w:bottom w:val="nil"/>
              <w:right w:val="nil"/>
            </w:tcBorders>
          </w:tcPr>
          <w:p w14:paraId="2F8F56B5"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715E8" w14:paraId="7089AA40" w14:textId="77777777" w:rsidTr="001E4E58">
        <w:trPr>
          <w:jc w:val="center"/>
        </w:trPr>
        <w:tc>
          <w:tcPr>
            <w:tcW w:w="4111" w:type="dxa"/>
            <w:tcBorders>
              <w:top w:val="nil"/>
              <w:left w:val="nil"/>
              <w:bottom w:val="single" w:sz="6" w:space="0" w:color="auto"/>
              <w:right w:val="nil"/>
            </w:tcBorders>
          </w:tcPr>
          <w:p w14:paraId="39CA695C"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VARIABLES</w:t>
            </w:r>
          </w:p>
        </w:tc>
        <w:tc>
          <w:tcPr>
            <w:tcW w:w="1584" w:type="dxa"/>
            <w:tcBorders>
              <w:top w:val="nil"/>
              <w:left w:val="nil"/>
              <w:bottom w:val="single" w:sz="6" w:space="0" w:color="auto"/>
              <w:right w:val="nil"/>
            </w:tcBorders>
          </w:tcPr>
          <w:p w14:paraId="2538C15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DISTANCE</w:t>
            </w:r>
          </w:p>
        </w:tc>
        <w:tc>
          <w:tcPr>
            <w:tcW w:w="1584" w:type="dxa"/>
            <w:tcBorders>
              <w:top w:val="nil"/>
              <w:left w:val="nil"/>
              <w:bottom w:val="single" w:sz="6" w:space="0" w:color="auto"/>
              <w:right w:val="nil"/>
            </w:tcBorders>
          </w:tcPr>
          <w:p w14:paraId="0D5F0FEA"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ROA</w:t>
            </w:r>
          </w:p>
        </w:tc>
        <w:tc>
          <w:tcPr>
            <w:tcW w:w="1584" w:type="dxa"/>
            <w:tcBorders>
              <w:top w:val="nil"/>
              <w:left w:val="nil"/>
              <w:bottom w:val="single" w:sz="6" w:space="0" w:color="auto"/>
              <w:right w:val="nil"/>
            </w:tcBorders>
          </w:tcPr>
          <w:p w14:paraId="12F2328B"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Adjusted Lerner Index</w:t>
            </w:r>
          </w:p>
        </w:tc>
      </w:tr>
      <w:tr w:rsidR="008715E8" w14:paraId="2C346341" w14:textId="77777777" w:rsidTr="001E4E58">
        <w:trPr>
          <w:jc w:val="center"/>
        </w:trPr>
        <w:tc>
          <w:tcPr>
            <w:tcW w:w="4111" w:type="dxa"/>
            <w:tcBorders>
              <w:top w:val="nil"/>
              <w:left w:val="nil"/>
              <w:bottom w:val="nil"/>
              <w:right w:val="nil"/>
            </w:tcBorders>
          </w:tcPr>
          <w:p w14:paraId="6C555C72"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21C883B7"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2471D887"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3E8C6CBD"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r>
      <w:tr w:rsidR="008715E8" w14:paraId="6FEED1F1" w14:textId="77777777" w:rsidTr="001E4E58">
        <w:trPr>
          <w:jc w:val="center"/>
        </w:trPr>
        <w:tc>
          <w:tcPr>
            <w:tcW w:w="4111" w:type="dxa"/>
            <w:tcBorders>
              <w:top w:val="nil"/>
              <w:left w:val="nil"/>
              <w:bottom w:val="nil"/>
              <w:right w:val="nil"/>
            </w:tcBorders>
          </w:tcPr>
          <w:p w14:paraId="70D09139"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Bank Branches_1936</w:t>
            </w:r>
          </w:p>
        </w:tc>
        <w:tc>
          <w:tcPr>
            <w:tcW w:w="1584" w:type="dxa"/>
            <w:tcBorders>
              <w:top w:val="nil"/>
              <w:left w:val="nil"/>
              <w:bottom w:val="nil"/>
              <w:right w:val="nil"/>
            </w:tcBorders>
          </w:tcPr>
          <w:p w14:paraId="0C602508"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0.1170***</w:t>
            </w:r>
          </w:p>
        </w:tc>
        <w:tc>
          <w:tcPr>
            <w:tcW w:w="1584" w:type="dxa"/>
            <w:tcBorders>
              <w:top w:val="nil"/>
              <w:left w:val="nil"/>
              <w:bottom w:val="nil"/>
              <w:right w:val="nil"/>
            </w:tcBorders>
          </w:tcPr>
          <w:p w14:paraId="5F7957FB"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4D311B3D"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r>
      <w:tr w:rsidR="008715E8" w14:paraId="5C58FDD4" w14:textId="77777777" w:rsidTr="001E4E58">
        <w:trPr>
          <w:jc w:val="center"/>
        </w:trPr>
        <w:tc>
          <w:tcPr>
            <w:tcW w:w="4111" w:type="dxa"/>
            <w:tcBorders>
              <w:top w:val="nil"/>
              <w:left w:val="nil"/>
              <w:bottom w:val="nil"/>
              <w:right w:val="nil"/>
            </w:tcBorders>
          </w:tcPr>
          <w:p w14:paraId="37F90223"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66D3CEA8"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[0.025]</w:t>
            </w:r>
          </w:p>
        </w:tc>
        <w:tc>
          <w:tcPr>
            <w:tcW w:w="1584" w:type="dxa"/>
            <w:tcBorders>
              <w:top w:val="nil"/>
              <w:left w:val="nil"/>
              <w:bottom w:val="nil"/>
              <w:right w:val="nil"/>
            </w:tcBorders>
          </w:tcPr>
          <w:p w14:paraId="66ABE9FB"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6C3C320D"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r>
      <w:tr w:rsidR="008715E8" w14:paraId="4569523E" w14:textId="77777777" w:rsidTr="001E4E58">
        <w:trPr>
          <w:jc w:val="center"/>
        </w:trPr>
        <w:tc>
          <w:tcPr>
            <w:tcW w:w="4111" w:type="dxa"/>
            <w:tcBorders>
              <w:top w:val="nil"/>
              <w:left w:val="nil"/>
              <w:bottom w:val="nil"/>
              <w:right w:val="nil"/>
            </w:tcBorders>
          </w:tcPr>
          <w:p w14:paraId="5D0E9770"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Cooperative Banks_1936</w:t>
            </w:r>
          </w:p>
        </w:tc>
        <w:tc>
          <w:tcPr>
            <w:tcW w:w="1584" w:type="dxa"/>
            <w:tcBorders>
              <w:top w:val="nil"/>
              <w:left w:val="nil"/>
              <w:bottom w:val="nil"/>
              <w:right w:val="nil"/>
            </w:tcBorders>
          </w:tcPr>
          <w:p w14:paraId="13D49355"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1.1943***</w:t>
            </w:r>
          </w:p>
        </w:tc>
        <w:tc>
          <w:tcPr>
            <w:tcW w:w="1584" w:type="dxa"/>
            <w:tcBorders>
              <w:top w:val="nil"/>
              <w:left w:val="nil"/>
              <w:bottom w:val="nil"/>
              <w:right w:val="nil"/>
            </w:tcBorders>
          </w:tcPr>
          <w:p w14:paraId="5D24F014"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6D1B250D"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r>
      <w:tr w:rsidR="008715E8" w14:paraId="424D80A5" w14:textId="77777777" w:rsidTr="001E4E58">
        <w:trPr>
          <w:jc w:val="center"/>
        </w:trPr>
        <w:tc>
          <w:tcPr>
            <w:tcW w:w="4111" w:type="dxa"/>
            <w:tcBorders>
              <w:top w:val="nil"/>
              <w:left w:val="nil"/>
              <w:bottom w:val="nil"/>
              <w:right w:val="nil"/>
            </w:tcBorders>
          </w:tcPr>
          <w:p w14:paraId="7484EB5D"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2A463CA2"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[0.283]</w:t>
            </w:r>
          </w:p>
        </w:tc>
        <w:tc>
          <w:tcPr>
            <w:tcW w:w="1584" w:type="dxa"/>
            <w:tcBorders>
              <w:top w:val="nil"/>
              <w:left w:val="nil"/>
              <w:bottom w:val="nil"/>
              <w:right w:val="nil"/>
            </w:tcBorders>
          </w:tcPr>
          <w:p w14:paraId="6390D16A"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45BEC30C"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r>
      <w:tr w:rsidR="008715E8" w14:paraId="351456EB" w14:textId="77777777" w:rsidTr="001E4E58">
        <w:trPr>
          <w:jc w:val="center"/>
        </w:trPr>
        <w:tc>
          <w:tcPr>
            <w:tcW w:w="4111" w:type="dxa"/>
            <w:tcBorders>
              <w:top w:val="nil"/>
              <w:left w:val="nil"/>
              <w:bottom w:val="nil"/>
              <w:right w:val="nil"/>
            </w:tcBorders>
          </w:tcPr>
          <w:p w14:paraId="324D1940"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DISTANCE</w:t>
            </w:r>
          </w:p>
        </w:tc>
        <w:tc>
          <w:tcPr>
            <w:tcW w:w="1584" w:type="dxa"/>
            <w:tcBorders>
              <w:top w:val="nil"/>
              <w:left w:val="nil"/>
              <w:bottom w:val="nil"/>
              <w:right w:val="nil"/>
            </w:tcBorders>
          </w:tcPr>
          <w:p w14:paraId="52CE87E3"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583FEEEC"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-0.0002</w:t>
            </w:r>
          </w:p>
        </w:tc>
        <w:tc>
          <w:tcPr>
            <w:tcW w:w="1584" w:type="dxa"/>
            <w:tcBorders>
              <w:top w:val="nil"/>
              <w:left w:val="nil"/>
              <w:bottom w:val="nil"/>
              <w:right w:val="nil"/>
            </w:tcBorders>
          </w:tcPr>
          <w:p w14:paraId="27BDBD4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-0.0176</w:t>
            </w:r>
          </w:p>
        </w:tc>
      </w:tr>
      <w:tr w:rsidR="008715E8" w14:paraId="72C7EBE8" w14:textId="77777777" w:rsidTr="001E4E58">
        <w:trPr>
          <w:jc w:val="center"/>
        </w:trPr>
        <w:tc>
          <w:tcPr>
            <w:tcW w:w="4111" w:type="dxa"/>
            <w:tcBorders>
              <w:top w:val="nil"/>
              <w:left w:val="nil"/>
              <w:bottom w:val="nil"/>
              <w:right w:val="nil"/>
            </w:tcBorders>
          </w:tcPr>
          <w:p w14:paraId="68573954"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753F420D"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16D5D434"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584" w:type="dxa"/>
            <w:tcBorders>
              <w:top w:val="nil"/>
              <w:left w:val="nil"/>
              <w:bottom w:val="nil"/>
              <w:right w:val="nil"/>
            </w:tcBorders>
          </w:tcPr>
          <w:p w14:paraId="243A7C86"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[0.016]</w:t>
            </w:r>
          </w:p>
        </w:tc>
      </w:tr>
      <w:tr w:rsidR="008715E8" w14:paraId="538C5178" w14:textId="77777777" w:rsidTr="001E4E58">
        <w:trPr>
          <w:jc w:val="center"/>
        </w:trPr>
        <w:tc>
          <w:tcPr>
            <w:tcW w:w="4111" w:type="dxa"/>
            <w:tcBorders>
              <w:top w:val="nil"/>
              <w:left w:val="nil"/>
              <w:bottom w:val="nil"/>
              <w:right w:val="nil"/>
            </w:tcBorders>
          </w:tcPr>
          <w:p w14:paraId="7AB20B34"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MCw</w:t>
            </w:r>
          </w:p>
        </w:tc>
        <w:tc>
          <w:tcPr>
            <w:tcW w:w="1584" w:type="dxa"/>
            <w:tcBorders>
              <w:top w:val="nil"/>
              <w:left w:val="nil"/>
              <w:bottom w:val="nil"/>
              <w:right w:val="nil"/>
            </w:tcBorders>
          </w:tcPr>
          <w:p w14:paraId="1B64C7B3"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5.4417***</w:t>
            </w:r>
          </w:p>
        </w:tc>
        <w:tc>
          <w:tcPr>
            <w:tcW w:w="1584" w:type="dxa"/>
            <w:tcBorders>
              <w:top w:val="nil"/>
              <w:left w:val="nil"/>
              <w:bottom w:val="nil"/>
              <w:right w:val="nil"/>
            </w:tcBorders>
          </w:tcPr>
          <w:p w14:paraId="044DD09C"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-0.0313</w:t>
            </w:r>
          </w:p>
        </w:tc>
        <w:tc>
          <w:tcPr>
            <w:tcW w:w="1584" w:type="dxa"/>
            <w:tcBorders>
              <w:top w:val="nil"/>
              <w:left w:val="nil"/>
              <w:bottom w:val="nil"/>
              <w:right w:val="nil"/>
            </w:tcBorders>
          </w:tcPr>
          <w:p w14:paraId="38489516"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-0.5834</w:t>
            </w:r>
          </w:p>
        </w:tc>
      </w:tr>
      <w:tr w:rsidR="008715E8" w14:paraId="1CBD10EA" w14:textId="77777777" w:rsidTr="001E4E58">
        <w:trPr>
          <w:jc w:val="center"/>
        </w:trPr>
        <w:tc>
          <w:tcPr>
            <w:tcW w:w="4111" w:type="dxa"/>
            <w:tcBorders>
              <w:top w:val="nil"/>
              <w:left w:val="nil"/>
              <w:bottom w:val="nil"/>
              <w:right w:val="nil"/>
            </w:tcBorders>
          </w:tcPr>
          <w:p w14:paraId="491E58B0"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2C3D2796"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[1.745]</w:t>
            </w:r>
          </w:p>
        </w:tc>
        <w:tc>
          <w:tcPr>
            <w:tcW w:w="1584" w:type="dxa"/>
            <w:tcBorders>
              <w:top w:val="nil"/>
              <w:left w:val="nil"/>
              <w:bottom w:val="nil"/>
              <w:right w:val="nil"/>
            </w:tcBorders>
          </w:tcPr>
          <w:p w14:paraId="4124828E"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[0.022]</w:t>
            </w:r>
          </w:p>
        </w:tc>
        <w:tc>
          <w:tcPr>
            <w:tcW w:w="1584" w:type="dxa"/>
            <w:tcBorders>
              <w:top w:val="nil"/>
              <w:left w:val="nil"/>
              <w:bottom w:val="nil"/>
              <w:right w:val="nil"/>
            </w:tcBorders>
          </w:tcPr>
          <w:p w14:paraId="30B14BFE"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[0.360]</w:t>
            </w:r>
          </w:p>
        </w:tc>
      </w:tr>
      <w:tr w:rsidR="008715E8" w14:paraId="585BE612" w14:textId="77777777" w:rsidTr="001E4E58">
        <w:trPr>
          <w:jc w:val="center"/>
        </w:trPr>
        <w:tc>
          <w:tcPr>
            <w:tcW w:w="4111" w:type="dxa"/>
            <w:tcBorders>
              <w:top w:val="nil"/>
              <w:left w:val="nil"/>
              <w:bottom w:val="nil"/>
              <w:right w:val="nil"/>
            </w:tcBorders>
          </w:tcPr>
          <w:p w14:paraId="1C3E98FB"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NPLs</w:t>
            </w:r>
          </w:p>
        </w:tc>
        <w:tc>
          <w:tcPr>
            <w:tcW w:w="1584" w:type="dxa"/>
            <w:tcBorders>
              <w:top w:val="nil"/>
              <w:left w:val="nil"/>
              <w:bottom w:val="nil"/>
              <w:right w:val="nil"/>
            </w:tcBorders>
          </w:tcPr>
          <w:p w14:paraId="287FA2F6"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-1.0226</w:t>
            </w:r>
          </w:p>
        </w:tc>
        <w:tc>
          <w:tcPr>
            <w:tcW w:w="1584" w:type="dxa"/>
            <w:tcBorders>
              <w:top w:val="nil"/>
              <w:left w:val="nil"/>
              <w:bottom w:val="nil"/>
              <w:right w:val="nil"/>
            </w:tcBorders>
          </w:tcPr>
          <w:p w14:paraId="439B7FAC"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-0.0403***</w:t>
            </w:r>
          </w:p>
        </w:tc>
        <w:tc>
          <w:tcPr>
            <w:tcW w:w="1584" w:type="dxa"/>
            <w:tcBorders>
              <w:top w:val="nil"/>
              <w:left w:val="nil"/>
              <w:bottom w:val="nil"/>
              <w:right w:val="nil"/>
            </w:tcBorders>
          </w:tcPr>
          <w:p w14:paraId="3F7DCE30"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-0.0368</w:t>
            </w:r>
          </w:p>
        </w:tc>
      </w:tr>
      <w:tr w:rsidR="008715E8" w14:paraId="62AE61BF" w14:textId="77777777" w:rsidTr="001E4E58">
        <w:trPr>
          <w:jc w:val="center"/>
        </w:trPr>
        <w:tc>
          <w:tcPr>
            <w:tcW w:w="4111" w:type="dxa"/>
            <w:tcBorders>
              <w:top w:val="nil"/>
              <w:left w:val="nil"/>
              <w:bottom w:val="nil"/>
              <w:right w:val="nil"/>
            </w:tcBorders>
          </w:tcPr>
          <w:p w14:paraId="58962A30"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13DD51A0"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[0.732]</w:t>
            </w:r>
          </w:p>
        </w:tc>
        <w:tc>
          <w:tcPr>
            <w:tcW w:w="1584" w:type="dxa"/>
            <w:tcBorders>
              <w:top w:val="nil"/>
              <w:left w:val="nil"/>
              <w:bottom w:val="nil"/>
              <w:right w:val="nil"/>
            </w:tcBorders>
          </w:tcPr>
          <w:p w14:paraId="2C9126F7"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c>
          <w:tcPr>
            <w:tcW w:w="1584" w:type="dxa"/>
            <w:tcBorders>
              <w:top w:val="nil"/>
              <w:left w:val="nil"/>
              <w:bottom w:val="nil"/>
              <w:right w:val="nil"/>
            </w:tcBorders>
          </w:tcPr>
          <w:p w14:paraId="5790A247"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[0.071]</w:t>
            </w:r>
          </w:p>
        </w:tc>
      </w:tr>
      <w:tr w:rsidR="008715E8" w14:paraId="2127565A" w14:textId="77777777" w:rsidTr="001E4E58">
        <w:trPr>
          <w:jc w:val="center"/>
        </w:trPr>
        <w:tc>
          <w:tcPr>
            <w:tcW w:w="4111" w:type="dxa"/>
            <w:tcBorders>
              <w:top w:val="nil"/>
              <w:left w:val="nil"/>
              <w:bottom w:val="nil"/>
              <w:right w:val="nil"/>
            </w:tcBorders>
          </w:tcPr>
          <w:p w14:paraId="56E8C210"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EQTA</w:t>
            </w:r>
          </w:p>
        </w:tc>
        <w:tc>
          <w:tcPr>
            <w:tcW w:w="1584" w:type="dxa"/>
            <w:tcBorders>
              <w:top w:val="nil"/>
              <w:left w:val="nil"/>
              <w:bottom w:val="nil"/>
              <w:right w:val="nil"/>
            </w:tcBorders>
          </w:tcPr>
          <w:p w14:paraId="3A69CC4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-2.7392***</w:t>
            </w:r>
          </w:p>
        </w:tc>
        <w:tc>
          <w:tcPr>
            <w:tcW w:w="1584" w:type="dxa"/>
            <w:tcBorders>
              <w:top w:val="nil"/>
              <w:left w:val="nil"/>
              <w:bottom w:val="nil"/>
              <w:right w:val="nil"/>
            </w:tcBorders>
          </w:tcPr>
          <w:p w14:paraId="07CFCD24"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0.0022</w:t>
            </w:r>
          </w:p>
        </w:tc>
        <w:tc>
          <w:tcPr>
            <w:tcW w:w="1584" w:type="dxa"/>
            <w:tcBorders>
              <w:top w:val="nil"/>
              <w:left w:val="nil"/>
              <w:bottom w:val="nil"/>
              <w:right w:val="nil"/>
            </w:tcBorders>
          </w:tcPr>
          <w:p w14:paraId="49FD9AC5"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-0.0079</w:t>
            </w:r>
          </w:p>
        </w:tc>
      </w:tr>
      <w:tr w:rsidR="008715E8" w14:paraId="43DE5C00" w14:textId="77777777" w:rsidTr="001E4E58">
        <w:trPr>
          <w:jc w:val="center"/>
        </w:trPr>
        <w:tc>
          <w:tcPr>
            <w:tcW w:w="4111" w:type="dxa"/>
            <w:tcBorders>
              <w:top w:val="nil"/>
              <w:left w:val="nil"/>
              <w:bottom w:val="nil"/>
              <w:right w:val="nil"/>
            </w:tcBorders>
          </w:tcPr>
          <w:p w14:paraId="7D288BEA"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178C8C51"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[0.675]</w:t>
            </w:r>
          </w:p>
        </w:tc>
        <w:tc>
          <w:tcPr>
            <w:tcW w:w="1584" w:type="dxa"/>
            <w:tcBorders>
              <w:top w:val="nil"/>
              <w:left w:val="nil"/>
              <w:bottom w:val="nil"/>
              <w:right w:val="nil"/>
            </w:tcBorders>
          </w:tcPr>
          <w:p w14:paraId="05EFC018"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w:t>
            </w:r>
          </w:p>
        </w:tc>
        <w:tc>
          <w:tcPr>
            <w:tcW w:w="1584" w:type="dxa"/>
            <w:tcBorders>
              <w:top w:val="nil"/>
              <w:left w:val="nil"/>
              <w:bottom w:val="nil"/>
              <w:right w:val="nil"/>
            </w:tcBorders>
          </w:tcPr>
          <w:p w14:paraId="59A902D4"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[0.092]</w:t>
            </w:r>
          </w:p>
        </w:tc>
      </w:tr>
      <w:tr w:rsidR="008715E8" w14:paraId="5C1BC590" w14:textId="77777777" w:rsidTr="001E4E58">
        <w:trPr>
          <w:jc w:val="center"/>
        </w:trPr>
        <w:tc>
          <w:tcPr>
            <w:tcW w:w="4111" w:type="dxa"/>
            <w:tcBorders>
              <w:top w:val="nil"/>
              <w:left w:val="nil"/>
              <w:bottom w:val="nil"/>
              <w:right w:val="nil"/>
            </w:tcBorders>
          </w:tcPr>
          <w:p w14:paraId="447C55CC"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ENTRY</w:t>
            </w:r>
          </w:p>
        </w:tc>
        <w:tc>
          <w:tcPr>
            <w:tcW w:w="1584" w:type="dxa"/>
            <w:tcBorders>
              <w:top w:val="nil"/>
              <w:left w:val="nil"/>
              <w:bottom w:val="nil"/>
              <w:right w:val="nil"/>
            </w:tcBorders>
          </w:tcPr>
          <w:p w14:paraId="70F45F3A"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-0.0505***</w:t>
            </w:r>
          </w:p>
        </w:tc>
        <w:tc>
          <w:tcPr>
            <w:tcW w:w="1584" w:type="dxa"/>
            <w:tcBorders>
              <w:top w:val="nil"/>
              <w:left w:val="nil"/>
              <w:bottom w:val="nil"/>
              <w:right w:val="nil"/>
            </w:tcBorders>
          </w:tcPr>
          <w:p w14:paraId="69F63864"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0.0004**</w:t>
            </w:r>
          </w:p>
        </w:tc>
        <w:tc>
          <w:tcPr>
            <w:tcW w:w="1584" w:type="dxa"/>
            <w:tcBorders>
              <w:top w:val="nil"/>
              <w:left w:val="nil"/>
              <w:bottom w:val="nil"/>
              <w:right w:val="nil"/>
            </w:tcBorders>
          </w:tcPr>
          <w:p w14:paraId="25DE4C24" w14:textId="3C356AA4" w:rsidR="008715E8" w:rsidRDefault="005330C9"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0.0031</w:t>
            </w:r>
          </w:p>
        </w:tc>
      </w:tr>
      <w:tr w:rsidR="008715E8" w14:paraId="74CBB83A" w14:textId="77777777" w:rsidTr="001E4E58">
        <w:trPr>
          <w:jc w:val="center"/>
        </w:trPr>
        <w:tc>
          <w:tcPr>
            <w:tcW w:w="4111" w:type="dxa"/>
            <w:tcBorders>
              <w:top w:val="nil"/>
              <w:left w:val="nil"/>
              <w:bottom w:val="nil"/>
              <w:right w:val="nil"/>
            </w:tcBorders>
          </w:tcPr>
          <w:p w14:paraId="3076FFE7"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60440B8B"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w:t>
            </w:r>
          </w:p>
        </w:tc>
        <w:tc>
          <w:tcPr>
            <w:tcW w:w="1584" w:type="dxa"/>
            <w:tcBorders>
              <w:top w:val="nil"/>
              <w:left w:val="nil"/>
              <w:bottom w:val="nil"/>
              <w:right w:val="nil"/>
            </w:tcBorders>
          </w:tcPr>
          <w:p w14:paraId="2D7BD067"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584" w:type="dxa"/>
            <w:tcBorders>
              <w:top w:val="nil"/>
              <w:left w:val="nil"/>
              <w:bottom w:val="nil"/>
              <w:right w:val="nil"/>
            </w:tcBorders>
          </w:tcPr>
          <w:p w14:paraId="01F6D165"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r>
      <w:tr w:rsidR="008715E8" w14:paraId="610B8DEC" w14:textId="77777777" w:rsidTr="001E4E58">
        <w:trPr>
          <w:jc w:val="center"/>
        </w:trPr>
        <w:tc>
          <w:tcPr>
            <w:tcW w:w="4111" w:type="dxa"/>
            <w:tcBorders>
              <w:top w:val="nil"/>
              <w:left w:val="nil"/>
              <w:bottom w:val="nil"/>
              <w:right w:val="nil"/>
            </w:tcBorders>
          </w:tcPr>
          <w:p w14:paraId="46676D2D"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HHIw</w:t>
            </w:r>
          </w:p>
        </w:tc>
        <w:tc>
          <w:tcPr>
            <w:tcW w:w="1584" w:type="dxa"/>
            <w:tcBorders>
              <w:top w:val="nil"/>
              <w:left w:val="nil"/>
              <w:bottom w:val="nil"/>
              <w:right w:val="nil"/>
            </w:tcBorders>
          </w:tcPr>
          <w:p w14:paraId="08D43BAE"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-0.8768</w:t>
            </w:r>
          </w:p>
        </w:tc>
        <w:tc>
          <w:tcPr>
            <w:tcW w:w="1584" w:type="dxa"/>
            <w:tcBorders>
              <w:top w:val="nil"/>
              <w:left w:val="nil"/>
              <w:bottom w:val="nil"/>
              <w:right w:val="nil"/>
            </w:tcBorders>
          </w:tcPr>
          <w:p w14:paraId="51023E01"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-0.0141**</w:t>
            </w:r>
          </w:p>
        </w:tc>
        <w:tc>
          <w:tcPr>
            <w:tcW w:w="1584" w:type="dxa"/>
            <w:tcBorders>
              <w:top w:val="nil"/>
              <w:left w:val="nil"/>
              <w:bottom w:val="nil"/>
              <w:right w:val="nil"/>
            </w:tcBorders>
          </w:tcPr>
          <w:p w14:paraId="5E118441"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0.1937**</w:t>
            </w:r>
          </w:p>
        </w:tc>
      </w:tr>
      <w:tr w:rsidR="008715E8" w14:paraId="417BDF4F" w14:textId="77777777" w:rsidTr="001E4E58">
        <w:trPr>
          <w:jc w:val="center"/>
        </w:trPr>
        <w:tc>
          <w:tcPr>
            <w:tcW w:w="4111" w:type="dxa"/>
            <w:tcBorders>
              <w:top w:val="nil"/>
              <w:left w:val="nil"/>
              <w:bottom w:val="nil"/>
              <w:right w:val="nil"/>
            </w:tcBorders>
          </w:tcPr>
          <w:p w14:paraId="13508E8C"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1479555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[1.530]</w:t>
            </w:r>
          </w:p>
        </w:tc>
        <w:tc>
          <w:tcPr>
            <w:tcW w:w="1584" w:type="dxa"/>
            <w:tcBorders>
              <w:top w:val="nil"/>
              <w:left w:val="nil"/>
              <w:bottom w:val="nil"/>
              <w:right w:val="nil"/>
            </w:tcBorders>
          </w:tcPr>
          <w:p w14:paraId="0DCBEB8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c>
          <w:tcPr>
            <w:tcW w:w="1584" w:type="dxa"/>
            <w:tcBorders>
              <w:top w:val="nil"/>
              <w:left w:val="nil"/>
              <w:bottom w:val="nil"/>
              <w:right w:val="nil"/>
            </w:tcBorders>
          </w:tcPr>
          <w:p w14:paraId="63189793"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[0.091]</w:t>
            </w:r>
          </w:p>
        </w:tc>
      </w:tr>
      <w:tr w:rsidR="008715E8" w14:paraId="663D129E" w14:textId="77777777" w:rsidTr="001E4E58">
        <w:trPr>
          <w:jc w:val="center"/>
        </w:trPr>
        <w:tc>
          <w:tcPr>
            <w:tcW w:w="4111" w:type="dxa"/>
            <w:tcBorders>
              <w:top w:val="nil"/>
              <w:left w:val="nil"/>
              <w:bottom w:val="nil"/>
              <w:right w:val="nil"/>
            </w:tcBorders>
          </w:tcPr>
          <w:p w14:paraId="4832ABAC"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Residuals (Model 1)</w:t>
            </w:r>
          </w:p>
        </w:tc>
        <w:tc>
          <w:tcPr>
            <w:tcW w:w="1584" w:type="dxa"/>
            <w:tcBorders>
              <w:top w:val="nil"/>
              <w:left w:val="nil"/>
              <w:bottom w:val="nil"/>
              <w:right w:val="nil"/>
            </w:tcBorders>
          </w:tcPr>
          <w:p w14:paraId="5AF0B462"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5F44F7B4"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-0.0004</w:t>
            </w:r>
          </w:p>
        </w:tc>
        <w:tc>
          <w:tcPr>
            <w:tcW w:w="1584" w:type="dxa"/>
            <w:tcBorders>
              <w:top w:val="nil"/>
              <w:left w:val="nil"/>
              <w:bottom w:val="nil"/>
              <w:right w:val="nil"/>
            </w:tcBorders>
          </w:tcPr>
          <w:p w14:paraId="73DFA801"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0.0080</w:t>
            </w:r>
          </w:p>
        </w:tc>
      </w:tr>
      <w:tr w:rsidR="008715E8" w14:paraId="7A02BFE0" w14:textId="77777777" w:rsidTr="001E4E58">
        <w:trPr>
          <w:jc w:val="center"/>
        </w:trPr>
        <w:tc>
          <w:tcPr>
            <w:tcW w:w="4111" w:type="dxa"/>
            <w:tcBorders>
              <w:top w:val="nil"/>
              <w:left w:val="nil"/>
              <w:bottom w:val="nil"/>
              <w:right w:val="nil"/>
            </w:tcBorders>
          </w:tcPr>
          <w:p w14:paraId="500012BC"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2DDBA03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5D9F6495"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584" w:type="dxa"/>
            <w:tcBorders>
              <w:top w:val="nil"/>
              <w:left w:val="nil"/>
              <w:bottom w:val="nil"/>
              <w:right w:val="nil"/>
            </w:tcBorders>
          </w:tcPr>
          <w:p w14:paraId="46E27DD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w:t>
            </w:r>
          </w:p>
        </w:tc>
      </w:tr>
      <w:tr w:rsidR="008715E8" w14:paraId="5C869160" w14:textId="77777777" w:rsidTr="001E4E58">
        <w:trPr>
          <w:jc w:val="center"/>
        </w:trPr>
        <w:tc>
          <w:tcPr>
            <w:tcW w:w="4111" w:type="dxa"/>
            <w:tcBorders>
              <w:top w:val="nil"/>
              <w:left w:val="nil"/>
              <w:bottom w:val="nil"/>
              <w:right w:val="nil"/>
            </w:tcBorders>
          </w:tcPr>
          <w:p w14:paraId="5687F09B"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Constant</w:t>
            </w:r>
          </w:p>
        </w:tc>
        <w:tc>
          <w:tcPr>
            <w:tcW w:w="1584" w:type="dxa"/>
            <w:tcBorders>
              <w:top w:val="nil"/>
              <w:left w:val="nil"/>
              <w:bottom w:val="nil"/>
              <w:right w:val="nil"/>
            </w:tcBorders>
          </w:tcPr>
          <w:p w14:paraId="38264A71"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5.9528***</w:t>
            </w:r>
          </w:p>
        </w:tc>
        <w:tc>
          <w:tcPr>
            <w:tcW w:w="1584" w:type="dxa"/>
            <w:tcBorders>
              <w:top w:val="nil"/>
              <w:left w:val="nil"/>
              <w:bottom w:val="nil"/>
              <w:right w:val="nil"/>
            </w:tcBorders>
          </w:tcPr>
          <w:p w14:paraId="3002AC9D"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0.0036</w:t>
            </w:r>
          </w:p>
        </w:tc>
        <w:tc>
          <w:tcPr>
            <w:tcW w:w="1584" w:type="dxa"/>
            <w:tcBorders>
              <w:top w:val="nil"/>
              <w:left w:val="nil"/>
              <w:bottom w:val="nil"/>
              <w:right w:val="nil"/>
            </w:tcBorders>
          </w:tcPr>
          <w:p w14:paraId="71A4DB86"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0.2341**</w:t>
            </w:r>
          </w:p>
        </w:tc>
      </w:tr>
      <w:tr w:rsidR="008715E8" w14:paraId="514D1757" w14:textId="77777777" w:rsidTr="001E4E58">
        <w:trPr>
          <w:jc w:val="center"/>
        </w:trPr>
        <w:tc>
          <w:tcPr>
            <w:tcW w:w="4111" w:type="dxa"/>
            <w:tcBorders>
              <w:top w:val="nil"/>
              <w:left w:val="nil"/>
              <w:bottom w:val="nil"/>
              <w:right w:val="nil"/>
            </w:tcBorders>
          </w:tcPr>
          <w:p w14:paraId="3183E6B8"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2C36E854"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[0.195]</w:t>
            </w:r>
          </w:p>
        </w:tc>
        <w:tc>
          <w:tcPr>
            <w:tcW w:w="1584" w:type="dxa"/>
            <w:tcBorders>
              <w:top w:val="nil"/>
              <w:left w:val="nil"/>
              <w:bottom w:val="nil"/>
              <w:right w:val="nil"/>
            </w:tcBorders>
          </w:tcPr>
          <w:p w14:paraId="517B9CEE"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c>
          <w:tcPr>
            <w:tcW w:w="1584" w:type="dxa"/>
            <w:tcBorders>
              <w:top w:val="nil"/>
              <w:left w:val="nil"/>
              <w:bottom w:val="nil"/>
              <w:right w:val="nil"/>
            </w:tcBorders>
          </w:tcPr>
          <w:p w14:paraId="0E403C11"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[0.100]</w:t>
            </w:r>
          </w:p>
        </w:tc>
      </w:tr>
      <w:tr w:rsidR="008715E8" w14:paraId="27112804" w14:textId="77777777" w:rsidTr="001E4E58">
        <w:trPr>
          <w:jc w:val="center"/>
        </w:trPr>
        <w:tc>
          <w:tcPr>
            <w:tcW w:w="4111" w:type="dxa"/>
            <w:tcBorders>
              <w:top w:val="nil"/>
              <w:left w:val="nil"/>
              <w:bottom w:val="nil"/>
              <w:right w:val="nil"/>
            </w:tcBorders>
          </w:tcPr>
          <w:p w14:paraId="1585432B"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p>
        </w:tc>
        <w:tc>
          <w:tcPr>
            <w:tcW w:w="1584" w:type="dxa"/>
            <w:tcBorders>
              <w:top w:val="nil"/>
              <w:left w:val="nil"/>
              <w:bottom w:val="nil"/>
              <w:right w:val="nil"/>
            </w:tcBorders>
          </w:tcPr>
          <w:p w14:paraId="346E84F0"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0EEECD7F"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7A4E409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r>
      <w:tr w:rsidR="008715E8" w14:paraId="14008308" w14:textId="77777777" w:rsidTr="001E4E58">
        <w:trPr>
          <w:jc w:val="center"/>
        </w:trPr>
        <w:tc>
          <w:tcPr>
            <w:tcW w:w="4111" w:type="dxa"/>
            <w:tcBorders>
              <w:top w:val="nil"/>
              <w:left w:val="nil"/>
              <w:bottom w:val="nil"/>
              <w:right w:val="nil"/>
            </w:tcBorders>
          </w:tcPr>
          <w:p w14:paraId="5838F3CC"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1584" w:type="dxa"/>
            <w:tcBorders>
              <w:top w:val="nil"/>
              <w:left w:val="nil"/>
              <w:bottom w:val="nil"/>
              <w:right w:val="nil"/>
            </w:tcBorders>
          </w:tcPr>
          <w:p w14:paraId="1BEDCADA"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sidRPr="00141BF2">
              <w:rPr>
                <w:rFonts w:ascii="Times New Roman" w:hAnsi="Times New Roman" w:cs="Times New Roman"/>
                <w:sz w:val="24"/>
                <w:szCs w:val="24"/>
              </w:rPr>
              <w:t>12,3</w:t>
            </w:r>
            <w:r>
              <w:rPr>
                <w:rFonts w:ascii="Times New Roman" w:hAnsi="Times New Roman" w:cs="Times New Roman"/>
                <w:sz w:val="24"/>
                <w:szCs w:val="24"/>
              </w:rPr>
              <w:t>71</w:t>
            </w:r>
          </w:p>
        </w:tc>
        <w:tc>
          <w:tcPr>
            <w:tcW w:w="1584" w:type="dxa"/>
            <w:tcBorders>
              <w:top w:val="nil"/>
              <w:left w:val="nil"/>
              <w:bottom w:val="nil"/>
              <w:right w:val="nil"/>
            </w:tcBorders>
          </w:tcPr>
          <w:p w14:paraId="0C8BDCB3"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sidRPr="00141BF2">
              <w:rPr>
                <w:rFonts w:ascii="Times New Roman" w:hAnsi="Times New Roman" w:cs="Times New Roman"/>
                <w:sz w:val="24"/>
                <w:szCs w:val="24"/>
              </w:rPr>
              <w:t>12,3</w:t>
            </w:r>
            <w:r>
              <w:rPr>
                <w:rFonts w:ascii="Times New Roman" w:hAnsi="Times New Roman" w:cs="Times New Roman"/>
                <w:sz w:val="24"/>
                <w:szCs w:val="24"/>
              </w:rPr>
              <w:t>71</w:t>
            </w:r>
          </w:p>
        </w:tc>
        <w:tc>
          <w:tcPr>
            <w:tcW w:w="1584" w:type="dxa"/>
            <w:tcBorders>
              <w:top w:val="nil"/>
              <w:left w:val="nil"/>
              <w:bottom w:val="nil"/>
              <w:right w:val="nil"/>
            </w:tcBorders>
          </w:tcPr>
          <w:p w14:paraId="6C9E67C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sidRPr="00141BF2">
              <w:rPr>
                <w:rFonts w:ascii="Times New Roman" w:hAnsi="Times New Roman" w:cs="Times New Roman"/>
                <w:sz w:val="24"/>
                <w:szCs w:val="24"/>
              </w:rPr>
              <w:t>12,3</w:t>
            </w:r>
            <w:r>
              <w:rPr>
                <w:rFonts w:ascii="Times New Roman" w:hAnsi="Times New Roman" w:cs="Times New Roman"/>
                <w:sz w:val="24"/>
                <w:szCs w:val="24"/>
              </w:rPr>
              <w:t>71</w:t>
            </w:r>
          </w:p>
        </w:tc>
      </w:tr>
      <w:tr w:rsidR="008715E8" w14:paraId="6FF05C0E" w14:textId="77777777" w:rsidTr="001E4E58">
        <w:tblPrEx>
          <w:tblBorders>
            <w:bottom w:val="single" w:sz="6" w:space="0" w:color="auto"/>
          </w:tblBorders>
        </w:tblPrEx>
        <w:trPr>
          <w:jc w:val="center"/>
        </w:trPr>
        <w:tc>
          <w:tcPr>
            <w:tcW w:w="4111" w:type="dxa"/>
            <w:tcBorders>
              <w:top w:val="nil"/>
              <w:left w:val="nil"/>
              <w:bottom w:val="nil"/>
              <w:right w:val="nil"/>
            </w:tcBorders>
          </w:tcPr>
          <w:p w14:paraId="72AF8ADE"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sidRPr="00AD2D53">
              <w:rPr>
                <w:rFonts w:ascii="Times New Roman" w:hAnsi="Times New Roman" w:cs="Times New Roman"/>
                <w:sz w:val="24"/>
                <w:szCs w:val="24"/>
              </w:rPr>
              <w:t>TIME DUMMY</w:t>
            </w:r>
          </w:p>
        </w:tc>
        <w:tc>
          <w:tcPr>
            <w:tcW w:w="1584" w:type="dxa"/>
            <w:tcBorders>
              <w:top w:val="nil"/>
              <w:left w:val="nil"/>
              <w:bottom w:val="nil"/>
              <w:right w:val="nil"/>
            </w:tcBorders>
          </w:tcPr>
          <w:p w14:paraId="536F52FE"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584" w:type="dxa"/>
            <w:tcBorders>
              <w:top w:val="nil"/>
              <w:left w:val="nil"/>
              <w:bottom w:val="nil"/>
              <w:right w:val="nil"/>
            </w:tcBorders>
          </w:tcPr>
          <w:p w14:paraId="70CFCD4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584" w:type="dxa"/>
            <w:tcBorders>
              <w:top w:val="nil"/>
              <w:left w:val="nil"/>
              <w:bottom w:val="nil"/>
              <w:right w:val="nil"/>
            </w:tcBorders>
          </w:tcPr>
          <w:p w14:paraId="6F0362C0"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r>
      <w:tr w:rsidR="008715E8" w14:paraId="74A1F438" w14:textId="77777777" w:rsidTr="001E4E58">
        <w:tblPrEx>
          <w:tblBorders>
            <w:bottom w:val="single" w:sz="6" w:space="0" w:color="auto"/>
          </w:tblBorders>
        </w:tblPrEx>
        <w:trPr>
          <w:jc w:val="center"/>
        </w:trPr>
        <w:tc>
          <w:tcPr>
            <w:tcW w:w="4111" w:type="dxa"/>
            <w:tcBorders>
              <w:top w:val="nil"/>
              <w:left w:val="nil"/>
              <w:bottom w:val="nil"/>
              <w:right w:val="nil"/>
            </w:tcBorders>
          </w:tcPr>
          <w:p w14:paraId="73086C1C"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sidRPr="00AD2D53">
              <w:rPr>
                <w:rFonts w:ascii="Times New Roman" w:hAnsi="Times New Roman" w:cs="Times New Roman"/>
                <w:sz w:val="24"/>
                <w:szCs w:val="24"/>
              </w:rPr>
              <w:t>BANK  DUMMY</w:t>
            </w:r>
          </w:p>
        </w:tc>
        <w:tc>
          <w:tcPr>
            <w:tcW w:w="1584" w:type="dxa"/>
            <w:tcBorders>
              <w:top w:val="nil"/>
              <w:left w:val="nil"/>
              <w:bottom w:val="nil"/>
              <w:right w:val="nil"/>
            </w:tcBorders>
          </w:tcPr>
          <w:p w14:paraId="25286516"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584" w:type="dxa"/>
            <w:tcBorders>
              <w:top w:val="nil"/>
              <w:left w:val="nil"/>
              <w:bottom w:val="nil"/>
              <w:right w:val="nil"/>
            </w:tcBorders>
          </w:tcPr>
          <w:p w14:paraId="19BABAA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584" w:type="dxa"/>
            <w:tcBorders>
              <w:top w:val="nil"/>
              <w:left w:val="nil"/>
              <w:bottom w:val="nil"/>
              <w:right w:val="nil"/>
            </w:tcBorders>
          </w:tcPr>
          <w:p w14:paraId="2B97ABAE"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r>
      <w:tr w:rsidR="008715E8" w14:paraId="67098CCA" w14:textId="77777777" w:rsidTr="001E4E58">
        <w:tblPrEx>
          <w:tblBorders>
            <w:bottom w:val="single" w:sz="6" w:space="0" w:color="auto"/>
          </w:tblBorders>
        </w:tblPrEx>
        <w:trPr>
          <w:jc w:val="center"/>
        </w:trPr>
        <w:tc>
          <w:tcPr>
            <w:tcW w:w="4111" w:type="dxa"/>
            <w:tcBorders>
              <w:top w:val="nil"/>
              <w:left w:val="nil"/>
              <w:bottom w:val="single" w:sz="6" w:space="0" w:color="auto"/>
              <w:right w:val="nil"/>
            </w:tcBorders>
          </w:tcPr>
          <w:p w14:paraId="04230986" w14:textId="77777777" w:rsidR="008715E8" w:rsidRDefault="008715E8" w:rsidP="001E4E58">
            <w:pPr>
              <w:widowControl w:val="0"/>
              <w:autoSpaceDE w:val="0"/>
              <w:autoSpaceDN w:val="0"/>
              <w:adjustRightInd w:val="0"/>
              <w:spacing w:after="0" w:line="240" w:lineRule="auto"/>
              <w:rPr>
                <w:rFonts w:ascii="Times New Roman" w:hAnsi="Times New Roman" w:cs="Times New Roman"/>
                <w:sz w:val="24"/>
                <w:szCs w:val="24"/>
              </w:rPr>
            </w:pPr>
            <w:r w:rsidRPr="00763BEC">
              <w:rPr>
                <w:rFonts w:ascii="Times New Roman" w:hAnsi="Times New Roman" w:cs="Times New Roman"/>
                <w:i/>
                <w:sz w:val="24"/>
                <w:szCs w:val="24"/>
              </w:rPr>
              <w:t>Durbin-Wu-Hausman test</w:t>
            </w:r>
            <w:r>
              <w:rPr>
                <w:rFonts w:ascii="Times New Roman" w:hAnsi="Times New Roman" w:cs="Times New Roman"/>
                <w:i/>
                <w:sz w:val="24"/>
                <w:szCs w:val="24"/>
              </w:rPr>
              <w:t xml:space="preserve"> (p-value)</w:t>
            </w:r>
          </w:p>
        </w:tc>
        <w:tc>
          <w:tcPr>
            <w:tcW w:w="1584" w:type="dxa"/>
            <w:tcBorders>
              <w:top w:val="nil"/>
              <w:left w:val="nil"/>
              <w:bottom w:val="single" w:sz="6" w:space="0" w:color="auto"/>
              <w:right w:val="nil"/>
            </w:tcBorders>
          </w:tcPr>
          <w:p w14:paraId="4F3112D9"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single" w:sz="6" w:space="0" w:color="auto"/>
              <w:right w:val="nil"/>
            </w:tcBorders>
          </w:tcPr>
          <w:p w14:paraId="28ACFF60" w14:textId="77777777" w:rsidR="008715E8"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sidRPr="00327E4A">
              <w:rPr>
                <w:rFonts w:ascii="Times New Roman" w:hAnsi="Times New Roman" w:cs="Times New Roman"/>
                <w:sz w:val="24"/>
                <w:szCs w:val="24"/>
              </w:rPr>
              <w:t>0.6836</w:t>
            </w:r>
          </w:p>
        </w:tc>
        <w:tc>
          <w:tcPr>
            <w:tcW w:w="1584" w:type="dxa"/>
            <w:tcBorders>
              <w:top w:val="nil"/>
              <w:left w:val="nil"/>
              <w:bottom w:val="single" w:sz="6" w:space="0" w:color="auto"/>
              <w:right w:val="nil"/>
            </w:tcBorders>
          </w:tcPr>
          <w:p w14:paraId="0FCDD8F9" w14:textId="77777777" w:rsidR="008715E8" w:rsidRPr="00327E4A" w:rsidRDefault="008715E8" w:rsidP="001E4E58">
            <w:pPr>
              <w:widowControl w:val="0"/>
              <w:autoSpaceDE w:val="0"/>
              <w:autoSpaceDN w:val="0"/>
              <w:adjustRightInd w:val="0"/>
              <w:spacing w:after="0" w:line="240" w:lineRule="auto"/>
              <w:jc w:val="center"/>
              <w:rPr>
                <w:rFonts w:ascii="Times New Roman" w:hAnsi="Times New Roman" w:cs="Times New Roman"/>
                <w:sz w:val="24"/>
                <w:szCs w:val="24"/>
              </w:rPr>
            </w:pPr>
            <w:r w:rsidRPr="008402FF">
              <w:rPr>
                <w:rFonts w:ascii="Times New Roman" w:hAnsi="Times New Roman" w:cs="Times New Roman"/>
                <w:sz w:val="24"/>
                <w:szCs w:val="24"/>
              </w:rPr>
              <w:t>0.6391</w:t>
            </w:r>
          </w:p>
        </w:tc>
      </w:tr>
    </w:tbl>
    <w:p w14:paraId="40B2AF96" w14:textId="608E3B0B" w:rsidR="008715E8" w:rsidRPr="0015110E" w:rsidRDefault="0015110E" w:rsidP="0015110E">
      <w:pPr>
        <w:tabs>
          <w:tab w:val="left" w:pos="1320"/>
        </w:tabs>
        <w:jc w:val="both"/>
        <w:rPr>
          <w:rFonts w:ascii="Times New Roman" w:hAnsi="Times New Roman" w:cs="Times New Roman"/>
        </w:rPr>
      </w:pPr>
      <w:r w:rsidRPr="0015110E">
        <w:rPr>
          <w:rFonts w:ascii="Times New Roman" w:hAnsi="Times New Roman" w:cs="Times New Roman"/>
          <w:b/>
        </w:rPr>
        <w:t xml:space="preserve">Note: </w:t>
      </w:r>
      <w:r w:rsidR="008715E8" w:rsidRPr="0015110E">
        <w:rPr>
          <w:rFonts w:ascii="Times New Roman" w:hAnsi="Times New Roman" w:cs="Times New Roman"/>
        </w:rPr>
        <w:t xml:space="preserve">Bank Branches_1936 (the number of branches per 10,000 inhabitants in 1936) and Cooperative Banks_1936 (the number of cooperative banks in the province per 100,000 inhabitants) are the instruments. DISTANCE is the logarithm of </w:t>
      </w:r>
      <w:r w:rsidR="008715E8" w:rsidRPr="0015110E">
        <w:rPr>
          <w:rFonts w:ascii="Times New Roman" w:hAnsi="Times New Roman"/>
        </w:rPr>
        <w:t>the distance between the two zip codes at the province level</w:t>
      </w:r>
      <w:r w:rsidR="008715E8" w:rsidRPr="0015110E">
        <w:rPr>
          <w:rFonts w:ascii="Times New Roman" w:hAnsi="Times New Roman" w:cs="Times New Roman"/>
        </w:rPr>
        <w:t>; MCw is the market coverage weighted for loan volume; NPLs is the amount of non-performing loans; EQTA is equity over total assets; ENTRY is the net number of new branches over total branches in each province; HHwI is the concentration of branches in each province weighted for loan volume. Standard errors are clustered by Bank I</w:t>
      </w:r>
      <w:r w:rsidRPr="0015110E">
        <w:rPr>
          <w:rFonts w:ascii="Times New Roman" w:hAnsi="Times New Roman" w:cs="Times New Roman"/>
        </w:rPr>
        <w:t xml:space="preserve">D and are reported in brackets. </w:t>
      </w:r>
      <w:r w:rsidR="008715E8" w:rsidRPr="0015110E">
        <w:rPr>
          <w:rFonts w:ascii="Times New Roman" w:hAnsi="Times New Roman" w:cs="Times New Roman"/>
        </w:rPr>
        <w:t>All the variables are lagged. *** p&lt;0.01, ** p&lt;0.05</w:t>
      </w:r>
    </w:p>
    <w:p w14:paraId="2206D700" w14:textId="77777777" w:rsidR="008715E8" w:rsidRDefault="008715E8" w:rsidP="008715E8">
      <w:pPr>
        <w:rPr>
          <w:rFonts w:ascii="Times New Roman" w:hAnsi="Times New Roman" w:cs="Times New Roman"/>
          <w:sz w:val="24"/>
          <w:szCs w:val="24"/>
        </w:rPr>
      </w:pPr>
    </w:p>
    <w:p w14:paraId="328374BF" w14:textId="77777777" w:rsidR="00AB2A66" w:rsidRDefault="00AB2A66" w:rsidP="001715AC">
      <w:pPr>
        <w:autoSpaceDE w:val="0"/>
        <w:autoSpaceDN w:val="0"/>
        <w:adjustRightInd w:val="0"/>
        <w:spacing w:after="0" w:line="480" w:lineRule="auto"/>
        <w:rPr>
          <w:rFonts w:ascii="Times New Roman" w:hAnsi="Times New Roman" w:cs="Times New Roman"/>
          <w:b/>
          <w:bCs/>
          <w:sz w:val="24"/>
          <w:szCs w:val="24"/>
          <w:lang w:val="en-GB"/>
        </w:rPr>
      </w:pPr>
    </w:p>
    <w:p w14:paraId="7A2C9787" w14:textId="77777777" w:rsidR="0015110E" w:rsidRDefault="0015110E" w:rsidP="001715AC">
      <w:pPr>
        <w:autoSpaceDE w:val="0"/>
        <w:autoSpaceDN w:val="0"/>
        <w:adjustRightInd w:val="0"/>
        <w:spacing w:after="0" w:line="480" w:lineRule="auto"/>
        <w:rPr>
          <w:rFonts w:ascii="Times New Roman" w:hAnsi="Times New Roman" w:cs="Times New Roman"/>
          <w:b/>
          <w:bCs/>
          <w:sz w:val="24"/>
          <w:szCs w:val="24"/>
          <w:lang w:val="en-GB"/>
        </w:rPr>
      </w:pPr>
    </w:p>
    <w:p w14:paraId="1AEB6A12" w14:textId="77777777" w:rsidR="00FB736C" w:rsidRDefault="00FB736C" w:rsidP="001715AC">
      <w:pPr>
        <w:autoSpaceDE w:val="0"/>
        <w:autoSpaceDN w:val="0"/>
        <w:adjustRightInd w:val="0"/>
        <w:spacing w:after="0" w:line="480" w:lineRule="auto"/>
        <w:rPr>
          <w:rFonts w:ascii="Times New Roman" w:hAnsi="Times New Roman" w:cs="Times New Roman"/>
          <w:b/>
          <w:bCs/>
          <w:sz w:val="24"/>
          <w:szCs w:val="24"/>
          <w:lang w:val="en-GB"/>
        </w:rPr>
      </w:pPr>
    </w:p>
    <w:p w14:paraId="3BC578BF" w14:textId="77777777" w:rsidR="00FB736C" w:rsidRPr="005D7567" w:rsidRDefault="00FB736C" w:rsidP="00FB736C">
      <w:pPr>
        <w:rPr>
          <w:rFonts w:asciiTheme="majorBidi" w:hAnsiTheme="majorBidi" w:cstheme="majorBidi"/>
          <w:b/>
          <w:bCs/>
          <w:i/>
          <w:noProof/>
          <w:sz w:val="24"/>
          <w:szCs w:val="24"/>
        </w:rPr>
      </w:pPr>
      <w:r w:rsidRPr="005D7567">
        <w:rPr>
          <w:rFonts w:asciiTheme="majorBidi" w:hAnsiTheme="majorBidi" w:cstheme="majorBidi"/>
          <w:b/>
          <w:bCs/>
          <w:i/>
          <w:noProof/>
          <w:sz w:val="24"/>
          <w:szCs w:val="24"/>
        </w:rPr>
        <w:t>Table 1. Descriptive Statistics</w:t>
      </w:r>
    </w:p>
    <w:tbl>
      <w:tblPr>
        <w:tblW w:w="9139" w:type="dxa"/>
        <w:tblInd w:w="-72" w:type="dxa"/>
        <w:tblCellMar>
          <w:left w:w="70" w:type="dxa"/>
          <w:right w:w="70" w:type="dxa"/>
        </w:tblCellMar>
        <w:tblLook w:val="04A0" w:firstRow="1" w:lastRow="0" w:firstColumn="1" w:lastColumn="0" w:noHBand="0" w:noVBand="1"/>
      </w:tblPr>
      <w:tblGrid>
        <w:gridCol w:w="2466"/>
        <w:gridCol w:w="994"/>
        <w:gridCol w:w="1002"/>
        <w:gridCol w:w="1315"/>
        <w:gridCol w:w="1026"/>
        <w:gridCol w:w="1061"/>
        <w:gridCol w:w="1275"/>
      </w:tblGrid>
      <w:tr w:rsidR="00FB736C" w:rsidRPr="004E5F50" w14:paraId="72C1EBEA" w14:textId="77777777" w:rsidTr="00C15CF1">
        <w:trPr>
          <w:trHeight w:val="70"/>
        </w:trPr>
        <w:tc>
          <w:tcPr>
            <w:tcW w:w="2466" w:type="dxa"/>
            <w:tcBorders>
              <w:top w:val="single" w:sz="4" w:space="0" w:color="auto"/>
            </w:tcBorders>
            <w:shd w:val="clear" w:color="auto" w:fill="auto"/>
            <w:noWrap/>
            <w:vAlign w:val="bottom"/>
          </w:tcPr>
          <w:p w14:paraId="21B61B6B" w14:textId="77777777" w:rsidR="00FB736C" w:rsidRPr="004E5F50" w:rsidRDefault="00FB736C" w:rsidP="00C15CF1">
            <w:pPr>
              <w:spacing w:after="0"/>
              <w:rPr>
                <w:rFonts w:ascii="Times New Roman" w:hAnsi="Times New Roman" w:cs="Times New Roman"/>
                <w:b/>
                <w:bCs/>
                <w:noProof/>
                <w:szCs w:val="24"/>
                <w:lang w:val="en-GB"/>
              </w:rPr>
            </w:pPr>
          </w:p>
        </w:tc>
        <w:tc>
          <w:tcPr>
            <w:tcW w:w="994" w:type="dxa"/>
            <w:tcBorders>
              <w:top w:val="single" w:sz="4" w:space="0" w:color="auto"/>
            </w:tcBorders>
            <w:shd w:val="clear" w:color="auto" w:fill="auto"/>
            <w:noWrap/>
            <w:vAlign w:val="bottom"/>
          </w:tcPr>
          <w:p w14:paraId="62469E27" w14:textId="77777777" w:rsidR="00FB736C" w:rsidRPr="004E5F50" w:rsidRDefault="00FB736C" w:rsidP="00C15CF1">
            <w:pPr>
              <w:spacing w:after="0"/>
              <w:ind w:left="-179"/>
              <w:jc w:val="center"/>
              <w:rPr>
                <w:rFonts w:ascii="Times New Roman" w:hAnsi="Times New Roman" w:cs="Times New Roman"/>
                <w:b/>
                <w:bCs/>
                <w:noProof/>
                <w:szCs w:val="24"/>
                <w:lang w:val="en-GB"/>
              </w:rPr>
            </w:pPr>
          </w:p>
        </w:tc>
        <w:tc>
          <w:tcPr>
            <w:tcW w:w="1002" w:type="dxa"/>
            <w:tcBorders>
              <w:top w:val="single" w:sz="4" w:space="0" w:color="auto"/>
            </w:tcBorders>
            <w:shd w:val="clear" w:color="auto" w:fill="auto"/>
            <w:noWrap/>
            <w:vAlign w:val="bottom"/>
          </w:tcPr>
          <w:p w14:paraId="4A2E268B" w14:textId="77777777" w:rsidR="00FB736C" w:rsidRPr="004E5F50" w:rsidRDefault="00FB736C" w:rsidP="00C15CF1">
            <w:pPr>
              <w:spacing w:after="0"/>
              <w:ind w:left="-179"/>
              <w:jc w:val="center"/>
              <w:rPr>
                <w:rFonts w:ascii="Times New Roman" w:hAnsi="Times New Roman" w:cs="Times New Roman"/>
                <w:b/>
                <w:bCs/>
                <w:noProof/>
                <w:szCs w:val="24"/>
                <w:lang w:val="en-GB"/>
              </w:rPr>
            </w:pPr>
          </w:p>
        </w:tc>
        <w:tc>
          <w:tcPr>
            <w:tcW w:w="1315" w:type="dxa"/>
            <w:tcBorders>
              <w:top w:val="single" w:sz="4" w:space="0" w:color="auto"/>
            </w:tcBorders>
            <w:shd w:val="clear" w:color="auto" w:fill="auto"/>
            <w:noWrap/>
            <w:vAlign w:val="bottom"/>
          </w:tcPr>
          <w:p w14:paraId="67897D4F" w14:textId="77777777" w:rsidR="00FB736C" w:rsidRPr="004E5F50" w:rsidRDefault="00FB736C" w:rsidP="00C15CF1">
            <w:pPr>
              <w:spacing w:after="0"/>
              <w:ind w:left="-179"/>
              <w:jc w:val="center"/>
              <w:rPr>
                <w:rFonts w:ascii="Times New Roman" w:hAnsi="Times New Roman" w:cs="Times New Roman"/>
                <w:b/>
                <w:bCs/>
                <w:noProof/>
                <w:szCs w:val="24"/>
                <w:lang w:val="en-GB"/>
              </w:rPr>
            </w:pPr>
          </w:p>
        </w:tc>
        <w:tc>
          <w:tcPr>
            <w:tcW w:w="1026" w:type="dxa"/>
            <w:tcBorders>
              <w:top w:val="single" w:sz="4" w:space="0" w:color="auto"/>
            </w:tcBorders>
          </w:tcPr>
          <w:p w14:paraId="20991F3C" w14:textId="77777777" w:rsidR="00FB736C" w:rsidRPr="004E5F50" w:rsidRDefault="00FB736C" w:rsidP="00C15CF1">
            <w:pPr>
              <w:spacing w:after="0"/>
              <w:ind w:left="-179"/>
              <w:jc w:val="center"/>
              <w:rPr>
                <w:rFonts w:ascii="Times New Roman" w:hAnsi="Times New Roman" w:cs="Times New Roman"/>
                <w:b/>
                <w:bCs/>
                <w:noProof/>
                <w:szCs w:val="24"/>
                <w:lang w:val="en-GB"/>
              </w:rPr>
            </w:pPr>
          </w:p>
        </w:tc>
        <w:tc>
          <w:tcPr>
            <w:tcW w:w="2336" w:type="dxa"/>
            <w:gridSpan w:val="2"/>
            <w:tcBorders>
              <w:top w:val="single" w:sz="4" w:space="0" w:color="auto"/>
            </w:tcBorders>
            <w:shd w:val="clear" w:color="auto" w:fill="auto"/>
            <w:noWrap/>
            <w:vAlign w:val="bottom"/>
          </w:tcPr>
          <w:p w14:paraId="2D500AFA" w14:textId="77777777" w:rsidR="00FB736C" w:rsidRPr="004E5F50" w:rsidRDefault="00FB736C" w:rsidP="00C15CF1">
            <w:pPr>
              <w:spacing w:after="0"/>
              <w:ind w:left="-179"/>
              <w:jc w:val="center"/>
              <w:rPr>
                <w:rFonts w:ascii="Times New Roman" w:hAnsi="Times New Roman" w:cs="Times New Roman"/>
                <w:b/>
                <w:bCs/>
                <w:noProof/>
                <w:szCs w:val="24"/>
                <w:lang w:val="en-GB"/>
              </w:rPr>
            </w:pPr>
            <w:r>
              <w:rPr>
                <w:rFonts w:ascii="Times New Roman" w:hAnsi="Times New Roman" w:cs="Times New Roman"/>
                <w:b/>
                <w:bCs/>
                <w:noProof/>
                <w:szCs w:val="24"/>
                <w:lang w:val="en-GB"/>
              </w:rPr>
              <w:t>Quantile</w:t>
            </w:r>
          </w:p>
        </w:tc>
      </w:tr>
      <w:tr w:rsidR="00FB736C" w:rsidRPr="004E5F50" w14:paraId="01DE0EDB" w14:textId="77777777" w:rsidTr="00C15CF1">
        <w:trPr>
          <w:trHeight w:val="300"/>
        </w:trPr>
        <w:tc>
          <w:tcPr>
            <w:tcW w:w="2466" w:type="dxa"/>
            <w:tcBorders>
              <w:bottom w:val="single" w:sz="4" w:space="0" w:color="auto"/>
            </w:tcBorders>
            <w:shd w:val="clear" w:color="auto" w:fill="auto"/>
            <w:noWrap/>
            <w:vAlign w:val="bottom"/>
            <w:hideMark/>
          </w:tcPr>
          <w:p w14:paraId="14845AB5" w14:textId="77777777" w:rsidR="00FB736C" w:rsidRPr="004E5F50" w:rsidRDefault="00FB736C" w:rsidP="00C15CF1">
            <w:pPr>
              <w:spacing w:after="0"/>
              <w:rPr>
                <w:rFonts w:ascii="Times New Roman" w:hAnsi="Times New Roman" w:cs="Times New Roman"/>
                <w:b/>
                <w:bCs/>
                <w:noProof/>
                <w:szCs w:val="24"/>
                <w:lang w:val="en-GB"/>
              </w:rPr>
            </w:pPr>
            <w:r w:rsidRPr="004E5F50">
              <w:rPr>
                <w:rFonts w:ascii="Times New Roman" w:hAnsi="Times New Roman" w:cs="Times New Roman"/>
                <w:b/>
                <w:bCs/>
                <w:noProof/>
                <w:szCs w:val="24"/>
                <w:lang w:val="en-GB"/>
              </w:rPr>
              <w:t>VARIABLES</w:t>
            </w:r>
          </w:p>
        </w:tc>
        <w:tc>
          <w:tcPr>
            <w:tcW w:w="994" w:type="dxa"/>
            <w:tcBorders>
              <w:bottom w:val="single" w:sz="4" w:space="0" w:color="auto"/>
            </w:tcBorders>
            <w:shd w:val="clear" w:color="auto" w:fill="auto"/>
            <w:noWrap/>
            <w:vAlign w:val="bottom"/>
            <w:hideMark/>
          </w:tcPr>
          <w:p w14:paraId="34989E68" w14:textId="77777777" w:rsidR="00FB736C" w:rsidRPr="004E5F50" w:rsidRDefault="00FB736C" w:rsidP="00C15CF1">
            <w:pPr>
              <w:spacing w:after="0"/>
              <w:ind w:left="-179"/>
              <w:jc w:val="center"/>
              <w:rPr>
                <w:rFonts w:ascii="Times New Roman" w:hAnsi="Times New Roman" w:cs="Times New Roman"/>
                <w:b/>
                <w:bCs/>
                <w:noProof/>
                <w:szCs w:val="24"/>
                <w:lang w:val="en-GB"/>
              </w:rPr>
            </w:pPr>
            <w:r w:rsidRPr="004E5F50">
              <w:rPr>
                <w:rFonts w:ascii="Times New Roman" w:hAnsi="Times New Roman" w:cs="Times New Roman"/>
                <w:b/>
                <w:bCs/>
                <w:noProof/>
                <w:szCs w:val="24"/>
                <w:lang w:val="en-GB"/>
              </w:rPr>
              <w:t>OBS</w:t>
            </w:r>
          </w:p>
        </w:tc>
        <w:tc>
          <w:tcPr>
            <w:tcW w:w="1002" w:type="dxa"/>
            <w:tcBorders>
              <w:bottom w:val="single" w:sz="4" w:space="0" w:color="auto"/>
            </w:tcBorders>
            <w:shd w:val="clear" w:color="auto" w:fill="auto"/>
            <w:noWrap/>
            <w:vAlign w:val="bottom"/>
            <w:hideMark/>
          </w:tcPr>
          <w:p w14:paraId="5E01CEA7" w14:textId="77777777" w:rsidR="00FB736C" w:rsidRPr="004E5F50" w:rsidRDefault="00FB736C" w:rsidP="00C15CF1">
            <w:pPr>
              <w:spacing w:after="0"/>
              <w:ind w:left="-179"/>
              <w:jc w:val="center"/>
              <w:rPr>
                <w:rFonts w:ascii="Times New Roman" w:hAnsi="Times New Roman" w:cs="Times New Roman"/>
                <w:b/>
                <w:bCs/>
                <w:noProof/>
                <w:szCs w:val="24"/>
                <w:lang w:val="en-GB"/>
              </w:rPr>
            </w:pPr>
            <w:r w:rsidRPr="004E5F50">
              <w:rPr>
                <w:rFonts w:ascii="Times New Roman" w:hAnsi="Times New Roman" w:cs="Times New Roman"/>
                <w:b/>
                <w:bCs/>
                <w:noProof/>
                <w:szCs w:val="24"/>
                <w:lang w:val="en-GB"/>
              </w:rPr>
              <w:t>Mean</w:t>
            </w:r>
          </w:p>
        </w:tc>
        <w:tc>
          <w:tcPr>
            <w:tcW w:w="1315" w:type="dxa"/>
            <w:tcBorders>
              <w:bottom w:val="single" w:sz="4" w:space="0" w:color="auto"/>
            </w:tcBorders>
            <w:shd w:val="clear" w:color="auto" w:fill="auto"/>
            <w:noWrap/>
            <w:vAlign w:val="bottom"/>
            <w:hideMark/>
          </w:tcPr>
          <w:p w14:paraId="0661B277" w14:textId="77777777" w:rsidR="00FB736C" w:rsidRPr="004E5F50" w:rsidRDefault="00FB736C" w:rsidP="00C15CF1">
            <w:pPr>
              <w:spacing w:after="0"/>
              <w:ind w:left="-179"/>
              <w:jc w:val="center"/>
              <w:rPr>
                <w:rFonts w:ascii="Times New Roman" w:hAnsi="Times New Roman" w:cs="Times New Roman"/>
                <w:b/>
                <w:bCs/>
                <w:noProof/>
                <w:szCs w:val="24"/>
                <w:lang w:val="en-GB"/>
              </w:rPr>
            </w:pPr>
            <w:r>
              <w:rPr>
                <w:rFonts w:ascii="Times New Roman" w:hAnsi="Times New Roman" w:cs="Times New Roman"/>
                <w:b/>
                <w:bCs/>
                <w:noProof/>
                <w:szCs w:val="24"/>
                <w:lang w:val="en-GB"/>
              </w:rPr>
              <w:t>Std. Dev.</w:t>
            </w:r>
          </w:p>
        </w:tc>
        <w:tc>
          <w:tcPr>
            <w:tcW w:w="1026" w:type="dxa"/>
            <w:tcBorders>
              <w:bottom w:val="single" w:sz="4" w:space="0" w:color="auto"/>
            </w:tcBorders>
            <w:vAlign w:val="bottom"/>
          </w:tcPr>
          <w:p w14:paraId="6D0831E1" w14:textId="77777777" w:rsidR="00FB736C" w:rsidRPr="004E5F50" w:rsidRDefault="00FB736C" w:rsidP="00C15CF1">
            <w:pPr>
              <w:spacing w:after="0"/>
              <w:ind w:left="-179"/>
              <w:jc w:val="center"/>
              <w:rPr>
                <w:rFonts w:ascii="Times New Roman" w:hAnsi="Times New Roman" w:cs="Times New Roman"/>
                <w:b/>
                <w:bCs/>
                <w:noProof/>
                <w:szCs w:val="24"/>
                <w:lang w:val="en-GB"/>
              </w:rPr>
            </w:pPr>
            <w:r w:rsidRPr="004E5F50">
              <w:rPr>
                <w:rFonts w:ascii="Times New Roman" w:hAnsi="Times New Roman" w:cs="Times New Roman"/>
                <w:b/>
                <w:bCs/>
                <w:noProof/>
                <w:szCs w:val="24"/>
                <w:lang w:val="en-GB"/>
              </w:rPr>
              <w:t>Mdn</w:t>
            </w:r>
          </w:p>
        </w:tc>
        <w:tc>
          <w:tcPr>
            <w:tcW w:w="1061" w:type="dxa"/>
            <w:tcBorders>
              <w:bottom w:val="single" w:sz="4" w:space="0" w:color="auto"/>
            </w:tcBorders>
            <w:shd w:val="clear" w:color="auto" w:fill="auto"/>
            <w:noWrap/>
            <w:vAlign w:val="bottom"/>
            <w:hideMark/>
          </w:tcPr>
          <w:p w14:paraId="6E6E7CD9" w14:textId="77777777" w:rsidR="00FB736C" w:rsidRPr="004E5F50" w:rsidRDefault="00FB736C" w:rsidP="00C15CF1">
            <w:pPr>
              <w:spacing w:after="0"/>
              <w:ind w:left="-179"/>
              <w:jc w:val="center"/>
              <w:rPr>
                <w:rFonts w:ascii="Times New Roman" w:hAnsi="Times New Roman" w:cs="Times New Roman"/>
                <w:b/>
                <w:bCs/>
                <w:noProof/>
                <w:szCs w:val="24"/>
                <w:lang w:val="en-GB"/>
              </w:rPr>
            </w:pPr>
            <w:r w:rsidRPr="004E5F50">
              <w:rPr>
                <w:rFonts w:ascii="Times New Roman" w:hAnsi="Times New Roman" w:cs="Times New Roman"/>
                <w:b/>
                <w:bCs/>
                <w:noProof/>
                <w:szCs w:val="24"/>
                <w:lang w:val="en-GB"/>
              </w:rPr>
              <w:t>Q1</w:t>
            </w:r>
          </w:p>
        </w:tc>
        <w:tc>
          <w:tcPr>
            <w:tcW w:w="1275" w:type="dxa"/>
            <w:tcBorders>
              <w:bottom w:val="single" w:sz="4" w:space="0" w:color="auto"/>
            </w:tcBorders>
            <w:shd w:val="clear" w:color="auto" w:fill="auto"/>
            <w:noWrap/>
            <w:vAlign w:val="bottom"/>
            <w:hideMark/>
          </w:tcPr>
          <w:p w14:paraId="1FB87144" w14:textId="77777777" w:rsidR="00FB736C" w:rsidRPr="004E5F50" w:rsidRDefault="00FB736C" w:rsidP="00C15CF1">
            <w:pPr>
              <w:spacing w:after="0"/>
              <w:ind w:left="-179"/>
              <w:jc w:val="center"/>
              <w:rPr>
                <w:rFonts w:ascii="Times New Roman" w:hAnsi="Times New Roman" w:cs="Times New Roman"/>
                <w:b/>
                <w:bCs/>
                <w:noProof/>
                <w:szCs w:val="24"/>
                <w:lang w:val="en-GB"/>
              </w:rPr>
            </w:pPr>
            <w:r w:rsidRPr="004E5F50">
              <w:rPr>
                <w:rFonts w:ascii="Times New Roman" w:hAnsi="Times New Roman" w:cs="Times New Roman"/>
                <w:b/>
                <w:bCs/>
                <w:noProof/>
                <w:szCs w:val="24"/>
                <w:lang w:val="en-GB"/>
              </w:rPr>
              <w:t>Q3</w:t>
            </w:r>
          </w:p>
        </w:tc>
      </w:tr>
      <w:tr w:rsidR="00FB736C" w:rsidRPr="004E5F50" w14:paraId="4B71F6A5" w14:textId="77777777" w:rsidTr="00C15CF1">
        <w:trPr>
          <w:trHeight w:val="90"/>
        </w:trPr>
        <w:tc>
          <w:tcPr>
            <w:tcW w:w="2466" w:type="dxa"/>
            <w:tcBorders>
              <w:top w:val="single" w:sz="4" w:space="0" w:color="auto"/>
            </w:tcBorders>
            <w:shd w:val="clear" w:color="auto" w:fill="auto"/>
            <w:noWrap/>
            <w:vAlign w:val="bottom"/>
            <w:hideMark/>
          </w:tcPr>
          <w:p w14:paraId="3EEC902C"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ROA</w:t>
            </w:r>
          </w:p>
        </w:tc>
        <w:tc>
          <w:tcPr>
            <w:tcW w:w="994" w:type="dxa"/>
            <w:tcBorders>
              <w:top w:val="single" w:sz="4" w:space="0" w:color="auto"/>
            </w:tcBorders>
            <w:shd w:val="clear" w:color="auto" w:fill="auto"/>
            <w:noWrap/>
            <w:vAlign w:val="bottom"/>
            <w:hideMark/>
          </w:tcPr>
          <w:p w14:paraId="1463ACB3" w14:textId="77777777" w:rsidR="00FB736C" w:rsidRPr="000371B3" w:rsidRDefault="00FB736C" w:rsidP="00C15CF1">
            <w:pPr>
              <w:spacing w:after="0"/>
              <w:jc w:val="center"/>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12371</w:t>
            </w:r>
          </w:p>
        </w:tc>
        <w:tc>
          <w:tcPr>
            <w:tcW w:w="1002" w:type="dxa"/>
            <w:tcBorders>
              <w:top w:val="single" w:sz="4" w:space="0" w:color="auto"/>
            </w:tcBorders>
            <w:shd w:val="clear" w:color="auto" w:fill="auto"/>
            <w:noWrap/>
            <w:hideMark/>
          </w:tcPr>
          <w:p w14:paraId="4EE508CC"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0.01</w:t>
            </w:r>
          </w:p>
        </w:tc>
        <w:tc>
          <w:tcPr>
            <w:tcW w:w="1315" w:type="dxa"/>
            <w:tcBorders>
              <w:top w:val="single" w:sz="4" w:space="0" w:color="auto"/>
            </w:tcBorders>
            <w:shd w:val="clear" w:color="auto" w:fill="auto"/>
            <w:noWrap/>
            <w:hideMark/>
          </w:tcPr>
          <w:p w14:paraId="438F55AC"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0.01</w:t>
            </w:r>
          </w:p>
        </w:tc>
        <w:tc>
          <w:tcPr>
            <w:tcW w:w="1026" w:type="dxa"/>
            <w:tcBorders>
              <w:top w:val="single" w:sz="4" w:space="0" w:color="auto"/>
            </w:tcBorders>
          </w:tcPr>
          <w:p w14:paraId="6CD67FF9"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0.01</w:t>
            </w:r>
          </w:p>
        </w:tc>
        <w:tc>
          <w:tcPr>
            <w:tcW w:w="1061" w:type="dxa"/>
            <w:tcBorders>
              <w:top w:val="single" w:sz="4" w:space="0" w:color="auto"/>
            </w:tcBorders>
            <w:shd w:val="clear" w:color="auto" w:fill="auto"/>
            <w:noWrap/>
            <w:hideMark/>
          </w:tcPr>
          <w:p w14:paraId="7BF86126"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w:t>
            </w:r>
          </w:p>
        </w:tc>
        <w:tc>
          <w:tcPr>
            <w:tcW w:w="1275" w:type="dxa"/>
            <w:tcBorders>
              <w:top w:val="single" w:sz="4" w:space="0" w:color="auto"/>
            </w:tcBorders>
            <w:shd w:val="clear" w:color="auto" w:fill="auto"/>
            <w:noWrap/>
            <w:hideMark/>
          </w:tcPr>
          <w:p w14:paraId="02B3EC04"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0.01</w:t>
            </w:r>
          </w:p>
        </w:tc>
      </w:tr>
      <w:tr w:rsidR="00FB736C" w:rsidRPr="004E5F50" w14:paraId="498E4601" w14:textId="77777777" w:rsidTr="00C15CF1">
        <w:trPr>
          <w:trHeight w:val="300"/>
        </w:trPr>
        <w:tc>
          <w:tcPr>
            <w:tcW w:w="2466" w:type="dxa"/>
            <w:shd w:val="clear" w:color="auto" w:fill="auto"/>
            <w:noWrap/>
            <w:vAlign w:val="bottom"/>
            <w:hideMark/>
          </w:tcPr>
          <w:p w14:paraId="6E1003B0"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LNTA</w:t>
            </w:r>
          </w:p>
        </w:tc>
        <w:tc>
          <w:tcPr>
            <w:tcW w:w="994" w:type="dxa"/>
            <w:shd w:val="clear" w:color="auto" w:fill="auto"/>
            <w:noWrap/>
            <w:hideMark/>
          </w:tcPr>
          <w:p w14:paraId="776A6F6B" w14:textId="77777777" w:rsidR="00FB736C" w:rsidRPr="000371B3" w:rsidRDefault="00FB736C" w:rsidP="00C15CF1">
            <w:pPr>
              <w:spacing w:after="0"/>
              <w:jc w:val="center"/>
              <w:rPr>
                <w:rFonts w:ascii="Times New Roman" w:hAnsi="Times New Roman" w:cs="Times New Roman"/>
                <w:noProof/>
                <w:sz w:val="24"/>
                <w:szCs w:val="24"/>
                <w:lang w:val="en-GB"/>
              </w:rPr>
            </w:pPr>
            <w:r w:rsidRPr="00401A54">
              <w:rPr>
                <w:rFonts w:ascii="Times New Roman" w:hAnsi="Times New Roman" w:cs="Times New Roman"/>
                <w:color w:val="000000"/>
                <w:sz w:val="24"/>
                <w:szCs w:val="24"/>
              </w:rPr>
              <w:t>12371</w:t>
            </w:r>
          </w:p>
        </w:tc>
        <w:tc>
          <w:tcPr>
            <w:tcW w:w="1002" w:type="dxa"/>
            <w:shd w:val="clear" w:color="auto" w:fill="auto"/>
            <w:noWrap/>
            <w:hideMark/>
          </w:tcPr>
          <w:p w14:paraId="49415F12"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0.69</w:t>
            </w:r>
          </w:p>
        </w:tc>
        <w:tc>
          <w:tcPr>
            <w:tcW w:w="1315" w:type="dxa"/>
            <w:shd w:val="clear" w:color="auto" w:fill="auto"/>
            <w:noWrap/>
            <w:hideMark/>
          </w:tcPr>
          <w:p w14:paraId="6BE91179"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0.14</w:t>
            </w:r>
          </w:p>
        </w:tc>
        <w:tc>
          <w:tcPr>
            <w:tcW w:w="1026" w:type="dxa"/>
          </w:tcPr>
          <w:p w14:paraId="67504A49"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0.7</w:t>
            </w:r>
          </w:p>
        </w:tc>
        <w:tc>
          <w:tcPr>
            <w:tcW w:w="1061" w:type="dxa"/>
            <w:shd w:val="clear" w:color="auto" w:fill="auto"/>
            <w:noWrap/>
            <w:hideMark/>
          </w:tcPr>
          <w:p w14:paraId="0E3ED220"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0.59</w:t>
            </w:r>
          </w:p>
        </w:tc>
        <w:tc>
          <w:tcPr>
            <w:tcW w:w="1275" w:type="dxa"/>
            <w:shd w:val="clear" w:color="auto" w:fill="auto"/>
            <w:noWrap/>
            <w:hideMark/>
          </w:tcPr>
          <w:p w14:paraId="1B0FD5EB"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0.8</w:t>
            </w:r>
          </w:p>
        </w:tc>
      </w:tr>
      <w:tr w:rsidR="00FB736C" w:rsidRPr="004E5F50" w14:paraId="4210CE93" w14:textId="77777777" w:rsidTr="00C15CF1">
        <w:trPr>
          <w:trHeight w:val="300"/>
        </w:trPr>
        <w:tc>
          <w:tcPr>
            <w:tcW w:w="2466" w:type="dxa"/>
            <w:shd w:val="clear" w:color="auto" w:fill="auto"/>
            <w:noWrap/>
            <w:vAlign w:val="bottom"/>
            <w:hideMark/>
          </w:tcPr>
          <w:p w14:paraId="72205F97"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DPTA</w:t>
            </w:r>
          </w:p>
        </w:tc>
        <w:tc>
          <w:tcPr>
            <w:tcW w:w="994" w:type="dxa"/>
            <w:shd w:val="clear" w:color="auto" w:fill="auto"/>
            <w:noWrap/>
            <w:hideMark/>
          </w:tcPr>
          <w:p w14:paraId="5F000BC8" w14:textId="77777777" w:rsidR="00FB736C" w:rsidRPr="000371B3" w:rsidRDefault="00FB736C" w:rsidP="00C15CF1">
            <w:pPr>
              <w:spacing w:after="0"/>
              <w:jc w:val="center"/>
              <w:rPr>
                <w:rFonts w:ascii="Times New Roman" w:hAnsi="Times New Roman" w:cs="Times New Roman"/>
                <w:noProof/>
                <w:sz w:val="24"/>
                <w:szCs w:val="24"/>
                <w:lang w:val="en-GB"/>
              </w:rPr>
            </w:pPr>
            <w:r w:rsidRPr="00401A54">
              <w:rPr>
                <w:rFonts w:ascii="Times New Roman" w:hAnsi="Times New Roman" w:cs="Times New Roman"/>
                <w:color w:val="000000"/>
                <w:sz w:val="24"/>
                <w:szCs w:val="24"/>
              </w:rPr>
              <w:t>12371</w:t>
            </w:r>
          </w:p>
        </w:tc>
        <w:tc>
          <w:tcPr>
            <w:tcW w:w="1002" w:type="dxa"/>
            <w:shd w:val="clear" w:color="auto" w:fill="auto"/>
            <w:noWrap/>
            <w:hideMark/>
          </w:tcPr>
          <w:p w14:paraId="1FD0CF1A"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0.58</w:t>
            </w:r>
          </w:p>
        </w:tc>
        <w:tc>
          <w:tcPr>
            <w:tcW w:w="1315" w:type="dxa"/>
            <w:shd w:val="clear" w:color="auto" w:fill="auto"/>
            <w:noWrap/>
            <w:hideMark/>
          </w:tcPr>
          <w:p w14:paraId="28A5CAF3"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0.11</w:t>
            </w:r>
          </w:p>
        </w:tc>
        <w:tc>
          <w:tcPr>
            <w:tcW w:w="1026" w:type="dxa"/>
          </w:tcPr>
          <w:p w14:paraId="7B679016"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0.57</w:t>
            </w:r>
          </w:p>
        </w:tc>
        <w:tc>
          <w:tcPr>
            <w:tcW w:w="1061" w:type="dxa"/>
            <w:shd w:val="clear" w:color="auto" w:fill="auto"/>
            <w:noWrap/>
            <w:hideMark/>
          </w:tcPr>
          <w:p w14:paraId="4F0F8497"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0.5</w:t>
            </w:r>
          </w:p>
        </w:tc>
        <w:tc>
          <w:tcPr>
            <w:tcW w:w="1275" w:type="dxa"/>
            <w:shd w:val="clear" w:color="auto" w:fill="auto"/>
            <w:noWrap/>
            <w:hideMark/>
          </w:tcPr>
          <w:p w14:paraId="215E8493"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0.65</w:t>
            </w:r>
          </w:p>
        </w:tc>
      </w:tr>
      <w:tr w:rsidR="00FB736C" w:rsidRPr="004E5F50" w14:paraId="5ACF4C69" w14:textId="77777777" w:rsidTr="00C15CF1">
        <w:trPr>
          <w:trHeight w:val="300"/>
        </w:trPr>
        <w:tc>
          <w:tcPr>
            <w:tcW w:w="2466" w:type="dxa"/>
            <w:shd w:val="clear" w:color="auto" w:fill="auto"/>
            <w:noWrap/>
            <w:vAlign w:val="bottom"/>
            <w:hideMark/>
          </w:tcPr>
          <w:p w14:paraId="19D1A8B5"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Loans</w:t>
            </w:r>
            <w:r>
              <w:rPr>
                <w:rFonts w:ascii="Times New Roman" w:hAnsi="Times New Roman" w:cs="Times New Roman"/>
                <w:color w:val="000000"/>
                <w:sz w:val="24"/>
                <w:szCs w:val="24"/>
              </w:rPr>
              <w:t xml:space="preserve"> </w:t>
            </w:r>
          </w:p>
        </w:tc>
        <w:tc>
          <w:tcPr>
            <w:tcW w:w="994" w:type="dxa"/>
            <w:shd w:val="clear" w:color="auto" w:fill="auto"/>
            <w:noWrap/>
            <w:hideMark/>
          </w:tcPr>
          <w:p w14:paraId="1B41F049" w14:textId="77777777" w:rsidR="00FB736C" w:rsidRPr="000371B3" w:rsidRDefault="00FB736C" w:rsidP="00C15CF1">
            <w:pPr>
              <w:spacing w:after="0"/>
              <w:jc w:val="center"/>
              <w:rPr>
                <w:rFonts w:ascii="Times New Roman" w:hAnsi="Times New Roman" w:cs="Times New Roman"/>
                <w:noProof/>
                <w:sz w:val="24"/>
                <w:szCs w:val="24"/>
                <w:lang w:val="en-GB"/>
              </w:rPr>
            </w:pPr>
            <w:r w:rsidRPr="00401A54">
              <w:rPr>
                <w:rFonts w:ascii="Times New Roman" w:hAnsi="Times New Roman" w:cs="Times New Roman"/>
                <w:color w:val="000000"/>
                <w:sz w:val="24"/>
                <w:szCs w:val="24"/>
              </w:rPr>
              <w:t>12371</w:t>
            </w:r>
          </w:p>
        </w:tc>
        <w:tc>
          <w:tcPr>
            <w:tcW w:w="1002" w:type="dxa"/>
            <w:shd w:val="clear" w:color="auto" w:fill="auto"/>
            <w:noWrap/>
            <w:hideMark/>
          </w:tcPr>
          <w:p w14:paraId="4BABF3C4"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12.08</w:t>
            </w:r>
          </w:p>
        </w:tc>
        <w:tc>
          <w:tcPr>
            <w:tcW w:w="1315" w:type="dxa"/>
            <w:shd w:val="clear" w:color="auto" w:fill="auto"/>
            <w:noWrap/>
            <w:hideMark/>
          </w:tcPr>
          <w:p w14:paraId="1EB3787A"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1.88</w:t>
            </w:r>
          </w:p>
        </w:tc>
        <w:tc>
          <w:tcPr>
            <w:tcW w:w="1026" w:type="dxa"/>
          </w:tcPr>
          <w:p w14:paraId="6621A4BA"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11.81</w:t>
            </w:r>
          </w:p>
        </w:tc>
        <w:tc>
          <w:tcPr>
            <w:tcW w:w="1061" w:type="dxa"/>
            <w:shd w:val="clear" w:color="auto" w:fill="auto"/>
            <w:noWrap/>
            <w:hideMark/>
          </w:tcPr>
          <w:p w14:paraId="33B96D8E"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10.71</w:t>
            </w:r>
          </w:p>
        </w:tc>
        <w:tc>
          <w:tcPr>
            <w:tcW w:w="1275" w:type="dxa"/>
            <w:shd w:val="clear" w:color="auto" w:fill="auto"/>
            <w:noWrap/>
            <w:hideMark/>
          </w:tcPr>
          <w:p w14:paraId="6BACAF55"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13.16</w:t>
            </w:r>
          </w:p>
        </w:tc>
      </w:tr>
      <w:tr w:rsidR="00FB736C" w:rsidRPr="004E5F50" w14:paraId="32E8A147" w14:textId="77777777" w:rsidTr="00C15CF1">
        <w:trPr>
          <w:trHeight w:val="300"/>
        </w:trPr>
        <w:tc>
          <w:tcPr>
            <w:tcW w:w="2466" w:type="dxa"/>
            <w:shd w:val="clear" w:color="auto" w:fill="auto"/>
            <w:noWrap/>
            <w:vAlign w:val="bottom"/>
            <w:hideMark/>
          </w:tcPr>
          <w:p w14:paraId="5DB32DC9"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 xml:space="preserve">Deposits </w:t>
            </w:r>
          </w:p>
        </w:tc>
        <w:tc>
          <w:tcPr>
            <w:tcW w:w="994" w:type="dxa"/>
            <w:shd w:val="clear" w:color="auto" w:fill="auto"/>
            <w:noWrap/>
            <w:hideMark/>
          </w:tcPr>
          <w:p w14:paraId="3DF06976" w14:textId="77777777" w:rsidR="00FB736C" w:rsidRPr="000371B3" w:rsidRDefault="00FB736C" w:rsidP="00C15CF1">
            <w:pPr>
              <w:spacing w:after="0"/>
              <w:jc w:val="center"/>
              <w:rPr>
                <w:rFonts w:ascii="Times New Roman" w:hAnsi="Times New Roman" w:cs="Times New Roman"/>
                <w:noProof/>
                <w:sz w:val="24"/>
                <w:szCs w:val="24"/>
                <w:lang w:val="en-GB"/>
              </w:rPr>
            </w:pPr>
            <w:r w:rsidRPr="00401A54">
              <w:rPr>
                <w:rFonts w:ascii="Times New Roman" w:hAnsi="Times New Roman" w:cs="Times New Roman"/>
                <w:color w:val="000000"/>
                <w:sz w:val="24"/>
                <w:szCs w:val="24"/>
              </w:rPr>
              <w:t>12371</w:t>
            </w:r>
          </w:p>
        </w:tc>
        <w:tc>
          <w:tcPr>
            <w:tcW w:w="1002" w:type="dxa"/>
            <w:shd w:val="clear" w:color="auto" w:fill="auto"/>
            <w:noWrap/>
            <w:hideMark/>
          </w:tcPr>
          <w:p w14:paraId="4B0AADDB"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11.9</w:t>
            </w:r>
          </w:p>
        </w:tc>
        <w:tc>
          <w:tcPr>
            <w:tcW w:w="1315" w:type="dxa"/>
            <w:shd w:val="clear" w:color="auto" w:fill="auto"/>
            <w:noWrap/>
            <w:hideMark/>
          </w:tcPr>
          <w:p w14:paraId="73BC8A2A"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1.81</w:t>
            </w:r>
          </w:p>
        </w:tc>
        <w:tc>
          <w:tcPr>
            <w:tcW w:w="1026" w:type="dxa"/>
          </w:tcPr>
          <w:p w14:paraId="230D64C5"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11.61</w:t>
            </w:r>
          </w:p>
        </w:tc>
        <w:tc>
          <w:tcPr>
            <w:tcW w:w="1061" w:type="dxa"/>
            <w:shd w:val="clear" w:color="auto" w:fill="auto"/>
            <w:noWrap/>
            <w:hideMark/>
          </w:tcPr>
          <w:p w14:paraId="53DFA89D"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10.65</w:t>
            </w:r>
          </w:p>
        </w:tc>
        <w:tc>
          <w:tcPr>
            <w:tcW w:w="1275" w:type="dxa"/>
            <w:shd w:val="clear" w:color="auto" w:fill="auto"/>
            <w:noWrap/>
            <w:hideMark/>
          </w:tcPr>
          <w:p w14:paraId="46548113"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12.84</w:t>
            </w:r>
          </w:p>
        </w:tc>
      </w:tr>
      <w:tr w:rsidR="00FB736C" w:rsidRPr="004E5F50" w14:paraId="6B8D879B" w14:textId="77777777" w:rsidTr="00C15CF1">
        <w:trPr>
          <w:trHeight w:val="300"/>
        </w:trPr>
        <w:tc>
          <w:tcPr>
            <w:tcW w:w="2466" w:type="dxa"/>
            <w:shd w:val="clear" w:color="auto" w:fill="auto"/>
            <w:noWrap/>
            <w:vAlign w:val="bottom"/>
            <w:hideMark/>
          </w:tcPr>
          <w:p w14:paraId="217FDF6F"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 xml:space="preserve">Total Assets </w:t>
            </w:r>
          </w:p>
        </w:tc>
        <w:tc>
          <w:tcPr>
            <w:tcW w:w="994" w:type="dxa"/>
            <w:shd w:val="clear" w:color="auto" w:fill="auto"/>
            <w:noWrap/>
            <w:hideMark/>
          </w:tcPr>
          <w:p w14:paraId="41AB7978" w14:textId="77777777" w:rsidR="00FB736C" w:rsidRPr="000371B3" w:rsidRDefault="00FB736C" w:rsidP="00C15CF1">
            <w:pPr>
              <w:spacing w:after="0"/>
              <w:jc w:val="center"/>
              <w:rPr>
                <w:rFonts w:ascii="Times New Roman" w:hAnsi="Times New Roman" w:cs="Times New Roman"/>
                <w:noProof/>
                <w:sz w:val="24"/>
                <w:szCs w:val="24"/>
                <w:lang w:val="en-GB"/>
              </w:rPr>
            </w:pPr>
            <w:r w:rsidRPr="00401A54">
              <w:rPr>
                <w:rFonts w:ascii="Times New Roman" w:hAnsi="Times New Roman" w:cs="Times New Roman"/>
                <w:color w:val="000000"/>
                <w:sz w:val="24"/>
                <w:szCs w:val="24"/>
              </w:rPr>
              <w:t>12371</w:t>
            </w:r>
          </w:p>
        </w:tc>
        <w:tc>
          <w:tcPr>
            <w:tcW w:w="1002" w:type="dxa"/>
            <w:shd w:val="clear" w:color="auto" w:fill="auto"/>
            <w:noWrap/>
            <w:hideMark/>
          </w:tcPr>
          <w:p w14:paraId="6A5FC9C2"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12.48</w:t>
            </w:r>
          </w:p>
        </w:tc>
        <w:tc>
          <w:tcPr>
            <w:tcW w:w="1315" w:type="dxa"/>
            <w:shd w:val="clear" w:color="auto" w:fill="auto"/>
            <w:noWrap/>
            <w:hideMark/>
          </w:tcPr>
          <w:p w14:paraId="77CBF728"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1.79</w:t>
            </w:r>
          </w:p>
        </w:tc>
        <w:tc>
          <w:tcPr>
            <w:tcW w:w="1026" w:type="dxa"/>
          </w:tcPr>
          <w:p w14:paraId="66D5B802"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12.21</w:t>
            </w:r>
          </w:p>
        </w:tc>
        <w:tc>
          <w:tcPr>
            <w:tcW w:w="1061" w:type="dxa"/>
            <w:shd w:val="clear" w:color="auto" w:fill="auto"/>
            <w:noWrap/>
            <w:hideMark/>
          </w:tcPr>
          <w:p w14:paraId="300115F2"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11.22</w:t>
            </w:r>
          </w:p>
        </w:tc>
        <w:tc>
          <w:tcPr>
            <w:tcW w:w="1275" w:type="dxa"/>
            <w:shd w:val="clear" w:color="auto" w:fill="auto"/>
            <w:noWrap/>
            <w:hideMark/>
          </w:tcPr>
          <w:p w14:paraId="34B3AA00"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13.45</w:t>
            </w:r>
          </w:p>
        </w:tc>
      </w:tr>
      <w:tr w:rsidR="00FB736C" w:rsidRPr="004E5F50" w14:paraId="7C2A53BE" w14:textId="77777777" w:rsidTr="00C15CF1">
        <w:trPr>
          <w:trHeight w:val="300"/>
        </w:trPr>
        <w:tc>
          <w:tcPr>
            <w:tcW w:w="2466" w:type="dxa"/>
            <w:shd w:val="clear" w:color="auto" w:fill="auto"/>
            <w:noWrap/>
            <w:vAlign w:val="bottom"/>
          </w:tcPr>
          <w:p w14:paraId="2F983BB2" w14:textId="77777777" w:rsidR="00FB736C" w:rsidRPr="000371B3" w:rsidRDefault="00FB736C" w:rsidP="00C15CF1">
            <w:pPr>
              <w:spacing w:after="0"/>
              <w:rPr>
                <w:rFonts w:ascii="Times New Roman" w:hAnsi="Times New Roman" w:cs="Times New Roman"/>
                <w:noProof/>
                <w:sz w:val="24"/>
                <w:szCs w:val="24"/>
                <w:lang w:val="en-GB"/>
              </w:rPr>
            </w:pPr>
            <w:r>
              <w:rPr>
                <w:rFonts w:ascii="Times New Roman" w:hAnsi="Times New Roman" w:cs="Times New Roman"/>
                <w:color w:val="000000"/>
                <w:sz w:val="24"/>
                <w:szCs w:val="24"/>
              </w:rPr>
              <w:t>GD</w:t>
            </w:r>
          </w:p>
        </w:tc>
        <w:tc>
          <w:tcPr>
            <w:tcW w:w="994" w:type="dxa"/>
            <w:shd w:val="clear" w:color="auto" w:fill="auto"/>
            <w:noWrap/>
            <w:vAlign w:val="bottom"/>
          </w:tcPr>
          <w:p w14:paraId="7E36F533" w14:textId="77777777" w:rsidR="00FB736C" w:rsidRPr="000371B3" w:rsidRDefault="00FB736C" w:rsidP="00C15CF1">
            <w:pPr>
              <w:spacing w:after="0"/>
              <w:jc w:val="center"/>
              <w:rPr>
                <w:rFonts w:ascii="Times New Roman" w:hAnsi="Times New Roman" w:cs="Times New Roman"/>
                <w:color w:val="000000"/>
                <w:sz w:val="24"/>
                <w:szCs w:val="24"/>
              </w:rPr>
            </w:pPr>
            <w:r w:rsidRPr="000371B3">
              <w:rPr>
                <w:rFonts w:ascii="Times New Roman" w:hAnsi="Times New Roman" w:cs="Times New Roman"/>
                <w:color w:val="000000"/>
                <w:sz w:val="24"/>
                <w:szCs w:val="24"/>
              </w:rPr>
              <w:t>12371</w:t>
            </w:r>
          </w:p>
        </w:tc>
        <w:tc>
          <w:tcPr>
            <w:tcW w:w="1002" w:type="dxa"/>
            <w:shd w:val="clear" w:color="auto" w:fill="auto"/>
            <w:noWrap/>
          </w:tcPr>
          <w:p w14:paraId="1D69A80E"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0.23</w:t>
            </w:r>
          </w:p>
        </w:tc>
        <w:tc>
          <w:tcPr>
            <w:tcW w:w="1315" w:type="dxa"/>
            <w:shd w:val="clear" w:color="auto" w:fill="auto"/>
            <w:noWrap/>
          </w:tcPr>
          <w:p w14:paraId="7960E4BE"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0.3</w:t>
            </w:r>
          </w:p>
        </w:tc>
        <w:tc>
          <w:tcPr>
            <w:tcW w:w="1026" w:type="dxa"/>
          </w:tcPr>
          <w:p w14:paraId="15344E0E"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w:t>
            </w:r>
          </w:p>
        </w:tc>
        <w:tc>
          <w:tcPr>
            <w:tcW w:w="1061" w:type="dxa"/>
            <w:shd w:val="clear" w:color="auto" w:fill="auto"/>
            <w:noWrap/>
          </w:tcPr>
          <w:p w14:paraId="12A31A79"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w:t>
            </w:r>
          </w:p>
        </w:tc>
        <w:tc>
          <w:tcPr>
            <w:tcW w:w="1275" w:type="dxa"/>
            <w:shd w:val="clear" w:color="auto" w:fill="auto"/>
            <w:noWrap/>
          </w:tcPr>
          <w:p w14:paraId="163B4DF4"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0.44</w:t>
            </w:r>
          </w:p>
        </w:tc>
      </w:tr>
      <w:tr w:rsidR="00FB736C" w:rsidRPr="004E5F50" w14:paraId="16307EA0" w14:textId="77777777" w:rsidTr="00C15CF1">
        <w:trPr>
          <w:trHeight w:val="300"/>
        </w:trPr>
        <w:tc>
          <w:tcPr>
            <w:tcW w:w="2466" w:type="dxa"/>
            <w:shd w:val="clear" w:color="auto" w:fill="auto"/>
            <w:noWrap/>
            <w:vAlign w:val="bottom"/>
          </w:tcPr>
          <w:p w14:paraId="7EDB9283"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DISTANCE</w:t>
            </w:r>
          </w:p>
        </w:tc>
        <w:tc>
          <w:tcPr>
            <w:tcW w:w="994" w:type="dxa"/>
            <w:shd w:val="clear" w:color="auto" w:fill="auto"/>
            <w:noWrap/>
            <w:vAlign w:val="bottom"/>
          </w:tcPr>
          <w:p w14:paraId="48909A69" w14:textId="77777777" w:rsidR="00FB736C" w:rsidRPr="000371B3" w:rsidRDefault="00FB736C" w:rsidP="00C15CF1">
            <w:pPr>
              <w:spacing w:after="0"/>
              <w:jc w:val="center"/>
              <w:rPr>
                <w:rFonts w:ascii="Times New Roman" w:hAnsi="Times New Roman" w:cs="Times New Roman"/>
                <w:color w:val="000000"/>
                <w:sz w:val="24"/>
                <w:szCs w:val="24"/>
              </w:rPr>
            </w:pPr>
            <w:r w:rsidRPr="000371B3">
              <w:rPr>
                <w:rFonts w:ascii="Times New Roman" w:hAnsi="Times New Roman" w:cs="Times New Roman"/>
                <w:color w:val="000000"/>
                <w:sz w:val="24"/>
                <w:szCs w:val="24"/>
              </w:rPr>
              <w:t>12371</w:t>
            </w:r>
          </w:p>
        </w:tc>
        <w:tc>
          <w:tcPr>
            <w:tcW w:w="1002" w:type="dxa"/>
            <w:shd w:val="clear" w:color="auto" w:fill="auto"/>
            <w:noWrap/>
          </w:tcPr>
          <w:p w14:paraId="6E807A7E"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4.35</w:t>
            </w:r>
          </w:p>
        </w:tc>
        <w:tc>
          <w:tcPr>
            <w:tcW w:w="1315" w:type="dxa"/>
            <w:shd w:val="clear" w:color="auto" w:fill="auto"/>
            <w:noWrap/>
          </w:tcPr>
          <w:p w14:paraId="51E8377F"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2.3</w:t>
            </w:r>
          </w:p>
        </w:tc>
        <w:tc>
          <w:tcPr>
            <w:tcW w:w="1026" w:type="dxa"/>
          </w:tcPr>
          <w:p w14:paraId="54A5E990"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4.62</w:t>
            </w:r>
          </w:p>
        </w:tc>
        <w:tc>
          <w:tcPr>
            <w:tcW w:w="1061" w:type="dxa"/>
            <w:shd w:val="clear" w:color="auto" w:fill="auto"/>
            <w:noWrap/>
          </w:tcPr>
          <w:p w14:paraId="7BFE1EC3"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3.14</w:t>
            </w:r>
          </w:p>
        </w:tc>
        <w:tc>
          <w:tcPr>
            <w:tcW w:w="1275" w:type="dxa"/>
            <w:shd w:val="clear" w:color="auto" w:fill="auto"/>
            <w:noWrap/>
          </w:tcPr>
          <w:p w14:paraId="5EEF1CCB"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5.86</w:t>
            </w:r>
          </w:p>
        </w:tc>
      </w:tr>
      <w:tr w:rsidR="00FB736C" w:rsidRPr="004E5F50" w14:paraId="3719B0C2" w14:textId="77777777" w:rsidTr="00C15CF1">
        <w:trPr>
          <w:trHeight w:val="300"/>
        </w:trPr>
        <w:tc>
          <w:tcPr>
            <w:tcW w:w="2466" w:type="dxa"/>
            <w:shd w:val="clear" w:color="auto" w:fill="auto"/>
            <w:noWrap/>
            <w:vAlign w:val="bottom"/>
          </w:tcPr>
          <w:p w14:paraId="5D7682A9"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MC</w:t>
            </w:r>
          </w:p>
        </w:tc>
        <w:tc>
          <w:tcPr>
            <w:tcW w:w="994" w:type="dxa"/>
            <w:shd w:val="clear" w:color="auto" w:fill="auto"/>
            <w:noWrap/>
            <w:vAlign w:val="bottom"/>
          </w:tcPr>
          <w:p w14:paraId="267F72A0" w14:textId="77777777" w:rsidR="00FB736C" w:rsidRPr="000371B3" w:rsidRDefault="00FB736C" w:rsidP="00C15CF1">
            <w:pPr>
              <w:spacing w:after="0"/>
              <w:jc w:val="center"/>
              <w:rPr>
                <w:rFonts w:ascii="Times New Roman" w:hAnsi="Times New Roman" w:cs="Times New Roman"/>
                <w:color w:val="000000"/>
                <w:sz w:val="24"/>
                <w:szCs w:val="24"/>
              </w:rPr>
            </w:pPr>
            <w:r w:rsidRPr="000371B3">
              <w:rPr>
                <w:rFonts w:ascii="Times New Roman" w:hAnsi="Times New Roman" w:cs="Times New Roman"/>
                <w:color w:val="000000"/>
                <w:sz w:val="24"/>
                <w:szCs w:val="24"/>
              </w:rPr>
              <w:t>12371</w:t>
            </w:r>
          </w:p>
        </w:tc>
        <w:tc>
          <w:tcPr>
            <w:tcW w:w="1002" w:type="dxa"/>
            <w:shd w:val="clear" w:color="auto" w:fill="auto"/>
            <w:noWrap/>
          </w:tcPr>
          <w:p w14:paraId="025D26D1"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0.06</w:t>
            </w:r>
          </w:p>
        </w:tc>
        <w:tc>
          <w:tcPr>
            <w:tcW w:w="1315" w:type="dxa"/>
            <w:shd w:val="clear" w:color="auto" w:fill="auto"/>
            <w:noWrap/>
          </w:tcPr>
          <w:p w14:paraId="4AA6C65D"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0.02</w:t>
            </w:r>
          </w:p>
        </w:tc>
        <w:tc>
          <w:tcPr>
            <w:tcW w:w="1026" w:type="dxa"/>
          </w:tcPr>
          <w:p w14:paraId="7B14BE97"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0.05</w:t>
            </w:r>
          </w:p>
        </w:tc>
        <w:tc>
          <w:tcPr>
            <w:tcW w:w="1061" w:type="dxa"/>
            <w:shd w:val="clear" w:color="auto" w:fill="auto"/>
            <w:noWrap/>
          </w:tcPr>
          <w:p w14:paraId="65E0B1C5"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0.04</w:t>
            </w:r>
          </w:p>
        </w:tc>
        <w:tc>
          <w:tcPr>
            <w:tcW w:w="1275" w:type="dxa"/>
            <w:shd w:val="clear" w:color="auto" w:fill="auto"/>
            <w:noWrap/>
          </w:tcPr>
          <w:p w14:paraId="7810C9C6"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0.07</w:t>
            </w:r>
          </w:p>
        </w:tc>
      </w:tr>
      <w:tr w:rsidR="00FB736C" w:rsidRPr="004E5F50" w14:paraId="22953D7B" w14:textId="77777777" w:rsidTr="00C15CF1">
        <w:trPr>
          <w:trHeight w:val="300"/>
        </w:trPr>
        <w:tc>
          <w:tcPr>
            <w:tcW w:w="2466" w:type="dxa"/>
            <w:shd w:val="clear" w:color="auto" w:fill="auto"/>
            <w:noWrap/>
            <w:vAlign w:val="bottom"/>
          </w:tcPr>
          <w:p w14:paraId="6F9ED7D1"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MC_Large</w:t>
            </w:r>
            <w:r>
              <w:rPr>
                <w:rFonts w:ascii="Times New Roman" w:hAnsi="Times New Roman" w:cs="Times New Roman"/>
                <w:color w:val="000000"/>
                <w:sz w:val="24"/>
                <w:szCs w:val="24"/>
              </w:rPr>
              <w:t>B (*)</w:t>
            </w:r>
          </w:p>
        </w:tc>
        <w:tc>
          <w:tcPr>
            <w:tcW w:w="994" w:type="dxa"/>
            <w:shd w:val="clear" w:color="auto" w:fill="auto"/>
            <w:noWrap/>
            <w:vAlign w:val="bottom"/>
          </w:tcPr>
          <w:p w14:paraId="3BCA68DC" w14:textId="77777777" w:rsidR="00FB736C" w:rsidRPr="000371B3" w:rsidRDefault="00FB736C" w:rsidP="00C15CF1">
            <w:pPr>
              <w:spacing w:after="0"/>
              <w:jc w:val="center"/>
              <w:rPr>
                <w:rFonts w:ascii="Times New Roman" w:hAnsi="Times New Roman" w:cs="Times New Roman"/>
                <w:color w:val="000000"/>
                <w:sz w:val="24"/>
                <w:szCs w:val="24"/>
              </w:rPr>
            </w:pPr>
            <w:r w:rsidRPr="00D61B03">
              <w:rPr>
                <w:rFonts w:ascii="Times New Roman" w:hAnsi="Times New Roman" w:cs="Times New Roman"/>
                <w:color w:val="000000"/>
                <w:sz w:val="24"/>
                <w:szCs w:val="24"/>
              </w:rPr>
              <w:t>6,338</w:t>
            </w:r>
          </w:p>
        </w:tc>
        <w:tc>
          <w:tcPr>
            <w:tcW w:w="1002" w:type="dxa"/>
            <w:shd w:val="clear" w:color="auto" w:fill="auto"/>
            <w:noWrap/>
          </w:tcPr>
          <w:p w14:paraId="5F25842E"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0.49</w:t>
            </w:r>
          </w:p>
        </w:tc>
        <w:tc>
          <w:tcPr>
            <w:tcW w:w="1315" w:type="dxa"/>
            <w:shd w:val="clear" w:color="auto" w:fill="auto"/>
            <w:noWrap/>
          </w:tcPr>
          <w:p w14:paraId="3D4CC4C2"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0.22</w:t>
            </w:r>
          </w:p>
        </w:tc>
        <w:tc>
          <w:tcPr>
            <w:tcW w:w="1026" w:type="dxa"/>
          </w:tcPr>
          <w:p w14:paraId="45251D78"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0.54</w:t>
            </w:r>
          </w:p>
        </w:tc>
        <w:tc>
          <w:tcPr>
            <w:tcW w:w="1061" w:type="dxa"/>
            <w:shd w:val="clear" w:color="auto" w:fill="auto"/>
            <w:noWrap/>
            <w:vAlign w:val="bottom"/>
          </w:tcPr>
          <w:p w14:paraId="3BE85A03"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0.22</w:t>
            </w:r>
          </w:p>
        </w:tc>
        <w:tc>
          <w:tcPr>
            <w:tcW w:w="1275" w:type="dxa"/>
            <w:shd w:val="clear" w:color="auto" w:fill="auto"/>
            <w:noWrap/>
            <w:vAlign w:val="bottom"/>
          </w:tcPr>
          <w:p w14:paraId="5BD201A0"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0.66</w:t>
            </w:r>
          </w:p>
        </w:tc>
      </w:tr>
      <w:tr w:rsidR="00FB736C" w:rsidRPr="004E5F50" w14:paraId="45D58B27" w14:textId="77777777" w:rsidTr="00C15CF1">
        <w:trPr>
          <w:trHeight w:val="300"/>
        </w:trPr>
        <w:tc>
          <w:tcPr>
            <w:tcW w:w="2466" w:type="dxa"/>
            <w:shd w:val="clear" w:color="auto" w:fill="auto"/>
            <w:noWrap/>
            <w:vAlign w:val="bottom"/>
            <w:hideMark/>
          </w:tcPr>
          <w:p w14:paraId="52644FCE"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PSizeL</w:t>
            </w:r>
          </w:p>
        </w:tc>
        <w:tc>
          <w:tcPr>
            <w:tcW w:w="994" w:type="dxa"/>
            <w:shd w:val="clear" w:color="auto" w:fill="auto"/>
            <w:noWrap/>
            <w:vAlign w:val="bottom"/>
          </w:tcPr>
          <w:p w14:paraId="6D566D8C" w14:textId="77777777" w:rsidR="00FB736C" w:rsidRPr="000371B3" w:rsidRDefault="00FB736C" w:rsidP="00C15CF1">
            <w:pPr>
              <w:spacing w:after="0"/>
              <w:jc w:val="center"/>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12371</w:t>
            </w:r>
          </w:p>
        </w:tc>
        <w:tc>
          <w:tcPr>
            <w:tcW w:w="1002" w:type="dxa"/>
            <w:shd w:val="clear" w:color="auto" w:fill="auto"/>
            <w:noWrap/>
            <w:vAlign w:val="bottom"/>
          </w:tcPr>
          <w:p w14:paraId="27B57A4A"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0.08</w:t>
            </w:r>
          </w:p>
        </w:tc>
        <w:tc>
          <w:tcPr>
            <w:tcW w:w="1315" w:type="dxa"/>
            <w:shd w:val="clear" w:color="auto" w:fill="auto"/>
            <w:noWrap/>
            <w:vAlign w:val="bottom"/>
            <w:hideMark/>
          </w:tcPr>
          <w:p w14:paraId="7821280B"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0.18</w:t>
            </w:r>
          </w:p>
        </w:tc>
        <w:tc>
          <w:tcPr>
            <w:tcW w:w="1026" w:type="dxa"/>
            <w:vAlign w:val="bottom"/>
          </w:tcPr>
          <w:p w14:paraId="2B0A32EC"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0.01</w:t>
            </w:r>
          </w:p>
        </w:tc>
        <w:tc>
          <w:tcPr>
            <w:tcW w:w="1061" w:type="dxa"/>
            <w:shd w:val="clear" w:color="auto" w:fill="auto"/>
            <w:noWrap/>
            <w:vAlign w:val="bottom"/>
            <w:hideMark/>
          </w:tcPr>
          <w:p w14:paraId="41504434"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0.01</w:t>
            </w:r>
          </w:p>
        </w:tc>
        <w:tc>
          <w:tcPr>
            <w:tcW w:w="1275" w:type="dxa"/>
            <w:shd w:val="clear" w:color="auto" w:fill="auto"/>
            <w:noWrap/>
            <w:vAlign w:val="bottom"/>
            <w:hideMark/>
          </w:tcPr>
          <w:p w14:paraId="3F5548C5"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0.04</w:t>
            </w:r>
          </w:p>
        </w:tc>
      </w:tr>
      <w:tr w:rsidR="00FB736C" w:rsidRPr="004E5F50" w14:paraId="70E18EB8" w14:textId="77777777" w:rsidTr="00C15CF1">
        <w:trPr>
          <w:trHeight w:val="300"/>
        </w:trPr>
        <w:tc>
          <w:tcPr>
            <w:tcW w:w="2466" w:type="dxa"/>
            <w:shd w:val="clear" w:color="auto" w:fill="auto"/>
            <w:noWrap/>
            <w:vAlign w:val="bottom"/>
          </w:tcPr>
          <w:p w14:paraId="2C482BFD"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NPLs</w:t>
            </w:r>
          </w:p>
        </w:tc>
        <w:tc>
          <w:tcPr>
            <w:tcW w:w="994" w:type="dxa"/>
            <w:shd w:val="clear" w:color="auto" w:fill="auto"/>
            <w:noWrap/>
          </w:tcPr>
          <w:p w14:paraId="67CC5410" w14:textId="77777777" w:rsidR="00FB736C" w:rsidRPr="000371B3" w:rsidRDefault="00FB736C" w:rsidP="00C15CF1">
            <w:pPr>
              <w:spacing w:after="0"/>
              <w:jc w:val="center"/>
              <w:rPr>
                <w:rFonts w:ascii="Times New Roman" w:hAnsi="Times New Roman" w:cs="Times New Roman"/>
                <w:noProof/>
                <w:sz w:val="24"/>
                <w:szCs w:val="24"/>
                <w:lang w:val="en-GB"/>
              </w:rPr>
            </w:pPr>
            <w:r w:rsidRPr="007F2AB2">
              <w:rPr>
                <w:rFonts w:ascii="Times New Roman" w:hAnsi="Times New Roman" w:cs="Times New Roman"/>
                <w:color w:val="000000"/>
                <w:sz w:val="24"/>
                <w:szCs w:val="24"/>
              </w:rPr>
              <w:t>12371</w:t>
            </w:r>
          </w:p>
        </w:tc>
        <w:tc>
          <w:tcPr>
            <w:tcW w:w="1002" w:type="dxa"/>
            <w:shd w:val="clear" w:color="auto" w:fill="auto"/>
            <w:noWrap/>
            <w:vAlign w:val="bottom"/>
          </w:tcPr>
          <w:p w14:paraId="24C1CAC6"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0.02</w:t>
            </w:r>
          </w:p>
        </w:tc>
        <w:tc>
          <w:tcPr>
            <w:tcW w:w="1315" w:type="dxa"/>
            <w:shd w:val="clear" w:color="auto" w:fill="auto"/>
            <w:noWrap/>
            <w:vAlign w:val="bottom"/>
          </w:tcPr>
          <w:p w14:paraId="398CC30E"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0.03</w:t>
            </w:r>
          </w:p>
        </w:tc>
        <w:tc>
          <w:tcPr>
            <w:tcW w:w="1026" w:type="dxa"/>
            <w:vAlign w:val="bottom"/>
          </w:tcPr>
          <w:p w14:paraId="6823C19B"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0.01</w:t>
            </w:r>
          </w:p>
        </w:tc>
        <w:tc>
          <w:tcPr>
            <w:tcW w:w="1061" w:type="dxa"/>
            <w:shd w:val="clear" w:color="auto" w:fill="auto"/>
            <w:noWrap/>
            <w:vAlign w:val="bottom"/>
          </w:tcPr>
          <w:p w14:paraId="3EC74920"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0.01</w:t>
            </w:r>
          </w:p>
        </w:tc>
        <w:tc>
          <w:tcPr>
            <w:tcW w:w="1275" w:type="dxa"/>
            <w:shd w:val="clear" w:color="auto" w:fill="auto"/>
            <w:noWrap/>
            <w:vAlign w:val="bottom"/>
          </w:tcPr>
          <w:p w14:paraId="7E4D2717"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0.03</w:t>
            </w:r>
          </w:p>
        </w:tc>
      </w:tr>
      <w:tr w:rsidR="00FB736C" w:rsidRPr="004E5F50" w14:paraId="4EE41469" w14:textId="77777777" w:rsidTr="00C15CF1">
        <w:trPr>
          <w:trHeight w:val="300"/>
        </w:trPr>
        <w:tc>
          <w:tcPr>
            <w:tcW w:w="2466" w:type="dxa"/>
            <w:shd w:val="clear" w:color="auto" w:fill="auto"/>
            <w:noWrap/>
            <w:vAlign w:val="bottom"/>
            <w:hideMark/>
          </w:tcPr>
          <w:p w14:paraId="182D224E"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EQTA</w:t>
            </w:r>
          </w:p>
        </w:tc>
        <w:tc>
          <w:tcPr>
            <w:tcW w:w="994" w:type="dxa"/>
            <w:shd w:val="clear" w:color="auto" w:fill="auto"/>
            <w:noWrap/>
            <w:hideMark/>
          </w:tcPr>
          <w:p w14:paraId="1689CEC0" w14:textId="77777777" w:rsidR="00FB736C" w:rsidRPr="000371B3" w:rsidRDefault="00FB736C" w:rsidP="00C15CF1">
            <w:pPr>
              <w:spacing w:after="0"/>
              <w:jc w:val="center"/>
              <w:rPr>
                <w:rFonts w:ascii="Times New Roman" w:hAnsi="Times New Roman" w:cs="Times New Roman"/>
                <w:noProof/>
                <w:sz w:val="24"/>
                <w:szCs w:val="24"/>
                <w:lang w:val="en-GB"/>
              </w:rPr>
            </w:pPr>
            <w:r w:rsidRPr="007F2AB2">
              <w:rPr>
                <w:rFonts w:ascii="Times New Roman" w:hAnsi="Times New Roman" w:cs="Times New Roman"/>
                <w:color w:val="000000"/>
                <w:sz w:val="24"/>
                <w:szCs w:val="24"/>
              </w:rPr>
              <w:t>12371</w:t>
            </w:r>
          </w:p>
        </w:tc>
        <w:tc>
          <w:tcPr>
            <w:tcW w:w="1002" w:type="dxa"/>
            <w:shd w:val="clear" w:color="auto" w:fill="auto"/>
            <w:noWrap/>
            <w:vAlign w:val="bottom"/>
            <w:hideMark/>
          </w:tcPr>
          <w:p w14:paraId="3FCD4902"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0.12</w:t>
            </w:r>
          </w:p>
        </w:tc>
        <w:tc>
          <w:tcPr>
            <w:tcW w:w="1315" w:type="dxa"/>
            <w:shd w:val="clear" w:color="auto" w:fill="auto"/>
            <w:noWrap/>
            <w:vAlign w:val="bottom"/>
            <w:hideMark/>
          </w:tcPr>
          <w:p w14:paraId="4176A07A"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0.06</w:t>
            </w:r>
          </w:p>
        </w:tc>
        <w:tc>
          <w:tcPr>
            <w:tcW w:w="1026" w:type="dxa"/>
            <w:vAlign w:val="bottom"/>
          </w:tcPr>
          <w:p w14:paraId="7EF73E7C"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0.11</w:t>
            </w:r>
          </w:p>
        </w:tc>
        <w:tc>
          <w:tcPr>
            <w:tcW w:w="1061" w:type="dxa"/>
            <w:shd w:val="clear" w:color="auto" w:fill="auto"/>
            <w:noWrap/>
            <w:vAlign w:val="bottom"/>
            <w:hideMark/>
          </w:tcPr>
          <w:p w14:paraId="6E2516E7"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0.09</w:t>
            </w:r>
          </w:p>
        </w:tc>
        <w:tc>
          <w:tcPr>
            <w:tcW w:w="1275" w:type="dxa"/>
            <w:shd w:val="clear" w:color="auto" w:fill="auto"/>
            <w:noWrap/>
            <w:vAlign w:val="bottom"/>
            <w:hideMark/>
          </w:tcPr>
          <w:p w14:paraId="1FEC7F80"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0.14</w:t>
            </w:r>
          </w:p>
        </w:tc>
      </w:tr>
      <w:tr w:rsidR="00FB736C" w:rsidRPr="004E5F50" w14:paraId="1BE37EB0" w14:textId="77777777" w:rsidTr="00C15CF1">
        <w:trPr>
          <w:trHeight w:val="300"/>
        </w:trPr>
        <w:tc>
          <w:tcPr>
            <w:tcW w:w="2466" w:type="dxa"/>
            <w:shd w:val="clear" w:color="auto" w:fill="auto"/>
            <w:noWrap/>
            <w:vAlign w:val="bottom"/>
            <w:hideMark/>
          </w:tcPr>
          <w:p w14:paraId="1EEFE1DA" w14:textId="77777777" w:rsidR="00FB736C" w:rsidRPr="000371B3" w:rsidRDefault="00FB736C" w:rsidP="00C15CF1">
            <w:pPr>
              <w:spacing w:after="0"/>
              <w:rPr>
                <w:rFonts w:ascii="Times New Roman" w:hAnsi="Times New Roman" w:cs="Times New Roman"/>
                <w:noProof/>
                <w:sz w:val="24"/>
                <w:szCs w:val="24"/>
                <w:lang w:val="en-GB"/>
              </w:rPr>
            </w:pPr>
            <w:r w:rsidRPr="000371B3">
              <w:rPr>
                <w:rFonts w:ascii="Times New Roman" w:hAnsi="Times New Roman" w:cs="Times New Roman"/>
                <w:color w:val="000000"/>
                <w:sz w:val="24"/>
                <w:szCs w:val="24"/>
              </w:rPr>
              <w:t>HHI</w:t>
            </w:r>
          </w:p>
        </w:tc>
        <w:tc>
          <w:tcPr>
            <w:tcW w:w="994" w:type="dxa"/>
            <w:shd w:val="clear" w:color="auto" w:fill="auto"/>
            <w:noWrap/>
            <w:hideMark/>
          </w:tcPr>
          <w:p w14:paraId="73B83CA3" w14:textId="77777777" w:rsidR="00FB736C" w:rsidRPr="000371B3" w:rsidRDefault="00FB736C" w:rsidP="00C15CF1">
            <w:pPr>
              <w:spacing w:after="0"/>
              <w:jc w:val="center"/>
              <w:rPr>
                <w:rFonts w:ascii="Times New Roman" w:hAnsi="Times New Roman" w:cs="Times New Roman"/>
                <w:noProof/>
                <w:sz w:val="24"/>
                <w:szCs w:val="24"/>
                <w:lang w:val="en-GB"/>
              </w:rPr>
            </w:pPr>
            <w:r w:rsidRPr="007F2AB2">
              <w:rPr>
                <w:rFonts w:ascii="Times New Roman" w:hAnsi="Times New Roman" w:cs="Times New Roman"/>
                <w:color w:val="000000"/>
                <w:sz w:val="24"/>
                <w:szCs w:val="24"/>
              </w:rPr>
              <w:t>12371</w:t>
            </w:r>
          </w:p>
        </w:tc>
        <w:tc>
          <w:tcPr>
            <w:tcW w:w="1002" w:type="dxa"/>
            <w:shd w:val="clear" w:color="auto" w:fill="auto"/>
            <w:noWrap/>
            <w:vAlign w:val="bottom"/>
            <w:hideMark/>
          </w:tcPr>
          <w:p w14:paraId="7DFB2E40"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w:t>
            </w:r>
          </w:p>
        </w:tc>
        <w:tc>
          <w:tcPr>
            <w:tcW w:w="1315" w:type="dxa"/>
            <w:shd w:val="clear" w:color="auto" w:fill="auto"/>
            <w:noWrap/>
            <w:vAlign w:val="bottom"/>
            <w:hideMark/>
          </w:tcPr>
          <w:p w14:paraId="282A42F7"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0.04</w:t>
            </w:r>
          </w:p>
        </w:tc>
        <w:tc>
          <w:tcPr>
            <w:tcW w:w="1026" w:type="dxa"/>
            <w:vAlign w:val="bottom"/>
          </w:tcPr>
          <w:p w14:paraId="7857BEFD"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w:t>
            </w:r>
          </w:p>
        </w:tc>
        <w:tc>
          <w:tcPr>
            <w:tcW w:w="1061" w:type="dxa"/>
            <w:shd w:val="clear" w:color="auto" w:fill="auto"/>
            <w:noWrap/>
            <w:vAlign w:val="bottom"/>
            <w:hideMark/>
          </w:tcPr>
          <w:p w14:paraId="5946F821"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0.08</w:t>
            </w:r>
          </w:p>
        </w:tc>
        <w:tc>
          <w:tcPr>
            <w:tcW w:w="1275" w:type="dxa"/>
            <w:shd w:val="clear" w:color="auto" w:fill="auto"/>
            <w:noWrap/>
            <w:vAlign w:val="bottom"/>
            <w:hideMark/>
          </w:tcPr>
          <w:p w14:paraId="12A9EC86"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0.12</w:t>
            </w:r>
          </w:p>
        </w:tc>
      </w:tr>
      <w:tr w:rsidR="00FB736C" w:rsidRPr="004E5F50" w14:paraId="02246596" w14:textId="77777777" w:rsidTr="00C15CF1">
        <w:trPr>
          <w:trHeight w:val="253"/>
        </w:trPr>
        <w:tc>
          <w:tcPr>
            <w:tcW w:w="2466" w:type="dxa"/>
            <w:shd w:val="clear" w:color="auto" w:fill="auto"/>
            <w:noWrap/>
            <w:vAlign w:val="bottom"/>
            <w:hideMark/>
          </w:tcPr>
          <w:p w14:paraId="017FEDA6" w14:textId="77777777" w:rsidR="00FB736C" w:rsidRPr="000371B3" w:rsidRDefault="00FB736C" w:rsidP="00C15CF1">
            <w:pPr>
              <w:spacing w:after="0"/>
              <w:rPr>
                <w:rFonts w:ascii="Times New Roman" w:hAnsi="Times New Roman" w:cs="Times New Roman"/>
                <w:noProof/>
                <w:sz w:val="24"/>
                <w:szCs w:val="24"/>
                <w:lang w:val="en-GB"/>
              </w:rPr>
            </w:pPr>
            <w:r>
              <w:rPr>
                <w:rFonts w:ascii="Times New Roman" w:hAnsi="Times New Roman" w:cs="Times New Roman"/>
                <w:color w:val="000000"/>
                <w:sz w:val="24"/>
                <w:szCs w:val="24"/>
              </w:rPr>
              <w:t xml:space="preserve">Adj </w:t>
            </w:r>
            <w:r w:rsidRPr="000371B3">
              <w:rPr>
                <w:rFonts w:ascii="Times New Roman" w:hAnsi="Times New Roman" w:cs="Times New Roman"/>
                <w:color w:val="000000"/>
                <w:sz w:val="24"/>
                <w:szCs w:val="24"/>
              </w:rPr>
              <w:t>LE</w:t>
            </w:r>
          </w:p>
        </w:tc>
        <w:tc>
          <w:tcPr>
            <w:tcW w:w="994" w:type="dxa"/>
            <w:shd w:val="clear" w:color="auto" w:fill="auto"/>
            <w:noWrap/>
            <w:hideMark/>
          </w:tcPr>
          <w:p w14:paraId="23CCA644" w14:textId="77777777" w:rsidR="00FB736C" w:rsidRPr="000371B3" w:rsidRDefault="00FB736C" w:rsidP="00C15CF1">
            <w:pPr>
              <w:spacing w:after="0"/>
              <w:jc w:val="center"/>
              <w:rPr>
                <w:rFonts w:ascii="Times New Roman" w:hAnsi="Times New Roman" w:cs="Times New Roman"/>
                <w:noProof/>
                <w:sz w:val="24"/>
                <w:szCs w:val="24"/>
                <w:lang w:val="en-GB"/>
              </w:rPr>
            </w:pPr>
            <w:r w:rsidRPr="007F2AB2">
              <w:rPr>
                <w:rFonts w:ascii="Times New Roman" w:hAnsi="Times New Roman" w:cs="Times New Roman"/>
                <w:color w:val="000000"/>
                <w:sz w:val="24"/>
                <w:szCs w:val="24"/>
              </w:rPr>
              <w:t>12371</w:t>
            </w:r>
          </w:p>
        </w:tc>
        <w:tc>
          <w:tcPr>
            <w:tcW w:w="1002" w:type="dxa"/>
            <w:shd w:val="clear" w:color="auto" w:fill="auto"/>
            <w:noWrap/>
            <w:vAlign w:val="bottom"/>
            <w:hideMark/>
          </w:tcPr>
          <w:p w14:paraId="7D133194"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0.17</w:t>
            </w:r>
          </w:p>
        </w:tc>
        <w:tc>
          <w:tcPr>
            <w:tcW w:w="1315" w:type="dxa"/>
            <w:shd w:val="clear" w:color="auto" w:fill="auto"/>
            <w:noWrap/>
            <w:vAlign w:val="bottom"/>
            <w:hideMark/>
          </w:tcPr>
          <w:p w14:paraId="6461ECEB"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0.21</w:t>
            </w:r>
          </w:p>
        </w:tc>
        <w:tc>
          <w:tcPr>
            <w:tcW w:w="1026" w:type="dxa"/>
            <w:vAlign w:val="bottom"/>
          </w:tcPr>
          <w:p w14:paraId="1BCAD60E"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0.19</w:t>
            </w:r>
          </w:p>
        </w:tc>
        <w:tc>
          <w:tcPr>
            <w:tcW w:w="1061" w:type="dxa"/>
            <w:shd w:val="clear" w:color="auto" w:fill="auto"/>
            <w:noWrap/>
            <w:vAlign w:val="bottom"/>
            <w:hideMark/>
          </w:tcPr>
          <w:p w14:paraId="4F829307"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w:t>
            </w:r>
          </w:p>
        </w:tc>
        <w:tc>
          <w:tcPr>
            <w:tcW w:w="1275" w:type="dxa"/>
            <w:shd w:val="clear" w:color="auto" w:fill="auto"/>
            <w:noWrap/>
            <w:vAlign w:val="bottom"/>
            <w:hideMark/>
          </w:tcPr>
          <w:p w14:paraId="5F4F595E"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0.28</w:t>
            </w:r>
          </w:p>
        </w:tc>
      </w:tr>
      <w:tr w:rsidR="00FB736C" w:rsidRPr="004E5F50" w14:paraId="388155DF" w14:textId="77777777" w:rsidTr="00C15CF1">
        <w:trPr>
          <w:trHeight w:val="163"/>
        </w:trPr>
        <w:tc>
          <w:tcPr>
            <w:tcW w:w="2466" w:type="dxa"/>
            <w:shd w:val="clear" w:color="auto" w:fill="auto"/>
            <w:noWrap/>
            <w:vAlign w:val="bottom"/>
          </w:tcPr>
          <w:p w14:paraId="4959D753" w14:textId="77777777" w:rsidR="00FB736C" w:rsidRPr="000371B3" w:rsidRDefault="00FB736C" w:rsidP="00C15CF1">
            <w:pPr>
              <w:spacing w:after="0"/>
              <w:rPr>
                <w:rFonts w:ascii="Times New Roman" w:hAnsi="Times New Roman" w:cs="Times New Roman"/>
                <w:noProof/>
                <w:sz w:val="24"/>
                <w:szCs w:val="24"/>
                <w:lang w:val="en-GB"/>
              </w:rPr>
            </w:pPr>
            <w:r w:rsidRPr="005F2C6C">
              <w:rPr>
                <w:rFonts w:asciiTheme="majorBidi" w:hAnsiTheme="majorBidi" w:cstheme="majorBidi"/>
                <w:noProof/>
                <w:lang w:val="en-GB"/>
              </w:rPr>
              <w:t>LE</w:t>
            </w:r>
            <w:r w:rsidRPr="005F2C6C">
              <w:rPr>
                <w:rFonts w:asciiTheme="majorBidi" w:hAnsiTheme="majorBidi" w:cstheme="majorBidi"/>
                <w:noProof/>
                <w:sz w:val="16"/>
                <w:szCs w:val="16"/>
                <w:lang w:val="en-GB"/>
              </w:rPr>
              <w:t>L</w:t>
            </w:r>
          </w:p>
        </w:tc>
        <w:tc>
          <w:tcPr>
            <w:tcW w:w="994" w:type="dxa"/>
            <w:shd w:val="clear" w:color="auto" w:fill="auto"/>
            <w:noWrap/>
          </w:tcPr>
          <w:p w14:paraId="16A66EF6" w14:textId="77777777" w:rsidR="00FB736C" w:rsidRPr="000371B3" w:rsidRDefault="00FB736C" w:rsidP="00C15CF1">
            <w:pPr>
              <w:spacing w:after="0"/>
              <w:jc w:val="center"/>
              <w:rPr>
                <w:rFonts w:ascii="Times New Roman" w:hAnsi="Times New Roman" w:cs="Times New Roman"/>
                <w:noProof/>
                <w:sz w:val="24"/>
                <w:szCs w:val="24"/>
                <w:lang w:val="en-GB"/>
              </w:rPr>
            </w:pPr>
            <w:r w:rsidRPr="007F2AB2">
              <w:rPr>
                <w:rFonts w:ascii="Times New Roman" w:hAnsi="Times New Roman" w:cs="Times New Roman"/>
                <w:color w:val="000000"/>
                <w:sz w:val="24"/>
                <w:szCs w:val="24"/>
              </w:rPr>
              <w:t>12371</w:t>
            </w:r>
          </w:p>
        </w:tc>
        <w:tc>
          <w:tcPr>
            <w:tcW w:w="1002" w:type="dxa"/>
            <w:shd w:val="clear" w:color="auto" w:fill="auto"/>
            <w:noWrap/>
            <w:vAlign w:val="bottom"/>
          </w:tcPr>
          <w:p w14:paraId="09FB9BC0"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0.75</w:t>
            </w:r>
          </w:p>
        </w:tc>
        <w:tc>
          <w:tcPr>
            <w:tcW w:w="1315" w:type="dxa"/>
            <w:shd w:val="clear" w:color="auto" w:fill="auto"/>
            <w:noWrap/>
            <w:vAlign w:val="bottom"/>
          </w:tcPr>
          <w:p w14:paraId="1492DA10"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0.11</w:t>
            </w:r>
          </w:p>
        </w:tc>
        <w:tc>
          <w:tcPr>
            <w:tcW w:w="1026" w:type="dxa"/>
            <w:vAlign w:val="bottom"/>
          </w:tcPr>
          <w:p w14:paraId="60C44BF6"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0.77</w:t>
            </w:r>
          </w:p>
        </w:tc>
        <w:tc>
          <w:tcPr>
            <w:tcW w:w="1061" w:type="dxa"/>
            <w:shd w:val="clear" w:color="auto" w:fill="auto"/>
            <w:noWrap/>
            <w:vAlign w:val="bottom"/>
          </w:tcPr>
          <w:p w14:paraId="65A30664"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0.7</w:t>
            </w:r>
          </w:p>
        </w:tc>
        <w:tc>
          <w:tcPr>
            <w:tcW w:w="1275" w:type="dxa"/>
            <w:shd w:val="clear" w:color="auto" w:fill="auto"/>
            <w:noWrap/>
            <w:vAlign w:val="bottom"/>
          </w:tcPr>
          <w:p w14:paraId="3A3904FE"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0.83</w:t>
            </w:r>
          </w:p>
        </w:tc>
      </w:tr>
      <w:tr w:rsidR="00FB736C" w:rsidRPr="004E5F50" w14:paraId="61F9AF0D" w14:textId="77777777" w:rsidTr="00C15CF1">
        <w:trPr>
          <w:trHeight w:val="335"/>
        </w:trPr>
        <w:tc>
          <w:tcPr>
            <w:tcW w:w="2466" w:type="dxa"/>
            <w:tcBorders>
              <w:bottom w:val="single" w:sz="4" w:space="0" w:color="auto"/>
            </w:tcBorders>
            <w:shd w:val="clear" w:color="auto" w:fill="auto"/>
            <w:noWrap/>
            <w:vAlign w:val="bottom"/>
          </w:tcPr>
          <w:p w14:paraId="54C81E6F" w14:textId="77777777" w:rsidR="00FB736C" w:rsidRPr="000371B3" w:rsidRDefault="00FB736C" w:rsidP="00C15CF1">
            <w:pPr>
              <w:spacing w:after="0"/>
              <w:rPr>
                <w:rFonts w:ascii="Times New Roman" w:hAnsi="Times New Roman" w:cs="Times New Roman"/>
                <w:noProof/>
                <w:sz w:val="24"/>
                <w:szCs w:val="24"/>
                <w:lang w:val="en-GB"/>
              </w:rPr>
            </w:pPr>
            <w:r w:rsidRPr="005F2C6C">
              <w:rPr>
                <w:rFonts w:asciiTheme="majorBidi" w:hAnsiTheme="majorBidi" w:cstheme="majorBidi"/>
                <w:noProof/>
                <w:lang w:val="en-GB"/>
              </w:rPr>
              <w:t>LE</w:t>
            </w:r>
            <w:r w:rsidRPr="005F2C6C">
              <w:rPr>
                <w:rFonts w:asciiTheme="majorBidi" w:hAnsiTheme="majorBidi" w:cstheme="majorBidi"/>
                <w:noProof/>
                <w:sz w:val="16"/>
                <w:szCs w:val="16"/>
                <w:lang w:val="en-GB"/>
              </w:rPr>
              <w:t>D</w:t>
            </w:r>
          </w:p>
        </w:tc>
        <w:tc>
          <w:tcPr>
            <w:tcW w:w="994" w:type="dxa"/>
            <w:tcBorders>
              <w:bottom w:val="single" w:sz="4" w:space="0" w:color="auto"/>
            </w:tcBorders>
            <w:shd w:val="clear" w:color="auto" w:fill="auto"/>
            <w:noWrap/>
          </w:tcPr>
          <w:p w14:paraId="1C445AAC" w14:textId="77777777" w:rsidR="00FB736C" w:rsidRPr="000371B3" w:rsidRDefault="00FB736C" w:rsidP="00C15CF1">
            <w:pPr>
              <w:spacing w:after="0"/>
              <w:jc w:val="center"/>
              <w:rPr>
                <w:rFonts w:ascii="Times New Roman" w:hAnsi="Times New Roman" w:cs="Times New Roman"/>
                <w:noProof/>
                <w:sz w:val="24"/>
                <w:szCs w:val="24"/>
                <w:lang w:val="en-GB"/>
              </w:rPr>
            </w:pPr>
            <w:r w:rsidRPr="007F2AB2">
              <w:rPr>
                <w:rFonts w:ascii="Times New Roman" w:hAnsi="Times New Roman" w:cs="Times New Roman"/>
                <w:color w:val="000000"/>
                <w:sz w:val="24"/>
                <w:szCs w:val="24"/>
              </w:rPr>
              <w:t>12371</w:t>
            </w:r>
          </w:p>
        </w:tc>
        <w:tc>
          <w:tcPr>
            <w:tcW w:w="1002" w:type="dxa"/>
            <w:tcBorders>
              <w:bottom w:val="single" w:sz="4" w:space="0" w:color="auto"/>
            </w:tcBorders>
            <w:shd w:val="clear" w:color="auto" w:fill="auto"/>
            <w:noWrap/>
            <w:vAlign w:val="bottom"/>
          </w:tcPr>
          <w:p w14:paraId="055743DE"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0.47</w:t>
            </w:r>
          </w:p>
        </w:tc>
        <w:tc>
          <w:tcPr>
            <w:tcW w:w="1315" w:type="dxa"/>
            <w:tcBorders>
              <w:bottom w:val="single" w:sz="4" w:space="0" w:color="auto"/>
            </w:tcBorders>
            <w:shd w:val="clear" w:color="auto" w:fill="auto"/>
            <w:noWrap/>
            <w:vAlign w:val="bottom"/>
          </w:tcPr>
          <w:p w14:paraId="7FD344C8"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0.26</w:t>
            </w:r>
          </w:p>
        </w:tc>
        <w:tc>
          <w:tcPr>
            <w:tcW w:w="1026" w:type="dxa"/>
            <w:tcBorders>
              <w:bottom w:val="single" w:sz="4" w:space="0" w:color="auto"/>
            </w:tcBorders>
            <w:vAlign w:val="bottom"/>
          </w:tcPr>
          <w:p w14:paraId="6702A224"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0.53</w:t>
            </w:r>
          </w:p>
        </w:tc>
        <w:tc>
          <w:tcPr>
            <w:tcW w:w="1061" w:type="dxa"/>
            <w:tcBorders>
              <w:bottom w:val="single" w:sz="4" w:space="0" w:color="auto"/>
            </w:tcBorders>
            <w:shd w:val="clear" w:color="auto" w:fill="auto"/>
            <w:noWrap/>
            <w:vAlign w:val="bottom"/>
          </w:tcPr>
          <w:p w14:paraId="6B133816"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0.32</w:t>
            </w:r>
          </w:p>
        </w:tc>
        <w:tc>
          <w:tcPr>
            <w:tcW w:w="1275" w:type="dxa"/>
            <w:tcBorders>
              <w:bottom w:val="single" w:sz="4" w:space="0" w:color="auto"/>
            </w:tcBorders>
            <w:shd w:val="clear" w:color="auto" w:fill="auto"/>
            <w:noWrap/>
            <w:vAlign w:val="bottom"/>
          </w:tcPr>
          <w:p w14:paraId="5B5B8B3E" w14:textId="77777777" w:rsidR="00FB736C" w:rsidRPr="00B91FC4" w:rsidRDefault="00FB736C" w:rsidP="00C15CF1">
            <w:pPr>
              <w:spacing w:after="0"/>
              <w:jc w:val="center"/>
              <w:rPr>
                <w:rFonts w:ascii="Times New Roman" w:hAnsi="Times New Roman" w:cs="Times New Roman"/>
                <w:color w:val="000000"/>
              </w:rPr>
            </w:pPr>
            <w:r w:rsidRPr="00B91FC4">
              <w:rPr>
                <w:rFonts w:ascii="Times New Roman" w:hAnsi="Times New Roman" w:cs="Times New Roman"/>
                <w:color w:val="000000"/>
              </w:rPr>
              <w:t>0.68</w:t>
            </w:r>
          </w:p>
        </w:tc>
      </w:tr>
    </w:tbl>
    <w:p w14:paraId="42BD6448" w14:textId="77777777" w:rsidR="00FB736C" w:rsidRDefault="00FB736C" w:rsidP="00FB736C">
      <w:pPr>
        <w:spacing w:after="0"/>
        <w:jc w:val="both"/>
        <w:rPr>
          <w:rFonts w:asciiTheme="majorBidi" w:hAnsiTheme="majorBidi" w:cstheme="majorBidi"/>
          <w:noProof/>
          <w:lang w:val="en-GB"/>
        </w:rPr>
      </w:pPr>
    </w:p>
    <w:p w14:paraId="76BD00D5" w14:textId="77777777" w:rsidR="00FB736C" w:rsidRPr="007E7EEE" w:rsidRDefault="00FB736C" w:rsidP="00FB736C">
      <w:pPr>
        <w:spacing w:after="0"/>
        <w:ind w:left="-142"/>
        <w:jc w:val="both"/>
        <w:rPr>
          <w:rFonts w:asciiTheme="majorBidi" w:hAnsiTheme="majorBidi" w:cstheme="majorBidi"/>
          <w:noProof/>
          <w:lang w:val="en-GB"/>
        </w:rPr>
      </w:pPr>
      <w:r w:rsidRPr="007E7EEE">
        <w:rPr>
          <w:rFonts w:asciiTheme="majorBidi" w:hAnsiTheme="majorBidi" w:cstheme="majorBidi"/>
          <w:b/>
          <w:bCs/>
          <w:noProof/>
          <w:lang w:val="en-GB"/>
        </w:rPr>
        <w:t xml:space="preserve">Note: </w:t>
      </w:r>
      <w:r w:rsidRPr="007E7EEE">
        <w:rPr>
          <w:rFonts w:asciiTheme="majorBidi" w:hAnsiTheme="majorBidi" w:cstheme="majorBidi"/>
          <w:noProof/>
          <w:lang w:val="en-GB"/>
        </w:rPr>
        <w:t xml:space="preserve">ROA is the return on equity; LNTA is total loans over total assets; DPTA is total deposits over total assets; Loans is the logarithm of total loans to customers; Deposits is the logarithm of total deposits to customers;  Total assets is the logarithm of total assets; GD is the geographic distribution of branches in all the provinces; </w:t>
      </w:r>
      <w:r w:rsidRPr="007E7EEE">
        <w:rPr>
          <w:rFonts w:asciiTheme="majorBidi" w:eastAsia="Times New Roman" w:hAnsiTheme="majorBidi" w:cstheme="majorBidi"/>
          <w:color w:val="000000"/>
          <w:lang w:val="en-GB"/>
        </w:rPr>
        <w:t xml:space="preserve">DISTANCE is the </w:t>
      </w:r>
      <w:r w:rsidRPr="007E7EEE">
        <w:rPr>
          <w:rFonts w:ascii="Times New Roman" w:hAnsi="Times New Roman"/>
          <w:lang w:val="en-GB"/>
        </w:rPr>
        <w:t>weighted distance (</w:t>
      </w:r>
      <w:r w:rsidRPr="007E7EEE">
        <w:rPr>
          <w:rFonts w:asciiTheme="majorBidi" w:eastAsia="Times New Roman" w:hAnsiTheme="majorBidi" w:cstheme="majorBidi"/>
          <w:color w:val="000000"/>
          <w:lang w:val="en-GB"/>
        </w:rPr>
        <w:t>logarithm of total km)</w:t>
      </w:r>
      <w:r w:rsidRPr="007E7EEE">
        <w:rPr>
          <w:rFonts w:ascii="Times New Roman" w:hAnsi="Times New Roman"/>
          <w:lang w:val="en-GB"/>
        </w:rPr>
        <w:t xml:space="preserve"> measure as the total distance between a bank’s headquarters and its branches, with weights being the bank’s branches in a province as a share of total branches of the same bank</w:t>
      </w:r>
      <w:r w:rsidRPr="007E7EEE">
        <w:rPr>
          <w:rFonts w:asciiTheme="majorBidi" w:eastAsia="Times New Roman" w:hAnsiTheme="majorBidi" w:cstheme="majorBidi"/>
          <w:color w:val="000000"/>
          <w:lang w:val="en-GB"/>
        </w:rPr>
        <w:t xml:space="preserve">; </w:t>
      </w:r>
      <w:r w:rsidRPr="007E7EEE">
        <w:rPr>
          <w:rFonts w:asciiTheme="majorBidi" w:hAnsiTheme="majorBidi" w:cstheme="majorBidi"/>
          <w:noProof/>
          <w:lang w:val="en-GB"/>
        </w:rPr>
        <w:t xml:space="preserve">MC is the average market coverage calculated as the share of branches owned by a bank in a province; </w:t>
      </w:r>
      <w:r w:rsidRPr="007E7EEE">
        <w:rPr>
          <w:rFonts w:asciiTheme="majorBidi" w:eastAsia="Times New Roman" w:hAnsiTheme="majorBidi" w:cstheme="majorBidi"/>
          <w:color w:val="000000"/>
          <w:lang w:val="en-GB"/>
        </w:rPr>
        <w:t xml:space="preserve">MC_LargeB is the % of branches owned by medium and large banks in a province; </w:t>
      </w:r>
      <w:r w:rsidRPr="007E7EEE">
        <w:rPr>
          <w:rFonts w:ascii="Times New Roman" w:hAnsi="Times New Roman" w:cs="Times New Roman"/>
          <w:color w:val="000000"/>
        </w:rPr>
        <w:t>PSizeL</w:t>
      </w:r>
      <w:r w:rsidRPr="007E7EEE" w:rsidDel="0084454B">
        <w:rPr>
          <w:rFonts w:asciiTheme="majorBidi" w:eastAsia="Times New Roman" w:hAnsiTheme="majorBidi" w:cstheme="majorBidi"/>
          <w:color w:val="000000"/>
          <w:lang w:val="en-GB"/>
        </w:rPr>
        <w:t xml:space="preserve"> </w:t>
      </w:r>
      <w:r w:rsidRPr="007E7EEE">
        <w:rPr>
          <w:rFonts w:asciiTheme="majorBidi" w:eastAsia="Times New Roman" w:hAnsiTheme="majorBidi" w:cstheme="majorBidi"/>
          <w:color w:val="000000"/>
          <w:lang w:val="en-GB"/>
        </w:rPr>
        <w:t xml:space="preserve">is calculated as the total amount of loans offered by the banking system in all the provinces where a bank operates divided by the total amount of loans at the national level; </w:t>
      </w:r>
      <w:r w:rsidRPr="007E7EEE">
        <w:rPr>
          <w:rFonts w:asciiTheme="majorBidi" w:hAnsiTheme="majorBidi" w:cstheme="majorBidi"/>
          <w:noProof/>
          <w:lang w:val="en-GB"/>
        </w:rPr>
        <w:t>NPLs is the amount of  non</w:t>
      </w:r>
      <w:r w:rsidRPr="007E7EEE">
        <w:rPr>
          <w:rFonts w:asciiTheme="majorBidi" w:hAnsiTheme="majorBidi" w:cstheme="majorBidi"/>
          <w:noProof/>
          <w:lang w:val="en-GB"/>
        </w:rPr>
        <w:softHyphen/>
        <w:t xml:space="preserve">performing loans to total loans; EQTA is the ratio of equity to total assets; HHI is the average market concentration of branches in all the local markets where a bank operates; Adj LE is the efficiency-adjusted Lerner index calculated following Koetter et al. (2012); LEL is the Lerner Index for loans; LED is the Lerner Index for deposits. </w:t>
      </w:r>
    </w:p>
    <w:p w14:paraId="4BD5F40C" w14:textId="77777777" w:rsidR="00FB736C" w:rsidRPr="007E7EEE" w:rsidRDefault="00FB736C" w:rsidP="00FB736C">
      <w:pPr>
        <w:spacing w:after="0"/>
        <w:ind w:left="-142"/>
        <w:jc w:val="both"/>
        <w:rPr>
          <w:rFonts w:asciiTheme="majorBidi" w:hAnsiTheme="majorBidi" w:cstheme="majorBidi"/>
          <w:noProof/>
          <w:lang w:val="en-GB"/>
        </w:rPr>
      </w:pPr>
      <w:r w:rsidRPr="007E7EEE">
        <w:rPr>
          <w:rFonts w:asciiTheme="majorBidi" w:hAnsiTheme="majorBidi" w:cstheme="majorBidi"/>
          <w:noProof/>
          <w:lang w:val="en-GB"/>
        </w:rPr>
        <w:t>(*) The data reported is for single-market banks.</w:t>
      </w:r>
    </w:p>
    <w:p w14:paraId="6A00562F" w14:textId="77777777" w:rsidR="00FB736C" w:rsidRDefault="00FB736C" w:rsidP="00FB736C">
      <w:pPr>
        <w:spacing w:after="0"/>
        <w:jc w:val="both"/>
        <w:rPr>
          <w:rFonts w:asciiTheme="majorBidi" w:hAnsiTheme="majorBidi" w:cstheme="majorBidi"/>
          <w:noProof/>
          <w:lang w:val="en-GB"/>
        </w:rPr>
      </w:pPr>
    </w:p>
    <w:p w14:paraId="29F74382" w14:textId="77777777" w:rsidR="00FB736C" w:rsidRDefault="00FB736C" w:rsidP="00FB736C">
      <w:pPr>
        <w:spacing w:after="0" w:line="240" w:lineRule="auto"/>
        <w:jc w:val="both"/>
        <w:rPr>
          <w:rFonts w:asciiTheme="majorBidi" w:hAnsiTheme="majorBidi" w:cstheme="majorBidi"/>
          <w:noProof/>
          <w:lang w:val="en-GB"/>
        </w:rPr>
      </w:pPr>
    </w:p>
    <w:p w14:paraId="0DE5A46D" w14:textId="77777777" w:rsidR="00FB736C" w:rsidRDefault="00FB736C" w:rsidP="00FB736C">
      <w:pPr>
        <w:spacing w:after="0" w:line="240" w:lineRule="auto"/>
        <w:jc w:val="both"/>
        <w:rPr>
          <w:rFonts w:asciiTheme="majorBidi" w:hAnsiTheme="majorBidi" w:cstheme="majorBidi"/>
          <w:noProof/>
          <w:lang w:val="en-GB"/>
        </w:rPr>
      </w:pPr>
    </w:p>
    <w:p w14:paraId="3DE1A70A" w14:textId="77777777" w:rsidR="00FB736C" w:rsidRDefault="00FB736C" w:rsidP="00FB736C">
      <w:pPr>
        <w:spacing w:after="0" w:line="240" w:lineRule="auto"/>
        <w:jc w:val="both"/>
        <w:rPr>
          <w:rFonts w:asciiTheme="majorBidi" w:hAnsiTheme="majorBidi" w:cstheme="majorBidi"/>
          <w:noProof/>
          <w:lang w:val="en-GB"/>
        </w:rPr>
      </w:pPr>
    </w:p>
    <w:p w14:paraId="14D20260" w14:textId="77777777" w:rsidR="00FB736C" w:rsidRDefault="00FB736C" w:rsidP="00FB736C">
      <w:pPr>
        <w:spacing w:after="0" w:line="240" w:lineRule="auto"/>
        <w:jc w:val="both"/>
        <w:rPr>
          <w:rFonts w:asciiTheme="majorBidi" w:hAnsiTheme="majorBidi" w:cstheme="majorBidi"/>
          <w:noProof/>
          <w:lang w:val="en-GB"/>
        </w:rPr>
      </w:pPr>
    </w:p>
    <w:p w14:paraId="57B1EB40" w14:textId="77777777" w:rsidR="00FB736C" w:rsidRDefault="00FB736C" w:rsidP="00FB736C">
      <w:pPr>
        <w:spacing w:after="0" w:line="240" w:lineRule="auto"/>
        <w:jc w:val="both"/>
        <w:rPr>
          <w:rFonts w:asciiTheme="majorBidi" w:hAnsiTheme="majorBidi" w:cstheme="majorBidi"/>
          <w:noProof/>
          <w:lang w:val="en-GB"/>
        </w:rPr>
      </w:pPr>
    </w:p>
    <w:p w14:paraId="5F9ACFF0" w14:textId="77777777" w:rsidR="00FB736C" w:rsidRDefault="00FB736C" w:rsidP="00FB736C">
      <w:pPr>
        <w:spacing w:after="0" w:line="240" w:lineRule="auto"/>
        <w:jc w:val="both"/>
        <w:rPr>
          <w:rFonts w:asciiTheme="majorBidi" w:hAnsiTheme="majorBidi" w:cstheme="majorBidi"/>
          <w:b/>
          <w:bCs/>
          <w:noProof/>
          <w:sz w:val="24"/>
          <w:szCs w:val="24"/>
          <w:lang w:val="en-GB"/>
        </w:rPr>
        <w:sectPr w:rsidR="00FB736C" w:rsidSect="00060262">
          <w:pgSz w:w="11906" w:h="16838" w:code="9"/>
          <w:pgMar w:top="1440" w:right="1440" w:bottom="1440" w:left="1440" w:header="709" w:footer="709" w:gutter="0"/>
          <w:cols w:space="720"/>
          <w:docGrid w:linePitch="299"/>
        </w:sectPr>
      </w:pPr>
    </w:p>
    <w:p w14:paraId="51281449" w14:textId="77777777" w:rsidR="00FB736C" w:rsidRPr="005D7567" w:rsidRDefault="00FB736C" w:rsidP="00FB736C">
      <w:pPr>
        <w:spacing w:after="0" w:line="240" w:lineRule="auto"/>
        <w:jc w:val="both"/>
        <w:rPr>
          <w:rFonts w:asciiTheme="majorBidi" w:hAnsiTheme="majorBidi" w:cstheme="majorBidi"/>
          <w:b/>
          <w:bCs/>
          <w:i/>
          <w:noProof/>
          <w:sz w:val="24"/>
          <w:szCs w:val="24"/>
          <w:lang w:val="en-GB"/>
        </w:rPr>
      </w:pPr>
      <w:r w:rsidRPr="005D7567">
        <w:rPr>
          <w:rFonts w:asciiTheme="majorBidi" w:hAnsiTheme="majorBidi" w:cstheme="majorBidi"/>
          <w:b/>
          <w:bCs/>
          <w:i/>
          <w:noProof/>
          <w:sz w:val="24"/>
          <w:szCs w:val="24"/>
          <w:lang w:val="en-GB"/>
        </w:rPr>
        <w:t>Table 2. Correlation Matrix</w:t>
      </w:r>
    </w:p>
    <w:p w14:paraId="099F1628" w14:textId="77777777" w:rsidR="00FB736C" w:rsidRPr="00734CFC" w:rsidRDefault="00FB736C" w:rsidP="00FB736C">
      <w:pPr>
        <w:spacing w:after="0" w:line="240" w:lineRule="auto"/>
        <w:jc w:val="both"/>
        <w:rPr>
          <w:rFonts w:asciiTheme="majorBidi" w:eastAsia="Times New Roman" w:hAnsiTheme="majorBidi" w:cstheme="majorBidi"/>
          <w:i/>
          <w:iCs/>
          <w:color w:val="000000"/>
          <w:lang w:val="en-GB" w:eastAsia="zh-CN"/>
        </w:rPr>
      </w:pPr>
    </w:p>
    <w:tbl>
      <w:tblPr>
        <w:tblpPr w:leftFromText="180" w:rightFromText="180" w:vertAnchor="page" w:horzAnchor="margin" w:tblpXSpec="center" w:tblpY="1951"/>
        <w:tblW w:w="13601" w:type="dxa"/>
        <w:tblLook w:val="04A0" w:firstRow="1" w:lastRow="0" w:firstColumn="1" w:lastColumn="0" w:noHBand="0" w:noVBand="1"/>
      </w:tblPr>
      <w:tblGrid>
        <w:gridCol w:w="1430"/>
        <w:gridCol w:w="436"/>
        <w:gridCol w:w="859"/>
        <w:gridCol w:w="850"/>
        <w:gridCol w:w="851"/>
        <w:gridCol w:w="850"/>
        <w:gridCol w:w="851"/>
        <w:gridCol w:w="850"/>
        <w:gridCol w:w="851"/>
        <w:gridCol w:w="833"/>
        <w:gridCol w:w="868"/>
        <w:gridCol w:w="850"/>
        <w:gridCol w:w="851"/>
        <w:gridCol w:w="850"/>
        <w:gridCol w:w="851"/>
        <w:gridCol w:w="843"/>
      </w:tblGrid>
      <w:tr w:rsidR="00FB736C" w:rsidRPr="00781C70" w14:paraId="47691B3C" w14:textId="77777777" w:rsidTr="00C15CF1">
        <w:trPr>
          <w:trHeight w:val="291"/>
        </w:trPr>
        <w:tc>
          <w:tcPr>
            <w:tcW w:w="1277" w:type="dxa"/>
            <w:tcBorders>
              <w:top w:val="single" w:sz="12" w:space="0" w:color="auto"/>
              <w:bottom w:val="single" w:sz="4" w:space="0" w:color="auto"/>
            </w:tcBorders>
            <w:shd w:val="clear" w:color="auto" w:fill="auto"/>
            <w:noWrap/>
            <w:vAlign w:val="bottom"/>
          </w:tcPr>
          <w:p w14:paraId="3721A3A5" w14:textId="77777777" w:rsidR="00FB736C" w:rsidRDefault="00FB736C" w:rsidP="00C15CF1">
            <w:pPr>
              <w:spacing w:after="0" w:line="240" w:lineRule="auto"/>
              <w:jc w:val="center"/>
              <w:rPr>
                <w:rFonts w:ascii="Times New Roman" w:eastAsia="Times New Roman" w:hAnsi="Times New Roman" w:cs="Times New Roman"/>
                <w:color w:val="000000"/>
                <w:sz w:val="20"/>
                <w:szCs w:val="20"/>
                <w:lang w:val="en-GB" w:eastAsia="en-GB"/>
              </w:rPr>
            </w:pPr>
          </w:p>
        </w:tc>
        <w:tc>
          <w:tcPr>
            <w:tcW w:w="416" w:type="dxa"/>
            <w:tcBorders>
              <w:top w:val="single" w:sz="12" w:space="0" w:color="auto"/>
              <w:bottom w:val="single" w:sz="4" w:space="0" w:color="auto"/>
            </w:tcBorders>
          </w:tcPr>
          <w:p w14:paraId="208FC3BD" w14:textId="77777777" w:rsidR="00FB736C" w:rsidRDefault="00FB736C" w:rsidP="00C15CF1">
            <w:pPr>
              <w:spacing w:after="0" w:line="240" w:lineRule="auto"/>
              <w:jc w:val="center"/>
              <w:rPr>
                <w:rFonts w:ascii="Times New Roman" w:eastAsia="Times New Roman" w:hAnsi="Times New Roman" w:cs="Times New Roman"/>
                <w:color w:val="000000"/>
                <w:sz w:val="20"/>
                <w:szCs w:val="20"/>
                <w:lang w:val="en-GB" w:eastAsia="en-GB"/>
              </w:rPr>
            </w:pPr>
          </w:p>
        </w:tc>
        <w:tc>
          <w:tcPr>
            <w:tcW w:w="859" w:type="dxa"/>
            <w:tcBorders>
              <w:top w:val="single" w:sz="12" w:space="0" w:color="auto"/>
              <w:bottom w:val="single" w:sz="4" w:space="0" w:color="auto"/>
            </w:tcBorders>
            <w:shd w:val="clear" w:color="auto" w:fill="auto"/>
            <w:noWrap/>
            <w:vAlign w:val="center"/>
          </w:tcPr>
          <w:p w14:paraId="4654F87C" w14:textId="77777777" w:rsidR="00FB736C" w:rsidRPr="003141E2" w:rsidRDefault="00FB736C" w:rsidP="00C15CF1">
            <w:pPr>
              <w:spacing w:after="0" w:line="240" w:lineRule="auto"/>
              <w:jc w:val="center"/>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1</w:t>
            </w:r>
          </w:p>
        </w:tc>
        <w:tc>
          <w:tcPr>
            <w:tcW w:w="850" w:type="dxa"/>
            <w:tcBorders>
              <w:top w:val="single" w:sz="12" w:space="0" w:color="auto"/>
              <w:bottom w:val="single" w:sz="4" w:space="0" w:color="auto"/>
            </w:tcBorders>
            <w:shd w:val="clear" w:color="auto" w:fill="auto"/>
            <w:noWrap/>
            <w:vAlign w:val="center"/>
          </w:tcPr>
          <w:p w14:paraId="44CD8A2F" w14:textId="77777777" w:rsidR="00FB736C" w:rsidRPr="003141E2" w:rsidRDefault="00FB736C" w:rsidP="00C15CF1">
            <w:pPr>
              <w:spacing w:after="0" w:line="240" w:lineRule="auto"/>
              <w:jc w:val="center"/>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2</w:t>
            </w:r>
          </w:p>
        </w:tc>
        <w:tc>
          <w:tcPr>
            <w:tcW w:w="851" w:type="dxa"/>
            <w:tcBorders>
              <w:top w:val="single" w:sz="12" w:space="0" w:color="auto"/>
              <w:bottom w:val="single" w:sz="4" w:space="0" w:color="auto"/>
            </w:tcBorders>
            <w:shd w:val="clear" w:color="auto" w:fill="auto"/>
            <w:noWrap/>
            <w:vAlign w:val="center"/>
          </w:tcPr>
          <w:p w14:paraId="1C3AFE73" w14:textId="77777777" w:rsidR="00FB736C" w:rsidRPr="003141E2" w:rsidRDefault="00FB736C" w:rsidP="00C15CF1">
            <w:pPr>
              <w:spacing w:after="0" w:line="240" w:lineRule="auto"/>
              <w:jc w:val="center"/>
              <w:rPr>
                <w:rFonts w:ascii="Times New Roman" w:eastAsia="Times New Roman" w:hAnsi="Times New Roman" w:cs="Times New Roman"/>
                <w:sz w:val="24"/>
                <w:szCs w:val="24"/>
                <w:lang w:val="en-GB" w:eastAsia="en-GB"/>
              </w:rPr>
            </w:pPr>
            <w:r w:rsidRPr="003141E2">
              <w:rPr>
                <w:rFonts w:ascii="Times New Roman" w:eastAsia="Times New Roman" w:hAnsi="Times New Roman" w:cs="Times New Roman"/>
                <w:sz w:val="24"/>
                <w:szCs w:val="24"/>
                <w:lang w:val="en-GB" w:eastAsia="en-GB"/>
              </w:rPr>
              <w:t>3</w:t>
            </w:r>
          </w:p>
        </w:tc>
        <w:tc>
          <w:tcPr>
            <w:tcW w:w="850" w:type="dxa"/>
            <w:tcBorders>
              <w:top w:val="single" w:sz="12" w:space="0" w:color="auto"/>
              <w:bottom w:val="single" w:sz="4" w:space="0" w:color="auto"/>
            </w:tcBorders>
            <w:shd w:val="clear" w:color="auto" w:fill="auto"/>
            <w:noWrap/>
            <w:vAlign w:val="center"/>
          </w:tcPr>
          <w:p w14:paraId="1E403F4C" w14:textId="77777777" w:rsidR="00FB736C" w:rsidRPr="003141E2" w:rsidRDefault="00FB736C" w:rsidP="00C15CF1">
            <w:pPr>
              <w:spacing w:after="0" w:line="240" w:lineRule="auto"/>
              <w:jc w:val="center"/>
              <w:rPr>
                <w:rFonts w:ascii="Times New Roman" w:eastAsia="Times New Roman" w:hAnsi="Times New Roman" w:cs="Times New Roman"/>
                <w:sz w:val="24"/>
                <w:szCs w:val="24"/>
                <w:lang w:val="en-GB" w:eastAsia="en-GB"/>
              </w:rPr>
            </w:pPr>
            <w:r w:rsidRPr="003141E2">
              <w:rPr>
                <w:rFonts w:ascii="Times New Roman" w:eastAsia="Times New Roman" w:hAnsi="Times New Roman" w:cs="Times New Roman"/>
                <w:sz w:val="24"/>
                <w:szCs w:val="24"/>
                <w:lang w:val="en-GB" w:eastAsia="en-GB"/>
              </w:rPr>
              <w:t>4</w:t>
            </w:r>
          </w:p>
        </w:tc>
        <w:tc>
          <w:tcPr>
            <w:tcW w:w="851" w:type="dxa"/>
            <w:tcBorders>
              <w:top w:val="single" w:sz="12" w:space="0" w:color="auto"/>
              <w:bottom w:val="single" w:sz="4" w:space="0" w:color="auto"/>
            </w:tcBorders>
            <w:shd w:val="clear" w:color="auto" w:fill="auto"/>
            <w:noWrap/>
            <w:vAlign w:val="center"/>
          </w:tcPr>
          <w:p w14:paraId="21C8FEF5" w14:textId="77777777" w:rsidR="00FB736C" w:rsidRPr="003141E2" w:rsidRDefault="00FB736C" w:rsidP="00C15CF1">
            <w:pPr>
              <w:spacing w:after="0" w:line="240" w:lineRule="auto"/>
              <w:jc w:val="center"/>
              <w:rPr>
                <w:rFonts w:ascii="Times New Roman" w:eastAsia="Times New Roman" w:hAnsi="Times New Roman" w:cs="Times New Roman"/>
                <w:sz w:val="24"/>
                <w:szCs w:val="24"/>
                <w:lang w:val="en-GB" w:eastAsia="en-GB"/>
              </w:rPr>
            </w:pPr>
            <w:r w:rsidRPr="003141E2">
              <w:rPr>
                <w:rFonts w:ascii="Times New Roman" w:eastAsia="Times New Roman" w:hAnsi="Times New Roman" w:cs="Times New Roman"/>
                <w:sz w:val="24"/>
                <w:szCs w:val="24"/>
                <w:lang w:val="en-GB" w:eastAsia="en-GB"/>
              </w:rPr>
              <w:t>5</w:t>
            </w:r>
          </w:p>
        </w:tc>
        <w:tc>
          <w:tcPr>
            <w:tcW w:w="850" w:type="dxa"/>
            <w:tcBorders>
              <w:top w:val="single" w:sz="12" w:space="0" w:color="auto"/>
              <w:bottom w:val="single" w:sz="4" w:space="0" w:color="auto"/>
            </w:tcBorders>
            <w:shd w:val="clear" w:color="auto" w:fill="auto"/>
            <w:noWrap/>
            <w:vAlign w:val="center"/>
          </w:tcPr>
          <w:p w14:paraId="36E9C742" w14:textId="77777777" w:rsidR="00FB736C" w:rsidRPr="003141E2" w:rsidRDefault="00FB736C" w:rsidP="00C15CF1">
            <w:pPr>
              <w:spacing w:after="0" w:line="240" w:lineRule="auto"/>
              <w:jc w:val="center"/>
              <w:rPr>
                <w:rFonts w:ascii="Times New Roman" w:eastAsia="Times New Roman" w:hAnsi="Times New Roman" w:cs="Times New Roman"/>
                <w:sz w:val="24"/>
                <w:szCs w:val="24"/>
                <w:lang w:val="en-GB" w:eastAsia="en-GB"/>
              </w:rPr>
            </w:pPr>
            <w:r w:rsidRPr="003141E2">
              <w:rPr>
                <w:rFonts w:ascii="Times New Roman" w:eastAsia="Times New Roman" w:hAnsi="Times New Roman" w:cs="Times New Roman"/>
                <w:sz w:val="24"/>
                <w:szCs w:val="24"/>
                <w:lang w:val="en-GB" w:eastAsia="en-GB"/>
              </w:rPr>
              <w:t>6</w:t>
            </w:r>
          </w:p>
        </w:tc>
        <w:tc>
          <w:tcPr>
            <w:tcW w:w="851" w:type="dxa"/>
            <w:tcBorders>
              <w:top w:val="single" w:sz="12" w:space="0" w:color="auto"/>
              <w:bottom w:val="single" w:sz="4" w:space="0" w:color="auto"/>
            </w:tcBorders>
            <w:shd w:val="clear" w:color="auto" w:fill="auto"/>
            <w:noWrap/>
            <w:vAlign w:val="center"/>
          </w:tcPr>
          <w:p w14:paraId="418E090A" w14:textId="77777777" w:rsidR="00FB736C" w:rsidRPr="003141E2" w:rsidRDefault="00FB736C" w:rsidP="00C15CF1">
            <w:pPr>
              <w:spacing w:after="0" w:line="240" w:lineRule="auto"/>
              <w:jc w:val="center"/>
              <w:rPr>
                <w:rFonts w:ascii="Times New Roman" w:eastAsia="Times New Roman" w:hAnsi="Times New Roman" w:cs="Times New Roman"/>
                <w:sz w:val="24"/>
                <w:szCs w:val="24"/>
                <w:lang w:val="en-GB" w:eastAsia="en-GB"/>
              </w:rPr>
            </w:pPr>
            <w:r w:rsidRPr="003141E2">
              <w:rPr>
                <w:rFonts w:ascii="Times New Roman" w:eastAsia="Times New Roman" w:hAnsi="Times New Roman" w:cs="Times New Roman"/>
                <w:sz w:val="24"/>
                <w:szCs w:val="24"/>
                <w:lang w:val="en-GB" w:eastAsia="en-GB"/>
              </w:rPr>
              <w:t>7</w:t>
            </w:r>
          </w:p>
        </w:tc>
        <w:tc>
          <w:tcPr>
            <w:tcW w:w="833" w:type="dxa"/>
            <w:tcBorders>
              <w:top w:val="single" w:sz="12" w:space="0" w:color="auto"/>
              <w:bottom w:val="single" w:sz="4" w:space="0" w:color="auto"/>
            </w:tcBorders>
            <w:shd w:val="clear" w:color="auto" w:fill="auto"/>
            <w:noWrap/>
            <w:vAlign w:val="center"/>
          </w:tcPr>
          <w:p w14:paraId="00FDAB37" w14:textId="77777777" w:rsidR="00FB736C" w:rsidRPr="003141E2" w:rsidRDefault="00FB736C" w:rsidP="00C15CF1">
            <w:pPr>
              <w:spacing w:after="0" w:line="240" w:lineRule="auto"/>
              <w:jc w:val="center"/>
              <w:rPr>
                <w:rFonts w:ascii="Times New Roman" w:eastAsia="Times New Roman" w:hAnsi="Times New Roman" w:cs="Times New Roman"/>
                <w:sz w:val="24"/>
                <w:szCs w:val="24"/>
                <w:lang w:val="en-GB" w:eastAsia="en-GB"/>
              </w:rPr>
            </w:pPr>
            <w:r w:rsidRPr="003141E2">
              <w:rPr>
                <w:rFonts w:ascii="Times New Roman" w:eastAsia="Times New Roman" w:hAnsi="Times New Roman" w:cs="Times New Roman"/>
                <w:sz w:val="24"/>
                <w:szCs w:val="24"/>
                <w:lang w:val="en-GB" w:eastAsia="en-GB"/>
              </w:rPr>
              <w:t>8</w:t>
            </w:r>
          </w:p>
        </w:tc>
        <w:tc>
          <w:tcPr>
            <w:tcW w:w="868" w:type="dxa"/>
            <w:tcBorders>
              <w:top w:val="single" w:sz="12" w:space="0" w:color="auto"/>
              <w:bottom w:val="single" w:sz="4" w:space="0" w:color="auto"/>
            </w:tcBorders>
            <w:shd w:val="clear" w:color="auto" w:fill="auto"/>
            <w:noWrap/>
            <w:vAlign w:val="center"/>
          </w:tcPr>
          <w:p w14:paraId="1E9E03A5" w14:textId="77777777" w:rsidR="00FB736C" w:rsidRPr="003141E2" w:rsidRDefault="00FB736C" w:rsidP="00C15CF1">
            <w:pPr>
              <w:spacing w:after="0" w:line="240" w:lineRule="auto"/>
              <w:jc w:val="center"/>
              <w:rPr>
                <w:rFonts w:ascii="Times New Roman" w:eastAsia="Times New Roman" w:hAnsi="Times New Roman" w:cs="Times New Roman"/>
                <w:sz w:val="24"/>
                <w:szCs w:val="24"/>
                <w:lang w:val="en-GB" w:eastAsia="en-GB"/>
              </w:rPr>
            </w:pPr>
            <w:r w:rsidRPr="003141E2">
              <w:rPr>
                <w:rFonts w:ascii="Times New Roman" w:eastAsia="Times New Roman" w:hAnsi="Times New Roman" w:cs="Times New Roman"/>
                <w:sz w:val="24"/>
                <w:szCs w:val="24"/>
                <w:lang w:val="en-GB" w:eastAsia="en-GB"/>
              </w:rPr>
              <w:t>9</w:t>
            </w:r>
          </w:p>
        </w:tc>
        <w:tc>
          <w:tcPr>
            <w:tcW w:w="850" w:type="dxa"/>
            <w:tcBorders>
              <w:top w:val="single" w:sz="12" w:space="0" w:color="auto"/>
              <w:bottom w:val="single" w:sz="4" w:space="0" w:color="auto"/>
            </w:tcBorders>
            <w:shd w:val="clear" w:color="auto" w:fill="auto"/>
            <w:noWrap/>
            <w:vAlign w:val="center"/>
          </w:tcPr>
          <w:p w14:paraId="2EFEA04B" w14:textId="77777777" w:rsidR="00FB736C" w:rsidRPr="003141E2" w:rsidRDefault="00FB736C" w:rsidP="00C15CF1">
            <w:pPr>
              <w:spacing w:after="0" w:line="240" w:lineRule="auto"/>
              <w:jc w:val="center"/>
              <w:rPr>
                <w:rFonts w:ascii="Times New Roman" w:eastAsia="Times New Roman" w:hAnsi="Times New Roman" w:cs="Times New Roman"/>
                <w:sz w:val="24"/>
                <w:szCs w:val="24"/>
                <w:lang w:val="en-GB" w:eastAsia="en-GB"/>
              </w:rPr>
            </w:pPr>
            <w:r w:rsidRPr="003141E2">
              <w:rPr>
                <w:rFonts w:ascii="Times New Roman" w:eastAsia="Times New Roman" w:hAnsi="Times New Roman" w:cs="Times New Roman"/>
                <w:sz w:val="24"/>
                <w:szCs w:val="24"/>
                <w:lang w:val="en-GB" w:eastAsia="en-GB"/>
              </w:rPr>
              <w:t>10</w:t>
            </w:r>
          </w:p>
        </w:tc>
        <w:tc>
          <w:tcPr>
            <w:tcW w:w="851" w:type="dxa"/>
            <w:tcBorders>
              <w:top w:val="single" w:sz="12" w:space="0" w:color="auto"/>
              <w:bottom w:val="single" w:sz="4" w:space="0" w:color="auto"/>
            </w:tcBorders>
            <w:shd w:val="clear" w:color="auto" w:fill="auto"/>
            <w:noWrap/>
            <w:vAlign w:val="center"/>
          </w:tcPr>
          <w:p w14:paraId="795829EF" w14:textId="77777777" w:rsidR="00FB736C" w:rsidRPr="003141E2" w:rsidRDefault="00FB736C" w:rsidP="00C15CF1">
            <w:pPr>
              <w:spacing w:after="0" w:line="240" w:lineRule="auto"/>
              <w:jc w:val="center"/>
              <w:rPr>
                <w:rFonts w:ascii="Times New Roman" w:eastAsia="Times New Roman" w:hAnsi="Times New Roman" w:cs="Times New Roman"/>
                <w:sz w:val="24"/>
                <w:szCs w:val="24"/>
                <w:lang w:val="en-GB" w:eastAsia="en-GB"/>
              </w:rPr>
            </w:pPr>
            <w:r w:rsidRPr="003141E2">
              <w:rPr>
                <w:rFonts w:ascii="Times New Roman" w:eastAsia="Times New Roman" w:hAnsi="Times New Roman" w:cs="Times New Roman"/>
                <w:sz w:val="24"/>
                <w:szCs w:val="24"/>
                <w:lang w:val="en-GB" w:eastAsia="en-GB"/>
              </w:rPr>
              <w:t>11</w:t>
            </w:r>
          </w:p>
        </w:tc>
        <w:tc>
          <w:tcPr>
            <w:tcW w:w="850" w:type="dxa"/>
            <w:tcBorders>
              <w:top w:val="single" w:sz="12" w:space="0" w:color="auto"/>
              <w:bottom w:val="single" w:sz="4" w:space="0" w:color="auto"/>
            </w:tcBorders>
            <w:shd w:val="clear" w:color="auto" w:fill="auto"/>
            <w:noWrap/>
            <w:vAlign w:val="center"/>
          </w:tcPr>
          <w:p w14:paraId="464D9F5C" w14:textId="77777777" w:rsidR="00FB736C" w:rsidRPr="003141E2" w:rsidRDefault="00FB736C" w:rsidP="00C15CF1">
            <w:pPr>
              <w:spacing w:after="0" w:line="240" w:lineRule="auto"/>
              <w:jc w:val="center"/>
              <w:rPr>
                <w:rFonts w:ascii="Times New Roman" w:eastAsia="Times New Roman" w:hAnsi="Times New Roman" w:cs="Times New Roman"/>
                <w:sz w:val="24"/>
                <w:szCs w:val="24"/>
                <w:lang w:val="en-GB" w:eastAsia="en-GB"/>
              </w:rPr>
            </w:pPr>
            <w:r w:rsidRPr="003141E2">
              <w:rPr>
                <w:rFonts w:ascii="Times New Roman" w:eastAsia="Times New Roman" w:hAnsi="Times New Roman" w:cs="Times New Roman"/>
                <w:sz w:val="24"/>
                <w:szCs w:val="24"/>
                <w:lang w:val="en-GB" w:eastAsia="en-GB"/>
              </w:rPr>
              <w:t>12</w:t>
            </w:r>
          </w:p>
        </w:tc>
        <w:tc>
          <w:tcPr>
            <w:tcW w:w="851" w:type="dxa"/>
            <w:tcBorders>
              <w:top w:val="single" w:sz="12" w:space="0" w:color="auto"/>
              <w:bottom w:val="single" w:sz="4" w:space="0" w:color="auto"/>
            </w:tcBorders>
            <w:shd w:val="clear" w:color="auto" w:fill="auto"/>
            <w:noWrap/>
            <w:vAlign w:val="center"/>
          </w:tcPr>
          <w:p w14:paraId="2AE77373" w14:textId="77777777" w:rsidR="00FB736C" w:rsidRPr="003141E2" w:rsidRDefault="00FB736C" w:rsidP="00C15CF1">
            <w:pPr>
              <w:spacing w:after="0" w:line="240" w:lineRule="auto"/>
              <w:jc w:val="center"/>
              <w:rPr>
                <w:rFonts w:ascii="Times New Roman" w:eastAsia="Times New Roman" w:hAnsi="Times New Roman" w:cs="Times New Roman"/>
                <w:sz w:val="24"/>
                <w:szCs w:val="24"/>
                <w:lang w:val="en-GB" w:eastAsia="en-GB"/>
              </w:rPr>
            </w:pPr>
            <w:r w:rsidRPr="003141E2">
              <w:rPr>
                <w:rFonts w:ascii="Times New Roman" w:eastAsia="Times New Roman" w:hAnsi="Times New Roman" w:cs="Times New Roman"/>
                <w:sz w:val="24"/>
                <w:szCs w:val="24"/>
                <w:lang w:val="en-GB" w:eastAsia="en-GB"/>
              </w:rPr>
              <w:t>13</w:t>
            </w:r>
          </w:p>
        </w:tc>
        <w:tc>
          <w:tcPr>
            <w:tcW w:w="843" w:type="dxa"/>
            <w:tcBorders>
              <w:top w:val="single" w:sz="12" w:space="0" w:color="auto"/>
              <w:bottom w:val="single" w:sz="4" w:space="0" w:color="auto"/>
            </w:tcBorders>
            <w:shd w:val="clear" w:color="auto" w:fill="auto"/>
            <w:noWrap/>
            <w:vAlign w:val="center"/>
          </w:tcPr>
          <w:p w14:paraId="0C44D341" w14:textId="77777777" w:rsidR="00FB736C" w:rsidRPr="003141E2" w:rsidRDefault="00FB736C" w:rsidP="00C15CF1">
            <w:pPr>
              <w:spacing w:after="0" w:line="240" w:lineRule="auto"/>
              <w:jc w:val="center"/>
              <w:rPr>
                <w:rFonts w:ascii="Times New Roman" w:eastAsia="Times New Roman" w:hAnsi="Times New Roman" w:cs="Times New Roman"/>
                <w:sz w:val="24"/>
                <w:szCs w:val="24"/>
                <w:lang w:val="en-GB" w:eastAsia="en-GB"/>
              </w:rPr>
            </w:pPr>
            <w:r w:rsidRPr="003141E2">
              <w:rPr>
                <w:rFonts w:ascii="Times New Roman" w:eastAsia="Times New Roman" w:hAnsi="Times New Roman" w:cs="Times New Roman"/>
                <w:sz w:val="24"/>
                <w:szCs w:val="24"/>
                <w:lang w:val="en-GB" w:eastAsia="en-GB"/>
              </w:rPr>
              <w:t>14</w:t>
            </w:r>
          </w:p>
        </w:tc>
      </w:tr>
      <w:tr w:rsidR="00FB736C" w:rsidRPr="00781C70" w14:paraId="02F34883" w14:textId="77777777" w:rsidTr="00C15CF1">
        <w:trPr>
          <w:trHeight w:val="300"/>
        </w:trPr>
        <w:tc>
          <w:tcPr>
            <w:tcW w:w="1277" w:type="dxa"/>
            <w:tcBorders>
              <w:top w:val="single" w:sz="4" w:space="0" w:color="auto"/>
            </w:tcBorders>
            <w:shd w:val="clear" w:color="auto" w:fill="auto"/>
            <w:noWrap/>
            <w:vAlign w:val="bottom"/>
          </w:tcPr>
          <w:p w14:paraId="2646B699"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ROA</w:t>
            </w:r>
          </w:p>
        </w:tc>
        <w:tc>
          <w:tcPr>
            <w:tcW w:w="416" w:type="dxa"/>
            <w:tcBorders>
              <w:top w:val="single" w:sz="4" w:space="0" w:color="auto"/>
            </w:tcBorders>
          </w:tcPr>
          <w:p w14:paraId="01D7D15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w:t>
            </w:r>
          </w:p>
        </w:tc>
        <w:tc>
          <w:tcPr>
            <w:tcW w:w="859" w:type="dxa"/>
            <w:tcBorders>
              <w:top w:val="single" w:sz="4" w:space="0" w:color="auto"/>
            </w:tcBorders>
            <w:shd w:val="clear" w:color="auto" w:fill="auto"/>
            <w:noWrap/>
            <w:vAlign w:val="center"/>
          </w:tcPr>
          <w:p w14:paraId="4F86D49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50" w:type="dxa"/>
            <w:tcBorders>
              <w:top w:val="single" w:sz="4" w:space="0" w:color="auto"/>
            </w:tcBorders>
            <w:shd w:val="clear" w:color="auto" w:fill="auto"/>
            <w:noWrap/>
            <w:vAlign w:val="center"/>
          </w:tcPr>
          <w:p w14:paraId="02958FFB"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tcBorders>
              <w:top w:val="single" w:sz="4" w:space="0" w:color="auto"/>
            </w:tcBorders>
            <w:shd w:val="clear" w:color="auto" w:fill="auto"/>
            <w:noWrap/>
            <w:vAlign w:val="center"/>
          </w:tcPr>
          <w:p w14:paraId="3EC1375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tcBorders>
              <w:top w:val="single" w:sz="4" w:space="0" w:color="auto"/>
            </w:tcBorders>
            <w:shd w:val="clear" w:color="auto" w:fill="auto"/>
            <w:noWrap/>
            <w:vAlign w:val="center"/>
          </w:tcPr>
          <w:p w14:paraId="1576114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tcBorders>
              <w:top w:val="single" w:sz="4" w:space="0" w:color="auto"/>
            </w:tcBorders>
            <w:shd w:val="clear" w:color="auto" w:fill="auto"/>
            <w:noWrap/>
            <w:vAlign w:val="center"/>
          </w:tcPr>
          <w:p w14:paraId="6D81B27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tcBorders>
              <w:top w:val="single" w:sz="4" w:space="0" w:color="auto"/>
            </w:tcBorders>
            <w:shd w:val="clear" w:color="auto" w:fill="auto"/>
            <w:noWrap/>
            <w:vAlign w:val="center"/>
          </w:tcPr>
          <w:p w14:paraId="23A9ACF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tcBorders>
              <w:top w:val="single" w:sz="4" w:space="0" w:color="auto"/>
            </w:tcBorders>
            <w:shd w:val="clear" w:color="auto" w:fill="auto"/>
            <w:noWrap/>
            <w:vAlign w:val="center"/>
          </w:tcPr>
          <w:p w14:paraId="3F5C8EA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33" w:type="dxa"/>
            <w:tcBorders>
              <w:top w:val="single" w:sz="4" w:space="0" w:color="auto"/>
            </w:tcBorders>
            <w:shd w:val="clear" w:color="auto" w:fill="auto"/>
            <w:noWrap/>
            <w:vAlign w:val="center"/>
          </w:tcPr>
          <w:p w14:paraId="5CD9E5E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68" w:type="dxa"/>
            <w:tcBorders>
              <w:top w:val="single" w:sz="4" w:space="0" w:color="auto"/>
            </w:tcBorders>
            <w:shd w:val="clear" w:color="auto" w:fill="auto"/>
            <w:noWrap/>
            <w:vAlign w:val="center"/>
          </w:tcPr>
          <w:p w14:paraId="2E568A9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tcBorders>
              <w:top w:val="single" w:sz="4" w:space="0" w:color="auto"/>
            </w:tcBorders>
            <w:shd w:val="clear" w:color="auto" w:fill="auto"/>
            <w:noWrap/>
            <w:vAlign w:val="center"/>
          </w:tcPr>
          <w:p w14:paraId="490FA65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tcBorders>
              <w:top w:val="single" w:sz="4" w:space="0" w:color="auto"/>
            </w:tcBorders>
            <w:shd w:val="clear" w:color="auto" w:fill="auto"/>
            <w:noWrap/>
            <w:vAlign w:val="center"/>
          </w:tcPr>
          <w:p w14:paraId="786DF9A6"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tcBorders>
              <w:top w:val="single" w:sz="4" w:space="0" w:color="auto"/>
            </w:tcBorders>
            <w:shd w:val="clear" w:color="auto" w:fill="auto"/>
            <w:noWrap/>
            <w:vAlign w:val="center"/>
          </w:tcPr>
          <w:p w14:paraId="2E0F5A87"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tcBorders>
              <w:top w:val="single" w:sz="4" w:space="0" w:color="auto"/>
            </w:tcBorders>
            <w:shd w:val="clear" w:color="auto" w:fill="auto"/>
            <w:noWrap/>
            <w:vAlign w:val="center"/>
          </w:tcPr>
          <w:p w14:paraId="1E10C56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43" w:type="dxa"/>
            <w:tcBorders>
              <w:top w:val="single" w:sz="4" w:space="0" w:color="auto"/>
            </w:tcBorders>
            <w:shd w:val="clear" w:color="auto" w:fill="auto"/>
            <w:noWrap/>
            <w:vAlign w:val="center"/>
          </w:tcPr>
          <w:p w14:paraId="0471205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2ACFF092" w14:textId="77777777" w:rsidTr="00C15CF1">
        <w:trPr>
          <w:trHeight w:val="300"/>
        </w:trPr>
        <w:tc>
          <w:tcPr>
            <w:tcW w:w="1277" w:type="dxa"/>
            <w:shd w:val="clear" w:color="auto" w:fill="auto"/>
            <w:noWrap/>
            <w:vAlign w:val="bottom"/>
            <w:hideMark/>
          </w:tcPr>
          <w:p w14:paraId="4A3169F5"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LNTA</w:t>
            </w:r>
          </w:p>
        </w:tc>
        <w:tc>
          <w:tcPr>
            <w:tcW w:w="416" w:type="dxa"/>
          </w:tcPr>
          <w:p w14:paraId="64BAC7D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2</w:t>
            </w:r>
          </w:p>
        </w:tc>
        <w:tc>
          <w:tcPr>
            <w:tcW w:w="859" w:type="dxa"/>
            <w:shd w:val="clear" w:color="auto" w:fill="auto"/>
            <w:noWrap/>
            <w:vAlign w:val="center"/>
            <w:hideMark/>
          </w:tcPr>
          <w:p w14:paraId="6C90E91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-0.217</w:t>
            </w:r>
          </w:p>
        </w:tc>
        <w:tc>
          <w:tcPr>
            <w:tcW w:w="850" w:type="dxa"/>
            <w:shd w:val="clear" w:color="auto" w:fill="auto"/>
            <w:noWrap/>
            <w:vAlign w:val="center"/>
            <w:hideMark/>
          </w:tcPr>
          <w:p w14:paraId="0E4B8987"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51" w:type="dxa"/>
            <w:shd w:val="clear" w:color="auto" w:fill="auto"/>
            <w:noWrap/>
            <w:vAlign w:val="center"/>
            <w:hideMark/>
          </w:tcPr>
          <w:p w14:paraId="02E7B5E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0E3AC2D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7F51EDC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051CC2B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3B65C576"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33" w:type="dxa"/>
            <w:shd w:val="clear" w:color="auto" w:fill="auto"/>
            <w:noWrap/>
            <w:vAlign w:val="center"/>
            <w:hideMark/>
          </w:tcPr>
          <w:p w14:paraId="4A550C7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68" w:type="dxa"/>
            <w:shd w:val="clear" w:color="auto" w:fill="auto"/>
            <w:noWrap/>
            <w:vAlign w:val="center"/>
            <w:hideMark/>
          </w:tcPr>
          <w:p w14:paraId="3BCB3D5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7EFC2656"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2A57B03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0111363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0C5A4B0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43" w:type="dxa"/>
            <w:shd w:val="clear" w:color="auto" w:fill="auto"/>
            <w:noWrap/>
            <w:vAlign w:val="center"/>
            <w:hideMark/>
          </w:tcPr>
          <w:p w14:paraId="7EFC297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316BA149" w14:textId="77777777" w:rsidTr="00C15CF1">
        <w:trPr>
          <w:trHeight w:val="300"/>
        </w:trPr>
        <w:tc>
          <w:tcPr>
            <w:tcW w:w="1277" w:type="dxa"/>
            <w:shd w:val="clear" w:color="auto" w:fill="auto"/>
            <w:noWrap/>
            <w:vAlign w:val="bottom"/>
            <w:hideMark/>
          </w:tcPr>
          <w:p w14:paraId="064CD899"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DPTA</w:t>
            </w:r>
          </w:p>
        </w:tc>
        <w:tc>
          <w:tcPr>
            <w:tcW w:w="416" w:type="dxa"/>
          </w:tcPr>
          <w:p w14:paraId="4D1E2AF7"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3</w:t>
            </w:r>
          </w:p>
        </w:tc>
        <w:tc>
          <w:tcPr>
            <w:tcW w:w="859" w:type="dxa"/>
            <w:shd w:val="clear" w:color="auto" w:fill="auto"/>
            <w:noWrap/>
            <w:vAlign w:val="center"/>
            <w:hideMark/>
          </w:tcPr>
          <w:p w14:paraId="19632737"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-0.044</w:t>
            </w:r>
          </w:p>
        </w:tc>
        <w:tc>
          <w:tcPr>
            <w:tcW w:w="850" w:type="dxa"/>
            <w:shd w:val="clear" w:color="auto" w:fill="auto"/>
            <w:noWrap/>
            <w:vAlign w:val="center"/>
            <w:hideMark/>
          </w:tcPr>
          <w:p w14:paraId="0BE42886"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-0.173</w:t>
            </w:r>
          </w:p>
        </w:tc>
        <w:tc>
          <w:tcPr>
            <w:tcW w:w="851" w:type="dxa"/>
            <w:shd w:val="clear" w:color="auto" w:fill="auto"/>
            <w:noWrap/>
            <w:vAlign w:val="center"/>
            <w:hideMark/>
          </w:tcPr>
          <w:p w14:paraId="4AF3515B"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50" w:type="dxa"/>
            <w:shd w:val="clear" w:color="auto" w:fill="auto"/>
            <w:noWrap/>
            <w:vAlign w:val="center"/>
            <w:hideMark/>
          </w:tcPr>
          <w:p w14:paraId="7384DE2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4B4AA28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094A0FB4"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79492D20"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33" w:type="dxa"/>
            <w:shd w:val="clear" w:color="auto" w:fill="auto"/>
            <w:noWrap/>
            <w:vAlign w:val="center"/>
            <w:hideMark/>
          </w:tcPr>
          <w:p w14:paraId="0755226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68" w:type="dxa"/>
            <w:shd w:val="clear" w:color="auto" w:fill="auto"/>
            <w:noWrap/>
            <w:vAlign w:val="center"/>
            <w:hideMark/>
          </w:tcPr>
          <w:p w14:paraId="6816AEE6"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49409EB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4F14F724"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725A102B"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042B37A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43" w:type="dxa"/>
            <w:shd w:val="clear" w:color="auto" w:fill="auto"/>
            <w:noWrap/>
            <w:vAlign w:val="center"/>
            <w:hideMark/>
          </w:tcPr>
          <w:p w14:paraId="09021EFE"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49A08491" w14:textId="77777777" w:rsidTr="00C15CF1">
        <w:trPr>
          <w:trHeight w:val="300"/>
        </w:trPr>
        <w:tc>
          <w:tcPr>
            <w:tcW w:w="1277" w:type="dxa"/>
            <w:shd w:val="clear" w:color="auto" w:fill="auto"/>
            <w:noWrap/>
            <w:vAlign w:val="bottom"/>
            <w:hideMark/>
          </w:tcPr>
          <w:p w14:paraId="09172B0A"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GD</w:t>
            </w:r>
          </w:p>
        </w:tc>
        <w:tc>
          <w:tcPr>
            <w:tcW w:w="416" w:type="dxa"/>
          </w:tcPr>
          <w:p w14:paraId="58DAD6F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4</w:t>
            </w:r>
          </w:p>
        </w:tc>
        <w:tc>
          <w:tcPr>
            <w:tcW w:w="859" w:type="dxa"/>
            <w:shd w:val="clear" w:color="auto" w:fill="auto"/>
            <w:noWrap/>
            <w:vAlign w:val="center"/>
            <w:hideMark/>
          </w:tcPr>
          <w:p w14:paraId="5E762570"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-0.108</w:t>
            </w:r>
          </w:p>
        </w:tc>
        <w:tc>
          <w:tcPr>
            <w:tcW w:w="850" w:type="dxa"/>
            <w:shd w:val="clear" w:color="auto" w:fill="auto"/>
            <w:noWrap/>
            <w:vAlign w:val="center"/>
            <w:hideMark/>
          </w:tcPr>
          <w:p w14:paraId="758713C0"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0.291</w:t>
            </w:r>
          </w:p>
        </w:tc>
        <w:tc>
          <w:tcPr>
            <w:tcW w:w="851" w:type="dxa"/>
            <w:shd w:val="clear" w:color="auto" w:fill="auto"/>
            <w:noWrap/>
            <w:vAlign w:val="center"/>
            <w:hideMark/>
          </w:tcPr>
          <w:p w14:paraId="5A0D935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0.133</w:t>
            </w:r>
          </w:p>
        </w:tc>
        <w:tc>
          <w:tcPr>
            <w:tcW w:w="850" w:type="dxa"/>
            <w:shd w:val="clear" w:color="auto" w:fill="auto"/>
            <w:noWrap/>
            <w:vAlign w:val="center"/>
            <w:hideMark/>
          </w:tcPr>
          <w:p w14:paraId="55D9CA9E"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51" w:type="dxa"/>
            <w:shd w:val="clear" w:color="auto" w:fill="auto"/>
            <w:noWrap/>
            <w:vAlign w:val="center"/>
            <w:hideMark/>
          </w:tcPr>
          <w:p w14:paraId="1F3EE5B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4AFF80E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470145E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33" w:type="dxa"/>
            <w:shd w:val="clear" w:color="auto" w:fill="auto"/>
            <w:noWrap/>
            <w:vAlign w:val="center"/>
            <w:hideMark/>
          </w:tcPr>
          <w:p w14:paraId="16E3B844"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68" w:type="dxa"/>
            <w:shd w:val="clear" w:color="auto" w:fill="auto"/>
            <w:noWrap/>
            <w:vAlign w:val="center"/>
            <w:hideMark/>
          </w:tcPr>
          <w:p w14:paraId="3920BA2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379265E0"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065B17F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6FB26305"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298DBB4B"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43" w:type="dxa"/>
            <w:shd w:val="clear" w:color="auto" w:fill="auto"/>
            <w:noWrap/>
            <w:vAlign w:val="center"/>
            <w:hideMark/>
          </w:tcPr>
          <w:p w14:paraId="3D56E51E"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455AA35E" w14:textId="77777777" w:rsidTr="00C15CF1">
        <w:trPr>
          <w:trHeight w:val="300"/>
        </w:trPr>
        <w:tc>
          <w:tcPr>
            <w:tcW w:w="1277" w:type="dxa"/>
            <w:shd w:val="clear" w:color="auto" w:fill="auto"/>
            <w:noWrap/>
            <w:vAlign w:val="bottom"/>
            <w:hideMark/>
          </w:tcPr>
          <w:p w14:paraId="2E0A9242"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DISTANCE</w:t>
            </w:r>
          </w:p>
        </w:tc>
        <w:tc>
          <w:tcPr>
            <w:tcW w:w="416" w:type="dxa"/>
          </w:tcPr>
          <w:p w14:paraId="6699B0D0"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5</w:t>
            </w:r>
          </w:p>
        </w:tc>
        <w:tc>
          <w:tcPr>
            <w:tcW w:w="859" w:type="dxa"/>
            <w:shd w:val="clear" w:color="auto" w:fill="auto"/>
            <w:noWrap/>
            <w:vAlign w:val="center"/>
            <w:hideMark/>
          </w:tcPr>
          <w:p w14:paraId="3120F64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-0.058</w:t>
            </w:r>
          </w:p>
        </w:tc>
        <w:tc>
          <w:tcPr>
            <w:tcW w:w="850" w:type="dxa"/>
            <w:shd w:val="clear" w:color="auto" w:fill="auto"/>
            <w:noWrap/>
            <w:vAlign w:val="center"/>
            <w:hideMark/>
          </w:tcPr>
          <w:p w14:paraId="5895C08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0.147</w:t>
            </w:r>
          </w:p>
        </w:tc>
        <w:tc>
          <w:tcPr>
            <w:tcW w:w="851" w:type="dxa"/>
            <w:shd w:val="clear" w:color="auto" w:fill="auto"/>
            <w:noWrap/>
            <w:vAlign w:val="center"/>
            <w:hideMark/>
          </w:tcPr>
          <w:p w14:paraId="04083C70"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0.069</w:t>
            </w:r>
          </w:p>
        </w:tc>
        <w:tc>
          <w:tcPr>
            <w:tcW w:w="850" w:type="dxa"/>
            <w:shd w:val="clear" w:color="auto" w:fill="auto"/>
            <w:noWrap/>
            <w:vAlign w:val="center"/>
            <w:hideMark/>
          </w:tcPr>
          <w:p w14:paraId="4B03410B"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0.442</w:t>
            </w:r>
          </w:p>
        </w:tc>
        <w:tc>
          <w:tcPr>
            <w:tcW w:w="851" w:type="dxa"/>
            <w:shd w:val="clear" w:color="auto" w:fill="auto"/>
            <w:noWrap/>
            <w:vAlign w:val="center"/>
            <w:hideMark/>
          </w:tcPr>
          <w:p w14:paraId="56E33137"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50" w:type="dxa"/>
            <w:shd w:val="clear" w:color="auto" w:fill="auto"/>
            <w:noWrap/>
            <w:vAlign w:val="center"/>
            <w:hideMark/>
          </w:tcPr>
          <w:p w14:paraId="64E3EC3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16EAB12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33" w:type="dxa"/>
            <w:shd w:val="clear" w:color="auto" w:fill="auto"/>
            <w:noWrap/>
            <w:vAlign w:val="center"/>
            <w:hideMark/>
          </w:tcPr>
          <w:p w14:paraId="449B32E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68" w:type="dxa"/>
            <w:shd w:val="clear" w:color="auto" w:fill="auto"/>
            <w:noWrap/>
            <w:vAlign w:val="center"/>
            <w:hideMark/>
          </w:tcPr>
          <w:p w14:paraId="10FDC7C7"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72E5E5A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78A8E327"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021F5020"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06517FF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43" w:type="dxa"/>
            <w:shd w:val="clear" w:color="auto" w:fill="auto"/>
            <w:noWrap/>
            <w:vAlign w:val="center"/>
            <w:hideMark/>
          </w:tcPr>
          <w:p w14:paraId="7FA7043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48D8591E" w14:textId="77777777" w:rsidTr="00C15CF1">
        <w:trPr>
          <w:trHeight w:val="300"/>
        </w:trPr>
        <w:tc>
          <w:tcPr>
            <w:tcW w:w="1277" w:type="dxa"/>
            <w:shd w:val="clear" w:color="auto" w:fill="auto"/>
            <w:noWrap/>
            <w:vAlign w:val="bottom"/>
            <w:hideMark/>
          </w:tcPr>
          <w:p w14:paraId="413A2A96"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MC</w:t>
            </w:r>
          </w:p>
        </w:tc>
        <w:tc>
          <w:tcPr>
            <w:tcW w:w="416" w:type="dxa"/>
          </w:tcPr>
          <w:p w14:paraId="6F80835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6</w:t>
            </w:r>
          </w:p>
        </w:tc>
        <w:tc>
          <w:tcPr>
            <w:tcW w:w="859" w:type="dxa"/>
            <w:shd w:val="clear" w:color="auto" w:fill="auto"/>
            <w:noWrap/>
            <w:vAlign w:val="center"/>
            <w:hideMark/>
          </w:tcPr>
          <w:p w14:paraId="303CCD46"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-0.014</w:t>
            </w:r>
          </w:p>
        </w:tc>
        <w:tc>
          <w:tcPr>
            <w:tcW w:w="850" w:type="dxa"/>
            <w:shd w:val="clear" w:color="auto" w:fill="auto"/>
            <w:noWrap/>
            <w:vAlign w:val="center"/>
            <w:hideMark/>
          </w:tcPr>
          <w:p w14:paraId="279BB05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-0.363</w:t>
            </w:r>
          </w:p>
        </w:tc>
        <w:tc>
          <w:tcPr>
            <w:tcW w:w="851" w:type="dxa"/>
            <w:shd w:val="clear" w:color="auto" w:fill="auto"/>
            <w:noWrap/>
            <w:vAlign w:val="center"/>
            <w:hideMark/>
          </w:tcPr>
          <w:p w14:paraId="1AC92FD5"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0.115</w:t>
            </w:r>
          </w:p>
        </w:tc>
        <w:tc>
          <w:tcPr>
            <w:tcW w:w="850" w:type="dxa"/>
            <w:shd w:val="clear" w:color="auto" w:fill="auto"/>
            <w:noWrap/>
            <w:vAlign w:val="center"/>
            <w:hideMark/>
          </w:tcPr>
          <w:p w14:paraId="333CCEA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-0.072</w:t>
            </w:r>
          </w:p>
        </w:tc>
        <w:tc>
          <w:tcPr>
            <w:tcW w:w="851" w:type="dxa"/>
            <w:shd w:val="clear" w:color="auto" w:fill="auto"/>
            <w:noWrap/>
            <w:vAlign w:val="center"/>
            <w:hideMark/>
          </w:tcPr>
          <w:p w14:paraId="3ECFBE9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-0.043</w:t>
            </w:r>
          </w:p>
        </w:tc>
        <w:tc>
          <w:tcPr>
            <w:tcW w:w="850" w:type="dxa"/>
            <w:shd w:val="clear" w:color="auto" w:fill="auto"/>
            <w:noWrap/>
            <w:vAlign w:val="center"/>
            <w:hideMark/>
          </w:tcPr>
          <w:p w14:paraId="42CEB6D6"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51" w:type="dxa"/>
            <w:shd w:val="clear" w:color="auto" w:fill="auto"/>
            <w:noWrap/>
            <w:vAlign w:val="center"/>
            <w:hideMark/>
          </w:tcPr>
          <w:p w14:paraId="0F491ABE"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33" w:type="dxa"/>
            <w:shd w:val="clear" w:color="auto" w:fill="auto"/>
            <w:noWrap/>
            <w:vAlign w:val="center"/>
            <w:hideMark/>
          </w:tcPr>
          <w:p w14:paraId="0293AD30"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68" w:type="dxa"/>
            <w:shd w:val="clear" w:color="auto" w:fill="auto"/>
            <w:noWrap/>
            <w:vAlign w:val="center"/>
            <w:hideMark/>
          </w:tcPr>
          <w:p w14:paraId="7667CCD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072991F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60D0D2D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463591D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1027E79B"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43" w:type="dxa"/>
            <w:shd w:val="clear" w:color="auto" w:fill="auto"/>
            <w:noWrap/>
            <w:vAlign w:val="center"/>
            <w:hideMark/>
          </w:tcPr>
          <w:p w14:paraId="65ECCF44"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3FF45F0D" w14:textId="77777777" w:rsidTr="00C15CF1">
        <w:trPr>
          <w:trHeight w:val="300"/>
        </w:trPr>
        <w:tc>
          <w:tcPr>
            <w:tcW w:w="1277" w:type="dxa"/>
            <w:shd w:val="clear" w:color="auto" w:fill="auto"/>
            <w:noWrap/>
            <w:vAlign w:val="bottom"/>
            <w:hideMark/>
          </w:tcPr>
          <w:p w14:paraId="2EDF9F94"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MC_LargeB</w:t>
            </w:r>
          </w:p>
        </w:tc>
        <w:tc>
          <w:tcPr>
            <w:tcW w:w="416" w:type="dxa"/>
          </w:tcPr>
          <w:p w14:paraId="53F9B5C6"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7</w:t>
            </w:r>
          </w:p>
        </w:tc>
        <w:tc>
          <w:tcPr>
            <w:tcW w:w="859" w:type="dxa"/>
            <w:shd w:val="clear" w:color="auto" w:fill="auto"/>
            <w:noWrap/>
            <w:vAlign w:val="center"/>
            <w:hideMark/>
          </w:tcPr>
          <w:p w14:paraId="2DBF51E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-0.168</w:t>
            </w:r>
          </w:p>
        </w:tc>
        <w:tc>
          <w:tcPr>
            <w:tcW w:w="850" w:type="dxa"/>
            <w:shd w:val="clear" w:color="auto" w:fill="auto"/>
            <w:noWrap/>
            <w:vAlign w:val="center"/>
            <w:hideMark/>
          </w:tcPr>
          <w:p w14:paraId="1FB711F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0.111</w:t>
            </w:r>
          </w:p>
        </w:tc>
        <w:tc>
          <w:tcPr>
            <w:tcW w:w="851" w:type="dxa"/>
            <w:shd w:val="clear" w:color="auto" w:fill="auto"/>
            <w:noWrap/>
            <w:vAlign w:val="center"/>
            <w:hideMark/>
          </w:tcPr>
          <w:p w14:paraId="4D39304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0.126</w:t>
            </w:r>
          </w:p>
        </w:tc>
        <w:tc>
          <w:tcPr>
            <w:tcW w:w="850" w:type="dxa"/>
            <w:shd w:val="clear" w:color="auto" w:fill="auto"/>
            <w:noWrap/>
            <w:vAlign w:val="center"/>
            <w:hideMark/>
          </w:tcPr>
          <w:p w14:paraId="25FD33A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0.249</w:t>
            </w:r>
          </w:p>
        </w:tc>
        <w:tc>
          <w:tcPr>
            <w:tcW w:w="851" w:type="dxa"/>
            <w:shd w:val="clear" w:color="auto" w:fill="auto"/>
            <w:noWrap/>
            <w:vAlign w:val="center"/>
            <w:hideMark/>
          </w:tcPr>
          <w:p w14:paraId="7DB3B28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0.069</w:t>
            </w:r>
          </w:p>
        </w:tc>
        <w:tc>
          <w:tcPr>
            <w:tcW w:w="850" w:type="dxa"/>
            <w:shd w:val="clear" w:color="auto" w:fill="auto"/>
            <w:noWrap/>
            <w:vAlign w:val="center"/>
            <w:hideMark/>
          </w:tcPr>
          <w:p w14:paraId="71D4167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-0.081</w:t>
            </w:r>
          </w:p>
        </w:tc>
        <w:tc>
          <w:tcPr>
            <w:tcW w:w="851" w:type="dxa"/>
            <w:shd w:val="clear" w:color="auto" w:fill="auto"/>
            <w:noWrap/>
            <w:vAlign w:val="center"/>
            <w:hideMark/>
          </w:tcPr>
          <w:p w14:paraId="706DD89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33" w:type="dxa"/>
            <w:shd w:val="clear" w:color="auto" w:fill="auto"/>
            <w:noWrap/>
            <w:vAlign w:val="center"/>
            <w:hideMark/>
          </w:tcPr>
          <w:p w14:paraId="411A4C0E"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68" w:type="dxa"/>
            <w:shd w:val="clear" w:color="auto" w:fill="auto"/>
            <w:noWrap/>
            <w:vAlign w:val="center"/>
            <w:hideMark/>
          </w:tcPr>
          <w:p w14:paraId="28E4880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624377A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5152B004"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6C375B9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22C0F33E"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43" w:type="dxa"/>
            <w:shd w:val="clear" w:color="auto" w:fill="auto"/>
            <w:noWrap/>
            <w:vAlign w:val="center"/>
            <w:hideMark/>
          </w:tcPr>
          <w:p w14:paraId="5F40471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6CABB088" w14:textId="77777777" w:rsidTr="00C15CF1">
        <w:trPr>
          <w:trHeight w:val="300"/>
        </w:trPr>
        <w:tc>
          <w:tcPr>
            <w:tcW w:w="1277" w:type="dxa"/>
            <w:shd w:val="clear" w:color="auto" w:fill="auto"/>
            <w:noWrap/>
            <w:vAlign w:val="bottom"/>
            <w:hideMark/>
          </w:tcPr>
          <w:p w14:paraId="1CEF4ED1"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NPLs</w:t>
            </w:r>
          </w:p>
        </w:tc>
        <w:tc>
          <w:tcPr>
            <w:tcW w:w="416" w:type="dxa"/>
          </w:tcPr>
          <w:p w14:paraId="23AF5A4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8</w:t>
            </w:r>
          </w:p>
        </w:tc>
        <w:tc>
          <w:tcPr>
            <w:tcW w:w="859" w:type="dxa"/>
            <w:shd w:val="clear" w:color="auto" w:fill="auto"/>
            <w:noWrap/>
            <w:vAlign w:val="center"/>
            <w:hideMark/>
          </w:tcPr>
          <w:p w14:paraId="1927320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-0.122</w:t>
            </w:r>
          </w:p>
        </w:tc>
        <w:tc>
          <w:tcPr>
            <w:tcW w:w="850" w:type="dxa"/>
            <w:shd w:val="clear" w:color="auto" w:fill="auto"/>
            <w:noWrap/>
            <w:vAlign w:val="center"/>
            <w:hideMark/>
          </w:tcPr>
          <w:p w14:paraId="0FB7276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-0.189</w:t>
            </w:r>
          </w:p>
        </w:tc>
        <w:tc>
          <w:tcPr>
            <w:tcW w:w="851" w:type="dxa"/>
            <w:shd w:val="clear" w:color="auto" w:fill="auto"/>
            <w:noWrap/>
            <w:vAlign w:val="center"/>
            <w:hideMark/>
          </w:tcPr>
          <w:p w14:paraId="006EC99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0.052</w:t>
            </w:r>
          </w:p>
        </w:tc>
        <w:tc>
          <w:tcPr>
            <w:tcW w:w="850" w:type="dxa"/>
            <w:shd w:val="clear" w:color="auto" w:fill="auto"/>
            <w:noWrap/>
            <w:vAlign w:val="center"/>
            <w:hideMark/>
          </w:tcPr>
          <w:p w14:paraId="3537C04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-0.043</w:t>
            </w:r>
          </w:p>
        </w:tc>
        <w:tc>
          <w:tcPr>
            <w:tcW w:w="851" w:type="dxa"/>
            <w:shd w:val="clear" w:color="auto" w:fill="auto"/>
            <w:noWrap/>
            <w:vAlign w:val="center"/>
            <w:hideMark/>
          </w:tcPr>
          <w:p w14:paraId="36D74BC4"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-0.027</w:t>
            </w:r>
          </w:p>
        </w:tc>
        <w:tc>
          <w:tcPr>
            <w:tcW w:w="850" w:type="dxa"/>
            <w:shd w:val="clear" w:color="auto" w:fill="auto"/>
            <w:noWrap/>
            <w:vAlign w:val="center"/>
            <w:hideMark/>
          </w:tcPr>
          <w:p w14:paraId="7C826E7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0.263</w:t>
            </w:r>
          </w:p>
        </w:tc>
        <w:tc>
          <w:tcPr>
            <w:tcW w:w="851" w:type="dxa"/>
            <w:shd w:val="clear" w:color="auto" w:fill="auto"/>
            <w:noWrap/>
            <w:vAlign w:val="center"/>
            <w:hideMark/>
          </w:tcPr>
          <w:p w14:paraId="32D5901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0.106</w:t>
            </w:r>
          </w:p>
        </w:tc>
        <w:tc>
          <w:tcPr>
            <w:tcW w:w="833" w:type="dxa"/>
            <w:shd w:val="clear" w:color="auto" w:fill="auto"/>
            <w:noWrap/>
            <w:vAlign w:val="center"/>
            <w:hideMark/>
          </w:tcPr>
          <w:p w14:paraId="4606BF84"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68" w:type="dxa"/>
            <w:shd w:val="clear" w:color="auto" w:fill="auto"/>
            <w:noWrap/>
            <w:vAlign w:val="center"/>
            <w:hideMark/>
          </w:tcPr>
          <w:p w14:paraId="0BEE0505"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4543510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42886CE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06C7DC2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3C566B8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43" w:type="dxa"/>
            <w:shd w:val="clear" w:color="auto" w:fill="auto"/>
            <w:noWrap/>
            <w:vAlign w:val="center"/>
            <w:hideMark/>
          </w:tcPr>
          <w:p w14:paraId="5A6841A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3FC27BFA" w14:textId="77777777" w:rsidTr="00C15CF1">
        <w:trPr>
          <w:trHeight w:val="300"/>
        </w:trPr>
        <w:tc>
          <w:tcPr>
            <w:tcW w:w="1277" w:type="dxa"/>
            <w:shd w:val="clear" w:color="auto" w:fill="auto"/>
            <w:noWrap/>
            <w:vAlign w:val="bottom"/>
            <w:hideMark/>
          </w:tcPr>
          <w:p w14:paraId="11A03DD5"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EQTA</w:t>
            </w:r>
          </w:p>
        </w:tc>
        <w:tc>
          <w:tcPr>
            <w:tcW w:w="416" w:type="dxa"/>
          </w:tcPr>
          <w:p w14:paraId="4B70C18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9</w:t>
            </w:r>
          </w:p>
        </w:tc>
        <w:tc>
          <w:tcPr>
            <w:tcW w:w="859" w:type="dxa"/>
            <w:shd w:val="clear" w:color="auto" w:fill="auto"/>
            <w:noWrap/>
            <w:vAlign w:val="center"/>
            <w:hideMark/>
          </w:tcPr>
          <w:p w14:paraId="3FBE791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0.074</w:t>
            </w:r>
          </w:p>
        </w:tc>
        <w:tc>
          <w:tcPr>
            <w:tcW w:w="850" w:type="dxa"/>
            <w:shd w:val="clear" w:color="auto" w:fill="auto"/>
            <w:noWrap/>
            <w:vAlign w:val="center"/>
            <w:hideMark/>
          </w:tcPr>
          <w:p w14:paraId="0938680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-0.149</w:t>
            </w:r>
          </w:p>
        </w:tc>
        <w:tc>
          <w:tcPr>
            <w:tcW w:w="851" w:type="dxa"/>
            <w:shd w:val="clear" w:color="auto" w:fill="auto"/>
            <w:noWrap/>
            <w:vAlign w:val="center"/>
            <w:hideMark/>
          </w:tcPr>
          <w:p w14:paraId="53FAE9D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-0.221</w:t>
            </w:r>
          </w:p>
        </w:tc>
        <w:tc>
          <w:tcPr>
            <w:tcW w:w="850" w:type="dxa"/>
            <w:shd w:val="clear" w:color="auto" w:fill="auto"/>
            <w:noWrap/>
            <w:vAlign w:val="center"/>
            <w:hideMark/>
          </w:tcPr>
          <w:p w14:paraId="5BE9EA7E"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-0.268</w:t>
            </w:r>
          </w:p>
        </w:tc>
        <w:tc>
          <w:tcPr>
            <w:tcW w:w="851" w:type="dxa"/>
            <w:shd w:val="clear" w:color="auto" w:fill="auto"/>
            <w:noWrap/>
            <w:vAlign w:val="center"/>
            <w:hideMark/>
          </w:tcPr>
          <w:p w14:paraId="37D5DA9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-0.157</w:t>
            </w:r>
          </w:p>
        </w:tc>
        <w:tc>
          <w:tcPr>
            <w:tcW w:w="850" w:type="dxa"/>
            <w:shd w:val="clear" w:color="auto" w:fill="auto"/>
            <w:noWrap/>
            <w:vAlign w:val="center"/>
            <w:hideMark/>
          </w:tcPr>
          <w:p w14:paraId="22306FA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-0.033</w:t>
            </w:r>
          </w:p>
        </w:tc>
        <w:tc>
          <w:tcPr>
            <w:tcW w:w="851" w:type="dxa"/>
            <w:shd w:val="clear" w:color="auto" w:fill="auto"/>
            <w:noWrap/>
            <w:vAlign w:val="center"/>
            <w:hideMark/>
          </w:tcPr>
          <w:p w14:paraId="373869D5"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-0.058</w:t>
            </w:r>
          </w:p>
        </w:tc>
        <w:tc>
          <w:tcPr>
            <w:tcW w:w="833" w:type="dxa"/>
            <w:shd w:val="clear" w:color="auto" w:fill="auto"/>
            <w:noWrap/>
            <w:vAlign w:val="center"/>
            <w:hideMark/>
          </w:tcPr>
          <w:p w14:paraId="0A40D624"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-0.087</w:t>
            </w:r>
          </w:p>
        </w:tc>
        <w:tc>
          <w:tcPr>
            <w:tcW w:w="868" w:type="dxa"/>
            <w:shd w:val="clear" w:color="auto" w:fill="auto"/>
            <w:noWrap/>
            <w:vAlign w:val="center"/>
            <w:hideMark/>
          </w:tcPr>
          <w:p w14:paraId="7463DAA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50" w:type="dxa"/>
            <w:shd w:val="clear" w:color="auto" w:fill="auto"/>
            <w:noWrap/>
            <w:vAlign w:val="center"/>
            <w:hideMark/>
          </w:tcPr>
          <w:p w14:paraId="35C8F025"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78B1986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50317765"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14BE49D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43" w:type="dxa"/>
            <w:shd w:val="clear" w:color="auto" w:fill="auto"/>
            <w:noWrap/>
            <w:vAlign w:val="center"/>
            <w:hideMark/>
          </w:tcPr>
          <w:p w14:paraId="63228E85"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53D1DD86" w14:textId="77777777" w:rsidTr="00C15CF1">
        <w:trPr>
          <w:trHeight w:val="300"/>
        </w:trPr>
        <w:tc>
          <w:tcPr>
            <w:tcW w:w="1277" w:type="dxa"/>
            <w:shd w:val="clear" w:color="auto" w:fill="auto"/>
            <w:noWrap/>
            <w:vAlign w:val="bottom"/>
            <w:hideMark/>
          </w:tcPr>
          <w:p w14:paraId="231B02BC"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ENTRY</w:t>
            </w:r>
          </w:p>
        </w:tc>
        <w:tc>
          <w:tcPr>
            <w:tcW w:w="416" w:type="dxa"/>
          </w:tcPr>
          <w:p w14:paraId="5E44A2C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w:t>
            </w:r>
          </w:p>
        </w:tc>
        <w:tc>
          <w:tcPr>
            <w:tcW w:w="859" w:type="dxa"/>
            <w:shd w:val="clear" w:color="auto" w:fill="auto"/>
            <w:noWrap/>
            <w:vAlign w:val="center"/>
            <w:hideMark/>
          </w:tcPr>
          <w:p w14:paraId="0A250316"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-0.066</w:t>
            </w:r>
          </w:p>
        </w:tc>
        <w:tc>
          <w:tcPr>
            <w:tcW w:w="850" w:type="dxa"/>
            <w:shd w:val="clear" w:color="auto" w:fill="auto"/>
            <w:noWrap/>
            <w:vAlign w:val="center"/>
            <w:hideMark/>
          </w:tcPr>
          <w:p w14:paraId="48F41A37"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0.007</w:t>
            </w:r>
          </w:p>
        </w:tc>
        <w:tc>
          <w:tcPr>
            <w:tcW w:w="851" w:type="dxa"/>
            <w:shd w:val="clear" w:color="auto" w:fill="auto"/>
            <w:noWrap/>
            <w:vAlign w:val="center"/>
            <w:hideMark/>
          </w:tcPr>
          <w:p w14:paraId="579E84C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0.013</w:t>
            </w:r>
          </w:p>
        </w:tc>
        <w:tc>
          <w:tcPr>
            <w:tcW w:w="850" w:type="dxa"/>
            <w:shd w:val="clear" w:color="auto" w:fill="auto"/>
            <w:noWrap/>
            <w:vAlign w:val="center"/>
            <w:hideMark/>
          </w:tcPr>
          <w:p w14:paraId="7759779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-0.024</w:t>
            </w:r>
          </w:p>
        </w:tc>
        <w:tc>
          <w:tcPr>
            <w:tcW w:w="851" w:type="dxa"/>
            <w:shd w:val="clear" w:color="auto" w:fill="auto"/>
            <w:noWrap/>
            <w:vAlign w:val="center"/>
            <w:hideMark/>
          </w:tcPr>
          <w:p w14:paraId="3E4F1615"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-0.179</w:t>
            </w:r>
          </w:p>
        </w:tc>
        <w:tc>
          <w:tcPr>
            <w:tcW w:w="850" w:type="dxa"/>
            <w:shd w:val="clear" w:color="auto" w:fill="auto"/>
            <w:noWrap/>
            <w:vAlign w:val="center"/>
            <w:hideMark/>
          </w:tcPr>
          <w:p w14:paraId="7B0EFF4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0.052</w:t>
            </w:r>
          </w:p>
        </w:tc>
        <w:tc>
          <w:tcPr>
            <w:tcW w:w="851" w:type="dxa"/>
            <w:shd w:val="clear" w:color="auto" w:fill="auto"/>
            <w:noWrap/>
            <w:vAlign w:val="center"/>
            <w:hideMark/>
          </w:tcPr>
          <w:p w14:paraId="0963B32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0.120</w:t>
            </w:r>
          </w:p>
        </w:tc>
        <w:tc>
          <w:tcPr>
            <w:tcW w:w="833" w:type="dxa"/>
            <w:shd w:val="clear" w:color="auto" w:fill="auto"/>
            <w:noWrap/>
            <w:vAlign w:val="center"/>
            <w:hideMark/>
          </w:tcPr>
          <w:p w14:paraId="50DD159E"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-0.020</w:t>
            </w:r>
          </w:p>
        </w:tc>
        <w:tc>
          <w:tcPr>
            <w:tcW w:w="868" w:type="dxa"/>
            <w:shd w:val="clear" w:color="auto" w:fill="auto"/>
            <w:noWrap/>
            <w:vAlign w:val="center"/>
            <w:hideMark/>
          </w:tcPr>
          <w:p w14:paraId="4C93338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0.152</w:t>
            </w:r>
          </w:p>
        </w:tc>
        <w:tc>
          <w:tcPr>
            <w:tcW w:w="850" w:type="dxa"/>
            <w:shd w:val="clear" w:color="auto" w:fill="auto"/>
            <w:noWrap/>
            <w:vAlign w:val="center"/>
            <w:hideMark/>
          </w:tcPr>
          <w:p w14:paraId="462D8A4E"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51" w:type="dxa"/>
            <w:shd w:val="clear" w:color="auto" w:fill="auto"/>
            <w:noWrap/>
            <w:vAlign w:val="center"/>
            <w:hideMark/>
          </w:tcPr>
          <w:p w14:paraId="5C1FA34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0" w:type="dxa"/>
            <w:shd w:val="clear" w:color="auto" w:fill="auto"/>
            <w:noWrap/>
            <w:vAlign w:val="center"/>
            <w:hideMark/>
          </w:tcPr>
          <w:p w14:paraId="44C6FB6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20A7BC3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43" w:type="dxa"/>
            <w:shd w:val="clear" w:color="auto" w:fill="auto"/>
            <w:noWrap/>
            <w:vAlign w:val="center"/>
            <w:hideMark/>
          </w:tcPr>
          <w:p w14:paraId="5DEC785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7DBB5657" w14:textId="77777777" w:rsidTr="00C15CF1">
        <w:trPr>
          <w:trHeight w:val="300"/>
        </w:trPr>
        <w:tc>
          <w:tcPr>
            <w:tcW w:w="1277" w:type="dxa"/>
            <w:shd w:val="clear" w:color="auto" w:fill="auto"/>
            <w:noWrap/>
            <w:vAlign w:val="bottom"/>
            <w:hideMark/>
          </w:tcPr>
          <w:p w14:paraId="352C4CCD"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HHI</w:t>
            </w:r>
          </w:p>
        </w:tc>
        <w:tc>
          <w:tcPr>
            <w:tcW w:w="416" w:type="dxa"/>
          </w:tcPr>
          <w:p w14:paraId="7F8B164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11</w:t>
            </w:r>
          </w:p>
        </w:tc>
        <w:tc>
          <w:tcPr>
            <w:tcW w:w="859" w:type="dxa"/>
            <w:shd w:val="clear" w:color="auto" w:fill="auto"/>
            <w:noWrap/>
            <w:vAlign w:val="center"/>
            <w:hideMark/>
          </w:tcPr>
          <w:p w14:paraId="15E1CE40"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-0.027</w:t>
            </w:r>
          </w:p>
        </w:tc>
        <w:tc>
          <w:tcPr>
            <w:tcW w:w="850" w:type="dxa"/>
            <w:shd w:val="clear" w:color="auto" w:fill="auto"/>
            <w:noWrap/>
            <w:vAlign w:val="center"/>
            <w:hideMark/>
          </w:tcPr>
          <w:p w14:paraId="12B232D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-0.081</w:t>
            </w:r>
          </w:p>
        </w:tc>
        <w:tc>
          <w:tcPr>
            <w:tcW w:w="851" w:type="dxa"/>
            <w:shd w:val="clear" w:color="auto" w:fill="auto"/>
            <w:noWrap/>
            <w:vAlign w:val="center"/>
            <w:hideMark/>
          </w:tcPr>
          <w:p w14:paraId="5955F1F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0.140</w:t>
            </w:r>
          </w:p>
        </w:tc>
        <w:tc>
          <w:tcPr>
            <w:tcW w:w="850" w:type="dxa"/>
            <w:shd w:val="clear" w:color="auto" w:fill="auto"/>
            <w:noWrap/>
            <w:vAlign w:val="center"/>
            <w:hideMark/>
          </w:tcPr>
          <w:p w14:paraId="512FAA74"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0.157</w:t>
            </w:r>
          </w:p>
        </w:tc>
        <w:tc>
          <w:tcPr>
            <w:tcW w:w="851" w:type="dxa"/>
            <w:shd w:val="clear" w:color="auto" w:fill="auto"/>
            <w:noWrap/>
            <w:vAlign w:val="center"/>
            <w:hideMark/>
          </w:tcPr>
          <w:p w14:paraId="2CAB004E"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0.107</w:t>
            </w:r>
          </w:p>
        </w:tc>
        <w:tc>
          <w:tcPr>
            <w:tcW w:w="850" w:type="dxa"/>
            <w:shd w:val="clear" w:color="auto" w:fill="auto"/>
            <w:noWrap/>
            <w:vAlign w:val="center"/>
            <w:hideMark/>
          </w:tcPr>
          <w:p w14:paraId="373773D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0.171</w:t>
            </w:r>
          </w:p>
        </w:tc>
        <w:tc>
          <w:tcPr>
            <w:tcW w:w="851" w:type="dxa"/>
            <w:shd w:val="clear" w:color="auto" w:fill="auto"/>
            <w:noWrap/>
            <w:vAlign w:val="center"/>
            <w:hideMark/>
          </w:tcPr>
          <w:p w14:paraId="6564188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0.306</w:t>
            </w:r>
          </w:p>
        </w:tc>
        <w:tc>
          <w:tcPr>
            <w:tcW w:w="833" w:type="dxa"/>
            <w:shd w:val="clear" w:color="auto" w:fill="auto"/>
            <w:noWrap/>
            <w:vAlign w:val="center"/>
            <w:hideMark/>
          </w:tcPr>
          <w:p w14:paraId="4C0EFFC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0.196</w:t>
            </w:r>
          </w:p>
        </w:tc>
        <w:tc>
          <w:tcPr>
            <w:tcW w:w="868" w:type="dxa"/>
            <w:shd w:val="clear" w:color="auto" w:fill="auto"/>
            <w:noWrap/>
            <w:vAlign w:val="center"/>
            <w:hideMark/>
          </w:tcPr>
          <w:p w14:paraId="7677BA0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-0.104</w:t>
            </w:r>
          </w:p>
        </w:tc>
        <w:tc>
          <w:tcPr>
            <w:tcW w:w="850" w:type="dxa"/>
            <w:shd w:val="clear" w:color="auto" w:fill="auto"/>
            <w:noWrap/>
            <w:vAlign w:val="center"/>
            <w:hideMark/>
          </w:tcPr>
          <w:p w14:paraId="6A29847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-0.185</w:t>
            </w:r>
          </w:p>
        </w:tc>
        <w:tc>
          <w:tcPr>
            <w:tcW w:w="851" w:type="dxa"/>
            <w:shd w:val="clear" w:color="auto" w:fill="auto"/>
            <w:noWrap/>
            <w:vAlign w:val="center"/>
            <w:hideMark/>
          </w:tcPr>
          <w:p w14:paraId="55CC0A9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50" w:type="dxa"/>
            <w:shd w:val="clear" w:color="auto" w:fill="auto"/>
            <w:noWrap/>
            <w:vAlign w:val="center"/>
            <w:hideMark/>
          </w:tcPr>
          <w:p w14:paraId="0FC0487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51" w:type="dxa"/>
            <w:shd w:val="clear" w:color="auto" w:fill="auto"/>
            <w:noWrap/>
            <w:vAlign w:val="center"/>
            <w:hideMark/>
          </w:tcPr>
          <w:p w14:paraId="5EA984E7"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43" w:type="dxa"/>
            <w:shd w:val="clear" w:color="auto" w:fill="auto"/>
            <w:noWrap/>
            <w:vAlign w:val="center"/>
            <w:hideMark/>
          </w:tcPr>
          <w:p w14:paraId="285C732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10A84A47" w14:textId="77777777" w:rsidTr="00C15CF1">
        <w:trPr>
          <w:trHeight w:val="300"/>
        </w:trPr>
        <w:tc>
          <w:tcPr>
            <w:tcW w:w="1277" w:type="dxa"/>
            <w:shd w:val="clear" w:color="auto" w:fill="auto"/>
            <w:noWrap/>
            <w:vAlign w:val="bottom"/>
            <w:hideMark/>
          </w:tcPr>
          <w:p w14:paraId="16EC555F"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Adj LE</w:t>
            </w:r>
          </w:p>
        </w:tc>
        <w:tc>
          <w:tcPr>
            <w:tcW w:w="416" w:type="dxa"/>
          </w:tcPr>
          <w:p w14:paraId="0393EA7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12</w:t>
            </w:r>
          </w:p>
        </w:tc>
        <w:tc>
          <w:tcPr>
            <w:tcW w:w="859" w:type="dxa"/>
            <w:shd w:val="clear" w:color="auto" w:fill="auto"/>
            <w:noWrap/>
            <w:vAlign w:val="center"/>
            <w:hideMark/>
          </w:tcPr>
          <w:p w14:paraId="5C969F9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0.434</w:t>
            </w:r>
          </w:p>
        </w:tc>
        <w:tc>
          <w:tcPr>
            <w:tcW w:w="850" w:type="dxa"/>
            <w:shd w:val="clear" w:color="auto" w:fill="auto"/>
            <w:noWrap/>
            <w:vAlign w:val="center"/>
            <w:hideMark/>
          </w:tcPr>
          <w:p w14:paraId="19760F5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-0.099</w:t>
            </w:r>
          </w:p>
        </w:tc>
        <w:tc>
          <w:tcPr>
            <w:tcW w:w="851" w:type="dxa"/>
            <w:shd w:val="clear" w:color="auto" w:fill="auto"/>
            <w:noWrap/>
            <w:vAlign w:val="center"/>
            <w:hideMark/>
          </w:tcPr>
          <w:p w14:paraId="61377D7B"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-0.270</w:t>
            </w:r>
          </w:p>
        </w:tc>
        <w:tc>
          <w:tcPr>
            <w:tcW w:w="850" w:type="dxa"/>
            <w:shd w:val="clear" w:color="auto" w:fill="auto"/>
            <w:noWrap/>
            <w:vAlign w:val="center"/>
            <w:hideMark/>
          </w:tcPr>
          <w:p w14:paraId="28D5C1B5"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-0.216</w:t>
            </w:r>
          </w:p>
        </w:tc>
        <w:tc>
          <w:tcPr>
            <w:tcW w:w="851" w:type="dxa"/>
            <w:shd w:val="clear" w:color="auto" w:fill="auto"/>
            <w:noWrap/>
            <w:vAlign w:val="center"/>
            <w:hideMark/>
          </w:tcPr>
          <w:p w14:paraId="2B75176B"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-0.092</w:t>
            </w:r>
          </w:p>
        </w:tc>
        <w:tc>
          <w:tcPr>
            <w:tcW w:w="850" w:type="dxa"/>
            <w:shd w:val="clear" w:color="auto" w:fill="auto"/>
            <w:noWrap/>
            <w:vAlign w:val="center"/>
            <w:hideMark/>
          </w:tcPr>
          <w:p w14:paraId="4610357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-0.509</w:t>
            </w:r>
          </w:p>
        </w:tc>
        <w:tc>
          <w:tcPr>
            <w:tcW w:w="851" w:type="dxa"/>
            <w:shd w:val="clear" w:color="auto" w:fill="auto"/>
            <w:noWrap/>
            <w:vAlign w:val="center"/>
            <w:hideMark/>
          </w:tcPr>
          <w:p w14:paraId="76E00F0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-0.256</w:t>
            </w:r>
          </w:p>
        </w:tc>
        <w:tc>
          <w:tcPr>
            <w:tcW w:w="833" w:type="dxa"/>
            <w:shd w:val="clear" w:color="auto" w:fill="auto"/>
            <w:noWrap/>
            <w:vAlign w:val="center"/>
            <w:hideMark/>
          </w:tcPr>
          <w:p w14:paraId="0CACDECE"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-0.084</w:t>
            </w:r>
          </w:p>
        </w:tc>
        <w:tc>
          <w:tcPr>
            <w:tcW w:w="868" w:type="dxa"/>
            <w:shd w:val="clear" w:color="auto" w:fill="auto"/>
            <w:noWrap/>
            <w:vAlign w:val="center"/>
            <w:hideMark/>
          </w:tcPr>
          <w:p w14:paraId="5EEC29E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0.041</w:t>
            </w:r>
          </w:p>
        </w:tc>
        <w:tc>
          <w:tcPr>
            <w:tcW w:w="850" w:type="dxa"/>
            <w:shd w:val="clear" w:color="auto" w:fill="auto"/>
            <w:noWrap/>
            <w:vAlign w:val="center"/>
            <w:hideMark/>
          </w:tcPr>
          <w:p w14:paraId="25113F9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-0.060</w:t>
            </w:r>
          </w:p>
        </w:tc>
        <w:tc>
          <w:tcPr>
            <w:tcW w:w="851" w:type="dxa"/>
            <w:shd w:val="clear" w:color="auto" w:fill="auto"/>
            <w:noWrap/>
            <w:vAlign w:val="center"/>
            <w:hideMark/>
          </w:tcPr>
          <w:p w14:paraId="21C068AE"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-0.124</w:t>
            </w:r>
          </w:p>
        </w:tc>
        <w:tc>
          <w:tcPr>
            <w:tcW w:w="850" w:type="dxa"/>
            <w:shd w:val="clear" w:color="auto" w:fill="auto"/>
            <w:noWrap/>
            <w:vAlign w:val="center"/>
            <w:hideMark/>
          </w:tcPr>
          <w:p w14:paraId="6D7CAE3B"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51" w:type="dxa"/>
            <w:shd w:val="clear" w:color="auto" w:fill="auto"/>
            <w:noWrap/>
            <w:vAlign w:val="center"/>
            <w:hideMark/>
          </w:tcPr>
          <w:p w14:paraId="6334F12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c>
          <w:tcPr>
            <w:tcW w:w="843" w:type="dxa"/>
            <w:shd w:val="clear" w:color="auto" w:fill="auto"/>
            <w:noWrap/>
            <w:vAlign w:val="center"/>
            <w:hideMark/>
          </w:tcPr>
          <w:p w14:paraId="0114A91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139BACF8" w14:textId="77777777" w:rsidTr="00C15CF1">
        <w:trPr>
          <w:trHeight w:val="300"/>
        </w:trPr>
        <w:tc>
          <w:tcPr>
            <w:tcW w:w="1277" w:type="dxa"/>
            <w:shd w:val="clear" w:color="auto" w:fill="auto"/>
            <w:noWrap/>
            <w:vAlign w:val="bottom"/>
            <w:hideMark/>
          </w:tcPr>
          <w:p w14:paraId="233634A0"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LEL</w:t>
            </w:r>
          </w:p>
        </w:tc>
        <w:tc>
          <w:tcPr>
            <w:tcW w:w="416" w:type="dxa"/>
          </w:tcPr>
          <w:p w14:paraId="718DB14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13</w:t>
            </w:r>
          </w:p>
        </w:tc>
        <w:tc>
          <w:tcPr>
            <w:tcW w:w="859" w:type="dxa"/>
            <w:shd w:val="clear" w:color="auto" w:fill="auto"/>
            <w:noWrap/>
            <w:vAlign w:val="center"/>
            <w:hideMark/>
          </w:tcPr>
          <w:p w14:paraId="63D60BF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0.342</w:t>
            </w:r>
          </w:p>
        </w:tc>
        <w:tc>
          <w:tcPr>
            <w:tcW w:w="850" w:type="dxa"/>
            <w:shd w:val="clear" w:color="auto" w:fill="auto"/>
            <w:noWrap/>
            <w:vAlign w:val="center"/>
            <w:hideMark/>
          </w:tcPr>
          <w:p w14:paraId="259653B5"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-0.298</w:t>
            </w:r>
          </w:p>
        </w:tc>
        <w:tc>
          <w:tcPr>
            <w:tcW w:w="851" w:type="dxa"/>
            <w:shd w:val="clear" w:color="auto" w:fill="auto"/>
            <w:noWrap/>
            <w:vAlign w:val="center"/>
            <w:hideMark/>
          </w:tcPr>
          <w:p w14:paraId="13161116"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-0.128</w:t>
            </w:r>
          </w:p>
        </w:tc>
        <w:tc>
          <w:tcPr>
            <w:tcW w:w="850" w:type="dxa"/>
            <w:shd w:val="clear" w:color="auto" w:fill="auto"/>
            <w:noWrap/>
            <w:vAlign w:val="center"/>
            <w:hideMark/>
          </w:tcPr>
          <w:p w14:paraId="509A33A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-0.272</w:t>
            </w:r>
          </w:p>
        </w:tc>
        <w:tc>
          <w:tcPr>
            <w:tcW w:w="851" w:type="dxa"/>
            <w:shd w:val="clear" w:color="auto" w:fill="auto"/>
            <w:noWrap/>
            <w:vAlign w:val="center"/>
            <w:hideMark/>
          </w:tcPr>
          <w:p w14:paraId="46BCBCD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-0.132</w:t>
            </w:r>
          </w:p>
        </w:tc>
        <w:tc>
          <w:tcPr>
            <w:tcW w:w="850" w:type="dxa"/>
            <w:shd w:val="clear" w:color="auto" w:fill="auto"/>
            <w:noWrap/>
            <w:vAlign w:val="center"/>
            <w:hideMark/>
          </w:tcPr>
          <w:p w14:paraId="51A5C49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0.287</w:t>
            </w:r>
          </w:p>
        </w:tc>
        <w:tc>
          <w:tcPr>
            <w:tcW w:w="851" w:type="dxa"/>
            <w:shd w:val="clear" w:color="auto" w:fill="auto"/>
            <w:noWrap/>
            <w:vAlign w:val="center"/>
            <w:hideMark/>
          </w:tcPr>
          <w:p w14:paraId="5F73ED6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-0.301</w:t>
            </w:r>
          </w:p>
        </w:tc>
        <w:tc>
          <w:tcPr>
            <w:tcW w:w="833" w:type="dxa"/>
            <w:shd w:val="clear" w:color="auto" w:fill="auto"/>
            <w:noWrap/>
            <w:vAlign w:val="center"/>
            <w:hideMark/>
          </w:tcPr>
          <w:p w14:paraId="7D67A816"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0.122</w:t>
            </w:r>
          </w:p>
        </w:tc>
        <w:tc>
          <w:tcPr>
            <w:tcW w:w="868" w:type="dxa"/>
            <w:shd w:val="clear" w:color="auto" w:fill="auto"/>
            <w:noWrap/>
            <w:vAlign w:val="center"/>
            <w:hideMark/>
          </w:tcPr>
          <w:p w14:paraId="0CA8571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-0.109</w:t>
            </w:r>
          </w:p>
        </w:tc>
        <w:tc>
          <w:tcPr>
            <w:tcW w:w="850" w:type="dxa"/>
            <w:shd w:val="clear" w:color="auto" w:fill="auto"/>
            <w:noWrap/>
            <w:vAlign w:val="center"/>
            <w:hideMark/>
          </w:tcPr>
          <w:p w14:paraId="3122EEF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-0.059</w:t>
            </w:r>
          </w:p>
        </w:tc>
        <w:tc>
          <w:tcPr>
            <w:tcW w:w="851" w:type="dxa"/>
            <w:shd w:val="clear" w:color="auto" w:fill="auto"/>
            <w:noWrap/>
            <w:vAlign w:val="center"/>
            <w:hideMark/>
          </w:tcPr>
          <w:p w14:paraId="2435739C"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0.002</w:t>
            </w:r>
          </w:p>
        </w:tc>
        <w:tc>
          <w:tcPr>
            <w:tcW w:w="850" w:type="dxa"/>
            <w:shd w:val="clear" w:color="auto" w:fill="auto"/>
            <w:noWrap/>
            <w:vAlign w:val="center"/>
            <w:hideMark/>
          </w:tcPr>
          <w:p w14:paraId="31A0FC44"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0.451</w:t>
            </w:r>
          </w:p>
        </w:tc>
        <w:tc>
          <w:tcPr>
            <w:tcW w:w="851" w:type="dxa"/>
            <w:shd w:val="clear" w:color="auto" w:fill="auto"/>
            <w:noWrap/>
            <w:vAlign w:val="center"/>
            <w:hideMark/>
          </w:tcPr>
          <w:p w14:paraId="07FA9951"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c>
          <w:tcPr>
            <w:tcW w:w="843" w:type="dxa"/>
            <w:shd w:val="clear" w:color="auto" w:fill="auto"/>
            <w:noWrap/>
            <w:vAlign w:val="center"/>
            <w:hideMark/>
          </w:tcPr>
          <w:p w14:paraId="33D87F6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p>
        </w:tc>
      </w:tr>
      <w:tr w:rsidR="00FB736C" w:rsidRPr="00781C70" w14:paraId="32E2F85B" w14:textId="77777777" w:rsidTr="00C15CF1">
        <w:trPr>
          <w:trHeight w:val="300"/>
        </w:trPr>
        <w:tc>
          <w:tcPr>
            <w:tcW w:w="1277" w:type="dxa"/>
            <w:tcBorders>
              <w:bottom w:val="single" w:sz="4" w:space="0" w:color="auto"/>
            </w:tcBorders>
            <w:shd w:val="clear" w:color="auto" w:fill="auto"/>
            <w:noWrap/>
            <w:vAlign w:val="bottom"/>
            <w:hideMark/>
          </w:tcPr>
          <w:p w14:paraId="56475BD1" w14:textId="77777777" w:rsidR="00FB736C" w:rsidRPr="003141E2" w:rsidRDefault="00FB736C" w:rsidP="00C15CF1">
            <w:pPr>
              <w:spacing w:after="0" w:line="240" w:lineRule="auto"/>
              <w:rPr>
                <w:rFonts w:ascii="Times New Roman" w:eastAsia="Times New Roman" w:hAnsi="Times New Roman" w:cs="Times New Roman"/>
                <w:color w:val="000000"/>
                <w:sz w:val="24"/>
                <w:szCs w:val="24"/>
                <w:lang w:val="en-GB" w:eastAsia="en-GB"/>
              </w:rPr>
            </w:pPr>
            <w:r w:rsidRPr="003141E2">
              <w:rPr>
                <w:rFonts w:ascii="Times New Roman" w:eastAsia="Times New Roman" w:hAnsi="Times New Roman" w:cs="Times New Roman"/>
                <w:color w:val="000000"/>
                <w:sz w:val="24"/>
                <w:szCs w:val="24"/>
                <w:lang w:val="en-GB" w:eastAsia="en-GB"/>
              </w:rPr>
              <w:t>LED</w:t>
            </w:r>
          </w:p>
        </w:tc>
        <w:tc>
          <w:tcPr>
            <w:tcW w:w="416" w:type="dxa"/>
            <w:tcBorders>
              <w:bottom w:val="single" w:sz="4" w:space="0" w:color="auto"/>
            </w:tcBorders>
          </w:tcPr>
          <w:p w14:paraId="0A9A43D6"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14</w:t>
            </w:r>
          </w:p>
        </w:tc>
        <w:tc>
          <w:tcPr>
            <w:tcW w:w="859" w:type="dxa"/>
            <w:tcBorders>
              <w:bottom w:val="single" w:sz="4" w:space="0" w:color="auto"/>
            </w:tcBorders>
            <w:shd w:val="clear" w:color="auto" w:fill="auto"/>
            <w:noWrap/>
            <w:vAlign w:val="center"/>
            <w:hideMark/>
          </w:tcPr>
          <w:p w14:paraId="5B29133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0.216</w:t>
            </w:r>
          </w:p>
        </w:tc>
        <w:tc>
          <w:tcPr>
            <w:tcW w:w="850" w:type="dxa"/>
            <w:tcBorders>
              <w:bottom w:val="single" w:sz="4" w:space="0" w:color="auto"/>
            </w:tcBorders>
            <w:shd w:val="clear" w:color="auto" w:fill="auto"/>
            <w:noWrap/>
            <w:vAlign w:val="center"/>
            <w:hideMark/>
          </w:tcPr>
          <w:p w14:paraId="51D3718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-0.153</w:t>
            </w:r>
          </w:p>
        </w:tc>
        <w:tc>
          <w:tcPr>
            <w:tcW w:w="851" w:type="dxa"/>
            <w:tcBorders>
              <w:bottom w:val="single" w:sz="4" w:space="0" w:color="auto"/>
            </w:tcBorders>
            <w:shd w:val="clear" w:color="auto" w:fill="auto"/>
            <w:noWrap/>
            <w:vAlign w:val="center"/>
            <w:hideMark/>
          </w:tcPr>
          <w:p w14:paraId="37B769F7"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-0.188</w:t>
            </w:r>
          </w:p>
        </w:tc>
        <w:tc>
          <w:tcPr>
            <w:tcW w:w="850" w:type="dxa"/>
            <w:tcBorders>
              <w:bottom w:val="single" w:sz="4" w:space="0" w:color="auto"/>
            </w:tcBorders>
            <w:shd w:val="clear" w:color="auto" w:fill="auto"/>
            <w:noWrap/>
            <w:vAlign w:val="center"/>
            <w:hideMark/>
          </w:tcPr>
          <w:p w14:paraId="1268F05D"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-0.051</w:t>
            </w:r>
          </w:p>
        </w:tc>
        <w:tc>
          <w:tcPr>
            <w:tcW w:w="851" w:type="dxa"/>
            <w:tcBorders>
              <w:bottom w:val="single" w:sz="4" w:space="0" w:color="auto"/>
            </w:tcBorders>
            <w:shd w:val="clear" w:color="auto" w:fill="auto"/>
            <w:noWrap/>
            <w:vAlign w:val="center"/>
            <w:hideMark/>
          </w:tcPr>
          <w:p w14:paraId="5ED9EC2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0.003</w:t>
            </w:r>
          </w:p>
        </w:tc>
        <w:tc>
          <w:tcPr>
            <w:tcW w:w="850" w:type="dxa"/>
            <w:tcBorders>
              <w:bottom w:val="single" w:sz="4" w:space="0" w:color="auto"/>
            </w:tcBorders>
            <w:shd w:val="clear" w:color="auto" w:fill="auto"/>
            <w:noWrap/>
            <w:vAlign w:val="center"/>
            <w:hideMark/>
          </w:tcPr>
          <w:p w14:paraId="6944D813"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0.366</w:t>
            </w:r>
          </w:p>
        </w:tc>
        <w:tc>
          <w:tcPr>
            <w:tcW w:w="851" w:type="dxa"/>
            <w:tcBorders>
              <w:bottom w:val="single" w:sz="4" w:space="0" w:color="auto"/>
            </w:tcBorders>
            <w:shd w:val="clear" w:color="auto" w:fill="auto"/>
            <w:noWrap/>
            <w:vAlign w:val="center"/>
            <w:hideMark/>
          </w:tcPr>
          <w:p w14:paraId="1122372F"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-0.267</w:t>
            </w:r>
          </w:p>
        </w:tc>
        <w:tc>
          <w:tcPr>
            <w:tcW w:w="833" w:type="dxa"/>
            <w:tcBorders>
              <w:bottom w:val="single" w:sz="4" w:space="0" w:color="auto"/>
            </w:tcBorders>
            <w:shd w:val="clear" w:color="auto" w:fill="auto"/>
            <w:noWrap/>
            <w:vAlign w:val="center"/>
            <w:hideMark/>
          </w:tcPr>
          <w:p w14:paraId="68ABB73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0.071</w:t>
            </w:r>
          </w:p>
        </w:tc>
        <w:tc>
          <w:tcPr>
            <w:tcW w:w="868" w:type="dxa"/>
            <w:tcBorders>
              <w:bottom w:val="single" w:sz="4" w:space="0" w:color="auto"/>
            </w:tcBorders>
            <w:shd w:val="clear" w:color="auto" w:fill="auto"/>
            <w:noWrap/>
            <w:vAlign w:val="center"/>
            <w:hideMark/>
          </w:tcPr>
          <w:p w14:paraId="1EA10BE8"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-0.207</w:t>
            </w:r>
          </w:p>
        </w:tc>
        <w:tc>
          <w:tcPr>
            <w:tcW w:w="850" w:type="dxa"/>
            <w:tcBorders>
              <w:bottom w:val="single" w:sz="4" w:space="0" w:color="auto"/>
            </w:tcBorders>
            <w:shd w:val="clear" w:color="auto" w:fill="auto"/>
            <w:noWrap/>
            <w:vAlign w:val="center"/>
            <w:hideMark/>
          </w:tcPr>
          <w:p w14:paraId="235282F9"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0.007</w:t>
            </w:r>
          </w:p>
        </w:tc>
        <w:tc>
          <w:tcPr>
            <w:tcW w:w="851" w:type="dxa"/>
            <w:tcBorders>
              <w:bottom w:val="single" w:sz="4" w:space="0" w:color="auto"/>
            </w:tcBorders>
            <w:shd w:val="clear" w:color="auto" w:fill="auto"/>
            <w:noWrap/>
            <w:vAlign w:val="center"/>
            <w:hideMark/>
          </w:tcPr>
          <w:p w14:paraId="2F774D1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-0.024</w:t>
            </w:r>
          </w:p>
        </w:tc>
        <w:tc>
          <w:tcPr>
            <w:tcW w:w="850" w:type="dxa"/>
            <w:tcBorders>
              <w:bottom w:val="single" w:sz="4" w:space="0" w:color="auto"/>
            </w:tcBorders>
            <w:shd w:val="clear" w:color="auto" w:fill="auto"/>
            <w:noWrap/>
            <w:vAlign w:val="center"/>
            <w:hideMark/>
          </w:tcPr>
          <w:p w14:paraId="0ED47160"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0.226</w:t>
            </w:r>
          </w:p>
        </w:tc>
        <w:tc>
          <w:tcPr>
            <w:tcW w:w="851" w:type="dxa"/>
            <w:tcBorders>
              <w:bottom w:val="single" w:sz="4" w:space="0" w:color="auto"/>
            </w:tcBorders>
            <w:shd w:val="clear" w:color="auto" w:fill="auto"/>
            <w:noWrap/>
            <w:vAlign w:val="center"/>
            <w:hideMark/>
          </w:tcPr>
          <w:p w14:paraId="070E2E72"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0.771</w:t>
            </w:r>
          </w:p>
        </w:tc>
        <w:tc>
          <w:tcPr>
            <w:tcW w:w="843" w:type="dxa"/>
            <w:tcBorders>
              <w:bottom w:val="single" w:sz="4" w:space="0" w:color="auto"/>
            </w:tcBorders>
            <w:shd w:val="clear" w:color="auto" w:fill="auto"/>
            <w:noWrap/>
            <w:vAlign w:val="center"/>
            <w:hideMark/>
          </w:tcPr>
          <w:p w14:paraId="4618723A" w14:textId="77777777" w:rsidR="00FB736C" w:rsidRPr="003141E2" w:rsidRDefault="00FB736C" w:rsidP="00C15CF1">
            <w:pPr>
              <w:spacing w:after="0" w:line="240" w:lineRule="auto"/>
              <w:rPr>
                <w:rFonts w:ascii="Times New Roman" w:eastAsia="Times New Roman" w:hAnsi="Times New Roman" w:cs="Times New Roman"/>
                <w:color w:val="000000"/>
                <w:lang w:val="en-GB" w:eastAsia="en-GB"/>
              </w:rPr>
            </w:pPr>
            <w:r w:rsidRPr="003141E2">
              <w:rPr>
                <w:rFonts w:ascii="Times New Roman" w:eastAsia="Times New Roman" w:hAnsi="Times New Roman" w:cs="Times New Roman"/>
                <w:color w:val="000000"/>
                <w:lang w:val="en-GB" w:eastAsia="en-GB"/>
              </w:rPr>
              <w:t>1.000</w:t>
            </w:r>
          </w:p>
        </w:tc>
      </w:tr>
    </w:tbl>
    <w:p w14:paraId="485E9A5E" w14:textId="77777777" w:rsidR="00FB736C" w:rsidRDefault="00FB736C" w:rsidP="00FB736C">
      <w:pPr>
        <w:spacing w:after="0" w:line="240" w:lineRule="auto"/>
        <w:ind w:left="142" w:right="66"/>
        <w:jc w:val="both"/>
        <w:rPr>
          <w:rFonts w:asciiTheme="majorBidi" w:hAnsiTheme="majorBidi" w:cstheme="majorBidi"/>
          <w:b/>
          <w:bCs/>
          <w:noProof/>
          <w:sz w:val="24"/>
          <w:szCs w:val="24"/>
          <w:lang w:val="en-GB"/>
        </w:rPr>
      </w:pPr>
      <w:r>
        <w:rPr>
          <w:rFonts w:asciiTheme="majorBidi" w:eastAsia="Times New Roman" w:hAnsiTheme="majorBidi" w:cstheme="majorBidi"/>
          <w:b/>
          <w:bCs/>
          <w:color w:val="000000"/>
          <w:lang w:val="en-GB" w:eastAsia="zh-CN"/>
        </w:rPr>
        <w:t xml:space="preserve"> </w:t>
      </w:r>
      <w:r w:rsidRPr="002828B7">
        <w:rPr>
          <w:rFonts w:asciiTheme="majorBidi" w:eastAsia="Times New Roman" w:hAnsiTheme="majorBidi" w:cstheme="majorBidi"/>
          <w:b/>
          <w:bCs/>
          <w:color w:val="000000"/>
          <w:lang w:val="en-GB" w:eastAsia="zh-CN"/>
        </w:rPr>
        <w:t>Note:</w:t>
      </w:r>
      <w:r>
        <w:rPr>
          <w:rFonts w:asciiTheme="majorBidi" w:eastAsia="Times New Roman" w:hAnsiTheme="majorBidi" w:cstheme="majorBidi"/>
          <w:color w:val="000000"/>
          <w:lang w:val="en-GB" w:eastAsia="zh-CN"/>
        </w:rPr>
        <w:t xml:space="preserve"> </w:t>
      </w:r>
      <w:r w:rsidRPr="00254361">
        <w:rPr>
          <w:rFonts w:asciiTheme="majorBidi" w:hAnsiTheme="majorBidi" w:cstheme="majorBidi"/>
          <w:noProof/>
          <w:lang w:val="en-GB"/>
        </w:rPr>
        <w:t xml:space="preserve">ROA is the return on equity; </w:t>
      </w:r>
      <w:r>
        <w:rPr>
          <w:rFonts w:asciiTheme="majorBidi" w:hAnsiTheme="majorBidi" w:cstheme="majorBidi"/>
          <w:noProof/>
          <w:lang w:val="en-GB"/>
        </w:rPr>
        <w:t xml:space="preserve">LNTA is total loans over total assets; DPTA is total deposits over total assets; </w:t>
      </w:r>
      <w:r w:rsidRPr="00254361">
        <w:rPr>
          <w:rFonts w:asciiTheme="majorBidi" w:hAnsiTheme="majorBidi" w:cstheme="majorBidi"/>
          <w:noProof/>
          <w:lang w:val="en-GB"/>
        </w:rPr>
        <w:t xml:space="preserve">GD is the geographic distribution of branches in all the provinces; </w:t>
      </w:r>
      <w:r>
        <w:rPr>
          <w:rFonts w:asciiTheme="majorBidi" w:eastAsia="Times New Roman" w:hAnsiTheme="majorBidi" w:cstheme="majorBidi"/>
          <w:color w:val="000000"/>
          <w:lang w:val="en-GB"/>
        </w:rPr>
        <w:t>DISTANCE is</w:t>
      </w:r>
      <w:r w:rsidRPr="00254361">
        <w:rPr>
          <w:rFonts w:asciiTheme="majorBidi" w:eastAsia="Times New Roman" w:hAnsiTheme="majorBidi" w:cstheme="majorBidi"/>
          <w:color w:val="000000"/>
          <w:lang w:val="en-GB"/>
        </w:rPr>
        <w:t xml:space="preserve"> the logarithm of total km between a bank’s headquarters and its branches divided by the number of branches </w:t>
      </w:r>
      <w:r>
        <w:rPr>
          <w:rFonts w:asciiTheme="majorBidi" w:eastAsia="Times New Roman" w:hAnsiTheme="majorBidi" w:cstheme="majorBidi"/>
          <w:color w:val="000000"/>
          <w:lang w:val="en-GB"/>
        </w:rPr>
        <w:t>it owns</w:t>
      </w:r>
      <w:r w:rsidRPr="00254361">
        <w:rPr>
          <w:rFonts w:asciiTheme="majorBidi" w:eastAsia="Times New Roman" w:hAnsiTheme="majorBidi" w:cstheme="majorBidi"/>
          <w:color w:val="000000"/>
          <w:lang w:val="en-GB"/>
        </w:rPr>
        <w:t xml:space="preserve">; </w:t>
      </w:r>
      <w:r w:rsidRPr="00254361">
        <w:rPr>
          <w:rFonts w:asciiTheme="majorBidi" w:hAnsiTheme="majorBidi" w:cstheme="majorBidi"/>
          <w:noProof/>
          <w:lang w:val="en-GB"/>
        </w:rPr>
        <w:t>MC is the average market coverage calculated as the share of branches owned by a bank in a province;</w:t>
      </w:r>
      <w:r>
        <w:rPr>
          <w:rFonts w:asciiTheme="majorBidi" w:hAnsiTheme="majorBidi" w:cstheme="majorBidi"/>
          <w:noProof/>
          <w:lang w:val="en-GB"/>
        </w:rPr>
        <w:t xml:space="preserve"> </w:t>
      </w:r>
      <w:r w:rsidRPr="00F41245">
        <w:rPr>
          <w:rFonts w:asciiTheme="majorBidi" w:eastAsia="Times New Roman" w:hAnsiTheme="majorBidi" w:cstheme="majorBidi"/>
          <w:color w:val="000000"/>
          <w:lang w:val="en-GB"/>
        </w:rPr>
        <w:t>MC_</w:t>
      </w:r>
      <w:r>
        <w:rPr>
          <w:rFonts w:asciiTheme="majorBidi" w:eastAsia="Times New Roman" w:hAnsiTheme="majorBidi" w:cstheme="majorBidi"/>
          <w:color w:val="000000"/>
          <w:lang w:val="en-GB"/>
        </w:rPr>
        <w:t>LargeB</w:t>
      </w:r>
      <w:r w:rsidRPr="00F41245">
        <w:rPr>
          <w:rFonts w:asciiTheme="majorBidi" w:eastAsia="Times New Roman" w:hAnsiTheme="majorBidi" w:cstheme="majorBidi"/>
          <w:color w:val="000000"/>
          <w:lang w:val="en-GB"/>
        </w:rPr>
        <w:t xml:space="preserve"> is the % of branches owned by medium and large banks in a province;</w:t>
      </w:r>
      <w:r>
        <w:rPr>
          <w:rFonts w:asciiTheme="majorBidi" w:eastAsia="Times New Roman" w:hAnsiTheme="majorBidi" w:cstheme="majorBidi"/>
          <w:color w:val="000000"/>
          <w:lang w:val="en-GB"/>
        </w:rPr>
        <w:t xml:space="preserve"> </w:t>
      </w:r>
      <w:r w:rsidRPr="00254361">
        <w:rPr>
          <w:rFonts w:asciiTheme="majorBidi" w:hAnsiTheme="majorBidi" w:cstheme="majorBidi"/>
          <w:noProof/>
          <w:lang w:val="en-GB"/>
        </w:rPr>
        <w:t>NPL</w:t>
      </w:r>
      <w:r>
        <w:rPr>
          <w:rFonts w:asciiTheme="majorBidi" w:hAnsiTheme="majorBidi" w:cstheme="majorBidi"/>
          <w:noProof/>
          <w:lang w:val="en-GB"/>
        </w:rPr>
        <w:t>s</w:t>
      </w:r>
      <w:r w:rsidRPr="00254361">
        <w:rPr>
          <w:rFonts w:asciiTheme="majorBidi" w:hAnsiTheme="majorBidi" w:cstheme="majorBidi"/>
          <w:noProof/>
          <w:lang w:val="en-GB"/>
        </w:rPr>
        <w:t xml:space="preserve"> is the </w:t>
      </w:r>
      <w:r>
        <w:rPr>
          <w:rFonts w:asciiTheme="majorBidi" w:hAnsiTheme="majorBidi" w:cstheme="majorBidi"/>
          <w:noProof/>
          <w:lang w:val="en-GB"/>
        </w:rPr>
        <w:t xml:space="preserve">amount of </w:t>
      </w:r>
      <w:r w:rsidRPr="00254361">
        <w:rPr>
          <w:rFonts w:asciiTheme="majorBidi" w:hAnsiTheme="majorBidi" w:cstheme="majorBidi"/>
          <w:noProof/>
          <w:lang w:val="en-GB"/>
        </w:rPr>
        <w:t>non</w:t>
      </w:r>
      <w:r w:rsidRPr="00254361">
        <w:rPr>
          <w:rFonts w:asciiTheme="majorBidi" w:hAnsiTheme="majorBidi" w:cstheme="majorBidi"/>
          <w:noProof/>
          <w:lang w:val="en-GB"/>
        </w:rPr>
        <w:softHyphen/>
      </w:r>
      <w:r>
        <w:rPr>
          <w:rFonts w:asciiTheme="majorBidi" w:hAnsiTheme="majorBidi" w:cstheme="majorBidi"/>
          <w:noProof/>
          <w:lang w:val="en-GB"/>
        </w:rPr>
        <w:t>-</w:t>
      </w:r>
      <w:r w:rsidRPr="00254361">
        <w:rPr>
          <w:rFonts w:asciiTheme="majorBidi" w:hAnsiTheme="majorBidi" w:cstheme="majorBidi"/>
          <w:noProof/>
          <w:lang w:val="en-GB"/>
        </w:rPr>
        <w:t xml:space="preserve">performing loans to total loans; EQTA is the ratio of equity to total assets; </w:t>
      </w:r>
      <w:r>
        <w:rPr>
          <w:rFonts w:asciiTheme="majorBidi" w:hAnsiTheme="majorBidi" w:cstheme="majorBidi"/>
          <w:noProof/>
          <w:lang w:val="en-GB"/>
        </w:rPr>
        <w:t xml:space="preserve">ENTRY is the total net entry in each province; </w:t>
      </w:r>
      <w:r w:rsidRPr="00254361">
        <w:rPr>
          <w:rFonts w:asciiTheme="majorBidi" w:hAnsiTheme="majorBidi" w:cstheme="majorBidi"/>
          <w:noProof/>
          <w:lang w:val="en-GB"/>
        </w:rPr>
        <w:t xml:space="preserve">HHI is the average market </w:t>
      </w:r>
      <w:r w:rsidRPr="00F41245">
        <w:rPr>
          <w:rFonts w:asciiTheme="majorBidi" w:hAnsiTheme="majorBidi" w:cstheme="majorBidi"/>
          <w:noProof/>
          <w:lang w:val="en-GB"/>
        </w:rPr>
        <w:t xml:space="preserve">concentration of branches in all the local markets where a bank operates; </w:t>
      </w:r>
      <w:r>
        <w:rPr>
          <w:rFonts w:asciiTheme="majorBidi" w:hAnsiTheme="majorBidi" w:cstheme="majorBidi"/>
          <w:noProof/>
          <w:lang w:val="en-GB"/>
        </w:rPr>
        <w:t xml:space="preserve">Adj </w:t>
      </w:r>
      <w:r w:rsidRPr="00F41245">
        <w:rPr>
          <w:rFonts w:asciiTheme="majorBidi" w:hAnsiTheme="majorBidi" w:cstheme="majorBidi"/>
          <w:noProof/>
          <w:lang w:val="en-GB"/>
        </w:rPr>
        <w:t>LE is the efficiency-adjusted Lerner index calculated following Koetter et al. (2012); LE</w:t>
      </w:r>
      <w:r w:rsidRPr="00F41245">
        <w:rPr>
          <w:rFonts w:asciiTheme="majorBidi" w:hAnsiTheme="majorBidi" w:cstheme="majorBidi"/>
          <w:noProof/>
          <w:sz w:val="16"/>
          <w:szCs w:val="16"/>
          <w:lang w:val="en-GB"/>
        </w:rPr>
        <w:t xml:space="preserve">L </w:t>
      </w:r>
      <w:r w:rsidRPr="00F41245">
        <w:rPr>
          <w:rFonts w:asciiTheme="majorBidi" w:hAnsiTheme="majorBidi" w:cstheme="majorBidi"/>
          <w:noProof/>
          <w:lang w:val="en-GB"/>
        </w:rPr>
        <w:t>is the Lerner Index for loans; LE</w:t>
      </w:r>
      <w:r w:rsidRPr="00F41245">
        <w:rPr>
          <w:rFonts w:asciiTheme="majorBidi" w:hAnsiTheme="majorBidi" w:cstheme="majorBidi"/>
          <w:noProof/>
          <w:sz w:val="16"/>
          <w:szCs w:val="16"/>
          <w:lang w:val="en-GB"/>
        </w:rPr>
        <w:t xml:space="preserve">D </w:t>
      </w:r>
      <w:r w:rsidRPr="00F41245">
        <w:rPr>
          <w:rFonts w:asciiTheme="majorBidi" w:hAnsiTheme="majorBidi" w:cstheme="majorBidi"/>
          <w:noProof/>
          <w:lang w:val="en-GB"/>
        </w:rPr>
        <w:t>is</w:t>
      </w:r>
      <w:r>
        <w:rPr>
          <w:rFonts w:asciiTheme="majorBidi" w:hAnsiTheme="majorBidi" w:cstheme="majorBidi"/>
          <w:noProof/>
          <w:lang w:val="en-GB"/>
        </w:rPr>
        <w:t xml:space="preserve"> the Lerner Index for deposits.</w:t>
      </w:r>
    </w:p>
    <w:p w14:paraId="7054E3C8" w14:textId="77777777" w:rsidR="00FB736C" w:rsidRDefault="00FB736C" w:rsidP="00FB736C">
      <w:pPr>
        <w:spacing w:after="0" w:line="240" w:lineRule="auto"/>
        <w:jc w:val="both"/>
        <w:rPr>
          <w:rFonts w:asciiTheme="majorBidi" w:eastAsia="Times New Roman" w:hAnsiTheme="majorBidi" w:cstheme="majorBidi"/>
          <w:color w:val="000000"/>
          <w:lang w:val="en-GB" w:eastAsia="zh-CN"/>
        </w:rPr>
        <w:sectPr w:rsidR="00FB736C" w:rsidSect="00060262">
          <w:pgSz w:w="16838" w:h="11906" w:orient="landscape" w:code="9"/>
          <w:pgMar w:top="1440" w:right="1440" w:bottom="1440" w:left="1440" w:header="709" w:footer="709" w:gutter="0"/>
          <w:cols w:space="720"/>
          <w:docGrid w:linePitch="299"/>
        </w:sectPr>
      </w:pPr>
    </w:p>
    <w:p w14:paraId="03B3757B" w14:textId="77777777" w:rsidR="00FB736C" w:rsidRPr="005D7567" w:rsidRDefault="00FB736C" w:rsidP="00FB736C">
      <w:pPr>
        <w:tabs>
          <w:tab w:val="left" w:pos="993"/>
        </w:tabs>
        <w:jc w:val="both"/>
        <w:rPr>
          <w:rFonts w:asciiTheme="majorBidi" w:hAnsiTheme="majorBidi" w:cstheme="majorBidi"/>
          <w:b/>
          <w:bCs/>
          <w:i/>
          <w:iCs/>
          <w:noProof/>
          <w:sz w:val="24"/>
          <w:szCs w:val="24"/>
          <w:lang w:val="en-GB"/>
        </w:rPr>
      </w:pPr>
      <w:r w:rsidRPr="005D7567">
        <w:rPr>
          <w:rFonts w:asciiTheme="majorBidi" w:hAnsiTheme="majorBidi" w:cstheme="majorBidi"/>
          <w:b/>
          <w:bCs/>
          <w:i/>
          <w:noProof/>
          <w:sz w:val="24"/>
          <w:szCs w:val="24"/>
          <w:lang w:val="en-GB"/>
        </w:rPr>
        <w:t xml:space="preserve">Table 3. </w:t>
      </w:r>
      <w:r w:rsidRPr="005D7567">
        <w:rPr>
          <w:rFonts w:asciiTheme="majorBidi" w:hAnsiTheme="majorBidi" w:cstheme="majorBidi"/>
          <w:b/>
          <w:bCs/>
          <w:i/>
          <w:iCs/>
          <w:noProof/>
          <w:sz w:val="24"/>
          <w:szCs w:val="24"/>
          <w:lang w:val="en-GB"/>
        </w:rPr>
        <w:t>The Impact of Geographic Diversification and Local Banking Structure on ROA and efficiency-adjusted Lerner index (Adj LE)</w:t>
      </w:r>
    </w:p>
    <w:tbl>
      <w:tblPr>
        <w:tblW w:w="11483" w:type="dxa"/>
        <w:jc w:val="center"/>
        <w:tblLayout w:type="fixed"/>
        <w:tblCellMar>
          <w:left w:w="75" w:type="dxa"/>
          <w:right w:w="75" w:type="dxa"/>
        </w:tblCellMar>
        <w:tblLook w:val="0000" w:firstRow="0" w:lastRow="0" w:firstColumn="0" w:lastColumn="0" w:noHBand="0" w:noVBand="0"/>
      </w:tblPr>
      <w:tblGrid>
        <w:gridCol w:w="2694"/>
        <w:gridCol w:w="1560"/>
        <w:gridCol w:w="24"/>
        <w:gridCol w:w="1511"/>
        <w:gridCol w:w="24"/>
        <w:gridCol w:w="49"/>
        <w:gridCol w:w="1344"/>
        <w:gridCol w:w="24"/>
        <w:gridCol w:w="1394"/>
        <w:gridCol w:w="24"/>
        <w:gridCol w:w="1393"/>
        <w:gridCol w:w="24"/>
        <w:gridCol w:w="1394"/>
        <w:gridCol w:w="24"/>
      </w:tblGrid>
      <w:tr w:rsidR="00FB736C" w14:paraId="69186A77" w14:textId="77777777" w:rsidTr="00C15CF1">
        <w:trPr>
          <w:trHeight w:val="356"/>
          <w:jc w:val="center"/>
        </w:trPr>
        <w:tc>
          <w:tcPr>
            <w:tcW w:w="2694" w:type="dxa"/>
            <w:tcBorders>
              <w:top w:val="single" w:sz="4" w:space="0" w:color="auto"/>
              <w:left w:val="nil"/>
              <w:bottom w:val="nil"/>
            </w:tcBorders>
          </w:tcPr>
          <w:p w14:paraId="16AEB30C"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584" w:type="dxa"/>
            <w:gridSpan w:val="2"/>
            <w:tcBorders>
              <w:top w:val="single" w:sz="4" w:space="0" w:color="auto"/>
            </w:tcBorders>
          </w:tcPr>
          <w:p w14:paraId="4717922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84" w:type="dxa"/>
            <w:gridSpan w:val="3"/>
            <w:tcBorders>
              <w:top w:val="single" w:sz="4" w:space="0" w:color="auto"/>
            </w:tcBorders>
          </w:tcPr>
          <w:p w14:paraId="6E4E9DE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68" w:type="dxa"/>
            <w:gridSpan w:val="2"/>
            <w:tcBorders>
              <w:top w:val="single" w:sz="4" w:space="0" w:color="auto"/>
            </w:tcBorders>
          </w:tcPr>
          <w:p w14:paraId="590BDE6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gridSpan w:val="2"/>
            <w:tcBorders>
              <w:top w:val="single" w:sz="4" w:space="0" w:color="auto"/>
            </w:tcBorders>
          </w:tcPr>
          <w:p w14:paraId="375F5C6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gridSpan w:val="2"/>
            <w:tcBorders>
              <w:top w:val="single" w:sz="4" w:space="0" w:color="auto"/>
            </w:tcBorders>
          </w:tcPr>
          <w:p w14:paraId="6068862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gridSpan w:val="2"/>
            <w:tcBorders>
              <w:top w:val="single" w:sz="4" w:space="0" w:color="auto"/>
            </w:tcBorders>
          </w:tcPr>
          <w:p w14:paraId="24EE67F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B736C" w14:paraId="4B1C1057" w14:textId="77777777" w:rsidTr="00C15CF1">
        <w:trPr>
          <w:trHeight w:val="356"/>
          <w:jc w:val="center"/>
        </w:trPr>
        <w:tc>
          <w:tcPr>
            <w:tcW w:w="2694" w:type="dxa"/>
            <w:tcBorders>
              <w:left w:val="nil"/>
              <w:bottom w:val="single" w:sz="4" w:space="0" w:color="auto"/>
            </w:tcBorders>
          </w:tcPr>
          <w:p w14:paraId="68B94659"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VARIABLES</w:t>
            </w:r>
          </w:p>
        </w:tc>
        <w:tc>
          <w:tcPr>
            <w:tcW w:w="1584" w:type="dxa"/>
            <w:gridSpan w:val="2"/>
            <w:tcBorders>
              <w:bottom w:val="single" w:sz="4" w:space="0" w:color="auto"/>
            </w:tcBorders>
          </w:tcPr>
          <w:p w14:paraId="26CCAC7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ROA</w:t>
            </w:r>
          </w:p>
        </w:tc>
        <w:tc>
          <w:tcPr>
            <w:tcW w:w="1584" w:type="dxa"/>
            <w:gridSpan w:val="3"/>
            <w:tcBorders>
              <w:bottom w:val="single" w:sz="4" w:space="0" w:color="auto"/>
            </w:tcBorders>
          </w:tcPr>
          <w:p w14:paraId="1501D6F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ROA</w:t>
            </w:r>
          </w:p>
        </w:tc>
        <w:tc>
          <w:tcPr>
            <w:tcW w:w="1368" w:type="dxa"/>
            <w:gridSpan w:val="2"/>
            <w:tcBorders>
              <w:bottom w:val="single" w:sz="4" w:space="0" w:color="auto"/>
            </w:tcBorders>
          </w:tcPr>
          <w:p w14:paraId="02A03A8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ROA</w:t>
            </w:r>
          </w:p>
        </w:tc>
        <w:tc>
          <w:tcPr>
            <w:tcW w:w="1418" w:type="dxa"/>
            <w:gridSpan w:val="2"/>
            <w:tcBorders>
              <w:bottom w:val="single" w:sz="4" w:space="0" w:color="auto"/>
            </w:tcBorders>
          </w:tcPr>
          <w:p w14:paraId="57F2893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Adj LE</w:t>
            </w:r>
          </w:p>
        </w:tc>
        <w:tc>
          <w:tcPr>
            <w:tcW w:w="1417" w:type="dxa"/>
            <w:gridSpan w:val="2"/>
            <w:tcBorders>
              <w:bottom w:val="single" w:sz="4" w:space="0" w:color="auto"/>
            </w:tcBorders>
          </w:tcPr>
          <w:p w14:paraId="0E85D41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Adj LE</w:t>
            </w:r>
          </w:p>
        </w:tc>
        <w:tc>
          <w:tcPr>
            <w:tcW w:w="1418" w:type="dxa"/>
            <w:gridSpan w:val="2"/>
            <w:tcBorders>
              <w:bottom w:val="single" w:sz="4" w:space="0" w:color="auto"/>
            </w:tcBorders>
          </w:tcPr>
          <w:p w14:paraId="3F26B5D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Adj LE</w:t>
            </w:r>
          </w:p>
        </w:tc>
      </w:tr>
      <w:tr w:rsidR="00FB736C" w14:paraId="6DBEE200" w14:textId="77777777" w:rsidTr="00C15CF1">
        <w:trPr>
          <w:gridAfter w:val="1"/>
          <w:wAfter w:w="24" w:type="dxa"/>
          <w:jc w:val="center"/>
        </w:trPr>
        <w:tc>
          <w:tcPr>
            <w:tcW w:w="2694" w:type="dxa"/>
            <w:tcBorders>
              <w:top w:val="single" w:sz="4" w:space="0" w:color="auto"/>
              <w:left w:val="nil"/>
              <w:bottom w:val="nil"/>
            </w:tcBorders>
          </w:tcPr>
          <w:p w14:paraId="0EABBBC4"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GD</w:t>
            </w:r>
          </w:p>
        </w:tc>
        <w:tc>
          <w:tcPr>
            <w:tcW w:w="1560" w:type="dxa"/>
            <w:tcBorders>
              <w:top w:val="single" w:sz="4" w:space="0" w:color="auto"/>
            </w:tcBorders>
          </w:tcPr>
          <w:p w14:paraId="6D4EFFBA"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-0.0015</w:t>
            </w:r>
          </w:p>
        </w:tc>
        <w:tc>
          <w:tcPr>
            <w:tcW w:w="1535" w:type="dxa"/>
            <w:gridSpan w:val="2"/>
            <w:tcBorders>
              <w:top w:val="single" w:sz="4" w:space="0" w:color="auto"/>
            </w:tcBorders>
          </w:tcPr>
          <w:p w14:paraId="0AB58540"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-0.0008</w:t>
            </w:r>
          </w:p>
        </w:tc>
        <w:tc>
          <w:tcPr>
            <w:tcW w:w="1417" w:type="dxa"/>
            <w:gridSpan w:val="3"/>
            <w:tcBorders>
              <w:top w:val="single" w:sz="4" w:space="0" w:color="auto"/>
            </w:tcBorders>
          </w:tcPr>
          <w:p w14:paraId="70C59355"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-0.0028</w:t>
            </w:r>
          </w:p>
        </w:tc>
        <w:tc>
          <w:tcPr>
            <w:tcW w:w="1418" w:type="dxa"/>
            <w:gridSpan w:val="2"/>
            <w:tcBorders>
              <w:top w:val="single" w:sz="4" w:space="0" w:color="auto"/>
            </w:tcBorders>
          </w:tcPr>
          <w:p w14:paraId="66B20EBA"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-0.0183</w:t>
            </w:r>
          </w:p>
        </w:tc>
        <w:tc>
          <w:tcPr>
            <w:tcW w:w="1417" w:type="dxa"/>
            <w:gridSpan w:val="2"/>
            <w:tcBorders>
              <w:top w:val="single" w:sz="4" w:space="0" w:color="auto"/>
            </w:tcBorders>
          </w:tcPr>
          <w:p w14:paraId="57EBD04F"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-0.0572**</w:t>
            </w:r>
          </w:p>
        </w:tc>
        <w:tc>
          <w:tcPr>
            <w:tcW w:w="1418" w:type="dxa"/>
            <w:gridSpan w:val="2"/>
            <w:tcBorders>
              <w:top w:val="single" w:sz="4" w:space="0" w:color="auto"/>
            </w:tcBorders>
          </w:tcPr>
          <w:p w14:paraId="0CA33F45"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0.0062</w:t>
            </w:r>
          </w:p>
        </w:tc>
      </w:tr>
      <w:tr w:rsidR="00FB736C" w14:paraId="5148842E" w14:textId="77777777" w:rsidTr="00C15CF1">
        <w:trPr>
          <w:gridAfter w:val="1"/>
          <w:wAfter w:w="24" w:type="dxa"/>
          <w:jc w:val="center"/>
        </w:trPr>
        <w:tc>
          <w:tcPr>
            <w:tcW w:w="2694" w:type="dxa"/>
            <w:tcBorders>
              <w:top w:val="nil"/>
              <w:left w:val="nil"/>
              <w:bottom w:val="nil"/>
            </w:tcBorders>
          </w:tcPr>
          <w:p w14:paraId="4EF11315"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560" w:type="dxa"/>
          </w:tcPr>
          <w:p w14:paraId="1175FADA"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[0.002]</w:t>
            </w:r>
          </w:p>
        </w:tc>
        <w:tc>
          <w:tcPr>
            <w:tcW w:w="1535" w:type="dxa"/>
            <w:gridSpan w:val="2"/>
          </w:tcPr>
          <w:p w14:paraId="76253816"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[0.001]</w:t>
            </w:r>
          </w:p>
        </w:tc>
        <w:tc>
          <w:tcPr>
            <w:tcW w:w="1417" w:type="dxa"/>
            <w:gridSpan w:val="3"/>
          </w:tcPr>
          <w:p w14:paraId="0CE59B5B"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[0.003]</w:t>
            </w:r>
          </w:p>
        </w:tc>
        <w:tc>
          <w:tcPr>
            <w:tcW w:w="1418" w:type="dxa"/>
            <w:gridSpan w:val="2"/>
          </w:tcPr>
          <w:p w14:paraId="5F85B32B"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[0.022]</w:t>
            </w:r>
          </w:p>
        </w:tc>
        <w:tc>
          <w:tcPr>
            <w:tcW w:w="1417" w:type="dxa"/>
            <w:gridSpan w:val="2"/>
          </w:tcPr>
          <w:p w14:paraId="273772E8"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[0.022]</w:t>
            </w:r>
          </w:p>
        </w:tc>
        <w:tc>
          <w:tcPr>
            <w:tcW w:w="1418" w:type="dxa"/>
            <w:gridSpan w:val="2"/>
          </w:tcPr>
          <w:p w14:paraId="153FF28B"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[0.030]</w:t>
            </w:r>
          </w:p>
        </w:tc>
      </w:tr>
      <w:tr w:rsidR="00FB736C" w14:paraId="153B771C" w14:textId="77777777" w:rsidTr="00C15CF1">
        <w:trPr>
          <w:gridAfter w:val="1"/>
          <w:wAfter w:w="24" w:type="dxa"/>
          <w:jc w:val="center"/>
        </w:trPr>
        <w:tc>
          <w:tcPr>
            <w:tcW w:w="2694" w:type="dxa"/>
            <w:tcBorders>
              <w:top w:val="nil"/>
              <w:left w:val="nil"/>
              <w:bottom w:val="nil"/>
            </w:tcBorders>
          </w:tcPr>
          <w:p w14:paraId="6603AFB3"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DISTANCE</w:t>
            </w:r>
          </w:p>
        </w:tc>
        <w:tc>
          <w:tcPr>
            <w:tcW w:w="1560" w:type="dxa"/>
          </w:tcPr>
          <w:p w14:paraId="367861CF"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-0.0005***</w:t>
            </w:r>
          </w:p>
        </w:tc>
        <w:tc>
          <w:tcPr>
            <w:tcW w:w="1535" w:type="dxa"/>
            <w:gridSpan w:val="2"/>
          </w:tcPr>
          <w:p w14:paraId="434D1EBC"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-0.0001</w:t>
            </w:r>
          </w:p>
        </w:tc>
        <w:tc>
          <w:tcPr>
            <w:tcW w:w="1417" w:type="dxa"/>
            <w:gridSpan w:val="3"/>
          </w:tcPr>
          <w:p w14:paraId="00A0F8A7"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-0.0007***</w:t>
            </w:r>
          </w:p>
        </w:tc>
        <w:tc>
          <w:tcPr>
            <w:tcW w:w="1418" w:type="dxa"/>
            <w:gridSpan w:val="2"/>
          </w:tcPr>
          <w:p w14:paraId="3A6FD6CA"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-0.0070***</w:t>
            </w:r>
          </w:p>
        </w:tc>
        <w:tc>
          <w:tcPr>
            <w:tcW w:w="1417" w:type="dxa"/>
            <w:gridSpan w:val="2"/>
          </w:tcPr>
          <w:p w14:paraId="6F8FDF18"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-0.0032</w:t>
            </w:r>
          </w:p>
        </w:tc>
        <w:tc>
          <w:tcPr>
            <w:tcW w:w="1418" w:type="dxa"/>
            <w:gridSpan w:val="2"/>
          </w:tcPr>
          <w:p w14:paraId="7D6E8D9B"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-0.0071**</w:t>
            </w:r>
          </w:p>
        </w:tc>
      </w:tr>
      <w:tr w:rsidR="00FB736C" w14:paraId="53EAB507" w14:textId="77777777" w:rsidTr="00C15CF1">
        <w:trPr>
          <w:gridAfter w:val="1"/>
          <w:wAfter w:w="24" w:type="dxa"/>
          <w:jc w:val="center"/>
        </w:trPr>
        <w:tc>
          <w:tcPr>
            <w:tcW w:w="2694" w:type="dxa"/>
            <w:tcBorders>
              <w:top w:val="nil"/>
              <w:left w:val="nil"/>
              <w:bottom w:val="nil"/>
            </w:tcBorders>
          </w:tcPr>
          <w:p w14:paraId="25553422"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560" w:type="dxa"/>
          </w:tcPr>
          <w:p w14:paraId="50BDB05A"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[0.0001]</w:t>
            </w:r>
          </w:p>
        </w:tc>
        <w:tc>
          <w:tcPr>
            <w:tcW w:w="1535" w:type="dxa"/>
            <w:gridSpan w:val="2"/>
          </w:tcPr>
          <w:p w14:paraId="182348C9"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[0.000]</w:t>
            </w:r>
          </w:p>
        </w:tc>
        <w:tc>
          <w:tcPr>
            <w:tcW w:w="1417" w:type="dxa"/>
            <w:gridSpan w:val="3"/>
          </w:tcPr>
          <w:p w14:paraId="1CAC0390"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[0.0002]</w:t>
            </w:r>
          </w:p>
        </w:tc>
        <w:tc>
          <w:tcPr>
            <w:tcW w:w="1418" w:type="dxa"/>
            <w:gridSpan w:val="2"/>
          </w:tcPr>
          <w:p w14:paraId="0E117C2A"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[0.002]</w:t>
            </w:r>
          </w:p>
        </w:tc>
        <w:tc>
          <w:tcPr>
            <w:tcW w:w="1417" w:type="dxa"/>
            <w:gridSpan w:val="2"/>
          </w:tcPr>
          <w:p w14:paraId="4FD50A5C"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[0.002]</w:t>
            </w:r>
          </w:p>
        </w:tc>
        <w:tc>
          <w:tcPr>
            <w:tcW w:w="1418" w:type="dxa"/>
            <w:gridSpan w:val="2"/>
          </w:tcPr>
          <w:p w14:paraId="3AFB409E"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[0.003]</w:t>
            </w:r>
          </w:p>
        </w:tc>
      </w:tr>
      <w:tr w:rsidR="00FB736C" w14:paraId="64A0EECD" w14:textId="77777777" w:rsidTr="00C15CF1">
        <w:trPr>
          <w:gridAfter w:val="1"/>
          <w:wAfter w:w="24" w:type="dxa"/>
          <w:jc w:val="center"/>
        </w:trPr>
        <w:tc>
          <w:tcPr>
            <w:tcW w:w="2694" w:type="dxa"/>
            <w:tcBorders>
              <w:top w:val="nil"/>
              <w:left w:val="nil"/>
              <w:bottom w:val="nil"/>
            </w:tcBorders>
          </w:tcPr>
          <w:p w14:paraId="6E2FC041"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MCw</w:t>
            </w:r>
          </w:p>
        </w:tc>
        <w:tc>
          <w:tcPr>
            <w:tcW w:w="1560" w:type="dxa"/>
          </w:tcPr>
          <w:p w14:paraId="38EF815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-0.0278</w:t>
            </w:r>
          </w:p>
        </w:tc>
        <w:tc>
          <w:tcPr>
            <w:tcW w:w="1535" w:type="dxa"/>
            <w:gridSpan w:val="2"/>
          </w:tcPr>
          <w:p w14:paraId="5741A6A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0.0018</w:t>
            </w:r>
          </w:p>
        </w:tc>
        <w:tc>
          <w:tcPr>
            <w:tcW w:w="1417" w:type="dxa"/>
            <w:gridSpan w:val="3"/>
          </w:tcPr>
          <w:p w14:paraId="0CA3D39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-0.0543**</w:t>
            </w:r>
          </w:p>
        </w:tc>
        <w:tc>
          <w:tcPr>
            <w:tcW w:w="1418" w:type="dxa"/>
            <w:gridSpan w:val="2"/>
          </w:tcPr>
          <w:p w14:paraId="03F885F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-0.6403</w:t>
            </w:r>
          </w:p>
        </w:tc>
        <w:tc>
          <w:tcPr>
            <w:tcW w:w="1417" w:type="dxa"/>
            <w:gridSpan w:val="2"/>
          </w:tcPr>
          <w:p w14:paraId="7039481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-0.8186</w:t>
            </w:r>
          </w:p>
        </w:tc>
        <w:tc>
          <w:tcPr>
            <w:tcW w:w="1418" w:type="dxa"/>
            <w:gridSpan w:val="2"/>
          </w:tcPr>
          <w:p w14:paraId="608EE2D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-1.2214***</w:t>
            </w:r>
          </w:p>
        </w:tc>
      </w:tr>
      <w:tr w:rsidR="00FB736C" w14:paraId="2183FC77" w14:textId="77777777" w:rsidTr="00C15CF1">
        <w:trPr>
          <w:gridAfter w:val="1"/>
          <w:wAfter w:w="24" w:type="dxa"/>
          <w:jc w:val="center"/>
        </w:trPr>
        <w:tc>
          <w:tcPr>
            <w:tcW w:w="2694" w:type="dxa"/>
            <w:tcBorders>
              <w:top w:val="nil"/>
              <w:left w:val="nil"/>
              <w:bottom w:val="nil"/>
            </w:tcBorders>
          </w:tcPr>
          <w:p w14:paraId="0CF61E1F"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560" w:type="dxa"/>
          </w:tcPr>
          <w:p w14:paraId="58EE311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[0.023]</w:t>
            </w:r>
          </w:p>
        </w:tc>
        <w:tc>
          <w:tcPr>
            <w:tcW w:w="1535" w:type="dxa"/>
            <w:gridSpan w:val="2"/>
          </w:tcPr>
          <w:p w14:paraId="44DE81D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[0.046]</w:t>
            </w:r>
          </w:p>
        </w:tc>
        <w:tc>
          <w:tcPr>
            <w:tcW w:w="1417" w:type="dxa"/>
            <w:gridSpan w:val="3"/>
          </w:tcPr>
          <w:p w14:paraId="2729102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[0.022]</w:t>
            </w:r>
          </w:p>
        </w:tc>
        <w:tc>
          <w:tcPr>
            <w:tcW w:w="1418" w:type="dxa"/>
            <w:gridSpan w:val="2"/>
          </w:tcPr>
          <w:p w14:paraId="6D5E186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[0.351]</w:t>
            </w:r>
          </w:p>
        </w:tc>
        <w:tc>
          <w:tcPr>
            <w:tcW w:w="1417" w:type="dxa"/>
            <w:gridSpan w:val="2"/>
          </w:tcPr>
          <w:p w14:paraId="4DDA74D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[0.452]</w:t>
            </w:r>
          </w:p>
        </w:tc>
        <w:tc>
          <w:tcPr>
            <w:tcW w:w="1418" w:type="dxa"/>
            <w:gridSpan w:val="2"/>
          </w:tcPr>
          <w:p w14:paraId="50C1451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[0.450]</w:t>
            </w:r>
          </w:p>
        </w:tc>
      </w:tr>
      <w:tr w:rsidR="00FB736C" w14:paraId="48D2B3DF" w14:textId="77777777" w:rsidTr="00C15CF1">
        <w:trPr>
          <w:gridAfter w:val="1"/>
          <w:wAfter w:w="24" w:type="dxa"/>
          <w:jc w:val="center"/>
        </w:trPr>
        <w:tc>
          <w:tcPr>
            <w:tcW w:w="2694" w:type="dxa"/>
            <w:tcBorders>
              <w:top w:val="nil"/>
              <w:left w:val="nil"/>
              <w:bottom w:val="nil"/>
            </w:tcBorders>
          </w:tcPr>
          <w:p w14:paraId="5F791FCB"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NPLs</w:t>
            </w:r>
          </w:p>
        </w:tc>
        <w:tc>
          <w:tcPr>
            <w:tcW w:w="1560" w:type="dxa"/>
          </w:tcPr>
          <w:p w14:paraId="44C5A24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-0.0396***</w:t>
            </w:r>
          </w:p>
        </w:tc>
        <w:tc>
          <w:tcPr>
            <w:tcW w:w="1535" w:type="dxa"/>
            <w:gridSpan w:val="2"/>
          </w:tcPr>
          <w:p w14:paraId="6CEFA7C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-0.0328***</w:t>
            </w:r>
          </w:p>
        </w:tc>
        <w:tc>
          <w:tcPr>
            <w:tcW w:w="1417" w:type="dxa"/>
            <w:gridSpan w:val="3"/>
          </w:tcPr>
          <w:p w14:paraId="4105692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-0.0330***</w:t>
            </w:r>
          </w:p>
        </w:tc>
        <w:tc>
          <w:tcPr>
            <w:tcW w:w="1418" w:type="dxa"/>
            <w:gridSpan w:val="2"/>
          </w:tcPr>
          <w:p w14:paraId="079F8C1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-0.0151</w:t>
            </w:r>
          </w:p>
        </w:tc>
        <w:tc>
          <w:tcPr>
            <w:tcW w:w="1417" w:type="dxa"/>
            <w:gridSpan w:val="2"/>
          </w:tcPr>
          <w:p w14:paraId="0ECDBAB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-0.0463</w:t>
            </w:r>
          </w:p>
        </w:tc>
        <w:tc>
          <w:tcPr>
            <w:tcW w:w="1418" w:type="dxa"/>
            <w:gridSpan w:val="2"/>
          </w:tcPr>
          <w:p w14:paraId="058134C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0.1129</w:t>
            </w:r>
          </w:p>
        </w:tc>
      </w:tr>
      <w:tr w:rsidR="00FB736C" w14:paraId="7144B142" w14:textId="77777777" w:rsidTr="00C15CF1">
        <w:trPr>
          <w:gridAfter w:val="1"/>
          <w:wAfter w:w="24" w:type="dxa"/>
          <w:jc w:val="center"/>
        </w:trPr>
        <w:tc>
          <w:tcPr>
            <w:tcW w:w="2694" w:type="dxa"/>
            <w:tcBorders>
              <w:top w:val="nil"/>
              <w:left w:val="nil"/>
              <w:bottom w:val="nil"/>
            </w:tcBorders>
          </w:tcPr>
          <w:p w14:paraId="564B5C55"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560" w:type="dxa"/>
          </w:tcPr>
          <w:p w14:paraId="24221F6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c>
          <w:tcPr>
            <w:tcW w:w="1535" w:type="dxa"/>
            <w:gridSpan w:val="2"/>
          </w:tcPr>
          <w:p w14:paraId="4C1C0CF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c>
          <w:tcPr>
            <w:tcW w:w="1417" w:type="dxa"/>
            <w:gridSpan w:val="3"/>
          </w:tcPr>
          <w:p w14:paraId="6B2AF37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1418" w:type="dxa"/>
            <w:gridSpan w:val="2"/>
          </w:tcPr>
          <w:p w14:paraId="69CB06D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[0.068]</w:t>
            </w:r>
          </w:p>
        </w:tc>
        <w:tc>
          <w:tcPr>
            <w:tcW w:w="1417" w:type="dxa"/>
            <w:gridSpan w:val="2"/>
          </w:tcPr>
          <w:p w14:paraId="2CD2C55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[0.074]</w:t>
            </w:r>
          </w:p>
        </w:tc>
        <w:tc>
          <w:tcPr>
            <w:tcW w:w="1418" w:type="dxa"/>
            <w:gridSpan w:val="2"/>
          </w:tcPr>
          <w:p w14:paraId="2CE8926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[0.084]</w:t>
            </w:r>
          </w:p>
        </w:tc>
      </w:tr>
      <w:tr w:rsidR="00FB736C" w14:paraId="20AF5D03" w14:textId="77777777" w:rsidTr="00C15CF1">
        <w:trPr>
          <w:gridAfter w:val="1"/>
          <w:wAfter w:w="24" w:type="dxa"/>
          <w:jc w:val="center"/>
        </w:trPr>
        <w:tc>
          <w:tcPr>
            <w:tcW w:w="2694" w:type="dxa"/>
            <w:tcBorders>
              <w:top w:val="nil"/>
              <w:left w:val="nil"/>
              <w:bottom w:val="nil"/>
            </w:tcBorders>
          </w:tcPr>
          <w:p w14:paraId="73513440"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EQTA</w:t>
            </w:r>
          </w:p>
        </w:tc>
        <w:tc>
          <w:tcPr>
            <w:tcW w:w="1560" w:type="dxa"/>
          </w:tcPr>
          <w:p w14:paraId="0D4E5E1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0.0009</w:t>
            </w:r>
          </w:p>
        </w:tc>
        <w:tc>
          <w:tcPr>
            <w:tcW w:w="1535" w:type="dxa"/>
            <w:gridSpan w:val="2"/>
          </w:tcPr>
          <w:p w14:paraId="127C159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-0.0063</w:t>
            </w:r>
          </w:p>
        </w:tc>
        <w:tc>
          <w:tcPr>
            <w:tcW w:w="1417" w:type="dxa"/>
            <w:gridSpan w:val="3"/>
          </w:tcPr>
          <w:p w14:paraId="3D54D9A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0.0130</w:t>
            </w:r>
          </w:p>
        </w:tc>
        <w:tc>
          <w:tcPr>
            <w:tcW w:w="1418" w:type="dxa"/>
            <w:gridSpan w:val="2"/>
          </w:tcPr>
          <w:p w14:paraId="7B2FDF4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0.0181</w:t>
            </w:r>
          </w:p>
        </w:tc>
        <w:tc>
          <w:tcPr>
            <w:tcW w:w="1417" w:type="dxa"/>
            <w:gridSpan w:val="2"/>
          </w:tcPr>
          <w:p w14:paraId="76954BF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0.0115</w:t>
            </w:r>
          </w:p>
        </w:tc>
        <w:tc>
          <w:tcPr>
            <w:tcW w:w="1418" w:type="dxa"/>
            <w:gridSpan w:val="2"/>
          </w:tcPr>
          <w:p w14:paraId="588FD37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-0.0212</w:t>
            </w:r>
          </w:p>
        </w:tc>
      </w:tr>
      <w:tr w:rsidR="00FB736C" w14:paraId="7C7C940A" w14:textId="77777777" w:rsidTr="00C15CF1">
        <w:trPr>
          <w:gridAfter w:val="1"/>
          <w:wAfter w:w="24" w:type="dxa"/>
          <w:jc w:val="center"/>
        </w:trPr>
        <w:tc>
          <w:tcPr>
            <w:tcW w:w="2694" w:type="dxa"/>
            <w:tcBorders>
              <w:top w:val="nil"/>
              <w:left w:val="nil"/>
              <w:bottom w:val="nil"/>
            </w:tcBorders>
          </w:tcPr>
          <w:p w14:paraId="028FF01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560" w:type="dxa"/>
          </w:tcPr>
          <w:p w14:paraId="66FA7E7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[0.010]</w:t>
            </w:r>
          </w:p>
        </w:tc>
        <w:tc>
          <w:tcPr>
            <w:tcW w:w="1535" w:type="dxa"/>
            <w:gridSpan w:val="2"/>
          </w:tcPr>
          <w:p w14:paraId="32D197F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w:t>
            </w:r>
          </w:p>
        </w:tc>
        <w:tc>
          <w:tcPr>
            <w:tcW w:w="1417" w:type="dxa"/>
            <w:gridSpan w:val="3"/>
          </w:tcPr>
          <w:p w14:paraId="2DBF79D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[0.016]</w:t>
            </w:r>
          </w:p>
        </w:tc>
        <w:tc>
          <w:tcPr>
            <w:tcW w:w="1418" w:type="dxa"/>
            <w:gridSpan w:val="2"/>
          </w:tcPr>
          <w:p w14:paraId="25B296F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[0.078]</w:t>
            </w:r>
          </w:p>
        </w:tc>
        <w:tc>
          <w:tcPr>
            <w:tcW w:w="1417" w:type="dxa"/>
            <w:gridSpan w:val="2"/>
          </w:tcPr>
          <w:p w14:paraId="4F560B0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[0.061]</w:t>
            </w:r>
          </w:p>
        </w:tc>
        <w:tc>
          <w:tcPr>
            <w:tcW w:w="1418" w:type="dxa"/>
            <w:gridSpan w:val="2"/>
          </w:tcPr>
          <w:p w14:paraId="32F1ACB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[0.127]</w:t>
            </w:r>
          </w:p>
        </w:tc>
      </w:tr>
      <w:tr w:rsidR="00FB736C" w14:paraId="7B234E37" w14:textId="77777777" w:rsidTr="00C15CF1">
        <w:trPr>
          <w:gridAfter w:val="1"/>
          <w:wAfter w:w="24" w:type="dxa"/>
          <w:jc w:val="center"/>
        </w:trPr>
        <w:tc>
          <w:tcPr>
            <w:tcW w:w="2694" w:type="dxa"/>
            <w:tcBorders>
              <w:top w:val="nil"/>
              <w:left w:val="nil"/>
              <w:bottom w:val="nil"/>
            </w:tcBorders>
          </w:tcPr>
          <w:p w14:paraId="52484B7A"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ENTRY</w:t>
            </w:r>
          </w:p>
        </w:tc>
        <w:tc>
          <w:tcPr>
            <w:tcW w:w="1560" w:type="dxa"/>
          </w:tcPr>
          <w:p w14:paraId="3A846D4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0.0003**</w:t>
            </w:r>
          </w:p>
        </w:tc>
        <w:tc>
          <w:tcPr>
            <w:tcW w:w="1535" w:type="dxa"/>
            <w:gridSpan w:val="2"/>
          </w:tcPr>
          <w:p w14:paraId="0561DE9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0.0003***</w:t>
            </w:r>
          </w:p>
        </w:tc>
        <w:tc>
          <w:tcPr>
            <w:tcW w:w="1417" w:type="dxa"/>
            <w:gridSpan w:val="3"/>
          </w:tcPr>
          <w:p w14:paraId="16A61D5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0.0002</w:t>
            </w:r>
          </w:p>
        </w:tc>
        <w:tc>
          <w:tcPr>
            <w:tcW w:w="1418" w:type="dxa"/>
            <w:gridSpan w:val="2"/>
          </w:tcPr>
          <w:p w14:paraId="7DC0EA3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0.0032**</w:t>
            </w:r>
          </w:p>
        </w:tc>
        <w:tc>
          <w:tcPr>
            <w:tcW w:w="1417" w:type="dxa"/>
            <w:gridSpan w:val="2"/>
          </w:tcPr>
          <w:p w14:paraId="6CE769F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0.0030**</w:t>
            </w:r>
          </w:p>
        </w:tc>
        <w:tc>
          <w:tcPr>
            <w:tcW w:w="1418" w:type="dxa"/>
            <w:gridSpan w:val="2"/>
          </w:tcPr>
          <w:p w14:paraId="04D85AE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-0.0003</w:t>
            </w:r>
          </w:p>
        </w:tc>
      </w:tr>
      <w:tr w:rsidR="00FB736C" w14:paraId="0E3B7BAB" w14:textId="77777777" w:rsidTr="00C15CF1">
        <w:trPr>
          <w:gridAfter w:val="1"/>
          <w:wAfter w:w="24" w:type="dxa"/>
          <w:jc w:val="center"/>
        </w:trPr>
        <w:tc>
          <w:tcPr>
            <w:tcW w:w="2694" w:type="dxa"/>
            <w:tcBorders>
              <w:top w:val="nil"/>
              <w:left w:val="nil"/>
              <w:bottom w:val="nil"/>
            </w:tcBorders>
          </w:tcPr>
          <w:p w14:paraId="147C8414"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560" w:type="dxa"/>
          </w:tcPr>
          <w:p w14:paraId="07E39C8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535" w:type="dxa"/>
            <w:gridSpan w:val="2"/>
          </w:tcPr>
          <w:p w14:paraId="41F9AA4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417" w:type="dxa"/>
            <w:gridSpan w:val="3"/>
          </w:tcPr>
          <w:p w14:paraId="22067CE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418" w:type="dxa"/>
            <w:gridSpan w:val="2"/>
          </w:tcPr>
          <w:p w14:paraId="6DF351B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417" w:type="dxa"/>
            <w:gridSpan w:val="2"/>
          </w:tcPr>
          <w:p w14:paraId="2A9377A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418" w:type="dxa"/>
            <w:gridSpan w:val="2"/>
          </w:tcPr>
          <w:p w14:paraId="76614FB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r>
      <w:tr w:rsidR="00FB736C" w14:paraId="037A29ED" w14:textId="77777777" w:rsidTr="00C15CF1">
        <w:trPr>
          <w:gridAfter w:val="1"/>
          <w:wAfter w:w="24" w:type="dxa"/>
          <w:jc w:val="center"/>
        </w:trPr>
        <w:tc>
          <w:tcPr>
            <w:tcW w:w="2694" w:type="dxa"/>
            <w:tcBorders>
              <w:top w:val="nil"/>
              <w:left w:val="nil"/>
              <w:bottom w:val="nil"/>
            </w:tcBorders>
          </w:tcPr>
          <w:p w14:paraId="1B04097E"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HHIw</w:t>
            </w:r>
          </w:p>
        </w:tc>
        <w:tc>
          <w:tcPr>
            <w:tcW w:w="1560" w:type="dxa"/>
          </w:tcPr>
          <w:p w14:paraId="04ECED5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-0.0130**</w:t>
            </w:r>
          </w:p>
        </w:tc>
        <w:tc>
          <w:tcPr>
            <w:tcW w:w="1535" w:type="dxa"/>
            <w:gridSpan w:val="2"/>
          </w:tcPr>
          <w:p w14:paraId="105A99F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-0.0054</w:t>
            </w:r>
          </w:p>
        </w:tc>
        <w:tc>
          <w:tcPr>
            <w:tcW w:w="1417" w:type="dxa"/>
            <w:gridSpan w:val="3"/>
          </w:tcPr>
          <w:p w14:paraId="7ED0A33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-0.0100</w:t>
            </w:r>
          </w:p>
        </w:tc>
        <w:tc>
          <w:tcPr>
            <w:tcW w:w="1418" w:type="dxa"/>
            <w:gridSpan w:val="2"/>
          </w:tcPr>
          <w:p w14:paraId="2513628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0.2150**</w:t>
            </w:r>
          </w:p>
        </w:tc>
        <w:tc>
          <w:tcPr>
            <w:tcW w:w="1417" w:type="dxa"/>
            <w:gridSpan w:val="2"/>
          </w:tcPr>
          <w:p w14:paraId="73B8C41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0.1506</w:t>
            </w:r>
          </w:p>
        </w:tc>
        <w:tc>
          <w:tcPr>
            <w:tcW w:w="1418" w:type="dxa"/>
            <w:gridSpan w:val="2"/>
          </w:tcPr>
          <w:p w14:paraId="1248874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0.0717</w:t>
            </w:r>
          </w:p>
        </w:tc>
      </w:tr>
      <w:tr w:rsidR="00FB736C" w14:paraId="4E77E4FE" w14:textId="77777777" w:rsidTr="00C15CF1">
        <w:trPr>
          <w:gridAfter w:val="1"/>
          <w:wAfter w:w="24" w:type="dxa"/>
          <w:jc w:val="center"/>
        </w:trPr>
        <w:tc>
          <w:tcPr>
            <w:tcW w:w="2694" w:type="dxa"/>
            <w:tcBorders>
              <w:top w:val="nil"/>
              <w:left w:val="nil"/>
              <w:bottom w:val="nil"/>
            </w:tcBorders>
          </w:tcPr>
          <w:p w14:paraId="00A723FF"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560" w:type="dxa"/>
          </w:tcPr>
          <w:p w14:paraId="271C984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c>
          <w:tcPr>
            <w:tcW w:w="1535" w:type="dxa"/>
            <w:gridSpan w:val="2"/>
          </w:tcPr>
          <w:p w14:paraId="0F0A767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w:t>
            </w:r>
          </w:p>
        </w:tc>
        <w:tc>
          <w:tcPr>
            <w:tcW w:w="1417" w:type="dxa"/>
            <w:gridSpan w:val="3"/>
          </w:tcPr>
          <w:p w14:paraId="1F6FB20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1418" w:type="dxa"/>
            <w:gridSpan w:val="2"/>
          </w:tcPr>
          <w:p w14:paraId="1B0E4D6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[0.092]</w:t>
            </w:r>
          </w:p>
        </w:tc>
        <w:tc>
          <w:tcPr>
            <w:tcW w:w="1417" w:type="dxa"/>
            <w:gridSpan w:val="2"/>
          </w:tcPr>
          <w:p w14:paraId="0EBBBB0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[0.089]</w:t>
            </w:r>
          </w:p>
        </w:tc>
        <w:tc>
          <w:tcPr>
            <w:tcW w:w="1418" w:type="dxa"/>
            <w:gridSpan w:val="2"/>
          </w:tcPr>
          <w:p w14:paraId="5303A90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[0.139]</w:t>
            </w:r>
          </w:p>
        </w:tc>
      </w:tr>
      <w:tr w:rsidR="00FB736C" w14:paraId="37526110" w14:textId="77777777" w:rsidTr="00C15CF1">
        <w:trPr>
          <w:gridAfter w:val="1"/>
          <w:wAfter w:w="24" w:type="dxa"/>
          <w:jc w:val="center"/>
        </w:trPr>
        <w:tc>
          <w:tcPr>
            <w:tcW w:w="2694" w:type="dxa"/>
            <w:tcBorders>
              <w:top w:val="nil"/>
              <w:left w:val="nil"/>
              <w:bottom w:val="nil"/>
            </w:tcBorders>
          </w:tcPr>
          <w:p w14:paraId="6898C10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Constant</w:t>
            </w:r>
          </w:p>
        </w:tc>
        <w:tc>
          <w:tcPr>
            <w:tcW w:w="1560" w:type="dxa"/>
          </w:tcPr>
          <w:p w14:paraId="47324B2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0.0052***</w:t>
            </w:r>
          </w:p>
        </w:tc>
        <w:tc>
          <w:tcPr>
            <w:tcW w:w="1535" w:type="dxa"/>
            <w:gridSpan w:val="2"/>
          </w:tcPr>
          <w:p w14:paraId="6F7A5C6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0.0026**</w:t>
            </w:r>
          </w:p>
        </w:tc>
        <w:tc>
          <w:tcPr>
            <w:tcW w:w="1417" w:type="dxa"/>
            <w:gridSpan w:val="3"/>
          </w:tcPr>
          <w:p w14:paraId="4436D21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0.0059***</w:t>
            </w:r>
          </w:p>
        </w:tc>
        <w:tc>
          <w:tcPr>
            <w:tcW w:w="1418" w:type="dxa"/>
            <w:gridSpan w:val="2"/>
          </w:tcPr>
          <w:p w14:paraId="0625FED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0.1703***</w:t>
            </w:r>
          </w:p>
        </w:tc>
        <w:tc>
          <w:tcPr>
            <w:tcW w:w="1417" w:type="dxa"/>
            <w:gridSpan w:val="2"/>
          </w:tcPr>
          <w:p w14:paraId="7AAE531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0.1907***</w:t>
            </w:r>
          </w:p>
        </w:tc>
        <w:tc>
          <w:tcPr>
            <w:tcW w:w="1418" w:type="dxa"/>
            <w:gridSpan w:val="2"/>
          </w:tcPr>
          <w:p w14:paraId="0CB5D8F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0.1975***</w:t>
            </w:r>
          </w:p>
        </w:tc>
      </w:tr>
      <w:tr w:rsidR="00FB736C" w14:paraId="4E09A266" w14:textId="77777777" w:rsidTr="00C15CF1">
        <w:trPr>
          <w:gridAfter w:val="1"/>
          <w:wAfter w:w="24" w:type="dxa"/>
          <w:jc w:val="center"/>
        </w:trPr>
        <w:tc>
          <w:tcPr>
            <w:tcW w:w="2694" w:type="dxa"/>
            <w:tcBorders>
              <w:top w:val="nil"/>
              <w:left w:val="nil"/>
              <w:bottom w:val="nil"/>
            </w:tcBorders>
          </w:tcPr>
          <w:p w14:paraId="6E628604"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560" w:type="dxa"/>
          </w:tcPr>
          <w:p w14:paraId="54BC342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535" w:type="dxa"/>
            <w:gridSpan w:val="2"/>
          </w:tcPr>
          <w:p w14:paraId="532A6B6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417" w:type="dxa"/>
            <w:gridSpan w:val="3"/>
          </w:tcPr>
          <w:p w14:paraId="1D672C1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418" w:type="dxa"/>
            <w:gridSpan w:val="2"/>
          </w:tcPr>
          <w:p w14:paraId="1A12D70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[0.018]</w:t>
            </w:r>
          </w:p>
        </w:tc>
        <w:tc>
          <w:tcPr>
            <w:tcW w:w="1417" w:type="dxa"/>
            <w:gridSpan w:val="2"/>
          </w:tcPr>
          <w:p w14:paraId="5FD0FB1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[0.014]</w:t>
            </w:r>
          </w:p>
        </w:tc>
        <w:tc>
          <w:tcPr>
            <w:tcW w:w="1418" w:type="dxa"/>
            <w:gridSpan w:val="2"/>
          </w:tcPr>
          <w:p w14:paraId="6F3E8F3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[0.033]</w:t>
            </w:r>
          </w:p>
        </w:tc>
      </w:tr>
      <w:tr w:rsidR="00FB736C" w14:paraId="70190D58" w14:textId="77777777" w:rsidTr="00C15CF1">
        <w:trPr>
          <w:jc w:val="center"/>
        </w:trPr>
        <w:tc>
          <w:tcPr>
            <w:tcW w:w="2694" w:type="dxa"/>
            <w:tcBorders>
              <w:top w:val="nil"/>
              <w:left w:val="nil"/>
              <w:bottom w:val="single" w:sz="4" w:space="0" w:color="auto"/>
            </w:tcBorders>
          </w:tcPr>
          <w:p w14:paraId="62A8067C"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584" w:type="dxa"/>
            <w:gridSpan w:val="2"/>
            <w:tcBorders>
              <w:bottom w:val="single" w:sz="4" w:space="0" w:color="auto"/>
            </w:tcBorders>
          </w:tcPr>
          <w:p w14:paraId="630D9E4F"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535" w:type="dxa"/>
            <w:gridSpan w:val="2"/>
            <w:tcBorders>
              <w:bottom w:val="single" w:sz="4" w:space="0" w:color="auto"/>
            </w:tcBorders>
          </w:tcPr>
          <w:p w14:paraId="1C7F1FAF"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7" w:type="dxa"/>
            <w:gridSpan w:val="3"/>
            <w:tcBorders>
              <w:bottom w:val="single" w:sz="4" w:space="0" w:color="auto"/>
            </w:tcBorders>
          </w:tcPr>
          <w:p w14:paraId="53EF2E07"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8" w:type="dxa"/>
            <w:gridSpan w:val="2"/>
            <w:tcBorders>
              <w:bottom w:val="single" w:sz="4" w:space="0" w:color="auto"/>
            </w:tcBorders>
          </w:tcPr>
          <w:p w14:paraId="19C597E4"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7" w:type="dxa"/>
            <w:gridSpan w:val="2"/>
            <w:tcBorders>
              <w:bottom w:val="single" w:sz="4" w:space="0" w:color="auto"/>
            </w:tcBorders>
          </w:tcPr>
          <w:p w14:paraId="4C60B508"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8" w:type="dxa"/>
            <w:gridSpan w:val="2"/>
            <w:tcBorders>
              <w:bottom w:val="single" w:sz="4" w:space="0" w:color="auto"/>
            </w:tcBorders>
          </w:tcPr>
          <w:p w14:paraId="350DDE61"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p>
        </w:tc>
      </w:tr>
      <w:tr w:rsidR="00FB736C" w14:paraId="092A44A3" w14:textId="77777777" w:rsidTr="00C15CF1">
        <w:trPr>
          <w:jc w:val="center"/>
        </w:trPr>
        <w:tc>
          <w:tcPr>
            <w:tcW w:w="2694" w:type="dxa"/>
            <w:tcBorders>
              <w:top w:val="single" w:sz="4" w:space="0" w:color="auto"/>
            </w:tcBorders>
          </w:tcPr>
          <w:p w14:paraId="0C21EE92"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1584" w:type="dxa"/>
            <w:gridSpan w:val="2"/>
            <w:tcBorders>
              <w:top w:val="single" w:sz="4" w:space="0" w:color="auto"/>
            </w:tcBorders>
          </w:tcPr>
          <w:p w14:paraId="0CCA056C"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88731F">
              <w:rPr>
                <w:rFonts w:ascii="Times New Roman" w:hAnsi="Times New Roman" w:cs="Times New Roman"/>
              </w:rPr>
              <w:t>12,371</w:t>
            </w:r>
          </w:p>
        </w:tc>
        <w:tc>
          <w:tcPr>
            <w:tcW w:w="1535" w:type="dxa"/>
            <w:gridSpan w:val="2"/>
            <w:tcBorders>
              <w:top w:val="single" w:sz="4" w:space="0" w:color="auto"/>
            </w:tcBorders>
          </w:tcPr>
          <w:p w14:paraId="3D3EC46B"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88731F">
              <w:rPr>
                <w:rFonts w:ascii="Times New Roman" w:hAnsi="Times New Roman" w:cs="Times New Roman"/>
              </w:rPr>
              <w:t>9,265</w:t>
            </w:r>
          </w:p>
        </w:tc>
        <w:tc>
          <w:tcPr>
            <w:tcW w:w="1417" w:type="dxa"/>
            <w:gridSpan w:val="3"/>
            <w:tcBorders>
              <w:top w:val="single" w:sz="4" w:space="0" w:color="auto"/>
            </w:tcBorders>
          </w:tcPr>
          <w:p w14:paraId="2C0221F3"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88731F">
              <w:rPr>
                <w:rFonts w:ascii="Times New Roman" w:hAnsi="Times New Roman" w:cs="Times New Roman"/>
              </w:rPr>
              <w:t>6,228</w:t>
            </w:r>
          </w:p>
        </w:tc>
        <w:tc>
          <w:tcPr>
            <w:tcW w:w="1418" w:type="dxa"/>
            <w:gridSpan w:val="2"/>
            <w:tcBorders>
              <w:top w:val="single" w:sz="4" w:space="0" w:color="auto"/>
            </w:tcBorders>
          </w:tcPr>
          <w:p w14:paraId="68DD4263"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88731F">
              <w:rPr>
                <w:rFonts w:ascii="Times New Roman" w:hAnsi="Times New Roman" w:cs="Times New Roman"/>
              </w:rPr>
              <w:t>12,371</w:t>
            </w:r>
          </w:p>
        </w:tc>
        <w:tc>
          <w:tcPr>
            <w:tcW w:w="1417" w:type="dxa"/>
            <w:gridSpan w:val="2"/>
            <w:tcBorders>
              <w:top w:val="single" w:sz="4" w:space="0" w:color="auto"/>
            </w:tcBorders>
          </w:tcPr>
          <w:p w14:paraId="0B48CB60"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88731F">
              <w:rPr>
                <w:rFonts w:ascii="Times New Roman" w:hAnsi="Times New Roman" w:cs="Times New Roman"/>
              </w:rPr>
              <w:t>9,265</w:t>
            </w:r>
          </w:p>
        </w:tc>
        <w:tc>
          <w:tcPr>
            <w:tcW w:w="1418" w:type="dxa"/>
            <w:gridSpan w:val="2"/>
            <w:tcBorders>
              <w:top w:val="single" w:sz="4" w:space="0" w:color="auto"/>
            </w:tcBorders>
          </w:tcPr>
          <w:p w14:paraId="02AEDB93"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88731F">
              <w:rPr>
                <w:rFonts w:ascii="Times New Roman" w:hAnsi="Times New Roman" w:cs="Times New Roman"/>
              </w:rPr>
              <w:t>6,228</w:t>
            </w:r>
          </w:p>
        </w:tc>
      </w:tr>
      <w:tr w:rsidR="00FB736C" w14:paraId="742A7B21" w14:textId="77777777" w:rsidTr="00C15CF1">
        <w:tblPrEx>
          <w:tblBorders>
            <w:bottom w:val="single" w:sz="6" w:space="0" w:color="auto"/>
          </w:tblBorders>
        </w:tblPrEx>
        <w:trPr>
          <w:jc w:val="center"/>
        </w:trPr>
        <w:tc>
          <w:tcPr>
            <w:tcW w:w="2694" w:type="dxa"/>
            <w:tcBorders>
              <w:top w:val="nil"/>
              <w:left w:val="nil"/>
              <w:bottom w:val="nil"/>
              <w:right w:val="nil"/>
            </w:tcBorders>
            <w:vAlign w:val="center"/>
          </w:tcPr>
          <w:p w14:paraId="3597D777"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R-squared </w:t>
            </w:r>
          </w:p>
        </w:tc>
        <w:tc>
          <w:tcPr>
            <w:tcW w:w="1584" w:type="dxa"/>
            <w:gridSpan w:val="2"/>
            <w:tcBorders>
              <w:top w:val="nil"/>
              <w:left w:val="nil"/>
              <w:bottom w:val="nil"/>
              <w:right w:val="nil"/>
            </w:tcBorders>
          </w:tcPr>
          <w:p w14:paraId="1D31CE2F" w14:textId="77777777" w:rsidR="00FB736C" w:rsidRPr="00C23B50"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003D58">
              <w:rPr>
                <w:rFonts w:ascii="Times New Roman" w:hAnsi="Times New Roman" w:cs="Times New Roman"/>
                <w:szCs w:val="24"/>
              </w:rPr>
              <w:t>.156</w:t>
            </w:r>
          </w:p>
        </w:tc>
        <w:tc>
          <w:tcPr>
            <w:tcW w:w="1535" w:type="dxa"/>
            <w:gridSpan w:val="2"/>
            <w:tcBorders>
              <w:top w:val="nil"/>
              <w:left w:val="nil"/>
              <w:bottom w:val="nil"/>
              <w:right w:val="nil"/>
            </w:tcBorders>
          </w:tcPr>
          <w:p w14:paraId="1ABFA317" w14:textId="77777777" w:rsidR="00FB736C" w:rsidRPr="00C23B50"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003D58">
              <w:rPr>
                <w:rFonts w:ascii="Times New Roman" w:hAnsi="Times New Roman" w:cs="Times New Roman"/>
                <w:szCs w:val="24"/>
              </w:rPr>
              <w:t>.295</w:t>
            </w:r>
          </w:p>
        </w:tc>
        <w:tc>
          <w:tcPr>
            <w:tcW w:w="1417" w:type="dxa"/>
            <w:gridSpan w:val="3"/>
            <w:tcBorders>
              <w:top w:val="nil"/>
              <w:left w:val="nil"/>
              <w:bottom w:val="nil"/>
              <w:right w:val="nil"/>
            </w:tcBorders>
          </w:tcPr>
          <w:p w14:paraId="44E05DCE" w14:textId="77777777" w:rsidR="00FB736C" w:rsidRPr="00C23B50"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003D58">
              <w:rPr>
                <w:rFonts w:ascii="Times New Roman" w:hAnsi="Times New Roman" w:cs="Times New Roman"/>
                <w:szCs w:val="24"/>
              </w:rPr>
              <w:t>.100</w:t>
            </w:r>
          </w:p>
        </w:tc>
        <w:tc>
          <w:tcPr>
            <w:tcW w:w="1418" w:type="dxa"/>
            <w:gridSpan w:val="2"/>
            <w:tcBorders>
              <w:top w:val="nil"/>
              <w:left w:val="nil"/>
              <w:bottom w:val="nil"/>
              <w:right w:val="nil"/>
            </w:tcBorders>
          </w:tcPr>
          <w:p w14:paraId="6E7B875E" w14:textId="77777777" w:rsidR="00FB736C" w:rsidRPr="00C23B50"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003D58">
              <w:rPr>
                <w:rFonts w:ascii="Times New Roman" w:hAnsi="Times New Roman" w:cs="Times New Roman"/>
                <w:szCs w:val="24"/>
              </w:rPr>
              <w:t>.226</w:t>
            </w:r>
          </w:p>
        </w:tc>
        <w:tc>
          <w:tcPr>
            <w:tcW w:w="1417" w:type="dxa"/>
            <w:gridSpan w:val="2"/>
            <w:tcBorders>
              <w:top w:val="nil"/>
              <w:left w:val="nil"/>
              <w:bottom w:val="nil"/>
              <w:right w:val="nil"/>
            </w:tcBorders>
          </w:tcPr>
          <w:p w14:paraId="140511B2" w14:textId="77777777" w:rsidR="00FB736C" w:rsidRPr="00C23B50"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003D58">
              <w:rPr>
                <w:rFonts w:ascii="Times New Roman" w:hAnsi="Times New Roman" w:cs="Times New Roman"/>
                <w:szCs w:val="24"/>
              </w:rPr>
              <w:t>.340</w:t>
            </w:r>
          </w:p>
        </w:tc>
        <w:tc>
          <w:tcPr>
            <w:tcW w:w="1418" w:type="dxa"/>
            <w:gridSpan w:val="2"/>
            <w:tcBorders>
              <w:top w:val="nil"/>
              <w:left w:val="nil"/>
              <w:bottom w:val="nil"/>
              <w:right w:val="nil"/>
            </w:tcBorders>
          </w:tcPr>
          <w:p w14:paraId="2184868C" w14:textId="77777777" w:rsidR="00FB736C" w:rsidRPr="00C23B50"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003D58">
              <w:rPr>
                <w:rFonts w:ascii="Times New Roman" w:hAnsi="Times New Roman" w:cs="Times New Roman"/>
                <w:szCs w:val="24"/>
              </w:rPr>
              <w:t>.221</w:t>
            </w:r>
          </w:p>
        </w:tc>
      </w:tr>
      <w:tr w:rsidR="00FB736C" w14:paraId="56B71592" w14:textId="77777777" w:rsidTr="00C15CF1">
        <w:tblPrEx>
          <w:tblBorders>
            <w:bottom w:val="single" w:sz="6" w:space="0" w:color="auto"/>
          </w:tblBorders>
        </w:tblPrEx>
        <w:trPr>
          <w:trHeight w:val="87"/>
          <w:jc w:val="center"/>
        </w:trPr>
        <w:tc>
          <w:tcPr>
            <w:tcW w:w="2694" w:type="dxa"/>
            <w:tcBorders>
              <w:top w:val="nil"/>
              <w:left w:val="nil"/>
              <w:bottom w:val="nil"/>
              <w:right w:val="nil"/>
            </w:tcBorders>
          </w:tcPr>
          <w:p w14:paraId="1CC28BC3"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Bank Dummy</w:t>
            </w:r>
          </w:p>
        </w:tc>
        <w:tc>
          <w:tcPr>
            <w:tcW w:w="1584" w:type="dxa"/>
            <w:gridSpan w:val="2"/>
            <w:tcBorders>
              <w:top w:val="nil"/>
              <w:left w:val="nil"/>
              <w:bottom w:val="nil"/>
              <w:right w:val="nil"/>
            </w:tcBorders>
          </w:tcPr>
          <w:p w14:paraId="6E788B8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01B90">
              <w:rPr>
                <w:rFonts w:ascii="Times New Roman" w:hAnsi="Times New Roman" w:cs="Times New Roman"/>
              </w:rPr>
              <w:t>YES</w:t>
            </w:r>
          </w:p>
        </w:tc>
        <w:tc>
          <w:tcPr>
            <w:tcW w:w="1535" w:type="dxa"/>
            <w:gridSpan w:val="2"/>
            <w:tcBorders>
              <w:top w:val="nil"/>
              <w:left w:val="nil"/>
              <w:bottom w:val="nil"/>
              <w:right w:val="nil"/>
            </w:tcBorders>
          </w:tcPr>
          <w:p w14:paraId="218DDC7D"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601B90">
              <w:rPr>
                <w:rFonts w:ascii="Times New Roman" w:hAnsi="Times New Roman" w:cs="Times New Roman"/>
              </w:rPr>
              <w:t>YES</w:t>
            </w:r>
          </w:p>
        </w:tc>
        <w:tc>
          <w:tcPr>
            <w:tcW w:w="1417" w:type="dxa"/>
            <w:gridSpan w:val="3"/>
            <w:tcBorders>
              <w:top w:val="nil"/>
              <w:left w:val="nil"/>
              <w:bottom w:val="nil"/>
              <w:right w:val="nil"/>
            </w:tcBorders>
          </w:tcPr>
          <w:p w14:paraId="5A507975"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601B90">
              <w:rPr>
                <w:rFonts w:ascii="Times New Roman" w:hAnsi="Times New Roman" w:cs="Times New Roman"/>
              </w:rPr>
              <w:t>YES</w:t>
            </w:r>
          </w:p>
        </w:tc>
        <w:tc>
          <w:tcPr>
            <w:tcW w:w="1418" w:type="dxa"/>
            <w:gridSpan w:val="2"/>
            <w:tcBorders>
              <w:top w:val="nil"/>
              <w:left w:val="nil"/>
              <w:bottom w:val="nil"/>
              <w:right w:val="nil"/>
            </w:tcBorders>
          </w:tcPr>
          <w:p w14:paraId="5C50535F"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601B90">
              <w:rPr>
                <w:rFonts w:ascii="Times New Roman" w:hAnsi="Times New Roman" w:cs="Times New Roman"/>
              </w:rPr>
              <w:t>YES</w:t>
            </w:r>
          </w:p>
        </w:tc>
        <w:tc>
          <w:tcPr>
            <w:tcW w:w="1417" w:type="dxa"/>
            <w:gridSpan w:val="2"/>
            <w:tcBorders>
              <w:top w:val="nil"/>
              <w:left w:val="nil"/>
              <w:bottom w:val="nil"/>
              <w:right w:val="nil"/>
            </w:tcBorders>
          </w:tcPr>
          <w:p w14:paraId="109B4380"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601B90">
              <w:rPr>
                <w:rFonts w:ascii="Times New Roman" w:hAnsi="Times New Roman" w:cs="Times New Roman"/>
              </w:rPr>
              <w:t>YES</w:t>
            </w:r>
          </w:p>
        </w:tc>
        <w:tc>
          <w:tcPr>
            <w:tcW w:w="1418" w:type="dxa"/>
            <w:gridSpan w:val="2"/>
            <w:tcBorders>
              <w:top w:val="nil"/>
              <w:left w:val="nil"/>
              <w:bottom w:val="nil"/>
              <w:right w:val="nil"/>
            </w:tcBorders>
          </w:tcPr>
          <w:p w14:paraId="2F792CC4"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601B90">
              <w:rPr>
                <w:rFonts w:ascii="Times New Roman" w:hAnsi="Times New Roman" w:cs="Times New Roman"/>
              </w:rPr>
              <w:t>YES</w:t>
            </w:r>
          </w:p>
        </w:tc>
      </w:tr>
      <w:tr w:rsidR="00FB736C" w14:paraId="4B011F59" w14:textId="77777777" w:rsidTr="00C15CF1">
        <w:tblPrEx>
          <w:tblBorders>
            <w:bottom w:val="single" w:sz="6" w:space="0" w:color="auto"/>
          </w:tblBorders>
        </w:tblPrEx>
        <w:trPr>
          <w:jc w:val="center"/>
        </w:trPr>
        <w:tc>
          <w:tcPr>
            <w:tcW w:w="2694" w:type="dxa"/>
            <w:tcBorders>
              <w:top w:val="nil"/>
              <w:left w:val="nil"/>
              <w:bottom w:val="single" w:sz="4" w:space="0" w:color="auto"/>
              <w:right w:val="nil"/>
            </w:tcBorders>
          </w:tcPr>
          <w:p w14:paraId="48C36EFC"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 Dummy</w:t>
            </w:r>
          </w:p>
        </w:tc>
        <w:tc>
          <w:tcPr>
            <w:tcW w:w="1584" w:type="dxa"/>
            <w:gridSpan w:val="2"/>
            <w:tcBorders>
              <w:top w:val="nil"/>
              <w:left w:val="nil"/>
              <w:bottom w:val="single" w:sz="4" w:space="0" w:color="auto"/>
              <w:right w:val="nil"/>
            </w:tcBorders>
          </w:tcPr>
          <w:p w14:paraId="0C85976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01B90">
              <w:rPr>
                <w:rFonts w:ascii="Times New Roman" w:hAnsi="Times New Roman" w:cs="Times New Roman"/>
              </w:rPr>
              <w:t>YES</w:t>
            </w:r>
          </w:p>
        </w:tc>
        <w:tc>
          <w:tcPr>
            <w:tcW w:w="1535" w:type="dxa"/>
            <w:gridSpan w:val="2"/>
            <w:tcBorders>
              <w:top w:val="nil"/>
              <w:left w:val="nil"/>
              <w:bottom w:val="single" w:sz="4" w:space="0" w:color="auto"/>
              <w:right w:val="nil"/>
            </w:tcBorders>
          </w:tcPr>
          <w:p w14:paraId="7C0F47A6"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601B90">
              <w:rPr>
                <w:rFonts w:ascii="Times New Roman" w:hAnsi="Times New Roman" w:cs="Times New Roman"/>
              </w:rPr>
              <w:t>YES</w:t>
            </w:r>
          </w:p>
        </w:tc>
        <w:tc>
          <w:tcPr>
            <w:tcW w:w="1417" w:type="dxa"/>
            <w:gridSpan w:val="3"/>
            <w:tcBorders>
              <w:top w:val="nil"/>
              <w:left w:val="nil"/>
              <w:bottom w:val="single" w:sz="4" w:space="0" w:color="auto"/>
              <w:right w:val="nil"/>
            </w:tcBorders>
          </w:tcPr>
          <w:p w14:paraId="713CB2B3"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601B90">
              <w:rPr>
                <w:rFonts w:ascii="Times New Roman" w:hAnsi="Times New Roman" w:cs="Times New Roman"/>
              </w:rPr>
              <w:t>YES</w:t>
            </w:r>
          </w:p>
        </w:tc>
        <w:tc>
          <w:tcPr>
            <w:tcW w:w="1418" w:type="dxa"/>
            <w:gridSpan w:val="2"/>
            <w:tcBorders>
              <w:top w:val="nil"/>
              <w:left w:val="nil"/>
              <w:bottom w:val="single" w:sz="4" w:space="0" w:color="auto"/>
              <w:right w:val="nil"/>
            </w:tcBorders>
          </w:tcPr>
          <w:p w14:paraId="40A05F8F"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601B90">
              <w:rPr>
                <w:rFonts w:ascii="Times New Roman" w:hAnsi="Times New Roman" w:cs="Times New Roman"/>
              </w:rPr>
              <w:t>YES</w:t>
            </w:r>
          </w:p>
        </w:tc>
        <w:tc>
          <w:tcPr>
            <w:tcW w:w="1417" w:type="dxa"/>
            <w:gridSpan w:val="2"/>
            <w:tcBorders>
              <w:top w:val="nil"/>
              <w:left w:val="nil"/>
              <w:bottom w:val="single" w:sz="4" w:space="0" w:color="auto"/>
              <w:right w:val="nil"/>
            </w:tcBorders>
          </w:tcPr>
          <w:p w14:paraId="637EC564"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601B90">
              <w:rPr>
                <w:rFonts w:ascii="Times New Roman" w:hAnsi="Times New Roman" w:cs="Times New Roman"/>
              </w:rPr>
              <w:t>YES</w:t>
            </w:r>
          </w:p>
        </w:tc>
        <w:tc>
          <w:tcPr>
            <w:tcW w:w="1418" w:type="dxa"/>
            <w:gridSpan w:val="2"/>
            <w:tcBorders>
              <w:top w:val="nil"/>
              <w:left w:val="nil"/>
              <w:bottom w:val="single" w:sz="4" w:space="0" w:color="auto"/>
              <w:right w:val="nil"/>
            </w:tcBorders>
          </w:tcPr>
          <w:p w14:paraId="1167825F" w14:textId="77777777" w:rsidR="00FB736C" w:rsidRPr="00617095" w:rsidRDefault="00FB736C" w:rsidP="00C15CF1">
            <w:pPr>
              <w:widowControl w:val="0"/>
              <w:autoSpaceDE w:val="0"/>
              <w:autoSpaceDN w:val="0"/>
              <w:adjustRightInd w:val="0"/>
              <w:spacing w:after="0" w:line="240" w:lineRule="auto"/>
              <w:jc w:val="center"/>
              <w:rPr>
                <w:rFonts w:ascii="Times New Roman" w:hAnsi="Times New Roman" w:cs="Times New Roman"/>
              </w:rPr>
            </w:pPr>
            <w:r w:rsidRPr="00601B90">
              <w:rPr>
                <w:rFonts w:ascii="Times New Roman" w:hAnsi="Times New Roman" w:cs="Times New Roman"/>
              </w:rPr>
              <w:t>YES</w:t>
            </w:r>
          </w:p>
        </w:tc>
      </w:tr>
    </w:tbl>
    <w:p w14:paraId="051C72F3" w14:textId="77777777" w:rsidR="00FB736C" w:rsidRDefault="00FB736C" w:rsidP="00FB736C">
      <w:pPr>
        <w:widowControl w:val="0"/>
        <w:autoSpaceDE w:val="0"/>
        <w:autoSpaceDN w:val="0"/>
        <w:adjustRightInd w:val="0"/>
        <w:spacing w:after="0" w:line="240" w:lineRule="auto"/>
        <w:rPr>
          <w:rFonts w:ascii="Times New Roman" w:hAnsi="Times New Roman" w:cs="Times New Roman"/>
          <w:sz w:val="24"/>
          <w:szCs w:val="24"/>
        </w:rPr>
      </w:pPr>
    </w:p>
    <w:p w14:paraId="2F72910C" w14:textId="77777777" w:rsidR="00FB736C" w:rsidRPr="00EE2FE3" w:rsidRDefault="00FB736C" w:rsidP="00FB736C">
      <w:pPr>
        <w:ind w:left="-567" w:right="-613"/>
        <w:jc w:val="both"/>
        <w:rPr>
          <w:rFonts w:ascii="Times New Roman" w:hAnsi="Times New Roman" w:cs="Times New Roman"/>
          <w:lang w:val="en-GB" w:eastAsia="en-US"/>
        </w:rPr>
      </w:pPr>
      <w:r w:rsidRPr="00BD18D8">
        <w:rPr>
          <w:rFonts w:asciiTheme="majorBidi" w:hAnsiTheme="majorBidi" w:cstheme="majorBidi"/>
          <w:b/>
          <w:bCs/>
          <w:noProof/>
          <w:lang w:val="en-GB"/>
        </w:rPr>
        <w:t xml:space="preserve">Note: </w:t>
      </w:r>
      <w:r w:rsidRPr="00BD18D8">
        <w:rPr>
          <w:rFonts w:ascii="Times New Roman" w:hAnsi="Times New Roman" w:cs="Times New Roman"/>
          <w:lang w:val="en-GB" w:eastAsia="en-US"/>
        </w:rPr>
        <w:t xml:space="preserve">The Table reports the coefficient estimates from equation 1. It specifically presents the results of the determinants of bank profitability measured by ROA and the </w:t>
      </w:r>
      <w:r w:rsidRPr="00BD18D8">
        <w:rPr>
          <w:rFonts w:asciiTheme="majorBidi" w:hAnsiTheme="majorBidi" w:cstheme="majorBidi"/>
          <w:noProof/>
          <w:lang w:val="en-GB"/>
        </w:rPr>
        <w:t>eff</w:t>
      </w:r>
      <w:r>
        <w:rPr>
          <w:rFonts w:asciiTheme="majorBidi" w:hAnsiTheme="majorBidi" w:cstheme="majorBidi"/>
          <w:noProof/>
          <w:lang w:val="en-GB"/>
        </w:rPr>
        <w:t>iciency-adjusted Lerner Index, Adj LE, (Koetter et al., 2012)</w:t>
      </w:r>
      <w:r w:rsidRPr="00BD18D8">
        <w:rPr>
          <w:rFonts w:ascii="Times New Roman" w:hAnsi="Times New Roman" w:cs="Times New Roman"/>
          <w:lang w:val="en-GB" w:eastAsia="en-US"/>
        </w:rPr>
        <w:t>. All explanatory variables enter the regressions with a one year lag. GD is geographic diversification calculated with</w:t>
      </w:r>
      <w:r>
        <w:rPr>
          <w:rFonts w:ascii="Times New Roman" w:hAnsi="Times New Roman" w:cs="Times New Roman"/>
          <w:lang w:val="en-GB" w:eastAsia="en-US"/>
        </w:rPr>
        <w:t xml:space="preserve"> the Berry Index; DISTANCE</w:t>
      </w:r>
      <w:r w:rsidRPr="00BD18D8">
        <w:rPr>
          <w:rFonts w:ascii="Times New Roman" w:hAnsi="Times New Roman" w:cs="Times New Roman"/>
          <w:lang w:val="en-GB" w:eastAsia="en-US"/>
        </w:rPr>
        <w:t xml:space="preserve"> is the</w:t>
      </w:r>
      <w:r>
        <w:rPr>
          <w:rFonts w:ascii="Times New Roman" w:hAnsi="Times New Roman" w:cs="Times New Roman"/>
          <w:lang w:val="en-GB" w:eastAsia="en-US"/>
        </w:rPr>
        <w:t xml:space="preserve"> weighted</w:t>
      </w:r>
      <w:r w:rsidRPr="00BD18D8">
        <w:rPr>
          <w:rFonts w:ascii="Times New Roman" w:hAnsi="Times New Roman" w:cs="Times New Roman"/>
          <w:lang w:val="en-GB" w:eastAsia="en-US"/>
        </w:rPr>
        <w:t xml:space="preserve"> distance between the headquarters and the branches; MC</w:t>
      </w:r>
      <w:r>
        <w:rPr>
          <w:rFonts w:ascii="Times New Roman" w:hAnsi="Times New Roman" w:cs="Times New Roman"/>
          <w:lang w:val="en-GB" w:eastAsia="en-US"/>
        </w:rPr>
        <w:t>w</w:t>
      </w:r>
      <w:r w:rsidRPr="00BD18D8">
        <w:rPr>
          <w:rFonts w:ascii="Times New Roman" w:hAnsi="Times New Roman" w:cs="Times New Roman"/>
          <w:lang w:val="en-GB" w:eastAsia="en-US"/>
        </w:rPr>
        <w:t xml:space="preserve"> is the market coverage weighted for loan volume; NPLs is the amount of non-performing loans; EQTA is equity over total assets; ENTRY is the net number of new branches over total branches in each province; HHI</w:t>
      </w:r>
      <w:r>
        <w:rPr>
          <w:rFonts w:ascii="Times New Roman" w:hAnsi="Times New Roman" w:cs="Times New Roman"/>
          <w:lang w:val="en-GB" w:eastAsia="en-US"/>
        </w:rPr>
        <w:t>w</w:t>
      </w:r>
      <w:r w:rsidRPr="00BD18D8">
        <w:rPr>
          <w:rFonts w:ascii="Times New Roman" w:hAnsi="Times New Roman" w:cs="Times New Roman"/>
          <w:lang w:val="en-GB" w:eastAsia="en-US"/>
        </w:rPr>
        <w:t xml:space="preserve"> is the concentration of branches in each province weighted for loan volume. </w:t>
      </w:r>
      <w:r>
        <w:rPr>
          <w:rFonts w:ascii="Times New Roman" w:hAnsi="Times New Roman" w:cs="Times New Roman"/>
          <w:lang w:val="en-GB" w:eastAsia="en-US"/>
        </w:rPr>
        <w:t>S</w:t>
      </w:r>
      <w:r w:rsidRPr="00BD18D8">
        <w:rPr>
          <w:rFonts w:ascii="Times New Roman" w:hAnsi="Times New Roman" w:cs="Times New Roman"/>
          <w:lang w:val="en-GB" w:eastAsia="en-US"/>
        </w:rPr>
        <w:t xml:space="preserve">tandard errors are </w:t>
      </w:r>
      <w:r>
        <w:rPr>
          <w:rFonts w:ascii="Times New Roman" w:hAnsi="Times New Roman" w:cs="Times New Roman"/>
          <w:lang w:val="en-GB" w:eastAsia="en-US"/>
        </w:rPr>
        <w:t>clustered by bank ID</w:t>
      </w:r>
      <w:r w:rsidRPr="00BD18D8">
        <w:rPr>
          <w:rFonts w:ascii="Times New Roman" w:hAnsi="Times New Roman" w:cs="Times New Roman"/>
          <w:lang w:val="en-GB" w:eastAsia="en-US"/>
        </w:rPr>
        <w:t>.</w:t>
      </w:r>
      <w:r>
        <w:rPr>
          <w:rFonts w:ascii="Times New Roman" w:hAnsi="Times New Roman" w:cs="Times New Roman"/>
          <w:lang w:val="en-GB" w:eastAsia="en-US"/>
        </w:rPr>
        <w:t xml:space="preserve"> </w:t>
      </w:r>
      <w:r w:rsidRPr="006463B2">
        <w:rPr>
          <w:rFonts w:ascii="Times New Roman" w:hAnsi="Times New Roman" w:cs="Times New Roman"/>
          <w:lang w:val="en-US"/>
        </w:rPr>
        <w:t xml:space="preserve">Specification I includes all banks; specification II includes </w:t>
      </w:r>
      <w:r w:rsidRPr="006463B2">
        <w:rPr>
          <w:rFonts w:ascii="Times New Roman" w:hAnsi="Times New Roman" w:cs="Times New Roman"/>
          <w:lang w:val="en-GB" w:eastAsia="en-US"/>
        </w:rPr>
        <w:t>only the cooperative and saving banks, while specification III only banks with large branches</w:t>
      </w:r>
      <w:r w:rsidRPr="006463B2">
        <w:rPr>
          <w:rFonts w:ascii="Times New Roman" w:hAnsi="Times New Roman" w:cs="Times New Roman"/>
          <w:lang w:val="en-US"/>
        </w:rPr>
        <w:t xml:space="preserve"> includes only banks with large branches.</w:t>
      </w:r>
      <w:r w:rsidRPr="006463B2">
        <w:rPr>
          <w:rFonts w:ascii="Times New Roman" w:hAnsi="Times New Roman" w:cs="Times New Roman"/>
          <w:lang w:val="en-GB" w:eastAsia="en-US"/>
        </w:rPr>
        <w:t xml:space="preserve"> </w:t>
      </w:r>
      <w:r w:rsidRPr="006463B2">
        <w:rPr>
          <w:rFonts w:ascii="Times New Roman" w:hAnsi="Times New Roman" w:cs="Times New Roman"/>
          <w:lang w:val="en-US"/>
        </w:rPr>
        <w:t xml:space="preserve">** </w:t>
      </w:r>
      <w:r w:rsidRPr="006463B2">
        <w:rPr>
          <w:rFonts w:ascii="Times New Roman" w:hAnsi="Times New Roman" w:cs="Times New Roman"/>
          <w:i/>
          <w:lang w:val="en-US"/>
        </w:rPr>
        <w:t>p</w:t>
      </w:r>
      <w:r w:rsidRPr="006463B2">
        <w:rPr>
          <w:rFonts w:ascii="Times New Roman" w:hAnsi="Times New Roman" w:cs="Times New Roman"/>
          <w:lang w:val="en-US"/>
        </w:rPr>
        <w:t xml:space="preserve">&lt;.05, *** </w:t>
      </w:r>
      <w:r w:rsidRPr="006463B2">
        <w:rPr>
          <w:rFonts w:ascii="Times New Roman" w:hAnsi="Times New Roman" w:cs="Times New Roman"/>
          <w:i/>
          <w:lang w:val="en-US"/>
        </w:rPr>
        <w:t>p</w:t>
      </w:r>
      <w:r w:rsidRPr="006463B2">
        <w:rPr>
          <w:rFonts w:ascii="Times New Roman" w:hAnsi="Times New Roman" w:cs="Times New Roman"/>
          <w:lang w:val="en-US"/>
        </w:rPr>
        <w:t>&lt;.01.</w:t>
      </w:r>
      <w:r>
        <w:rPr>
          <w:rFonts w:ascii="Times New Roman" w:hAnsi="Times New Roman" w:cs="Times New Roman"/>
          <w:lang w:val="en-US"/>
        </w:rPr>
        <w:t xml:space="preserve"> </w:t>
      </w:r>
    </w:p>
    <w:p w14:paraId="593338BF" w14:textId="77777777" w:rsidR="00FB736C" w:rsidRDefault="00FB736C" w:rsidP="00FB736C">
      <w:pPr>
        <w:ind w:left="851" w:hanging="851"/>
        <w:jc w:val="both"/>
        <w:rPr>
          <w:rFonts w:asciiTheme="majorBidi" w:hAnsiTheme="majorBidi" w:cstheme="majorBidi"/>
          <w:b/>
          <w:bCs/>
          <w:i/>
          <w:iCs/>
          <w:noProof/>
          <w:sz w:val="24"/>
          <w:szCs w:val="24"/>
          <w:lang w:val="en-GB"/>
        </w:rPr>
      </w:pPr>
    </w:p>
    <w:p w14:paraId="1D14EADB" w14:textId="77777777" w:rsidR="00FB736C" w:rsidRDefault="00FB736C" w:rsidP="00FB736C">
      <w:pPr>
        <w:ind w:left="851" w:hanging="851"/>
        <w:jc w:val="both"/>
        <w:rPr>
          <w:rFonts w:asciiTheme="majorBidi" w:hAnsiTheme="majorBidi" w:cstheme="majorBidi"/>
          <w:b/>
          <w:bCs/>
          <w:i/>
          <w:iCs/>
          <w:noProof/>
          <w:sz w:val="24"/>
          <w:szCs w:val="24"/>
          <w:lang w:val="en-GB"/>
        </w:rPr>
      </w:pPr>
    </w:p>
    <w:p w14:paraId="46828383" w14:textId="77777777" w:rsidR="00FB736C" w:rsidRDefault="00FB736C" w:rsidP="00FB736C">
      <w:pPr>
        <w:ind w:left="851" w:hanging="851"/>
        <w:jc w:val="both"/>
        <w:rPr>
          <w:rFonts w:asciiTheme="majorBidi" w:hAnsiTheme="majorBidi" w:cstheme="majorBidi"/>
          <w:b/>
          <w:bCs/>
          <w:i/>
          <w:iCs/>
          <w:noProof/>
          <w:sz w:val="24"/>
          <w:szCs w:val="24"/>
          <w:lang w:val="en-GB"/>
        </w:rPr>
      </w:pPr>
    </w:p>
    <w:p w14:paraId="17FC1C06" w14:textId="77777777" w:rsidR="00FB736C" w:rsidRDefault="00FB736C" w:rsidP="00FB736C">
      <w:pPr>
        <w:ind w:left="851" w:hanging="851"/>
        <w:jc w:val="both"/>
        <w:rPr>
          <w:rFonts w:asciiTheme="majorBidi" w:hAnsiTheme="majorBidi" w:cstheme="majorBidi"/>
          <w:b/>
          <w:bCs/>
          <w:i/>
          <w:iCs/>
          <w:noProof/>
          <w:sz w:val="24"/>
          <w:szCs w:val="24"/>
          <w:lang w:val="en-GB"/>
        </w:rPr>
      </w:pPr>
    </w:p>
    <w:p w14:paraId="3DCBC714" w14:textId="77777777" w:rsidR="00FB736C" w:rsidRDefault="00FB736C" w:rsidP="00FB736C">
      <w:pPr>
        <w:ind w:left="851" w:hanging="851"/>
        <w:jc w:val="both"/>
        <w:rPr>
          <w:rFonts w:asciiTheme="majorBidi" w:hAnsiTheme="majorBidi" w:cstheme="majorBidi"/>
          <w:b/>
          <w:bCs/>
          <w:i/>
          <w:iCs/>
          <w:noProof/>
          <w:sz w:val="24"/>
          <w:szCs w:val="24"/>
          <w:lang w:val="en-GB"/>
        </w:rPr>
      </w:pPr>
    </w:p>
    <w:p w14:paraId="4DA12D3F" w14:textId="77777777" w:rsidR="00FB736C" w:rsidRDefault="00FB736C" w:rsidP="00FB736C">
      <w:pPr>
        <w:ind w:left="851" w:hanging="851"/>
        <w:jc w:val="both"/>
        <w:rPr>
          <w:rFonts w:ascii="Times New Roman" w:hAnsi="Times New Roman" w:cs="Times New Roman"/>
          <w:b/>
          <w:bCs/>
          <w:i/>
          <w:iCs/>
          <w:noProof/>
          <w:sz w:val="24"/>
          <w:szCs w:val="24"/>
          <w:lang w:val="en-GB"/>
        </w:rPr>
      </w:pPr>
    </w:p>
    <w:p w14:paraId="3B51A1B4" w14:textId="77777777" w:rsidR="00FB736C" w:rsidRPr="005D7567" w:rsidRDefault="00FB736C" w:rsidP="00FB736C">
      <w:pPr>
        <w:ind w:left="851" w:hanging="851"/>
        <w:jc w:val="both"/>
        <w:rPr>
          <w:rFonts w:ascii="Times New Roman" w:hAnsi="Times New Roman" w:cs="Times New Roman"/>
          <w:b/>
          <w:bCs/>
          <w:i/>
          <w:iCs/>
          <w:noProof/>
          <w:sz w:val="24"/>
          <w:szCs w:val="24"/>
          <w:lang w:val="en-GB"/>
        </w:rPr>
      </w:pPr>
      <w:r w:rsidRPr="005D7567">
        <w:rPr>
          <w:rFonts w:ascii="Times New Roman" w:hAnsi="Times New Roman" w:cs="Times New Roman"/>
          <w:b/>
          <w:bCs/>
          <w:i/>
          <w:iCs/>
          <w:noProof/>
          <w:sz w:val="24"/>
          <w:szCs w:val="24"/>
          <w:lang w:val="en-GB"/>
        </w:rPr>
        <w:t>Table 4. The Impact of Geographic Diversification and Local Banking Structure on Loan Growth (</w:t>
      </w:r>
      <m:oMath>
        <m:r>
          <m:rPr>
            <m:sty m:val="bi"/>
          </m:rPr>
          <w:rPr>
            <w:rFonts w:ascii="Cambria Math" w:hAnsi="Cambria Math" w:cs="Times New Roman"/>
            <w:sz w:val="24"/>
            <w:szCs w:val="24"/>
          </w:rPr>
          <m:t>Δ</m:t>
        </m:r>
      </m:oMath>
      <w:r w:rsidRPr="005D7567">
        <w:rPr>
          <w:rFonts w:ascii="Times New Roman" w:hAnsi="Times New Roman" w:cs="Times New Roman"/>
          <w:b/>
          <w:i/>
          <w:sz w:val="24"/>
          <w:szCs w:val="24"/>
          <w:lang w:val="en-GB" w:eastAsia="en-US"/>
        </w:rPr>
        <w:t>lnLoans)</w:t>
      </w:r>
      <w:r w:rsidRPr="005D7567">
        <w:rPr>
          <w:rFonts w:ascii="Times New Roman" w:hAnsi="Times New Roman" w:cs="Times New Roman"/>
          <w:b/>
          <w:bCs/>
          <w:i/>
          <w:iCs/>
          <w:noProof/>
          <w:sz w:val="24"/>
          <w:szCs w:val="24"/>
          <w:lang w:val="en-GB"/>
        </w:rPr>
        <w:t xml:space="preserve"> and Lerner Index for Loans (</w:t>
      </w:r>
      <w:r w:rsidRPr="005D7567">
        <w:rPr>
          <w:rFonts w:ascii="Times New Roman" w:hAnsi="Times New Roman" w:cs="Times New Roman"/>
          <w:b/>
          <w:i/>
          <w:sz w:val="24"/>
          <w:szCs w:val="24"/>
        </w:rPr>
        <w:t>LE</w:t>
      </w:r>
      <w:r w:rsidRPr="005D7567">
        <w:rPr>
          <w:rFonts w:ascii="Times New Roman" w:hAnsi="Times New Roman" w:cs="Times New Roman"/>
          <w:b/>
          <w:i/>
          <w:sz w:val="18"/>
          <w:szCs w:val="24"/>
        </w:rPr>
        <w:t>L</w:t>
      </w:r>
      <w:r w:rsidRPr="005D7567">
        <w:rPr>
          <w:rFonts w:ascii="Times New Roman" w:hAnsi="Times New Roman" w:cs="Times New Roman"/>
          <w:b/>
          <w:i/>
          <w:sz w:val="24"/>
          <w:szCs w:val="24"/>
        </w:rPr>
        <w:t>)</w:t>
      </w:r>
    </w:p>
    <w:tbl>
      <w:tblPr>
        <w:tblW w:w="7654" w:type="dxa"/>
        <w:jc w:val="center"/>
        <w:tblLayout w:type="fixed"/>
        <w:tblCellMar>
          <w:left w:w="75" w:type="dxa"/>
          <w:right w:w="75" w:type="dxa"/>
        </w:tblCellMar>
        <w:tblLook w:val="0000" w:firstRow="0" w:lastRow="0" w:firstColumn="0" w:lastColumn="0" w:noHBand="0" w:noVBand="0"/>
      </w:tblPr>
      <w:tblGrid>
        <w:gridCol w:w="1699"/>
        <w:gridCol w:w="284"/>
        <w:gridCol w:w="1559"/>
        <w:gridCol w:w="25"/>
        <w:gridCol w:w="1393"/>
        <w:gridCol w:w="25"/>
        <w:gridCol w:w="1393"/>
        <w:gridCol w:w="1276"/>
      </w:tblGrid>
      <w:tr w:rsidR="00FB736C" w14:paraId="1844E151" w14:textId="77777777" w:rsidTr="00C15CF1">
        <w:trPr>
          <w:jc w:val="center"/>
        </w:trPr>
        <w:tc>
          <w:tcPr>
            <w:tcW w:w="1699" w:type="dxa"/>
            <w:tcBorders>
              <w:top w:val="single" w:sz="4" w:space="0" w:color="auto"/>
              <w:left w:val="nil"/>
            </w:tcBorders>
          </w:tcPr>
          <w:p w14:paraId="45B54BBC"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Borders>
              <w:top w:val="single" w:sz="4" w:space="0" w:color="auto"/>
            </w:tcBorders>
          </w:tcPr>
          <w:p w14:paraId="572740DD"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gridSpan w:val="2"/>
            <w:tcBorders>
              <w:top w:val="single" w:sz="4" w:space="0" w:color="auto"/>
            </w:tcBorders>
          </w:tcPr>
          <w:p w14:paraId="17F048C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93" w:type="dxa"/>
            <w:tcBorders>
              <w:top w:val="single" w:sz="4" w:space="0" w:color="auto"/>
            </w:tcBorders>
          </w:tcPr>
          <w:p w14:paraId="7824189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tcBorders>
          </w:tcPr>
          <w:p w14:paraId="1BD011B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B736C" w14:paraId="34CCCDFF" w14:textId="77777777" w:rsidTr="00C15CF1">
        <w:trPr>
          <w:trHeight w:val="276"/>
          <w:jc w:val="center"/>
        </w:trPr>
        <w:tc>
          <w:tcPr>
            <w:tcW w:w="1699" w:type="dxa"/>
            <w:tcBorders>
              <w:left w:val="nil"/>
              <w:bottom w:val="single" w:sz="4" w:space="0" w:color="auto"/>
            </w:tcBorders>
          </w:tcPr>
          <w:p w14:paraId="2584A49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VARIABLES</w:t>
            </w:r>
          </w:p>
        </w:tc>
        <w:tc>
          <w:tcPr>
            <w:tcW w:w="1868" w:type="dxa"/>
            <w:gridSpan w:val="3"/>
            <w:tcBorders>
              <w:bottom w:val="single" w:sz="4" w:space="0" w:color="auto"/>
            </w:tcBorders>
          </w:tcPr>
          <w:p w14:paraId="6CABD9BF" w14:textId="77777777" w:rsidR="00FB736C" w:rsidRPr="00631797" w:rsidRDefault="00FB736C" w:rsidP="00C15CF1">
            <w:pPr>
              <w:ind w:left="-216" w:right="-188" w:firstLine="216"/>
              <w:jc w:val="center"/>
              <w:rPr>
                <w:rFonts w:ascii="Times New Roman" w:hAnsi="Times New Roman" w:cs="Times New Roman"/>
                <w:sz w:val="24"/>
                <w:szCs w:val="24"/>
              </w:rPr>
            </w:pPr>
            <m:oMath>
              <m:r>
                <m:rPr>
                  <m:sty m:val="p"/>
                </m:rPr>
                <w:rPr>
                  <w:rFonts w:ascii="Cambria Math" w:hAnsi="Cambria Math" w:cs="Times New Roman"/>
                  <w:sz w:val="24"/>
                  <w:szCs w:val="24"/>
                </w:rPr>
                <m:t>Δ</m:t>
              </m:r>
            </m:oMath>
            <w:r>
              <w:rPr>
                <w:rFonts w:ascii="Times New Roman" w:hAnsi="Times New Roman" w:cs="Times New Roman"/>
                <w:lang w:val="en-GB" w:eastAsia="en-US"/>
              </w:rPr>
              <w:t>lnLoans</w:t>
            </w:r>
          </w:p>
        </w:tc>
        <w:tc>
          <w:tcPr>
            <w:tcW w:w="1418" w:type="dxa"/>
            <w:gridSpan w:val="2"/>
            <w:tcBorders>
              <w:bottom w:val="single" w:sz="4" w:space="0" w:color="auto"/>
            </w:tcBorders>
          </w:tcPr>
          <w:p w14:paraId="17CD75DE" w14:textId="77777777" w:rsidR="00FB736C" w:rsidRPr="00631797" w:rsidRDefault="00FB736C" w:rsidP="00C15CF1">
            <w:pPr>
              <w:ind w:left="-358" w:right="-188" w:hanging="351"/>
              <w:jc w:val="center"/>
              <w:rPr>
                <w:rFonts w:ascii="Times New Roman" w:hAnsi="Times New Roman" w:cs="Times New Roman"/>
                <w:sz w:val="24"/>
                <w:szCs w:val="24"/>
              </w:rPr>
            </w:pPr>
            <m:oMath>
              <m:r>
                <m:rPr>
                  <m:sty m:val="p"/>
                </m:rPr>
                <w:rPr>
                  <w:rFonts w:ascii="Cambria Math" w:hAnsi="Cambria Math" w:cs="Times New Roman"/>
                  <w:sz w:val="24"/>
                  <w:szCs w:val="24"/>
                </w:rPr>
                <m:t xml:space="preserve">      Δ</m:t>
              </m:r>
            </m:oMath>
            <w:r>
              <w:rPr>
                <w:rFonts w:ascii="Times New Roman" w:hAnsi="Times New Roman" w:cs="Times New Roman"/>
                <w:lang w:val="en-GB" w:eastAsia="en-US"/>
              </w:rPr>
              <w:t>lnLoans</w:t>
            </w:r>
          </w:p>
        </w:tc>
        <w:tc>
          <w:tcPr>
            <w:tcW w:w="1393" w:type="dxa"/>
            <w:tcBorders>
              <w:bottom w:val="single" w:sz="4" w:space="0" w:color="auto"/>
            </w:tcBorders>
          </w:tcPr>
          <w:p w14:paraId="402F745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8F781D">
              <w:rPr>
                <w:rFonts w:ascii="Times New Roman" w:hAnsi="Times New Roman" w:cs="Times New Roman"/>
                <w:sz w:val="24"/>
                <w:szCs w:val="24"/>
              </w:rPr>
              <w:t>LE</w:t>
            </w:r>
            <w:r>
              <w:rPr>
                <w:rFonts w:ascii="Times New Roman" w:hAnsi="Times New Roman" w:cs="Times New Roman"/>
                <w:sz w:val="18"/>
                <w:szCs w:val="24"/>
              </w:rPr>
              <w:t>L</w:t>
            </w:r>
          </w:p>
        </w:tc>
        <w:tc>
          <w:tcPr>
            <w:tcW w:w="1276" w:type="dxa"/>
            <w:tcBorders>
              <w:bottom w:val="single" w:sz="4" w:space="0" w:color="auto"/>
            </w:tcBorders>
          </w:tcPr>
          <w:p w14:paraId="778E9A9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33041">
              <w:rPr>
                <w:rFonts w:ascii="Times New Roman" w:hAnsi="Times New Roman" w:cs="Times New Roman"/>
                <w:sz w:val="24"/>
                <w:szCs w:val="24"/>
              </w:rPr>
              <w:t>LE</w:t>
            </w:r>
            <w:r w:rsidRPr="00633041">
              <w:rPr>
                <w:rFonts w:ascii="Times New Roman" w:hAnsi="Times New Roman" w:cs="Times New Roman"/>
                <w:sz w:val="18"/>
                <w:szCs w:val="24"/>
              </w:rPr>
              <w:t>L</w:t>
            </w:r>
          </w:p>
        </w:tc>
      </w:tr>
      <w:tr w:rsidR="00FB736C" w14:paraId="076B8124" w14:textId="77777777" w:rsidTr="00C15CF1">
        <w:trPr>
          <w:trHeight w:val="183"/>
          <w:jc w:val="center"/>
        </w:trPr>
        <w:tc>
          <w:tcPr>
            <w:tcW w:w="1699" w:type="dxa"/>
            <w:tcBorders>
              <w:left w:val="nil"/>
            </w:tcBorders>
          </w:tcPr>
          <w:p w14:paraId="30078C53"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GD</w:t>
            </w:r>
          </w:p>
        </w:tc>
        <w:tc>
          <w:tcPr>
            <w:tcW w:w="1868" w:type="dxa"/>
            <w:gridSpan w:val="3"/>
          </w:tcPr>
          <w:p w14:paraId="2C9F1A1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-0.0135</w:t>
            </w:r>
          </w:p>
        </w:tc>
        <w:tc>
          <w:tcPr>
            <w:tcW w:w="1418" w:type="dxa"/>
            <w:gridSpan w:val="2"/>
          </w:tcPr>
          <w:p w14:paraId="6EB8478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0.0031</w:t>
            </w:r>
          </w:p>
        </w:tc>
        <w:tc>
          <w:tcPr>
            <w:tcW w:w="1393" w:type="dxa"/>
          </w:tcPr>
          <w:p w14:paraId="2E9C22B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0.0036</w:t>
            </w:r>
          </w:p>
        </w:tc>
        <w:tc>
          <w:tcPr>
            <w:tcW w:w="1276" w:type="dxa"/>
          </w:tcPr>
          <w:p w14:paraId="36EB997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0.0148</w:t>
            </w:r>
          </w:p>
        </w:tc>
      </w:tr>
      <w:tr w:rsidR="00FB736C" w14:paraId="19050BE3" w14:textId="77777777" w:rsidTr="00C15CF1">
        <w:trPr>
          <w:jc w:val="center"/>
        </w:trPr>
        <w:tc>
          <w:tcPr>
            <w:tcW w:w="1699" w:type="dxa"/>
            <w:tcBorders>
              <w:left w:val="nil"/>
            </w:tcBorders>
          </w:tcPr>
          <w:p w14:paraId="4245EECF"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0FE765E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[0.016]</w:t>
            </w:r>
          </w:p>
        </w:tc>
        <w:tc>
          <w:tcPr>
            <w:tcW w:w="1418" w:type="dxa"/>
            <w:gridSpan w:val="2"/>
          </w:tcPr>
          <w:p w14:paraId="3B3CF53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[0.024]</w:t>
            </w:r>
          </w:p>
        </w:tc>
        <w:tc>
          <w:tcPr>
            <w:tcW w:w="1393" w:type="dxa"/>
          </w:tcPr>
          <w:p w14:paraId="2C97C52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[0.015]</w:t>
            </w:r>
          </w:p>
        </w:tc>
        <w:tc>
          <w:tcPr>
            <w:tcW w:w="1276" w:type="dxa"/>
          </w:tcPr>
          <w:p w14:paraId="5572326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[0.023]</w:t>
            </w:r>
          </w:p>
        </w:tc>
      </w:tr>
      <w:tr w:rsidR="00FB736C" w14:paraId="1A59FD06" w14:textId="77777777" w:rsidTr="00C15CF1">
        <w:trPr>
          <w:jc w:val="center"/>
        </w:trPr>
        <w:tc>
          <w:tcPr>
            <w:tcW w:w="1699" w:type="dxa"/>
            <w:tcBorders>
              <w:left w:val="nil"/>
            </w:tcBorders>
          </w:tcPr>
          <w:p w14:paraId="71A5D535"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DISTANCE</w:t>
            </w:r>
          </w:p>
        </w:tc>
        <w:tc>
          <w:tcPr>
            <w:tcW w:w="1868" w:type="dxa"/>
            <w:gridSpan w:val="3"/>
          </w:tcPr>
          <w:p w14:paraId="01F158F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-0.0061***</w:t>
            </w:r>
          </w:p>
        </w:tc>
        <w:tc>
          <w:tcPr>
            <w:tcW w:w="1418" w:type="dxa"/>
            <w:gridSpan w:val="2"/>
          </w:tcPr>
          <w:p w14:paraId="22EF391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-0.0069**</w:t>
            </w:r>
          </w:p>
        </w:tc>
        <w:tc>
          <w:tcPr>
            <w:tcW w:w="1393" w:type="dxa"/>
          </w:tcPr>
          <w:p w14:paraId="4E6D67F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-0.0016</w:t>
            </w:r>
          </w:p>
        </w:tc>
        <w:tc>
          <w:tcPr>
            <w:tcW w:w="1276" w:type="dxa"/>
          </w:tcPr>
          <w:p w14:paraId="563A6C4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-0.0013</w:t>
            </w:r>
          </w:p>
        </w:tc>
      </w:tr>
      <w:tr w:rsidR="00FB736C" w14:paraId="705263B3" w14:textId="77777777" w:rsidTr="00C15CF1">
        <w:trPr>
          <w:jc w:val="center"/>
        </w:trPr>
        <w:tc>
          <w:tcPr>
            <w:tcW w:w="1699" w:type="dxa"/>
            <w:tcBorders>
              <w:left w:val="nil"/>
            </w:tcBorders>
          </w:tcPr>
          <w:p w14:paraId="094C9F5B"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5B8A272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418" w:type="dxa"/>
            <w:gridSpan w:val="2"/>
          </w:tcPr>
          <w:p w14:paraId="5E0D96E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393" w:type="dxa"/>
          </w:tcPr>
          <w:p w14:paraId="4A63068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276" w:type="dxa"/>
          </w:tcPr>
          <w:p w14:paraId="53FEC82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r>
      <w:tr w:rsidR="00FB736C" w14:paraId="755E1625" w14:textId="77777777" w:rsidTr="00C15CF1">
        <w:trPr>
          <w:jc w:val="center"/>
        </w:trPr>
        <w:tc>
          <w:tcPr>
            <w:tcW w:w="1699" w:type="dxa"/>
            <w:tcBorders>
              <w:left w:val="nil"/>
            </w:tcBorders>
          </w:tcPr>
          <w:p w14:paraId="23C7C5D0"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MCw</w:t>
            </w:r>
          </w:p>
        </w:tc>
        <w:tc>
          <w:tcPr>
            <w:tcW w:w="1868" w:type="dxa"/>
            <w:gridSpan w:val="3"/>
          </w:tcPr>
          <w:p w14:paraId="41FC72BC"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r>
              <w:rPr>
                <w:rFonts w:ascii="Times New Roman" w:hAnsi="Times New Roman" w:cs="Times New Roman"/>
                <w:sz w:val="24"/>
                <w:szCs w:val="24"/>
              </w:rPr>
              <w:t>0.3188</w:t>
            </w:r>
          </w:p>
        </w:tc>
        <w:tc>
          <w:tcPr>
            <w:tcW w:w="1418" w:type="dxa"/>
            <w:gridSpan w:val="2"/>
          </w:tcPr>
          <w:p w14:paraId="0CCA7CA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0.3524</w:t>
            </w:r>
          </w:p>
        </w:tc>
        <w:tc>
          <w:tcPr>
            <w:tcW w:w="1393" w:type="dxa"/>
          </w:tcPr>
          <w:p w14:paraId="4F1CCAC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0.0242</w:t>
            </w:r>
          </w:p>
        </w:tc>
        <w:tc>
          <w:tcPr>
            <w:tcW w:w="1276" w:type="dxa"/>
          </w:tcPr>
          <w:p w14:paraId="1E9C831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-0.0633</w:t>
            </w:r>
          </w:p>
        </w:tc>
      </w:tr>
      <w:tr w:rsidR="00FB736C" w14:paraId="47F0EFE6" w14:textId="77777777" w:rsidTr="00C15CF1">
        <w:trPr>
          <w:jc w:val="center"/>
        </w:trPr>
        <w:tc>
          <w:tcPr>
            <w:tcW w:w="1699" w:type="dxa"/>
            <w:tcBorders>
              <w:left w:val="nil"/>
            </w:tcBorders>
          </w:tcPr>
          <w:p w14:paraId="35846EE5"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349F1EEF"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r>
              <w:rPr>
                <w:rFonts w:ascii="Times New Roman" w:hAnsi="Times New Roman" w:cs="Times New Roman"/>
                <w:sz w:val="24"/>
                <w:szCs w:val="24"/>
              </w:rPr>
              <w:t>[0.210]</w:t>
            </w:r>
          </w:p>
        </w:tc>
        <w:tc>
          <w:tcPr>
            <w:tcW w:w="1418" w:type="dxa"/>
            <w:gridSpan w:val="2"/>
          </w:tcPr>
          <w:p w14:paraId="5772853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[0.288]</w:t>
            </w:r>
          </w:p>
        </w:tc>
        <w:tc>
          <w:tcPr>
            <w:tcW w:w="1393" w:type="dxa"/>
          </w:tcPr>
          <w:p w14:paraId="5F6CCF3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[0.233]</w:t>
            </w:r>
          </w:p>
        </w:tc>
        <w:tc>
          <w:tcPr>
            <w:tcW w:w="1276" w:type="dxa"/>
          </w:tcPr>
          <w:p w14:paraId="6C565B1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[0.338]</w:t>
            </w:r>
          </w:p>
        </w:tc>
      </w:tr>
      <w:tr w:rsidR="00FB736C" w14:paraId="71020422" w14:textId="77777777" w:rsidTr="00C15CF1">
        <w:trPr>
          <w:jc w:val="center"/>
        </w:trPr>
        <w:tc>
          <w:tcPr>
            <w:tcW w:w="1699" w:type="dxa"/>
            <w:tcBorders>
              <w:left w:val="nil"/>
            </w:tcBorders>
          </w:tcPr>
          <w:p w14:paraId="0130181C"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NPLs</w:t>
            </w:r>
          </w:p>
        </w:tc>
        <w:tc>
          <w:tcPr>
            <w:tcW w:w="1868" w:type="dxa"/>
            <w:gridSpan w:val="3"/>
          </w:tcPr>
          <w:p w14:paraId="2D199D9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-0.1436**</w:t>
            </w:r>
          </w:p>
        </w:tc>
        <w:tc>
          <w:tcPr>
            <w:tcW w:w="1418" w:type="dxa"/>
            <w:gridSpan w:val="2"/>
          </w:tcPr>
          <w:p w14:paraId="4ABEDB1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-0.0627</w:t>
            </w:r>
          </w:p>
        </w:tc>
        <w:tc>
          <w:tcPr>
            <w:tcW w:w="1393" w:type="dxa"/>
          </w:tcPr>
          <w:p w14:paraId="16E883D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-0.0342</w:t>
            </w:r>
          </w:p>
        </w:tc>
        <w:tc>
          <w:tcPr>
            <w:tcW w:w="1276" w:type="dxa"/>
          </w:tcPr>
          <w:p w14:paraId="7115EBB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-0.0232</w:t>
            </w:r>
          </w:p>
        </w:tc>
      </w:tr>
      <w:tr w:rsidR="00FB736C" w14:paraId="52A58AE6" w14:textId="77777777" w:rsidTr="00C15CF1">
        <w:trPr>
          <w:jc w:val="center"/>
        </w:trPr>
        <w:tc>
          <w:tcPr>
            <w:tcW w:w="1699" w:type="dxa"/>
            <w:tcBorders>
              <w:left w:val="nil"/>
            </w:tcBorders>
          </w:tcPr>
          <w:p w14:paraId="75656F07"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4F61684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[0.065]</w:t>
            </w:r>
          </w:p>
        </w:tc>
        <w:tc>
          <w:tcPr>
            <w:tcW w:w="1418" w:type="dxa"/>
            <w:gridSpan w:val="2"/>
          </w:tcPr>
          <w:p w14:paraId="66EAA56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[0.081]</w:t>
            </w:r>
          </w:p>
        </w:tc>
        <w:tc>
          <w:tcPr>
            <w:tcW w:w="1393" w:type="dxa"/>
          </w:tcPr>
          <w:p w14:paraId="52D7C43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[0.036]</w:t>
            </w:r>
          </w:p>
        </w:tc>
        <w:tc>
          <w:tcPr>
            <w:tcW w:w="1276" w:type="dxa"/>
          </w:tcPr>
          <w:p w14:paraId="3A90735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[0.063]</w:t>
            </w:r>
          </w:p>
        </w:tc>
      </w:tr>
      <w:tr w:rsidR="00FB736C" w14:paraId="54974C5A" w14:textId="77777777" w:rsidTr="00C15CF1">
        <w:trPr>
          <w:jc w:val="center"/>
        </w:trPr>
        <w:tc>
          <w:tcPr>
            <w:tcW w:w="1699" w:type="dxa"/>
            <w:tcBorders>
              <w:left w:val="nil"/>
            </w:tcBorders>
          </w:tcPr>
          <w:p w14:paraId="33CE7F8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EQTA</w:t>
            </w:r>
          </w:p>
        </w:tc>
        <w:tc>
          <w:tcPr>
            <w:tcW w:w="1868" w:type="dxa"/>
            <w:gridSpan w:val="3"/>
          </w:tcPr>
          <w:p w14:paraId="13FF666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0.2662***</w:t>
            </w:r>
          </w:p>
        </w:tc>
        <w:tc>
          <w:tcPr>
            <w:tcW w:w="1418" w:type="dxa"/>
            <w:gridSpan w:val="2"/>
          </w:tcPr>
          <w:p w14:paraId="4808BA7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0.2454***</w:t>
            </w:r>
          </w:p>
        </w:tc>
        <w:tc>
          <w:tcPr>
            <w:tcW w:w="1393" w:type="dxa"/>
          </w:tcPr>
          <w:p w14:paraId="11E6256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-0.2156***</w:t>
            </w:r>
          </w:p>
        </w:tc>
        <w:tc>
          <w:tcPr>
            <w:tcW w:w="1276" w:type="dxa"/>
          </w:tcPr>
          <w:p w14:paraId="453670E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-0.2348***</w:t>
            </w:r>
          </w:p>
        </w:tc>
      </w:tr>
      <w:tr w:rsidR="00FB736C" w14:paraId="261BA559" w14:textId="77777777" w:rsidTr="00C15CF1">
        <w:trPr>
          <w:jc w:val="center"/>
        </w:trPr>
        <w:tc>
          <w:tcPr>
            <w:tcW w:w="1699" w:type="dxa"/>
            <w:tcBorders>
              <w:left w:val="nil"/>
            </w:tcBorders>
          </w:tcPr>
          <w:p w14:paraId="4B58F621"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2EE73D3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[0.056]</w:t>
            </w:r>
          </w:p>
        </w:tc>
        <w:tc>
          <w:tcPr>
            <w:tcW w:w="1418" w:type="dxa"/>
            <w:gridSpan w:val="2"/>
          </w:tcPr>
          <w:p w14:paraId="7824FA3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[0.057]</w:t>
            </w:r>
          </w:p>
        </w:tc>
        <w:tc>
          <w:tcPr>
            <w:tcW w:w="1393" w:type="dxa"/>
          </w:tcPr>
          <w:p w14:paraId="3D9F0A0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[0.041]</w:t>
            </w:r>
          </w:p>
        </w:tc>
        <w:tc>
          <w:tcPr>
            <w:tcW w:w="1276" w:type="dxa"/>
          </w:tcPr>
          <w:p w14:paraId="194FD14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[0.066]</w:t>
            </w:r>
          </w:p>
        </w:tc>
      </w:tr>
      <w:tr w:rsidR="00FB736C" w14:paraId="10FABB62" w14:textId="77777777" w:rsidTr="00C15CF1">
        <w:trPr>
          <w:jc w:val="center"/>
        </w:trPr>
        <w:tc>
          <w:tcPr>
            <w:tcW w:w="1699" w:type="dxa"/>
            <w:tcBorders>
              <w:left w:val="nil"/>
            </w:tcBorders>
          </w:tcPr>
          <w:p w14:paraId="0DA30F0B"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ENTRY</w:t>
            </w:r>
          </w:p>
        </w:tc>
        <w:tc>
          <w:tcPr>
            <w:tcW w:w="1868" w:type="dxa"/>
            <w:gridSpan w:val="3"/>
          </w:tcPr>
          <w:p w14:paraId="4384C5F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0.0040***</w:t>
            </w:r>
          </w:p>
        </w:tc>
        <w:tc>
          <w:tcPr>
            <w:tcW w:w="1418" w:type="dxa"/>
            <w:gridSpan w:val="2"/>
          </w:tcPr>
          <w:p w14:paraId="57AAFAE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0.0035</w:t>
            </w:r>
          </w:p>
        </w:tc>
        <w:tc>
          <w:tcPr>
            <w:tcW w:w="1393" w:type="dxa"/>
          </w:tcPr>
          <w:p w14:paraId="5567706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0.0005</w:t>
            </w:r>
          </w:p>
        </w:tc>
        <w:tc>
          <w:tcPr>
            <w:tcW w:w="1276" w:type="dxa"/>
          </w:tcPr>
          <w:p w14:paraId="7C4F805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-0.0009</w:t>
            </w:r>
          </w:p>
        </w:tc>
      </w:tr>
      <w:tr w:rsidR="00FB736C" w14:paraId="2578AE1A" w14:textId="77777777" w:rsidTr="00C15CF1">
        <w:trPr>
          <w:jc w:val="center"/>
        </w:trPr>
        <w:tc>
          <w:tcPr>
            <w:tcW w:w="1699" w:type="dxa"/>
            <w:tcBorders>
              <w:left w:val="nil"/>
            </w:tcBorders>
          </w:tcPr>
          <w:p w14:paraId="7DF36029"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7CBD029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418" w:type="dxa"/>
            <w:gridSpan w:val="2"/>
          </w:tcPr>
          <w:p w14:paraId="7A1A862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393" w:type="dxa"/>
          </w:tcPr>
          <w:p w14:paraId="669A1BE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276" w:type="dxa"/>
          </w:tcPr>
          <w:p w14:paraId="412E3A2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r>
      <w:tr w:rsidR="00FB736C" w14:paraId="755ECF8E" w14:textId="77777777" w:rsidTr="00C15CF1">
        <w:trPr>
          <w:jc w:val="center"/>
        </w:trPr>
        <w:tc>
          <w:tcPr>
            <w:tcW w:w="1699" w:type="dxa"/>
            <w:tcBorders>
              <w:left w:val="nil"/>
            </w:tcBorders>
          </w:tcPr>
          <w:p w14:paraId="21BBD212"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HHIw</w:t>
            </w:r>
          </w:p>
        </w:tc>
        <w:tc>
          <w:tcPr>
            <w:tcW w:w="1868" w:type="dxa"/>
            <w:gridSpan w:val="3"/>
          </w:tcPr>
          <w:p w14:paraId="3D76BFF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-0.0241</w:t>
            </w:r>
          </w:p>
        </w:tc>
        <w:tc>
          <w:tcPr>
            <w:tcW w:w="1418" w:type="dxa"/>
            <w:gridSpan w:val="2"/>
          </w:tcPr>
          <w:p w14:paraId="0FAF9F9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-0.0279</w:t>
            </w:r>
          </w:p>
        </w:tc>
        <w:tc>
          <w:tcPr>
            <w:tcW w:w="1393" w:type="dxa"/>
          </w:tcPr>
          <w:p w14:paraId="5F89CEB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0.0283</w:t>
            </w:r>
          </w:p>
        </w:tc>
        <w:tc>
          <w:tcPr>
            <w:tcW w:w="1276" w:type="dxa"/>
          </w:tcPr>
          <w:p w14:paraId="44CC86D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0.0831</w:t>
            </w:r>
          </w:p>
        </w:tc>
      </w:tr>
      <w:tr w:rsidR="00FB736C" w14:paraId="3E1F2E28" w14:textId="77777777" w:rsidTr="00C15CF1">
        <w:trPr>
          <w:jc w:val="center"/>
        </w:trPr>
        <w:tc>
          <w:tcPr>
            <w:tcW w:w="1699" w:type="dxa"/>
            <w:tcBorders>
              <w:left w:val="nil"/>
            </w:tcBorders>
          </w:tcPr>
          <w:p w14:paraId="514D83C7"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25C5599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[0.075]</w:t>
            </w:r>
          </w:p>
        </w:tc>
        <w:tc>
          <w:tcPr>
            <w:tcW w:w="1418" w:type="dxa"/>
            <w:gridSpan w:val="2"/>
          </w:tcPr>
          <w:p w14:paraId="1F0B9A3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[0.118]</w:t>
            </w:r>
          </w:p>
        </w:tc>
        <w:tc>
          <w:tcPr>
            <w:tcW w:w="1393" w:type="dxa"/>
          </w:tcPr>
          <w:p w14:paraId="1B2873C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[0.052]</w:t>
            </w:r>
          </w:p>
        </w:tc>
        <w:tc>
          <w:tcPr>
            <w:tcW w:w="1276" w:type="dxa"/>
          </w:tcPr>
          <w:p w14:paraId="79EE181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[0.087]</w:t>
            </w:r>
          </w:p>
        </w:tc>
      </w:tr>
      <w:tr w:rsidR="00FB736C" w14:paraId="7C07AA87" w14:textId="77777777" w:rsidTr="00C15CF1">
        <w:trPr>
          <w:jc w:val="center"/>
        </w:trPr>
        <w:tc>
          <w:tcPr>
            <w:tcW w:w="1699" w:type="dxa"/>
            <w:tcBorders>
              <w:left w:val="nil"/>
              <w:bottom w:val="nil"/>
              <w:right w:val="nil"/>
            </w:tcBorders>
          </w:tcPr>
          <w:p w14:paraId="4D3A7B7D"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Constant</w:t>
            </w:r>
          </w:p>
        </w:tc>
        <w:tc>
          <w:tcPr>
            <w:tcW w:w="1868" w:type="dxa"/>
            <w:gridSpan w:val="3"/>
            <w:tcBorders>
              <w:left w:val="nil"/>
              <w:bottom w:val="nil"/>
              <w:right w:val="nil"/>
            </w:tcBorders>
          </w:tcPr>
          <w:p w14:paraId="57A044C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0.0311**</w:t>
            </w:r>
          </w:p>
        </w:tc>
        <w:tc>
          <w:tcPr>
            <w:tcW w:w="1418" w:type="dxa"/>
            <w:gridSpan w:val="2"/>
            <w:tcBorders>
              <w:left w:val="nil"/>
              <w:bottom w:val="nil"/>
              <w:right w:val="nil"/>
            </w:tcBorders>
          </w:tcPr>
          <w:p w14:paraId="3A7B3C0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0.0246</w:t>
            </w:r>
          </w:p>
        </w:tc>
        <w:tc>
          <w:tcPr>
            <w:tcW w:w="1393" w:type="dxa"/>
            <w:tcBorders>
              <w:left w:val="nil"/>
              <w:bottom w:val="nil"/>
              <w:right w:val="nil"/>
            </w:tcBorders>
          </w:tcPr>
          <w:p w14:paraId="24BA485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0.6889***</w:t>
            </w:r>
          </w:p>
        </w:tc>
        <w:tc>
          <w:tcPr>
            <w:tcW w:w="1276" w:type="dxa"/>
            <w:tcBorders>
              <w:left w:val="nil"/>
              <w:bottom w:val="nil"/>
              <w:right w:val="nil"/>
            </w:tcBorders>
          </w:tcPr>
          <w:p w14:paraId="1976C24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0.6748***</w:t>
            </w:r>
          </w:p>
        </w:tc>
      </w:tr>
      <w:tr w:rsidR="00FB736C" w14:paraId="4D332F5E" w14:textId="77777777" w:rsidTr="00C15CF1">
        <w:trPr>
          <w:jc w:val="center"/>
        </w:trPr>
        <w:tc>
          <w:tcPr>
            <w:tcW w:w="1699" w:type="dxa"/>
            <w:tcBorders>
              <w:top w:val="nil"/>
              <w:left w:val="nil"/>
              <w:bottom w:val="single" w:sz="4" w:space="0" w:color="auto"/>
              <w:right w:val="nil"/>
            </w:tcBorders>
          </w:tcPr>
          <w:p w14:paraId="4D25F899"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Borders>
              <w:top w:val="nil"/>
              <w:left w:val="nil"/>
              <w:bottom w:val="single" w:sz="4" w:space="0" w:color="auto"/>
              <w:right w:val="nil"/>
            </w:tcBorders>
          </w:tcPr>
          <w:p w14:paraId="44BEF3A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[0.015]</w:t>
            </w:r>
          </w:p>
        </w:tc>
        <w:tc>
          <w:tcPr>
            <w:tcW w:w="1418" w:type="dxa"/>
            <w:gridSpan w:val="2"/>
            <w:tcBorders>
              <w:top w:val="nil"/>
              <w:left w:val="nil"/>
              <w:bottom w:val="single" w:sz="4" w:space="0" w:color="auto"/>
              <w:right w:val="nil"/>
            </w:tcBorders>
          </w:tcPr>
          <w:p w14:paraId="6C9620F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[0.024]</w:t>
            </w:r>
          </w:p>
        </w:tc>
        <w:tc>
          <w:tcPr>
            <w:tcW w:w="1393" w:type="dxa"/>
            <w:tcBorders>
              <w:top w:val="nil"/>
              <w:left w:val="nil"/>
              <w:bottom w:val="single" w:sz="4" w:space="0" w:color="auto"/>
              <w:right w:val="nil"/>
            </w:tcBorders>
          </w:tcPr>
          <w:p w14:paraId="567C632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w:t>
            </w:r>
          </w:p>
        </w:tc>
        <w:tc>
          <w:tcPr>
            <w:tcW w:w="1276" w:type="dxa"/>
            <w:tcBorders>
              <w:top w:val="nil"/>
              <w:left w:val="nil"/>
              <w:bottom w:val="single" w:sz="4" w:space="0" w:color="auto"/>
              <w:right w:val="nil"/>
            </w:tcBorders>
          </w:tcPr>
          <w:p w14:paraId="7CF48F8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[0.021]</w:t>
            </w:r>
          </w:p>
        </w:tc>
      </w:tr>
      <w:tr w:rsidR="00FB736C" w14:paraId="3B6DCE5D" w14:textId="77777777" w:rsidTr="00C15CF1">
        <w:trPr>
          <w:jc w:val="center"/>
        </w:trPr>
        <w:tc>
          <w:tcPr>
            <w:tcW w:w="1983" w:type="dxa"/>
            <w:gridSpan w:val="2"/>
            <w:tcBorders>
              <w:top w:val="single" w:sz="4" w:space="0" w:color="auto"/>
              <w:left w:val="nil"/>
            </w:tcBorders>
          </w:tcPr>
          <w:p w14:paraId="3FAD16C5"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1584" w:type="dxa"/>
            <w:gridSpan w:val="2"/>
            <w:tcBorders>
              <w:top w:val="single" w:sz="4" w:space="0" w:color="auto"/>
            </w:tcBorders>
          </w:tcPr>
          <w:p w14:paraId="6E4F5370" w14:textId="77777777" w:rsidR="00FB736C" w:rsidRPr="00305EB4"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sidRPr="0088731F">
              <w:rPr>
                <w:rFonts w:ascii="Times New Roman" w:hAnsi="Times New Roman" w:cs="Times New Roman"/>
              </w:rPr>
              <w:t>12,371</w:t>
            </w:r>
          </w:p>
        </w:tc>
        <w:tc>
          <w:tcPr>
            <w:tcW w:w="1418" w:type="dxa"/>
            <w:gridSpan w:val="2"/>
            <w:tcBorders>
              <w:top w:val="single" w:sz="4" w:space="0" w:color="auto"/>
            </w:tcBorders>
          </w:tcPr>
          <w:p w14:paraId="7440E1A7"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sidRPr="0088731F">
              <w:rPr>
                <w:rFonts w:ascii="Times New Roman" w:hAnsi="Times New Roman" w:cs="Times New Roman"/>
              </w:rPr>
              <w:t>6,228</w:t>
            </w:r>
          </w:p>
        </w:tc>
        <w:tc>
          <w:tcPr>
            <w:tcW w:w="1393" w:type="dxa"/>
            <w:tcBorders>
              <w:top w:val="single" w:sz="4" w:space="0" w:color="auto"/>
            </w:tcBorders>
          </w:tcPr>
          <w:p w14:paraId="781DA825"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sidRPr="0088731F">
              <w:rPr>
                <w:rFonts w:ascii="Times New Roman" w:hAnsi="Times New Roman" w:cs="Times New Roman"/>
              </w:rPr>
              <w:t>12,371</w:t>
            </w:r>
          </w:p>
        </w:tc>
        <w:tc>
          <w:tcPr>
            <w:tcW w:w="1276" w:type="dxa"/>
            <w:tcBorders>
              <w:top w:val="single" w:sz="4" w:space="0" w:color="auto"/>
            </w:tcBorders>
          </w:tcPr>
          <w:p w14:paraId="24C8839C"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sidRPr="0088731F">
              <w:rPr>
                <w:rFonts w:ascii="Times New Roman" w:hAnsi="Times New Roman" w:cs="Times New Roman"/>
              </w:rPr>
              <w:t>6,228</w:t>
            </w:r>
          </w:p>
        </w:tc>
      </w:tr>
      <w:tr w:rsidR="00FB736C" w14:paraId="42BAB7D4" w14:textId="77777777" w:rsidTr="00C15CF1">
        <w:trPr>
          <w:jc w:val="center"/>
        </w:trPr>
        <w:tc>
          <w:tcPr>
            <w:tcW w:w="1983" w:type="dxa"/>
            <w:gridSpan w:val="2"/>
            <w:vAlign w:val="center"/>
          </w:tcPr>
          <w:p w14:paraId="7E92A5B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R-squared (within)</w:t>
            </w:r>
          </w:p>
        </w:tc>
        <w:tc>
          <w:tcPr>
            <w:tcW w:w="1559" w:type="dxa"/>
          </w:tcPr>
          <w:p w14:paraId="5AEB6452" w14:textId="77777777" w:rsidR="00FB736C" w:rsidRPr="00C23B50" w:rsidRDefault="00FB736C" w:rsidP="00C15CF1">
            <w:pPr>
              <w:widowControl w:val="0"/>
              <w:autoSpaceDE w:val="0"/>
              <w:autoSpaceDN w:val="0"/>
              <w:adjustRightInd w:val="0"/>
              <w:spacing w:after="0" w:line="240" w:lineRule="auto"/>
              <w:ind w:left="-216" w:firstLine="216"/>
              <w:rPr>
                <w:rFonts w:ascii="Times New Roman" w:hAnsi="Times New Roman" w:cs="Times New Roman"/>
              </w:rPr>
            </w:pPr>
            <w:r>
              <w:rPr>
                <w:rFonts w:ascii="Times New Roman" w:hAnsi="Times New Roman" w:cs="Times New Roman"/>
              </w:rPr>
              <w:t xml:space="preserve">         </w:t>
            </w:r>
            <w:r w:rsidRPr="00C23B50">
              <w:rPr>
                <w:rFonts w:ascii="Times New Roman" w:hAnsi="Times New Roman" w:cs="Times New Roman"/>
              </w:rPr>
              <w:t>0.140</w:t>
            </w:r>
          </w:p>
        </w:tc>
        <w:tc>
          <w:tcPr>
            <w:tcW w:w="1418" w:type="dxa"/>
            <w:gridSpan w:val="2"/>
          </w:tcPr>
          <w:p w14:paraId="137482B8" w14:textId="77777777" w:rsidR="00FB736C" w:rsidRPr="00C23B50"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sidRPr="00C23B50">
              <w:rPr>
                <w:rFonts w:ascii="Times New Roman" w:hAnsi="Times New Roman" w:cs="Times New Roman"/>
              </w:rPr>
              <w:t>0.124</w:t>
            </w:r>
          </w:p>
        </w:tc>
        <w:tc>
          <w:tcPr>
            <w:tcW w:w="1418" w:type="dxa"/>
            <w:gridSpan w:val="2"/>
          </w:tcPr>
          <w:p w14:paraId="77C79A04" w14:textId="77777777" w:rsidR="00FB736C" w:rsidRPr="00C23B50"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sidRPr="00C23B50">
              <w:rPr>
                <w:rFonts w:ascii="Times New Roman" w:hAnsi="Times New Roman" w:cs="Times New Roman"/>
              </w:rPr>
              <w:t>0.666</w:t>
            </w:r>
          </w:p>
        </w:tc>
        <w:tc>
          <w:tcPr>
            <w:tcW w:w="1276" w:type="dxa"/>
          </w:tcPr>
          <w:p w14:paraId="3F6C8F1A" w14:textId="77777777" w:rsidR="00FB736C" w:rsidRPr="00C23B50"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sidRPr="00C23B50">
              <w:rPr>
                <w:rFonts w:ascii="Times New Roman" w:hAnsi="Times New Roman" w:cs="Times New Roman"/>
              </w:rPr>
              <w:t>0.608</w:t>
            </w:r>
          </w:p>
        </w:tc>
      </w:tr>
      <w:tr w:rsidR="00FB736C" w14:paraId="40D64CCE" w14:textId="77777777" w:rsidTr="00C15CF1">
        <w:trPr>
          <w:jc w:val="center"/>
        </w:trPr>
        <w:tc>
          <w:tcPr>
            <w:tcW w:w="1983" w:type="dxa"/>
            <w:gridSpan w:val="2"/>
            <w:tcBorders>
              <w:left w:val="nil"/>
            </w:tcBorders>
          </w:tcPr>
          <w:p w14:paraId="102B22A0"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Bank Dummy</w:t>
            </w:r>
          </w:p>
        </w:tc>
        <w:tc>
          <w:tcPr>
            <w:tcW w:w="1584" w:type="dxa"/>
            <w:gridSpan w:val="2"/>
          </w:tcPr>
          <w:p w14:paraId="61DC0919" w14:textId="77777777" w:rsidR="00FB736C" w:rsidRPr="00305EB4"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sidRPr="00305EB4">
              <w:rPr>
                <w:rFonts w:ascii="Times New Roman" w:hAnsi="Times New Roman" w:cs="Times New Roman"/>
              </w:rPr>
              <w:t>YES</w:t>
            </w:r>
          </w:p>
        </w:tc>
        <w:tc>
          <w:tcPr>
            <w:tcW w:w="1418" w:type="dxa"/>
            <w:gridSpan w:val="2"/>
          </w:tcPr>
          <w:p w14:paraId="5155EE08"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sidRPr="00305EB4">
              <w:rPr>
                <w:rFonts w:ascii="Times New Roman" w:hAnsi="Times New Roman" w:cs="Times New Roman"/>
              </w:rPr>
              <w:t>YES</w:t>
            </w:r>
          </w:p>
        </w:tc>
        <w:tc>
          <w:tcPr>
            <w:tcW w:w="1393" w:type="dxa"/>
          </w:tcPr>
          <w:p w14:paraId="68997C99"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sidRPr="00305EB4">
              <w:rPr>
                <w:rFonts w:ascii="Times New Roman" w:hAnsi="Times New Roman" w:cs="Times New Roman"/>
              </w:rPr>
              <w:t>YES</w:t>
            </w:r>
          </w:p>
        </w:tc>
        <w:tc>
          <w:tcPr>
            <w:tcW w:w="1276" w:type="dxa"/>
          </w:tcPr>
          <w:p w14:paraId="634DF5A9"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sidRPr="00305EB4">
              <w:rPr>
                <w:rFonts w:ascii="Times New Roman" w:hAnsi="Times New Roman" w:cs="Times New Roman"/>
              </w:rPr>
              <w:t>YES</w:t>
            </w:r>
          </w:p>
        </w:tc>
      </w:tr>
      <w:tr w:rsidR="00FB736C" w14:paraId="07D8DB54" w14:textId="77777777" w:rsidTr="00C15CF1">
        <w:tblPrEx>
          <w:tblBorders>
            <w:bottom w:val="single" w:sz="6" w:space="0" w:color="auto"/>
          </w:tblBorders>
        </w:tblPrEx>
        <w:trPr>
          <w:jc w:val="center"/>
        </w:trPr>
        <w:tc>
          <w:tcPr>
            <w:tcW w:w="1983" w:type="dxa"/>
            <w:gridSpan w:val="2"/>
            <w:tcBorders>
              <w:top w:val="nil"/>
              <w:left w:val="nil"/>
              <w:bottom w:val="single" w:sz="4" w:space="0" w:color="auto"/>
              <w:right w:val="nil"/>
            </w:tcBorders>
          </w:tcPr>
          <w:p w14:paraId="784D50B3"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 Dummy</w:t>
            </w:r>
          </w:p>
        </w:tc>
        <w:tc>
          <w:tcPr>
            <w:tcW w:w="1584" w:type="dxa"/>
            <w:gridSpan w:val="2"/>
            <w:tcBorders>
              <w:top w:val="nil"/>
              <w:left w:val="nil"/>
              <w:bottom w:val="single" w:sz="4" w:space="0" w:color="auto"/>
              <w:right w:val="nil"/>
            </w:tcBorders>
          </w:tcPr>
          <w:p w14:paraId="491DE960" w14:textId="77777777" w:rsidR="00FB736C" w:rsidRPr="00305EB4"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sidRPr="00305EB4">
              <w:rPr>
                <w:rFonts w:ascii="Times New Roman" w:hAnsi="Times New Roman" w:cs="Times New Roman"/>
              </w:rPr>
              <w:t>YES</w:t>
            </w:r>
          </w:p>
        </w:tc>
        <w:tc>
          <w:tcPr>
            <w:tcW w:w="1418" w:type="dxa"/>
            <w:gridSpan w:val="2"/>
            <w:tcBorders>
              <w:top w:val="nil"/>
              <w:left w:val="nil"/>
              <w:bottom w:val="single" w:sz="4" w:space="0" w:color="auto"/>
              <w:right w:val="nil"/>
            </w:tcBorders>
          </w:tcPr>
          <w:p w14:paraId="1B8ED594"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sidRPr="00305EB4">
              <w:rPr>
                <w:rFonts w:ascii="Times New Roman" w:hAnsi="Times New Roman" w:cs="Times New Roman"/>
              </w:rPr>
              <w:t>YES</w:t>
            </w:r>
          </w:p>
        </w:tc>
        <w:tc>
          <w:tcPr>
            <w:tcW w:w="1393" w:type="dxa"/>
            <w:tcBorders>
              <w:top w:val="nil"/>
              <w:left w:val="nil"/>
              <w:bottom w:val="single" w:sz="4" w:space="0" w:color="auto"/>
              <w:right w:val="nil"/>
            </w:tcBorders>
          </w:tcPr>
          <w:p w14:paraId="51A4501A"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sidRPr="00305EB4">
              <w:rPr>
                <w:rFonts w:ascii="Times New Roman" w:hAnsi="Times New Roman" w:cs="Times New Roman"/>
              </w:rPr>
              <w:t>YES</w:t>
            </w:r>
          </w:p>
        </w:tc>
        <w:tc>
          <w:tcPr>
            <w:tcW w:w="1276" w:type="dxa"/>
            <w:tcBorders>
              <w:top w:val="nil"/>
              <w:left w:val="nil"/>
              <w:bottom w:val="single" w:sz="4" w:space="0" w:color="auto"/>
              <w:right w:val="nil"/>
            </w:tcBorders>
          </w:tcPr>
          <w:p w14:paraId="27A1DE46"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sidRPr="00305EB4">
              <w:rPr>
                <w:rFonts w:ascii="Times New Roman" w:hAnsi="Times New Roman" w:cs="Times New Roman"/>
              </w:rPr>
              <w:t>YES</w:t>
            </w:r>
          </w:p>
        </w:tc>
      </w:tr>
      <w:tr w:rsidR="00FB736C" w14:paraId="02ECCE05" w14:textId="77777777" w:rsidTr="00C15CF1">
        <w:tblPrEx>
          <w:tblBorders>
            <w:bottom w:val="single" w:sz="6" w:space="0" w:color="auto"/>
          </w:tblBorders>
        </w:tblPrEx>
        <w:trPr>
          <w:jc w:val="center"/>
        </w:trPr>
        <w:tc>
          <w:tcPr>
            <w:tcW w:w="1699" w:type="dxa"/>
            <w:tcBorders>
              <w:top w:val="single" w:sz="4" w:space="0" w:color="auto"/>
              <w:left w:val="nil"/>
              <w:bottom w:val="nil"/>
              <w:right w:val="nil"/>
            </w:tcBorders>
          </w:tcPr>
          <w:p w14:paraId="2562EC53"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Borders>
              <w:top w:val="single" w:sz="4" w:space="0" w:color="auto"/>
              <w:left w:val="nil"/>
              <w:bottom w:val="nil"/>
              <w:right w:val="nil"/>
            </w:tcBorders>
          </w:tcPr>
          <w:p w14:paraId="5F10F894" w14:textId="77777777" w:rsidR="00FB736C" w:rsidRPr="00601B90"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p>
        </w:tc>
        <w:tc>
          <w:tcPr>
            <w:tcW w:w="1418" w:type="dxa"/>
            <w:gridSpan w:val="2"/>
            <w:tcBorders>
              <w:top w:val="single" w:sz="4" w:space="0" w:color="auto"/>
              <w:left w:val="nil"/>
              <w:bottom w:val="nil"/>
              <w:right w:val="nil"/>
            </w:tcBorders>
          </w:tcPr>
          <w:p w14:paraId="291D2A19" w14:textId="77777777" w:rsidR="00FB736C" w:rsidRPr="00601B90"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393" w:type="dxa"/>
            <w:tcBorders>
              <w:top w:val="single" w:sz="4" w:space="0" w:color="auto"/>
              <w:left w:val="nil"/>
              <w:bottom w:val="nil"/>
              <w:right w:val="nil"/>
            </w:tcBorders>
          </w:tcPr>
          <w:p w14:paraId="5EE4BCE0" w14:textId="77777777" w:rsidR="00FB736C" w:rsidRPr="00601B90"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auto"/>
              <w:left w:val="nil"/>
              <w:bottom w:val="nil"/>
              <w:right w:val="nil"/>
            </w:tcBorders>
          </w:tcPr>
          <w:p w14:paraId="082EB545" w14:textId="77777777" w:rsidR="00FB736C" w:rsidRPr="00601B90" w:rsidRDefault="00FB736C" w:rsidP="00C15CF1">
            <w:pPr>
              <w:widowControl w:val="0"/>
              <w:autoSpaceDE w:val="0"/>
              <w:autoSpaceDN w:val="0"/>
              <w:adjustRightInd w:val="0"/>
              <w:spacing w:after="0" w:line="240" w:lineRule="auto"/>
              <w:jc w:val="center"/>
              <w:rPr>
                <w:rFonts w:ascii="Times New Roman" w:hAnsi="Times New Roman" w:cs="Times New Roman"/>
              </w:rPr>
            </w:pPr>
          </w:p>
        </w:tc>
      </w:tr>
    </w:tbl>
    <w:p w14:paraId="51A840E6" w14:textId="77777777" w:rsidR="00FB736C" w:rsidRPr="00EE2FE3" w:rsidRDefault="00FB736C" w:rsidP="00FB736C">
      <w:pPr>
        <w:ind w:left="-567" w:right="-613"/>
        <w:jc w:val="both"/>
        <w:rPr>
          <w:rFonts w:ascii="Times New Roman" w:hAnsi="Times New Roman" w:cs="Times New Roman"/>
          <w:lang w:val="en-GB" w:eastAsia="en-US"/>
        </w:rPr>
      </w:pPr>
      <w:r w:rsidRPr="008E0458">
        <w:rPr>
          <w:rFonts w:asciiTheme="majorBidi" w:hAnsiTheme="majorBidi" w:cstheme="majorBidi"/>
          <w:b/>
          <w:bCs/>
          <w:noProof/>
          <w:lang w:val="en-GB"/>
        </w:rPr>
        <w:t xml:space="preserve">Note: </w:t>
      </w:r>
      <w:r w:rsidRPr="008E0458">
        <w:rPr>
          <w:rFonts w:ascii="Times New Roman" w:hAnsi="Times New Roman" w:cs="Times New Roman"/>
          <w:lang w:val="en-GB" w:eastAsia="en-US"/>
        </w:rPr>
        <w:t>The Table reports the coefficient est</w:t>
      </w:r>
      <w:r>
        <w:rPr>
          <w:rFonts w:ascii="Times New Roman" w:hAnsi="Times New Roman" w:cs="Times New Roman"/>
          <w:lang w:val="en-GB" w:eastAsia="en-US"/>
        </w:rPr>
        <w:t>imates from equation 1</w:t>
      </w:r>
      <w:r w:rsidRPr="008E0458">
        <w:rPr>
          <w:rFonts w:ascii="Times New Roman" w:hAnsi="Times New Roman" w:cs="Times New Roman"/>
          <w:lang w:val="en-GB" w:eastAsia="en-US"/>
        </w:rPr>
        <w:t xml:space="preserve">. </w:t>
      </w:r>
      <m:oMath>
        <m:r>
          <m:rPr>
            <m:sty m:val="p"/>
          </m:rPr>
          <w:rPr>
            <w:rFonts w:ascii="Cambria Math" w:hAnsi="Cambria Math" w:cs="Times New Roman"/>
            <w:sz w:val="24"/>
            <w:szCs w:val="24"/>
          </w:rPr>
          <m:t>Δ</m:t>
        </m:r>
      </m:oMath>
      <w:r>
        <w:rPr>
          <w:rFonts w:ascii="Times New Roman" w:hAnsi="Times New Roman" w:cs="Times New Roman"/>
          <w:lang w:val="en-GB" w:eastAsia="en-US"/>
        </w:rPr>
        <w:t xml:space="preserve">lnLoans is the change of loans (expressed in logarithm) from t and t-1. </w:t>
      </w:r>
      <w:r w:rsidRPr="008E0458">
        <w:rPr>
          <w:rFonts w:asciiTheme="majorBidi" w:eastAsia="Times New Roman" w:hAnsiTheme="majorBidi" w:cstheme="majorBidi"/>
          <w:i/>
          <w:iCs/>
          <w:color w:val="000000"/>
          <w:lang w:val="en-GB"/>
        </w:rPr>
        <w:t>LE</w:t>
      </w:r>
      <w:r>
        <w:rPr>
          <w:rFonts w:asciiTheme="majorBidi" w:eastAsia="Times New Roman" w:hAnsiTheme="majorBidi" w:cstheme="majorBidi"/>
          <w:i/>
          <w:iCs/>
          <w:color w:val="000000"/>
          <w:sz w:val="14"/>
          <w:szCs w:val="14"/>
          <w:lang w:val="en-GB"/>
        </w:rPr>
        <w:t>L</w:t>
      </w:r>
      <w:r w:rsidRPr="008E0458">
        <w:rPr>
          <w:rFonts w:asciiTheme="majorBidi" w:eastAsia="Times New Roman" w:hAnsiTheme="majorBidi" w:cstheme="majorBidi"/>
          <w:i/>
          <w:iCs/>
          <w:color w:val="000000"/>
          <w:sz w:val="14"/>
          <w:szCs w:val="14"/>
          <w:lang w:val="en-GB"/>
        </w:rPr>
        <w:t xml:space="preserve">, </w:t>
      </w:r>
      <w:r w:rsidRPr="008E0458">
        <w:rPr>
          <w:rFonts w:ascii="Times New Roman" w:hAnsi="Times New Roman" w:cs="Times New Roman"/>
          <w:lang w:val="en-GB" w:eastAsia="en-US"/>
        </w:rPr>
        <w:t xml:space="preserve">Lerner Index for </w:t>
      </w:r>
      <w:r>
        <w:rPr>
          <w:rFonts w:ascii="Times New Roman" w:hAnsi="Times New Roman" w:cs="Times New Roman"/>
          <w:lang w:val="en-GB" w:eastAsia="en-US"/>
        </w:rPr>
        <w:t>loans</w:t>
      </w:r>
      <w:r w:rsidRPr="008E0458">
        <w:rPr>
          <w:rFonts w:ascii="Times New Roman" w:hAnsi="Times New Roman" w:cs="Times New Roman"/>
          <w:lang w:val="en-GB" w:eastAsia="en-US"/>
        </w:rPr>
        <w:t xml:space="preserve">. All explanatory variables enter the regressions with a one year lag. GD is geographic diversification calculated with the Berry Index; </w:t>
      </w:r>
      <w:r>
        <w:rPr>
          <w:rFonts w:ascii="Times New Roman" w:hAnsi="Times New Roman" w:cs="Times New Roman"/>
          <w:lang w:val="en-GB" w:eastAsia="en-US"/>
        </w:rPr>
        <w:t>DISTANCE</w:t>
      </w:r>
      <w:r w:rsidRPr="008E0458">
        <w:rPr>
          <w:rFonts w:ascii="Times New Roman" w:hAnsi="Times New Roman" w:cs="Times New Roman"/>
          <w:lang w:val="en-GB" w:eastAsia="en-US"/>
        </w:rPr>
        <w:t xml:space="preserve"> is the </w:t>
      </w:r>
      <w:r>
        <w:rPr>
          <w:rFonts w:ascii="Times New Roman" w:hAnsi="Times New Roman" w:cs="Times New Roman"/>
          <w:lang w:val="en-GB" w:eastAsia="en-US"/>
        </w:rPr>
        <w:t xml:space="preserve">weighted </w:t>
      </w:r>
      <w:r w:rsidRPr="008E0458">
        <w:rPr>
          <w:rFonts w:ascii="Times New Roman" w:hAnsi="Times New Roman" w:cs="Times New Roman"/>
          <w:lang w:val="en-GB" w:eastAsia="en-US"/>
        </w:rPr>
        <w:t>distance between the headquarter and the branches; MC</w:t>
      </w:r>
      <w:r>
        <w:rPr>
          <w:rFonts w:ascii="Times New Roman" w:hAnsi="Times New Roman" w:cs="Times New Roman"/>
          <w:lang w:val="en-GB" w:eastAsia="en-US"/>
        </w:rPr>
        <w:t>w</w:t>
      </w:r>
      <w:r w:rsidRPr="008E0458">
        <w:rPr>
          <w:rFonts w:ascii="Times New Roman" w:hAnsi="Times New Roman" w:cs="Times New Roman"/>
          <w:lang w:val="en-GB" w:eastAsia="en-US"/>
        </w:rPr>
        <w:t xml:space="preserve"> is the</w:t>
      </w:r>
      <w:r>
        <w:rPr>
          <w:rFonts w:ascii="Times New Roman" w:hAnsi="Times New Roman" w:cs="Times New Roman"/>
          <w:lang w:val="en-GB" w:eastAsia="en-US"/>
        </w:rPr>
        <w:t xml:space="preserve"> weighted</w:t>
      </w:r>
      <w:r w:rsidRPr="008E0458">
        <w:rPr>
          <w:rFonts w:ascii="Times New Roman" w:hAnsi="Times New Roman" w:cs="Times New Roman"/>
          <w:lang w:val="en-GB" w:eastAsia="en-US"/>
        </w:rPr>
        <w:t xml:space="preserve"> market coverage; </w:t>
      </w:r>
      <w:r w:rsidRPr="00BD18D8">
        <w:rPr>
          <w:rFonts w:ascii="Times New Roman" w:hAnsi="Times New Roman" w:cs="Times New Roman"/>
          <w:lang w:val="en-GB" w:eastAsia="en-US"/>
        </w:rPr>
        <w:t>NPLs is the amount of non-performing loans; EQTA is equity over total assets;</w:t>
      </w:r>
      <w:r>
        <w:rPr>
          <w:rFonts w:ascii="Times New Roman" w:hAnsi="Times New Roman" w:cs="Times New Roman"/>
          <w:lang w:val="en-GB" w:eastAsia="en-US"/>
        </w:rPr>
        <w:t xml:space="preserve"> </w:t>
      </w:r>
      <w:r w:rsidRPr="008E0458">
        <w:rPr>
          <w:rFonts w:ascii="Times New Roman" w:hAnsi="Times New Roman" w:cs="Times New Roman"/>
          <w:lang w:val="en-GB" w:eastAsia="en-US"/>
        </w:rPr>
        <w:t>ENTRY is the net number of new branches over total branches in each province; HHI</w:t>
      </w:r>
      <w:r>
        <w:rPr>
          <w:rFonts w:ascii="Times New Roman" w:hAnsi="Times New Roman" w:cs="Times New Roman"/>
          <w:lang w:val="en-GB" w:eastAsia="en-US"/>
        </w:rPr>
        <w:t>w</w:t>
      </w:r>
      <w:r w:rsidRPr="008E0458">
        <w:rPr>
          <w:rFonts w:ascii="Times New Roman" w:hAnsi="Times New Roman" w:cs="Times New Roman"/>
          <w:lang w:val="en-GB" w:eastAsia="en-US"/>
        </w:rPr>
        <w:t xml:space="preserve"> is the </w:t>
      </w:r>
      <w:r>
        <w:rPr>
          <w:rFonts w:ascii="Times New Roman" w:hAnsi="Times New Roman" w:cs="Times New Roman"/>
          <w:lang w:val="en-GB" w:eastAsia="en-US"/>
        </w:rPr>
        <w:t xml:space="preserve">weighed </w:t>
      </w:r>
      <w:r w:rsidRPr="008E0458">
        <w:rPr>
          <w:rFonts w:ascii="Times New Roman" w:hAnsi="Times New Roman" w:cs="Times New Roman"/>
          <w:lang w:val="en-GB" w:eastAsia="en-US"/>
        </w:rPr>
        <w:t xml:space="preserve">concentration of branches </w:t>
      </w:r>
      <w:r>
        <w:rPr>
          <w:rFonts w:ascii="Times New Roman" w:hAnsi="Times New Roman" w:cs="Times New Roman"/>
          <w:lang w:val="en-GB" w:eastAsia="en-US"/>
        </w:rPr>
        <w:t>in each province;</w:t>
      </w:r>
      <w:r w:rsidRPr="001B7C04">
        <w:rPr>
          <w:rFonts w:ascii="Times New Roman" w:hAnsi="Times New Roman" w:cs="Times New Roman"/>
          <w:lang w:val="en-GB" w:eastAsia="en-US"/>
        </w:rPr>
        <w:t xml:space="preserve"> </w:t>
      </w:r>
      <w:r w:rsidRPr="00BD18D8">
        <w:rPr>
          <w:rFonts w:ascii="Times New Roman" w:hAnsi="Times New Roman" w:cs="Times New Roman"/>
          <w:lang w:val="en-GB" w:eastAsia="en-US"/>
        </w:rPr>
        <w:t xml:space="preserve">Standard errors are clustered by bank ID.  </w:t>
      </w:r>
      <w:r w:rsidRPr="006540FE">
        <w:rPr>
          <w:rFonts w:ascii="Times New Roman" w:hAnsi="Times New Roman" w:cs="Times New Roman"/>
          <w:lang w:val="en-US"/>
        </w:rPr>
        <w:t xml:space="preserve">** </w:t>
      </w:r>
      <w:r w:rsidRPr="006540FE">
        <w:rPr>
          <w:rFonts w:ascii="Times New Roman" w:hAnsi="Times New Roman" w:cs="Times New Roman"/>
          <w:i/>
          <w:lang w:val="en-US"/>
        </w:rPr>
        <w:t>p</w:t>
      </w:r>
      <w:r w:rsidRPr="006540FE">
        <w:rPr>
          <w:rFonts w:ascii="Times New Roman" w:hAnsi="Times New Roman" w:cs="Times New Roman"/>
          <w:lang w:val="en-US"/>
        </w:rPr>
        <w:t xml:space="preserve">&lt;.05, *** </w:t>
      </w:r>
      <w:r w:rsidRPr="006540FE">
        <w:rPr>
          <w:rFonts w:ascii="Times New Roman" w:hAnsi="Times New Roman" w:cs="Times New Roman"/>
          <w:i/>
          <w:lang w:val="en-US"/>
        </w:rPr>
        <w:t>p</w:t>
      </w:r>
      <w:r w:rsidRPr="006540FE">
        <w:rPr>
          <w:rFonts w:ascii="Times New Roman" w:hAnsi="Times New Roman" w:cs="Times New Roman"/>
          <w:lang w:val="en-US"/>
        </w:rPr>
        <w:t>&lt;.01</w:t>
      </w:r>
      <w:r>
        <w:rPr>
          <w:rFonts w:ascii="Times New Roman" w:hAnsi="Times New Roman" w:cs="Times New Roman"/>
          <w:lang w:val="en-US"/>
        </w:rPr>
        <w:t>. Specifications I includes all banks, while specification II includes only banks with large branches.</w:t>
      </w:r>
    </w:p>
    <w:p w14:paraId="3ECEA268" w14:textId="77777777" w:rsidR="00FB736C" w:rsidRDefault="00FB736C" w:rsidP="00FB736C">
      <w:pPr>
        <w:jc w:val="both"/>
        <w:rPr>
          <w:rFonts w:asciiTheme="majorBidi" w:hAnsiTheme="majorBidi" w:cstheme="majorBidi"/>
          <w:b/>
          <w:bCs/>
          <w:i/>
          <w:iCs/>
          <w:sz w:val="24"/>
          <w:szCs w:val="24"/>
          <w:lang w:val="en-GB"/>
        </w:rPr>
      </w:pPr>
    </w:p>
    <w:p w14:paraId="18393B03" w14:textId="77777777" w:rsidR="00FB736C" w:rsidRDefault="00FB736C" w:rsidP="00FB736C">
      <w:pPr>
        <w:jc w:val="both"/>
        <w:rPr>
          <w:rFonts w:asciiTheme="majorBidi" w:hAnsiTheme="majorBidi" w:cstheme="majorBidi"/>
          <w:b/>
          <w:bCs/>
          <w:i/>
          <w:iCs/>
          <w:sz w:val="24"/>
          <w:szCs w:val="24"/>
          <w:lang w:val="en-GB"/>
        </w:rPr>
      </w:pPr>
    </w:p>
    <w:p w14:paraId="6699A3A6" w14:textId="77777777" w:rsidR="00FB736C" w:rsidRDefault="00FB736C" w:rsidP="00FB736C">
      <w:pPr>
        <w:jc w:val="both"/>
        <w:rPr>
          <w:rFonts w:asciiTheme="majorBidi" w:hAnsiTheme="majorBidi" w:cstheme="majorBidi"/>
          <w:b/>
          <w:bCs/>
          <w:i/>
          <w:iCs/>
          <w:sz w:val="24"/>
          <w:szCs w:val="24"/>
          <w:lang w:val="en-GB"/>
        </w:rPr>
      </w:pPr>
    </w:p>
    <w:p w14:paraId="2F281509" w14:textId="77777777" w:rsidR="00FB736C" w:rsidRDefault="00FB736C" w:rsidP="00FB736C">
      <w:pPr>
        <w:jc w:val="both"/>
        <w:rPr>
          <w:rFonts w:asciiTheme="majorBidi" w:hAnsiTheme="majorBidi" w:cstheme="majorBidi"/>
          <w:b/>
          <w:bCs/>
          <w:i/>
          <w:iCs/>
          <w:sz w:val="24"/>
          <w:szCs w:val="24"/>
          <w:lang w:val="en-GB"/>
        </w:rPr>
      </w:pPr>
    </w:p>
    <w:p w14:paraId="2FBBCC2B" w14:textId="77777777" w:rsidR="00FB736C" w:rsidRDefault="00FB736C" w:rsidP="00FB736C">
      <w:pPr>
        <w:jc w:val="both"/>
        <w:rPr>
          <w:rFonts w:asciiTheme="majorBidi" w:hAnsiTheme="majorBidi" w:cstheme="majorBidi"/>
          <w:b/>
          <w:bCs/>
          <w:i/>
          <w:iCs/>
          <w:sz w:val="24"/>
          <w:szCs w:val="24"/>
          <w:lang w:val="en-GB"/>
        </w:rPr>
      </w:pPr>
    </w:p>
    <w:p w14:paraId="5294558D" w14:textId="77777777" w:rsidR="00FB736C" w:rsidRDefault="00FB736C" w:rsidP="00FB736C">
      <w:pPr>
        <w:jc w:val="both"/>
        <w:rPr>
          <w:rFonts w:asciiTheme="majorBidi" w:hAnsiTheme="majorBidi" w:cstheme="majorBidi"/>
          <w:b/>
          <w:bCs/>
          <w:i/>
          <w:iCs/>
          <w:sz w:val="24"/>
          <w:szCs w:val="24"/>
          <w:lang w:val="en-GB"/>
        </w:rPr>
      </w:pPr>
    </w:p>
    <w:p w14:paraId="1FA2EA73" w14:textId="77777777" w:rsidR="00FB736C" w:rsidRDefault="00FB736C" w:rsidP="00FB736C">
      <w:pPr>
        <w:jc w:val="both"/>
        <w:rPr>
          <w:rFonts w:asciiTheme="majorBidi" w:hAnsiTheme="majorBidi" w:cstheme="majorBidi"/>
          <w:b/>
          <w:bCs/>
          <w:i/>
          <w:iCs/>
          <w:sz w:val="24"/>
          <w:szCs w:val="24"/>
          <w:lang w:val="en-GB"/>
        </w:rPr>
      </w:pPr>
    </w:p>
    <w:p w14:paraId="48090AA7" w14:textId="77777777" w:rsidR="00FB736C" w:rsidRPr="005D7567" w:rsidRDefault="00FB736C" w:rsidP="00FB736C">
      <w:pPr>
        <w:jc w:val="both"/>
        <w:rPr>
          <w:rFonts w:ascii="Times New Roman" w:hAnsi="Times New Roman" w:cs="Times New Roman"/>
          <w:b/>
          <w:bCs/>
          <w:i/>
          <w:iCs/>
          <w:noProof/>
          <w:sz w:val="24"/>
          <w:szCs w:val="24"/>
          <w:lang w:val="en-GB"/>
        </w:rPr>
      </w:pPr>
      <w:r w:rsidRPr="005D7567">
        <w:rPr>
          <w:rFonts w:ascii="Times New Roman" w:hAnsi="Times New Roman" w:cs="Times New Roman"/>
          <w:b/>
          <w:bCs/>
          <w:i/>
          <w:iCs/>
          <w:sz w:val="24"/>
          <w:szCs w:val="24"/>
          <w:lang w:val="en-GB"/>
        </w:rPr>
        <w:t xml:space="preserve">Table 5. </w:t>
      </w:r>
      <w:r w:rsidRPr="005D7567">
        <w:rPr>
          <w:rFonts w:ascii="Times New Roman" w:hAnsi="Times New Roman" w:cs="Times New Roman"/>
          <w:b/>
          <w:bCs/>
          <w:i/>
          <w:iCs/>
          <w:noProof/>
          <w:sz w:val="24"/>
          <w:szCs w:val="24"/>
          <w:lang w:val="en-GB"/>
        </w:rPr>
        <w:t>The Impact of Geographic Diversification and Local Banking Structure on Deposit Growth  (</w:t>
      </w:r>
      <m:oMath>
        <m:r>
          <m:rPr>
            <m:sty m:val="bi"/>
          </m:rPr>
          <w:rPr>
            <w:rFonts w:ascii="Cambria Math" w:hAnsi="Cambria Math" w:cs="Times New Roman"/>
            <w:sz w:val="24"/>
            <w:szCs w:val="24"/>
          </w:rPr>
          <m:t>Δ</m:t>
        </m:r>
      </m:oMath>
      <w:r w:rsidRPr="005D7567">
        <w:rPr>
          <w:rFonts w:ascii="Times New Roman" w:hAnsi="Times New Roman" w:cs="Times New Roman"/>
          <w:b/>
          <w:i/>
          <w:sz w:val="24"/>
          <w:szCs w:val="24"/>
          <w:lang w:val="en-GB" w:eastAsia="en-US"/>
        </w:rPr>
        <w:t>lnDep</w:t>
      </w:r>
      <w:r w:rsidRPr="005D7567">
        <w:rPr>
          <w:rFonts w:ascii="Times New Roman" w:hAnsi="Times New Roman" w:cs="Times New Roman"/>
          <w:b/>
          <w:bCs/>
          <w:i/>
          <w:iCs/>
          <w:noProof/>
          <w:sz w:val="24"/>
          <w:szCs w:val="24"/>
          <w:lang w:val="en-GB"/>
        </w:rPr>
        <w:t>) and Lerner Index for Deposits</w:t>
      </w:r>
      <w:r w:rsidRPr="005D7567">
        <w:rPr>
          <w:rFonts w:ascii="Times New Roman" w:hAnsi="Times New Roman" w:cs="Times New Roman"/>
          <w:b/>
          <w:i/>
          <w:sz w:val="24"/>
          <w:szCs w:val="24"/>
        </w:rPr>
        <w:t xml:space="preserve"> LE</w:t>
      </w:r>
      <w:r w:rsidRPr="005D7567">
        <w:rPr>
          <w:rFonts w:ascii="Times New Roman" w:hAnsi="Times New Roman" w:cs="Times New Roman"/>
          <w:b/>
          <w:i/>
          <w:sz w:val="18"/>
          <w:szCs w:val="24"/>
        </w:rPr>
        <w:t>D</w:t>
      </w:r>
    </w:p>
    <w:tbl>
      <w:tblPr>
        <w:tblW w:w="7691" w:type="dxa"/>
        <w:jc w:val="center"/>
        <w:tblLayout w:type="fixed"/>
        <w:tblCellMar>
          <w:left w:w="75" w:type="dxa"/>
          <w:right w:w="75" w:type="dxa"/>
        </w:tblCellMar>
        <w:tblLook w:val="0000" w:firstRow="0" w:lastRow="0" w:firstColumn="0" w:lastColumn="0" w:noHBand="0" w:noVBand="0"/>
      </w:tblPr>
      <w:tblGrid>
        <w:gridCol w:w="1985"/>
        <w:gridCol w:w="1455"/>
        <w:gridCol w:w="1547"/>
        <w:gridCol w:w="1417"/>
        <w:gridCol w:w="1263"/>
        <w:gridCol w:w="24"/>
      </w:tblGrid>
      <w:tr w:rsidR="00FB736C" w14:paraId="17FC9BB3" w14:textId="77777777" w:rsidTr="00C15CF1">
        <w:trPr>
          <w:trHeight w:val="139"/>
          <w:jc w:val="center"/>
        </w:trPr>
        <w:tc>
          <w:tcPr>
            <w:tcW w:w="1985" w:type="dxa"/>
            <w:tcBorders>
              <w:top w:val="single" w:sz="4" w:space="0" w:color="auto"/>
              <w:left w:val="nil"/>
              <w:bottom w:val="nil"/>
              <w:right w:val="nil"/>
            </w:tcBorders>
          </w:tcPr>
          <w:p w14:paraId="1DEA9072"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top w:val="single" w:sz="4" w:space="0" w:color="auto"/>
              <w:left w:val="nil"/>
            </w:tcBorders>
          </w:tcPr>
          <w:p w14:paraId="4AB42ED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47" w:type="dxa"/>
            <w:tcBorders>
              <w:top w:val="single" w:sz="4" w:space="0" w:color="auto"/>
            </w:tcBorders>
          </w:tcPr>
          <w:p w14:paraId="7D75EE9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tcBorders>
          </w:tcPr>
          <w:p w14:paraId="304F9DD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87" w:type="dxa"/>
            <w:gridSpan w:val="2"/>
            <w:tcBorders>
              <w:top w:val="single" w:sz="4" w:space="0" w:color="auto"/>
            </w:tcBorders>
          </w:tcPr>
          <w:p w14:paraId="7967A39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B736C" w14:paraId="3C32AAD0" w14:textId="77777777" w:rsidTr="00C15CF1">
        <w:trPr>
          <w:jc w:val="center"/>
        </w:trPr>
        <w:tc>
          <w:tcPr>
            <w:tcW w:w="1985" w:type="dxa"/>
            <w:tcBorders>
              <w:top w:val="nil"/>
              <w:left w:val="nil"/>
              <w:bottom w:val="single" w:sz="4" w:space="0" w:color="auto"/>
              <w:right w:val="nil"/>
            </w:tcBorders>
          </w:tcPr>
          <w:p w14:paraId="50EDD79A"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VARIABLES</w:t>
            </w:r>
          </w:p>
        </w:tc>
        <w:tc>
          <w:tcPr>
            <w:tcW w:w="1455" w:type="dxa"/>
            <w:tcBorders>
              <w:left w:val="nil"/>
              <w:bottom w:val="single" w:sz="4" w:space="0" w:color="auto"/>
            </w:tcBorders>
          </w:tcPr>
          <w:p w14:paraId="4F7503E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m:oMath>
              <m:r>
                <m:rPr>
                  <m:sty m:val="p"/>
                </m:rPr>
                <w:rPr>
                  <w:rFonts w:ascii="Cambria Math" w:hAnsi="Cambria Math" w:cs="Times New Roman"/>
                  <w:sz w:val="24"/>
                  <w:szCs w:val="24"/>
                </w:rPr>
                <m:t>Δ</m:t>
              </m:r>
            </m:oMath>
            <w:r>
              <w:rPr>
                <w:rFonts w:ascii="Times New Roman" w:hAnsi="Times New Roman" w:cs="Times New Roman"/>
                <w:lang w:val="en-GB" w:eastAsia="en-US"/>
              </w:rPr>
              <w:t>lnDep</w:t>
            </w:r>
          </w:p>
        </w:tc>
        <w:tc>
          <w:tcPr>
            <w:tcW w:w="1547" w:type="dxa"/>
            <w:tcBorders>
              <w:bottom w:val="single" w:sz="4" w:space="0" w:color="auto"/>
            </w:tcBorders>
          </w:tcPr>
          <w:p w14:paraId="5724011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m:oMath>
              <m:r>
                <m:rPr>
                  <m:sty m:val="p"/>
                </m:rPr>
                <w:rPr>
                  <w:rFonts w:ascii="Cambria Math" w:hAnsi="Cambria Math" w:cs="Times New Roman"/>
                  <w:sz w:val="24"/>
                  <w:szCs w:val="24"/>
                </w:rPr>
                <m:t>Δ</m:t>
              </m:r>
            </m:oMath>
            <w:r>
              <w:rPr>
                <w:rFonts w:ascii="Times New Roman" w:hAnsi="Times New Roman" w:cs="Times New Roman"/>
                <w:lang w:val="en-GB" w:eastAsia="en-US"/>
              </w:rPr>
              <w:t>lnDep</w:t>
            </w:r>
          </w:p>
        </w:tc>
        <w:tc>
          <w:tcPr>
            <w:tcW w:w="1417" w:type="dxa"/>
            <w:tcBorders>
              <w:bottom w:val="single" w:sz="4" w:space="0" w:color="auto"/>
            </w:tcBorders>
          </w:tcPr>
          <w:p w14:paraId="1B4AF4C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LE</w:t>
            </w:r>
            <w:r w:rsidRPr="008D69D6">
              <w:rPr>
                <w:rFonts w:ascii="Times New Roman" w:hAnsi="Times New Roman" w:cs="Times New Roman"/>
                <w:sz w:val="18"/>
                <w:szCs w:val="24"/>
              </w:rPr>
              <w:t>D</w:t>
            </w:r>
          </w:p>
        </w:tc>
        <w:tc>
          <w:tcPr>
            <w:tcW w:w="1287" w:type="dxa"/>
            <w:gridSpan w:val="2"/>
            <w:tcBorders>
              <w:bottom w:val="single" w:sz="4" w:space="0" w:color="auto"/>
            </w:tcBorders>
          </w:tcPr>
          <w:p w14:paraId="259E125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8C3E55">
              <w:rPr>
                <w:rFonts w:ascii="Times New Roman" w:hAnsi="Times New Roman" w:cs="Times New Roman"/>
                <w:sz w:val="24"/>
                <w:szCs w:val="24"/>
              </w:rPr>
              <w:t>LE</w:t>
            </w:r>
            <w:r w:rsidRPr="008C3E55">
              <w:rPr>
                <w:rFonts w:ascii="Times New Roman" w:hAnsi="Times New Roman" w:cs="Times New Roman"/>
                <w:sz w:val="18"/>
                <w:szCs w:val="24"/>
              </w:rPr>
              <w:t>D</w:t>
            </w:r>
          </w:p>
        </w:tc>
      </w:tr>
      <w:tr w:rsidR="00FB736C" w14:paraId="7F023C0F" w14:textId="77777777" w:rsidTr="00C15CF1">
        <w:trPr>
          <w:jc w:val="center"/>
        </w:trPr>
        <w:tc>
          <w:tcPr>
            <w:tcW w:w="1985" w:type="dxa"/>
            <w:tcBorders>
              <w:top w:val="single" w:sz="4" w:space="0" w:color="auto"/>
              <w:left w:val="nil"/>
              <w:bottom w:val="nil"/>
              <w:right w:val="nil"/>
            </w:tcBorders>
          </w:tcPr>
          <w:p w14:paraId="7ECFB62A"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top w:val="single" w:sz="4" w:space="0" w:color="auto"/>
              <w:left w:val="nil"/>
            </w:tcBorders>
          </w:tcPr>
          <w:p w14:paraId="018C69D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547" w:type="dxa"/>
            <w:tcBorders>
              <w:top w:val="single" w:sz="4" w:space="0" w:color="auto"/>
            </w:tcBorders>
          </w:tcPr>
          <w:p w14:paraId="02C504E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7" w:type="dxa"/>
            <w:tcBorders>
              <w:top w:val="single" w:sz="4" w:space="0" w:color="auto"/>
            </w:tcBorders>
          </w:tcPr>
          <w:p w14:paraId="5B5989F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87" w:type="dxa"/>
            <w:gridSpan w:val="2"/>
            <w:tcBorders>
              <w:top w:val="single" w:sz="4" w:space="0" w:color="auto"/>
            </w:tcBorders>
          </w:tcPr>
          <w:p w14:paraId="150F176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68F46B9E" w14:textId="77777777" w:rsidTr="00C15CF1">
        <w:trPr>
          <w:jc w:val="center"/>
        </w:trPr>
        <w:tc>
          <w:tcPr>
            <w:tcW w:w="1985" w:type="dxa"/>
            <w:tcBorders>
              <w:top w:val="nil"/>
              <w:left w:val="nil"/>
              <w:bottom w:val="nil"/>
              <w:right w:val="nil"/>
            </w:tcBorders>
          </w:tcPr>
          <w:p w14:paraId="13C703A3"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GD</w:t>
            </w:r>
          </w:p>
        </w:tc>
        <w:tc>
          <w:tcPr>
            <w:tcW w:w="1455" w:type="dxa"/>
            <w:tcBorders>
              <w:left w:val="nil"/>
            </w:tcBorders>
          </w:tcPr>
          <w:p w14:paraId="54E3452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-0.0380**</w:t>
            </w:r>
          </w:p>
        </w:tc>
        <w:tc>
          <w:tcPr>
            <w:tcW w:w="1547" w:type="dxa"/>
          </w:tcPr>
          <w:p w14:paraId="2DE1BBB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-0.0165</w:t>
            </w:r>
          </w:p>
        </w:tc>
        <w:tc>
          <w:tcPr>
            <w:tcW w:w="1417" w:type="dxa"/>
          </w:tcPr>
          <w:p w14:paraId="47EA682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0.0799**</w:t>
            </w:r>
          </w:p>
        </w:tc>
        <w:tc>
          <w:tcPr>
            <w:tcW w:w="1287" w:type="dxa"/>
            <w:gridSpan w:val="2"/>
          </w:tcPr>
          <w:p w14:paraId="06AAFE8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0.0988**</w:t>
            </w:r>
          </w:p>
        </w:tc>
      </w:tr>
      <w:tr w:rsidR="00FB736C" w14:paraId="03E4BAB2" w14:textId="77777777" w:rsidTr="00C15CF1">
        <w:trPr>
          <w:jc w:val="center"/>
        </w:trPr>
        <w:tc>
          <w:tcPr>
            <w:tcW w:w="1985" w:type="dxa"/>
            <w:tcBorders>
              <w:top w:val="nil"/>
              <w:left w:val="nil"/>
              <w:bottom w:val="nil"/>
              <w:right w:val="nil"/>
            </w:tcBorders>
          </w:tcPr>
          <w:p w14:paraId="03D18B0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left w:val="nil"/>
            </w:tcBorders>
          </w:tcPr>
          <w:p w14:paraId="18CF645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[0.015]</w:t>
            </w:r>
          </w:p>
        </w:tc>
        <w:tc>
          <w:tcPr>
            <w:tcW w:w="1547" w:type="dxa"/>
          </w:tcPr>
          <w:p w14:paraId="6748F41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[0.021]</w:t>
            </w:r>
          </w:p>
        </w:tc>
        <w:tc>
          <w:tcPr>
            <w:tcW w:w="1417" w:type="dxa"/>
          </w:tcPr>
          <w:p w14:paraId="74C8B65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[0.031]</w:t>
            </w:r>
          </w:p>
        </w:tc>
        <w:tc>
          <w:tcPr>
            <w:tcW w:w="1287" w:type="dxa"/>
            <w:gridSpan w:val="2"/>
          </w:tcPr>
          <w:p w14:paraId="530863A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[0.041]</w:t>
            </w:r>
          </w:p>
        </w:tc>
      </w:tr>
      <w:tr w:rsidR="00FB736C" w14:paraId="6A0D4259" w14:textId="77777777" w:rsidTr="00C15CF1">
        <w:trPr>
          <w:jc w:val="center"/>
        </w:trPr>
        <w:tc>
          <w:tcPr>
            <w:tcW w:w="1985" w:type="dxa"/>
            <w:tcBorders>
              <w:top w:val="nil"/>
              <w:left w:val="nil"/>
              <w:bottom w:val="nil"/>
              <w:right w:val="nil"/>
            </w:tcBorders>
          </w:tcPr>
          <w:p w14:paraId="78DADFC7"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DISTANCE</w:t>
            </w:r>
          </w:p>
        </w:tc>
        <w:tc>
          <w:tcPr>
            <w:tcW w:w="1455" w:type="dxa"/>
            <w:tcBorders>
              <w:left w:val="nil"/>
            </w:tcBorders>
          </w:tcPr>
          <w:p w14:paraId="7FC7E06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-0.0105***</w:t>
            </w:r>
          </w:p>
        </w:tc>
        <w:tc>
          <w:tcPr>
            <w:tcW w:w="1547" w:type="dxa"/>
          </w:tcPr>
          <w:p w14:paraId="31F9E80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-0.0108***</w:t>
            </w:r>
          </w:p>
        </w:tc>
        <w:tc>
          <w:tcPr>
            <w:tcW w:w="1417" w:type="dxa"/>
          </w:tcPr>
          <w:p w14:paraId="5B46349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-0.0056</w:t>
            </w:r>
          </w:p>
        </w:tc>
        <w:tc>
          <w:tcPr>
            <w:tcW w:w="1287" w:type="dxa"/>
            <w:gridSpan w:val="2"/>
          </w:tcPr>
          <w:p w14:paraId="2F5BA67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-0.0046</w:t>
            </w:r>
          </w:p>
        </w:tc>
      </w:tr>
      <w:tr w:rsidR="00FB736C" w14:paraId="192ADE19" w14:textId="77777777" w:rsidTr="00C15CF1">
        <w:trPr>
          <w:jc w:val="center"/>
        </w:trPr>
        <w:tc>
          <w:tcPr>
            <w:tcW w:w="1985" w:type="dxa"/>
            <w:tcBorders>
              <w:top w:val="nil"/>
              <w:left w:val="nil"/>
              <w:bottom w:val="nil"/>
              <w:right w:val="nil"/>
            </w:tcBorders>
          </w:tcPr>
          <w:p w14:paraId="19B72F7E"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left w:val="nil"/>
            </w:tcBorders>
          </w:tcPr>
          <w:p w14:paraId="23A5C27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547" w:type="dxa"/>
          </w:tcPr>
          <w:p w14:paraId="292283A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417" w:type="dxa"/>
          </w:tcPr>
          <w:p w14:paraId="2C21ACD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287" w:type="dxa"/>
            <w:gridSpan w:val="2"/>
          </w:tcPr>
          <w:p w14:paraId="22F12BD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w:t>
            </w:r>
          </w:p>
        </w:tc>
      </w:tr>
      <w:tr w:rsidR="00FB736C" w14:paraId="550A9104" w14:textId="77777777" w:rsidTr="00C15CF1">
        <w:trPr>
          <w:trHeight w:val="181"/>
          <w:jc w:val="center"/>
        </w:trPr>
        <w:tc>
          <w:tcPr>
            <w:tcW w:w="1985" w:type="dxa"/>
            <w:tcBorders>
              <w:top w:val="nil"/>
              <w:left w:val="nil"/>
              <w:bottom w:val="nil"/>
              <w:right w:val="nil"/>
            </w:tcBorders>
          </w:tcPr>
          <w:p w14:paraId="1C973183"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MCw</w:t>
            </w:r>
          </w:p>
        </w:tc>
        <w:tc>
          <w:tcPr>
            <w:tcW w:w="1455" w:type="dxa"/>
            <w:tcBorders>
              <w:left w:val="nil"/>
            </w:tcBorders>
          </w:tcPr>
          <w:p w14:paraId="6F532C8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-0.5058**</w:t>
            </w:r>
          </w:p>
        </w:tc>
        <w:tc>
          <w:tcPr>
            <w:tcW w:w="1547" w:type="dxa"/>
          </w:tcPr>
          <w:p w14:paraId="64E125B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-0.6331**</w:t>
            </w:r>
          </w:p>
        </w:tc>
        <w:tc>
          <w:tcPr>
            <w:tcW w:w="1417" w:type="dxa"/>
          </w:tcPr>
          <w:p w14:paraId="2C71C21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0.4715</w:t>
            </w:r>
          </w:p>
        </w:tc>
        <w:tc>
          <w:tcPr>
            <w:tcW w:w="1287" w:type="dxa"/>
            <w:gridSpan w:val="2"/>
          </w:tcPr>
          <w:p w14:paraId="232ECA1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0.2269</w:t>
            </w:r>
          </w:p>
        </w:tc>
      </w:tr>
      <w:tr w:rsidR="00FB736C" w14:paraId="70F8F644" w14:textId="77777777" w:rsidTr="00C15CF1">
        <w:trPr>
          <w:jc w:val="center"/>
        </w:trPr>
        <w:tc>
          <w:tcPr>
            <w:tcW w:w="1985" w:type="dxa"/>
            <w:tcBorders>
              <w:top w:val="nil"/>
              <w:left w:val="nil"/>
              <w:bottom w:val="nil"/>
              <w:right w:val="nil"/>
            </w:tcBorders>
          </w:tcPr>
          <w:p w14:paraId="116A320E"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left w:val="nil"/>
            </w:tcBorders>
          </w:tcPr>
          <w:p w14:paraId="320EF04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[0.215]</w:t>
            </w:r>
          </w:p>
        </w:tc>
        <w:tc>
          <w:tcPr>
            <w:tcW w:w="1547" w:type="dxa"/>
          </w:tcPr>
          <w:p w14:paraId="02244ED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[0.260]</w:t>
            </w:r>
          </w:p>
        </w:tc>
        <w:tc>
          <w:tcPr>
            <w:tcW w:w="1417" w:type="dxa"/>
          </w:tcPr>
          <w:p w14:paraId="45F1B51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[0.466]</w:t>
            </w:r>
          </w:p>
        </w:tc>
        <w:tc>
          <w:tcPr>
            <w:tcW w:w="1287" w:type="dxa"/>
            <w:gridSpan w:val="2"/>
          </w:tcPr>
          <w:p w14:paraId="64BE3B6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[0.734]</w:t>
            </w:r>
          </w:p>
        </w:tc>
      </w:tr>
      <w:tr w:rsidR="00FB736C" w14:paraId="31FB2E2C" w14:textId="77777777" w:rsidTr="00C15CF1">
        <w:trPr>
          <w:jc w:val="center"/>
        </w:trPr>
        <w:tc>
          <w:tcPr>
            <w:tcW w:w="1985" w:type="dxa"/>
            <w:tcBorders>
              <w:top w:val="nil"/>
              <w:left w:val="nil"/>
              <w:bottom w:val="nil"/>
              <w:right w:val="nil"/>
            </w:tcBorders>
          </w:tcPr>
          <w:p w14:paraId="1A0C7C7A"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NPLs</w:t>
            </w:r>
          </w:p>
        </w:tc>
        <w:tc>
          <w:tcPr>
            <w:tcW w:w="1455" w:type="dxa"/>
            <w:tcBorders>
              <w:left w:val="nil"/>
            </w:tcBorders>
          </w:tcPr>
          <w:p w14:paraId="6C100BD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-0.0386</w:t>
            </w:r>
          </w:p>
        </w:tc>
        <w:tc>
          <w:tcPr>
            <w:tcW w:w="1547" w:type="dxa"/>
          </w:tcPr>
          <w:p w14:paraId="3EA327C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-0.0099</w:t>
            </w:r>
          </w:p>
        </w:tc>
        <w:tc>
          <w:tcPr>
            <w:tcW w:w="1417" w:type="dxa"/>
          </w:tcPr>
          <w:p w14:paraId="143A9E2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0.3063***</w:t>
            </w:r>
          </w:p>
        </w:tc>
        <w:tc>
          <w:tcPr>
            <w:tcW w:w="1287" w:type="dxa"/>
            <w:gridSpan w:val="2"/>
          </w:tcPr>
          <w:p w14:paraId="27D1AD8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0.3089**</w:t>
            </w:r>
          </w:p>
        </w:tc>
      </w:tr>
      <w:tr w:rsidR="00FB736C" w14:paraId="2091E7D8" w14:textId="77777777" w:rsidTr="00C15CF1">
        <w:trPr>
          <w:jc w:val="center"/>
        </w:trPr>
        <w:tc>
          <w:tcPr>
            <w:tcW w:w="1985" w:type="dxa"/>
            <w:tcBorders>
              <w:top w:val="nil"/>
              <w:left w:val="nil"/>
              <w:bottom w:val="nil"/>
              <w:right w:val="nil"/>
            </w:tcBorders>
          </w:tcPr>
          <w:p w14:paraId="0C2719D1"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left w:val="nil"/>
            </w:tcBorders>
          </w:tcPr>
          <w:p w14:paraId="5316138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[0.046]</w:t>
            </w:r>
          </w:p>
        </w:tc>
        <w:tc>
          <w:tcPr>
            <w:tcW w:w="1547" w:type="dxa"/>
          </w:tcPr>
          <w:p w14:paraId="10F73EF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[0.057]</w:t>
            </w:r>
          </w:p>
        </w:tc>
        <w:tc>
          <w:tcPr>
            <w:tcW w:w="1417" w:type="dxa"/>
          </w:tcPr>
          <w:p w14:paraId="783844C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[0.104]</w:t>
            </w:r>
          </w:p>
        </w:tc>
        <w:tc>
          <w:tcPr>
            <w:tcW w:w="1287" w:type="dxa"/>
            <w:gridSpan w:val="2"/>
          </w:tcPr>
          <w:p w14:paraId="21B464F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[0.149]</w:t>
            </w:r>
          </w:p>
        </w:tc>
      </w:tr>
      <w:tr w:rsidR="00FB736C" w14:paraId="2377E785" w14:textId="77777777" w:rsidTr="00C15CF1">
        <w:trPr>
          <w:gridAfter w:val="1"/>
          <w:wAfter w:w="24" w:type="dxa"/>
          <w:trHeight w:val="205"/>
          <w:jc w:val="center"/>
        </w:trPr>
        <w:tc>
          <w:tcPr>
            <w:tcW w:w="1985" w:type="dxa"/>
            <w:tcBorders>
              <w:top w:val="nil"/>
              <w:left w:val="nil"/>
              <w:bottom w:val="nil"/>
              <w:right w:val="nil"/>
            </w:tcBorders>
          </w:tcPr>
          <w:p w14:paraId="1877FEF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EQTA</w:t>
            </w:r>
          </w:p>
        </w:tc>
        <w:tc>
          <w:tcPr>
            <w:tcW w:w="1455" w:type="dxa"/>
            <w:tcBorders>
              <w:left w:val="nil"/>
            </w:tcBorders>
          </w:tcPr>
          <w:p w14:paraId="4E7D3E1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547" w:type="dxa"/>
          </w:tcPr>
          <w:p w14:paraId="35C3FBE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7" w:type="dxa"/>
          </w:tcPr>
          <w:p w14:paraId="3AA4B1C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-0.7532***</w:t>
            </w:r>
          </w:p>
        </w:tc>
        <w:tc>
          <w:tcPr>
            <w:tcW w:w="1263" w:type="dxa"/>
          </w:tcPr>
          <w:p w14:paraId="5B45E53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-0.6579***</w:t>
            </w:r>
          </w:p>
        </w:tc>
      </w:tr>
      <w:tr w:rsidR="00FB736C" w14:paraId="086B8BE6" w14:textId="77777777" w:rsidTr="00C15CF1">
        <w:trPr>
          <w:gridAfter w:val="1"/>
          <w:wAfter w:w="24" w:type="dxa"/>
          <w:trHeight w:val="205"/>
          <w:jc w:val="center"/>
        </w:trPr>
        <w:tc>
          <w:tcPr>
            <w:tcW w:w="1985" w:type="dxa"/>
            <w:tcBorders>
              <w:top w:val="nil"/>
              <w:left w:val="nil"/>
              <w:bottom w:val="nil"/>
              <w:right w:val="nil"/>
            </w:tcBorders>
          </w:tcPr>
          <w:p w14:paraId="49F9A00C"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left w:val="nil"/>
            </w:tcBorders>
          </w:tcPr>
          <w:p w14:paraId="087DD82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547" w:type="dxa"/>
          </w:tcPr>
          <w:p w14:paraId="5EDB452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7" w:type="dxa"/>
          </w:tcPr>
          <w:p w14:paraId="1CF917A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[0.084]</w:t>
            </w:r>
          </w:p>
        </w:tc>
        <w:tc>
          <w:tcPr>
            <w:tcW w:w="1263" w:type="dxa"/>
          </w:tcPr>
          <w:p w14:paraId="1B0E234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[0.110]</w:t>
            </w:r>
          </w:p>
        </w:tc>
      </w:tr>
      <w:tr w:rsidR="00FB736C" w14:paraId="1ECA501A" w14:textId="77777777" w:rsidTr="00C15CF1">
        <w:trPr>
          <w:gridAfter w:val="1"/>
          <w:wAfter w:w="24" w:type="dxa"/>
          <w:trHeight w:val="205"/>
          <w:jc w:val="center"/>
        </w:trPr>
        <w:tc>
          <w:tcPr>
            <w:tcW w:w="1985" w:type="dxa"/>
            <w:tcBorders>
              <w:top w:val="nil"/>
              <w:left w:val="nil"/>
              <w:bottom w:val="nil"/>
              <w:right w:val="nil"/>
            </w:tcBorders>
          </w:tcPr>
          <w:p w14:paraId="20E29FC4"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ENTRY</w:t>
            </w:r>
          </w:p>
        </w:tc>
        <w:tc>
          <w:tcPr>
            <w:tcW w:w="1455" w:type="dxa"/>
            <w:tcBorders>
              <w:left w:val="nil"/>
            </w:tcBorders>
          </w:tcPr>
          <w:p w14:paraId="3117F84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0.0039***</w:t>
            </w:r>
          </w:p>
        </w:tc>
        <w:tc>
          <w:tcPr>
            <w:tcW w:w="1547" w:type="dxa"/>
          </w:tcPr>
          <w:p w14:paraId="7F9D4A2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0.0028</w:t>
            </w:r>
          </w:p>
        </w:tc>
        <w:tc>
          <w:tcPr>
            <w:tcW w:w="1417" w:type="dxa"/>
          </w:tcPr>
          <w:p w14:paraId="5031E1F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0.0031</w:t>
            </w:r>
          </w:p>
        </w:tc>
        <w:tc>
          <w:tcPr>
            <w:tcW w:w="1263" w:type="dxa"/>
          </w:tcPr>
          <w:p w14:paraId="24B715C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0.0024</w:t>
            </w:r>
          </w:p>
        </w:tc>
      </w:tr>
      <w:tr w:rsidR="00FB736C" w14:paraId="6A4E26B4" w14:textId="77777777" w:rsidTr="00C15CF1">
        <w:trPr>
          <w:gridAfter w:val="1"/>
          <w:wAfter w:w="24" w:type="dxa"/>
          <w:jc w:val="center"/>
        </w:trPr>
        <w:tc>
          <w:tcPr>
            <w:tcW w:w="1985" w:type="dxa"/>
            <w:tcBorders>
              <w:top w:val="nil"/>
              <w:left w:val="nil"/>
              <w:bottom w:val="nil"/>
              <w:right w:val="nil"/>
            </w:tcBorders>
          </w:tcPr>
          <w:p w14:paraId="526FB7C2"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left w:val="nil"/>
            </w:tcBorders>
          </w:tcPr>
          <w:p w14:paraId="22E95DC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547" w:type="dxa"/>
          </w:tcPr>
          <w:p w14:paraId="6DC0508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417" w:type="dxa"/>
          </w:tcPr>
          <w:p w14:paraId="05DDF05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263" w:type="dxa"/>
          </w:tcPr>
          <w:p w14:paraId="2E5ABE9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r>
      <w:tr w:rsidR="00FB736C" w14:paraId="1E2EC021" w14:textId="77777777" w:rsidTr="00C15CF1">
        <w:trPr>
          <w:gridAfter w:val="1"/>
          <w:wAfter w:w="24" w:type="dxa"/>
          <w:jc w:val="center"/>
        </w:trPr>
        <w:tc>
          <w:tcPr>
            <w:tcW w:w="1985" w:type="dxa"/>
            <w:tcBorders>
              <w:top w:val="nil"/>
              <w:left w:val="nil"/>
              <w:bottom w:val="nil"/>
              <w:right w:val="nil"/>
            </w:tcBorders>
          </w:tcPr>
          <w:p w14:paraId="532FB9A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HHIw</w:t>
            </w:r>
          </w:p>
        </w:tc>
        <w:tc>
          <w:tcPr>
            <w:tcW w:w="1455" w:type="dxa"/>
            <w:tcBorders>
              <w:left w:val="nil"/>
            </w:tcBorders>
          </w:tcPr>
          <w:p w14:paraId="68F23BF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0.0479</w:t>
            </w:r>
          </w:p>
        </w:tc>
        <w:tc>
          <w:tcPr>
            <w:tcW w:w="1547" w:type="dxa"/>
          </w:tcPr>
          <w:p w14:paraId="2FF28B8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-0.0317</w:t>
            </w:r>
          </w:p>
        </w:tc>
        <w:tc>
          <w:tcPr>
            <w:tcW w:w="1417" w:type="dxa"/>
          </w:tcPr>
          <w:p w14:paraId="06E09BD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0.3174**</w:t>
            </w:r>
          </w:p>
        </w:tc>
        <w:tc>
          <w:tcPr>
            <w:tcW w:w="1263" w:type="dxa"/>
          </w:tcPr>
          <w:p w14:paraId="71C7EF2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0.5076**</w:t>
            </w:r>
          </w:p>
        </w:tc>
      </w:tr>
      <w:tr w:rsidR="00FB736C" w14:paraId="24166A87" w14:textId="77777777" w:rsidTr="00C15CF1">
        <w:trPr>
          <w:gridAfter w:val="1"/>
          <w:wAfter w:w="24" w:type="dxa"/>
          <w:jc w:val="center"/>
        </w:trPr>
        <w:tc>
          <w:tcPr>
            <w:tcW w:w="1985" w:type="dxa"/>
            <w:tcBorders>
              <w:top w:val="nil"/>
              <w:left w:val="nil"/>
              <w:bottom w:val="nil"/>
              <w:right w:val="nil"/>
            </w:tcBorders>
          </w:tcPr>
          <w:p w14:paraId="028D695D"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left w:val="nil"/>
            </w:tcBorders>
          </w:tcPr>
          <w:p w14:paraId="060FD12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[0.074]</w:t>
            </w:r>
          </w:p>
        </w:tc>
        <w:tc>
          <w:tcPr>
            <w:tcW w:w="1547" w:type="dxa"/>
          </w:tcPr>
          <w:p w14:paraId="27D894A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[0.109]</w:t>
            </w:r>
          </w:p>
        </w:tc>
        <w:tc>
          <w:tcPr>
            <w:tcW w:w="1417" w:type="dxa"/>
          </w:tcPr>
          <w:p w14:paraId="3ACA907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[0.137]</w:t>
            </w:r>
          </w:p>
        </w:tc>
        <w:tc>
          <w:tcPr>
            <w:tcW w:w="1263" w:type="dxa"/>
          </w:tcPr>
          <w:p w14:paraId="0814E15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[0.208]</w:t>
            </w:r>
          </w:p>
        </w:tc>
      </w:tr>
      <w:tr w:rsidR="00FB736C" w14:paraId="2522B3F3" w14:textId="77777777" w:rsidTr="00C15CF1">
        <w:trPr>
          <w:gridAfter w:val="1"/>
          <w:wAfter w:w="24" w:type="dxa"/>
          <w:jc w:val="center"/>
        </w:trPr>
        <w:tc>
          <w:tcPr>
            <w:tcW w:w="1985" w:type="dxa"/>
            <w:tcBorders>
              <w:top w:val="nil"/>
              <w:left w:val="nil"/>
              <w:bottom w:val="nil"/>
              <w:right w:val="nil"/>
            </w:tcBorders>
          </w:tcPr>
          <w:p w14:paraId="0B018A4C"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Constant</w:t>
            </w:r>
          </w:p>
        </w:tc>
        <w:tc>
          <w:tcPr>
            <w:tcW w:w="1455" w:type="dxa"/>
            <w:tcBorders>
              <w:left w:val="nil"/>
            </w:tcBorders>
          </w:tcPr>
          <w:p w14:paraId="5523438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0.1272***</w:t>
            </w:r>
          </w:p>
        </w:tc>
        <w:tc>
          <w:tcPr>
            <w:tcW w:w="1547" w:type="dxa"/>
          </w:tcPr>
          <w:p w14:paraId="44E160B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0.1220***</w:t>
            </w:r>
          </w:p>
        </w:tc>
        <w:tc>
          <w:tcPr>
            <w:tcW w:w="1417" w:type="dxa"/>
          </w:tcPr>
          <w:p w14:paraId="15471BF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0.3801***</w:t>
            </w:r>
          </w:p>
        </w:tc>
        <w:tc>
          <w:tcPr>
            <w:tcW w:w="1263" w:type="dxa"/>
          </w:tcPr>
          <w:p w14:paraId="6408153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0.3469***</w:t>
            </w:r>
          </w:p>
        </w:tc>
      </w:tr>
      <w:tr w:rsidR="00FB736C" w14:paraId="1F36EACA" w14:textId="77777777" w:rsidTr="00C15CF1">
        <w:trPr>
          <w:gridAfter w:val="1"/>
          <w:wAfter w:w="24" w:type="dxa"/>
          <w:jc w:val="center"/>
        </w:trPr>
        <w:tc>
          <w:tcPr>
            <w:tcW w:w="1985" w:type="dxa"/>
            <w:tcBorders>
              <w:top w:val="nil"/>
              <w:left w:val="nil"/>
              <w:bottom w:val="single" w:sz="4" w:space="0" w:color="auto"/>
              <w:right w:val="nil"/>
            </w:tcBorders>
          </w:tcPr>
          <w:p w14:paraId="3F5E4A5E"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left w:val="nil"/>
              <w:bottom w:val="single" w:sz="4" w:space="0" w:color="auto"/>
            </w:tcBorders>
          </w:tcPr>
          <w:p w14:paraId="1F57D0D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w:t>
            </w:r>
          </w:p>
        </w:tc>
        <w:tc>
          <w:tcPr>
            <w:tcW w:w="1547" w:type="dxa"/>
            <w:tcBorders>
              <w:bottom w:val="single" w:sz="4" w:space="0" w:color="auto"/>
            </w:tcBorders>
          </w:tcPr>
          <w:p w14:paraId="06F48A8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[0.019]</w:t>
            </w:r>
          </w:p>
        </w:tc>
        <w:tc>
          <w:tcPr>
            <w:tcW w:w="1417" w:type="dxa"/>
            <w:tcBorders>
              <w:bottom w:val="single" w:sz="4" w:space="0" w:color="auto"/>
            </w:tcBorders>
          </w:tcPr>
          <w:p w14:paraId="6E73012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[0.027]</w:t>
            </w:r>
          </w:p>
        </w:tc>
        <w:tc>
          <w:tcPr>
            <w:tcW w:w="1263" w:type="dxa"/>
            <w:tcBorders>
              <w:bottom w:val="single" w:sz="4" w:space="0" w:color="auto"/>
            </w:tcBorders>
          </w:tcPr>
          <w:p w14:paraId="4D004A8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[0.043]</w:t>
            </w:r>
          </w:p>
        </w:tc>
      </w:tr>
      <w:tr w:rsidR="00FB736C" w14:paraId="4FB8940A" w14:textId="77777777" w:rsidTr="00C15CF1">
        <w:trPr>
          <w:gridAfter w:val="1"/>
          <w:wAfter w:w="24" w:type="dxa"/>
          <w:jc w:val="center"/>
        </w:trPr>
        <w:tc>
          <w:tcPr>
            <w:tcW w:w="1985" w:type="dxa"/>
            <w:tcBorders>
              <w:top w:val="single" w:sz="4" w:space="0" w:color="auto"/>
              <w:left w:val="nil"/>
              <w:bottom w:val="nil"/>
              <w:right w:val="nil"/>
            </w:tcBorders>
          </w:tcPr>
          <w:p w14:paraId="18DA1C81"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1455" w:type="dxa"/>
            <w:tcBorders>
              <w:top w:val="single" w:sz="4" w:space="0" w:color="auto"/>
              <w:left w:val="nil"/>
            </w:tcBorders>
          </w:tcPr>
          <w:p w14:paraId="02844188"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88731F">
              <w:rPr>
                <w:rFonts w:ascii="Times New Roman" w:hAnsi="Times New Roman" w:cs="Times New Roman"/>
              </w:rPr>
              <w:t>12,371</w:t>
            </w:r>
          </w:p>
        </w:tc>
        <w:tc>
          <w:tcPr>
            <w:tcW w:w="1547" w:type="dxa"/>
            <w:tcBorders>
              <w:top w:val="single" w:sz="4" w:space="0" w:color="auto"/>
            </w:tcBorders>
          </w:tcPr>
          <w:p w14:paraId="26D2A885"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88731F">
              <w:rPr>
                <w:rFonts w:ascii="Times New Roman" w:hAnsi="Times New Roman" w:cs="Times New Roman"/>
              </w:rPr>
              <w:t>6,228</w:t>
            </w:r>
          </w:p>
        </w:tc>
        <w:tc>
          <w:tcPr>
            <w:tcW w:w="1417" w:type="dxa"/>
            <w:tcBorders>
              <w:top w:val="single" w:sz="4" w:space="0" w:color="auto"/>
            </w:tcBorders>
          </w:tcPr>
          <w:p w14:paraId="7A97ACF0"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88731F">
              <w:rPr>
                <w:rFonts w:ascii="Times New Roman" w:hAnsi="Times New Roman" w:cs="Times New Roman"/>
              </w:rPr>
              <w:t>12,371</w:t>
            </w:r>
          </w:p>
        </w:tc>
        <w:tc>
          <w:tcPr>
            <w:tcW w:w="1263" w:type="dxa"/>
            <w:tcBorders>
              <w:top w:val="single" w:sz="4" w:space="0" w:color="auto"/>
            </w:tcBorders>
          </w:tcPr>
          <w:p w14:paraId="27D273FE"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88731F">
              <w:rPr>
                <w:rFonts w:ascii="Times New Roman" w:hAnsi="Times New Roman" w:cs="Times New Roman"/>
              </w:rPr>
              <w:t>6,228</w:t>
            </w:r>
          </w:p>
        </w:tc>
      </w:tr>
      <w:tr w:rsidR="00FB736C" w14:paraId="1CADF85A" w14:textId="77777777" w:rsidTr="00C15CF1">
        <w:trPr>
          <w:gridAfter w:val="1"/>
          <w:wAfter w:w="24" w:type="dxa"/>
          <w:jc w:val="center"/>
        </w:trPr>
        <w:tc>
          <w:tcPr>
            <w:tcW w:w="1985" w:type="dxa"/>
            <w:tcBorders>
              <w:top w:val="nil"/>
              <w:left w:val="nil"/>
              <w:bottom w:val="nil"/>
              <w:right w:val="nil"/>
            </w:tcBorders>
          </w:tcPr>
          <w:p w14:paraId="77142962"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R-squared (within)</w:t>
            </w:r>
          </w:p>
        </w:tc>
        <w:tc>
          <w:tcPr>
            <w:tcW w:w="1455" w:type="dxa"/>
            <w:tcBorders>
              <w:left w:val="nil"/>
            </w:tcBorders>
          </w:tcPr>
          <w:p w14:paraId="5B848811" w14:textId="77777777" w:rsidR="00FB736C" w:rsidRPr="007F3369"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7F3369">
              <w:rPr>
                <w:rFonts w:ascii="Times New Roman" w:hAnsi="Times New Roman" w:cs="Times New Roman"/>
                <w:szCs w:val="24"/>
              </w:rPr>
              <w:t>0.077</w:t>
            </w:r>
          </w:p>
        </w:tc>
        <w:tc>
          <w:tcPr>
            <w:tcW w:w="1547" w:type="dxa"/>
          </w:tcPr>
          <w:p w14:paraId="0664CA92" w14:textId="77777777" w:rsidR="00FB736C" w:rsidRPr="007F3369"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7F3369">
              <w:rPr>
                <w:rFonts w:ascii="Times New Roman" w:hAnsi="Times New Roman" w:cs="Times New Roman"/>
                <w:szCs w:val="24"/>
              </w:rPr>
              <w:t>0.105</w:t>
            </w:r>
          </w:p>
        </w:tc>
        <w:tc>
          <w:tcPr>
            <w:tcW w:w="1417" w:type="dxa"/>
          </w:tcPr>
          <w:p w14:paraId="63BC0712" w14:textId="77777777" w:rsidR="00FB736C" w:rsidRPr="007F3369"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7F3369">
              <w:rPr>
                <w:rFonts w:ascii="Times New Roman" w:hAnsi="Times New Roman" w:cs="Times New Roman"/>
                <w:szCs w:val="24"/>
              </w:rPr>
              <w:t>0.633</w:t>
            </w:r>
          </w:p>
        </w:tc>
        <w:tc>
          <w:tcPr>
            <w:tcW w:w="1263" w:type="dxa"/>
          </w:tcPr>
          <w:p w14:paraId="3F683B0B" w14:textId="77777777" w:rsidR="00FB736C" w:rsidRPr="007F3369"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7F3369">
              <w:rPr>
                <w:rFonts w:ascii="Times New Roman" w:hAnsi="Times New Roman" w:cs="Times New Roman"/>
                <w:szCs w:val="24"/>
              </w:rPr>
              <w:t>0.633</w:t>
            </w:r>
          </w:p>
        </w:tc>
      </w:tr>
      <w:tr w:rsidR="00FB736C" w14:paraId="77568EC2" w14:textId="77777777" w:rsidTr="00C15CF1">
        <w:trPr>
          <w:gridAfter w:val="1"/>
          <w:wAfter w:w="24" w:type="dxa"/>
          <w:trHeight w:val="58"/>
          <w:jc w:val="center"/>
        </w:trPr>
        <w:tc>
          <w:tcPr>
            <w:tcW w:w="1985" w:type="dxa"/>
            <w:tcBorders>
              <w:top w:val="nil"/>
              <w:left w:val="nil"/>
              <w:bottom w:val="nil"/>
              <w:right w:val="nil"/>
            </w:tcBorders>
          </w:tcPr>
          <w:p w14:paraId="591D68FD"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Bank Dummy</w:t>
            </w:r>
          </w:p>
        </w:tc>
        <w:tc>
          <w:tcPr>
            <w:tcW w:w="1455" w:type="dxa"/>
            <w:tcBorders>
              <w:left w:val="nil"/>
            </w:tcBorders>
          </w:tcPr>
          <w:p w14:paraId="58519903"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305EB4">
              <w:rPr>
                <w:rFonts w:ascii="Times New Roman" w:hAnsi="Times New Roman" w:cs="Times New Roman"/>
                <w:szCs w:val="24"/>
              </w:rPr>
              <w:t>YES</w:t>
            </w:r>
          </w:p>
        </w:tc>
        <w:tc>
          <w:tcPr>
            <w:tcW w:w="1547" w:type="dxa"/>
          </w:tcPr>
          <w:p w14:paraId="4D67DF88"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305EB4">
              <w:rPr>
                <w:rFonts w:ascii="Times New Roman" w:hAnsi="Times New Roman" w:cs="Times New Roman"/>
                <w:szCs w:val="24"/>
              </w:rPr>
              <w:t>YES</w:t>
            </w:r>
          </w:p>
        </w:tc>
        <w:tc>
          <w:tcPr>
            <w:tcW w:w="1417" w:type="dxa"/>
          </w:tcPr>
          <w:p w14:paraId="24F73D46"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305EB4">
              <w:rPr>
                <w:rFonts w:ascii="Times New Roman" w:hAnsi="Times New Roman" w:cs="Times New Roman"/>
                <w:szCs w:val="24"/>
              </w:rPr>
              <w:t>YES</w:t>
            </w:r>
          </w:p>
        </w:tc>
        <w:tc>
          <w:tcPr>
            <w:tcW w:w="1263" w:type="dxa"/>
          </w:tcPr>
          <w:p w14:paraId="3BF66A3E"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305EB4">
              <w:rPr>
                <w:rFonts w:ascii="Times New Roman" w:hAnsi="Times New Roman" w:cs="Times New Roman"/>
                <w:szCs w:val="24"/>
              </w:rPr>
              <w:t>YES</w:t>
            </w:r>
          </w:p>
        </w:tc>
      </w:tr>
      <w:tr w:rsidR="00FB736C" w14:paraId="58DE3E0B" w14:textId="77777777" w:rsidTr="00C15CF1">
        <w:tblPrEx>
          <w:tblBorders>
            <w:bottom w:val="single" w:sz="6" w:space="0" w:color="auto"/>
          </w:tblBorders>
        </w:tblPrEx>
        <w:trPr>
          <w:gridAfter w:val="1"/>
          <w:wAfter w:w="24" w:type="dxa"/>
          <w:jc w:val="center"/>
        </w:trPr>
        <w:tc>
          <w:tcPr>
            <w:tcW w:w="1985" w:type="dxa"/>
            <w:tcBorders>
              <w:top w:val="nil"/>
              <w:left w:val="nil"/>
              <w:bottom w:val="single" w:sz="6" w:space="0" w:color="auto"/>
              <w:right w:val="nil"/>
            </w:tcBorders>
          </w:tcPr>
          <w:p w14:paraId="4EAF9832"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 Dummy</w:t>
            </w:r>
          </w:p>
        </w:tc>
        <w:tc>
          <w:tcPr>
            <w:tcW w:w="1455" w:type="dxa"/>
            <w:tcBorders>
              <w:top w:val="nil"/>
              <w:left w:val="nil"/>
              <w:bottom w:val="single" w:sz="4" w:space="0" w:color="auto"/>
              <w:right w:val="nil"/>
            </w:tcBorders>
          </w:tcPr>
          <w:p w14:paraId="416E8969"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305EB4">
              <w:rPr>
                <w:rFonts w:ascii="Times New Roman" w:hAnsi="Times New Roman" w:cs="Times New Roman"/>
                <w:szCs w:val="24"/>
              </w:rPr>
              <w:t>YES</w:t>
            </w:r>
          </w:p>
        </w:tc>
        <w:tc>
          <w:tcPr>
            <w:tcW w:w="1547" w:type="dxa"/>
            <w:tcBorders>
              <w:top w:val="nil"/>
              <w:left w:val="nil"/>
              <w:bottom w:val="single" w:sz="4" w:space="0" w:color="auto"/>
              <w:right w:val="nil"/>
            </w:tcBorders>
          </w:tcPr>
          <w:p w14:paraId="489A536A"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305EB4">
              <w:rPr>
                <w:rFonts w:ascii="Times New Roman" w:hAnsi="Times New Roman" w:cs="Times New Roman"/>
                <w:szCs w:val="24"/>
              </w:rPr>
              <w:t>YES</w:t>
            </w:r>
          </w:p>
        </w:tc>
        <w:tc>
          <w:tcPr>
            <w:tcW w:w="1417" w:type="dxa"/>
            <w:tcBorders>
              <w:top w:val="nil"/>
              <w:left w:val="nil"/>
              <w:bottom w:val="single" w:sz="4" w:space="0" w:color="auto"/>
              <w:right w:val="nil"/>
            </w:tcBorders>
          </w:tcPr>
          <w:p w14:paraId="637EF447"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305EB4">
              <w:rPr>
                <w:rFonts w:ascii="Times New Roman" w:hAnsi="Times New Roman" w:cs="Times New Roman"/>
                <w:szCs w:val="24"/>
              </w:rPr>
              <w:t>YES</w:t>
            </w:r>
          </w:p>
        </w:tc>
        <w:tc>
          <w:tcPr>
            <w:tcW w:w="1263" w:type="dxa"/>
            <w:tcBorders>
              <w:top w:val="nil"/>
              <w:left w:val="nil"/>
              <w:bottom w:val="single" w:sz="4" w:space="0" w:color="auto"/>
              <w:right w:val="nil"/>
            </w:tcBorders>
          </w:tcPr>
          <w:p w14:paraId="186E41C7"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305EB4">
              <w:rPr>
                <w:rFonts w:ascii="Times New Roman" w:hAnsi="Times New Roman" w:cs="Times New Roman"/>
                <w:szCs w:val="24"/>
              </w:rPr>
              <w:t>YES</w:t>
            </w:r>
          </w:p>
        </w:tc>
      </w:tr>
    </w:tbl>
    <w:p w14:paraId="60FF0229" w14:textId="77777777" w:rsidR="00FB736C" w:rsidRPr="00EE2FE3" w:rsidRDefault="00FB736C" w:rsidP="00FB736C">
      <w:pPr>
        <w:ind w:left="-567" w:right="-613"/>
        <w:jc w:val="both"/>
        <w:rPr>
          <w:rFonts w:ascii="Times New Roman" w:hAnsi="Times New Roman" w:cs="Times New Roman"/>
          <w:lang w:val="en-GB" w:eastAsia="en-US"/>
        </w:rPr>
      </w:pPr>
      <w:r w:rsidRPr="008E0458">
        <w:rPr>
          <w:rFonts w:asciiTheme="majorBidi" w:hAnsiTheme="majorBidi" w:cstheme="majorBidi"/>
          <w:b/>
          <w:bCs/>
          <w:noProof/>
          <w:lang w:val="en-GB"/>
        </w:rPr>
        <w:t xml:space="preserve">Note: </w:t>
      </w:r>
      <w:r w:rsidRPr="008E0458">
        <w:rPr>
          <w:rFonts w:ascii="Times New Roman" w:hAnsi="Times New Roman" w:cs="Times New Roman"/>
          <w:lang w:val="en-GB" w:eastAsia="en-US"/>
        </w:rPr>
        <w:t>The Table reports the coefficient est</w:t>
      </w:r>
      <w:r>
        <w:rPr>
          <w:rFonts w:ascii="Times New Roman" w:hAnsi="Times New Roman" w:cs="Times New Roman"/>
          <w:lang w:val="en-GB" w:eastAsia="en-US"/>
        </w:rPr>
        <w:t>imates from equation 1</w:t>
      </w:r>
      <w:r w:rsidRPr="008E0458">
        <w:rPr>
          <w:rFonts w:ascii="Times New Roman" w:hAnsi="Times New Roman" w:cs="Times New Roman"/>
          <w:lang w:val="en-GB" w:eastAsia="en-US"/>
        </w:rPr>
        <w:t xml:space="preserve">. </w:t>
      </w:r>
      <m:oMath>
        <m:r>
          <m:rPr>
            <m:sty m:val="p"/>
          </m:rPr>
          <w:rPr>
            <w:rFonts w:ascii="Cambria Math" w:hAnsi="Cambria Math" w:cs="Times New Roman"/>
            <w:sz w:val="24"/>
            <w:szCs w:val="24"/>
          </w:rPr>
          <m:t>Δ</m:t>
        </m:r>
      </m:oMath>
      <w:r>
        <w:rPr>
          <w:rFonts w:ascii="Times New Roman" w:hAnsi="Times New Roman" w:cs="Times New Roman"/>
          <w:lang w:val="en-GB" w:eastAsia="en-US"/>
        </w:rPr>
        <w:t xml:space="preserve">lnDep is the change of deposits (expressed in logarithm) from t and t-1. </w:t>
      </w:r>
      <w:r w:rsidRPr="008E0458">
        <w:rPr>
          <w:rFonts w:asciiTheme="majorBidi" w:eastAsia="Times New Roman" w:hAnsiTheme="majorBidi" w:cstheme="majorBidi"/>
          <w:i/>
          <w:iCs/>
          <w:color w:val="000000"/>
          <w:lang w:val="en-GB"/>
        </w:rPr>
        <w:t>LE</w:t>
      </w:r>
      <w:r w:rsidRPr="008E0458">
        <w:rPr>
          <w:rFonts w:asciiTheme="majorBidi" w:eastAsia="Times New Roman" w:hAnsiTheme="majorBidi" w:cstheme="majorBidi"/>
          <w:i/>
          <w:iCs/>
          <w:color w:val="000000"/>
          <w:sz w:val="14"/>
          <w:szCs w:val="14"/>
          <w:lang w:val="en-GB"/>
        </w:rPr>
        <w:t xml:space="preserve">D, </w:t>
      </w:r>
      <w:r w:rsidRPr="008E0458">
        <w:rPr>
          <w:rFonts w:ascii="Times New Roman" w:hAnsi="Times New Roman" w:cs="Times New Roman"/>
          <w:lang w:val="en-GB" w:eastAsia="en-US"/>
        </w:rPr>
        <w:t>Lerner Index for deposits. All explanatory variables enter the regressions with a one year lag. GD is geographic diversification calculated with the Berry Index;</w:t>
      </w:r>
      <w:r>
        <w:rPr>
          <w:rFonts w:ascii="Times New Roman" w:hAnsi="Times New Roman" w:cs="Times New Roman"/>
          <w:lang w:val="en-GB" w:eastAsia="en-US"/>
        </w:rPr>
        <w:t xml:space="preserve"> </w:t>
      </w:r>
      <w:r w:rsidRPr="00BD18D8">
        <w:rPr>
          <w:rFonts w:ascii="Times New Roman" w:hAnsi="Times New Roman" w:cs="Times New Roman"/>
          <w:lang w:val="en-GB" w:eastAsia="en-US"/>
        </w:rPr>
        <w:t>NPLs is the amount of non-performing loans; EQTA is equity over total assets;</w:t>
      </w:r>
      <w:r w:rsidRPr="008E0458">
        <w:rPr>
          <w:rFonts w:ascii="Times New Roman" w:hAnsi="Times New Roman" w:cs="Times New Roman"/>
          <w:lang w:val="en-GB" w:eastAsia="en-US"/>
        </w:rPr>
        <w:t xml:space="preserve"> </w:t>
      </w:r>
      <w:r>
        <w:rPr>
          <w:rFonts w:ascii="Times New Roman" w:hAnsi="Times New Roman" w:cs="Times New Roman"/>
          <w:lang w:val="en-GB" w:eastAsia="en-US"/>
        </w:rPr>
        <w:t>DISTANCE</w:t>
      </w:r>
      <w:r w:rsidRPr="008E0458">
        <w:rPr>
          <w:rFonts w:ascii="Times New Roman" w:hAnsi="Times New Roman" w:cs="Times New Roman"/>
          <w:lang w:val="en-GB" w:eastAsia="en-US"/>
        </w:rPr>
        <w:t xml:space="preserve"> is the </w:t>
      </w:r>
      <w:r>
        <w:rPr>
          <w:rFonts w:ascii="Times New Roman" w:hAnsi="Times New Roman" w:cs="Times New Roman"/>
          <w:lang w:val="en-GB" w:eastAsia="en-US"/>
        </w:rPr>
        <w:t xml:space="preserve">weighted </w:t>
      </w:r>
      <w:r w:rsidRPr="008E0458">
        <w:rPr>
          <w:rFonts w:ascii="Times New Roman" w:hAnsi="Times New Roman" w:cs="Times New Roman"/>
          <w:lang w:val="en-GB" w:eastAsia="en-US"/>
        </w:rPr>
        <w:t>distance between the headquarter and the branches; MC</w:t>
      </w:r>
      <w:r>
        <w:rPr>
          <w:rFonts w:ascii="Times New Roman" w:hAnsi="Times New Roman" w:cs="Times New Roman"/>
          <w:lang w:val="en-GB" w:eastAsia="en-US"/>
        </w:rPr>
        <w:t>w</w:t>
      </w:r>
      <w:r w:rsidRPr="008E0458">
        <w:rPr>
          <w:rFonts w:ascii="Times New Roman" w:hAnsi="Times New Roman" w:cs="Times New Roman"/>
          <w:lang w:val="en-GB" w:eastAsia="en-US"/>
        </w:rPr>
        <w:t xml:space="preserve"> is the</w:t>
      </w:r>
      <w:r>
        <w:rPr>
          <w:rFonts w:ascii="Times New Roman" w:hAnsi="Times New Roman" w:cs="Times New Roman"/>
          <w:lang w:val="en-GB" w:eastAsia="en-US"/>
        </w:rPr>
        <w:t xml:space="preserve"> weighted</w:t>
      </w:r>
      <w:r w:rsidRPr="008E0458">
        <w:rPr>
          <w:rFonts w:ascii="Times New Roman" w:hAnsi="Times New Roman" w:cs="Times New Roman"/>
          <w:lang w:val="en-GB" w:eastAsia="en-US"/>
        </w:rPr>
        <w:t xml:space="preserve"> market coverage; ENTRY is the net number of new branches over total branches in each province; HHI</w:t>
      </w:r>
      <w:r>
        <w:rPr>
          <w:rFonts w:ascii="Times New Roman" w:hAnsi="Times New Roman" w:cs="Times New Roman"/>
          <w:lang w:val="en-GB" w:eastAsia="en-US"/>
        </w:rPr>
        <w:t>w</w:t>
      </w:r>
      <w:r w:rsidRPr="008E0458">
        <w:rPr>
          <w:rFonts w:ascii="Times New Roman" w:hAnsi="Times New Roman" w:cs="Times New Roman"/>
          <w:lang w:val="en-GB" w:eastAsia="en-US"/>
        </w:rPr>
        <w:t xml:space="preserve"> is the </w:t>
      </w:r>
      <w:r>
        <w:rPr>
          <w:rFonts w:ascii="Times New Roman" w:hAnsi="Times New Roman" w:cs="Times New Roman"/>
          <w:lang w:val="en-GB" w:eastAsia="en-US"/>
        </w:rPr>
        <w:t xml:space="preserve">weighed </w:t>
      </w:r>
      <w:r w:rsidRPr="008E0458">
        <w:rPr>
          <w:rFonts w:ascii="Times New Roman" w:hAnsi="Times New Roman" w:cs="Times New Roman"/>
          <w:lang w:val="en-GB" w:eastAsia="en-US"/>
        </w:rPr>
        <w:t xml:space="preserve">concentration of branches </w:t>
      </w:r>
      <w:r>
        <w:rPr>
          <w:rFonts w:ascii="Times New Roman" w:hAnsi="Times New Roman" w:cs="Times New Roman"/>
          <w:lang w:val="en-GB" w:eastAsia="en-US"/>
        </w:rPr>
        <w:t>in each province;</w:t>
      </w:r>
      <w:r w:rsidRPr="001B7C04">
        <w:rPr>
          <w:rFonts w:ascii="Times New Roman" w:hAnsi="Times New Roman" w:cs="Times New Roman"/>
          <w:lang w:val="en-GB" w:eastAsia="en-US"/>
        </w:rPr>
        <w:t xml:space="preserve"> </w:t>
      </w:r>
      <w:r w:rsidRPr="00BD18D8">
        <w:rPr>
          <w:rFonts w:ascii="Times New Roman" w:hAnsi="Times New Roman" w:cs="Times New Roman"/>
          <w:lang w:val="en-GB" w:eastAsia="en-US"/>
        </w:rPr>
        <w:t>Standard er</w:t>
      </w:r>
      <w:r>
        <w:rPr>
          <w:rFonts w:ascii="Times New Roman" w:hAnsi="Times New Roman" w:cs="Times New Roman"/>
          <w:lang w:val="en-GB" w:eastAsia="en-US"/>
        </w:rPr>
        <w:t xml:space="preserve">rors are clustered by bank ID. </w:t>
      </w:r>
      <w:r w:rsidRPr="006540FE">
        <w:rPr>
          <w:rFonts w:ascii="Times New Roman" w:hAnsi="Times New Roman" w:cs="Times New Roman"/>
          <w:lang w:val="en-US"/>
        </w:rPr>
        <w:t xml:space="preserve">** </w:t>
      </w:r>
      <w:r w:rsidRPr="006540FE">
        <w:rPr>
          <w:rFonts w:ascii="Times New Roman" w:hAnsi="Times New Roman" w:cs="Times New Roman"/>
          <w:i/>
          <w:lang w:val="en-US"/>
        </w:rPr>
        <w:t>p</w:t>
      </w:r>
      <w:r w:rsidRPr="006540FE">
        <w:rPr>
          <w:rFonts w:ascii="Times New Roman" w:hAnsi="Times New Roman" w:cs="Times New Roman"/>
          <w:lang w:val="en-US"/>
        </w:rPr>
        <w:t xml:space="preserve">&lt;.05, *** </w:t>
      </w:r>
      <w:r w:rsidRPr="006540FE">
        <w:rPr>
          <w:rFonts w:ascii="Times New Roman" w:hAnsi="Times New Roman" w:cs="Times New Roman"/>
          <w:i/>
          <w:lang w:val="en-US"/>
        </w:rPr>
        <w:t>p</w:t>
      </w:r>
      <w:r w:rsidRPr="006540FE">
        <w:rPr>
          <w:rFonts w:ascii="Times New Roman" w:hAnsi="Times New Roman" w:cs="Times New Roman"/>
          <w:lang w:val="en-US"/>
        </w:rPr>
        <w:t>&lt;.01</w:t>
      </w:r>
      <w:r>
        <w:rPr>
          <w:rFonts w:ascii="Times New Roman" w:hAnsi="Times New Roman" w:cs="Times New Roman"/>
          <w:lang w:val="en-US"/>
        </w:rPr>
        <w:t>. Specifications I includes all banks, while specification II includes only banks with large branches.</w:t>
      </w:r>
    </w:p>
    <w:p w14:paraId="3202DAC1" w14:textId="77777777" w:rsidR="00FB736C" w:rsidRDefault="00FB736C" w:rsidP="00FB736C">
      <w:pPr>
        <w:ind w:left="-567" w:right="-613"/>
        <w:jc w:val="both"/>
        <w:rPr>
          <w:rFonts w:ascii="Times New Roman" w:hAnsi="Times New Roman" w:cs="Times New Roman"/>
          <w:lang w:val="en-GB" w:eastAsia="en-US"/>
        </w:rPr>
      </w:pPr>
    </w:p>
    <w:p w14:paraId="328EDB42" w14:textId="77777777" w:rsidR="00FB736C" w:rsidRDefault="00FB736C" w:rsidP="00FB736C">
      <w:pPr>
        <w:ind w:left="-567" w:right="-613"/>
        <w:jc w:val="both"/>
        <w:rPr>
          <w:rFonts w:ascii="Times New Roman" w:hAnsi="Times New Roman" w:cs="Times New Roman"/>
          <w:lang w:val="en-GB" w:eastAsia="en-US"/>
        </w:rPr>
      </w:pPr>
    </w:p>
    <w:p w14:paraId="2D7E2ED9" w14:textId="77777777" w:rsidR="00FB736C" w:rsidRPr="00EE2FE3" w:rsidRDefault="00FB736C" w:rsidP="00FB736C">
      <w:pPr>
        <w:ind w:left="-567" w:right="-613"/>
        <w:jc w:val="both"/>
        <w:rPr>
          <w:rFonts w:ascii="Times New Roman" w:hAnsi="Times New Roman" w:cs="Times New Roman"/>
          <w:lang w:val="en-GB" w:eastAsia="en-US"/>
        </w:rPr>
      </w:pPr>
    </w:p>
    <w:p w14:paraId="5CD7F354" w14:textId="77777777" w:rsidR="00FB736C" w:rsidRDefault="00FB736C" w:rsidP="00FB736C">
      <w:pPr>
        <w:jc w:val="both"/>
        <w:rPr>
          <w:lang w:val="en-GB"/>
        </w:rPr>
      </w:pPr>
    </w:p>
    <w:p w14:paraId="639EB5B4" w14:textId="77777777" w:rsidR="00FB736C" w:rsidRDefault="00FB736C" w:rsidP="00FB736C">
      <w:pPr>
        <w:jc w:val="both"/>
        <w:rPr>
          <w:lang w:val="en-GB"/>
        </w:rPr>
      </w:pPr>
    </w:p>
    <w:p w14:paraId="5AADB293" w14:textId="77777777" w:rsidR="00FB736C" w:rsidRDefault="00FB736C" w:rsidP="00FB736C">
      <w:pPr>
        <w:jc w:val="both"/>
        <w:rPr>
          <w:lang w:val="en-GB"/>
        </w:rPr>
      </w:pPr>
    </w:p>
    <w:p w14:paraId="54A898BA" w14:textId="77777777" w:rsidR="00FB736C" w:rsidRDefault="00FB736C" w:rsidP="00FB736C">
      <w:pPr>
        <w:ind w:left="851" w:hanging="851"/>
        <w:rPr>
          <w:rFonts w:asciiTheme="majorBidi" w:hAnsiTheme="majorBidi" w:cstheme="majorBidi"/>
          <w:b/>
          <w:bCs/>
          <w:i/>
          <w:iCs/>
          <w:sz w:val="24"/>
          <w:szCs w:val="24"/>
          <w:lang w:val="en-GB"/>
        </w:rPr>
      </w:pPr>
    </w:p>
    <w:p w14:paraId="62F803EA" w14:textId="77777777" w:rsidR="00FB736C" w:rsidRPr="005D7567" w:rsidRDefault="00FB736C" w:rsidP="00FB736C">
      <w:pPr>
        <w:rPr>
          <w:rFonts w:asciiTheme="majorBidi" w:hAnsiTheme="majorBidi" w:cstheme="majorBidi"/>
          <w:b/>
          <w:bCs/>
          <w:i/>
          <w:iCs/>
          <w:noProof/>
          <w:sz w:val="24"/>
          <w:szCs w:val="24"/>
          <w:lang w:val="en-GB"/>
        </w:rPr>
      </w:pPr>
      <w:r w:rsidRPr="005D7567">
        <w:rPr>
          <w:rFonts w:asciiTheme="majorBidi" w:hAnsiTheme="majorBidi" w:cstheme="majorBidi"/>
          <w:b/>
          <w:bCs/>
          <w:i/>
          <w:iCs/>
          <w:sz w:val="24"/>
          <w:szCs w:val="24"/>
          <w:lang w:val="en-GB"/>
        </w:rPr>
        <w:t>Table 6. ROA, Adj Lerner Index, Loans over Total Assets (LNTA), Deposits over Total Assets (DPTA) and</w:t>
      </w:r>
      <w:r w:rsidRPr="005D7567">
        <w:rPr>
          <w:rFonts w:asciiTheme="majorBidi" w:hAnsiTheme="majorBidi" w:cstheme="majorBidi"/>
          <w:b/>
          <w:bCs/>
          <w:i/>
          <w:iCs/>
          <w:noProof/>
          <w:sz w:val="24"/>
          <w:szCs w:val="24"/>
          <w:lang w:val="en-GB"/>
        </w:rPr>
        <w:t xml:space="preserve"> Lerner Index for Loans (LE</w:t>
      </w:r>
      <w:r w:rsidRPr="005D7567">
        <w:rPr>
          <w:rFonts w:asciiTheme="majorBidi" w:hAnsiTheme="majorBidi" w:cstheme="majorBidi"/>
          <w:b/>
          <w:bCs/>
          <w:i/>
          <w:iCs/>
          <w:noProof/>
          <w:sz w:val="18"/>
          <w:szCs w:val="24"/>
          <w:lang w:val="en-GB"/>
        </w:rPr>
        <w:t>L</w:t>
      </w:r>
      <w:r w:rsidRPr="005D7567">
        <w:rPr>
          <w:rFonts w:asciiTheme="majorBidi" w:hAnsiTheme="majorBidi" w:cstheme="majorBidi"/>
          <w:b/>
          <w:bCs/>
          <w:i/>
          <w:iCs/>
          <w:noProof/>
          <w:sz w:val="24"/>
          <w:szCs w:val="24"/>
          <w:lang w:val="en-GB"/>
        </w:rPr>
        <w:t>) and Deposits of Single-Market Banks (LE</w:t>
      </w:r>
      <w:r w:rsidRPr="005D7567">
        <w:rPr>
          <w:rFonts w:asciiTheme="majorBidi" w:hAnsiTheme="majorBidi" w:cstheme="majorBidi"/>
          <w:b/>
          <w:bCs/>
          <w:i/>
          <w:iCs/>
          <w:noProof/>
          <w:sz w:val="18"/>
          <w:szCs w:val="24"/>
          <w:lang w:val="en-GB"/>
        </w:rPr>
        <w:t>D</w:t>
      </w:r>
      <w:r w:rsidRPr="005D7567">
        <w:rPr>
          <w:rFonts w:asciiTheme="majorBidi" w:hAnsiTheme="majorBidi" w:cstheme="majorBidi"/>
          <w:b/>
          <w:bCs/>
          <w:i/>
          <w:iCs/>
          <w:noProof/>
          <w:sz w:val="24"/>
          <w:szCs w:val="24"/>
          <w:lang w:val="en-GB"/>
        </w:rPr>
        <w:t>)</w:t>
      </w:r>
    </w:p>
    <w:tbl>
      <w:tblPr>
        <w:tblW w:w="10228" w:type="dxa"/>
        <w:jc w:val="center"/>
        <w:tblLayout w:type="fixed"/>
        <w:tblCellMar>
          <w:left w:w="75" w:type="dxa"/>
          <w:right w:w="75" w:type="dxa"/>
        </w:tblCellMar>
        <w:tblLook w:val="0000" w:firstRow="0" w:lastRow="0" w:firstColumn="0" w:lastColumn="0" w:noHBand="0" w:noVBand="0"/>
      </w:tblPr>
      <w:tblGrid>
        <w:gridCol w:w="2268"/>
        <w:gridCol w:w="1417"/>
        <w:gridCol w:w="1276"/>
        <w:gridCol w:w="1276"/>
        <w:gridCol w:w="1275"/>
        <w:gridCol w:w="1276"/>
        <w:gridCol w:w="1440"/>
      </w:tblGrid>
      <w:tr w:rsidR="00FB736C" w14:paraId="05CCE787" w14:textId="77777777" w:rsidTr="00C15CF1">
        <w:trPr>
          <w:trHeight w:val="422"/>
          <w:jc w:val="center"/>
        </w:trPr>
        <w:tc>
          <w:tcPr>
            <w:tcW w:w="2268" w:type="dxa"/>
            <w:tcBorders>
              <w:top w:val="single" w:sz="6" w:space="0" w:color="auto"/>
              <w:left w:val="nil"/>
              <w:bottom w:val="nil"/>
              <w:right w:val="nil"/>
            </w:tcBorders>
          </w:tcPr>
          <w:p w14:paraId="5FBB1ADF"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17" w:type="dxa"/>
            <w:tcBorders>
              <w:top w:val="single" w:sz="6" w:space="0" w:color="auto"/>
              <w:left w:val="nil"/>
              <w:bottom w:val="nil"/>
              <w:right w:val="nil"/>
            </w:tcBorders>
          </w:tcPr>
          <w:p w14:paraId="2802C85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AA534B">
              <w:rPr>
                <w:rFonts w:ascii="Times New Roman" w:hAnsi="Times New Roman" w:cs="Times New Roman"/>
              </w:rPr>
              <w:t>(1)</w:t>
            </w:r>
          </w:p>
        </w:tc>
        <w:tc>
          <w:tcPr>
            <w:tcW w:w="1276" w:type="dxa"/>
            <w:tcBorders>
              <w:top w:val="single" w:sz="6" w:space="0" w:color="auto"/>
              <w:left w:val="nil"/>
              <w:bottom w:val="nil"/>
              <w:right w:val="nil"/>
            </w:tcBorders>
          </w:tcPr>
          <w:p w14:paraId="0DCB5CB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AA534B">
              <w:rPr>
                <w:rFonts w:ascii="Times New Roman" w:hAnsi="Times New Roman" w:cs="Times New Roman"/>
              </w:rPr>
              <w:t>(2)</w:t>
            </w:r>
          </w:p>
        </w:tc>
        <w:tc>
          <w:tcPr>
            <w:tcW w:w="1276" w:type="dxa"/>
            <w:tcBorders>
              <w:top w:val="single" w:sz="6" w:space="0" w:color="auto"/>
              <w:left w:val="nil"/>
              <w:bottom w:val="nil"/>
              <w:right w:val="nil"/>
            </w:tcBorders>
          </w:tcPr>
          <w:p w14:paraId="4DB1709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AA534B">
              <w:rPr>
                <w:rFonts w:ascii="Times New Roman" w:hAnsi="Times New Roman" w:cs="Times New Roman"/>
              </w:rPr>
              <w:t>(3)</w:t>
            </w:r>
          </w:p>
        </w:tc>
        <w:tc>
          <w:tcPr>
            <w:tcW w:w="1275" w:type="dxa"/>
            <w:tcBorders>
              <w:top w:val="single" w:sz="6" w:space="0" w:color="auto"/>
              <w:left w:val="nil"/>
              <w:bottom w:val="nil"/>
              <w:right w:val="nil"/>
            </w:tcBorders>
          </w:tcPr>
          <w:p w14:paraId="2B381D1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AA534B">
              <w:rPr>
                <w:rFonts w:ascii="Times New Roman" w:hAnsi="Times New Roman" w:cs="Times New Roman"/>
              </w:rPr>
              <w:t>(4)</w:t>
            </w:r>
          </w:p>
        </w:tc>
        <w:tc>
          <w:tcPr>
            <w:tcW w:w="1276" w:type="dxa"/>
            <w:tcBorders>
              <w:top w:val="single" w:sz="6" w:space="0" w:color="auto"/>
              <w:left w:val="nil"/>
              <w:bottom w:val="nil"/>
              <w:right w:val="nil"/>
            </w:tcBorders>
          </w:tcPr>
          <w:p w14:paraId="22C151A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AA534B">
              <w:rPr>
                <w:rFonts w:ascii="Times New Roman" w:hAnsi="Times New Roman" w:cs="Times New Roman"/>
              </w:rPr>
              <w:t>(5)</w:t>
            </w:r>
          </w:p>
        </w:tc>
        <w:tc>
          <w:tcPr>
            <w:tcW w:w="1440" w:type="dxa"/>
            <w:tcBorders>
              <w:top w:val="single" w:sz="6" w:space="0" w:color="auto"/>
              <w:left w:val="nil"/>
              <w:bottom w:val="nil"/>
              <w:right w:val="nil"/>
            </w:tcBorders>
          </w:tcPr>
          <w:p w14:paraId="6D663A0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AA534B">
              <w:rPr>
                <w:rFonts w:ascii="Times New Roman" w:hAnsi="Times New Roman" w:cs="Times New Roman"/>
              </w:rPr>
              <w:t>(6)</w:t>
            </w:r>
          </w:p>
        </w:tc>
      </w:tr>
      <w:tr w:rsidR="00FB736C" w14:paraId="58577548" w14:textId="77777777" w:rsidTr="00C15CF1">
        <w:trPr>
          <w:jc w:val="center"/>
        </w:trPr>
        <w:tc>
          <w:tcPr>
            <w:tcW w:w="2268" w:type="dxa"/>
            <w:tcBorders>
              <w:top w:val="nil"/>
              <w:left w:val="nil"/>
              <w:bottom w:val="single" w:sz="6" w:space="0" w:color="auto"/>
              <w:right w:val="nil"/>
            </w:tcBorders>
          </w:tcPr>
          <w:p w14:paraId="20DAD686"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VARIABLES</w:t>
            </w:r>
          </w:p>
        </w:tc>
        <w:tc>
          <w:tcPr>
            <w:tcW w:w="1417" w:type="dxa"/>
            <w:tcBorders>
              <w:top w:val="nil"/>
              <w:left w:val="nil"/>
              <w:bottom w:val="single" w:sz="6" w:space="0" w:color="auto"/>
              <w:right w:val="nil"/>
            </w:tcBorders>
          </w:tcPr>
          <w:p w14:paraId="06649A2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AA534B">
              <w:rPr>
                <w:rFonts w:ascii="Times New Roman" w:hAnsi="Times New Roman" w:cs="Times New Roman"/>
                <w:sz w:val="24"/>
                <w:szCs w:val="24"/>
              </w:rPr>
              <w:t>ROA</w:t>
            </w:r>
          </w:p>
        </w:tc>
        <w:tc>
          <w:tcPr>
            <w:tcW w:w="1276" w:type="dxa"/>
            <w:tcBorders>
              <w:top w:val="nil"/>
              <w:left w:val="nil"/>
              <w:bottom w:val="single" w:sz="6" w:space="0" w:color="auto"/>
              <w:right w:val="nil"/>
            </w:tcBorders>
          </w:tcPr>
          <w:p w14:paraId="5C7AFBA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AA534B">
              <w:rPr>
                <w:rFonts w:ascii="Times New Roman" w:hAnsi="Times New Roman" w:cs="Times New Roman"/>
                <w:sz w:val="24"/>
                <w:szCs w:val="24"/>
              </w:rPr>
              <w:t>Adj Lerner Index</w:t>
            </w:r>
          </w:p>
        </w:tc>
        <w:tc>
          <w:tcPr>
            <w:tcW w:w="1276" w:type="dxa"/>
            <w:tcBorders>
              <w:top w:val="nil"/>
              <w:left w:val="nil"/>
              <w:bottom w:val="single" w:sz="6" w:space="0" w:color="auto"/>
              <w:right w:val="nil"/>
            </w:tcBorders>
          </w:tcPr>
          <w:p w14:paraId="7515DB1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AA534B">
              <w:rPr>
                <w:rFonts w:ascii="Times New Roman" w:hAnsi="Times New Roman" w:cs="Times New Roman"/>
                <w:sz w:val="24"/>
                <w:szCs w:val="24"/>
              </w:rPr>
              <w:t>LNTA</w:t>
            </w:r>
          </w:p>
        </w:tc>
        <w:tc>
          <w:tcPr>
            <w:tcW w:w="1275" w:type="dxa"/>
            <w:tcBorders>
              <w:top w:val="nil"/>
              <w:left w:val="nil"/>
              <w:bottom w:val="single" w:sz="6" w:space="0" w:color="auto"/>
              <w:right w:val="nil"/>
            </w:tcBorders>
          </w:tcPr>
          <w:p w14:paraId="6282C08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AA534B">
              <w:rPr>
                <w:rFonts w:ascii="Times New Roman" w:hAnsi="Times New Roman" w:cs="Times New Roman"/>
                <w:sz w:val="24"/>
                <w:szCs w:val="24"/>
              </w:rPr>
              <w:t>DPTA</w:t>
            </w:r>
          </w:p>
        </w:tc>
        <w:tc>
          <w:tcPr>
            <w:tcW w:w="1276" w:type="dxa"/>
            <w:tcBorders>
              <w:top w:val="nil"/>
              <w:left w:val="nil"/>
              <w:bottom w:val="single" w:sz="6" w:space="0" w:color="auto"/>
              <w:right w:val="nil"/>
            </w:tcBorders>
          </w:tcPr>
          <w:p w14:paraId="4D208CF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LE</w:t>
            </w:r>
            <w:r>
              <w:rPr>
                <w:rFonts w:ascii="Times New Roman" w:hAnsi="Times New Roman" w:cs="Times New Roman"/>
                <w:sz w:val="18"/>
                <w:szCs w:val="24"/>
              </w:rPr>
              <w:t>L</w:t>
            </w:r>
          </w:p>
        </w:tc>
        <w:tc>
          <w:tcPr>
            <w:tcW w:w="1440" w:type="dxa"/>
            <w:tcBorders>
              <w:top w:val="nil"/>
              <w:left w:val="nil"/>
              <w:bottom w:val="single" w:sz="6" w:space="0" w:color="auto"/>
              <w:right w:val="nil"/>
            </w:tcBorders>
          </w:tcPr>
          <w:p w14:paraId="74CC2FE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LE</w:t>
            </w:r>
            <w:r w:rsidRPr="008D69D6">
              <w:rPr>
                <w:rFonts w:ascii="Times New Roman" w:hAnsi="Times New Roman" w:cs="Times New Roman"/>
                <w:sz w:val="18"/>
                <w:szCs w:val="24"/>
              </w:rPr>
              <w:t>D</w:t>
            </w:r>
          </w:p>
        </w:tc>
      </w:tr>
      <w:tr w:rsidR="00FB736C" w14:paraId="67DF08A2" w14:textId="77777777" w:rsidTr="00C15CF1">
        <w:trPr>
          <w:trHeight w:val="138"/>
          <w:jc w:val="center"/>
        </w:trPr>
        <w:tc>
          <w:tcPr>
            <w:tcW w:w="2268" w:type="dxa"/>
            <w:tcBorders>
              <w:top w:val="nil"/>
              <w:left w:val="nil"/>
              <w:bottom w:val="nil"/>
              <w:right w:val="nil"/>
            </w:tcBorders>
          </w:tcPr>
          <w:p w14:paraId="2E3B316F"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MC_LargeB</w:t>
            </w:r>
          </w:p>
        </w:tc>
        <w:tc>
          <w:tcPr>
            <w:tcW w:w="1417" w:type="dxa"/>
            <w:tcBorders>
              <w:top w:val="nil"/>
              <w:left w:val="nil"/>
              <w:bottom w:val="nil"/>
              <w:right w:val="nil"/>
            </w:tcBorders>
          </w:tcPr>
          <w:p w14:paraId="2FE446D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-0.0017</w:t>
            </w:r>
          </w:p>
        </w:tc>
        <w:tc>
          <w:tcPr>
            <w:tcW w:w="1276" w:type="dxa"/>
            <w:tcBorders>
              <w:top w:val="nil"/>
              <w:left w:val="nil"/>
              <w:bottom w:val="nil"/>
              <w:right w:val="nil"/>
            </w:tcBorders>
          </w:tcPr>
          <w:p w14:paraId="637E85F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0.0669**</w:t>
            </w:r>
          </w:p>
        </w:tc>
        <w:tc>
          <w:tcPr>
            <w:tcW w:w="1276" w:type="dxa"/>
            <w:tcBorders>
              <w:top w:val="nil"/>
              <w:left w:val="nil"/>
              <w:bottom w:val="nil"/>
              <w:right w:val="nil"/>
            </w:tcBorders>
          </w:tcPr>
          <w:p w14:paraId="07E52E3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0.0667</w:t>
            </w:r>
          </w:p>
        </w:tc>
        <w:tc>
          <w:tcPr>
            <w:tcW w:w="1275" w:type="dxa"/>
            <w:tcBorders>
              <w:top w:val="nil"/>
              <w:left w:val="nil"/>
              <w:bottom w:val="nil"/>
              <w:right w:val="nil"/>
            </w:tcBorders>
          </w:tcPr>
          <w:p w14:paraId="7E2BC32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-0.0581</w:t>
            </w:r>
          </w:p>
        </w:tc>
        <w:tc>
          <w:tcPr>
            <w:tcW w:w="1276" w:type="dxa"/>
            <w:tcBorders>
              <w:top w:val="nil"/>
              <w:left w:val="nil"/>
              <w:bottom w:val="nil"/>
              <w:right w:val="nil"/>
            </w:tcBorders>
          </w:tcPr>
          <w:p w14:paraId="6FE9DB8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0.0086</w:t>
            </w:r>
          </w:p>
        </w:tc>
        <w:tc>
          <w:tcPr>
            <w:tcW w:w="1440" w:type="dxa"/>
            <w:tcBorders>
              <w:top w:val="nil"/>
              <w:left w:val="nil"/>
              <w:bottom w:val="nil"/>
              <w:right w:val="nil"/>
            </w:tcBorders>
          </w:tcPr>
          <w:p w14:paraId="79986EC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0.1076***</w:t>
            </w:r>
          </w:p>
        </w:tc>
      </w:tr>
      <w:tr w:rsidR="00FB736C" w14:paraId="103C03DE" w14:textId="77777777" w:rsidTr="00C15CF1">
        <w:trPr>
          <w:jc w:val="center"/>
        </w:trPr>
        <w:tc>
          <w:tcPr>
            <w:tcW w:w="2268" w:type="dxa"/>
            <w:tcBorders>
              <w:top w:val="nil"/>
              <w:left w:val="nil"/>
              <w:bottom w:val="nil"/>
              <w:right w:val="nil"/>
            </w:tcBorders>
          </w:tcPr>
          <w:p w14:paraId="725B132E"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17" w:type="dxa"/>
            <w:tcBorders>
              <w:top w:val="nil"/>
              <w:left w:val="nil"/>
              <w:bottom w:val="nil"/>
              <w:right w:val="nil"/>
            </w:tcBorders>
          </w:tcPr>
          <w:p w14:paraId="2AFBADD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276" w:type="dxa"/>
            <w:tcBorders>
              <w:top w:val="nil"/>
              <w:left w:val="nil"/>
              <w:bottom w:val="nil"/>
              <w:right w:val="nil"/>
            </w:tcBorders>
          </w:tcPr>
          <w:p w14:paraId="1449F5B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[0.032]</w:t>
            </w:r>
          </w:p>
        </w:tc>
        <w:tc>
          <w:tcPr>
            <w:tcW w:w="1276" w:type="dxa"/>
            <w:tcBorders>
              <w:top w:val="nil"/>
              <w:left w:val="nil"/>
              <w:bottom w:val="nil"/>
              <w:right w:val="nil"/>
            </w:tcBorders>
          </w:tcPr>
          <w:p w14:paraId="74634B2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[0.037]</w:t>
            </w:r>
          </w:p>
        </w:tc>
        <w:tc>
          <w:tcPr>
            <w:tcW w:w="1275" w:type="dxa"/>
            <w:tcBorders>
              <w:top w:val="nil"/>
              <w:left w:val="nil"/>
              <w:bottom w:val="nil"/>
              <w:right w:val="nil"/>
            </w:tcBorders>
          </w:tcPr>
          <w:p w14:paraId="204839A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[0.031]</w:t>
            </w:r>
          </w:p>
        </w:tc>
        <w:tc>
          <w:tcPr>
            <w:tcW w:w="1276" w:type="dxa"/>
            <w:tcBorders>
              <w:top w:val="nil"/>
              <w:left w:val="nil"/>
              <w:bottom w:val="nil"/>
              <w:right w:val="nil"/>
            </w:tcBorders>
          </w:tcPr>
          <w:p w14:paraId="0DD8344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w:t>
            </w:r>
          </w:p>
        </w:tc>
        <w:tc>
          <w:tcPr>
            <w:tcW w:w="1440" w:type="dxa"/>
            <w:tcBorders>
              <w:top w:val="nil"/>
              <w:left w:val="nil"/>
              <w:bottom w:val="nil"/>
              <w:right w:val="nil"/>
            </w:tcBorders>
          </w:tcPr>
          <w:p w14:paraId="3A5955C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[0.029]</w:t>
            </w:r>
          </w:p>
        </w:tc>
      </w:tr>
      <w:tr w:rsidR="00FB736C" w14:paraId="1139B930" w14:textId="77777777" w:rsidTr="00C15CF1">
        <w:trPr>
          <w:jc w:val="center"/>
        </w:trPr>
        <w:tc>
          <w:tcPr>
            <w:tcW w:w="2268" w:type="dxa"/>
            <w:tcBorders>
              <w:top w:val="nil"/>
              <w:left w:val="nil"/>
              <w:bottom w:val="nil"/>
              <w:right w:val="nil"/>
            </w:tcBorders>
          </w:tcPr>
          <w:p w14:paraId="696D0FF2"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HHI</w:t>
            </w:r>
          </w:p>
        </w:tc>
        <w:tc>
          <w:tcPr>
            <w:tcW w:w="1417" w:type="dxa"/>
            <w:tcBorders>
              <w:top w:val="nil"/>
              <w:left w:val="nil"/>
              <w:bottom w:val="nil"/>
              <w:right w:val="nil"/>
            </w:tcBorders>
          </w:tcPr>
          <w:p w14:paraId="1809AEE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-0.0165</w:t>
            </w:r>
          </w:p>
        </w:tc>
        <w:tc>
          <w:tcPr>
            <w:tcW w:w="1276" w:type="dxa"/>
            <w:tcBorders>
              <w:top w:val="nil"/>
              <w:left w:val="nil"/>
              <w:bottom w:val="nil"/>
              <w:right w:val="nil"/>
            </w:tcBorders>
          </w:tcPr>
          <w:p w14:paraId="468699C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0.5052**</w:t>
            </w:r>
          </w:p>
        </w:tc>
        <w:tc>
          <w:tcPr>
            <w:tcW w:w="1276" w:type="dxa"/>
            <w:tcBorders>
              <w:top w:val="nil"/>
              <w:left w:val="nil"/>
              <w:bottom w:val="nil"/>
              <w:right w:val="nil"/>
            </w:tcBorders>
          </w:tcPr>
          <w:p w14:paraId="34C6F97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0.5890**</w:t>
            </w:r>
          </w:p>
        </w:tc>
        <w:tc>
          <w:tcPr>
            <w:tcW w:w="1275" w:type="dxa"/>
            <w:tcBorders>
              <w:top w:val="nil"/>
              <w:left w:val="nil"/>
              <w:bottom w:val="nil"/>
              <w:right w:val="nil"/>
            </w:tcBorders>
          </w:tcPr>
          <w:p w14:paraId="505CC8E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-0.5495***</w:t>
            </w:r>
          </w:p>
        </w:tc>
        <w:tc>
          <w:tcPr>
            <w:tcW w:w="1276" w:type="dxa"/>
            <w:tcBorders>
              <w:top w:val="nil"/>
              <w:left w:val="nil"/>
              <w:bottom w:val="nil"/>
              <w:right w:val="nil"/>
            </w:tcBorders>
          </w:tcPr>
          <w:p w14:paraId="1293559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-0.0064</w:t>
            </w:r>
          </w:p>
        </w:tc>
        <w:tc>
          <w:tcPr>
            <w:tcW w:w="1440" w:type="dxa"/>
            <w:tcBorders>
              <w:top w:val="nil"/>
              <w:left w:val="nil"/>
              <w:bottom w:val="nil"/>
              <w:right w:val="nil"/>
            </w:tcBorders>
          </w:tcPr>
          <w:p w14:paraId="3947C41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0.7094***</w:t>
            </w:r>
          </w:p>
        </w:tc>
      </w:tr>
      <w:tr w:rsidR="00FB736C" w14:paraId="43F7AFBE" w14:textId="77777777" w:rsidTr="00C15CF1">
        <w:trPr>
          <w:jc w:val="center"/>
        </w:trPr>
        <w:tc>
          <w:tcPr>
            <w:tcW w:w="2268" w:type="dxa"/>
            <w:tcBorders>
              <w:top w:val="nil"/>
              <w:left w:val="nil"/>
              <w:bottom w:val="nil"/>
              <w:right w:val="nil"/>
            </w:tcBorders>
          </w:tcPr>
          <w:p w14:paraId="6E822753"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17" w:type="dxa"/>
            <w:tcBorders>
              <w:top w:val="nil"/>
              <w:left w:val="nil"/>
              <w:bottom w:val="nil"/>
              <w:right w:val="nil"/>
            </w:tcBorders>
          </w:tcPr>
          <w:p w14:paraId="122B808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1276" w:type="dxa"/>
            <w:tcBorders>
              <w:top w:val="nil"/>
              <w:left w:val="nil"/>
              <w:bottom w:val="nil"/>
              <w:right w:val="nil"/>
            </w:tcBorders>
          </w:tcPr>
          <w:p w14:paraId="29EEB21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[0.215]</w:t>
            </w:r>
          </w:p>
        </w:tc>
        <w:tc>
          <w:tcPr>
            <w:tcW w:w="1276" w:type="dxa"/>
            <w:tcBorders>
              <w:top w:val="nil"/>
              <w:left w:val="nil"/>
              <w:bottom w:val="nil"/>
              <w:right w:val="nil"/>
            </w:tcBorders>
          </w:tcPr>
          <w:p w14:paraId="4533815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[0.230]</w:t>
            </w:r>
          </w:p>
        </w:tc>
        <w:tc>
          <w:tcPr>
            <w:tcW w:w="1275" w:type="dxa"/>
            <w:tcBorders>
              <w:top w:val="nil"/>
              <w:left w:val="nil"/>
              <w:bottom w:val="nil"/>
              <w:right w:val="nil"/>
            </w:tcBorders>
          </w:tcPr>
          <w:p w14:paraId="63F59DA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[0.195]</w:t>
            </w:r>
          </w:p>
        </w:tc>
        <w:tc>
          <w:tcPr>
            <w:tcW w:w="1276" w:type="dxa"/>
            <w:tcBorders>
              <w:top w:val="nil"/>
              <w:left w:val="nil"/>
              <w:bottom w:val="nil"/>
              <w:right w:val="nil"/>
            </w:tcBorders>
          </w:tcPr>
          <w:p w14:paraId="60AEE31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[0.053]</w:t>
            </w:r>
          </w:p>
        </w:tc>
        <w:tc>
          <w:tcPr>
            <w:tcW w:w="1440" w:type="dxa"/>
            <w:tcBorders>
              <w:top w:val="nil"/>
              <w:left w:val="nil"/>
              <w:bottom w:val="nil"/>
              <w:right w:val="nil"/>
            </w:tcBorders>
          </w:tcPr>
          <w:p w14:paraId="304AE31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[0.166]</w:t>
            </w:r>
          </w:p>
        </w:tc>
      </w:tr>
      <w:tr w:rsidR="00FB736C" w14:paraId="3CED969E" w14:textId="77777777" w:rsidTr="00C15CF1">
        <w:trPr>
          <w:jc w:val="center"/>
        </w:trPr>
        <w:tc>
          <w:tcPr>
            <w:tcW w:w="2268" w:type="dxa"/>
            <w:tcBorders>
              <w:top w:val="nil"/>
              <w:left w:val="nil"/>
              <w:bottom w:val="nil"/>
              <w:right w:val="nil"/>
            </w:tcBorders>
          </w:tcPr>
          <w:p w14:paraId="101DEE8F"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HHI×MC_LargeB</w:t>
            </w:r>
            <w:r>
              <w:rPr>
                <w:rStyle w:val="EndnoteReference"/>
                <w:rFonts w:ascii="Times New Roman" w:hAnsi="Times New Roman" w:cs="Times New Roman"/>
                <w:sz w:val="24"/>
                <w:szCs w:val="24"/>
              </w:rPr>
              <w:endnoteReference w:id="11"/>
            </w:r>
          </w:p>
        </w:tc>
        <w:tc>
          <w:tcPr>
            <w:tcW w:w="1417" w:type="dxa"/>
            <w:tcBorders>
              <w:top w:val="nil"/>
              <w:left w:val="nil"/>
              <w:bottom w:val="nil"/>
              <w:right w:val="nil"/>
            </w:tcBorders>
          </w:tcPr>
          <w:p w14:paraId="675591F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0.0191***</w:t>
            </w:r>
          </w:p>
        </w:tc>
        <w:tc>
          <w:tcPr>
            <w:tcW w:w="1276" w:type="dxa"/>
            <w:tcBorders>
              <w:top w:val="nil"/>
              <w:left w:val="nil"/>
              <w:bottom w:val="nil"/>
              <w:right w:val="nil"/>
            </w:tcBorders>
          </w:tcPr>
          <w:p w14:paraId="58CD2BB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-0.4698</w:t>
            </w:r>
          </w:p>
        </w:tc>
        <w:tc>
          <w:tcPr>
            <w:tcW w:w="1276" w:type="dxa"/>
            <w:tcBorders>
              <w:top w:val="nil"/>
              <w:left w:val="nil"/>
              <w:bottom w:val="nil"/>
              <w:right w:val="nil"/>
            </w:tcBorders>
          </w:tcPr>
          <w:p w14:paraId="5212B87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-0.6757**</w:t>
            </w:r>
          </w:p>
        </w:tc>
        <w:tc>
          <w:tcPr>
            <w:tcW w:w="1275" w:type="dxa"/>
            <w:tcBorders>
              <w:top w:val="nil"/>
              <w:left w:val="nil"/>
              <w:bottom w:val="nil"/>
              <w:right w:val="nil"/>
            </w:tcBorders>
          </w:tcPr>
          <w:p w14:paraId="333A79E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0.3597</w:t>
            </w:r>
          </w:p>
        </w:tc>
        <w:tc>
          <w:tcPr>
            <w:tcW w:w="1276" w:type="dxa"/>
            <w:tcBorders>
              <w:top w:val="nil"/>
              <w:left w:val="nil"/>
              <w:bottom w:val="nil"/>
              <w:right w:val="nil"/>
            </w:tcBorders>
          </w:tcPr>
          <w:p w14:paraId="65645FB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0.0163</w:t>
            </w:r>
          </w:p>
        </w:tc>
        <w:tc>
          <w:tcPr>
            <w:tcW w:w="1440" w:type="dxa"/>
            <w:tcBorders>
              <w:top w:val="nil"/>
              <w:left w:val="nil"/>
              <w:bottom w:val="nil"/>
              <w:right w:val="nil"/>
            </w:tcBorders>
          </w:tcPr>
          <w:p w14:paraId="56BA1CB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-0.5474**</w:t>
            </w:r>
          </w:p>
        </w:tc>
      </w:tr>
      <w:tr w:rsidR="00FB736C" w14:paraId="0DC748B7" w14:textId="77777777" w:rsidTr="00C15CF1">
        <w:trPr>
          <w:jc w:val="center"/>
        </w:trPr>
        <w:tc>
          <w:tcPr>
            <w:tcW w:w="2268" w:type="dxa"/>
            <w:tcBorders>
              <w:top w:val="nil"/>
              <w:left w:val="nil"/>
              <w:bottom w:val="nil"/>
              <w:right w:val="nil"/>
            </w:tcBorders>
          </w:tcPr>
          <w:p w14:paraId="01B7ECF7"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17" w:type="dxa"/>
            <w:tcBorders>
              <w:top w:val="nil"/>
              <w:left w:val="nil"/>
              <w:bottom w:val="nil"/>
              <w:right w:val="nil"/>
            </w:tcBorders>
          </w:tcPr>
          <w:p w14:paraId="080A70B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c>
          <w:tcPr>
            <w:tcW w:w="1276" w:type="dxa"/>
            <w:tcBorders>
              <w:top w:val="nil"/>
              <w:left w:val="nil"/>
              <w:bottom w:val="nil"/>
              <w:right w:val="nil"/>
            </w:tcBorders>
          </w:tcPr>
          <w:p w14:paraId="1393AE3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[0.297]</w:t>
            </w:r>
          </w:p>
        </w:tc>
        <w:tc>
          <w:tcPr>
            <w:tcW w:w="1276" w:type="dxa"/>
            <w:tcBorders>
              <w:top w:val="nil"/>
              <w:left w:val="nil"/>
              <w:bottom w:val="nil"/>
              <w:right w:val="nil"/>
            </w:tcBorders>
          </w:tcPr>
          <w:p w14:paraId="238E931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[0.341]</w:t>
            </w:r>
          </w:p>
        </w:tc>
        <w:tc>
          <w:tcPr>
            <w:tcW w:w="1275" w:type="dxa"/>
            <w:tcBorders>
              <w:top w:val="nil"/>
              <w:left w:val="nil"/>
              <w:bottom w:val="nil"/>
              <w:right w:val="nil"/>
            </w:tcBorders>
          </w:tcPr>
          <w:p w14:paraId="2FADA94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[0.278]</w:t>
            </w:r>
          </w:p>
        </w:tc>
        <w:tc>
          <w:tcPr>
            <w:tcW w:w="1276" w:type="dxa"/>
            <w:tcBorders>
              <w:top w:val="nil"/>
              <w:left w:val="nil"/>
              <w:bottom w:val="nil"/>
              <w:right w:val="nil"/>
            </w:tcBorders>
          </w:tcPr>
          <w:p w14:paraId="344377F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[0.082]</w:t>
            </w:r>
          </w:p>
        </w:tc>
        <w:tc>
          <w:tcPr>
            <w:tcW w:w="1440" w:type="dxa"/>
            <w:tcBorders>
              <w:top w:val="nil"/>
              <w:left w:val="nil"/>
              <w:bottom w:val="nil"/>
              <w:right w:val="nil"/>
            </w:tcBorders>
          </w:tcPr>
          <w:p w14:paraId="1B5E5A9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[0.223]</w:t>
            </w:r>
          </w:p>
        </w:tc>
      </w:tr>
      <w:tr w:rsidR="00FB736C" w14:paraId="57E8CDFC" w14:textId="77777777" w:rsidTr="00C15CF1">
        <w:trPr>
          <w:jc w:val="center"/>
        </w:trPr>
        <w:tc>
          <w:tcPr>
            <w:tcW w:w="2268" w:type="dxa"/>
            <w:tcBorders>
              <w:top w:val="nil"/>
              <w:left w:val="nil"/>
              <w:bottom w:val="nil"/>
              <w:right w:val="nil"/>
            </w:tcBorders>
          </w:tcPr>
          <w:p w14:paraId="313D4021"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MC</w:t>
            </w:r>
          </w:p>
        </w:tc>
        <w:tc>
          <w:tcPr>
            <w:tcW w:w="1417" w:type="dxa"/>
            <w:tcBorders>
              <w:top w:val="nil"/>
              <w:left w:val="nil"/>
              <w:bottom w:val="nil"/>
              <w:right w:val="nil"/>
            </w:tcBorders>
          </w:tcPr>
          <w:p w14:paraId="15D1F13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-0.0142</w:t>
            </w:r>
          </w:p>
        </w:tc>
        <w:tc>
          <w:tcPr>
            <w:tcW w:w="1276" w:type="dxa"/>
            <w:tcBorders>
              <w:top w:val="nil"/>
              <w:left w:val="nil"/>
              <w:bottom w:val="nil"/>
              <w:right w:val="nil"/>
            </w:tcBorders>
          </w:tcPr>
          <w:p w14:paraId="321EB3A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-0.8262</w:t>
            </w:r>
          </w:p>
        </w:tc>
        <w:tc>
          <w:tcPr>
            <w:tcW w:w="1276" w:type="dxa"/>
            <w:tcBorders>
              <w:top w:val="nil"/>
              <w:left w:val="nil"/>
              <w:bottom w:val="nil"/>
              <w:right w:val="nil"/>
            </w:tcBorders>
          </w:tcPr>
          <w:p w14:paraId="5EDF4E3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0.5095</w:t>
            </w:r>
          </w:p>
        </w:tc>
        <w:tc>
          <w:tcPr>
            <w:tcW w:w="1275" w:type="dxa"/>
            <w:tcBorders>
              <w:top w:val="nil"/>
              <w:left w:val="nil"/>
              <w:bottom w:val="nil"/>
              <w:right w:val="nil"/>
            </w:tcBorders>
          </w:tcPr>
          <w:p w14:paraId="37C7B6A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-0.1998</w:t>
            </w:r>
          </w:p>
        </w:tc>
        <w:tc>
          <w:tcPr>
            <w:tcW w:w="1276" w:type="dxa"/>
            <w:tcBorders>
              <w:top w:val="nil"/>
              <w:left w:val="nil"/>
              <w:bottom w:val="nil"/>
              <w:right w:val="nil"/>
            </w:tcBorders>
          </w:tcPr>
          <w:p w14:paraId="03B72F2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-0.3332</w:t>
            </w:r>
          </w:p>
        </w:tc>
        <w:tc>
          <w:tcPr>
            <w:tcW w:w="1440" w:type="dxa"/>
            <w:tcBorders>
              <w:top w:val="nil"/>
              <w:left w:val="nil"/>
              <w:bottom w:val="nil"/>
              <w:right w:val="nil"/>
            </w:tcBorders>
          </w:tcPr>
          <w:p w14:paraId="25981EF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0.2246</w:t>
            </w:r>
          </w:p>
        </w:tc>
      </w:tr>
      <w:tr w:rsidR="00FB736C" w14:paraId="02A3B926" w14:textId="77777777" w:rsidTr="00C15CF1">
        <w:trPr>
          <w:jc w:val="center"/>
        </w:trPr>
        <w:tc>
          <w:tcPr>
            <w:tcW w:w="2268" w:type="dxa"/>
            <w:tcBorders>
              <w:top w:val="nil"/>
              <w:left w:val="nil"/>
              <w:bottom w:val="nil"/>
              <w:right w:val="nil"/>
            </w:tcBorders>
          </w:tcPr>
          <w:p w14:paraId="193317BD"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17" w:type="dxa"/>
            <w:tcBorders>
              <w:top w:val="nil"/>
              <w:left w:val="nil"/>
              <w:bottom w:val="nil"/>
              <w:right w:val="nil"/>
            </w:tcBorders>
          </w:tcPr>
          <w:p w14:paraId="5822634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[0.016]</w:t>
            </w:r>
          </w:p>
        </w:tc>
        <w:tc>
          <w:tcPr>
            <w:tcW w:w="1276" w:type="dxa"/>
            <w:tcBorders>
              <w:top w:val="nil"/>
              <w:left w:val="nil"/>
              <w:bottom w:val="nil"/>
              <w:right w:val="nil"/>
            </w:tcBorders>
          </w:tcPr>
          <w:p w14:paraId="3A48A9A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[0.566]</w:t>
            </w:r>
          </w:p>
        </w:tc>
        <w:tc>
          <w:tcPr>
            <w:tcW w:w="1276" w:type="dxa"/>
            <w:tcBorders>
              <w:top w:val="nil"/>
              <w:left w:val="nil"/>
              <w:bottom w:val="nil"/>
              <w:right w:val="nil"/>
            </w:tcBorders>
          </w:tcPr>
          <w:p w14:paraId="10A0A73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[0.425]</w:t>
            </w:r>
          </w:p>
        </w:tc>
        <w:tc>
          <w:tcPr>
            <w:tcW w:w="1275" w:type="dxa"/>
            <w:tcBorders>
              <w:top w:val="nil"/>
              <w:left w:val="nil"/>
              <w:bottom w:val="nil"/>
              <w:right w:val="nil"/>
            </w:tcBorders>
          </w:tcPr>
          <w:p w14:paraId="7E3A8F2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[0.391]</w:t>
            </w:r>
          </w:p>
        </w:tc>
        <w:tc>
          <w:tcPr>
            <w:tcW w:w="1276" w:type="dxa"/>
            <w:tcBorders>
              <w:top w:val="nil"/>
              <w:left w:val="nil"/>
              <w:bottom w:val="nil"/>
              <w:right w:val="nil"/>
            </w:tcBorders>
          </w:tcPr>
          <w:p w14:paraId="279316F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[0.181]</w:t>
            </w:r>
          </w:p>
        </w:tc>
        <w:tc>
          <w:tcPr>
            <w:tcW w:w="1440" w:type="dxa"/>
            <w:tcBorders>
              <w:top w:val="nil"/>
              <w:left w:val="nil"/>
              <w:bottom w:val="nil"/>
              <w:right w:val="nil"/>
            </w:tcBorders>
          </w:tcPr>
          <w:p w14:paraId="50E52AB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[0.705]</w:t>
            </w:r>
          </w:p>
        </w:tc>
      </w:tr>
      <w:tr w:rsidR="00FB736C" w14:paraId="2AC0E9B6" w14:textId="77777777" w:rsidTr="00C15CF1">
        <w:trPr>
          <w:jc w:val="center"/>
        </w:trPr>
        <w:tc>
          <w:tcPr>
            <w:tcW w:w="2268" w:type="dxa"/>
            <w:tcBorders>
              <w:top w:val="nil"/>
              <w:left w:val="nil"/>
              <w:bottom w:val="nil"/>
              <w:right w:val="nil"/>
            </w:tcBorders>
          </w:tcPr>
          <w:p w14:paraId="5E02890C"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NPLs</w:t>
            </w:r>
          </w:p>
        </w:tc>
        <w:tc>
          <w:tcPr>
            <w:tcW w:w="1417" w:type="dxa"/>
            <w:tcBorders>
              <w:top w:val="nil"/>
              <w:left w:val="nil"/>
              <w:bottom w:val="nil"/>
              <w:right w:val="nil"/>
            </w:tcBorders>
          </w:tcPr>
          <w:p w14:paraId="22506B9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-0.0311***</w:t>
            </w:r>
          </w:p>
        </w:tc>
        <w:tc>
          <w:tcPr>
            <w:tcW w:w="1276" w:type="dxa"/>
            <w:tcBorders>
              <w:top w:val="nil"/>
              <w:left w:val="nil"/>
              <w:bottom w:val="nil"/>
              <w:right w:val="nil"/>
            </w:tcBorders>
          </w:tcPr>
          <w:p w14:paraId="023BCB8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0.0250</w:t>
            </w:r>
          </w:p>
        </w:tc>
        <w:tc>
          <w:tcPr>
            <w:tcW w:w="1276" w:type="dxa"/>
            <w:tcBorders>
              <w:top w:val="nil"/>
              <w:left w:val="nil"/>
              <w:bottom w:val="nil"/>
              <w:right w:val="nil"/>
            </w:tcBorders>
          </w:tcPr>
          <w:p w14:paraId="4AFCE8A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0.0347</w:t>
            </w:r>
          </w:p>
        </w:tc>
        <w:tc>
          <w:tcPr>
            <w:tcW w:w="1275" w:type="dxa"/>
            <w:tcBorders>
              <w:top w:val="nil"/>
              <w:left w:val="nil"/>
              <w:bottom w:val="nil"/>
              <w:right w:val="nil"/>
            </w:tcBorders>
          </w:tcPr>
          <w:p w14:paraId="6376B90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-0.2500***</w:t>
            </w:r>
          </w:p>
        </w:tc>
        <w:tc>
          <w:tcPr>
            <w:tcW w:w="1276" w:type="dxa"/>
            <w:tcBorders>
              <w:top w:val="nil"/>
              <w:left w:val="nil"/>
              <w:bottom w:val="nil"/>
              <w:right w:val="nil"/>
            </w:tcBorders>
          </w:tcPr>
          <w:p w14:paraId="5CA5D26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-0.0258</w:t>
            </w:r>
          </w:p>
        </w:tc>
        <w:tc>
          <w:tcPr>
            <w:tcW w:w="1440" w:type="dxa"/>
            <w:tcBorders>
              <w:top w:val="nil"/>
              <w:left w:val="nil"/>
              <w:bottom w:val="nil"/>
              <w:right w:val="nil"/>
            </w:tcBorders>
          </w:tcPr>
          <w:p w14:paraId="6086B45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0.2529***</w:t>
            </w:r>
          </w:p>
        </w:tc>
      </w:tr>
      <w:tr w:rsidR="00FB736C" w14:paraId="7C8BEE08" w14:textId="77777777" w:rsidTr="00C15CF1">
        <w:trPr>
          <w:jc w:val="center"/>
        </w:trPr>
        <w:tc>
          <w:tcPr>
            <w:tcW w:w="2268" w:type="dxa"/>
            <w:tcBorders>
              <w:top w:val="nil"/>
              <w:left w:val="nil"/>
              <w:bottom w:val="nil"/>
              <w:right w:val="nil"/>
            </w:tcBorders>
          </w:tcPr>
          <w:p w14:paraId="45D2B3DF"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17" w:type="dxa"/>
            <w:tcBorders>
              <w:top w:val="nil"/>
              <w:left w:val="nil"/>
              <w:bottom w:val="nil"/>
              <w:right w:val="nil"/>
            </w:tcBorders>
          </w:tcPr>
          <w:p w14:paraId="3F4B5A2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c>
          <w:tcPr>
            <w:tcW w:w="1276" w:type="dxa"/>
            <w:tcBorders>
              <w:top w:val="nil"/>
              <w:left w:val="nil"/>
              <w:bottom w:val="nil"/>
              <w:right w:val="nil"/>
            </w:tcBorders>
          </w:tcPr>
          <w:p w14:paraId="48CEC32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[0.094]</w:t>
            </w:r>
          </w:p>
        </w:tc>
        <w:tc>
          <w:tcPr>
            <w:tcW w:w="1276" w:type="dxa"/>
            <w:tcBorders>
              <w:top w:val="nil"/>
              <w:left w:val="nil"/>
              <w:bottom w:val="nil"/>
              <w:right w:val="nil"/>
            </w:tcBorders>
          </w:tcPr>
          <w:p w14:paraId="3F220E2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[0.090]</w:t>
            </w:r>
          </w:p>
        </w:tc>
        <w:tc>
          <w:tcPr>
            <w:tcW w:w="1275" w:type="dxa"/>
            <w:tcBorders>
              <w:top w:val="nil"/>
              <w:left w:val="nil"/>
              <w:bottom w:val="nil"/>
              <w:right w:val="nil"/>
            </w:tcBorders>
          </w:tcPr>
          <w:p w14:paraId="1885DD9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[0.084]</w:t>
            </w:r>
          </w:p>
        </w:tc>
        <w:tc>
          <w:tcPr>
            <w:tcW w:w="1276" w:type="dxa"/>
            <w:tcBorders>
              <w:top w:val="nil"/>
              <w:left w:val="nil"/>
              <w:bottom w:val="nil"/>
              <w:right w:val="nil"/>
            </w:tcBorders>
          </w:tcPr>
          <w:p w14:paraId="6292A12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[0.032]</w:t>
            </w:r>
          </w:p>
        </w:tc>
        <w:tc>
          <w:tcPr>
            <w:tcW w:w="1440" w:type="dxa"/>
            <w:tcBorders>
              <w:top w:val="nil"/>
              <w:left w:val="nil"/>
              <w:bottom w:val="nil"/>
              <w:right w:val="nil"/>
            </w:tcBorders>
          </w:tcPr>
          <w:p w14:paraId="2E3D30F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[0.072]</w:t>
            </w:r>
          </w:p>
        </w:tc>
      </w:tr>
      <w:tr w:rsidR="00FB736C" w14:paraId="6DE7DD1C" w14:textId="77777777" w:rsidTr="00C15CF1">
        <w:trPr>
          <w:jc w:val="center"/>
        </w:trPr>
        <w:tc>
          <w:tcPr>
            <w:tcW w:w="2268" w:type="dxa"/>
            <w:tcBorders>
              <w:top w:val="nil"/>
              <w:left w:val="nil"/>
              <w:bottom w:val="nil"/>
              <w:right w:val="nil"/>
            </w:tcBorders>
          </w:tcPr>
          <w:p w14:paraId="1F37B09B"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EQTA</w:t>
            </w:r>
          </w:p>
        </w:tc>
        <w:tc>
          <w:tcPr>
            <w:tcW w:w="1417" w:type="dxa"/>
            <w:tcBorders>
              <w:top w:val="nil"/>
              <w:left w:val="nil"/>
              <w:bottom w:val="nil"/>
              <w:right w:val="nil"/>
            </w:tcBorders>
          </w:tcPr>
          <w:p w14:paraId="367EDBF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-0.0152***</w:t>
            </w:r>
          </w:p>
        </w:tc>
        <w:tc>
          <w:tcPr>
            <w:tcW w:w="1276" w:type="dxa"/>
            <w:tcBorders>
              <w:top w:val="nil"/>
              <w:left w:val="nil"/>
              <w:bottom w:val="nil"/>
              <w:right w:val="nil"/>
            </w:tcBorders>
          </w:tcPr>
          <w:p w14:paraId="3BCA3CC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0.0317</w:t>
            </w:r>
          </w:p>
        </w:tc>
        <w:tc>
          <w:tcPr>
            <w:tcW w:w="1276" w:type="dxa"/>
            <w:tcBorders>
              <w:top w:val="nil"/>
              <w:left w:val="nil"/>
              <w:bottom w:val="nil"/>
              <w:right w:val="nil"/>
            </w:tcBorders>
          </w:tcPr>
          <w:p w14:paraId="588B275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0.0427</w:t>
            </w:r>
          </w:p>
        </w:tc>
        <w:tc>
          <w:tcPr>
            <w:tcW w:w="1275" w:type="dxa"/>
            <w:tcBorders>
              <w:top w:val="nil"/>
              <w:left w:val="nil"/>
              <w:bottom w:val="nil"/>
              <w:right w:val="nil"/>
            </w:tcBorders>
          </w:tcPr>
          <w:p w14:paraId="6D7013A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nil"/>
              <w:left w:val="nil"/>
              <w:bottom w:val="nil"/>
              <w:right w:val="nil"/>
            </w:tcBorders>
          </w:tcPr>
          <w:p w14:paraId="7FAF0DF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-0.2570***</w:t>
            </w:r>
          </w:p>
        </w:tc>
        <w:tc>
          <w:tcPr>
            <w:tcW w:w="1440" w:type="dxa"/>
            <w:tcBorders>
              <w:top w:val="nil"/>
              <w:left w:val="nil"/>
              <w:bottom w:val="nil"/>
              <w:right w:val="nil"/>
            </w:tcBorders>
          </w:tcPr>
          <w:p w14:paraId="79B69E6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-1.0592***</w:t>
            </w:r>
          </w:p>
        </w:tc>
      </w:tr>
      <w:tr w:rsidR="00FB736C" w14:paraId="4131B930" w14:textId="77777777" w:rsidTr="00C15CF1">
        <w:trPr>
          <w:jc w:val="center"/>
        </w:trPr>
        <w:tc>
          <w:tcPr>
            <w:tcW w:w="2268" w:type="dxa"/>
            <w:tcBorders>
              <w:top w:val="nil"/>
              <w:left w:val="nil"/>
              <w:bottom w:val="nil"/>
              <w:right w:val="nil"/>
            </w:tcBorders>
          </w:tcPr>
          <w:p w14:paraId="731A7993"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17" w:type="dxa"/>
            <w:tcBorders>
              <w:top w:val="nil"/>
              <w:left w:val="nil"/>
              <w:bottom w:val="nil"/>
              <w:right w:val="nil"/>
            </w:tcBorders>
          </w:tcPr>
          <w:p w14:paraId="59B6E6B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w:t>
            </w:r>
          </w:p>
        </w:tc>
        <w:tc>
          <w:tcPr>
            <w:tcW w:w="1276" w:type="dxa"/>
            <w:tcBorders>
              <w:top w:val="nil"/>
              <w:left w:val="nil"/>
              <w:bottom w:val="nil"/>
              <w:right w:val="nil"/>
            </w:tcBorders>
          </w:tcPr>
          <w:p w14:paraId="58BE3DD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[0.072]</w:t>
            </w:r>
          </w:p>
        </w:tc>
        <w:tc>
          <w:tcPr>
            <w:tcW w:w="1276" w:type="dxa"/>
            <w:tcBorders>
              <w:top w:val="nil"/>
              <w:left w:val="nil"/>
              <w:bottom w:val="nil"/>
              <w:right w:val="nil"/>
            </w:tcBorders>
          </w:tcPr>
          <w:p w14:paraId="1556695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[0.069]</w:t>
            </w:r>
          </w:p>
        </w:tc>
        <w:tc>
          <w:tcPr>
            <w:tcW w:w="1275" w:type="dxa"/>
            <w:tcBorders>
              <w:top w:val="nil"/>
              <w:left w:val="nil"/>
              <w:bottom w:val="nil"/>
              <w:right w:val="nil"/>
            </w:tcBorders>
          </w:tcPr>
          <w:p w14:paraId="2F15315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nil"/>
              <w:left w:val="nil"/>
              <w:bottom w:val="nil"/>
              <w:right w:val="nil"/>
            </w:tcBorders>
          </w:tcPr>
          <w:p w14:paraId="5B118EB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[0.033]</w:t>
            </w:r>
          </w:p>
        </w:tc>
        <w:tc>
          <w:tcPr>
            <w:tcW w:w="1440" w:type="dxa"/>
            <w:tcBorders>
              <w:top w:val="nil"/>
              <w:left w:val="nil"/>
              <w:bottom w:val="nil"/>
              <w:right w:val="nil"/>
            </w:tcBorders>
          </w:tcPr>
          <w:p w14:paraId="4B9C2B3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[0.098]</w:t>
            </w:r>
          </w:p>
        </w:tc>
      </w:tr>
      <w:tr w:rsidR="00FB736C" w14:paraId="11D864D9" w14:textId="77777777" w:rsidTr="00C15CF1">
        <w:trPr>
          <w:jc w:val="center"/>
        </w:trPr>
        <w:tc>
          <w:tcPr>
            <w:tcW w:w="2268" w:type="dxa"/>
            <w:tcBorders>
              <w:top w:val="nil"/>
              <w:left w:val="nil"/>
              <w:bottom w:val="nil"/>
              <w:right w:val="nil"/>
            </w:tcBorders>
          </w:tcPr>
          <w:p w14:paraId="2B9A3DBB"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PSizeL</w:t>
            </w:r>
          </w:p>
        </w:tc>
        <w:tc>
          <w:tcPr>
            <w:tcW w:w="1417" w:type="dxa"/>
            <w:tcBorders>
              <w:top w:val="nil"/>
              <w:left w:val="nil"/>
              <w:bottom w:val="nil"/>
              <w:right w:val="nil"/>
            </w:tcBorders>
          </w:tcPr>
          <w:p w14:paraId="573EF9D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-0.0007</w:t>
            </w:r>
          </w:p>
        </w:tc>
        <w:tc>
          <w:tcPr>
            <w:tcW w:w="1276" w:type="dxa"/>
            <w:tcBorders>
              <w:top w:val="nil"/>
              <w:left w:val="nil"/>
              <w:bottom w:val="nil"/>
              <w:right w:val="nil"/>
            </w:tcBorders>
          </w:tcPr>
          <w:p w14:paraId="26045F5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-0.0004</w:t>
            </w:r>
          </w:p>
        </w:tc>
        <w:tc>
          <w:tcPr>
            <w:tcW w:w="1276" w:type="dxa"/>
            <w:tcBorders>
              <w:top w:val="nil"/>
              <w:left w:val="nil"/>
              <w:bottom w:val="nil"/>
              <w:right w:val="nil"/>
            </w:tcBorders>
          </w:tcPr>
          <w:p w14:paraId="10CA4E1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0.0356</w:t>
            </w:r>
          </w:p>
        </w:tc>
        <w:tc>
          <w:tcPr>
            <w:tcW w:w="1275" w:type="dxa"/>
            <w:tcBorders>
              <w:top w:val="nil"/>
              <w:left w:val="nil"/>
              <w:bottom w:val="nil"/>
              <w:right w:val="nil"/>
            </w:tcBorders>
          </w:tcPr>
          <w:p w14:paraId="3C22BF1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-0.0536</w:t>
            </w:r>
          </w:p>
        </w:tc>
        <w:tc>
          <w:tcPr>
            <w:tcW w:w="1276" w:type="dxa"/>
            <w:tcBorders>
              <w:top w:val="nil"/>
              <w:left w:val="nil"/>
              <w:bottom w:val="nil"/>
              <w:right w:val="nil"/>
            </w:tcBorders>
          </w:tcPr>
          <w:p w14:paraId="1C0AB7E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0.0082</w:t>
            </w:r>
          </w:p>
        </w:tc>
        <w:tc>
          <w:tcPr>
            <w:tcW w:w="1440" w:type="dxa"/>
            <w:tcBorders>
              <w:top w:val="nil"/>
              <w:left w:val="nil"/>
              <w:bottom w:val="nil"/>
              <w:right w:val="nil"/>
            </w:tcBorders>
          </w:tcPr>
          <w:p w14:paraId="623E79E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0.0132</w:t>
            </w:r>
          </w:p>
        </w:tc>
      </w:tr>
      <w:tr w:rsidR="00FB736C" w14:paraId="513BF71E" w14:textId="77777777" w:rsidTr="00C15CF1">
        <w:trPr>
          <w:jc w:val="center"/>
        </w:trPr>
        <w:tc>
          <w:tcPr>
            <w:tcW w:w="2268" w:type="dxa"/>
            <w:tcBorders>
              <w:top w:val="nil"/>
              <w:left w:val="nil"/>
              <w:bottom w:val="nil"/>
              <w:right w:val="nil"/>
            </w:tcBorders>
          </w:tcPr>
          <w:p w14:paraId="35A193F4"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17" w:type="dxa"/>
            <w:tcBorders>
              <w:top w:val="nil"/>
              <w:left w:val="nil"/>
              <w:bottom w:val="nil"/>
              <w:right w:val="nil"/>
            </w:tcBorders>
          </w:tcPr>
          <w:p w14:paraId="12B5B72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276" w:type="dxa"/>
            <w:tcBorders>
              <w:top w:val="nil"/>
              <w:left w:val="nil"/>
              <w:bottom w:val="nil"/>
              <w:right w:val="nil"/>
            </w:tcBorders>
          </w:tcPr>
          <w:p w14:paraId="60413AB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[0.036]</w:t>
            </w:r>
          </w:p>
        </w:tc>
        <w:tc>
          <w:tcPr>
            <w:tcW w:w="1276" w:type="dxa"/>
            <w:tcBorders>
              <w:top w:val="nil"/>
              <w:left w:val="nil"/>
              <w:bottom w:val="nil"/>
              <w:right w:val="nil"/>
            </w:tcBorders>
          </w:tcPr>
          <w:p w14:paraId="4177A5D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[0.040]</w:t>
            </w:r>
          </w:p>
        </w:tc>
        <w:tc>
          <w:tcPr>
            <w:tcW w:w="1275" w:type="dxa"/>
            <w:tcBorders>
              <w:top w:val="nil"/>
              <w:left w:val="nil"/>
              <w:bottom w:val="nil"/>
              <w:right w:val="nil"/>
            </w:tcBorders>
          </w:tcPr>
          <w:p w14:paraId="262173D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[0.028]</w:t>
            </w:r>
          </w:p>
        </w:tc>
        <w:tc>
          <w:tcPr>
            <w:tcW w:w="1276" w:type="dxa"/>
            <w:tcBorders>
              <w:top w:val="nil"/>
              <w:left w:val="nil"/>
              <w:bottom w:val="nil"/>
              <w:right w:val="nil"/>
            </w:tcBorders>
          </w:tcPr>
          <w:p w14:paraId="6C65869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w:t>
            </w:r>
          </w:p>
        </w:tc>
        <w:tc>
          <w:tcPr>
            <w:tcW w:w="1440" w:type="dxa"/>
            <w:tcBorders>
              <w:top w:val="nil"/>
              <w:left w:val="nil"/>
              <w:bottom w:val="nil"/>
              <w:right w:val="nil"/>
            </w:tcBorders>
          </w:tcPr>
          <w:p w14:paraId="0DE97BB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[0.050]</w:t>
            </w:r>
          </w:p>
        </w:tc>
      </w:tr>
      <w:tr w:rsidR="00FB736C" w14:paraId="1BF7A804" w14:textId="77777777" w:rsidTr="00C15CF1">
        <w:trPr>
          <w:jc w:val="center"/>
        </w:trPr>
        <w:tc>
          <w:tcPr>
            <w:tcW w:w="2268" w:type="dxa"/>
            <w:tcBorders>
              <w:top w:val="nil"/>
              <w:left w:val="nil"/>
              <w:bottom w:val="nil"/>
              <w:right w:val="nil"/>
            </w:tcBorders>
          </w:tcPr>
          <w:p w14:paraId="0484195C"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Constant</w:t>
            </w:r>
          </w:p>
        </w:tc>
        <w:tc>
          <w:tcPr>
            <w:tcW w:w="1417" w:type="dxa"/>
            <w:tcBorders>
              <w:top w:val="nil"/>
              <w:left w:val="nil"/>
              <w:bottom w:val="nil"/>
              <w:right w:val="nil"/>
            </w:tcBorders>
          </w:tcPr>
          <w:p w14:paraId="5ACDA1A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0.0057***</w:t>
            </w:r>
          </w:p>
        </w:tc>
        <w:tc>
          <w:tcPr>
            <w:tcW w:w="1276" w:type="dxa"/>
            <w:tcBorders>
              <w:top w:val="nil"/>
              <w:left w:val="nil"/>
              <w:bottom w:val="nil"/>
              <w:right w:val="nil"/>
            </w:tcBorders>
          </w:tcPr>
          <w:p w14:paraId="1DBE9B1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0.1577***</w:t>
            </w:r>
          </w:p>
        </w:tc>
        <w:tc>
          <w:tcPr>
            <w:tcW w:w="1276" w:type="dxa"/>
            <w:tcBorders>
              <w:top w:val="nil"/>
              <w:left w:val="nil"/>
              <w:bottom w:val="nil"/>
              <w:right w:val="nil"/>
            </w:tcBorders>
          </w:tcPr>
          <w:p w14:paraId="344FC58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0.6922***</w:t>
            </w:r>
          </w:p>
        </w:tc>
        <w:tc>
          <w:tcPr>
            <w:tcW w:w="1275" w:type="dxa"/>
            <w:tcBorders>
              <w:top w:val="nil"/>
              <w:left w:val="nil"/>
              <w:bottom w:val="nil"/>
              <w:right w:val="nil"/>
            </w:tcBorders>
          </w:tcPr>
          <w:p w14:paraId="73588FA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0.6480***</w:t>
            </w:r>
          </w:p>
        </w:tc>
        <w:tc>
          <w:tcPr>
            <w:tcW w:w="1276" w:type="dxa"/>
            <w:tcBorders>
              <w:top w:val="nil"/>
              <w:left w:val="nil"/>
              <w:bottom w:val="nil"/>
              <w:right w:val="nil"/>
            </w:tcBorders>
          </w:tcPr>
          <w:p w14:paraId="278CA0F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0.7224***</w:t>
            </w:r>
          </w:p>
        </w:tc>
        <w:tc>
          <w:tcPr>
            <w:tcW w:w="1440" w:type="dxa"/>
            <w:tcBorders>
              <w:top w:val="nil"/>
              <w:left w:val="nil"/>
              <w:bottom w:val="nil"/>
              <w:right w:val="nil"/>
            </w:tcBorders>
          </w:tcPr>
          <w:p w14:paraId="5907D15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0.3565***</w:t>
            </w:r>
          </w:p>
        </w:tc>
      </w:tr>
      <w:tr w:rsidR="00FB736C" w14:paraId="55C89479" w14:textId="77777777" w:rsidTr="00C15CF1">
        <w:trPr>
          <w:jc w:val="center"/>
        </w:trPr>
        <w:tc>
          <w:tcPr>
            <w:tcW w:w="2268" w:type="dxa"/>
            <w:tcBorders>
              <w:top w:val="nil"/>
              <w:left w:val="nil"/>
              <w:bottom w:val="nil"/>
              <w:right w:val="nil"/>
            </w:tcBorders>
          </w:tcPr>
          <w:p w14:paraId="06F56305"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417" w:type="dxa"/>
            <w:tcBorders>
              <w:top w:val="nil"/>
              <w:left w:val="nil"/>
              <w:bottom w:val="nil"/>
              <w:right w:val="nil"/>
            </w:tcBorders>
          </w:tcPr>
          <w:p w14:paraId="0EE467D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276" w:type="dxa"/>
            <w:tcBorders>
              <w:top w:val="nil"/>
              <w:left w:val="nil"/>
              <w:bottom w:val="nil"/>
              <w:right w:val="nil"/>
            </w:tcBorders>
          </w:tcPr>
          <w:p w14:paraId="6B6FB52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[0.026]</w:t>
            </w:r>
          </w:p>
        </w:tc>
        <w:tc>
          <w:tcPr>
            <w:tcW w:w="1276" w:type="dxa"/>
            <w:tcBorders>
              <w:top w:val="nil"/>
              <w:left w:val="nil"/>
              <w:bottom w:val="nil"/>
              <w:right w:val="nil"/>
            </w:tcBorders>
          </w:tcPr>
          <w:p w14:paraId="3786BA5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[0.026]</w:t>
            </w:r>
          </w:p>
        </w:tc>
        <w:tc>
          <w:tcPr>
            <w:tcW w:w="1275" w:type="dxa"/>
            <w:tcBorders>
              <w:top w:val="nil"/>
              <w:left w:val="nil"/>
              <w:bottom w:val="nil"/>
              <w:right w:val="nil"/>
            </w:tcBorders>
          </w:tcPr>
          <w:p w14:paraId="46A8906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[0.021]</w:t>
            </w:r>
          </w:p>
        </w:tc>
        <w:tc>
          <w:tcPr>
            <w:tcW w:w="1276" w:type="dxa"/>
            <w:tcBorders>
              <w:top w:val="nil"/>
              <w:left w:val="nil"/>
              <w:bottom w:val="nil"/>
              <w:right w:val="nil"/>
            </w:tcBorders>
          </w:tcPr>
          <w:p w14:paraId="4BB77FC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c>
          <w:tcPr>
            <w:tcW w:w="1440" w:type="dxa"/>
            <w:tcBorders>
              <w:top w:val="nil"/>
              <w:left w:val="nil"/>
              <w:bottom w:val="nil"/>
              <w:right w:val="nil"/>
            </w:tcBorders>
          </w:tcPr>
          <w:p w14:paraId="59ACD08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[0.026]</w:t>
            </w:r>
          </w:p>
        </w:tc>
      </w:tr>
      <w:tr w:rsidR="00FB736C" w14:paraId="73B8FAB8" w14:textId="77777777" w:rsidTr="00C15CF1">
        <w:trPr>
          <w:jc w:val="center"/>
        </w:trPr>
        <w:tc>
          <w:tcPr>
            <w:tcW w:w="2268" w:type="dxa"/>
            <w:tcBorders>
              <w:top w:val="single" w:sz="4" w:space="0" w:color="auto"/>
              <w:left w:val="nil"/>
              <w:bottom w:val="nil"/>
              <w:right w:val="nil"/>
            </w:tcBorders>
          </w:tcPr>
          <w:p w14:paraId="0AF4C019"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1417" w:type="dxa"/>
            <w:tcBorders>
              <w:top w:val="single" w:sz="4" w:space="0" w:color="auto"/>
              <w:left w:val="nil"/>
              <w:bottom w:val="nil"/>
              <w:right w:val="nil"/>
            </w:tcBorders>
          </w:tcPr>
          <w:p w14:paraId="6A7A4643" w14:textId="77777777" w:rsidR="00FB736C" w:rsidRPr="00E71520"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E71520">
              <w:rPr>
                <w:rFonts w:ascii="Times New Roman" w:hAnsi="Times New Roman" w:cs="Times New Roman"/>
                <w:sz w:val="24"/>
                <w:szCs w:val="24"/>
              </w:rPr>
              <w:t xml:space="preserve">6,338  </w:t>
            </w:r>
          </w:p>
        </w:tc>
        <w:tc>
          <w:tcPr>
            <w:tcW w:w="1276" w:type="dxa"/>
            <w:tcBorders>
              <w:top w:val="single" w:sz="4" w:space="0" w:color="auto"/>
              <w:left w:val="nil"/>
              <w:bottom w:val="nil"/>
              <w:right w:val="nil"/>
            </w:tcBorders>
          </w:tcPr>
          <w:p w14:paraId="6FE6679B" w14:textId="77777777" w:rsidR="00FB736C" w:rsidRPr="00E71520"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E71520">
              <w:rPr>
                <w:rFonts w:ascii="Times New Roman" w:hAnsi="Times New Roman" w:cs="Times New Roman"/>
                <w:sz w:val="24"/>
                <w:szCs w:val="24"/>
              </w:rPr>
              <w:t xml:space="preserve"> 6,338  </w:t>
            </w:r>
          </w:p>
        </w:tc>
        <w:tc>
          <w:tcPr>
            <w:tcW w:w="1276" w:type="dxa"/>
            <w:tcBorders>
              <w:top w:val="single" w:sz="4" w:space="0" w:color="auto"/>
              <w:left w:val="nil"/>
              <w:bottom w:val="nil"/>
              <w:right w:val="nil"/>
            </w:tcBorders>
          </w:tcPr>
          <w:p w14:paraId="75219B65" w14:textId="77777777" w:rsidR="00FB736C" w:rsidRPr="00E71520"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E71520">
              <w:rPr>
                <w:rFonts w:ascii="Times New Roman" w:hAnsi="Times New Roman" w:cs="Times New Roman"/>
                <w:sz w:val="24"/>
                <w:szCs w:val="24"/>
              </w:rPr>
              <w:t xml:space="preserve"> 6,338  </w:t>
            </w:r>
          </w:p>
        </w:tc>
        <w:tc>
          <w:tcPr>
            <w:tcW w:w="1275" w:type="dxa"/>
            <w:tcBorders>
              <w:top w:val="single" w:sz="4" w:space="0" w:color="auto"/>
              <w:left w:val="nil"/>
              <w:bottom w:val="nil"/>
              <w:right w:val="nil"/>
            </w:tcBorders>
          </w:tcPr>
          <w:p w14:paraId="255355B9" w14:textId="77777777" w:rsidR="00FB736C" w:rsidRPr="00E71520"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E71520">
              <w:rPr>
                <w:rFonts w:ascii="Times New Roman" w:hAnsi="Times New Roman" w:cs="Times New Roman"/>
                <w:sz w:val="24"/>
                <w:szCs w:val="24"/>
              </w:rPr>
              <w:t xml:space="preserve"> 6,338  </w:t>
            </w:r>
          </w:p>
        </w:tc>
        <w:tc>
          <w:tcPr>
            <w:tcW w:w="1276" w:type="dxa"/>
            <w:tcBorders>
              <w:top w:val="single" w:sz="4" w:space="0" w:color="auto"/>
              <w:left w:val="nil"/>
              <w:bottom w:val="nil"/>
              <w:right w:val="nil"/>
            </w:tcBorders>
          </w:tcPr>
          <w:p w14:paraId="090C6092" w14:textId="77777777" w:rsidR="00FB736C" w:rsidRPr="00E71520"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E71520">
              <w:rPr>
                <w:rFonts w:ascii="Times New Roman" w:hAnsi="Times New Roman" w:cs="Times New Roman"/>
                <w:sz w:val="24"/>
                <w:szCs w:val="24"/>
              </w:rPr>
              <w:t xml:space="preserve"> 6,338  </w:t>
            </w:r>
          </w:p>
        </w:tc>
        <w:tc>
          <w:tcPr>
            <w:tcW w:w="1440" w:type="dxa"/>
            <w:tcBorders>
              <w:top w:val="single" w:sz="4" w:space="0" w:color="auto"/>
              <w:left w:val="nil"/>
              <w:bottom w:val="nil"/>
              <w:right w:val="nil"/>
            </w:tcBorders>
          </w:tcPr>
          <w:p w14:paraId="3AE163A8" w14:textId="77777777" w:rsidR="00FB736C" w:rsidRPr="00E71520"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E71520">
              <w:rPr>
                <w:rFonts w:ascii="Times New Roman" w:hAnsi="Times New Roman" w:cs="Times New Roman"/>
                <w:sz w:val="24"/>
                <w:szCs w:val="24"/>
              </w:rPr>
              <w:t xml:space="preserve"> 6,338  </w:t>
            </w:r>
          </w:p>
        </w:tc>
      </w:tr>
      <w:tr w:rsidR="00FB736C" w14:paraId="1D2190E7" w14:textId="77777777" w:rsidTr="00C15CF1">
        <w:trPr>
          <w:jc w:val="center"/>
        </w:trPr>
        <w:tc>
          <w:tcPr>
            <w:tcW w:w="2268" w:type="dxa"/>
            <w:tcBorders>
              <w:top w:val="nil"/>
              <w:left w:val="nil"/>
              <w:bottom w:val="nil"/>
              <w:right w:val="nil"/>
            </w:tcBorders>
          </w:tcPr>
          <w:p w14:paraId="1A776B1E"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R-squared (within)</w:t>
            </w:r>
          </w:p>
        </w:tc>
        <w:tc>
          <w:tcPr>
            <w:tcW w:w="1417" w:type="dxa"/>
            <w:tcBorders>
              <w:top w:val="nil"/>
              <w:left w:val="nil"/>
              <w:bottom w:val="nil"/>
              <w:right w:val="nil"/>
            </w:tcBorders>
          </w:tcPr>
          <w:p w14:paraId="7255248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0.300</w:t>
            </w:r>
          </w:p>
        </w:tc>
        <w:tc>
          <w:tcPr>
            <w:tcW w:w="1276" w:type="dxa"/>
            <w:tcBorders>
              <w:top w:val="nil"/>
              <w:left w:val="nil"/>
              <w:bottom w:val="nil"/>
              <w:right w:val="nil"/>
            </w:tcBorders>
          </w:tcPr>
          <w:p w14:paraId="4768407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CF5C92">
              <w:rPr>
                <w:rFonts w:ascii="Times New Roman" w:hAnsi="Times New Roman" w:cs="Times New Roman"/>
                <w:sz w:val="24"/>
                <w:szCs w:val="24"/>
              </w:rPr>
              <w:t>0.315</w:t>
            </w:r>
          </w:p>
        </w:tc>
        <w:tc>
          <w:tcPr>
            <w:tcW w:w="1276" w:type="dxa"/>
            <w:tcBorders>
              <w:top w:val="nil"/>
              <w:left w:val="nil"/>
              <w:bottom w:val="nil"/>
              <w:right w:val="nil"/>
            </w:tcBorders>
          </w:tcPr>
          <w:p w14:paraId="057CF56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CF5C92">
              <w:rPr>
                <w:rFonts w:ascii="Times New Roman" w:hAnsi="Times New Roman" w:cs="Times New Roman"/>
                <w:sz w:val="24"/>
                <w:szCs w:val="24"/>
              </w:rPr>
              <w:t>0.520</w:t>
            </w:r>
          </w:p>
        </w:tc>
        <w:tc>
          <w:tcPr>
            <w:tcW w:w="1275" w:type="dxa"/>
            <w:tcBorders>
              <w:top w:val="nil"/>
              <w:left w:val="nil"/>
              <w:bottom w:val="nil"/>
              <w:right w:val="nil"/>
            </w:tcBorders>
          </w:tcPr>
          <w:p w14:paraId="25DF862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0.119</w:t>
            </w:r>
          </w:p>
        </w:tc>
        <w:tc>
          <w:tcPr>
            <w:tcW w:w="1276" w:type="dxa"/>
            <w:tcBorders>
              <w:top w:val="nil"/>
              <w:left w:val="nil"/>
              <w:bottom w:val="nil"/>
              <w:right w:val="nil"/>
            </w:tcBorders>
          </w:tcPr>
          <w:p w14:paraId="0B29505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CF5C92">
              <w:rPr>
                <w:rFonts w:ascii="Times New Roman" w:hAnsi="Times New Roman" w:cs="Times New Roman"/>
                <w:sz w:val="24"/>
                <w:szCs w:val="24"/>
              </w:rPr>
              <w:t>0.798</w:t>
            </w:r>
          </w:p>
        </w:tc>
        <w:tc>
          <w:tcPr>
            <w:tcW w:w="1440" w:type="dxa"/>
            <w:tcBorders>
              <w:top w:val="nil"/>
              <w:left w:val="nil"/>
              <w:bottom w:val="nil"/>
              <w:right w:val="nil"/>
            </w:tcBorders>
          </w:tcPr>
          <w:p w14:paraId="4AFB135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CF5C92">
              <w:rPr>
                <w:rFonts w:ascii="Times New Roman" w:hAnsi="Times New Roman" w:cs="Times New Roman"/>
                <w:sz w:val="24"/>
                <w:szCs w:val="24"/>
              </w:rPr>
              <w:t>0.678</w:t>
            </w:r>
          </w:p>
        </w:tc>
      </w:tr>
      <w:tr w:rsidR="00FB736C" w14:paraId="5C0EC142" w14:textId="77777777" w:rsidTr="00C15CF1">
        <w:trPr>
          <w:jc w:val="center"/>
        </w:trPr>
        <w:tc>
          <w:tcPr>
            <w:tcW w:w="2268" w:type="dxa"/>
            <w:tcBorders>
              <w:top w:val="nil"/>
              <w:left w:val="nil"/>
              <w:bottom w:val="nil"/>
              <w:right w:val="nil"/>
            </w:tcBorders>
          </w:tcPr>
          <w:p w14:paraId="2BC0AC69"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Bank Dummy</w:t>
            </w:r>
          </w:p>
        </w:tc>
        <w:tc>
          <w:tcPr>
            <w:tcW w:w="1417" w:type="dxa"/>
            <w:tcBorders>
              <w:top w:val="nil"/>
              <w:left w:val="nil"/>
              <w:bottom w:val="nil"/>
              <w:right w:val="nil"/>
            </w:tcBorders>
          </w:tcPr>
          <w:p w14:paraId="19A2FE5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276" w:type="dxa"/>
            <w:tcBorders>
              <w:top w:val="nil"/>
              <w:left w:val="nil"/>
              <w:bottom w:val="nil"/>
              <w:right w:val="nil"/>
            </w:tcBorders>
          </w:tcPr>
          <w:p w14:paraId="1D04A41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276" w:type="dxa"/>
            <w:tcBorders>
              <w:top w:val="nil"/>
              <w:left w:val="nil"/>
              <w:bottom w:val="nil"/>
              <w:right w:val="nil"/>
            </w:tcBorders>
          </w:tcPr>
          <w:p w14:paraId="5618586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275" w:type="dxa"/>
            <w:tcBorders>
              <w:top w:val="nil"/>
              <w:left w:val="nil"/>
              <w:bottom w:val="nil"/>
              <w:right w:val="nil"/>
            </w:tcBorders>
          </w:tcPr>
          <w:p w14:paraId="7F03606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276" w:type="dxa"/>
            <w:tcBorders>
              <w:top w:val="nil"/>
              <w:left w:val="nil"/>
              <w:bottom w:val="nil"/>
              <w:right w:val="nil"/>
            </w:tcBorders>
          </w:tcPr>
          <w:p w14:paraId="3F95F6C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440" w:type="dxa"/>
            <w:tcBorders>
              <w:top w:val="nil"/>
              <w:left w:val="nil"/>
              <w:bottom w:val="nil"/>
              <w:right w:val="nil"/>
            </w:tcBorders>
          </w:tcPr>
          <w:p w14:paraId="772831E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r>
      <w:tr w:rsidR="00FB736C" w14:paraId="1CE30A7C" w14:textId="77777777" w:rsidTr="00C15CF1">
        <w:tblPrEx>
          <w:tblBorders>
            <w:bottom w:val="single" w:sz="6" w:space="0" w:color="auto"/>
          </w:tblBorders>
        </w:tblPrEx>
        <w:trPr>
          <w:jc w:val="center"/>
        </w:trPr>
        <w:tc>
          <w:tcPr>
            <w:tcW w:w="2268" w:type="dxa"/>
            <w:tcBorders>
              <w:top w:val="nil"/>
              <w:left w:val="nil"/>
              <w:bottom w:val="single" w:sz="6" w:space="0" w:color="auto"/>
              <w:right w:val="nil"/>
            </w:tcBorders>
          </w:tcPr>
          <w:p w14:paraId="3D18DB1E"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 Dummy</w:t>
            </w:r>
          </w:p>
        </w:tc>
        <w:tc>
          <w:tcPr>
            <w:tcW w:w="1417" w:type="dxa"/>
            <w:tcBorders>
              <w:top w:val="nil"/>
              <w:left w:val="nil"/>
              <w:bottom w:val="single" w:sz="6" w:space="0" w:color="auto"/>
              <w:right w:val="nil"/>
            </w:tcBorders>
          </w:tcPr>
          <w:p w14:paraId="7D9AD51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276" w:type="dxa"/>
            <w:tcBorders>
              <w:top w:val="nil"/>
              <w:left w:val="nil"/>
              <w:bottom w:val="single" w:sz="6" w:space="0" w:color="auto"/>
              <w:right w:val="nil"/>
            </w:tcBorders>
          </w:tcPr>
          <w:p w14:paraId="37ED4F8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276" w:type="dxa"/>
            <w:tcBorders>
              <w:top w:val="nil"/>
              <w:left w:val="nil"/>
              <w:bottom w:val="single" w:sz="6" w:space="0" w:color="auto"/>
              <w:right w:val="nil"/>
            </w:tcBorders>
          </w:tcPr>
          <w:p w14:paraId="26110A9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275" w:type="dxa"/>
            <w:tcBorders>
              <w:top w:val="nil"/>
              <w:left w:val="nil"/>
              <w:bottom w:val="single" w:sz="6" w:space="0" w:color="auto"/>
              <w:right w:val="nil"/>
            </w:tcBorders>
          </w:tcPr>
          <w:p w14:paraId="76CF47A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276" w:type="dxa"/>
            <w:tcBorders>
              <w:top w:val="nil"/>
              <w:left w:val="nil"/>
              <w:bottom w:val="single" w:sz="6" w:space="0" w:color="auto"/>
              <w:right w:val="nil"/>
            </w:tcBorders>
          </w:tcPr>
          <w:p w14:paraId="08FD7A0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440" w:type="dxa"/>
            <w:tcBorders>
              <w:top w:val="nil"/>
              <w:left w:val="nil"/>
              <w:bottom w:val="single" w:sz="6" w:space="0" w:color="auto"/>
              <w:right w:val="nil"/>
            </w:tcBorders>
          </w:tcPr>
          <w:p w14:paraId="7F3E878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r>
    </w:tbl>
    <w:p w14:paraId="4D15FE01" w14:textId="77777777" w:rsidR="00FB736C" w:rsidRDefault="00FB736C" w:rsidP="00FB736C">
      <w:pPr>
        <w:ind w:right="-188"/>
        <w:jc w:val="both"/>
        <w:rPr>
          <w:rFonts w:asciiTheme="majorBidi" w:hAnsiTheme="majorBidi" w:cstheme="majorBidi"/>
          <w:b/>
          <w:bCs/>
          <w:i/>
          <w:iCs/>
          <w:sz w:val="24"/>
          <w:szCs w:val="24"/>
          <w:lang w:val="en-GB"/>
        </w:rPr>
      </w:pPr>
    </w:p>
    <w:p w14:paraId="5FBE46BA" w14:textId="77777777" w:rsidR="00FB736C" w:rsidRPr="00B80B98" w:rsidRDefault="00FB736C" w:rsidP="00FB736C">
      <w:pPr>
        <w:ind w:left="-567" w:right="-188"/>
        <w:jc w:val="both"/>
        <w:rPr>
          <w:rFonts w:ascii="Times New Roman" w:hAnsi="Times New Roman" w:cs="Times New Roman"/>
          <w:lang w:val="en-GB" w:eastAsia="en-US"/>
        </w:rPr>
      </w:pPr>
      <w:r w:rsidRPr="00A648DC">
        <w:rPr>
          <w:rFonts w:asciiTheme="majorBidi" w:hAnsiTheme="majorBidi" w:cstheme="majorBidi"/>
          <w:b/>
          <w:bCs/>
          <w:noProof/>
          <w:lang w:val="en-GB"/>
        </w:rPr>
        <w:t xml:space="preserve">Note: </w:t>
      </w:r>
      <w:r w:rsidRPr="00A648DC">
        <w:rPr>
          <w:rFonts w:ascii="Times New Roman" w:hAnsi="Times New Roman" w:cs="Times New Roman"/>
          <w:lang w:val="en-GB" w:eastAsia="en-US"/>
        </w:rPr>
        <w:t>The Table reports the coefficient estimat</w:t>
      </w:r>
      <w:r>
        <w:rPr>
          <w:rFonts w:ascii="Times New Roman" w:hAnsi="Times New Roman" w:cs="Times New Roman"/>
          <w:lang w:val="en-GB" w:eastAsia="en-US"/>
        </w:rPr>
        <w:t xml:space="preserve">es from equation 3. The dependent variables are </w:t>
      </w:r>
      <w:r w:rsidRPr="00A648DC">
        <w:rPr>
          <w:rFonts w:ascii="Times New Roman" w:hAnsi="Times New Roman" w:cs="Times New Roman"/>
          <w:lang w:val="en-GB" w:eastAsia="en-US"/>
        </w:rPr>
        <w:t>ROA</w:t>
      </w:r>
      <w:r>
        <w:rPr>
          <w:rFonts w:ascii="Times New Roman" w:hAnsi="Times New Roman" w:cs="Times New Roman"/>
          <w:lang w:val="en-GB" w:eastAsia="en-US"/>
        </w:rPr>
        <w:t>;</w:t>
      </w:r>
      <w:r w:rsidRPr="00A648DC">
        <w:rPr>
          <w:rFonts w:ascii="Times New Roman" w:hAnsi="Times New Roman" w:cs="Times New Roman"/>
          <w:lang w:val="en-GB" w:eastAsia="en-US"/>
        </w:rPr>
        <w:t xml:space="preserve"> </w:t>
      </w:r>
      <w:r>
        <w:rPr>
          <w:rFonts w:ascii="Times New Roman" w:hAnsi="Times New Roman" w:cs="Times New Roman"/>
          <w:lang w:val="en-GB" w:eastAsia="en-US"/>
        </w:rPr>
        <w:t xml:space="preserve">adjusted Lerner Index (Koetter et al, 2012); </w:t>
      </w:r>
      <w:r w:rsidRPr="00A648DC">
        <w:rPr>
          <w:rFonts w:ascii="Times New Roman" w:hAnsi="Times New Roman" w:cs="Times New Roman"/>
          <w:lang w:val="en-GB" w:eastAsia="en-US"/>
        </w:rPr>
        <w:t>LNTA, loans over total assets</w:t>
      </w:r>
      <w:r>
        <w:rPr>
          <w:rFonts w:ascii="Times New Roman" w:hAnsi="Times New Roman" w:cs="Times New Roman"/>
          <w:lang w:val="en-GB" w:eastAsia="en-US"/>
        </w:rPr>
        <w:t>;</w:t>
      </w:r>
      <w:r w:rsidRPr="00A648DC">
        <w:rPr>
          <w:rFonts w:ascii="Times New Roman" w:hAnsi="Times New Roman" w:cs="Times New Roman"/>
          <w:lang w:val="en-GB" w:eastAsia="en-US"/>
        </w:rPr>
        <w:t xml:space="preserve"> DPTA</w:t>
      </w:r>
      <w:r>
        <w:rPr>
          <w:rFonts w:ascii="Times New Roman" w:hAnsi="Times New Roman" w:cs="Times New Roman"/>
          <w:lang w:val="en-GB" w:eastAsia="en-US"/>
        </w:rPr>
        <w:t>,</w:t>
      </w:r>
      <w:r w:rsidRPr="00A648DC">
        <w:rPr>
          <w:rFonts w:ascii="Times New Roman" w:hAnsi="Times New Roman" w:cs="Times New Roman"/>
          <w:lang w:val="en-GB" w:eastAsia="en-US"/>
        </w:rPr>
        <w:t xml:space="preserve"> deposits over total assets</w:t>
      </w:r>
      <w:r>
        <w:rPr>
          <w:rFonts w:ascii="Times New Roman" w:hAnsi="Times New Roman" w:cs="Times New Roman"/>
          <w:lang w:val="en-GB" w:eastAsia="en-US"/>
        </w:rPr>
        <w:t>;</w:t>
      </w:r>
      <w:r w:rsidRPr="00A648DC">
        <w:rPr>
          <w:rFonts w:ascii="Times New Roman" w:hAnsi="Times New Roman" w:cs="Times New Roman"/>
          <w:lang w:val="en-GB" w:eastAsia="en-US"/>
        </w:rPr>
        <w:t xml:space="preserve"> </w:t>
      </w:r>
      <w:r w:rsidRPr="00A648DC">
        <w:rPr>
          <w:rFonts w:asciiTheme="majorBidi" w:eastAsia="Times New Roman" w:hAnsiTheme="majorBidi" w:cstheme="majorBidi"/>
          <w:i/>
          <w:iCs/>
          <w:color w:val="000000"/>
          <w:lang w:val="en-GB"/>
        </w:rPr>
        <w:t>LE</w:t>
      </w:r>
      <w:r w:rsidRPr="00A648DC">
        <w:rPr>
          <w:rFonts w:asciiTheme="majorBidi" w:eastAsia="Times New Roman" w:hAnsiTheme="majorBidi" w:cstheme="majorBidi"/>
          <w:i/>
          <w:iCs/>
          <w:color w:val="000000"/>
          <w:sz w:val="14"/>
          <w:szCs w:val="14"/>
          <w:lang w:val="en-GB"/>
        </w:rPr>
        <w:t>L</w:t>
      </w:r>
      <w:r>
        <w:rPr>
          <w:rFonts w:ascii="Times New Roman" w:hAnsi="Times New Roman" w:cs="Times New Roman"/>
          <w:lang w:val="en-GB" w:eastAsia="en-US"/>
        </w:rPr>
        <w:t>,</w:t>
      </w:r>
      <w:r w:rsidRPr="00A648DC">
        <w:rPr>
          <w:rFonts w:asciiTheme="majorBidi" w:eastAsia="Times New Roman" w:hAnsiTheme="majorBidi" w:cstheme="majorBidi"/>
          <w:i/>
          <w:iCs/>
          <w:color w:val="000000"/>
          <w:sz w:val="14"/>
          <w:szCs w:val="14"/>
          <w:lang w:val="en-GB"/>
        </w:rPr>
        <w:t xml:space="preserve"> </w:t>
      </w:r>
      <w:r w:rsidRPr="00A648DC">
        <w:rPr>
          <w:rFonts w:ascii="Times New Roman" w:hAnsi="Times New Roman" w:cs="Times New Roman"/>
          <w:lang w:val="en-GB" w:eastAsia="en-US"/>
        </w:rPr>
        <w:t xml:space="preserve">Lerner Index for loans and </w:t>
      </w:r>
      <w:r w:rsidRPr="00A648DC">
        <w:rPr>
          <w:rFonts w:asciiTheme="majorBidi" w:eastAsia="Times New Roman" w:hAnsiTheme="majorBidi" w:cstheme="majorBidi"/>
          <w:i/>
          <w:iCs/>
          <w:color w:val="000000"/>
          <w:lang w:val="en-GB"/>
        </w:rPr>
        <w:t>LE</w:t>
      </w:r>
      <w:r w:rsidRPr="00A648DC">
        <w:rPr>
          <w:rFonts w:asciiTheme="majorBidi" w:eastAsia="Times New Roman" w:hAnsiTheme="majorBidi" w:cstheme="majorBidi"/>
          <w:i/>
          <w:iCs/>
          <w:color w:val="000000"/>
          <w:sz w:val="14"/>
          <w:szCs w:val="14"/>
          <w:lang w:val="en-GB"/>
        </w:rPr>
        <w:t>D</w:t>
      </w:r>
      <w:r>
        <w:rPr>
          <w:rFonts w:ascii="Times New Roman" w:hAnsi="Times New Roman" w:cs="Times New Roman"/>
          <w:lang w:val="en-GB" w:eastAsia="en-US"/>
        </w:rPr>
        <w:t>,</w:t>
      </w:r>
      <w:r w:rsidRPr="00A648DC">
        <w:rPr>
          <w:rFonts w:asciiTheme="majorBidi" w:eastAsia="Times New Roman" w:hAnsiTheme="majorBidi" w:cstheme="majorBidi"/>
          <w:i/>
          <w:iCs/>
          <w:color w:val="000000"/>
          <w:sz w:val="14"/>
          <w:szCs w:val="14"/>
          <w:lang w:val="en-GB"/>
        </w:rPr>
        <w:t xml:space="preserve"> </w:t>
      </w:r>
      <w:r w:rsidRPr="00A648DC">
        <w:rPr>
          <w:rFonts w:ascii="Times New Roman" w:hAnsi="Times New Roman" w:cs="Times New Roman"/>
          <w:lang w:val="en-GB" w:eastAsia="en-US"/>
        </w:rPr>
        <w:t>Lerner Index for deposits. All explanatory variables enter the regressions with a one year lag. MC_</w:t>
      </w:r>
      <w:r>
        <w:rPr>
          <w:rFonts w:ascii="Times New Roman" w:hAnsi="Times New Roman" w:cs="Times New Roman"/>
          <w:lang w:val="en-GB" w:eastAsia="en-US"/>
        </w:rPr>
        <w:t>LargeB</w:t>
      </w:r>
      <w:r w:rsidRPr="00A648DC">
        <w:rPr>
          <w:rFonts w:ascii="Times New Roman" w:hAnsi="Times New Roman" w:cs="Times New Roman"/>
          <w:lang w:val="en-GB" w:eastAsia="en-US"/>
        </w:rPr>
        <w:t xml:space="preserve"> is the market coverage of medium and large banks; HHI is the concentration of branches in each province</w:t>
      </w:r>
      <w:r>
        <w:rPr>
          <w:rFonts w:ascii="Times New Roman" w:hAnsi="Times New Roman" w:cs="Times New Roman"/>
          <w:lang w:val="en-GB" w:eastAsia="en-US"/>
        </w:rPr>
        <w:t>;</w:t>
      </w:r>
      <w:r w:rsidRPr="000B48B2">
        <w:t xml:space="preserve"> </w:t>
      </w:r>
      <w:r w:rsidRPr="00A648DC">
        <w:rPr>
          <w:rFonts w:ascii="Times New Roman" w:hAnsi="Times New Roman" w:cs="Times New Roman"/>
          <w:lang w:val="en-GB" w:eastAsia="en-US"/>
        </w:rPr>
        <w:t xml:space="preserve">MC is the market coverage; NPLs is non-performing loans; EQTA is equity over total assets; </w:t>
      </w:r>
      <w:r>
        <w:rPr>
          <w:rFonts w:ascii="Times New Roman" w:hAnsi="Times New Roman" w:cs="Times New Roman"/>
          <w:sz w:val="24"/>
          <w:szCs w:val="24"/>
        </w:rPr>
        <w:t>PSizeL</w:t>
      </w:r>
      <w:r>
        <w:rPr>
          <w:rFonts w:ascii="Times New Roman" w:hAnsi="Times New Roman" w:cs="Times New Roman"/>
          <w:lang w:val="en-GB" w:eastAsia="en-US"/>
        </w:rPr>
        <w:t xml:space="preserve"> is the amount of loans in a province divided the total amount of loans at the country level. </w:t>
      </w:r>
      <w:r w:rsidRPr="00BD18D8">
        <w:rPr>
          <w:rFonts w:ascii="Times New Roman" w:hAnsi="Times New Roman" w:cs="Times New Roman"/>
          <w:lang w:val="en-GB" w:eastAsia="en-US"/>
        </w:rPr>
        <w:t>Standard errors are clustered by bank ID</w:t>
      </w:r>
      <w:r w:rsidRPr="00A648DC">
        <w:rPr>
          <w:rFonts w:ascii="Times New Roman" w:hAnsi="Times New Roman" w:cs="Times New Roman"/>
          <w:lang w:val="en-GB" w:eastAsia="en-US"/>
        </w:rPr>
        <w:t>.</w:t>
      </w:r>
      <w:r>
        <w:rPr>
          <w:rFonts w:ascii="Times New Roman" w:hAnsi="Times New Roman" w:cs="Times New Roman"/>
          <w:lang w:val="en-GB" w:eastAsia="en-US"/>
        </w:rPr>
        <w:t xml:space="preserve"> </w:t>
      </w:r>
      <w:r w:rsidRPr="006540FE">
        <w:rPr>
          <w:rFonts w:ascii="Times New Roman" w:hAnsi="Times New Roman" w:cs="Times New Roman"/>
          <w:lang w:val="en-US"/>
        </w:rPr>
        <w:t xml:space="preserve">** </w:t>
      </w:r>
      <w:r w:rsidRPr="006540FE">
        <w:rPr>
          <w:rFonts w:ascii="Times New Roman" w:hAnsi="Times New Roman" w:cs="Times New Roman"/>
          <w:i/>
          <w:lang w:val="en-US"/>
        </w:rPr>
        <w:t>p</w:t>
      </w:r>
      <w:r w:rsidRPr="006540FE">
        <w:rPr>
          <w:rFonts w:ascii="Times New Roman" w:hAnsi="Times New Roman" w:cs="Times New Roman"/>
          <w:lang w:val="en-US"/>
        </w:rPr>
        <w:t xml:space="preserve">&lt;.05, *** </w:t>
      </w:r>
      <w:r w:rsidRPr="006540FE">
        <w:rPr>
          <w:rFonts w:ascii="Times New Roman" w:hAnsi="Times New Roman" w:cs="Times New Roman"/>
          <w:i/>
          <w:lang w:val="en-US"/>
        </w:rPr>
        <w:t>p</w:t>
      </w:r>
      <w:r w:rsidRPr="006540FE">
        <w:rPr>
          <w:rFonts w:ascii="Times New Roman" w:hAnsi="Times New Roman" w:cs="Times New Roman"/>
          <w:lang w:val="en-US"/>
        </w:rPr>
        <w:t>&lt;.01.</w:t>
      </w:r>
      <w:r w:rsidRPr="006540FE">
        <w:rPr>
          <w:rFonts w:ascii="Times New Roman" w:hAnsi="Times New Roman" w:cs="Times New Roman"/>
          <w:vertAlign w:val="subscript"/>
          <w:lang w:val="en-US"/>
        </w:rPr>
        <w:t xml:space="preserve"> </w:t>
      </w:r>
    </w:p>
    <w:p w14:paraId="21AC29A9" w14:textId="77777777" w:rsidR="00FB736C" w:rsidRDefault="00FB736C" w:rsidP="00FB736C">
      <w:pPr>
        <w:rPr>
          <w:rFonts w:asciiTheme="majorBidi" w:hAnsiTheme="majorBidi" w:cstheme="majorBidi"/>
          <w:b/>
          <w:bCs/>
          <w:i/>
          <w:iCs/>
          <w:sz w:val="24"/>
          <w:szCs w:val="24"/>
          <w:lang w:val="en-GB"/>
        </w:rPr>
      </w:pPr>
    </w:p>
    <w:p w14:paraId="64C6F4EF" w14:textId="77777777" w:rsidR="00FB736C" w:rsidRDefault="00FB736C" w:rsidP="00FB736C">
      <w:pPr>
        <w:tabs>
          <w:tab w:val="left" w:pos="993"/>
        </w:tabs>
        <w:jc w:val="both"/>
        <w:rPr>
          <w:rFonts w:asciiTheme="majorBidi" w:hAnsiTheme="majorBidi" w:cstheme="majorBidi"/>
          <w:b/>
          <w:bCs/>
          <w:i/>
          <w:iCs/>
          <w:sz w:val="24"/>
          <w:szCs w:val="24"/>
          <w:lang w:val="en-GB"/>
        </w:rPr>
      </w:pPr>
    </w:p>
    <w:p w14:paraId="3FAF6C09" w14:textId="77777777" w:rsidR="00FB736C" w:rsidRDefault="00FB736C" w:rsidP="00FB736C">
      <w:pPr>
        <w:tabs>
          <w:tab w:val="left" w:pos="993"/>
        </w:tabs>
        <w:jc w:val="both"/>
        <w:rPr>
          <w:rFonts w:asciiTheme="majorBidi" w:hAnsiTheme="majorBidi" w:cstheme="majorBidi"/>
          <w:b/>
          <w:bCs/>
          <w:i/>
          <w:iCs/>
          <w:sz w:val="24"/>
          <w:szCs w:val="24"/>
          <w:lang w:val="en-GB"/>
        </w:rPr>
      </w:pPr>
    </w:p>
    <w:p w14:paraId="47D06EBC" w14:textId="77777777" w:rsidR="00FB736C" w:rsidRDefault="00FB736C" w:rsidP="00FB736C">
      <w:pPr>
        <w:tabs>
          <w:tab w:val="left" w:pos="993"/>
        </w:tabs>
        <w:jc w:val="both"/>
        <w:rPr>
          <w:rFonts w:asciiTheme="majorBidi" w:hAnsiTheme="majorBidi" w:cstheme="majorBidi"/>
          <w:b/>
          <w:bCs/>
          <w:i/>
          <w:iCs/>
          <w:sz w:val="24"/>
          <w:szCs w:val="24"/>
          <w:lang w:val="en-GB"/>
        </w:rPr>
      </w:pPr>
    </w:p>
    <w:p w14:paraId="2234F77E" w14:textId="77777777" w:rsidR="00FB736C" w:rsidRDefault="00FB736C" w:rsidP="00FB736C">
      <w:pPr>
        <w:tabs>
          <w:tab w:val="left" w:pos="993"/>
        </w:tabs>
        <w:jc w:val="both"/>
        <w:rPr>
          <w:rFonts w:asciiTheme="majorBidi" w:hAnsiTheme="majorBidi" w:cstheme="majorBidi"/>
          <w:b/>
          <w:bCs/>
          <w:i/>
          <w:iCs/>
          <w:sz w:val="24"/>
          <w:szCs w:val="24"/>
          <w:lang w:val="en-GB"/>
        </w:rPr>
      </w:pPr>
    </w:p>
    <w:p w14:paraId="65076467" w14:textId="77777777" w:rsidR="00FB736C" w:rsidRDefault="00FB736C" w:rsidP="00FB736C">
      <w:pPr>
        <w:tabs>
          <w:tab w:val="left" w:pos="993"/>
        </w:tabs>
        <w:jc w:val="both"/>
        <w:rPr>
          <w:rFonts w:asciiTheme="majorBidi" w:hAnsiTheme="majorBidi" w:cstheme="majorBidi"/>
          <w:b/>
          <w:bCs/>
          <w:i/>
          <w:iCs/>
          <w:sz w:val="24"/>
          <w:szCs w:val="24"/>
          <w:lang w:val="en-GB"/>
        </w:rPr>
      </w:pPr>
    </w:p>
    <w:p w14:paraId="67A3B622" w14:textId="77777777" w:rsidR="00FB736C" w:rsidRPr="005D7567" w:rsidRDefault="00FB736C" w:rsidP="00FB736C">
      <w:pPr>
        <w:tabs>
          <w:tab w:val="left" w:pos="993"/>
        </w:tabs>
        <w:jc w:val="both"/>
        <w:rPr>
          <w:rFonts w:ascii="Times New Roman" w:hAnsi="Times New Roman" w:cs="Times New Roman"/>
          <w:b/>
          <w:bCs/>
          <w:i/>
          <w:iCs/>
          <w:noProof/>
          <w:sz w:val="24"/>
          <w:szCs w:val="24"/>
          <w:lang w:val="en-GB"/>
        </w:rPr>
      </w:pPr>
      <w:r w:rsidRPr="005D7567">
        <w:rPr>
          <w:rFonts w:ascii="Times New Roman" w:hAnsi="Times New Roman" w:cs="Times New Roman"/>
          <w:b/>
          <w:bCs/>
          <w:i/>
          <w:noProof/>
          <w:sz w:val="24"/>
          <w:szCs w:val="24"/>
          <w:lang w:val="en-GB"/>
        </w:rPr>
        <w:t>Table 7. Distributional effects of t</w:t>
      </w:r>
      <w:r w:rsidRPr="005D7567">
        <w:rPr>
          <w:rFonts w:ascii="Times New Roman" w:hAnsi="Times New Roman" w:cs="Times New Roman"/>
          <w:b/>
          <w:bCs/>
          <w:i/>
          <w:iCs/>
          <w:noProof/>
          <w:sz w:val="24"/>
          <w:szCs w:val="24"/>
          <w:lang w:val="en-GB"/>
        </w:rPr>
        <w:t>he Impact of Geographic Diversification and Local Banking Structure on ROA and efficiency-adjusted Lerner index (Adj LE)</w:t>
      </w:r>
    </w:p>
    <w:tbl>
      <w:tblPr>
        <w:tblW w:w="11057" w:type="dxa"/>
        <w:jc w:val="center"/>
        <w:tblLayout w:type="fixed"/>
        <w:tblCellMar>
          <w:left w:w="75" w:type="dxa"/>
          <w:right w:w="75" w:type="dxa"/>
        </w:tblCellMar>
        <w:tblLook w:val="0000" w:firstRow="0" w:lastRow="0" w:firstColumn="0" w:lastColumn="0" w:noHBand="0" w:noVBand="0"/>
      </w:tblPr>
      <w:tblGrid>
        <w:gridCol w:w="1985"/>
        <w:gridCol w:w="283"/>
        <w:gridCol w:w="1560"/>
        <w:gridCol w:w="24"/>
        <w:gridCol w:w="1511"/>
        <w:gridCol w:w="24"/>
        <w:gridCol w:w="49"/>
        <w:gridCol w:w="1344"/>
        <w:gridCol w:w="24"/>
        <w:gridCol w:w="1394"/>
        <w:gridCol w:w="24"/>
        <w:gridCol w:w="1393"/>
        <w:gridCol w:w="24"/>
        <w:gridCol w:w="1394"/>
        <w:gridCol w:w="24"/>
      </w:tblGrid>
      <w:tr w:rsidR="00FB736C" w:rsidRPr="00E1434A" w14:paraId="6B0C6B4F" w14:textId="77777777" w:rsidTr="00C15CF1">
        <w:trPr>
          <w:trHeight w:val="356"/>
          <w:jc w:val="center"/>
        </w:trPr>
        <w:tc>
          <w:tcPr>
            <w:tcW w:w="2268" w:type="dxa"/>
            <w:gridSpan w:val="2"/>
            <w:tcBorders>
              <w:top w:val="single" w:sz="4" w:space="0" w:color="auto"/>
              <w:left w:val="nil"/>
              <w:bottom w:val="nil"/>
            </w:tcBorders>
          </w:tcPr>
          <w:p w14:paraId="0E8F13B7"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p>
        </w:tc>
        <w:tc>
          <w:tcPr>
            <w:tcW w:w="1584" w:type="dxa"/>
            <w:gridSpan w:val="2"/>
            <w:tcBorders>
              <w:top w:val="single" w:sz="4" w:space="0" w:color="auto"/>
            </w:tcBorders>
          </w:tcPr>
          <w:p w14:paraId="21F41365"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1434A">
              <w:rPr>
                <w:rFonts w:ascii="Times New Roman" w:hAnsi="Times New Roman" w:cs="Times New Roman"/>
                <w:szCs w:val="24"/>
              </w:rPr>
              <w:t>(1)</w:t>
            </w:r>
          </w:p>
        </w:tc>
        <w:tc>
          <w:tcPr>
            <w:tcW w:w="1584" w:type="dxa"/>
            <w:gridSpan w:val="3"/>
            <w:tcBorders>
              <w:top w:val="single" w:sz="4" w:space="0" w:color="auto"/>
            </w:tcBorders>
          </w:tcPr>
          <w:p w14:paraId="2B98E136"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1434A">
              <w:rPr>
                <w:rFonts w:ascii="Times New Roman" w:hAnsi="Times New Roman" w:cs="Times New Roman"/>
                <w:szCs w:val="24"/>
              </w:rPr>
              <w:t>(2)</w:t>
            </w:r>
          </w:p>
        </w:tc>
        <w:tc>
          <w:tcPr>
            <w:tcW w:w="1368" w:type="dxa"/>
            <w:gridSpan w:val="2"/>
            <w:tcBorders>
              <w:top w:val="single" w:sz="4" w:space="0" w:color="auto"/>
            </w:tcBorders>
          </w:tcPr>
          <w:p w14:paraId="23048E17"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1434A">
              <w:rPr>
                <w:rFonts w:ascii="Times New Roman" w:hAnsi="Times New Roman" w:cs="Times New Roman"/>
                <w:szCs w:val="24"/>
              </w:rPr>
              <w:t>(3)</w:t>
            </w:r>
          </w:p>
        </w:tc>
        <w:tc>
          <w:tcPr>
            <w:tcW w:w="1418" w:type="dxa"/>
            <w:gridSpan w:val="2"/>
            <w:tcBorders>
              <w:top w:val="single" w:sz="4" w:space="0" w:color="auto"/>
            </w:tcBorders>
          </w:tcPr>
          <w:p w14:paraId="00CBC80C"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1434A">
              <w:rPr>
                <w:rFonts w:ascii="Times New Roman" w:hAnsi="Times New Roman" w:cs="Times New Roman"/>
                <w:szCs w:val="24"/>
              </w:rPr>
              <w:t>(1)</w:t>
            </w:r>
          </w:p>
        </w:tc>
        <w:tc>
          <w:tcPr>
            <w:tcW w:w="1417" w:type="dxa"/>
            <w:gridSpan w:val="2"/>
            <w:tcBorders>
              <w:top w:val="single" w:sz="4" w:space="0" w:color="auto"/>
            </w:tcBorders>
          </w:tcPr>
          <w:p w14:paraId="24C636F9"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1434A">
              <w:rPr>
                <w:rFonts w:ascii="Times New Roman" w:hAnsi="Times New Roman" w:cs="Times New Roman"/>
                <w:szCs w:val="24"/>
              </w:rPr>
              <w:t>(2)</w:t>
            </w:r>
          </w:p>
        </w:tc>
        <w:tc>
          <w:tcPr>
            <w:tcW w:w="1418" w:type="dxa"/>
            <w:gridSpan w:val="2"/>
            <w:tcBorders>
              <w:top w:val="single" w:sz="4" w:space="0" w:color="auto"/>
            </w:tcBorders>
          </w:tcPr>
          <w:p w14:paraId="6337B44A"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1434A">
              <w:rPr>
                <w:rFonts w:ascii="Times New Roman" w:hAnsi="Times New Roman" w:cs="Times New Roman"/>
                <w:szCs w:val="24"/>
              </w:rPr>
              <w:t>(3)</w:t>
            </w:r>
          </w:p>
        </w:tc>
      </w:tr>
      <w:tr w:rsidR="00FB736C" w:rsidRPr="00E1434A" w14:paraId="10B31F97" w14:textId="77777777" w:rsidTr="00C15CF1">
        <w:trPr>
          <w:trHeight w:val="356"/>
          <w:jc w:val="center"/>
        </w:trPr>
        <w:tc>
          <w:tcPr>
            <w:tcW w:w="2268" w:type="dxa"/>
            <w:gridSpan w:val="2"/>
            <w:tcBorders>
              <w:left w:val="nil"/>
              <w:bottom w:val="single" w:sz="4" w:space="0" w:color="auto"/>
            </w:tcBorders>
          </w:tcPr>
          <w:p w14:paraId="567DB7EC"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VARIABLES</w:t>
            </w:r>
          </w:p>
        </w:tc>
        <w:tc>
          <w:tcPr>
            <w:tcW w:w="1584" w:type="dxa"/>
            <w:gridSpan w:val="2"/>
            <w:tcBorders>
              <w:bottom w:val="single" w:sz="4" w:space="0" w:color="auto"/>
            </w:tcBorders>
          </w:tcPr>
          <w:p w14:paraId="3005CD40"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1434A">
              <w:rPr>
                <w:rFonts w:ascii="Times New Roman" w:hAnsi="Times New Roman" w:cs="Times New Roman"/>
                <w:szCs w:val="24"/>
              </w:rPr>
              <w:t>ROA</w:t>
            </w:r>
          </w:p>
        </w:tc>
        <w:tc>
          <w:tcPr>
            <w:tcW w:w="1584" w:type="dxa"/>
            <w:gridSpan w:val="3"/>
            <w:tcBorders>
              <w:bottom w:val="single" w:sz="4" w:space="0" w:color="auto"/>
            </w:tcBorders>
          </w:tcPr>
          <w:p w14:paraId="699FD508"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1434A">
              <w:rPr>
                <w:rFonts w:ascii="Times New Roman" w:hAnsi="Times New Roman" w:cs="Times New Roman"/>
                <w:szCs w:val="24"/>
              </w:rPr>
              <w:t>ROA</w:t>
            </w:r>
          </w:p>
        </w:tc>
        <w:tc>
          <w:tcPr>
            <w:tcW w:w="1368" w:type="dxa"/>
            <w:gridSpan w:val="2"/>
            <w:tcBorders>
              <w:bottom w:val="single" w:sz="4" w:space="0" w:color="auto"/>
            </w:tcBorders>
          </w:tcPr>
          <w:p w14:paraId="33BC8A5E"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1434A">
              <w:rPr>
                <w:rFonts w:ascii="Times New Roman" w:hAnsi="Times New Roman" w:cs="Times New Roman"/>
                <w:szCs w:val="24"/>
              </w:rPr>
              <w:t>ROA</w:t>
            </w:r>
          </w:p>
        </w:tc>
        <w:tc>
          <w:tcPr>
            <w:tcW w:w="1418" w:type="dxa"/>
            <w:gridSpan w:val="2"/>
            <w:tcBorders>
              <w:bottom w:val="single" w:sz="4" w:space="0" w:color="auto"/>
            </w:tcBorders>
          </w:tcPr>
          <w:p w14:paraId="631518A7"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1434A">
              <w:rPr>
                <w:rFonts w:ascii="Times New Roman" w:hAnsi="Times New Roman" w:cs="Times New Roman"/>
                <w:szCs w:val="24"/>
              </w:rPr>
              <w:t>Adj LE</w:t>
            </w:r>
          </w:p>
        </w:tc>
        <w:tc>
          <w:tcPr>
            <w:tcW w:w="1417" w:type="dxa"/>
            <w:gridSpan w:val="2"/>
            <w:tcBorders>
              <w:bottom w:val="single" w:sz="4" w:space="0" w:color="auto"/>
            </w:tcBorders>
          </w:tcPr>
          <w:p w14:paraId="3B5FBD13"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1434A">
              <w:rPr>
                <w:rFonts w:ascii="Times New Roman" w:hAnsi="Times New Roman" w:cs="Times New Roman"/>
                <w:szCs w:val="24"/>
              </w:rPr>
              <w:t>Adj LE</w:t>
            </w:r>
          </w:p>
        </w:tc>
        <w:tc>
          <w:tcPr>
            <w:tcW w:w="1418" w:type="dxa"/>
            <w:gridSpan w:val="2"/>
            <w:tcBorders>
              <w:bottom w:val="single" w:sz="4" w:space="0" w:color="auto"/>
            </w:tcBorders>
          </w:tcPr>
          <w:p w14:paraId="62E545C9"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1434A">
              <w:rPr>
                <w:rFonts w:ascii="Times New Roman" w:hAnsi="Times New Roman" w:cs="Times New Roman"/>
                <w:szCs w:val="24"/>
              </w:rPr>
              <w:t>Adj LE</w:t>
            </w:r>
          </w:p>
        </w:tc>
      </w:tr>
      <w:tr w:rsidR="00FB736C" w:rsidRPr="00E1434A" w14:paraId="29ADE928" w14:textId="77777777" w:rsidTr="00C15CF1">
        <w:trPr>
          <w:gridAfter w:val="1"/>
          <w:wAfter w:w="24" w:type="dxa"/>
          <w:jc w:val="center"/>
        </w:trPr>
        <w:tc>
          <w:tcPr>
            <w:tcW w:w="1985" w:type="dxa"/>
            <w:tcBorders>
              <w:top w:val="single" w:sz="4" w:space="0" w:color="auto"/>
              <w:left w:val="nil"/>
              <w:bottom w:val="nil"/>
            </w:tcBorders>
          </w:tcPr>
          <w:p w14:paraId="42CFA917"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GD:  </w:t>
            </w:r>
          </w:p>
        </w:tc>
        <w:tc>
          <w:tcPr>
            <w:tcW w:w="1843" w:type="dxa"/>
            <w:gridSpan w:val="2"/>
            <w:tcBorders>
              <w:top w:val="single" w:sz="4" w:space="0" w:color="auto"/>
            </w:tcBorders>
          </w:tcPr>
          <w:p w14:paraId="3396AAE7"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535" w:type="dxa"/>
            <w:gridSpan w:val="2"/>
            <w:tcBorders>
              <w:top w:val="single" w:sz="4" w:space="0" w:color="auto"/>
            </w:tcBorders>
          </w:tcPr>
          <w:p w14:paraId="362727B3"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7" w:type="dxa"/>
            <w:gridSpan w:val="3"/>
            <w:tcBorders>
              <w:top w:val="single" w:sz="4" w:space="0" w:color="auto"/>
            </w:tcBorders>
          </w:tcPr>
          <w:p w14:paraId="172AD852"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8" w:type="dxa"/>
            <w:gridSpan w:val="2"/>
            <w:tcBorders>
              <w:top w:val="single" w:sz="4" w:space="0" w:color="auto"/>
            </w:tcBorders>
          </w:tcPr>
          <w:p w14:paraId="61B9708B"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7" w:type="dxa"/>
            <w:gridSpan w:val="2"/>
            <w:tcBorders>
              <w:top w:val="single" w:sz="4" w:space="0" w:color="auto"/>
            </w:tcBorders>
          </w:tcPr>
          <w:p w14:paraId="221F6B86"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8" w:type="dxa"/>
            <w:gridSpan w:val="2"/>
            <w:tcBorders>
              <w:top w:val="single" w:sz="4" w:space="0" w:color="auto"/>
            </w:tcBorders>
          </w:tcPr>
          <w:p w14:paraId="2A6CC428"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r>
      <w:tr w:rsidR="00FB736C" w:rsidRPr="00E1434A" w14:paraId="368B791C" w14:textId="77777777" w:rsidTr="00C15CF1">
        <w:trPr>
          <w:gridAfter w:val="1"/>
          <w:wAfter w:w="24" w:type="dxa"/>
          <w:jc w:val="center"/>
        </w:trPr>
        <w:tc>
          <w:tcPr>
            <w:tcW w:w="1985" w:type="dxa"/>
            <w:tcBorders>
              <w:top w:val="nil"/>
              <w:left w:val="nil"/>
              <w:bottom w:val="nil"/>
            </w:tcBorders>
          </w:tcPr>
          <w:p w14:paraId="0FD666F8"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          </w:t>
            </w:r>
            <w:r w:rsidRPr="00E1434A">
              <w:rPr>
                <w:rFonts w:ascii="Times New Roman" w:hAnsi="Times New Roman" w:cs="Times New Roman"/>
                <w:szCs w:val="24"/>
              </w:rPr>
              <w:t>τ= 0.50</w:t>
            </w:r>
          </w:p>
        </w:tc>
        <w:tc>
          <w:tcPr>
            <w:tcW w:w="1843" w:type="dxa"/>
            <w:gridSpan w:val="2"/>
          </w:tcPr>
          <w:p w14:paraId="2F38FDDA" w14:textId="77777777" w:rsidR="00FB736C" w:rsidRDefault="00FB736C" w:rsidP="00C15CF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9B3091">
              <w:rPr>
                <w:rFonts w:ascii="Times New Roman" w:hAnsi="Times New Roman" w:cs="Times New Roman"/>
              </w:rPr>
              <w:t>-</w:t>
            </w:r>
            <w:r>
              <w:rPr>
                <w:rFonts w:ascii="Times New Roman" w:hAnsi="Times New Roman" w:cs="Times New Roman"/>
              </w:rPr>
              <w:t>0</w:t>
            </w:r>
            <w:r w:rsidRPr="009B3091">
              <w:rPr>
                <w:rFonts w:ascii="Times New Roman" w:hAnsi="Times New Roman" w:cs="Times New Roman"/>
              </w:rPr>
              <w:t>.0034</w:t>
            </w:r>
            <w:r>
              <w:rPr>
                <w:rFonts w:ascii="Times New Roman" w:hAnsi="Times New Roman" w:cs="Times New Roman"/>
              </w:rPr>
              <w:t>***</w:t>
            </w:r>
          </w:p>
          <w:p w14:paraId="386F7228"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rPr>
            </w:pPr>
          </w:p>
        </w:tc>
        <w:tc>
          <w:tcPr>
            <w:tcW w:w="1535" w:type="dxa"/>
            <w:gridSpan w:val="2"/>
          </w:tcPr>
          <w:p w14:paraId="267B39D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0.0050***</w:t>
            </w:r>
          </w:p>
          <w:p w14:paraId="606656ED"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7" w:type="dxa"/>
            <w:gridSpan w:val="3"/>
          </w:tcPr>
          <w:p w14:paraId="5121A4E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r w:rsidRPr="009D2646">
              <w:rPr>
                <w:rFonts w:ascii="Times New Roman" w:hAnsi="Times New Roman" w:cs="Times New Roman"/>
              </w:rPr>
              <w:t>-</w:t>
            </w:r>
            <w:r>
              <w:rPr>
                <w:rFonts w:ascii="Times New Roman" w:hAnsi="Times New Roman" w:cs="Times New Roman"/>
              </w:rPr>
              <w:t>0</w:t>
            </w:r>
            <w:r w:rsidRPr="009D2646">
              <w:rPr>
                <w:rFonts w:ascii="Times New Roman" w:hAnsi="Times New Roman" w:cs="Times New Roman"/>
              </w:rPr>
              <w:t>.00077</w:t>
            </w:r>
            <w:r>
              <w:rPr>
                <w:rFonts w:ascii="Times New Roman" w:hAnsi="Times New Roman" w:cs="Times New Roman"/>
              </w:rPr>
              <w:t>***</w:t>
            </w:r>
          </w:p>
          <w:p w14:paraId="12C10858"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8" w:type="dxa"/>
            <w:gridSpan w:val="2"/>
          </w:tcPr>
          <w:p w14:paraId="1269CF3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-0.115***</w:t>
            </w:r>
          </w:p>
          <w:p w14:paraId="003E5FA0"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rPr>
            </w:pPr>
          </w:p>
        </w:tc>
        <w:tc>
          <w:tcPr>
            <w:tcW w:w="1417" w:type="dxa"/>
            <w:gridSpan w:val="2"/>
          </w:tcPr>
          <w:p w14:paraId="73E721E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w:t>
            </w:r>
            <w:r w:rsidRPr="00E82E5B">
              <w:rPr>
                <w:rFonts w:ascii="Times New Roman" w:hAnsi="Times New Roman" w:cs="Times New Roman"/>
              </w:rPr>
              <w:t>.0765</w:t>
            </w:r>
            <w:r>
              <w:rPr>
                <w:rFonts w:ascii="Times New Roman" w:hAnsi="Times New Roman" w:cs="Times New Roman"/>
              </w:rPr>
              <w:t>***</w:t>
            </w:r>
          </w:p>
          <w:p w14:paraId="050CEEF8"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8" w:type="dxa"/>
            <w:gridSpan w:val="2"/>
          </w:tcPr>
          <w:p w14:paraId="5C38639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r w:rsidRPr="00852D70">
              <w:rPr>
                <w:rFonts w:ascii="Times New Roman" w:hAnsi="Times New Roman" w:cs="Times New Roman"/>
              </w:rPr>
              <w:t>-</w:t>
            </w:r>
            <w:r>
              <w:rPr>
                <w:rFonts w:ascii="Times New Roman" w:hAnsi="Times New Roman" w:cs="Times New Roman"/>
              </w:rPr>
              <w:t>0</w:t>
            </w:r>
            <w:r w:rsidRPr="00852D70">
              <w:rPr>
                <w:rFonts w:ascii="Times New Roman" w:hAnsi="Times New Roman" w:cs="Times New Roman"/>
              </w:rPr>
              <w:t>.0699</w:t>
            </w:r>
            <w:r>
              <w:rPr>
                <w:rFonts w:ascii="Times New Roman" w:hAnsi="Times New Roman" w:cs="Times New Roman"/>
              </w:rPr>
              <w:t>***</w:t>
            </w:r>
          </w:p>
          <w:p w14:paraId="7A51FE08"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r>
      <w:tr w:rsidR="00FB736C" w:rsidRPr="00E1434A" w14:paraId="7917CEB3" w14:textId="77777777" w:rsidTr="00C15CF1">
        <w:trPr>
          <w:gridAfter w:val="1"/>
          <w:wAfter w:w="24" w:type="dxa"/>
          <w:jc w:val="center"/>
        </w:trPr>
        <w:tc>
          <w:tcPr>
            <w:tcW w:w="1985" w:type="dxa"/>
            <w:tcBorders>
              <w:top w:val="nil"/>
              <w:left w:val="nil"/>
              <w:bottom w:val="nil"/>
            </w:tcBorders>
          </w:tcPr>
          <w:p w14:paraId="1FB1F8EC"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DISTANCE</w:t>
            </w:r>
          </w:p>
          <w:p w14:paraId="09A72FBC"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6DDEE309"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w:t>
            </w:r>
          </w:p>
        </w:tc>
        <w:tc>
          <w:tcPr>
            <w:tcW w:w="1843" w:type="dxa"/>
            <w:gridSpan w:val="2"/>
          </w:tcPr>
          <w:p w14:paraId="1AB8C2C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p>
          <w:p w14:paraId="3D147B4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r w:rsidRPr="00F9559B">
              <w:rPr>
                <w:rFonts w:ascii="Times New Roman" w:hAnsi="Times New Roman" w:cs="Times New Roman"/>
              </w:rPr>
              <w:t>-</w:t>
            </w:r>
            <w:r>
              <w:rPr>
                <w:rFonts w:ascii="Times New Roman" w:hAnsi="Times New Roman" w:cs="Times New Roman"/>
              </w:rPr>
              <w:t>0</w:t>
            </w:r>
            <w:r w:rsidRPr="00F9559B">
              <w:rPr>
                <w:rFonts w:ascii="Times New Roman" w:hAnsi="Times New Roman" w:cs="Times New Roman"/>
              </w:rPr>
              <w:t>.0001</w:t>
            </w:r>
            <w:r>
              <w:rPr>
                <w:rFonts w:ascii="Times New Roman" w:hAnsi="Times New Roman" w:cs="Times New Roman"/>
              </w:rPr>
              <w:t>***</w:t>
            </w:r>
          </w:p>
          <w:p w14:paraId="55CADEE3"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535" w:type="dxa"/>
            <w:gridSpan w:val="2"/>
          </w:tcPr>
          <w:p w14:paraId="62D580D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p>
          <w:p w14:paraId="33BD3BF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r w:rsidRPr="00907975">
              <w:rPr>
                <w:rFonts w:ascii="Times New Roman" w:hAnsi="Times New Roman" w:cs="Times New Roman"/>
              </w:rPr>
              <w:t>-</w:t>
            </w:r>
            <w:r>
              <w:rPr>
                <w:rFonts w:ascii="Times New Roman" w:hAnsi="Times New Roman" w:cs="Times New Roman"/>
              </w:rPr>
              <w:t>0</w:t>
            </w:r>
            <w:r w:rsidRPr="00907975">
              <w:rPr>
                <w:rFonts w:ascii="Times New Roman" w:hAnsi="Times New Roman" w:cs="Times New Roman"/>
              </w:rPr>
              <w:t>.0006</w:t>
            </w:r>
            <w:r>
              <w:rPr>
                <w:rFonts w:ascii="Times New Roman" w:hAnsi="Times New Roman" w:cs="Times New Roman"/>
              </w:rPr>
              <w:t>***</w:t>
            </w:r>
          </w:p>
          <w:p w14:paraId="7DB1FD24"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7" w:type="dxa"/>
            <w:gridSpan w:val="3"/>
          </w:tcPr>
          <w:p w14:paraId="304957C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p>
          <w:p w14:paraId="08BA018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r w:rsidRPr="001C5CD4">
              <w:rPr>
                <w:rFonts w:ascii="Times New Roman" w:hAnsi="Times New Roman" w:cs="Times New Roman"/>
              </w:rPr>
              <w:t>-</w:t>
            </w:r>
            <w:r>
              <w:rPr>
                <w:rFonts w:ascii="Times New Roman" w:hAnsi="Times New Roman" w:cs="Times New Roman"/>
              </w:rPr>
              <w:t>0</w:t>
            </w:r>
            <w:r w:rsidRPr="001C5CD4">
              <w:rPr>
                <w:rFonts w:ascii="Times New Roman" w:hAnsi="Times New Roman" w:cs="Times New Roman"/>
              </w:rPr>
              <w:t>.00024</w:t>
            </w:r>
            <w:r>
              <w:rPr>
                <w:rFonts w:ascii="Times New Roman" w:hAnsi="Times New Roman" w:cs="Times New Roman"/>
              </w:rPr>
              <w:t>***</w:t>
            </w:r>
          </w:p>
          <w:p w14:paraId="62DA7342"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8" w:type="dxa"/>
            <w:gridSpan w:val="2"/>
          </w:tcPr>
          <w:p w14:paraId="7184A08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p>
          <w:p w14:paraId="080FA7C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-0.022***</w:t>
            </w:r>
          </w:p>
          <w:p w14:paraId="5BA32D84"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7" w:type="dxa"/>
            <w:gridSpan w:val="2"/>
          </w:tcPr>
          <w:p w14:paraId="1E1606B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p>
          <w:p w14:paraId="4E0C1AD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-0.018***</w:t>
            </w:r>
          </w:p>
          <w:p w14:paraId="416F19E0"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418" w:type="dxa"/>
            <w:gridSpan w:val="2"/>
          </w:tcPr>
          <w:p w14:paraId="5E4089C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p>
          <w:p w14:paraId="6CF37F1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-0.0057***</w:t>
            </w:r>
          </w:p>
          <w:p w14:paraId="545FC510"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p>
        </w:tc>
      </w:tr>
      <w:tr w:rsidR="00FB736C" w:rsidRPr="00E1434A" w14:paraId="77B18EB4" w14:textId="77777777" w:rsidTr="00C15CF1">
        <w:trPr>
          <w:gridAfter w:val="1"/>
          <w:wAfter w:w="24" w:type="dxa"/>
          <w:jc w:val="center"/>
        </w:trPr>
        <w:tc>
          <w:tcPr>
            <w:tcW w:w="1985" w:type="dxa"/>
            <w:tcBorders>
              <w:top w:val="nil"/>
              <w:left w:val="nil"/>
              <w:bottom w:val="nil"/>
            </w:tcBorders>
          </w:tcPr>
          <w:p w14:paraId="2161ABB4"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MCw</w:t>
            </w:r>
          </w:p>
        </w:tc>
        <w:tc>
          <w:tcPr>
            <w:tcW w:w="1843" w:type="dxa"/>
            <w:gridSpan w:val="2"/>
          </w:tcPr>
          <w:p w14:paraId="3B04E9D7"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535" w:type="dxa"/>
            <w:gridSpan w:val="2"/>
          </w:tcPr>
          <w:p w14:paraId="468BA197"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3"/>
          </w:tcPr>
          <w:p w14:paraId="75C2F871"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53C1F80B"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2"/>
          </w:tcPr>
          <w:p w14:paraId="5355948A"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1530441B"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r>
      <w:tr w:rsidR="00FB736C" w:rsidRPr="00E1434A" w14:paraId="7D7389BB" w14:textId="77777777" w:rsidTr="00C15CF1">
        <w:trPr>
          <w:gridAfter w:val="1"/>
          <w:wAfter w:w="24" w:type="dxa"/>
          <w:jc w:val="center"/>
        </w:trPr>
        <w:tc>
          <w:tcPr>
            <w:tcW w:w="1985" w:type="dxa"/>
            <w:tcBorders>
              <w:top w:val="nil"/>
              <w:left w:val="nil"/>
              <w:bottom w:val="nil"/>
            </w:tcBorders>
          </w:tcPr>
          <w:p w14:paraId="71BC99DB"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6B675A2C"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p>
        </w:tc>
        <w:tc>
          <w:tcPr>
            <w:tcW w:w="1843" w:type="dxa"/>
            <w:gridSpan w:val="2"/>
          </w:tcPr>
          <w:p w14:paraId="76FB2E4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F9559B">
              <w:rPr>
                <w:rFonts w:ascii="Times New Roman" w:hAnsi="Times New Roman" w:cs="Times New Roman"/>
                <w:szCs w:val="24"/>
              </w:rPr>
              <w:t>-</w:t>
            </w:r>
            <w:r>
              <w:rPr>
                <w:rFonts w:ascii="Times New Roman" w:hAnsi="Times New Roman" w:cs="Times New Roman"/>
                <w:szCs w:val="24"/>
              </w:rPr>
              <w:t>0</w:t>
            </w:r>
            <w:r w:rsidRPr="00F9559B">
              <w:rPr>
                <w:rFonts w:ascii="Times New Roman" w:hAnsi="Times New Roman" w:cs="Times New Roman"/>
                <w:szCs w:val="24"/>
              </w:rPr>
              <w:t>.0078</w:t>
            </w:r>
            <w:r>
              <w:rPr>
                <w:rFonts w:ascii="Times New Roman" w:hAnsi="Times New Roman" w:cs="Times New Roman"/>
                <w:szCs w:val="24"/>
              </w:rPr>
              <w:t>***</w:t>
            </w:r>
          </w:p>
          <w:p w14:paraId="1D2C954C"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535" w:type="dxa"/>
            <w:gridSpan w:val="2"/>
          </w:tcPr>
          <w:p w14:paraId="52683D2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907975">
              <w:rPr>
                <w:rFonts w:ascii="Times New Roman" w:hAnsi="Times New Roman" w:cs="Times New Roman"/>
                <w:szCs w:val="24"/>
              </w:rPr>
              <w:t>.158</w:t>
            </w:r>
            <w:r>
              <w:rPr>
                <w:rFonts w:ascii="Times New Roman" w:hAnsi="Times New Roman" w:cs="Times New Roman"/>
                <w:szCs w:val="24"/>
              </w:rPr>
              <w:t>***</w:t>
            </w:r>
          </w:p>
          <w:p w14:paraId="03FFECE0"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3"/>
          </w:tcPr>
          <w:p w14:paraId="0C2EF4B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1C5CD4">
              <w:rPr>
                <w:rFonts w:ascii="Times New Roman" w:hAnsi="Times New Roman" w:cs="Times New Roman"/>
                <w:szCs w:val="24"/>
              </w:rPr>
              <w:t>-</w:t>
            </w:r>
            <w:r>
              <w:rPr>
                <w:rFonts w:ascii="Times New Roman" w:hAnsi="Times New Roman" w:cs="Times New Roman"/>
                <w:szCs w:val="24"/>
              </w:rPr>
              <w:t>0</w:t>
            </w:r>
            <w:r w:rsidRPr="001C5CD4">
              <w:rPr>
                <w:rFonts w:ascii="Times New Roman" w:hAnsi="Times New Roman" w:cs="Times New Roman"/>
                <w:szCs w:val="24"/>
              </w:rPr>
              <w:t>.0178</w:t>
            </w:r>
            <w:r>
              <w:rPr>
                <w:rFonts w:ascii="Times New Roman" w:hAnsi="Times New Roman" w:cs="Times New Roman"/>
                <w:szCs w:val="24"/>
              </w:rPr>
              <w:t>***</w:t>
            </w:r>
          </w:p>
          <w:p w14:paraId="006ED1D2"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367427C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-2.414***</w:t>
            </w:r>
          </w:p>
          <w:p w14:paraId="2125CF03"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2"/>
          </w:tcPr>
          <w:p w14:paraId="4283785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E82E5B">
              <w:rPr>
                <w:rFonts w:ascii="Times New Roman" w:hAnsi="Times New Roman" w:cs="Times New Roman"/>
                <w:szCs w:val="24"/>
              </w:rPr>
              <w:t>-2.132</w:t>
            </w:r>
            <w:r>
              <w:rPr>
                <w:rFonts w:ascii="Times New Roman" w:hAnsi="Times New Roman" w:cs="Times New Roman"/>
                <w:szCs w:val="24"/>
              </w:rPr>
              <w:t>***</w:t>
            </w:r>
          </w:p>
          <w:p w14:paraId="48AD4C32"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3B50EDC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852D70">
              <w:rPr>
                <w:rFonts w:ascii="Times New Roman" w:hAnsi="Times New Roman" w:cs="Times New Roman"/>
                <w:szCs w:val="24"/>
              </w:rPr>
              <w:t>-</w:t>
            </w:r>
            <w:r>
              <w:rPr>
                <w:rFonts w:ascii="Times New Roman" w:hAnsi="Times New Roman" w:cs="Times New Roman"/>
                <w:szCs w:val="24"/>
              </w:rPr>
              <w:t>0</w:t>
            </w:r>
            <w:r w:rsidRPr="00852D70">
              <w:rPr>
                <w:rFonts w:ascii="Times New Roman" w:hAnsi="Times New Roman" w:cs="Times New Roman"/>
                <w:szCs w:val="24"/>
              </w:rPr>
              <w:t>.5005</w:t>
            </w:r>
            <w:r>
              <w:rPr>
                <w:rFonts w:ascii="Times New Roman" w:hAnsi="Times New Roman" w:cs="Times New Roman"/>
                <w:szCs w:val="24"/>
              </w:rPr>
              <w:t>***</w:t>
            </w:r>
          </w:p>
          <w:p w14:paraId="2ABF06C5"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r>
      <w:tr w:rsidR="00FB736C" w:rsidRPr="00E1434A" w14:paraId="7C586ABA" w14:textId="77777777" w:rsidTr="00C15CF1">
        <w:trPr>
          <w:gridAfter w:val="1"/>
          <w:wAfter w:w="24" w:type="dxa"/>
          <w:jc w:val="center"/>
        </w:trPr>
        <w:tc>
          <w:tcPr>
            <w:tcW w:w="1985" w:type="dxa"/>
            <w:tcBorders>
              <w:top w:val="nil"/>
              <w:left w:val="nil"/>
              <w:bottom w:val="nil"/>
            </w:tcBorders>
          </w:tcPr>
          <w:p w14:paraId="5477C6CA"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NPLs</w:t>
            </w:r>
          </w:p>
          <w:p w14:paraId="121216F7"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5B07C491"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p>
        </w:tc>
        <w:tc>
          <w:tcPr>
            <w:tcW w:w="1843" w:type="dxa"/>
            <w:gridSpan w:val="2"/>
          </w:tcPr>
          <w:p w14:paraId="540CC96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0997C01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-0.0237***</w:t>
            </w:r>
          </w:p>
          <w:p w14:paraId="1DB06734"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535" w:type="dxa"/>
            <w:gridSpan w:val="2"/>
          </w:tcPr>
          <w:p w14:paraId="1374089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657B36E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907975">
              <w:rPr>
                <w:rFonts w:ascii="Times New Roman" w:hAnsi="Times New Roman" w:cs="Times New Roman"/>
                <w:szCs w:val="24"/>
              </w:rPr>
              <w:t>-</w:t>
            </w:r>
            <w:r>
              <w:rPr>
                <w:rFonts w:ascii="Times New Roman" w:hAnsi="Times New Roman" w:cs="Times New Roman"/>
                <w:szCs w:val="24"/>
              </w:rPr>
              <w:t>0</w:t>
            </w:r>
            <w:r w:rsidRPr="00907975">
              <w:rPr>
                <w:rFonts w:ascii="Times New Roman" w:hAnsi="Times New Roman" w:cs="Times New Roman"/>
                <w:szCs w:val="24"/>
              </w:rPr>
              <w:t>.0163</w:t>
            </w:r>
            <w:r>
              <w:rPr>
                <w:rFonts w:ascii="Times New Roman" w:hAnsi="Times New Roman" w:cs="Times New Roman"/>
                <w:szCs w:val="24"/>
              </w:rPr>
              <w:t>***</w:t>
            </w:r>
          </w:p>
          <w:p w14:paraId="42F5AA16"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3"/>
          </w:tcPr>
          <w:p w14:paraId="658ADEF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1B99775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-0.0333***</w:t>
            </w:r>
          </w:p>
          <w:p w14:paraId="69830503"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626432D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38FF010D" w14:textId="77777777" w:rsidR="00FB736C" w:rsidRDefault="00FB736C" w:rsidP="00C15CF1">
            <w:pPr>
              <w:widowControl w:val="0"/>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    -0.0570</w:t>
            </w:r>
          </w:p>
          <w:p w14:paraId="29D82A3D"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2"/>
          </w:tcPr>
          <w:p w14:paraId="64D929D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7A2637F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-0.871***</w:t>
            </w:r>
          </w:p>
          <w:p w14:paraId="273D5D3D"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782EBFA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347B695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-0.881***</w:t>
            </w:r>
          </w:p>
          <w:p w14:paraId="7D854296"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r>
      <w:tr w:rsidR="00FB736C" w:rsidRPr="00E1434A" w14:paraId="39F0F098" w14:textId="77777777" w:rsidTr="00C15CF1">
        <w:trPr>
          <w:gridAfter w:val="1"/>
          <w:wAfter w:w="24" w:type="dxa"/>
          <w:jc w:val="center"/>
        </w:trPr>
        <w:tc>
          <w:tcPr>
            <w:tcW w:w="1985" w:type="dxa"/>
            <w:tcBorders>
              <w:top w:val="nil"/>
              <w:left w:val="nil"/>
              <w:bottom w:val="nil"/>
            </w:tcBorders>
          </w:tcPr>
          <w:p w14:paraId="670353AF"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EQTA</w:t>
            </w:r>
          </w:p>
          <w:p w14:paraId="05AE52FE"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τ=0.50</w:t>
            </w:r>
          </w:p>
          <w:p w14:paraId="0BB29BC4"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w:t>
            </w:r>
          </w:p>
        </w:tc>
        <w:tc>
          <w:tcPr>
            <w:tcW w:w="1843" w:type="dxa"/>
            <w:gridSpan w:val="2"/>
          </w:tcPr>
          <w:p w14:paraId="5E0E583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675BF22D" w14:textId="77777777" w:rsidR="00FB736C" w:rsidRDefault="00FB736C" w:rsidP="00C15CF1">
            <w:pPr>
              <w:widowControl w:val="0"/>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       0</w:t>
            </w:r>
            <w:r w:rsidRPr="00F9559B">
              <w:rPr>
                <w:rFonts w:ascii="Times New Roman" w:hAnsi="Times New Roman" w:cs="Times New Roman"/>
                <w:szCs w:val="24"/>
              </w:rPr>
              <w:t>.0146</w:t>
            </w:r>
            <w:r>
              <w:rPr>
                <w:rFonts w:ascii="Times New Roman" w:hAnsi="Times New Roman" w:cs="Times New Roman"/>
                <w:szCs w:val="24"/>
              </w:rPr>
              <w:t>***</w:t>
            </w:r>
          </w:p>
          <w:p w14:paraId="4D669644"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535" w:type="dxa"/>
            <w:gridSpan w:val="2"/>
          </w:tcPr>
          <w:p w14:paraId="739F9A7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4CF50F4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907975">
              <w:rPr>
                <w:rFonts w:ascii="Times New Roman" w:hAnsi="Times New Roman" w:cs="Times New Roman"/>
                <w:szCs w:val="24"/>
              </w:rPr>
              <w:t>.0093</w:t>
            </w:r>
          </w:p>
          <w:p w14:paraId="70573CF4"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3"/>
          </w:tcPr>
          <w:p w14:paraId="5DCA3EA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32D2304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0.0217***</w:t>
            </w:r>
          </w:p>
          <w:p w14:paraId="44923888"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   </w:t>
            </w:r>
          </w:p>
        </w:tc>
        <w:tc>
          <w:tcPr>
            <w:tcW w:w="1418" w:type="dxa"/>
            <w:gridSpan w:val="2"/>
          </w:tcPr>
          <w:p w14:paraId="388F8A1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75B1F95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0.108***</w:t>
            </w:r>
          </w:p>
          <w:p w14:paraId="47B735AD"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2"/>
          </w:tcPr>
          <w:p w14:paraId="5A931B2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58861AF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E82E5B">
              <w:rPr>
                <w:rFonts w:ascii="Times New Roman" w:hAnsi="Times New Roman" w:cs="Times New Roman"/>
                <w:szCs w:val="24"/>
              </w:rPr>
              <w:t>.161</w:t>
            </w:r>
            <w:r>
              <w:rPr>
                <w:rFonts w:ascii="Times New Roman" w:hAnsi="Times New Roman" w:cs="Times New Roman"/>
                <w:szCs w:val="24"/>
              </w:rPr>
              <w:t>*</w:t>
            </w:r>
          </w:p>
          <w:p w14:paraId="2BC611A3"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689F56C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43D0215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852D70">
              <w:rPr>
                <w:rFonts w:ascii="Times New Roman" w:hAnsi="Times New Roman" w:cs="Times New Roman"/>
                <w:szCs w:val="24"/>
              </w:rPr>
              <w:t>.3017</w:t>
            </w:r>
            <w:r>
              <w:rPr>
                <w:rFonts w:ascii="Times New Roman" w:hAnsi="Times New Roman" w:cs="Times New Roman"/>
                <w:szCs w:val="24"/>
              </w:rPr>
              <w:t>***</w:t>
            </w:r>
          </w:p>
          <w:p w14:paraId="229B469E"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r>
      <w:tr w:rsidR="00FB736C" w:rsidRPr="00E1434A" w14:paraId="349C133B" w14:textId="77777777" w:rsidTr="00C15CF1">
        <w:trPr>
          <w:gridAfter w:val="1"/>
          <w:wAfter w:w="24" w:type="dxa"/>
          <w:jc w:val="center"/>
        </w:trPr>
        <w:tc>
          <w:tcPr>
            <w:tcW w:w="1985" w:type="dxa"/>
            <w:tcBorders>
              <w:top w:val="nil"/>
              <w:left w:val="nil"/>
              <w:bottom w:val="nil"/>
            </w:tcBorders>
          </w:tcPr>
          <w:p w14:paraId="6B4ABED9"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ENTRY</w:t>
            </w:r>
          </w:p>
        </w:tc>
        <w:tc>
          <w:tcPr>
            <w:tcW w:w="1843" w:type="dxa"/>
            <w:gridSpan w:val="2"/>
          </w:tcPr>
          <w:p w14:paraId="2D887D8C"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535" w:type="dxa"/>
            <w:gridSpan w:val="2"/>
          </w:tcPr>
          <w:p w14:paraId="6845414B"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3"/>
          </w:tcPr>
          <w:p w14:paraId="43E6C77E"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0780002C"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2"/>
          </w:tcPr>
          <w:p w14:paraId="549351D4"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32B7148C"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r>
      <w:tr w:rsidR="00FB736C" w:rsidRPr="00E1434A" w14:paraId="3647735A" w14:textId="77777777" w:rsidTr="00C15CF1">
        <w:trPr>
          <w:gridAfter w:val="1"/>
          <w:wAfter w:w="24" w:type="dxa"/>
          <w:jc w:val="center"/>
        </w:trPr>
        <w:tc>
          <w:tcPr>
            <w:tcW w:w="1985" w:type="dxa"/>
            <w:tcBorders>
              <w:top w:val="nil"/>
              <w:left w:val="nil"/>
              <w:bottom w:val="nil"/>
            </w:tcBorders>
          </w:tcPr>
          <w:p w14:paraId="629A8623"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5D18E666"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p>
        </w:tc>
        <w:tc>
          <w:tcPr>
            <w:tcW w:w="1843" w:type="dxa"/>
            <w:gridSpan w:val="2"/>
          </w:tcPr>
          <w:p w14:paraId="1F4BB04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F9559B">
              <w:rPr>
                <w:rFonts w:ascii="Times New Roman" w:hAnsi="Times New Roman" w:cs="Times New Roman"/>
                <w:szCs w:val="24"/>
              </w:rPr>
              <w:t>.0003</w:t>
            </w:r>
            <w:r>
              <w:rPr>
                <w:rFonts w:ascii="Times New Roman" w:hAnsi="Times New Roman" w:cs="Times New Roman"/>
                <w:szCs w:val="24"/>
              </w:rPr>
              <w:t>***</w:t>
            </w:r>
          </w:p>
          <w:p w14:paraId="35B713E6"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535" w:type="dxa"/>
            <w:gridSpan w:val="2"/>
          </w:tcPr>
          <w:p w14:paraId="4B83328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907975">
              <w:rPr>
                <w:rFonts w:ascii="Times New Roman" w:hAnsi="Times New Roman" w:cs="Times New Roman"/>
                <w:szCs w:val="24"/>
              </w:rPr>
              <w:t>.00009</w:t>
            </w:r>
            <w:r>
              <w:rPr>
                <w:rFonts w:ascii="Times New Roman" w:hAnsi="Times New Roman" w:cs="Times New Roman"/>
                <w:szCs w:val="24"/>
              </w:rPr>
              <w:t>***</w:t>
            </w:r>
          </w:p>
          <w:p w14:paraId="03371674"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3"/>
          </w:tcPr>
          <w:p w14:paraId="736521B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1C5CD4">
              <w:rPr>
                <w:rFonts w:ascii="Times New Roman" w:hAnsi="Times New Roman" w:cs="Times New Roman"/>
                <w:szCs w:val="24"/>
              </w:rPr>
              <w:t>-</w:t>
            </w:r>
            <w:r>
              <w:rPr>
                <w:rFonts w:ascii="Times New Roman" w:hAnsi="Times New Roman" w:cs="Times New Roman"/>
                <w:szCs w:val="24"/>
              </w:rPr>
              <w:t>0</w:t>
            </w:r>
            <w:r w:rsidRPr="001C5CD4">
              <w:rPr>
                <w:rFonts w:ascii="Times New Roman" w:hAnsi="Times New Roman" w:cs="Times New Roman"/>
                <w:szCs w:val="24"/>
              </w:rPr>
              <w:t>.0002</w:t>
            </w:r>
          </w:p>
          <w:p w14:paraId="09CACDC3"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4444747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0.0017***</w:t>
            </w:r>
          </w:p>
          <w:p w14:paraId="11344BFA"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2"/>
          </w:tcPr>
          <w:p w14:paraId="1E53746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-0.001</w:t>
            </w:r>
          </w:p>
          <w:p w14:paraId="02A4C725"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06788D5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0.0039***</w:t>
            </w:r>
          </w:p>
          <w:p w14:paraId="59D40818"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r>
      <w:tr w:rsidR="00FB736C" w:rsidRPr="00E1434A" w14:paraId="6D83E1CF" w14:textId="77777777" w:rsidTr="00C15CF1">
        <w:trPr>
          <w:gridAfter w:val="1"/>
          <w:wAfter w:w="24" w:type="dxa"/>
          <w:jc w:val="center"/>
        </w:trPr>
        <w:tc>
          <w:tcPr>
            <w:tcW w:w="1985" w:type="dxa"/>
            <w:tcBorders>
              <w:top w:val="nil"/>
              <w:left w:val="nil"/>
              <w:bottom w:val="nil"/>
            </w:tcBorders>
          </w:tcPr>
          <w:p w14:paraId="6E210ACD"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HHIw</w:t>
            </w:r>
          </w:p>
          <w:p w14:paraId="04A842C7"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461679C6"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w:t>
            </w:r>
          </w:p>
          <w:p w14:paraId="674A8495"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p>
        </w:tc>
        <w:tc>
          <w:tcPr>
            <w:tcW w:w="1843" w:type="dxa"/>
            <w:gridSpan w:val="2"/>
          </w:tcPr>
          <w:p w14:paraId="30CD384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4BF5923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F9559B">
              <w:rPr>
                <w:rFonts w:ascii="Times New Roman" w:hAnsi="Times New Roman" w:cs="Times New Roman"/>
                <w:szCs w:val="24"/>
              </w:rPr>
              <w:t>-</w:t>
            </w:r>
            <w:r>
              <w:rPr>
                <w:rFonts w:ascii="Times New Roman" w:hAnsi="Times New Roman" w:cs="Times New Roman"/>
                <w:szCs w:val="24"/>
              </w:rPr>
              <w:t>0</w:t>
            </w:r>
            <w:r w:rsidRPr="00F9559B">
              <w:rPr>
                <w:rFonts w:ascii="Times New Roman" w:hAnsi="Times New Roman" w:cs="Times New Roman"/>
                <w:szCs w:val="24"/>
              </w:rPr>
              <w:t>.0098</w:t>
            </w:r>
            <w:r>
              <w:rPr>
                <w:rFonts w:ascii="Times New Roman" w:hAnsi="Times New Roman" w:cs="Times New Roman"/>
                <w:szCs w:val="24"/>
              </w:rPr>
              <w:t>***</w:t>
            </w:r>
          </w:p>
          <w:p w14:paraId="26F79403"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p>
        </w:tc>
        <w:tc>
          <w:tcPr>
            <w:tcW w:w="1535" w:type="dxa"/>
            <w:gridSpan w:val="2"/>
          </w:tcPr>
          <w:p w14:paraId="02F601D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32B2862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907975">
              <w:rPr>
                <w:rFonts w:ascii="Times New Roman" w:hAnsi="Times New Roman" w:cs="Times New Roman"/>
                <w:szCs w:val="24"/>
              </w:rPr>
              <w:t>.0169</w:t>
            </w:r>
            <w:r>
              <w:rPr>
                <w:rFonts w:ascii="Times New Roman" w:hAnsi="Times New Roman" w:cs="Times New Roman"/>
                <w:szCs w:val="24"/>
              </w:rPr>
              <w:t>***</w:t>
            </w:r>
          </w:p>
          <w:p w14:paraId="05D069B9"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3"/>
          </w:tcPr>
          <w:p w14:paraId="27749E7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3FF1422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w:t>
            </w:r>
            <w:r w:rsidRPr="001C5CD4">
              <w:rPr>
                <w:rFonts w:ascii="Times New Roman" w:hAnsi="Times New Roman" w:cs="Times New Roman"/>
                <w:szCs w:val="24"/>
              </w:rPr>
              <w:t>.0018</w:t>
            </w:r>
          </w:p>
          <w:p w14:paraId="2582DD95"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287B5EB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1FEC83A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-0.414***</w:t>
            </w:r>
          </w:p>
          <w:p w14:paraId="4F840904"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7" w:type="dxa"/>
            <w:gridSpan w:val="2"/>
          </w:tcPr>
          <w:p w14:paraId="175ACCC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116DA39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-0.520***</w:t>
            </w:r>
          </w:p>
          <w:p w14:paraId="362A8AEA"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c>
          <w:tcPr>
            <w:tcW w:w="1418" w:type="dxa"/>
            <w:gridSpan w:val="2"/>
          </w:tcPr>
          <w:p w14:paraId="191FF46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p w14:paraId="79F09CA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sidRPr="00347704">
              <w:rPr>
                <w:rFonts w:ascii="Times New Roman" w:hAnsi="Times New Roman" w:cs="Times New Roman"/>
                <w:szCs w:val="24"/>
              </w:rPr>
              <w:t>-</w:t>
            </w:r>
            <w:r>
              <w:rPr>
                <w:rFonts w:ascii="Times New Roman" w:hAnsi="Times New Roman" w:cs="Times New Roman"/>
                <w:szCs w:val="24"/>
              </w:rPr>
              <w:t>0</w:t>
            </w:r>
            <w:r w:rsidRPr="00347704">
              <w:rPr>
                <w:rFonts w:ascii="Times New Roman" w:hAnsi="Times New Roman" w:cs="Times New Roman"/>
                <w:szCs w:val="24"/>
              </w:rPr>
              <w:t>.323</w:t>
            </w:r>
            <w:r>
              <w:rPr>
                <w:rFonts w:ascii="Times New Roman" w:hAnsi="Times New Roman" w:cs="Times New Roman"/>
                <w:szCs w:val="24"/>
              </w:rPr>
              <w:t>***</w:t>
            </w:r>
          </w:p>
          <w:p w14:paraId="1EB6FFE6"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p>
        </w:tc>
      </w:tr>
      <w:tr w:rsidR="00FB736C" w:rsidRPr="00E1434A" w14:paraId="7AEAD54B" w14:textId="77777777" w:rsidTr="00C15CF1">
        <w:trPr>
          <w:jc w:val="center"/>
        </w:trPr>
        <w:tc>
          <w:tcPr>
            <w:tcW w:w="2268" w:type="dxa"/>
            <w:gridSpan w:val="2"/>
            <w:tcBorders>
              <w:top w:val="single" w:sz="4" w:space="0" w:color="auto"/>
            </w:tcBorders>
          </w:tcPr>
          <w:p w14:paraId="777AB86F"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Observations</w:t>
            </w:r>
          </w:p>
        </w:tc>
        <w:tc>
          <w:tcPr>
            <w:tcW w:w="1584" w:type="dxa"/>
            <w:gridSpan w:val="2"/>
            <w:tcBorders>
              <w:top w:val="single" w:sz="4" w:space="0" w:color="auto"/>
            </w:tcBorders>
          </w:tcPr>
          <w:p w14:paraId="3A026C71"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r w:rsidRPr="00D45176">
              <w:rPr>
                <w:rFonts w:ascii="Times New Roman" w:hAnsi="Times New Roman" w:cs="Times New Roman"/>
              </w:rPr>
              <w:t>11251</w:t>
            </w:r>
          </w:p>
        </w:tc>
        <w:tc>
          <w:tcPr>
            <w:tcW w:w="1535" w:type="dxa"/>
            <w:gridSpan w:val="2"/>
            <w:tcBorders>
              <w:top w:val="single" w:sz="4" w:space="0" w:color="auto"/>
            </w:tcBorders>
          </w:tcPr>
          <w:p w14:paraId="0A06F71B"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8416</w:t>
            </w:r>
          </w:p>
        </w:tc>
        <w:tc>
          <w:tcPr>
            <w:tcW w:w="1417" w:type="dxa"/>
            <w:gridSpan w:val="3"/>
            <w:tcBorders>
              <w:top w:val="single" w:sz="4" w:space="0" w:color="auto"/>
            </w:tcBorders>
          </w:tcPr>
          <w:p w14:paraId="4842884C"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5598</w:t>
            </w:r>
          </w:p>
        </w:tc>
        <w:tc>
          <w:tcPr>
            <w:tcW w:w="1418" w:type="dxa"/>
            <w:gridSpan w:val="2"/>
            <w:tcBorders>
              <w:top w:val="single" w:sz="4" w:space="0" w:color="auto"/>
            </w:tcBorders>
          </w:tcPr>
          <w:p w14:paraId="3B739C02"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r w:rsidRPr="00D45176">
              <w:rPr>
                <w:rFonts w:ascii="Times New Roman" w:hAnsi="Times New Roman" w:cs="Times New Roman"/>
              </w:rPr>
              <w:t>11251</w:t>
            </w:r>
          </w:p>
        </w:tc>
        <w:tc>
          <w:tcPr>
            <w:tcW w:w="1417" w:type="dxa"/>
            <w:gridSpan w:val="2"/>
            <w:tcBorders>
              <w:top w:val="single" w:sz="4" w:space="0" w:color="auto"/>
            </w:tcBorders>
          </w:tcPr>
          <w:p w14:paraId="5D34CEBE"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8415</w:t>
            </w:r>
          </w:p>
        </w:tc>
        <w:tc>
          <w:tcPr>
            <w:tcW w:w="1418" w:type="dxa"/>
            <w:gridSpan w:val="2"/>
            <w:tcBorders>
              <w:top w:val="single" w:sz="4" w:space="0" w:color="auto"/>
            </w:tcBorders>
          </w:tcPr>
          <w:p w14:paraId="4DEC3CF1"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5598</w:t>
            </w:r>
          </w:p>
        </w:tc>
      </w:tr>
      <w:tr w:rsidR="00FB736C" w:rsidRPr="00E1434A" w14:paraId="176BA05B" w14:textId="77777777" w:rsidTr="00C15CF1">
        <w:tblPrEx>
          <w:tblBorders>
            <w:bottom w:val="single" w:sz="6" w:space="0" w:color="auto"/>
          </w:tblBorders>
        </w:tblPrEx>
        <w:trPr>
          <w:jc w:val="center"/>
        </w:trPr>
        <w:tc>
          <w:tcPr>
            <w:tcW w:w="2268" w:type="dxa"/>
            <w:gridSpan w:val="2"/>
            <w:tcBorders>
              <w:top w:val="nil"/>
              <w:left w:val="nil"/>
              <w:bottom w:val="single" w:sz="4" w:space="0" w:color="auto"/>
              <w:right w:val="nil"/>
            </w:tcBorders>
          </w:tcPr>
          <w:p w14:paraId="1E05A618"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 w:val="24"/>
                <w:szCs w:val="24"/>
              </w:rPr>
              <w:t>R-squared</w:t>
            </w:r>
          </w:p>
        </w:tc>
        <w:tc>
          <w:tcPr>
            <w:tcW w:w="1584" w:type="dxa"/>
            <w:gridSpan w:val="2"/>
            <w:tcBorders>
              <w:top w:val="nil"/>
              <w:left w:val="nil"/>
              <w:bottom w:val="single" w:sz="4" w:space="0" w:color="auto"/>
              <w:right w:val="nil"/>
            </w:tcBorders>
          </w:tcPr>
          <w:p w14:paraId="59C1A655"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szCs w:val="24"/>
              </w:rPr>
              <w:t>0.117</w:t>
            </w:r>
          </w:p>
        </w:tc>
        <w:tc>
          <w:tcPr>
            <w:tcW w:w="1535" w:type="dxa"/>
            <w:gridSpan w:val="2"/>
            <w:tcBorders>
              <w:top w:val="nil"/>
              <w:left w:val="nil"/>
              <w:bottom w:val="single" w:sz="4" w:space="0" w:color="auto"/>
              <w:right w:val="nil"/>
            </w:tcBorders>
          </w:tcPr>
          <w:p w14:paraId="7516ECE2"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0.210</w:t>
            </w:r>
          </w:p>
        </w:tc>
        <w:tc>
          <w:tcPr>
            <w:tcW w:w="1417" w:type="dxa"/>
            <w:gridSpan w:val="3"/>
            <w:tcBorders>
              <w:top w:val="nil"/>
              <w:left w:val="nil"/>
              <w:bottom w:val="single" w:sz="4" w:space="0" w:color="auto"/>
              <w:right w:val="nil"/>
            </w:tcBorders>
          </w:tcPr>
          <w:p w14:paraId="0B8A8A6C"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0.235</w:t>
            </w:r>
          </w:p>
        </w:tc>
        <w:tc>
          <w:tcPr>
            <w:tcW w:w="1418" w:type="dxa"/>
            <w:gridSpan w:val="2"/>
            <w:tcBorders>
              <w:top w:val="nil"/>
              <w:left w:val="nil"/>
              <w:bottom w:val="single" w:sz="4" w:space="0" w:color="auto"/>
              <w:right w:val="nil"/>
            </w:tcBorders>
          </w:tcPr>
          <w:p w14:paraId="5CED0F80"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0.450</w:t>
            </w:r>
          </w:p>
        </w:tc>
        <w:tc>
          <w:tcPr>
            <w:tcW w:w="1417" w:type="dxa"/>
            <w:gridSpan w:val="2"/>
            <w:tcBorders>
              <w:top w:val="nil"/>
              <w:left w:val="nil"/>
              <w:bottom w:val="single" w:sz="4" w:space="0" w:color="auto"/>
              <w:right w:val="nil"/>
            </w:tcBorders>
          </w:tcPr>
          <w:p w14:paraId="0D78792B"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0.535</w:t>
            </w:r>
          </w:p>
        </w:tc>
        <w:tc>
          <w:tcPr>
            <w:tcW w:w="1418" w:type="dxa"/>
            <w:gridSpan w:val="2"/>
            <w:tcBorders>
              <w:top w:val="nil"/>
              <w:left w:val="nil"/>
              <w:bottom w:val="single" w:sz="4" w:space="0" w:color="auto"/>
              <w:right w:val="nil"/>
            </w:tcBorders>
          </w:tcPr>
          <w:p w14:paraId="61CD2E07" w14:textId="77777777" w:rsidR="00FB736C" w:rsidRPr="00E1434A"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0.516</w:t>
            </w:r>
          </w:p>
        </w:tc>
      </w:tr>
    </w:tbl>
    <w:p w14:paraId="16F3866C" w14:textId="77777777" w:rsidR="00FB736C" w:rsidRDefault="00FB736C" w:rsidP="00FB736C">
      <w:pPr>
        <w:widowControl w:val="0"/>
        <w:autoSpaceDE w:val="0"/>
        <w:autoSpaceDN w:val="0"/>
        <w:adjustRightInd w:val="0"/>
        <w:spacing w:after="0" w:line="240" w:lineRule="auto"/>
        <w:rPr>
          <w:rFonts w:ascii="Times New Roman" w:hAnsi="Times New Roman" w:cs="Times New Roman"/>
          <w:sz w:val="24"/>
          <w:szCs w:val="24"/>
        </w:rPr>
      </w:pPr>
    </w:p>
    <w:p w14:paraId="17789C07" w14:textId="77777777" w:rsidR="00FB736C" w:rsidRPr="00EE2FE3" w:rsidRDefault="00FB736C" w:rsidP="00FB736C">
      <w:pPr>
        <w:ind w:left="-851" w:right="-732" w:hanging="31"/>
        <w:jc w:val="both"/>
        <w:rPr>
          <w:rFonts w:ascii="Times New Roman" w:hAnsi="Times New Roman" w:cs="Times New Roman"/>
          <w:lang w:val="en-GB" w:eastAsia="en-US"/>
        </w:rPr>
      </w:pPr>
      <w:r w:rsidRPr="00754180">
        <w:rPr>
          <w:rFonts w:ascii="Times New Roman" w:hAnsi="Times New Roman" w:cs="Times New Roman"/>
          <w:b/>
          <w:bCs/>
          <w:noProof/>
          <w:lang w:val="en-GB"/>
        </w:rPr>
        <w:t xml:space="preserve">Note: </w:t>
      </w:r>
      <w:r w:rsidRPr="006463B2">
        <w:rPr>
          <w:rFonts w:ascii="Times New Roman" w:hAnsi="Times New Roman" w:cs="Times New Roman"/>
          <w:lang w:val="en-GB" w:eastAsia="en-US"/>
        </w:rPr>
        <w:t>The Table reports the coefficient estimates from IV panel (unconditional) quantile regression at the 50</w:t>
      </w:r>
      <w:r w:rsidRPr="006463B2">
        <w:rPr>
          <w:rFonts w:ascii="Times New Roman" w:hAnsi="Times New Roman" w:cs="Times New Roman"/>
          <w:vertAlign w:val="superscript"/>
          <w:lang w:val="en-GB" w:eastAsia="en-US"/>
        </w:rPr>
        <w:t>th</w:t>
      </w:r>
      <w:r w:rsidRPr="006463B2">
        <w:rPr>
          <w:rFonts w:ascii="Times New Roman" w:hAnsi="Times New Roman" w:cs="Times New Roman"/>
          <w:lang w:val="en-GB" w:eastAsia="en-US"/>
        </w:rPr>
        <w:t xml:space="preserve"> quantile or median. </w:t>
      </w:r>
      <w:r w:rsidRPr="006463B2">
        <w:rPr>
          <w:rFonts w:ascii="Times New Roman" w:hAnsi="Times New Roman" w:cs="Times New Roman"/>
        </w:rPr>
        <w:t>Bank Branches_1936 (the number of branches per 10,000 inhabitants in 1936) and Cooperative Banks_1936 (the number of cooperative banks in the province per 100,000 inhabitants) are the instruments. The estimation involved 10,000 Monte Carlo simulation</w:t>
      </w:r>
      <w:r>
        <w:rPr>
          <w:rFonts w:ascii="Times New Roman" w:hAnsi="Times New Roman" w:cs="Times New Roman"/>
        </w:rPr>
        <w:t>s</w:t>
      </w:r>
      <w:r w:rsidRPr="006463B2">
        <w:rPr>
          <w:rFonts w:ascii="Times New Roman" w:hAnsi="Times New Roman" w:cs="Times New Roman"/>
        </w:rPr>
        <w:t xml:space="preserve">. </w:t>
      </w:r>
      <w:r w:rsidRPr="006463B2">
        <w:rPr>
          <w:rFonts w:ascii="Times New Roman" w:hAnsi="Times New Roman" w:cs="Times New Roman"/>
          <w:lang w:val="en-GB" w:eastAsia="en-US"/>
        </w:rPr>
        <w:t xml:space="preserve">It specifically presents the results of the determinants of bank profitability measured by ROA and the </w:t>
      </w:r>
      <w:r w:rsidRPr="006463B2">
        <w:rPr>
          <w:rFonts w:ascii="Times New Roman" w:hAnsi="Times New Roman" w:cs="Times New Roman"/>
          <w:noProof/>
          <w:lang w:val="en-GB"/>
        </w:rPr>
        <w:t>efficiency-adjusted Lerner Index</w:t>
      </w:r>
      <w:r w:rsidRPr="00754180">
        <w:rPr>
          <w:rFonts w:ascii="Times New Roman" w:hAnsi="Times New Roman" w:cs="Times New Roman"/>
          <w:noProof/>
          <w:lang w:val="en-GB"/>
        </w:rPr>
        <w:t>, Adj LE, (Koetter et al., 2012)</w:t>
      </w:r>
      <w:r>
        <w:rPr>
          <w:rFonts w:ascii="Times New Roman" w:hAnsi="Times New Roman" w:cs="Times New Roman"/>
          <w:noProof/>
          <w:lang w:val="en-GB"/>
        </w:rPr>
        <w:t xml:space="preserve"> at various points of the distribution (here three quantiles: 25</w:t>
      </w:r>
      <w:r w:rsidRPr="00A02554">
        <w:rPr>
          <w:rFonts w:ascii="Times New Roman" w:hAnsi="Times New Roman" w:cs="Times New Roman"/>
          <w:noProof/>
          <w:vertAlign w:val="superscript"/>
          <w:lang w:val="en-GB"/>
        </w:rPr>
        <w:t>th</w:t>
      </w:r>
      <w:r>
        <w:rPr>
          <w:rFonts w:ascii="Times New Roman" w:hAnsi="Times New Roman" w:cs="Times New Roman"/>
          <w:noProof/>
          <w:lang w:val="en-GB"/>
        </w:rPr>
        <w:t>, 50</w:t>
      </w:r>
      <w:r w:rsidRPr="00A02554">
        <w:rPr>
          <w:rFonts w:ascii="Times New Roman" w:hAnsi="Times New Roman" w:cs="Times New Roman"/>
          <w:noProof/>
          <w:vertAlign w:val="superscript"/>
          <w:lang w:val="en-GB"/>
        </w:rPr>
        <w:t>th</w:t>
      </w:r>
      <w:r>
        <w:rPr>
          <w:rFonts w:ascii="Times New Roman" w:hAnsi="Times New Roman" w:cs="Times New Roman"/>
          <w:noProof/>
          <w:lang w:val="en-GB"/>
        </w:rPr>
        <w:t>, and 90</w:t>
      </w:r>
      <w:r w:rsidRPr="00A02554">
        <w:rPr>
          <w:rFonts w:ascii="Times New Roman" w:hAnsi="Times New Roman" w:cs="Times New Roman"/>
          <w:noProof/>
          <w:vertAlign w:val="superscript"/>
          <w:lang w:val="en-GB"/>
        </w:rPr>
        <w:t>th</w:t>
      </w:r>
      <w:r>
        <w:rPr>
          <w:rFonts w:ascii="Times New Roman" w:hAnsi="Times New Roman" w:cs="Times New Roman"/>
          <w:noProof/>
          <w:lang w:val="en-GB"/>
        </w:rPr>
        <w:t>)</w:t>
      </w:r>
      <w:r w:rsidRPr="00BD18D8">
        <w:rPr>
          <w:rFonts w:ascii="Times New Roman" w:hAnsi="Times New Roman" w:cs="Times New Roman"/>
          <w:lang w:val="en-GB" w:eastAsia="en-US"/>
        </w:rPr>
        <w:t>. All explanatory variables enter the regressions with a one year lag. GD is geographic diversification calculated with</w:t>
      </w:r>
      <w:r>
        <w:rPr>
          <w:rFonts w:ascii="Times New Roman" w:hAnsi="Times New Roman" w:cs="Times New Roman"/>
          <w:lang w:val="en-GB" w:eastAsia="en-US"/>
        </w:rPr>
        <w:t xml:space="preserve"> the Berry Index; DISTANCE</w:t>
      </w:r>
      <w:r w:rsidRPr="00BD18D8">
        <w:rPr>
          <w:rFonts w:ascii="Times New Roman" w:hAnsi="Times New Roman" w:cs="Times New Roman"/>
          <w:lang w:val="en-GB" w:eastAsia="en-US"/>
        </w:rPr>
        <w:t xml:space="preserve"> is the</w:t>
      </w:r>
      <w:r>
        <w:rPr>
          <w:rFonts w:ascii="Times New Roman" w:hAnsi="Times New Roman" w:cs="Times New Roman"/>
          <w:lang w:val="en-GB" w:eastAsia="en-US"/>
        </w:rPr>
        <w:t xml:space="preserve"> weighted</w:t>
      </w:r>
      <w:r w:rsidRPr="00BD18D8">
        <w:rPr>
          <w:rFonts w:ascii="Times New Roman" w:hAnsi="Times New Roman" w:cs="Times New Roman"/>
          <w:lang w:val="en-GB" w:eastAsia="en-US"/>
        </w:rPr>
        <w:t xml:space="preserve"> distance between the headquarters and the branches; MC</w:t>
      </w:r>
      <w:r>
        <w:rPr>
          <w:rFonts w:ascii="Times New Roman" w:hAnsi="Times New Roman" w:cs="Times New Roman"/>
          <w:lang w:val="en-GB" w:eastAsia="en-US"/>
        </w:rPr>
        <w:t>w</w:t>
      </w:r>
      <w:r w:rsidRPr="00BD18D8">
        <w:rPr>
          <w:rFonts w:ascii="Times New Roman" w:hAnsi="Times New Roman" w:cs="Times New Roman"/>
          <w:lang w:val="en-GB" w:eastAsia="en-US"/>
        </w:rPr>
        <w:t xml:space="preserve"> is the market coverage weighted for loan volume; NPLs is the amount of non-performing loans; EQTA is equity over total assets; ENTRY is the net number of new branches over total branches in each province; HHI</w:t>
      </w:r>
      <w:r>
        <w:rPr>
          <w:rFonts w:ascii="Times New Roman" w:hAnsi="Times New Roman" w:cs="Times New Roman"/>
          <w:lang w:val="en-GB" w:eastAsia="en-US"/>
        </w:rPr>
        <w:t>w</w:t>
      </w:r>
      <w:r w:rsidRPr="00BD18D8">
        <w:rPr>
          <w:rFonts w:ascii="Times New Roman" w:hAnsi="Times New Roman" w:cs="Times New Roman"/>
          <w:lang w:val="en-GB" w:eastAsia="en-US"/>
        </w:rPr>
        <w:t xml:space="preserve"> is the concentration of branches in each province weighted for loan volume. </w:t>
      </w:r>
      <w:r>
        <w:rPr>
          <w:rFonts w:ascii="Times New Roman" w:hAnsi="Times New Roman" w:cs="Times New Roman"/>
          <w:lang w:val="en-GB" w:eastAsia="en-US"/>
        </w:rPr>
        <w:t>S</w:t>
      </w:r>
      <w:r w:rsidRPr="00BD18D8">
        <w:rPr>
          <w:rFonts w:ascii="Times New Roman" w:hAnsi="Times New Roman" w:cs="Times New Roman"/>
          <w:lang w:val="en-GB" w:eastAsia="en-US"/>
        </w:rPr>
        <w:t xml:space="preserve">tandard errors are </w:t>
      </w:r>
      <w:r>
        <w:rPr>
          <w:rFonts w:ascii="Times New Roman" w:hAnsi="Times New Roman" w:cs="Times New Roman"/>
          <w:lang w:val="en-GB" w:eastAsia="en-US"/>
        </w:rPr>
        <w:t>clustered by bank ID</w:t>
      </w:r>
      <w:r w:rsidRPr="00BD18D8">
        <w:rPr>
          <w:rFonts w:ascii="Times New Roman" w:hAnsi="Times New Roman" w:cs="Times New Roman"/>
          <w:lang w:val="en-GB" w:eastAsia="en-US"/>
        </w:rPr>
        <w:t>.</w:t>
      </w:r>
      <w:r>
        <w:rPr>
          <w:rFonts w:ascii="Times New Roman" w:hAnsi="Times New Roman" w:cs="Times New Roman"/>
          <w:lang w:val="en-GB" w:eastAsia="en-US"/>
        </w:rPr>
        <w:t xml:space="preserve"> </w:t>
      </w:r>
      <w:r w:rsidRPr="006463B2">
        <w:rPr>
          <w:rFonts w:ascii="Times New Roman" w:hAnsi="Times New Roman" w:cs="Times New Roman"/>
          <w:lang w:val="en-US"/>
        </w:rPr>
        <w:t xml:space="preserve">Specification I includes all banks; specification II includes </w:t>
      </w:r>
      <w:r w:rsidRPr="006463B2">
        <w:rPr>
          <w:rFonts w:ascii="Times New Roman" w:hAnsi="Times New Roman" w:cs="Times New Roman"/>
          <w:lang w:val="en-GB" w:eastAsia="en-US"/>
        </w:rPr>
        <w:t>only the cooperative and saving banks, while specification III only banks with large branches</w:t>
      </w:r>
      <w:r w:rsidRPr="006463B2">
        <w:rPr>
          <w:rFonts w:ascii="Times New Roman" w:hAnsi="Times New Roman" w:cs="Times New Roman"/>
          <w:lang w:val="en-US"/>
        </w:rPr>
        <w:t xml:space="preserve"> includes only banks with large branches.</w:t>
      </w:r>
      <w:r w:rsidRPr="006463B2">
        <w:rPr>
          <w:rFonts w:ascii="Times New Roman" w:hAnsi="Times New Roman" w:cs="Times New Roman"/>
          <w:lang w:val="en-GB" w:eastAsia="en-US"/>
        </w:rPr>
        <w:t xml:space="preserve"> </w:t>
      </w:r>
      <w:r>
        <w:rPr>
          <w:rFonts w:ascii="Times New Roman" w:hAnsi="Times New Roman" w:cs="Times New Roman"/>
          <w:lang w:val="en-GB" w:eastAsia="en-US"/>
        </w:rPr>
        <w:t xml:space="preserve"> </w:t>
      </w:r>
      <w:r w:rsidRPr="006540FE">
        <w:rPr>
          <w:rFonts w:ascii="Times New Roman" w:hAnsi="Times New Roman" w:cs="Times New Roman"/>
          <w:lang w:val="en-US"/>
        </w:rPr>
        <w:t xml:space="preserve">** </w:t>
      </w:r>
      <w:r w:rsidRPr="006540FE">
        <w:rPr>
          <w:rFonts w:ascii="Times New Roman" w:hAnsi="Times New Roman" w:cs="Times New Roman"/>
          <w:i/>
          <w:lang w:val="en-US"/>
        </w:rPr>
        <w:t>p</w:t>
      </w:r>
      <w:r w:rsidRPr="006540FE">
        <w:rPr>
          <w:rFonts w:ascii="Times New Roman" w:hAnsi="Times New Roman" w:cs="Times New Roman"/>
          <w:lang w:val="en-US"/>
        </w:rPr>
        <w:t xml:space="preserve">&lt;.05, *** </w:t>
      </w:r>
      <w:r w:rsidRPr="006540FE">
        <w:rPr>
          <w:rFonts w:ascii="Times New Roman" w:hAnsi="Times New Roman" w:cs="Times New Roman"/>
          <w:i/>
          <w:lang w:val="en-US"/>
        </w:rPr>
        <w:t>p</w:t>
      </w:r>
      <w:r w:rsidRPr="006540FE">
        <w:rPr>
          <w:rFonts w:ascii="Times New Roman" w:hAnsi="Times New Roman" w:cs="Times New Roman"/>
          <w:lang w:val="en-US"/>
        </w:rPr>
        <w:t>&lt;.01.</w:t>
      </w:r>
      <w:r>
        <w:rPr>
          <w:rFonts w:ascii="Times New Roman" w:hAnsi="Times New Roman" w:cs="Times New Roman"/>
          <w:lang w:val="en-US"/>
        </w:rPr>
        <w:t xml:space="preserve"> </w:t>
      </w:r>
    </w:p>
    <w:p w14:paraId="09067444" w14:textId="77777777" w:rsidR="00FB736C" w:rsidRDefault="00FB736C" w:rsidP="00FB736C">
      <w:pPr>
        <w:spacing w:after="160" w:line="259" w:lineRule="auto"/>
        <w:rPr>
          <w:rFonts w:ascii="Times New Roman" w:hAnsi="Times New Roman" w:cs="Times New Roman"/>
          <w:b/>
          <w:bCs/>
          <w:i/>
          <w:iCs/>
          <w:noProof/>
          <w:sz w:val="24"/>
          <w:szCs w:val="24"/>
          <w:lang w:val="en-GB"/>
        </w:rPr>
      </w:pPr>
    </w:p>
    <w:p w14:paraId="57A6FF43" w14:textId="77777777" w:rsidR="00FB736C" w:rsidRDefault="00FB736C" w:rsidP="00FB736C">
      <w:pPr>
        <w:spacing w:after="160" w:line="259" w:lineRule="auto"/>
        <w:rPr>
          <w:rFonts w:ascii="Times New Roman" w:hAnsi="Times New Roman" w:cs="Times New Roman"/>
          <w:b/>
          <w:bCs/>
          <w:i/>
          <w:iCs/>
          <w:noProof/>
          <w:sz w:val="24"/>
          <w:szCs w:val="24"/>
          <w:lang w:val="en-GB"/>
        </w:rPr>
      </w:pPr>
    </w:p>
    <w:p w14:paraId="3C9B8DC6" w14:textId="77777777" w:rsidR="00FB736C" w:rsidRDefault="00FB736C" w:rsidP="00FB736C">
      <w:pPr>
        <w:spacing w:after="160" w:line="259" w:lineRule="auto"/>
        <w:rPr>
          <w:rFonts w:ascii="Times New Roman" w:hAnsi="Times New Roman" w:cs="Times New Roman"/>
          <w:b/>
          <w:bCs/>
          <w:i/>
          <w:iCs/>
          <w:noProof/>
          <w:sz w:val="24"/>
          <w:szCs w:val="24"/>
          <w:lang w:val="en-GB"/>
        </w:rPr>
      </w:pPr>
    </w:p>
    <w:p w14:paraId="369AB601" w14:textId="77777777" w:rsidR="00FB736C" w:rsidRPr="00754180" w:rsidRDefault="00FB736C" w:rsidP="00FB736C">
      <w:pPr>
        <w:spacing w:after="160" w:line="259" w:lineRule="auto"/>
        <w:rPr>
          <w:rFonts w:ascii="Times New Roman" w:hAnsi="Times New Roman" w:cs="Times New Roman"/>
          <w:b/>
          <w:bCs/>
          <w:i/>
          <w:iCs/>
          <w:noProof/>
          <w:sz w:val="24"/>
          <w:szCs w:val="24"/>
          <w:lang w:val="en-GB"/>
        </w:rPr>
      </w:pPr>
    </w:p>
    <w:p w14:paraId="68450C5E" w14:textId="77777777" w:rsidR="00FB736C" w:rsidRPr="005D7567" w:rsidRDefault="00FB736C" w:rsidP="00FB736C">
      <w:pPr>
        <w:ind w:left="851" w:hanging="851"/>
        <w:jc w:val="both"/>
        <w:rPr>
          <w:rFonts w:ascii="Times New Roman" w:hAnsi="Times New Roman" w:cs="Times New Roman"/>
          <w:b/>
          <w:bCs/>
          <w:i/>
          <w:iCs/>
          <w:noProof/>
          <w:sz w:val="24"/>
          <w:szCs w:val="24"/>
          <w:lang w:val="en-GB"/>
        </w:rPr>
      </w:pPr>
      <w:r w:rsidRPr="005D7567">
        <w:rPr>
          <w:rFonts w:ascii="Times New Roman" w:hAnsi="Times New Roman" w:cs="Times New Roman"/>
          <w:b/>
          <w:bCs/>
          <w:i/>
          <w:iCs/>
          <w:noProof/>
          <w:sz w:val="24"/>
          <w:szCs w:val="24"/>
          <w:lang w:val="en-GB"/>
        </w:rPr>
        <w:t>Table 8</w:t>
      </w:r>
      <w:r>
        <w:rPr>
          <w:rFonts w:ascii="Times New Roman" w:hAnsi="Times New Roman" w:cs="Times New Roman"/>
          <w:b/>
          <w:bCs/>
          <w:i/>
          <w:iCs/>
          <w:noProof/>
          <w:sz w:val="24"/>
          <w:szCs w:val="24"/>
          <w:lang w:val="en-GB"/>
        </w:rPr>
        <w:t>.</w:t>
      </w:r>
      <w:r w:rsidRPr="005D7567">
        <w:rPr>
          <w:rFonts w:ascii="Times New Roman" w:hAnsi="Times New Roman" w:cs="Times New Roman"/>
          <w:b/>
          <w:bCs/>
          <w:i/>
          <w:iCs/>
          <w:noProof/>
          <w:sz w:val="24"/>
          <w:szCs w:val="24"/>
          <w:lang w:val="en-GB"/>
        </w:rPr>
        <w:t xml:space="preserve"> The Impact of Geographic Diversification and Local Banking Structure on Loan Growth (</w:t>
      </w:r>
      <m:oMath>
        <m:r>
          <m:rPr>
            <m:sty m:val="bi"/>
          </m:rPr>
          <w:rPr>
            <w:rFonts w:ascii="Cambria Math" w:hAnsi="Cambria Math" w:cs="Times New Roman"/>
            <w:sz w:val="24"/>
            <w:szCs w:val="24"/>
          </w:rPr>
          <m:t>Δ</m:t>
        </m:r>
      </m:oMath>
      <w:r w:rsidRPr="005D7567">
        <w:rPr>
          <w:rFonts w:ascii="Times New Roman" w:hAnsi="Times New Roman" w:cs="Times New Roman"/>
          <w:b/>
          <w:i/>
          <w:sz w:val="24"/>
          <w:szCs w:val="24"/>
          <w:lang w:val="en-GB" w:eastAsia="en-US"/>
        </w:rPr>
        <w:t>lnLoans)</w:t>
      </w:r>
      <w:r w:rsidRPr="005D7567">
        <w:rPr>
          <w:rFonts w:ascii="Times New Roman" w:hAnsi="Times New Roman" w:cs="Times New Roman"/>
          <w:b/>
          <w:bCs/>
          <w:i/>
          <w:iCs/>
          <w:noProof/>
          <w:sz w:val="24"/>
          <w:szCs w:val="24"/>
          <w:lang w:val="en-GB"/>
        </w:rPr>
        <w:t xml:space="preserve"> and Lerner Index for Loans (</w:t>
      </w:r>
      <w:r w:rsidRPr="005D7567">
        <w:rPr>
          <w:rFonts w:ascii="Times New Roman" w:hAnsi="Times New Roman" w:cs="Times New Roman"/>
          <w:b/>
          <w:i/>
          <w:sz w:val="24"/>
          <w:szCs w:val="24"/>
        </w:rPr>
        <w:t>LE</w:t>
      </w:r>
      <w:r w:rsidRPr="005D7567">
        <w:rPr>
          <w:rFonts w:ascii="Times New Roman" w:hAnsi="Times New Roman" w:cs="Times New Roman"/>
          <w:b/>
          <w:i/>
          <w:sz w:val="18"/>
          <w:szCs w:val="24"/>
        </w:rPr>
        <w:t>L</w:t>
      </w:r>
      <w:r w:rsidRPr="005D7567">
        <w:rPr>
          <w:rFonts w:ascii="Times New Roman" w:hAnsi="Times New Roman" w:cs="Times New Roman"/>
          <w:b/>
          <w:i/>
          <w:sz w:val="24"/>
          <w:szCs w:val="24"/>
        </w:rPr>
        <w:t>)</w:t>
      </w:r>
    </w:p>
    <w:tbl>
      <w:tblPr>
        <w:tblW w:w="7654" w:type="dxa"/>
        <w:jc w:val="center"/>
        <w:tblLayout w:type="fixed"/>
        <w:tblCellMar>
          <w:left w:w="75" w:type="dxa"/>
          <w:right w:w="75" w:type="dxa"/>
        </w:tblCellMar>
        <w:tblLook w:val="0000" w:firstRow="0" w:lastRow="0" w:firstColumn="0" w:lastColumn="0" w:noHBand="0" w:noVBand="0"/>
      </w:tblPr>
      <w:tblGrid>
        <w:gridCol w:w="1699"/>
        <w:gridCol w:w="284"/>
        <w:gridCol w:w="1559"/>
        <w:gridCol w:w="25"/>
        <w:gridCol w:w="1393"/>
        <w:gridCol w:w="25"/>
        <w:gridCol w:w="1393"/>
        <w:gridCol w:w="1276"/>
      </w:tblGrid>
      <w:tr w:rsidR="00FB736C" w14:paraId="36D69690" w14:textId="77777777" w:rsidTr="00C15CF1">
        <w:trPr>
          <w:jc w:val="center"/>
        </w:trPr>
        <w:tc>
          <w:tcPr>
            <w:tcW w:w="1699" w:type="dxa"/>
            <w:tcBorders>
              <w:top w:val="single" w:sz="4" w:space="0" w:color="auto"/>
              <w:left w:val="nil"/>
            </w:tcBorders>
          </w:tcPr>
          <w:p w14:paraId="3BF8615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Borders>
              <w:top w:val="single" w:sz="4" w:space="0" w:color="auto"/>
            </w:tcBorders>
          </w:tcPr>
          <w:p w14:paraId="42BB35B9"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gridSpan w:val="2"/>
            <w:tcBorders>
              <w:top w:val="single" w:sz="4" w:space="0" w:color="auto"/>
            </w:tcBorders>
          </w:tcPr>
          <w:p w14:paraId="2308E25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93" w:type="dxa"/>
            <w:tcBorders>
              <w:top w:val="single" w:sz="4" w:space="0" w:color="auto"/>
            </w:tcBorders>
          </w:tcPr>
          <w:p w14:paraId="26E0A95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tcBorders>
          </w:tcPr>
          <w:p w14:paraId="13CCE76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B736C" w14:paraId="19D68D57" w14:textId="77777777" w:rsidTr="00C15CF1">
        <w:trPr>
          <w:trHeight w:val="276"/>
          <w:jc w:val="center"/>
        </w:trPr>
        <w:tc>
          <w:tcPr>
            <w:tcW w:w="1699" w:type="dxa"/>
            <w:tcBorders>
              <w:left w:val="nil"/>
              <w:bottom w:val="single" w:sz="4" w:space="0" w:color="auto"/>
            </w:tcBorders>
          </w:tcPr>
          <w:p w14:paraId="615AEFF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VARIABLES</w:t>
            </w:r>
          </w:p>
        </w:tc>
        <w:tc>
          <w:tcPr>
            <w:tcW w:w="1868" w:type="dxa"/>
            <w:gridSpan w:val="3"/>
            <w:tcBorders>
              <w:bottom w:val="single" w:sz="4" w:space="0" w:color="auto"/>
            </w:tcBorders>
          </w:tcPr>
          <w:p w14:paraId="78B4FF3E" w14:textId="77777777" w:rsidR="00FB736C" w:rsidRPr="00631797" w:rsidRDefault="00FB736C" w:rsidP="00C15CF1">
            <w:pPr>
              <w:ind w:left="-216" w:right="-188" w:firstLine="216"/>
              <w:jc w:val="center"/>
              <w:rPr>
                <w:rFonts w:ascii="Times New Roman" w:hAnsi="Times New Roman" w:cs="Times New Roman"/>
                <w:sz w:val="24"/>
                <w:szCs w:val="24"/>
              </w:rPr>
            </w:pPr>
            <m:oMath>
              <m:r>
                <m:rPr>
                  <m:sty m:val="p"/>
                </m:rPr>
                <w:rPr>
                  <w:rFonts w:ascii="Cambria Math" w:hAnsi="Cambria Math" w:cs="Times New Roman"/>
                  <w:sz w:val="24"/>
                  <w:szCs w:val="24"/>
                </w:rPr>
                <m:t>Δ</m:t>
              </m:r>
            </m:oMath>
            <w:r>
              <w:rPr>
                <w:rFonts w:ascii="Times New Roman" w:hAnsi="Times New Roman" w:cs="Times New Roman"/>
                <w:lang w:val="en-GB" w:eastAsia="en-US"/>
              </w:rPr>
              <w:t>lnLoans</w:t>
            </w:r>
          </w:p>
        </w:tc>
        <w:tc>
          <w:tcPr>
            <w:tcW w:w="1418" w:type="dxa"/>
            <w:gridSpan w:val="2"/>
            <w:tcBorders>
              <w:bottom w:val="single" w:sz="4" w:space="0" w:color="auto"/>
            </w:tcBorders>
          </w:tcPr>
          <w:p w14:paraId="52B0DAEB" w14:textId="77777777" w:rsidR="00FB736C" w:rsidRPr="00631797" w:rsidRDefault="00FB736C" w:rsidP="00C15CF1">
            <w:pPr>
              <w:ind w:left="-358" w:right="-188" w:hanging="351"/>
              <w:jc w:val="center"/>
              <w:rPr>
                <w:rFonts w:ascii="Times New Roman" w:hAnsi="Times New Roman" w:cs="Times New Roman"/>
                <w:sz w:val="24"/>
                <w:szCs w:val="24"/>
              </w:rPr>
            </w:pPr>
            <m:oMath>
              <m:r>
                <m:rPr>
                  <m:sty m:val="p"/>
                </m:rPr>
                <w:rPr>
                  <w:rFonts w:ascii="Cambria Math" w:hAnsi="Cambria Math" w:cs="Times New Roman"/>
                  <w:sz w:val="24"/>
                  <w:szCs w:val="24"/>
                </w:rPr>
                <m:t xml:space="preserve">      Δ</m:t>
              </m:r>
            </m:oMath>
            <w:r>
              <w:rPr>
                <w:rFonts w:ascii="Times New Roman" w:hAnsi="Times New Roman" w:cs="Times New Roman"/>
                <w:lang w:val="en-GB" w:eastAsia="en-US"/>
              </w:rPr>
              <w:t>lnLoans</w:t>
            </w:r>
          </w:p>
        </w:tc>
        <w:tc>
          <w:tcPr>
            <w:tcW w:w="1393" w:type="dxa"/>
            <w:tcBorders>
              <w:bottom w:val="single" w:sz="4" w:space="0" w:color="auto"/>
            </w:tcBorders>
          </w:tcPr>
          <w:p w14:paraId="65CB4AB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8F781D">
              <w:rPr>
                <w:rFonts w:ascii="Times New Roman" w:hAnsi="Times New Roman" w:cs="Times New Roman"/>
                <w:sz w:val="24"/>
                <w:szCs w:val="24"/>
              </w:rPr>
              <w:t>LE</w:t>
            </w:r>
            <w:r>
              <w:rPr>
                <w:rFonts w:ascii="Times New Roman" w:hAnsi="Times New Roman" w:cs="Times New Roman"/>
                <w:sz w:val="18"/>
                <w:szCs w:val="24"/>
              </w:rPr>
              <w:t>L</w:t>
            </w:r>
          </w:p>
        </w:tc>
        <w:tc>
          <w:tcPr>
            <w:tcW w:w="1276" w:type="dxa"/>
            <w:tcBorders>
              <w:bottom w:val="single" w:sz="4" w:space="0" w:color="auto"/>
            </w:tcBorders>
          </w:tcPr>
          <w:p w14:paraId="42FDB35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33041">
              <w:rPr>
                <w:rFonts w:ascii="Times New Roman" w:hAnsi="Times New Roman" w:cs="Times New Roman"/>
                <w:sz w:val="24"/>
                <w:szCs w:val="24"/>
              </w:rPr>
              <w:t>LE</w:t>
            </w:r>
            <w:r w:rsidRPr="00633041">
              <w:rPr>
                <w:rFonts w:ascii="Times New Roman" w:hAnsi="Times New Roman" w:cs="Times New Roman"/>
                <w:sz w:val="18"/>
                <w:szCs w:val="24"/>
              </w:rPr>
              <w:t>L</w:t>
            </w:r>
          </w:p>
        </w:tc>
      </w:tr>
      <w:tr w:rsidR="00FB736C" w14:paraId="7FEEE2BD" w14:textId="77777777" w:rsidTr="00C15CF1">
        <w:trPr>
          <w:trHeight w:val="183"/>
          <w:jc w:val="center"/>
        </w:trPr>
        <w:tc>
          <w:tcPr>
            <w:tcW w:w="1699" w:type="dxa"/>
            <w:tcBorders>
              <w:left w:val="nil"/>
            </w:tcBorders>
          </w:tcPr>
          <w:p w14:paraId="56F90FEE"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GD</w:t>
            </w:r>
          </w:p>
          <w:p w14:paraId="2BE508AF"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0C8AF8A5"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4A7187F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0079E72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5335BA">
              <w:rPr>
                <w:rFonts w:ascii="Times New Roman" w:hAnsi="Times New Roman" w:cs="Times New Roman"/>
                <w:sz w:val="24"/>
                <w:szCs w:val="24"/>
              </w:rPr>
              <w:t>-</w:t>
            </w:r>
            <w:r>
              <w:rPr>
                <w:rFonts w:ascii="Times New Roman" w:hAnsi="Times New Roman" w:cs="Times New Roman"/>
                <w:sz w:val="24"/>
                <w:szCs w:val="24"/>
              </w:rPr>
              <w:t>0</w:t>
            </w:r>
            <w:r w:rsidRPr="005335BA">
              <w:rPr>
                <w:rFonts w:ascii="Times New Roman" w:hAnsi="Times New Roman" w:cs="Times New Roman"/>
                <w:sz w:val="24"/>
                <w:szCs w:val="24"/>
              </w:rPr>
              <w:t>.0268</w:t>
            </w:r>
            <w:r>
              <w:rPr>
                <w:rFonts w:ascii="Times New Roman" w:hAnsi="Times New Roman" w:cs="Times New Roman"/>
                <w:sz w:val="24"/>
                <w:szCs w:val="24"/>
              </w:rPr>
              <w:t>***</w:t>
            </w:r>
          </w:p>
          <w:p w14:paraId="5FA55D2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gridSpan w:val="2"/>
          </w:tcPr>
          <w:p w14:paraId="65F4159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5FECEE1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BD41AF">
              <w:rPr>
                <w:rFonts w:ascii="Times New Roman" w:hAnsi="Times New Roman" w:cs="Times New Roman"/>
                <w:sz w:val="24"/>
                <w:szCs w:val="24"/>
              </w:rPr>
              <w:t>-</w:t>
            </w:r>
            <w:r>
              <w:rPr>
                <w:rFonts w:ascii="Times New Roman" w:hAnsi="Times New Roman" w:cs="Times New Roman"/>
                <w:sz w:val="24"/>
                <w:szCs w:val="24"/>
              </w:rPr>
              <w:t>0.013***</w:t>
            </w:r>
          </w:p>
          <w:p w14:paraId="1F75BC1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02BDCE3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469D0A9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3D119B">
              <w:rPr>
                <w:rFonts w:ascii="Times New Roman" w:hAnsi="Times New Roman" w:cs="Times New Roman"/>
                <w:sz w:val="24"/>
                <w:szCs w:val="24"/>
              </w:rPr>
              <w:t>.060</w:t>
            </w:r>
            <w:r>
              <w:rPr>
                <w:rFonts w:ascii="Times New Roman" w:hAnsi="Times New Roman" w:cs="Times New Roman"/>
                <w:sz w:val="24"/>
                <w:szCs w:val="24"/>
              </w:rPr>
              <w:t>***</w:t>
            </w:r>
          </w:p>
          <w:p w14:paraId="11AC314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15EC3DC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230AB6DD"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-0.041**</w:t>
            </w:r>
          </w:p>
          <w:p w14:paraId="6D15FF4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2186F591" w14:textId="77777777" w:rsidTr="00C15CF1">
        <w:trPr>
          <w:jc w:val="center"/>
        </w:trPr>
        <w:tc>
          <w:tcPr>
            <w:tcW w:w="1699" w:type="dxa"/>
            <w:tcBorders>
              <w:left w:val="nil"/>
            </w:tcBorders>
          </w:tcPr>
          <w:p w14:paraId="0A7D636D"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DISTANCE</w:t>
            </w:r>
          </w:p>
          <w:p w14:paraId="075BFC55"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6EEBF10A"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w:t>
            </w:r>
          </w:p>
          <w:p w14:paraId="6C8AF442"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29C969E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2EF0D2B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5335BA">
              <w:rPr>
                <w:rFonts w:ascii="Times New Roman" w:hAnsi="Times New Roman" w:cs="Times New Roman"/>
                <w:sz w:val="24"/>
                <w:szCs w:val="24"/>
              </w:rPr>
              <w:t>.0016</w:t>
            </w:r>
          </w:p>
          <w:p w14:paraId="67D0330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gridSpan w:val="2"/>
          </w:tcPr>
          <w:p w14:paraId="3942AC7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4DDF6D6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BD41AF">
              <w:rPr>
                <w:rFonts w:ascii="Times New Roman" w:hAnsi="Times New Roman" w:cs="Times New Roman"/>
                <w:sz w:val="24"/>
                <w:szCs w:val="24"/>
              </w:rPr>
              <w:t>-</w:t>
            </w:r>
            <w:r>
              <w:rPr>
                <w:rFonts w:ascii="Times New Roman" w:hAnsi="Times New Roman" w:cs="Times New Roman"/>
                <w:sz w:val="24"/>
                <w:szCs w:val="24"/>
              </w:rPr>
              <w:t>0.004***</w:t>
            </w:r>
          </w:p>
          <w:p w14:paraId="0F7410C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72B3B93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73D6666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-0.0055***</w:t>
            </w:r>
          </w:p>
          <w:p w14:paraId="0323400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7A5C38D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3EFC6F7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w:t>
            </w:r>
          </w:p>
          <w:p w14:paraId="754CE1F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741BCC49" w14:textId="77777777" w:rsidTr="00C15CF1">
        <w:trPr>
          <w:jc w:val="center"/>
        </w:trPr>
        <w:tc>
          <w:tcPr>
            <w:tcW w:w="1699" w:type="dxa"/>
            <w:tcBorders>
              <w:left w:val="nil"/>
            </w:tcBorders>
          </w:tcPr>
          <w:p w14:paraId="51876DF4"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MCw</w:t>
            </w:r>
          </w:p>
          <w:p w14:paraId="5391FEE8"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22ECFF3F"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w:t>
            </w:r>
          </w:p>
          <w:p w14:paraId="7908DC1D"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63F148A2"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p>
          <w:p w14:paraId="3A7C51AF"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r w:rsidRPr="005335BA">
              <w:rPr>
                <w:rFonts w:ascii="Times New Roman" w:hAnsi="Times New Roman" w:cs="Times New Roman"/>
                <w:sz w:val="24"/>
                <w:szCs w:val="24"/>
              </w:rPr>
              <w:t>-</w:t>
            </w:r>
            <w:r>
              <w:rPr>
                <w:rFonts w:ascii="Times New Roman" w:hAnsi="Times New Roman" w:cs="Times New Roman"/>
                <w:sz w:val="24"/>
                <w:szCs w:val="24"/>
              </w:rPr>
              <w:t>0</w:t>
            </w:r>
            <w:r w:rsidRPr="005335BA">
              <w:rPr>
                <w:rFonts w:ascii="Times New Roman" w:hAnsi="Times New Roman" w:cs="Times New Roman"/>
                <w:sz w:val="24"/>
                <w:szCs w:val="24"/>
              </w:rPr>
              <w:t>.598</w:t>
            </w:r>
            <w:r>
              <w:rPr>
                <w:rFonts w:ascii="Times New Roman" w:hAnsi="Times New Roman" w:cs="Times New Roman"/>
                <w:sz w:val="24"/>
                <w:szCs w:val="24"/>
              </w:rPr>
              <w:t>***</w:t>
            </w:r>
          </w:p>
          <w:p w14:paraId="4E567074"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p>
        </w:tc>
        <w:tc>
          <w:tcPr>
            <w:tcW w:w="1418" w:type="dxa"/>
            <w:gridSpan w:val="2"/>
          </w:tcPr>
          <w:p w14:paraId="6524EFB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550D876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9C44E7">
              <w:rPr>
                <w:rFonts w:ascii="Times New Roman" w:hAnsi="Times New Roman" w:cs="Times New Roman"/>
                <w:sz w:val="24"/>
                <w:szCs w:val="24"/>
              </w:rPr>
              <w:t>-</w:t>
            </w:r>
            <w:r>
              <w:rPr>
                <w:rFonts w:ascii="Times New Roman" w:hAnsi="Times New Roman" w:cs="Times New Roman"/>
                <w:sz w:val="24"/>
                <w:szCs w:val="24"/>
              </w:rPr>
              <w:t>0</w:t>
            </w:r>
            <w:r w:rsidRPr="009C44E7">
              <w:rPr>
                <w:rFonts w:ascii="Times New Roman" w:hAnsi="Times New Roman" w:cs="Times New Roman"/>
                <w:sz w:val="24"/>
                <w:szCs w:val="24"/>
              </w:rPr>
              <w:t>.332</w:t>
            </w:r>
            <w:r>
              <w:rPr>
                <w:rFonts w:ascii="Times New Roman" w:hAnsi="Times New Roman" w:cs="Times New Roman"/>
                <w:sz w:val="24"/>
                <w:szCs w:val="24"/>
              </w:rPr>
              <w:t>***</w:t>
            </w:r>
          </w:p>
          <w:p w14:paraId="030FD27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110A99A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5EB5041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3D119B">
              <w:rPr>
                <w:rFonts w:ascii="Times New Roman" w:hAnsi="Times New Roman" w:cs="Times New Roman"/>
                <w:sz w:val="24"/>
                <w:szCs w:val="24"/>
              </w:rPr>
              <w:t>-</w:t>
            </w:r>
            <w:r>
              <w:rPr>
                <w:rFonts w:ascii="Times New Roman" w:hAnsi="Times New Roman" w:cs="Times New Roman"/>
                <w:sz w:val="24"/>
                <w:szCs w:val="24"/>
              </w:rPr>
              <w:t>0</w:t>
            </w:r>
            <w:r w:rsidRPr="003D119B">
              <w:rPr>
                <w:rFonts w:ascii="Times New Roman" w:hAnsi="Times New Roman" w:cs="Times New Roman"/>
                <w:sz w:val="24"/>
                <w:szCs w:val="24"/>
              </w:rPr>
              <w:t>.426</w:t>
            </w:r>
            <w:r>
              <w:rPr>
                <w:rFonts w:ascii="Times New Roman" w:hAnsi="Times New Roman" w:cs="Times New Roman"/>
                <w:sz w:val="24"/>
                <w:szCs w:val="24"/>
              </w:rPr>
              <w:t>***</w:t>
            </w:r>
          </w:p>
          <w:p w14:paraId="6169E8B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371103C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22CAC09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0.042</w:t>
            </w:r>
          </w:p>
          <w:p w14:paraId="574B056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6A9CC319" w14:textId="77777777" w:rsidTr="00C15CF1">
        <w:trPr>
          <w:jc w:val="center"/>
        </w:trPr>
        <w:tc>
          <w:tcPr>
            <w:tcW w:w="1699" w:type="dxa"/>
            <w:tcBorders>
              <w:left w:val="nil"/>
            </w:tcBorders>
          </w:tcPr>
          <w:p w14:paraId="6978F45E"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NPLs</w:t>
            </w:r>
          </w:p>
          <w:p w14:paraId="6043B10F"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1FEC706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sidRPr="00E1434A">
              <w:rPr>
                <w:rFonts w:ascii="Times New Roman" w:hAnsi="Times New Roman" w:cs="Times New Roman"/>
                <w:szCs w:val="24"/>
              </w:rPr>
              <w:t xml:space="preserve">          </w:t>
            </w:r>
          </w:p>
        </w:tc>
        <w:tc>
          <w:tcPr>
            <w:tcW w:w="1868" w:type="dxa"/>
            <w:gridSpan w:val="3"/>
          </w:tcPr>
          <w:p w14:paraId="4CA1051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584D563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-0.219***</w:t>
            </w:r>
          </w:p>
          <w:p w14:paraId="29F1566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gridSpan w:val="2"/>
          </w:tcPr>
          <w:p w14:paraId="2A8D29E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048E47E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9C44E7">
              <w:rPr>
                <w:rFonts w:ascii="Times New Roman" w:hAnsi="Times New Roman" w:cs="Times New Roman"/>
                <w:sz w:val="24"/>
                <w:szCs w:val="24"/>
              </w:rPr>
              <w:t>-</w:t>
            </w:r>
            <w:r>
              <w:rPr>
                <w:rFonts w:ascii="Times New Roman" w:hAnsi="Times New Roman" w:cs="Times New Roman"/>
                <w:sz w:val="24"/>
                <w:szCs w:val="24"/>
              </w:rPr>
              <w:t>0</w:t>
            </w:r>
            <w:r w:rsidRPr="009C44E7">
              <w:rPr>
                <w:rFonts w:ascii="Times New Roman" w:hAnsi="Times New Roman" w:cs="Times New Roman"/>
                <w:sz w:val="24"/>
                <w:szCs w:val="24"/>
              </w:rPr>
              <w:t>.261</w:t>
            </w:r>
            <w:r>
              <w:rPr>
                <w:rFonts w:ascii="Times New Roman" w:hAnsi="Times New Roman" w:cs="Times New Roman"/>
                <w:sz w:val="24"/>
                <w:szCs w:val="24"/>
              </w:rPr>
              <w:t>***</w:t>
            </w:r>
          </w:p>
          <w:p w14:paraId="61687A5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0029981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56BCB7A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3D119B">
              <w:rPr>
                <w:rFonts w:ascii="Times New Roman" w:hAnsi="Times New Roman" w:cs="Times New Roman"/>
                <w:sz w:val="24"/>
                <w:szCs w:val="24"/>
              </w:rPr>
              <w:t>-</w:t>
            </w:r>
            <w:r>
              <w:rPr>
                <w:rFonts w:ascii="Times New Roman" w:hAnsi="Times New Roman" w:cs="Times New Roman"/>
                <w:sz w:val="24"/>
                <w:szCs w:val="24"/>
              </w:rPr>
              <w:t>0</w:t>
            </w:r>
            <w:r w:rsidRPr="003D119B">
              <w:rPr>
                <w:rFonts w:ascii="Times New Roman" w:hAnsi="Times New Roman" w:cs="Times New Roman"/>
                <w:sz w:val="24"/>
                <w:szCs w:val="24"/>
              </w:rPr>
              <w:t>.179</w:t>
            </w:r>
            <w:r>
              <w:rPr>
                <w:rFonts w:ascii="Times New Roman" w:hAnsi="Times New Roman" w:cs="Times New Roman"/>
                <w:sz w:val="24"/>
                <w:szCs w:val="24"/>
              </w:rPr>
              <w:t>***</w:t>
            </w:r>
          </w:p>
          <w:p w14:paraId="20DF0AF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27B57B6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784C030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0.116</w:t>
            </w:r>
          </w:p>
          <w:p w14:paraId="171DBB0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42D7AB82" w14:textId="77777777" w:rsidTr="00C15CF1">
        <w:trPr>
          <w:jc w:val="center"/>
        </w:trPr>
        <w:tc>
          <w:tcPr>
            <w:tcW w:w="1699" w:type="dxa"/>
            <w:tcBorders>
              <w:left w:val="nil"/>
            </w:tcBorders>
          </w:tcPr>
          <w:p w14:paraId="1AF581D5"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EQTA</w:t>
            </w:r>
          </w:p>
          <w:p w14:paraId="5782837F"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44FB850A"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w:t>
            </w:r>
          </w:p>
          <w:p w14:paraId="002BABAD"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2665B39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26A6592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5335BA">
              <w:rPr>
                <w:rFonts w:ascii="Times New Roman" w:hAnsi="Times New Roman" w:cs="Times New Roman"/>
                <w:sz w:val="24"/>
                <w:szCs w:val="24"/>
              </w:rPr>
              <w:t>.303</w:t>
            </w:r>
            <w:r>
              <w:rPr>
                <w:rFonts w:ascii="Times New Roman" w:hAnsi="Times New Roman" w:cs="Times New Roman"/>
                <w:sz w:val="24"/>
                <w:szCs w:val="24"/>
              </w:rPr>
              <w:t>***</w:t>
            </w:r>
          </w:p>
          <w:p w14:paraId="56B6299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gridSpan w:val="2"/>
          </w:tcPr>
          <w:p w14:paraId="2566878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696B3C8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0.269***</w:t>
            </w:r>
          </w:p>
          <w:p w14:paraId="51FE277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1E3CD5F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1EE89D53"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0.309***</w:t>
            </w:r>
          </w:p>
          <w:p w14:paraId="5CE84F0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572C52C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5A71501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F1627B">
              <w:rPr>
                <w:rFonts w:ascii="Times New Roman" w:hAnsi="Times New Roman" w:cs="Times New Roman"/>
                <w:sz w:val="24"/>
                <w:szCs w:val="24"/>
              </w:rPr>
              <w:t>-</w:t>
            </w:r>
            <w:r>
              <w:rPr>
                <w:rFonts w:ascii="Times New Roman" w:hAnsi="Times New Roman" w:cs="Times New Roman"/>
                <w:sz w:val="24"/>
                <w:szCs w:val="24"/>
              </w:rPr>
              <w:t>0</w:t>
            </w:r>
            <w:r w:rsidRPr="00F1627B">
              <w:rPr>
                <w:rFonts w:ascii="Times New Roman" w:hAnsi="Times New Roman" w:cs="Times New Roman"/>
                <w:sz w:val="24"/>
                <w:szCs w:val="24"/>
              </w:rPr>
              <w:t>.192</w:t>
            </w:r>
            <w:r>
              <w:rPr>
                <w:rFonts w:ascii="Times New Roman" w:hAnsi="Times New Roman" w:cs="Times New Roman"/>
                <w:sz w:val="24"/>
                <w:szCs w:val="24"/>
              </w:rPr>
              <w:t>***</w:t>
            </w:r>
          </w:p>
          <w:p w14:paraId="481AAFD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5076E762" w14:textId="77777777" w:rsidTr="00C15CF1">
        <w:trPr>
          <w:jc w:val="center"/>
        </w:trPr>
        <w:tc>
          <w:tcPr>
            <w:tcW w:w="1699" w:type="dxa"/>
            <w:tcBorders>
              <w:left w:val="nil"/>
            </w:tcBorders>
          </w:tcPr>
          <w:p w14:paraId="66DB781C"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ENTRY</w:t>
            </w:r>
          </w:p>
          <w:p w14:paraId="0C9BBADE"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4D5C9151"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w:t>
            </w:r>
          </w:p>
          <w:p w14:paraId="733FB2E1"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6DBE558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39E301C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0.069***</w:t>
            </w:r>
          </w:p>
          <w:p w14:paraId="54C7963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gridSpan w:val="2"/>
          </w:tcPr>
          <w:p w14:paraId="07D9B56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46114E4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9C44E7">
              <w:rPr>
                <w:rFonts w:ascii="Times New Roman" w:hAnsi="Times New Roman" w:cs="Times New Roman"/>
                <w:sz w:val="24"/>
                <w:szCs w:val="24"/>
              </w:rPr>
              <w:t>.002</w:t>
            </w:r>
            <w:r>
              <w:rPr>
                <w:rFonts w:ascii="Times New Roman" w:hAnsi="Times New Roman" w:cs="Times New Roman"/>
                <w:sz w:val="24"/>
                <w:szCs w:val="24"/>
              </w:rPr>
              <w:t>***</w:t>
            </w:r>
          </w:p>
          <w:p w14:paraId="20F5623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00C5E96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4398770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0.0038***</w:t>
            </w:r>
          </w:p>
          <w:p w14:paraId="4B1A1FA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443C469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576E012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F1627B">
              <w:rPr>
                <w:rFonts w:ascii="Times New Roman" w:hAnsi="Times New Roman" w:cs="Times New Roman"/>
                <w:sz w:val="24"/>
                <w:szCs w:val="24"/>
              </w:rPr>
              <w:t>-</w:t>
            </w:r>
            <w:r>
              <w:rPr>
                <w:rFonts w:ascii="Times New Roman" w:hAnsi="Times New Roman" w:cs="Times New Roman"/>
                <w:sz w:val="24"/>
                <w:szCs w:val="24"/>
              </w:rPr>
              <w:t>0</w:t>
            </w:r>
            <w:r w:rsidRPr="00F1627B">
              <w:rPr>
                <w:rFonts w:ascii="Times New Roman" w:hAnsi="Times New Roman" w:cs="Times New Roman"/>
                <w:sz w:val="24"/>
                <w:szCs w:val="24"/>
              </w:rPr>
              <w:t>.0008</w:t>
            </w:r>
            <w:r>
              <w:rPr>
                <w:rFonts w:ascii="Times New Roman" w:hAnsi="Times New Roman" w:cs="Times New Roman"/>
                <w:sz w:val="24"/>
                <w:szCs w:val="24"/>
              </w:rPr>
              <w:t>*</w:t>
            </w:r>
          </w:p>
          <w:p w14:paraId="322F024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34BE9495" w14:textId="77777777" w:rsidTr="00C15CF1">
        <w:trPr>
          <w:jc w:val="center"/>
        </w:trPr>
        <w:tc>
          <w:tcPr>
            <w:tcW w:w="1699" w:type="dxa"/>
            <w:tcBorders>
              <w:left w:val="nil"/>
            </w:tcBorders>
          </w:tcPr>
          <w:p w14:paraId="7C977E07"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HHIw</w:t>
            </w:r>
          </w:p>
          <w:p w14:paraId="5ACAD42B"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w:t>
            </w:r>
            <w:r>
              <w:rPr>
                <w:rFonts w:ascii="Times New Roman" w:hAnsi="Times New Roman" w:cs="Times New Roman"/>
                <w:szCs w:val="24"/>
              </w:rPr>
              <w:t xml:space="preserve">  </w:t>
            </w:r>
            <w:r w:rsidRPr="00E1434A">
              <w:rPr>
                <w:rFonts w:ascii="Times New Roman" w:hAnsi="Times New Roman" w:cs="Times New Roman"/>
                <w:szCs w:val="24"/>
              </w:rPr>
              <w:t xml:space="preserve"> τ= 0.50</w:t>
            </w:r>
          </w:p>
          <w:p w14:paraId="323A58C1"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sidRPr="00E1434A">
              <w:rPr>
                <w:rFonts w:ascii="Times New Roman" w:hAnsi="Times New Roman" w:cs="Times New Roman"/>
                <w:szCs w:val="24"/>
              </w:rPr>
              <w:t xml:space="preserve">          </w:t>
            </w:r>
          </w:p>
        </w:tc>
        <w:tc>
          <w:tcPr>
            <w:tcW w:w="1868" w:type="dxa"/>
            <w:gridSpan w:val="3"/>
          </w:tcPr>
          <w:p w14:paraId="036BA38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536C58F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0.019***</w:t>
            </w:r>
          </w:p>
          <w:p w14:paraId="7E9DD20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gridSpan w:val="2"/>
          </w:tcPr>
          <w:p w14:paraId="078FF9C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396E95B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-0.145*</w:t>
            </w:r>
          </w:p>
          <w:p w14:paraId="62729DC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621C487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7213ECC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3D119B">
              <w:rPr>
                <w:rFonts w:ascii="Times New Roman" w:hAnsi="Times New Roman" w:cs="Times New Roman"/>
                <w:sz w:val="24"/>
                <w:szCs w:val="24"/>
              </w:rPr>
              <w:t>.051</w:t>
            </w:r>
            <w:r>
              <w:rPr>
                <w:rFonts w:ascii="Times New Roman" w:hAnsi="Times New Roman" w:cs="Times New Roman"/>
                <w:sz w:val="24"/>
                <w:szCs w:val="24"/>
              </w:rPr>
              <w:t>***</w:t>
            </w:r>
          </w:p>
          <w:p w14:paraId="016F139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1D5043F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2B4CB4C6"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F1627B">
              <w:rPr>
                <w:rFonts w:ascii="Times New Roman" w:hAnsi="Times New Roman" w:cs="Times New Roman"/>
                <w:sz w:val="24"/>
                <w:szCs w:val="24"/>
              </w:rPr>
              <w:t>.163</w:t>
            </w:r>
            <w:r>
              <w:rPr>
                <w:rFonts w:ascii="Times New Roman" w:hAnsi="Times New Roman" w:cs="Times New Roman"/>
                <w:sz w:val="24"/>
                <w:szCs w:val="24"/>
              </w:rPr>
              <w:t>***</w:t>
            </w:r>
          </w:p>
          <w:p w14:paraId="38BFE4F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5CABF292" w14:textId="77777777" w:rsidTr="00C15CF1">
        <w:trPr>
          <w:jc w:val="center"/>
        </w:trPr>
        <w:tc>
          <w:tcPr>
            <w:tcW w:w="1699" w:type="dxa"/>
            <w:tcBorders>
              <w:left w:val="nil"/>
            </w:tcBorders>
          </w:tcPr>
          <w:p w14:paraId="0E56DB91"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35320F6F"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p>
        </w:tc>
        <w:tc>
          <w:tcPr>
            <w:tcW w:w="1418" w:type="dxa"/>
            <w:gridSpan w:val="2"/>
          </w:tcPr>
          <w:p w14:paraId="5C86F34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403008D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0DCF16D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2E8905D4" w14:textId="77777777" w:rsidTr="00C15CF1">
        <w:trPr>
          <w:jc w:val="center"/>
        </w:trPr>
        <w:tc>
          <w:tcPr>
            <w:tcW w:w="1983" w:type="dxa"/>
            <w:gridSpan w:val="2"/>
            <w:tcBorders>
              <w:top w:val="single" w:sz="4" w:space="0" w:color="auto"/>
              <w:left w:val="nil"/>
            </w:tcBorders>
          </w:tcPr>
          <w:p w14:paraId="4B85BB4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1584" w:type="dxa"/>
            <w:gridSpan w:val="2"/>
            <w:tcBorders>
              <w:top w:val="single" w:sz="4" w:space="0" w:color="auto"/>
            </w:tcBorders>
          </w:tcPr>
          <w:p w14:paraId="646E96BD" w14:textId="77777777" w:rsidR="00FB736C" w:rsidRPr="00305EB4"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Pr>
                <w:rFonts w:ascii="Times New Roman" w:hAnsi="Times New Roman" w:cs="Times New Roman"/>
              </w:rPr>
              <w:t>11255</w:t>
            </w:r>
          </w:p>
        </w:tc>
        <w:tc>
          <w:tcPr>
            <w:tcW w:w="1418" w:type="dxa"/>
            <w:gridSpan w:val="2"/>
            <w:tcBorders>
              <w:top w:val="single" w:sz="4" w:space="0" w:color="auto"/>
            </w:tcBorders>
          </w:tcPr>
          <w:p w14:paraId="0199CBD9"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5598</w:t>
            </w:r>
          </w:p>
        </w:tc>
        <w:tc>
          <w:tcPr>
            <w:tcW w:w="1393" w:type="dxa"/>
            <w:tcBorders>
              <w:top w:val="single" w:sz="4" w:space="0" w:color="auto"/>
            </w:tcBorders>
          </w:tcPr>
          <w:p w14:paraId="042DE8A0"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11255</w:t>
            </w:r>
          </w:p>
        </w:tc>
        <w:tc>
          <w:tcPr>
            <w:tcW w:w="1276" w:type="dxa"/>
            <w:tcBorders>
              <w:top w:val="single" w:sz="4" w:space="0" w:color="auto"/>
            </w:tcBorders>
          </w:tcPr>
          <w:p w14:paraId="7041FCB8"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5598</w:t>
            </w:r>
          </w:p>
        </w:tc>
      </w:tr>
      <w:tr w:rsidR="00FB736C" w14:paraId="503B2852" w14:textId="77777777" w:rsidTr="00C15CF1">
        <w:trPr>
          <w:jc w:val="center"/>
        </w:trPr>
        <w:tc>
          <w:tcPr>
            <w:tcW w:w="1983" w:type="dxa"/>
            <w:gridSpan w:val="2"/>
            <w:vAlign w:val="center"/>
          </w:tcPr>
          <w:p w14:paraId="59B16EA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559" w:type="dxa"/>
          </w:tcPr>
          <w:p w14:paraId="06EEF84E" w14:textId="77777777" w:rsidR="00FB736C" w:rsidRPr="00C23B50" w:rsidRDefault="00FB736C" w:rsidP="00C15CF1">
            <w:pPr>
              <w:widowControl w:val="0"/>
              <w:autoSpaceDE w:val="0"/>
              <w:autoSpaceDN w:val="0"/>
              <w:adjustRightInd w:val="0"/>
              <w:spacing w:after="0" w:line="240" w:lineRule="auto"/>
              <w:ind w:left="-216" w:firstLine="216"/>
              <w:rPr>
                <w:rFonts w:ascii="Times New Roman" w:hAnsi="Times New Roman" w:cs="Times New Roman"/>
              </w:rPr>
            </w:pPr>
            <w:r>
              <w:rPr>
                <w:rFonts w:ascii="Times New Roman" w:hAnsi="Times New Roman" w:cs="Times New Roman"/>
              </w:rPr>
              <w:t xml:space="preserve">         0.221</w:t>
            </w:r>
          </w:p>
        </w:tc>
        <w:tc>
          <w:tcPr>
            <w:tcW w:w="1418" w:type="dxa"/>
            <w:gridSpan w:val="2"/>
          </w:tcPr>
          <w:p w14:paraId="18B87093" w14:textId="77777777" w:rsidR="00FB736C" w:rsidRPr="00C23B50" w:rsidRDefault="00FB736C" w:rsidP="00C15CF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0.239</w:t>
            </w:r>
          </w:p>
        </w:tc>
        <w:tc>
          <w:tcPr>
            <w:tcW w:w="1418" w:type="dxa"/>
            <w:gridSpan w:val="2"/>
          </w:tcPr>
          <w:p w14:paraId="76C37FA1" w14:textId="77777777" w:rsidR="00FB736C" w:rsidRPr="00C23B50"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Pr>
                <w:rFonts w:ascii="Times New Roman" w:hAnsi="Times New Roman" w:cs="Times New Roman"/>
              </w:rPr>
              <w:t>0.598</w:t>
            </w:r>
          </w:p>
        </w:tc>
        <w:tc>
          <w:tcPr>
            <w:tcW w:w="1276" w:type="dxa"/>
          </w:tcPr>
          <w:p w14:paraId="45044796" w14:textId="77777777" w:rsidR="00FB736C" w:rsidRPr="00C23B50"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Pr>
                <w:rFonts w:ascii="Times New Roman" w:hAnsi="Times New Roman" w:cs="Times New Roman"/>
              </w:rPr>
              <w:t>0.640</w:t>
            </w:r>
          </w:p>
        </w:tc>
      </w:tr>
      <w:tr w:rsidR="00FB736C" w14:paraId="3FF419F4" w14:textId="77777777" w:rsidTr="00C15CF1">
        <w:tblPrEx>
          <w:tblBorders>
            <w:bottom w:val="single" w:sz="6" w:space="0" w:color="auto"/>
          </w:tblBorders>
        </w:tblPrEx>
        <w:trPr>
          <w:jc w:val="center"/>
        </w:trPr>
        <w:tc>
          <w:tcPr>
            <w:tcW w:w="1699" w:type="dxa"/>
            <w:tcBorders>
              <w:top w:val="single" w:sz="4" w:space="0" w:color="auto"/>
              <w:left w:val="nil"/>
              <w:bottom w:val="nil"/>
              <w:right w:val="nil"/>
            </w:tcBorders>
          </w:tcPr>
          <w:p w14:paraId="0886C209"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Borders>
              <w:top w:val="single" w:sz="4" w:space="0" w:color="auto"/>
              <w:left w:val="nil"/>
              <w:bottom w:val="nil"/>
              <w:right w:val="nil"/>
            </w:tcBorders>
          </w:tcPr>
          <w:p w14:paraId="34CE8A7E" w14:textId="77777777" w:rsidR="00FB736C" w:rsidRPr="00601B90"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p>
        </w:tc>
        <w:tc>
          <w:tcPr>
            <w:tcW w:w="1418" w:type="dxa"/>
            <w:gridSpan w:val="2"/>
            <w:tcBorders>
              <w:top w:val="single" w:sz="4" w:space="0" w:color="auto"/>
              <w:left w:val="nil"/>
              <w:bottom w:val="nil"/>
              <w:right w:val="nil"/>
            </w:tcBorders>
          </w:tcPr>
          <w:p w14:paraId="72A3D897" w14:textId="77777777" w:rsidR="00FB736C" w:rsidRPr="00601B90"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393" w:type="dxa"/>
            <w:tcBorders>
              <w:top w:val="single" w:sz="4" w:space="0" w:color="auto"/>
              <w:left w:val="nil"/>
              <w:bottom w:val="nil"/>
              <w:right w:val="nil"/>
            </w:tcBorders>
          </w:tcPr>
          <w:p w14:paraId="12B90A60" w14:textId="77777777" w:rsidR="00FB736C" w:rsidRPr="00601B90"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auto"/>
              <w:left w:val="nil"/>
              <w:bottom w:val="nil"/>
              <w:right w:val="nil"/>
            </w:tcBorders>
          </w:tcPr>
          <w:p w14:paraId="5FCFBF8B" w14:textId="77777777" w:rsidR="00FB736C" w:rsidRPr="00601B90" w:rsidRDefault="00FB736C" w:rsidP="00C15CF1">
            <w:pPr>
              <w:widowControl w:val="0"/>
              <w:autoSpaceDE w:val="0"/>
              <w:autoSpaceDN w:val="0"/>
              <w:adjustRightInd w:val="0"/>
              <w:spacing w:after="0" w:line="240" w:lineRule="auto"/>
              <w:jc w:val="center"/>
              <w:rPr>
                <w:rFonts w:ascii="Times New Roman" w:hAnsi="Times New Roman" w:cs="Times New Roman"/>
              </w:rPr>
            </w:pPr>
          </w:p>
        </w:tc>
      </w:tr>
    </w:tbl>
    <w:p w14:paraId="1294730B" w14:textId="77777777" w:rsidR="00FB736C" w:rsidRPr="00C64B1C" w:rsidRDefault="00FB736C" w:rsidP="00FB736C">
      <w:pPr>
        <w:ind w:left="-567" w:right="-613"/>
        <w:jc w:val="both"/>
        <w:rPr>
          <w:rFonts w:ascii="Times New Roman" w:hAnsi="Times New Roman" w:cs="Times New Roman"/>
          <w:b/>
          <w:bCs/>
          <w:i/>
          <w:iCs/>
          <w:noProof/>
          <w:sz w:val="24"/>
          <w:szCs w:val="24"/>
          <w:lang w:val="en-GB"/>
        </w:rPr>
      </w:pPr>
      <w:r w:rsidRPr="004E3845">
        <w:rPr>
          <w:rFonts w:ascii="Times New Roman" w:hAnsi="Times New Roman" w:cs="Times New Roman"/>
          <w:b/>
          <w:bCs/>
          <w:noProof/>
          <w:lang w:val="en-GB"/>
        </w:rPr>
        <w:t xml:space="preserve">Note: </w:t>
      </w:r>
      <w:r w:rsidRPr="004E3845">
        <w:rPr>
          <w:rFonts w:ascii="Times New Roman" w:hAnsi="Times New Roman" w:cs="Times New Roman"/>
          <w:lang w:val="en-GB" w:eastAsia="en-US"/>
        </w:rPr>
        <w:t>The Table reports the coefficient estimates from IV panel (unconditional) quantile regression at the 50</w:t>
      </w:r>
      <w:r w:rsidRPr="004E3845">
        <w:rPr>
          <w:rFonts w:ascii="Times New Roman" w:hAnsi="Times New Roman" w:cs="Times New Roman"/>
          <w:vertAlign w:val="superscript"/>
          <w:lang w:val="en-GB" w:eastAsia="en-US"/>
        </w:rPr>
        <w:t>th</w:t>
      </w:r>
      <w:r w:rsidRPr="004E3845">
        <w:rPr>
          <w:rFonts w:ascii="Times New Roman" w:hAnsi="Times New Roman" w:cs="Times New Roman"/>
          <w:lang w:val="en-GB" w:eastAsia="en-US"/>
        </w:rPr>
        <w:t xml:space="preserve"> quantile or median. </w:t>
      </w:r>
      <w:r w:rsidRPr="004E3845">
        <w:rPr>
          <w:rFonts w:ascii="Times New Roman" w:hAnsi="Times New Roman" w:cs="Times New Roman"/>
        </w:rPr>
        <w:t>Bank Branches_1936 (the number of branches per 10,000 inhabitants in 1936) and Cooperative Banks_1936 (the number of cooperative banks in the province per 100,000 inhabitants) are the instruments. The estimation involved 10,000 Monte Carlo simulations.</w:t>
      </w:r>
      <w:r w:rsidRPr="004E3845">
        <w:rPr>
          <w:rFonts w:ascii="Times New Roman" w:hAnsi="Times New Roman" w:cs="Times New Roman"/>
          <w:lang w:val="en-GB" w:eastAsia="en-US"/>
        </w:rPr>
        <w:t xml:space="preserve"> </w:t>
      </w:r>
      <m:oMath>
        <m:r>
          <m:rPr>
            <m:sty m:val="p"/>
          </m:rPr>
          <w:rPr>
            <w:rFonts w:ascii="Cambria Math" w:hAnsi="Cambria Math" w:cs="Times New Roman"/>
          </w:rPr>
          <m:t>Δ</m:t>
        </m:r>
      </m:oMath>
      <w:r w:rsidRPr="004E3845">
        <w:rPr>
          <w:rFonts w:ascii="Times New Roman" w:hAnsi="Times New Roman" w:cs="Times New Roman"/>
          <w:lang w:val="en-GB" w:eastAsia="en-US"/>
        </w:rPr>
        <w:t xml:space="preserve">lnLoans is the change of loans (expressed in logarithm) from t and t-1. </w:t>
      </w:r>
      <w:r w:rsidRPr="004E3845">
        <w:rPr>
          <w:rFonts w:ascii="Times New Roman" w:eastAsia="Times New Roman" w:hAnsi="Times New Roman" w:cs="Times New Roman"/>
          <w:i/>
          <w:iCs/>
          <w:color w:val="000000"/>
          <w:lang w:val="en-GB"/>
        </w:rPr>
        <w:t xml:space="preserve">LEL, </w:t>
      </w:r>
      <w:r w:rsidRPr="004E3845">
        <w:rPr>
          <w:rFonts w:ascii="Times New Roman" w:hAnsi="Times New Roman" w:cs="Times New Roman"/>
          <w:lang w:val="en-GB" w:eastAsia="en-US"/>
        </w:rPr>
        <w:t>Lerner Index for loans. All explanatory variables enter the regressions with a one year lag. GD is geographic diversification calculated with the Berry Index; DISTANCE is the weighted distance between the headquarter and the branches; MCw is the weighted market coverage; NPLs is the amount of non-performing loans; EQTA is equity over total assets; ENTRY is the net number of new branches over total branches in each province; HHIw is the weighed concentration of branches in each province; MC is the unweighted market coverage;  HHI is the unweighted concentration of branches in each province; P</w:t>
      </w:r>
      <w:r w:rsidRPr="004E3845">
        <w:rPr>
          <w:rFonts w:ascii="Times New Roman" w:hAnsi="Times New Roman" w:cs="Times New Roman"/>
        </w:rPr>
        <w:t>SizeL</w:t>
      </w:r>
      <w:r w:rsidRPr="004E3845">
        <w:rPr>
          <w:rFonts w:ascii="Times New Roman" w:hAnsi="Times New Roman" w:cs="Times New Roman"/>
          <w:lang w:val="en-GB" w:eastAsia="en-US"/>
        </w:rPr>
        <w:t xml:space="preserve"> is the amount of loans in a province divided the total amount of loans at the country level. Standard errors are clustered by bank ID: </w:t>
      </w:r>
      <w:r w:rsidRPr="004E3845">
        <w:rPr>
          <w:rFonts w:ascii="Times New Roman" w:hAnsi="Times New Roman" w:cs="Times New Roman"/>
          <w:lang w:val="en-US"/>
        </w:rPr>
        <w:t xml:space="preserve">** </w:t>
      </w:r>
      <w:r w:rsidRPr="004E3845">
        <w:rPr>
          <w:rFonts w:ascii="Times New Roman" w:hAnsi="Times New Roman" w:cs="Times New Roman"/>
          <w:i/>
          <w:lang w:val="en-US"/>
        </w:rPr>
        <w:t>p</w:t>
      </w:r>
      <w:r w:rsidRPr="004E3845">
        <w:rPr>
          <w:rFonts w:ascii="Times New Roman" w:hAnsi="Times New Roman" w:cs="Times New Roman"/>
          <w:lang w:val="en-US"/>
        </w:rPr>
        <w:t xml:space="preserve">&lt;.05, *** </w:t>
      </w:r>
      <w:r w:rsidRPr="004E3845">
        <w:rPr>
          <w:rFonts w:ascii="Times New Roman" w:hAnsi="Times New Roman" w:cs="Times New Roman"/>
          <w:i/>
          <w:lang w:val="en-US"/>
        </w:rPr>
        <w:t>p</w:t>
      </w:r>
      <w:r w:rsidRPr="004E3845">
        <w:rPr>
          <w:rFonts w:ascii="Times New Roman" w:hAnsi="Times New Roman" w:cs="Times New Roman"/>
          <w:lang w:val="en-US"/>
        </w:rPr>
        <w:t>&lt;.01. Specifications I includes all banks, while specification II includes only banks with large branches.</w:t>
      </w:r>
      <w:r>
        <w:rPr>
          <w:rFonts w:ascii="Times New Roman" w:hAnsi="Times New Roman" w:cs="Times New Roman"/>
          <w:lang w:val="en-US"/>
        </w:rPr>
        <w:br w:type="page"/>
      </w:r>
      <w:r w:rsidRPr="005D7567">
        <w:rPr>
          <w:rFonts w:ascii="Times New Roman" w:hAnsi="Times New Roman" w:cs="Times New Roman"/>
          <w:b/>
          <w:i/>
          <w:sz w:val="24"/>
          <w:szCs w:val="24"/>
          <w:lang w:val="en-US"/>
        </w:rPr>
        <w:t>T</w:t>
      </w:r>
      <w:r w:rsidRPr="005D7567">
        <w:rPr>
          <w:rFonts w:ascii="Times New Roman" w:hAnsi="Times New Roman" w:cs="Times New Roman"/>
          <w:b/>
          <w:bCs/>
          <w:i/>
          <w:iCs/>
          <w:noProof/>
          <w:sz w:val="24"/>
          <w:szCs w:val="24"/>
          <w:lang w:val="en-GB"/>
        </w:rPr>
        <w:t>able 9</w:t>
      </w:r>
      <w:r>
        <w:rPr>
          <w:rFonts w:ascii="Times New Roman" w:hAnsi="Times New Roman" w:cs="Times New Roman"/>
          <w:b/>
          <w:bCs/>
          <w:i/>
          <w:iCs/>
          <w:noProof/>
          <w:sz w:val="24"/>
          <w:szCs w:val="24"/>
          <w:lang w:val="en-GB"/>
        </w:rPr>
        <w:t>.</w:t>
      </w:r>
      <w:r w:rsidRPr="005D7567">
        <w:rPr>
          <w:rFonts w:ascii="Times New Roman" w:hAnsi="Times New Roman" w:cs="Times New Roman"/>
          <w:b/>
          <w:bCs/>
          <w:i/>
          <w:iCs/>
          <w:noProof/>
          <w:sz w:val="24"/>
          <w:szCs w:val="24"/>
          <w:lang w:val="en-GB"/>
        </w:rPr>
        <w:t xml:space="preserve"> The Impact of Geographic Diversification and Local Banking Structure on Loan </w:t>
      </w:r>
      <w:r w:rsidRPr="005D7567">
        <w:rPr>
          <w:rFonts w:ascii="Times New Roman" w:hAnsi="Times New Roman" w:cs="Times New Roman"/>
          <w:b/>
          <w:bCs/>
          <w:iCs/>
          <w:noProof/>
          <w:sz w:val="24"/>
          <w:szCs w:val="24"/>
          <w:lang w:val="en-GB"/>
        </w:rPr>
        <w:t>Growth (</w:t>
      </w:r>
      <m:oMath>
        <m:r>
          <m:rPr>
            <m:sty m:val="b"/>
          </m:rPr>
          <w:rPr>
            <w:rFonts w:ascii="Cambria Math" w:hAnsi="Cambria Math" w:cs="Times New Roman"/>
            <w:sz w:val="24"/>
            <w:szCs w:val="24"/>
          </w:rPr>
          <m:t>Δ</m:t>
        </m:r>
      </m:oMath>
      <w:r w:rsidRPr="005D7567">
        <w:rPr>
          <w:rFonts w:ascii="Times New Roman" w:hAnsi="Times New Roman" w:cs="Times New Roman"/>
          <w:b/>
          <w:sz w:val="24"/>
          <w:szCs w:val="24"/>
          <w:lang w:val="en-GB" w:eastAsia="en-US"/>
        </w:rPr>
        <w:t>lnDep)</w:t>
      </w:r>
      <w:r w:rsidRPr="005D7567">
        <w:rPr>
          <w:rFonts w:ascii="Times New Roman" w:hAnsi="Times New Roman" w:cs="Times New Roman"/>
          <w:b/>
          <w:bCs/>
          <w:i/>
          <w:iCs/>
          <w:noProof/>
          <w:sz w:val="24"/>
          <w:szCs w:val="24"/>
          <w:lang w:val="en-GB"/>
        </w:rPr>
        <w:t xml:space="preserve"> and Lerner Index for Deposits (</w:t>
      </w:r>
      <w:r w:rsidRPr="005D7567">
        <w:rPr>
          <w:rFonts w:ascii="Times New Roman" w:hAnsi="Times New Roman" w:cs="Times New Roman"/>
          <w:b/>
          <w:i/>
          <w:sz w:val="24"/>
          <w:szCs w:val="24"/>
        </w:rPr>
        <w:t>LE</w:t>
      </w:r>
      <w:r>
        <w:rPr>
          <w:rFonts w:ascii="Times New Roman" w:hAnsi="Times New Roman" w:cs="Times New Roman"/>
          <w:b/>
          <w:i/>
          <w:sz w:val="20"/>
          <w:szCs w:val="24"/>
        </w:rPr>
        <w:t>D</w:t>
      </w:r>
      <w:r w:rsidRPr="00C64B1C">
        <w:rPr>
          <w:rFonts w:ascii="Times New Roman" w:hAnsi="Times New Roman" w:cs="Times New Roman"/>
          <w:b/>
          <w:i/>
          <w:sz w:val="24"/>
          <w:szCs w:val="24"/>
        </w:rPr>
        <w:t>)</w:t>
      </w:r>
    </w:p>
    <w:tbl>
      <w:tblPr>
        <w:tblW w:w="7654" w:type="dxa"/>
        <w:jc w:val="center"/>
        <w:tblLayout w:type="fixed"/>
        <w:tblCellMar>
          <w:left w:w="75" w:type="dxa"/>
          <w:right w:w="75" w:type="dxa"/>
        </w:tblCellMar>
        <w:tblLook w:val="0000" w:firstRow="0" w:lastRow="0" w:firstColumn="0" w:lastColumn="0" w:noHBand="0" w:noVBand="0"/>
      </w:tblPr>
      <w:tblGrid>
        <w:gridCol w:w="1699"/>
        <w:gridCol w:w="284"/>
        <w:gridCol w:w="1559"/>
        <w:gridCol w:w="25"/>
        <w:gridCol w:w="1393"/>
        <w:gridCol w:w="25"/>
        <w:gridCol w:w="1393"/>
        <w:gridCol w:w="1276"/>
      </w:tblGrid>
      <w:tr w:rsidR="00FB736C" w14:paraId="1359D19F" w14:textId="77777777" w:rsidTr="00C15CF1">
        <w:trPr>
          <w:jc w:val="center"/>
        </w:trPr>
        <w:tc>
          <w:tcPr>
            <w:tcW w:w="1699" w:type="dxa"/>
            <w:tcBorders>
              <w:top w:val="single" w:sz="4" w:space="0" w:color="auto"/>
              <w:left w:val="nil"/>
            </w:tcBorders>
          </w:tcPr>
          <w:p w14:paraId="640E38D2"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Borders>
              <w:top w:val="single" w:sz="4" w:space="0" w:color="auto"/>
            </w:tcBorders>
          </w:tcPr>
          <w:p w14:paraId="10A6C99A"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gridSpan w:val="2"/>
            <w:tcBorders>
              <w:top w:val="single" w:sz="4" w:space="0" w:color="auto"/>
            </w:tcBorders>
          </w:tcPr>
          <w:p w14:paraId="6990CF5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93" w:type="dxa"/>
            <w:tcBorders>
              <w:top w:val="single" w:sz="4" w:space="0" w:color="auto"/>
            </w:tcBorders>
          </w:tcPr>
          <w:p w14:paraId="736F37DC"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tcBorders>
          </w:tcPr>
          <w:p w14:paraId="0CBEEB69"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B736C" w14:paraId="529EBC27" w14:textId="77777777" w:rsidTr="00C15CF1">
        <w:trPr>
          <w:trHeight w:val="276"/>
          <w:jc w:val="center"/>
        </w:trPr>
        <w:tc>
          <w:tcPr>
            <w:tcW w:w="1699" w:type="dxa"/>
            <w:tcBorders>
              <w:left w:val="nil"/>
              <w:bottom w:val="single" w:sz="4" w:space="0" w:color="auto"/>
            </w:tcBorders>
          </w:tcPr>
          <w:p w14:paraId="77CB764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VARIABLES</w:t>
            </w:r>
          </w:p>
        </w:tc>
        <w:tc>
          <w:tcPr>
            <w:tcW w:w="1868" w:type="dxa"/>
            <w:gridSpan w:val="3"/>
            <w:tcBorders>
              <w:bottom w:val="single" w:sz="4" w:space="0" w:color="auto"/>
            </w:tcBorders>
          </w:tcPr>
          <w:p w14:paraId="5384B657" w14:textId="77777777" w:rsidR="00FB736C" w:rsidRPr="00631797" w:rsidRDefault="00FB736C" w:rsidP="00C15CF1">
            <w:pPr>
              <w:ind w:left="-216" w:right="-188" w:firstLine="216"/>
              <w:jc w:val="center"/>
              <w:rPr>
                <w:rFonts w:ascii="Times New Roman" w:hAnsi="Times New Roman" w:cs="Times New Roman"/>
                <w:sz w:val="24"/>
                <w:szCs w:val="24"/>
              </w:rPr>
            </w:pPr>
            <m:oMath>
              <m:r>
                <m:rPr>
                  <m:sty m:val="p"/>
                </m:rPr>
                <w:rPr>
                  <w:rFonts w:ascii="Cambria Math" w:hAnsi="Cambria Math" w:cs="Times New Roman"/>
                  <w:sz w:val="24"/>
                  <w:szCs w:val="24"/>
                </w:rPr>
                <m:t>Δ</m:t>
              </m:r>
            </m:oMath>
            <w:r>
              <w:rPr>
                <w:rFonts w:ascii="Times New Roman" w:hAnsi="Times New Roman" w:cs="Times New Roman"/>
                <w:lang w:val="en-GB" w:eastAsia="en-US"/>
              </w:rPr>
              <w:t>lnDep</w:t>
            </w:r>
          </w:p>
        </w:tc>
        <w:tc>
          <w:tcPr>
            <w:tcW w:w="1418" w:type="dxa"/>
            <w:gridSpan w:val="2"/>
            <w:tcBorders>
              <w:bottom w:val="single" w:sz="4" w:space="0" w:color="auto"/>
            </w:tcBorders>
          </w:tcPr>
          <w:p w14:paraId="255404E5" w14:textId="77777777" w:rsidR="00FB736C" w:rsidRPr="00631797" w:rsidRDefault="00FB736C" w:rsidP="00C15CF1">
            <w:pPr>
              <w:ind w:left="-358" w:right="-188" w:hanging="351"/>
              <w:jc w:val="center"/>
              <w:rPr>
                <w:rFonts w:ascii="Times New Roman" w:hAnsi="Times New Roman" w:cs="Times New Roman"/>
                <w:sz w:val="24"/>
                <w:szCs w:val="24"/>
              </w:rPr>
            </w:pPr>
            <m:oMath>
              <m:r>
                <m:rPr>
                  <m:sty m:val="p"/>
                </m:rPr>
                <w:rPr>
                  <w:rFonts w:ascii="Cambria Math" w:hAnsi="Cambria Math" w:cs="Times New Roman"/>
                  <w:sz w:val="24"/>
                  <w:szCs w:val="24"/>
                </w:rPr>
                <m:t xml:space="preserve">      Δ</m:t>
              </m:r>
            </m:oMath>
            <w:r>
              <w:rPr>
                <w:rFonts w:ascii="Times New Roman" w:hAnsi="Times New Roman" w:cs="Times New Roman"/>
                <w:lang w:val="en-GB" w:eastAsia="en-US"/>
              </w:rPr>
              <w:t>lnDep</w:t>
            </w:r>
          </w:p>
        </w:tc>
        <w:tc>
          <w:tcPr>
            <w:tcW w:w="1393" w:type="dxa"/>
            <w:tcBorders>
              <w:bottom w:val="single" w:sz="4" w:space="0" w:color="auto"/>
            </w:tcBorders>
          </w:tcPr>
          <w:p w14:paraId="234C7E24"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8F781D">
              <w:rPr>
                <w:rFonts w:ascii="Times New Roman" w:hAnsi="Times New Roman" w:cs="Times New Roman"/>
                <w:sz w:val="24"/>
                <w:szCs w:val="24"/>
              </w:rPr>
              <w:t>LE</w:t>
            </w:r>
            <w:r>
              <w:rPr>
                <w:rFonts w:ascii="Times New Roman" w:hAnsi="Times New Roman" w:cs="Times New Roman"/>
                <w:sz w:val="18"/>
                <w:szCs w:val="24"/>
              </w:rPr>
              <w:t>D</w:t>
            </w:r>
          </w:p>
        </w:tc>
        <w:tc>
          <w:tcPr>
            <w:tcW w:w="1276" w:type="dxa"/>
            <w:tcBorders>
              <w:bottom w:val="single" w:sz="4" w:space="0" w:color="auto"/>
            </w:tcBorders>
          </w:tcPr>
          <w:p w14:paraId="488FE05A"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33041">
              <w:rPr>
                <w:rFonts w:ascii="Times New Roman" w:hAnsi="Times New Roman" w:cs="Times New Roman"/>
                <w:sz w:val="24"/>
                <w:szCs w:val="24"/>
              </w:rPr>
              <w:t>LE</w:t>
            </w:r>
            <w:r>
              <w:rPr>
                <w:rFonts w:ascii="Times New Roman" w:hAnsi="Times New Roman" w:cs="Times New Roman"/>
                <w:sz w:val="18"/>
                <w:szCs w:val="24"/>
              </w:rPr>
              <w:t>D</w:t>
            </w:r>
          </w:p>
        </w:tc>
      </w:tr>
      <w:tr w:rsidR="00FB736C" w14:paraId="48DF7BC2" w14:textId="77777777" w:rsidTr="00C15CF1">
        <w:trPr>
          <w:trHeight w:val="183"/>
          <w:jc w:val="center"/>
        </w:trPr>
        <w:tc>
          <w:tcPr>
            <w:tcW w:w="1699" w:type="dxa"/>
            <w:tcBorders>
              <w:left w:val="nil"/>
            </w:tcBorders>
          </w:tcPr>
          <w:p w14:paraId="2EA50DBE"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GD</w:t>
            </w:r>
          </w:p>
          <w:p w14:paraId="0D0D093E"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4828537C"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4E178C3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786B27D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0.051***</w:t>
            </w:r>
          </w:p>
          <w:p w14:paraId="41E3773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gridSpan w:val="2"/>
          </w:tcPr>
          <w:p w14:paraId="4E6116E0"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7DB77B6B"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-0.013***</w:t>
            </w:r>
          </w:p>
          <w:p w14:paraId="0306B53B"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33634791"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02BD42D3"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-0.029***</w:t>
            </w:r>
          </w:p>
          <w:p w14:paraId="31B94529"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2B9F0BB1"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0F904EF5"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-0.041**</w:t>
            </w:r>
          </w:p>
          <w:p w14:paraId="2E31D5B0"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6598C090" w14:textId="77777777" w:rsidTr="00C15CF1">
        <w:trPr>
          <w:jc w:val="center"/>
        </w:trPr>
        <w:tc>
          <w:tcPr>
            <w:tcW w:w="1699" w:type="dxa"/>
            <w:tcBorders>
              <w:left w:val="nil"/>
            </w:tcBorders>
          </w:tcPr>
          <w:p w14:paraId="409B8B82"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DISTANCE</w:t>
            </w:r>
          </w:p>
          <w:p w14:paraId="2A43BF63"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0412058C"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w:t>
            </w:r>
          </w:p>
          <w:p w14:paraId="426B7166"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2EEA2FF8"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693F15B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p w14:paraId="3431A29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gridSpan w:val="2"/>
          </w:tcPr>
          <w:p w14:paraId="6F366346"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148B6307"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-0.004***</w:t>
            </w:r>
          </w:p>
          <w:p w14:paraId="4262BAEA"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60A985C3"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627D731D"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-0.018***</w:t>
            </w:r>
          </w:p>
          <w:p w14:paraId="01B6013F"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3E5A7BF8"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3052A7C6"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-0.006***</w:t>
            </w:r>
          </w:p>
          <w:p w14:paraId="6DFB16C4"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54A5541D"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22482F01" w14:textId="77777777" w:rsidTr="00C15CF1">
        <w:trPr>
          <w:jc w:val="center"/>
        </w:trPr>
        <w:tc>
          <w:tcPr>
            <w:tcW w:w="1699" w:type="dxa"/>
            <w:tcBorders>
              <w:left w:val="nil"/>
            </w:tcBorders>
          </w:tcPr>
          <w:p w14:paraId="302040F6"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MCw</w:t>
            </w:r>
          </w:p>
          <w:p w14:paraId="6068DF61"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324E670D"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04D43D43"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p>
          <w:p w14:paraId="5D3ED727"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r w:rsidRPr="005335BA">
              <w:rPr>
                <w:rFonts w:ascii="Times New Roman" w:hAnsi="Times New Roman" w:cs="Times New Roman"/>
                <w:sz w:val="24"/>
                <w:szCs w:val="24"/>
              </w:rPr>
              <w:t>-</w:t>
            </w:r>
            <w:r>
              <w:rPr>
                <w:rFonts w:ascii="Times New Roman" w:hAnsi="Times New Roman" w:cs="Times New Roman"/>
                <w:sz w:val="24"/>
                <w:szCs w:val="24"/>
              </w:rPr>
              <w:t>1</w:t>
            </w:r>
            <w:r w:rsidRPr="005335BA">
              <w:rPr>
                <w:rFonts w:ascii="Times New Roman" w:hAnsi="Times New Roman" w:cs="Times New Roman"/>
                <w:sz w:val="24"/>
                <w:szCs w:val="24"/>
              </w:rPr>
              <w:t>.</w:t>
            </w:r>
            <w:r>
              <w:rPr>
                <w:rFonts w:ascii="Times New Roman" w:hAnsi="Times New Roman" w:cs="Times New Roman"/>
                <w:sz w:val="24"/>
                <w:szCs w:val="24"/>
              </w:rPr>
              <w:t>680***</w:t>
            </w:r>
          </w:p>
          <w:p w14:paraId="4ED0ECA0"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p>
        </w:tc>
        <w:tc>
          <w:tcPr>
            <w:tcW w:w="1418" w:type="dxa"/>
            <w:gridSpan w:val="2"/>
          </w:tcPr>
          <w:p w14:paraId="4012A0D3"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25B08B4E"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-0.332***</w:t>
            </w:r>
          </w:p>
          <w:p w14:paraId="00DD0236"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39AA810C"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5D258260"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1.325***</w:t>
            </w:r>
          </w:p>
          <w:p w14:paraId="03077A17"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50E37655"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413F7AA4"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0.042</w:t>
            </w:r>
          </w:p>
          <w:p w14:paraId="3B50B54D"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1E2F39B0" w14:textId="77777777" w:rsidTr="00C15CF1">
        <w:trPr>
          <w:jc w:val="center"/>
        </w:trPr>
        <w:tc>
          <w:tcPr>
            <w:tcW w:w="1699" w:type="dxa"/>
            <w:tcBorders>
              <w:left w:val="nil"/>
            </w:tcBorders>
          </w:tcPr>
          <w:p w14:paraId="463FFFA5"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NPLs</w:t>
            </w:r>
          </w:p>
          <w:p w14:paraId="203F4552"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36530F3D"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2B7C76B2"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60E254D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0.023***</w:t>
            </w:r>
          </w:p>
          <w:p w14:paraId="65DDB590"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gridSpan w:val="2"/>
          </w:tcPr>
          <w:p w14:paraId="058B4004"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4A237FBE"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-0.261***</w:t>
            </w:r>
          </w:p>
          <w:p w14:paraId="4EE86EE5"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45F31CFC"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1AABC890" w14:textId="77777777" w:rsidR="00FB736C" w:rsidRPr="006463B2" w:rsidRDefault="00FB736C" w:rsidP="00C15CF1">
            <w:pPr>
              <w:widowControl w:val="0"/>
              <w:autoSpaceDE w:val="0"/>
              <w:autoSpaceDN w:val="0"/>
              <w:adjustRightInd w:val="0"/>
              <w:spacing w:after="0" w:line="240" w:lineRule="auto"/>
              <w:rPr>
                <w:rFonts w:ascii="Times New Roman" w:hAnsi="Times New Roman" w:cs="Times New Roman"/>
                <w:sz w:val="24"/>
                <w:szCs w:val="24"/>
              </w:rPr>
            </w:pPr>
            <w:r w:rsidRPr="006463B2">
              <w:rPr>
                <w:rFonts w:ascii="Times New Roman" w:hAnsi="Times New Roman" w:cs="Times New Roman"/>
                <w:sz w:val="24"/>
                <w:szCs w:val="24"/>
              </w:rPr>
              <w:t xml:space="preserve">   0.226***</w:t>
            </w:r>
          </w:p>
          <w:p w14:paraId="4B3A0E0F"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0D3A35CF"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0D2F104F"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0.116</w:t>
            </w:r>
          </w:p>
          <w:p w14:paraId="61914C76"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7420D09F" w14:textId="77777777" w:rsidTr="00C15CF1">
        <w:trPr>
          <w:jc w:val="center"/>
        </w:trPr>
        <w:tc>
          <w:tcPr>
            <w:tcW w:w="1699" w:type="dxa"/>
            <w:tcBorders>
              <w:left w:val="nil"/>
            </w:tcBorders>
          </w:tcPr>
          <w:p w14:paraId="14C4E13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EQTA</w:t>
            </w:r>
          </w:p>
          <w:p w14:paraId="6000D15F"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1A6D13EA"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w:t>
            </w:r>
          </w:p>
          <w:p w14:paraId="65A1A8C9"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05D50A61"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58FBD92B"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gridSpan w:val="2"/>
          </w:tcPr>
          <w:p w14:paraId="50C72DB9" w14:textId="77777777" w:rsidR="00FB736C" w:rsidRPr="006463B2" w:rsidRDefault="00FB736C" w:rsidP="00C15CF1"/>
        </w:tc>
        <w:tc>
          <w:tcPr>
            <w:tcW w:w="1393" w:type="dxa"/>
          </w:tcPr>
          <w:p w14:paraId="0431E9A7"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09DD5E2C"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-1.047***</w:t>
            </w:r>
          </w:p>
          <w:p w14:paraId="0C7281CC"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1FEA3159"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7673ECAF"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-0.192***</w:t>
            </w:r>
          </w:p>
          <w:p w14:paraId="584BEF1B"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083617BA" w14:textId="77777777" w:rsidTr="00C15CF1">
        <w:trPr>
          <w:jc w:val="center"/>
        </w:trPr>
        <w:tc>
          <w:tcPr>
            <w:tcW w:w="1699" w:type="dxa"/>
            <w:tcBorders>
              <w:left w:val="nil"/>
            </w:tcBorders>
          </w:tcPr>
          <w:p w14:paraId="29F0609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ENTRY</w:t>
            </w:r>
          </w:p>
          <w:p w14:paraId="05B67260"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434E8778"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sidRPr="00E1434A">
              <w:rPr>
                <w:rFonts w:ascii="Times New Roman" w:hAnsi="Times New Roman" w:cs="Times New Roman"/>
                <w:szCs w:val="24"/>
              </w:rPr>
              <w:t xml:space="preserve">          </w:t>
            </w:r>
          </w:p>
        </w:tc>
        <w:tc>
          <w:tcPr>
            <w:tcW w:w="1868" w:type="dxa"/>
            <w:gridSpan w:val="3"/>
          </w:tcPr>
          <w:p w14:paraId="36AFE21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1481112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p w14:paraId="367BD09F"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gridSpan w:val="2"/>
          </w:tcPr>
          <w:p w14:paraId="46FF3A3B"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4869B470"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0.002***</w:t>
            </w:r>
          </w:p>
          <w:p w14:paraId="1A3BFFB6"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0ACDA67D"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0E78B3D3"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 xml:space="preserve">    -0.001</w:t>
            </w:r>
          </w:p>
          <w:p w14:paraId="479751C9" w14:textId="77777777" w:rsidR="00FB736C" w:rsidRPr="006463B2" w:rsidRDefault="00FB736C" w:rsidP="00C15CF1">
            <w:pPr>
              <w:widowControl w:val="0"/>
              <w:autoSpaceDE w:val="0"/>
              <w:autoSpaceDN w:val="0"/>
              <w:adjustRightInd w:val="0"/>
              <w:spacing w:after="0" w:line="240" w:lineRule="auto"/>
              <w:rPr>
                <w:rFonts w:ascii="Times New Roman" w:hAnsi="Times New Roman" w:cs="Times New Roman"/>
                <w:sz w:val="24"/>
                <w:szCs w:val="24"/>
              </w:rPr>
            </w:pPr>
          </w:p>
          <w:p w14:paraId="13296556"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36215B80"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38C00D60"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-0.0008*</w:t>
            </w:r>
          </w:p>
          <w:p w14:paraId="3ACDE77A"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056E9046" w14:textId="77777777" w:rsidTr="00C15CF1">
        <w:trPr>
          <w:jc w:val="center"/>
        </w:trPr>
        <w:tc>
          <w:tcPr>
            <w:tcW w:w="1699" w:type="dxa"/>
            <w:tcBorders>
              <w:left w:val="nil"/>
            </w:tcBorders>
          </w:tcPr>
          <w:p w14:paraId="1E38FD55"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HHIw</w:t>
            </w:r>
          </w:p>
          <w:p w14:paraId="0B5B79A7"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τ= 0.50</w:t>
            </w:r>
          </w:p>
          <w:p w14:paraId="4F56B1FE" w14:textId="77777777" w:rsidR="00FB736C" w:rsidRPr="00E1434A" w:rsidRDefault="00FB736C" w:rsidP="00C15CF1">
            <w:pPr>
              <w:widowControl w:val="0"/>
              <w:autoSpaceDE w:val="0"/>
              <w:autoSpaceDN w:val="0"/>
              <w:adjustRightInd w:val="0"/>
              <w:spacing w:after="0" w:line="240" w:lineRule="auto"/>
              <w:rPr>
                <w:rFonts w:ascii="Times New Roman" w:hAnsi="Times New Roman" w:cs="Times New Roman"/>
                <w:szCs w:val="24"/>
              </w:rPr>
            </w:pPr>
            <w:r w:rsidRPr="00E1434A">
              <w:rPr>
                <w:rFonts w:ascii="Times New Roman" w:hAnsi="Times New Roman" w:cs="Times New Roman"/>
                <w:szCs w:val="24"/>
              </w:rPr>
              <w:t xml:space="preserve">          </w:t>
            </w:r>
          </w:p>
          <w:p w14:paraId="4BF72B33"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644119C5"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30867707"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0.059***</w:t>
            </w:r>
          </w:p>
          <w:p w14:paraId="319126EE" w14:textId="77777777" w:rsidR="00FB736C"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gridSpan w:val="2"/>
          </w:tcPr>
          <w:p w14:paraId="288F34B4"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18E5B8BB"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-0.145*</w:t>
            </w:r>
          </w:p>
          <w:p w14:paraId="3FECA185"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73FD3F02"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55672BCF"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0.227***</w:t>
            </w:r>
          </w:p>
          <w:p w14:paraId="7208763E"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49AD24C1"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p w14:paraId="1267E040"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r w:rsidRPr="006463B2">
              <w:rPr>
                <w:rFonts w:ascii="Times New Roman" w:hAnsi="Times New Roman" w:cs="Times New Roman"/>
                <w:sz w:val="24"/>
                <w:szCs w:val="24"/>
              </w:rPr>
              <w:t>0.163***</w:t>
            </w:r>
          </w:p>
          <w:p w14:paraId="3612AC73"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74DC6E18" w14:textId="77777777" w:rsidTr="00C15CF1">
        <w:trPr>
          <w:jc w:val="center"/>
        </w:trPr>
        <w:tc>
          <w:tcPr>
            <w:tcW w:w="1699" w:type="dxa"/>
            <w:tcBorders>
              <w:left w:val="nil"/>
            </w:tcBorders>
          </w:tcPr>
          <w:p w14:paraId="7DA16E65"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Pr>
          <w:p w14:paraId="351515E6" w14:textId="77777777" w:rsidR="00FB736C"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sz w:val="24"/>
                <w:szCs w:val="24"/>
              </w:rPr>
            </w:pPr>
          </w:p>
        </w:tc>
        <w:tc>
          <w:tcPr>
            <w:tcW w:w="1418" w:type="dxa"/>
            <w:gridSpan w:val="2"/>
          </w:tcPr>
          <w:p w14:paraId="04F5E01D"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393" w:type="dxa"/>
          </w:tcPr>
          <w:p w14:paraId="67A37DEB"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062281DB" w14:textId="77777777" w:rsidR="00FB736C" w:rsidRPr="006463B2" w:rsidRDefault="00FB736C" w:rsidP="00C15CF1">
            <w:pPr>
              <w:widowControl w:val="0"/>
              <w:autoSpaceDE w:val="0"/>
              <w:autoSpaceDN w:val="0"/>
              <w:adjustRightInd w:val="0"/>
              <w:spacing w:after="0" w:line="240" w:lineRule="auto"/>
              <w:jc w:val="center"/>
              <w:rPr>
                <w:rFonts w:ascii="Times New Roman" w:hAnsi="Times New Roman" w:cs="Times New Roman"/>
                <w:sz w:val="24"/>
                <w:szCs w:val="24"/>
              </w:rPr>
            </w:pPr>
          </w:p>
        </w:tc>
      </w:tr>
      <w:tr w:rsidR="00FB736C" w14:paraId="0AE76F25" w14:textId="77777777" w:rsidTr="00C15CF1">
        <w:trPr>
          <w:jc w:val="center"/>
        </w:trPr>
        <w:tc>
          <w:tcPr>
            <w:tcW w:w="1983" w:type="dxa"/>
            <w:gridSpan w:val="2"/>
            <w:tcBorders>
              <w:top w:val="single" w:sz="4" w:space="0" w:color="auto"/>
              <w:left w:val="nil"/>
            </w:tcBorders>
          </w:tcPr>
          <w:p w14:paraId="4778901F"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1584" w:type="dxa"/>
            <w:gridSpan w:val="2"/>
            <w:tcBorders>
              <w:top w:val="single" w:sz="4" w:space="0" w:color="auto"/>
            </w:tcBorders>
          </w:tcPr>
          <w:p w14:paraId="773DC369" w14:textId="77777777" w:rsidR="00FB736C" w:rsidRPr="00305EB4"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Pr>
                <w:rFonts w:ascii="Times New Roman" w:hAnsi="Times New Roman" w:cs="Times New Roman"/>
              </w:rPr>
              <w:t>11255</w:t>
            </w:r>
          </w:p>
        </w:tc>
        <w:tc>
          <w:tcPr>
            <w:tcW w:w="1418" w:type="dxa"/>
            <w:gridSpan w:val="2"/>
            <w:tcBorders>
              <w:top w:val="single" w:sz="4" w:space="0" w:color="auto"/>
            </w:tcBorders>
          </w:tcPr>
          <w:p w14:paraId="177E7E4B"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5598</w:t>
            </w:r>
          </w:p>
        </w:tc>
        <w:tc>
          <w:tcPr>
            <w:tcW w:w="1393" w:type="dxa"/>
            <w:tcBorders>
              <w:top w:val="single" w:sz="4" w:space="0" w:color="auto"/>
            </w:tcBorders>
          </w:tcPr>
          <w:p w14:paraId="6ABFD37E"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11255</w:t>
            </w:r>
          </w:p>
        </w:tc>
        <w:tc>
          <w:tcPr>
            <w:tcW w:w="1276" w:type="dxa"/>
            <w:tcBorders>
              <w:top w:val="single" w:sz="4" w:space="0" w:color="auto"/>
            </w:tcBorders>
          </w:tcPr>
          <w:p w14:paraId="5C217737" w14:textId="77777777" w:rsidR="00FB736C" w:rsidRPr="00305EB4" w:rsidRDefault="00FB736C" w:rsidP="00C15C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5598</w:t>
            </w:r>
          </w:p>
        </w:tc>
      </w:tr>
      <w:tr w:rsidR="00FB736C" w14:paraId="4EBEC957" w14:textId="77777777" w:rsidTr="00C15CF1">
        <w:trPr>
          <w:jc w:val="center"/>
        </w:trPr>
        <w:tc>
          <w:tcPr>
            <w:tcW w:w="1983" w:type="dxa"/>
            <w:gridSpan w:val="2"/>
            <w:vAlign w:val="center"/>
          </w:tcPr>
          <w:p w14:paraId="6B9FA313"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559" w:type="dxa"/>
          </w:tcPr>
          <w:p w14:paraId="663FF86D" w14:textId="77777777" w:rsidR="00FB736C" w:rsidRPr="00C23B50" w:rsidRDefault="00FB736C" w:rsidP="00C15CF1">
            <w:pPr>
              <w:widowControl w:val="0"/>
              <w:autoSpaceDE w:val="0"/>
              <w:autoSpaceDN w:val="0"/>
              <w:adjustRightInd w:val="0"/>
              <w:spacing w:after="0" w:line="240" w:lineRule="auto"/>
              <w:ind w:left="-216" w:firstLine="216"/>
              <w:rPr>
                <w:rFonts w:ascii="Times New Roman" w:hAnsi="Times New Roman" w:cs="Times New Roman"/>
              </w:rPr>
            </w:pPr>
            <w:r>
              <w:rPr>
                <w:rFonts w:ascii="Times New Roman" w:hAnsi="Times New Roman" w:cs="Times New Roman"/>
              </w:rPr>
              <w:t xml:space="preserve">         0.121</w:t>
            </w:r>
          </w:p>
        </w:tc>
        <w:tc>
          <w:tcPr>
            <w:tcW w:w="1418" w:type="dxa"/>
            <w:gridSpan w:val="2"/>
          </w:tcPr>
          <w:p w14:paraId="3F2A566C" w14:textId="77777777" w:rsidR="00FB736C" w:rsidRPr="00C23B50"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Pr>
                <w:rFonts w:ascii="Times New Roman" w:hAnsi="Times New Roman" w:cs="Times New Roman"/>
              </w:rPr>
              <w:t>0.195</w:t>
            </w:r>
          </w:p>
        </w:tc>
        <w:tc>
          <w:tcPr>
            <w:tcW w:w="1418" w:type="dxa"/>
            <w:gridSpan w:val="2"/>
          </w:tcPr>
          <w:p w14:paraId="56424B7E" w14:textId="77777777" w:rsidR="00FB736C" w:rsidRPr="00C23B50"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Pr>
                <w:rFonts w:ascii="Times New Roman" w:hAnsi="Times New Roman" w:cs="Times New Roman"/>
              </w:rPr>
              <w:t>0.566</w:t>
            </w:r>
          </w:p>
        </w:tc>
        <w:tc>
          <w:tcPr>
            <w:tcW w:w="1276" w:type="dxa"/>
          </w:tcPr>
          <w:p w14:paraId="48570DF2" w14:textId="77777777" w:rsidR="00FB736C" w:rsidRPr="00C23B50"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r>
              <w:rPr>
                <w:rFonts w:ascii="Times New Roman" w:hAnsi="Times New Roman" w:cs="Times New Roman"/>
              </w:rPr>
              <w:t>0.600</w:t>
            </w:r>
          </w:p>
        </w:tc>
      </w:tr>
      <w:tr w:rsidR="00FB736C" w14:paraId="27FBDF56" w14:textId="77777777" w:rsidTr="00C15CF1">
        <w:tblPrEx>
          <w:tblBorders>
            <w:bottom w:val="single" w:sz="6" w:space="0" w:color="auto"/>
          </w:tblBorders>
        </w:tblPrEx>
        <w:trPr>
          <w:jc w:val="center"/>
        </w:trPr>
        <w:tc>
          <w:tcPr>
            <w:tcW w:w="1699" w:type="dxa"/>
            <w:tcBorders>
              <w:top w:val="single" w:sz="4" w:space="0" w:color="auto"/>
              <w:left w:val="nil"/>
              <w:bottom w:val="nil"/>
              <w:right w:val="nil"/>
            </w:tcBorders>
          </w:tcPr>
          <w:p w14:paraId="083EF2F0" w14:textId="77777777" w:rsidR="00FB736C" w:rsidRDefault="00FB736C" w:rsidP="00C15CF1">
            <w:pPr>
              <w:widowControl w:val="0"/>
              <w:autoSpaceDE w:val="0"/>
              <w:autoSpaceDN w:val="0"/>
              <w:adjustRightInd w:val="0"/>
              <w:spacing w:after="0" w:line="240" w:lineRule="auto"/>
              <w:rPr>
                <w:rFonts w:ascii="Times New Roman" w:hAnsi="Times New Roman" w:cs="Times New Roman"/>
                <w:sz w:val="24"/>
                <w:szCs w:val="24"/>
              </w:rPr>
            </w:pPr>
          </w:p>
        </w:tc>
        <w:tc>
          <w:tcPr>
            <w:tcW w:w="1868" w:type="dxa"/>
            <w:gridSpan w:val="3"/>
            <w:tcBorders>
              <w:top w:val="single" w:sz="4" w:space="0" w:color="auto"/>
              <w:left w:val="nil"/>
              <w:bottom w:val="nil"/>
              <w:right w:val="nil"/>
            </w:tcBorders>
          </w:tcPr>
          <w:p w14:paraId="71FA9CFA" w14:textId="77777777" w:rsidR="00FB736C" w:rsidRPr="00601B90" w:rsidRDefault="00FB736C" w:rsidP="00C15CF1">
            <w:pPr>
              <w:widowControl w:val="0"/>
              <w:autoSpaceDE w:val="0"/>
              <w:autoSpaceDN w:val="0"/>
              <w:adjustRightInd w:val="0"/>
              <w:spacing w:after="0" w:line="240" w:lineRule="auto"/>
              <w:ind w:left="-216" w:firstLine="216"/>
              <w:jc w:val="center"/>
              <w:rPr>
                <w:rFonts w:ascii="Times New Roman" w:hAnsi="Times New Roman" w:cs="Times New Roman"/>
              </w:rPr>
            </w:pPr>
          </w:p>
        </w:tc>
        <w:tc>
          <w:tcPr>
            <w:tcW w:w="1418" w:type="dxa"/>
            <w:gridSpan w:val="2"/>
            <w:tcBorders>
              <w:top w:val="single" w:sz="4" w:space="0" w:color="auto"/>
              <w:left w:val="nil"/>
              <w:bottom w:val="nil"/>
              <w:right w:val="nil"/>
            </w:tcBorders>
          </w:tcPr>
          <w:p w14:paraId="36652113" w14:textId="77777777" w:rsidR="00FB736C" w:rsidRPr="00601B90"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393" w:type="dxa"/>
            <w:tcBorders>
              <w:top w:val="single" w:sz="4" w:space="0" w:color="auto"/>
              <w:left w:val="nil"/>
              <w:bottom w:val="nil"/>
              <w:right w:val="nil"/>
            </w:tcBorders>
          </w:tcPr>
          <w:p w14:paraId="60B2B24A" w14:textId="77777777" w:rsidR="00FB736C" w:rsidRPr="00601B90" w:rsidRDefault="00FB736C" w:rsidP="00C15CF1">
            <w:pPr>
              <w:widowControl w:val="0"/>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auto"/>
              <w:left w:val="nil"/>
              <w:bottom w:val="nil"/>
              <w:right w:val="nil"/>
            </w:tcBorders>
          </w:tcPr>
          <w:p w14:paraId="426E994C" w14:textId="77777777" w:rsidR="00FB736C" w:rsidRPr="00601B90" w:rsidRDefault="00FB736C" w:rsidP="00C15CF1">
            <w:pPr>
              <w:widowControl w:val="0"/>
              <w:autoSpaceDE w:val="0"/>
              <w:autoSpaceDN w:val="0"/>
              <w:adjustRightInd w:val="0"/>
              <w:spacing w:after="0" w:line="240" w:lineRule="auto"/>
              <w:jc w:val="center"/>
              <w:rPr>
                <w:rFonts w:ascii="Times New Roman" w:hAnsi="Times New Roman" w:cs="Times New Roman"/>
              </w:rPr>
            </w:pPr>
          </w:p>
        </w:tc>
      </w:tr>
    </w:tbl>
    <w:p w14:paraId="04B3C136" w14:textId="77777777" w:rsidR="00FB736C" w:rsidRPr="004E3845" w:rsidRDefault="00FB736C" w:rsidP="00FB736C">
      <w:pPr>
        <w:ind w:left="-567" w:right="-613"/>
        <w:jc w:val="both"/>
        <w:rPr>
          <w:rFonts w:ascii="Times New Roman" w:hAnsi="Times New Roman" w:cs="Times New Roman"/>
          <w:lang w:val="en-GB" w:eastAsia="en-US"/>
        </w:rPr>
      </w:pPr>
      <w:r w:rsidRPr="004E3845">
        <w:rPr>
          <w:rFonts w:ascii="Times New Roman" w:hAnsi="Times New Roman" w:cs="Times New Roman"/>
          <w:b/>
          <w:bCs/>
          <w:noProof/>
          <w:lang w:val="en-GB"/>
        </w:rPr>
        <w:t xml:space="preserve">Note: </w:t>
      </w:r>
      <w:r w:rsidRPr="004E3845">
        <w:rPr>
          <w:rFonts w:ascii="Times New Roman" w:hAnsi="Times New Roman" w:cs="Times New Roman"/>
          <w:lang w:val="en-GB" w:eastAsia="en-US"/>
        </w:rPr>
        <w:t>The Table reports the coefficient estimates from IV panel (unconditional) quantile regression at the 50</w:t>
      </w:r>
      <w:r w:rsidRPr="004E3845">
        <w:rPr>
          <w:rFonts w:ascii="Times New Roman" w:hAnsi="Times New Roman" w:cs="Times New Roman"/>
          <w:vertAlign w:val="superscript"/>
          <w:lang w:val="en-GB" w:eastAsia="en-US"/>
        </w:rPr>
        <w:t>th</w:t>
      </w:r>
      <w:r w:rsidRPr="004E3845">
        <w:rPr>
          <w:rFonts w:ascii="Times New Roman" w:hAnsi="Times New Roman" w:cs="Times New Roman"/>
          <w:lang w:val="en-GB" w:eastAsia="en-US"/>
        </w:rPr>
        <w:t xml:space="preserve"> quantile or median. </w:t>
      </w:r>
      <w:r w:rsidRPr="004E3845">
        <w:rPr>
          <w:rFonts w:ascii="Times New Roman" w:hAnsi="Times New Roman" w:cs="Times New Roman"/>
        </w:rPr>
        <w:t>Bank Branches_1936 (the number of branches per 10,000 inhabitants in 1936) and Cooperative Banks_1936 (the number of cooperative banks in the province per 100,000 inhabitants) are the instruments. The estimation involved 10,000 Monte Carlo simulations.</w:t>
      </w:r>
      <m:oMath>
        <m:r>
          <w:rPr>
            <w:rFonts w:ascii="Cambria Math" w:hAnsi="Cambria Math" w:cs="Times New Roman"/>
          </w:rPr>
          <m:t xml:space="preserve"> </m:t>
        </m:r>
        <m:r>
          <m:rPr>
            <m:sty m:val="p"/>
          </m:rPr>
          <w:rPr>
            <w:rFonts w:ascii="Cambria Math" w:hAnsi="Cambria Math" w:cs="Times New Roman"/>
          </w:rPr>
          <m:t>Δ</m:t>
        </m:r>
      </m:oMath>
      <w:r w:rsidRPr="004E3845">
        <w:rPr>
          <w:rFonts w:ascii="Times New Roman" w:hAnsi="Times New Roman" w:cs="Times New Roman"/>
          <w:lang w:val="en-GB" w:eastAsia="en-US"/>
        </w:rPr>
        <w:t xml:space="preserve">lnDep is the change of deposits (expressed in logarithm) from t and t-1. </w:t>
      </w:r>
      <w:r w:rsidRPr="004E3845">
        <w:rPr>
          <w:rFonts w:ascii="Times New Roman" w:eastAsia="Times New Roman" w:hAnsi="Times New Roman" w:cs="Times New Roman"/>
          <w:i/>
          <w:iCs/>
          <w:color w:val="000000"/>
          <w:lang w:val="en-GB"/>
        </w:rPr>
        <w:t xml:space="preserve">LED, </w:t>
      </w:r>
      <w:r w:rsidRPr="004E3845">
        <w:rPr>
          <w:rFonts w:ascii="Times New Roman" w:hAnsi="Times New Roman" w:cs="Times New Roman"/>
          <w:lang w:val="en-GB" w:eastAsia="en-US"/>
        </w:rPr>
        <w:t>Lerner Index for deposits. All explanatory variables enter the regressions with a one year lag. GD is geographic diversification calculated with the Berry Index; DISTANCE is the weighted distance between the headquarter and the branches; MCw is the weighted market coverage; NPLs is the amount of non-performing loans; EQTA is equity over total assets; ENTRY is the net number of new branches over total branches in each province; HHIw is the weighed concentration of branches in each province; MC is the unweighted market coverage;  HHI is the unweighted concentration of branches in each province; P</w:t>
      </w:r>
      <w:r w:rsidRPr="004E3845">
        <w:rPr>
          <w:rFonts w:ascii="Times New Roman" w:hAnsi="Times New Roman" w:cs="Times New Roman"/>
        </w:rPr>
        <w:t>SizeL</w:t>
      </w:r>
      <w:r w:rsidRPr="004E3845">
        <w:rPr>
          <w:rFonts w:ascii="Times New Roman" w:hAnsi="Times New Roman" w:cs="Times New Roman"/>
          <w:lang w:val="en-GB" w:eastAsia="en-US"/>
        </w:rPr>
        <w:t xml:space="preserve"> is the amount of loans in a province divided the total amount of loans at the country level. Standard errors are clustered by bank ID.  </w:t>
      </w:r>
      <w:r w:rsidRPr="004E3845">
        <w:rPr>
          <w:rFonts w:ascii="Times New Roman" w:hAnsi="Times New Roman" w:cs="Times New Roman"/>
          <w:lang w:val="en-US"/>
        </w:rPr>
        <w:t xml:space="preserve">* </w:t>
      </w:r>
      <w:r w:rsidRPr="004E3845">
        <w:rPr>
          <w:rFonts w:ascii="Times New Roman" w:hAnsi="Times New Roman" w:cs="Times New Roman"/>
          <w:i/>
          <w:lang w:val="en-US"/>
        </w:rPr>
        <w:t>p</w:t>
      </w:r>
      <w:r w:rsidRPr="004E3845">
        <w:rPr>
          <w:rFonts w:ascii="Times New Roman" w:hAnsi="Times New Roman" w:cs="Times New Roman"/>
          <w:lang w:val="en-US"/>
        </w:rPr>
        <w:t xml:space="preserve">&lt;.10, ** </w:t>
      </w:r>
      <w:r w:rsidRPr="004E3845">
        <w:rPr>
          <w:rFonts w:ascii="Times New Roman" w:hAnsi="Times New Roman" w:cs="Times New Roman"/>
          <w:i/>
          <w:lang w:val="en-US"/>
        </w:rPr>
        <w:t>p</w:t>
      </w:r>
      <w:r w:rsidRPr="004E3845">
        <w:rPr>
          <w:rFonts w:ascii="Times New Roman" w:hAnsi="Times New Roman" w:cs="Times New Roman"/>
          <w:lang w:val="en-US"/>
        </w:rPr>
        <w:t xml:space="preserve">&lt;.05, *** </w:t>
      </w:r>
      <w:r w:rsidRPr="004E3845">
        <w:rPr>
          <w:rFonts w:ascii="Times New Roman" w:hAnsi="Times New Roman" w:cs="Times New Roman"/>
          <w:i/>
          <w:lang w:val="en-US"/>
        </w:rPr>
        <w:t>p</w:t>
      </w:r>
      <w:r w:rsidRPr="004E3845">
        <w:rPr>
          <w:rFonts w:ascii="Times New Roman" w:hAnsi="Times New Roman" w:cs="Times New Roman"/>
          <w:lang w:val="en-US"/>
        </w:rPr>
        <w:t>&lt;.01. Specifications I includes all banks, while specification II includes only banks with large branches.</w:t>
      </w:r>
    </w:p>
    <w:p w14:paraId="0EEC05B6" w14:textId="77777777" w:rsidR="0015110E" w:rsidRDefault="0015110E" w:rsidP="001715AC">
      <w:pPr>
        <w:autoSpaceDE w:val="0"/>
        <w:autoSpaceDN w:val="0"/>
        <w:adjustRightInd w:val="0"/>
        <w:spacing w:after="0" w:line="480" w:lineRule="auto"/>
        <w:rPr>
          <w:rFonts w:ascii="Times New Roman" w:hAnsi="Times New Roman" w:cs="Times New Roman"/>
          <w:b/>
          <w:bCs/>
          <w:sz w:val="24"/>
          <w:szCs w:val="24"/>
          <w:lang w:val="en-GB"/>
        </w:rPr>
      </w:pPr>
    </w:p>
    <w:p w14:paraId="00AA0FB4" w14:textId="5CA148D9" w:rsidR="00702D55" w:rsidRPr="000B18C0" w:rsidRDefault="000B18C0" w:rsidP="001715AC">
      <w:pPr>
        <w:autoSpaceDE w:val="0"/>
        <w:autoSpaceDN w:val="0"/>
        <w:adjustRightInd w:val="0"/>
        <w:spacing w:after="0" w:line="480" w:lineRule="auto"/>
        <w:rPr>
          <w:rFonts w:ascii="Times New Roman" w:hAnsi="Times New Roman" w:cs="Times New Roman"/>
          <w:b/>
          <w:bCs/>
          <w:sz w:val="24"/>
          <w:szCs w:val="24"/>
          <w:lang w:val="en-GB"/>
        </w:rPr>
      </w:pPr>
      <w:r w:rsidRPr="000B18C0">
        <w:rPr>
          <w:rFonts w:ascii="Times New Roman" w:hAnsi="Times New Roman" w:cs="Times New Roman"/>
          <w:b/>
          <w:bCs/>
          <w:sz w:val="24"/>
          <w:szCs w:val="24"/>
          <w:lang w:val="en-GB"/>
        </w:rPr>
        <w:t>Notes</w:t>
      </w:r>
    </w:p>
    <w:sectPr w:rsidR="00702D55" w:rsidRPr="000B18C0" w:rsidSect="00053035">
      <w:footerReference w:type="default" r:id="rId2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68E46" w14:textId="77777777" w:rsidR="007E22AB" w:rsidRDefault="007E22AB" w:rsidP="00852367">
      <w:pPr>
        <w:spacing w:after="0" w:line="240" w:lineRule="auto"/>
      </w:pPr>
      <w:r>
        <w:separator/>
      </w:r>
    </w:p>
  </w:endnote>
  <w:endnote w:type="continuationSeparator" w:id="0">
    <w:p w14:paraId="6143949E" w14:textId="77777777" w:rsidR="007E22AB" w:rsidRDefault="007E22AB" w:rsidP="00852367">
      <w:pPr>
        <w:spacing w:after="0" w:line="240" w:lineRule="auto"/>
      </w:pPr>
      <w:r>
        <w:continuationSeparator/>
      </w:r>
    </w:p>
  </w:endnote>
  <w:endnote w:id="1">
    <w:p w14:paraId="10CF2D45" w14:textId="77777777" w:rsidR="00AF6265" w:rsidRPr="00936161" w:rsidRDefault="00AF6265" w:rsidP="00DF1BCF">
      <w:pPr>
        <w:pStyle w:val="FootnoteText"/>
        <w:ind w:left="142" w:hanging="142"/>
        <w:jc w:val="both"/>
        <w:rPr>
          <w:rFonts w:ascii="Times New Roman" w:hAnsi="Times New Roman" w:cs="Times New Roman"/>
          <w:lang w:eastAsia="it-IT"/>
        </w:rPr>
      </w:pPr>
      <w:r w:rsidRPr="00936161">
        <w:rPr>
          <w:rStyle w:val="EndnoteReference"/>
          <w:rFonts w:ascii="Times New Roman" w:hAnsi="Times New Roman" w:cs="Times New Roman"/>
        </w:rPr>
        <w:endnoteRef/>
      </w:r>
      <w:r w:rsidRPr="00936161">
        <w:rPr>
          <w:rFonts w:ascii="Times New Roman" w:hAnsi="Times New Roman" w:cs="Times New Roman"/>
        </w:rPr>
        <w:t xml:space="preserve"> </w:t>
      </w:r>
      <w:r w:rsidRPr="00936161">
        <w:rPr>
          <w:rFonts w:ascii="Times New Roman" w:hAnsi="Times New Roman" w:cs="Times New Roman"/>
          <w:lang w:eastAsia="it-IT"/>
        </w:rPr>
        <w:t>The number of local branches in the EU fell 17% (from 232,525 to 198,744) between 2009 and 2013 (ECB, 2013).</w:t>
      </w:r>
    </w:p>
    <w:p w14:paraId="77087479" w14:textId="77777777" w:rsidR="00AF6265" w:rsidRPr="00936161" w:rsidRDefault="00AF6265" w:rsidP="00DF1BCF">
      <w:pPr>
        <w:pStyle w:val="EndnoteText"/>
        <w:ind w:left="142" w:hanging="142"/>
        <w:jc w:val="both"/>
        <w:rPr>
          <w:rFonts w:ascii="Times New Roman" w:hAnsi="Times New Roman" w:cs="Times New Roman"/>
          <w:lang w:val="en-US"/>
        </w:rPr>
      </w:pPr>
    </w:p>
  </w:endnote>
  <w:endnote w:id="2">
    <w:p w14:paraId="661E2FBA" w14:textId="6252E310" w:rsidR="00AF6265" w:rsidRPr="00936161" w:rsidRDefault="00AF6265" w:rsidP="00F73AEA">
      <w:pPr>
        <w:pStyle w:val="EndnoteText"/>
        <w:ind w:left="142" w:hanging="142"/>
        <w:jc w:val="both"/>
        <w:rPr>
          <w:rFonts w:ascii="Times New Roman" w:hAnsi="Times New Roman" w:cs="Times New Roman"/>
          <w:lang w:val="en-GB"/>
        </w:rPr>
      </w:pPr>
      <w:r w:rsidRPr="00936161">
        <w:rPr>
          <w:rStyle w:val="EndnoteReference"/>
          <w:rFonts w:ascii="Times New Roman" w:hAnsi="Times New Roman" w:cs="Times New Roman"/>
        </w:rPr>
        <w:endnoteRef/>
      </w:r>
      <w:r w:rsidRPr="00936161">
        <w:rPr>
          <w:rFonts w:ascii="Times New Roman" w:hAnsi="Times New Roman" w:cs="Times New Roman"/>
          <w:lang w:val="en-GB"/>
        </w:rPr>
        <w:t xml:space="preserve"> Like Germany, Italian banks conduct relationship banking where soft information is collected from customers at a branch level. This is not the case in the UK where transactional banking is the dominant model.</w:t>
      </w:r>
    </w:p>
    <w:p w14:paraId="2AAC657B" w14:textId="77777777" w:rsidR="00AF6265" w:rsidRPr="00936161" w:rsidRDefault="00AF6265" w:rsidP="00F73AEA">
      <w:pPr>
        <w:pStyle w:val="EndnoteText"/>
        <w:ind w:left="142" w:hanging="142"/>
        <w:jc w:val="both"/>
        <w:rPr>
          <w:rFonts w:ascii="Times New Roman" w:hAnsi="Times New Roman" w:cs="Times New Roman"/>
          <w:lang w:val="en-GB"/>
        </w:rPr>
      </w:pPr>
    </w:p>
  </w:endnote>
  <w:endnote w:id="3">
    <w:p w14:paraId="79DB6E8C" w14:textId="4297FE50" w:rsidR="00AF6265" w:rsidRPr="00936161" w:rsidRDefault="00AF6265" w:rsidP="00F73AEA">
      <w:pPr>
        <w:pStyle w:val="EndnoteText"/>
        <w:tabs>
          <w:tab w:val="left" w:pos="142"/>
        </w:tabs>
        <w:ind w:left="142" w:hanging="142"/>
        <w:jc w:val="both"/>
        <w:rPr>
          <w:rFonts w:ascii="Times New Roman" w:hAnsi="Times New Roman" w:cs="Times New Roman"/>
          <w:lang w:val="en-GB"/>
        </w:rPr>
      </w:pPr>
      <w:r w:rsidRPr="00936161">
        <w:rPr>
          <w:rStyle w:val="EndnoteReference"/>
          <w:rFonts w:ascii="Times New Roman" w:hAnsi="Times New Roman" w:cs="Times New Roman"/>
        </w:rPr>
        <w:endnoteRef/>
      </w:r>
      <w:r w:rsidRPr="00936161">
        <w:rPr>
          <w:rFonts w:ascii="Times New Roman" w:hAnsi="Times New Roman" w:cs="Times New Roman"/>
        </w:rPr>
        <w:t xml:space="preserve"> </w:t>
      </w:r>
      <m:oMath>
        <m:sSub>
          <m:sSubPr>
            <m:ctrlPr>
              <w:rPr>
                <w:rFonts w:ascii="Cambria Math" w:hAnsi="Cambria Math" w:cs="Times New Roman"/>
                <w:i/>
              </w:rPr>
            </m:ctrlPr>
          </m:sSubPr>
          <m:e>
            <m:r>
              <m:rPr>
                <m:sty m:val="p"/>
              </m:rPr>
              <w:rPr>
                <w:rFonts w:ascii="Cambria Math" w:hAnsi="Cambria Math" w:cs="Times New Roman"/>
              </w:rPr>
              <m:t>ΔLoan</m:t>
            </m:r>
          </m:e>
          <m:sub>
            <m:r>
              <w:rPr>
                <w:rFonts w:ascii="Cambria Math" w:hAnsi="Cambria Math" w:cs="Times New Roman"/>
              </w:rPr>
              <m:t>it</m:t>
            </m:r>
          </m:sub>
        </m:sSub>
      </m:oMath>
      <w:r w:rsidRPr="00936161">
        <w:rPr>
          <w:rFonts w:ascii="Times New Roman" w:hAnsi="Times New Roman" w:cs="Times New Roman"/>
        </w:rPr>
        <w:t xml:space="preserve">: mean is 0.105 and standard deviation is 0.113; </w:t>
      </w:r>
      <m:oMath>
        <m:sSub>
          <m:sSubPr>
            <m:ctrlPr>
              <w:rPr>
                <w:rFonts w:ascii="Cambria Math" w:hAnsi="Cambria Math" w:cs="Times New Roman"/>
                <w:i/>
              </w:rPr>
            </m:ctrlPr>
          </m:sSubPr>
          <m:e>
            <m:r>
              <m:rPr>
                <m:sty m:val="p"/>
              </m:rPr>
              <w:rPr>
                <w:rFonts w:ascii="Cambria Math" w:hAnsi="Cambria Math" w:cs="Times New Roman"/>
              </w:rPr>
              <m:t>ΔDeposit</m:t>
            </m:r>
          </m:e>
          <m:sub>
            <m:r>
              <w:rPr>
                <w:rFonts w:ascii="Cambria Math" w:hAnsi="Cambria Math" w:cs="Times New Roman"/>
              </w:rPr>
              <m:t>it</m:t>
            </m:r>
          </m:sub>
        </m:sSub>
      </m:oMath>
      <w:r w:rsidRPr="00936161">
        <w:rPr>
          <w:rFonts w:ascii="Times New Roman" w:hAnsi="Times New Roman" w:cs="Times New Roman"/>
        </w:rPr>
        <w:t>: mean is 0.084 and standard deviation is  0.106.</w:t>
      </w:r>
    </w:p>
    <w:p w14:paraId="40C65F88" w14:textId="77777777" w:rsidR="00AF6265" w:rsidRPr="00936161" w:rsidRDefault="00AF6265" w:rsidP="00F73AEA">
      <w:pPr>
        <w:pStyle w:val="EndnoteText"/>
        <w:jc w:val="both"/>
        <w:rPr>
          <w:rFonts w:ascii="Times New Roman" w:hAnsi="Times New Roman" w:cs="Times New Roman"/>
          <w:lang w:val="en-GB"/>
        </w:rPr>
      </w:pPr>
    </w:p>
  </w:endnote>
  <w:endnote w:id="4">
    <w:p w14:paraId="2C423A37" w14:textId="77777777" w:rsidR="008E0999" w:rsidRPr="00936161" w:rsidRDefault="008E0999" w:rsidP="008E0999">
      <w:pPr>
        <w:pStyle w:val="EndnoteText"/>
        <w:ind w:left="142" w:hanging="142"/>
        <w:jc w:val="both"/>
        <w:rPr>
          <w:rFonts w:ascii="Times New Roman" w:hAnsi="Times New Roman" w:cs="Times New Roman"/>
          <w:lang w:val="en-GB"/>
        </w:rPr>
      </w:pPr>
      <w:r w:rsidRPr="00936161">
        <w:rPr>
          <w:rFonts w:ascii="Times New Roman" w:hAnsi="Times New Roman" w:cs="Times New Roman"/>
          <w:vertAlign w:val="superscript"/>
          <w:lang w:val="en-GB"/>
        </w:rPr>
        <w:endnoteRef/>
      </w:r>
      <w:r w:rsidRPr="00936161">
        <w:rPr>
          <w:rFonts w:ascii="Times New Roman" w:hAnsi="Times New Roman" w:cs="Times New Roman"/>
          <w:vertAlign w:val="superscript"/>
          <w:lang w:val="en-GB"/>
        </w:rPr>
        <w:t xml:space="preserve"> </w:t>
      </w:r>
      <w:r w:rsidRPr="00936161">
        <w:rPr>
          <w:rFonts w:ascii="Times New Roman" w:hAnsi="Times New Roman" w:cs="Times New Roman"/>
          <w:lang w:val="en-GB"/>
        </w:rPr>
        <w:t>HHI is calculated as the sum of the squared market coverage for all the banks in each single province.</w:t>
      </w:r>
    </w:p>
    <w:p w14:paraId="03C00841" w14:textId="77777777" w:rsidR="008E0999" w:rsidRPr="00936161" w:rsidRDefault="008E0999" w:rsidP="008E0999">
      <w:pPr>
        <w:pStyle w:val="EndnoteText"/>
        <w:ind w:left="142" w:hanging="142"/>
        <w:jc w:val="both"/>
        <w:rPr>
          <w:rFonts w:ascii="Times New Roman" w:hAnsi="Times New Roman" w:cs="Times New Roman"/>
          <w:lang w:val="en-GB"/>
        </w:rPr>
      </w:pPr>
    </w:p>
  </w:endnote>
  <w:endnote w:id="5">
    <w:p w14:paraId="790968E5" w14:textId="77777777" w:rsidR="008E0999" w:rsidRPr="00936161" w:rsidRDefault="008E0999" w:rsidP="008E0999">
      <w:pPr>
        <w:pStyle w:val="EndnoteText"/>
        <w:ind w:left="142" w:hanging="142"/>
        <w:jc w:val="both"/>
        <w:rPr>
          <w:rFonts w:ascii="Times New Roman" w:hAnsi="Times New Roman" w:cs="Times New Roman"/>
          <w:lang w:val="en-GB"/>
        </w:rPr>
      </w:pPr>
      <w:r w:rsidRPr="00936161">
        <w:rPr>
          <w:rStyle w:val="EndnoteReference"/>
          <w:rFonts w:ascii="Times New Roman" w:hAnsi="Times New Roman" w:cs="Times New Roman"/>
        </w:rPr>
        <w:endnoteRef/>
      </w:r>
      <w:r w:rsidRPr="00936161">
        <w:rPr>
          <w:rFonts w:ascii="Times New Roman" w:hAnsi="Times New Roman" w:cs="Times New Roman"/>
          <w:lang w:val="en-GB"/>
        </w:rPr>
        <w:t xml:space="preserve"> The SCP states that abnormal profits are the result of high market concentration that increases collusion among firms (Berger and Hannan, 1989; Goldberg and Rai, 1996).</w:t>
      </w:r>
    </w:p>
    <w:p w14:paraId="790A1DBD" w14:textId="77777777" w:rsidR="008E0999" w:rsidRPr="00936161" w:rsidRDefault="008E0999" w:rsidP="008E0999">
      <w:pPr>
        <w:pStyle w:val="EndnoteText"/>
        <w:ind w:left="142" w:hanging="142"/>
        <w:jc w:val="both"/>
        <w:rPr>
          <w:rFonts w:ascii="Times New Roman" w:hAnsi="Times New Roman" w:cs="Times New Roman"/>
          <w:lang w:val="en-GB"/>
        </w:rPr>
      </w:pPr>
    </w:p>
  </w:endnote>
  <w:endnote w:id="6">
    <w:p w14:paraId="0DEDC4D4" w14:textId="77777777" w:rsidR="00AF6265" w:rsidRPr="00936161" w:rsidRDefault="00AF6265" w:rsidP="00F73AEA">
      <w:pPr>
        <w:pStyle w:val="FootnoteText"/>
        <w:ind w:left="142" w:hanging="142"/>
        <w:jc w:val="both"/>
        <w:rPr>
          <w:rFonts w:ascii="Times New Roman" w:hAnsi="Times New Roman" w:cs="Times New Roman"/>
          <w:lang w:val="en-GB" w:eastAsia="it-IT"/>
        </w:rPr>
      </w:pPr>
      <w:r w:rsidRPr="00936161">
        <w:rPr>
          <w:rStyle w:val="EndnoteReference"/>
          <w:rFonts w:ascii="Times New Roman" w:hAnsi="Times New Roman" w:cs="Times New Roman"/>
        </w:rPr>
        <w:endnoteRef/>
      </w:r>
      <w:r w:rsidRPr="00936161">
        <w:rPr>
          <w:rFonts w:ascii="Times New Roman" w:hAnsi="Times New Roman" w:cs="Times New Roman"/>
        </w:rPr>
        <w:t xml:space="preserve"> </w:t>
      </w:r>
      <w:r w:rsidRPr="00936161">
        <w:rPr>
          <w:rFonts w:ascii="Times New Roman" w:hAnsi="Times New Roman" w:cs="Times New Roman"/>
          <w:lang w:val="en-GB" w:eastAsia="it-IT"/>
        </w:rPr>
        <w:t>HHI and other measures of competition just take the number of branches at the end of the period.</w:t>
      </w:r>
    </w:p>
    <w:p w14:paraId="75A4B3C2" w14:textId="77777777" w:rsidR="00AF6265" w:rsidRPr="00936161" w:rsidRDefault="00AF6265" w:rsidP="00F73AEA">
      <w:pPr>
        <w:pStyle w:val="EndnoteText"/>
        <w:ind w:left="142" w:hanging="142"/>
        <w:jc w:val="both"/>
        <w:rPr>
          <w:rFonts w:ascii="Times New Roman" w:hAnsi="Times New Roman" w:cs="Times New Roman"/>
          <w:lang w:val="en-GB"/>
        </w:rPr>
      </w:pPr>
    </w:p>
  </w:endnote>
  <w:endnote w:id="7">
    <w:p w14:paraId="28D03D5C" w14:textId="4976D3C1" w:rsidR="00AF6265" w:rsidRPr="00936161" w:rsidRDefault="00AF6265" w:rsidP="00F73AEA">
      <w:pPr>
        <w:pStyle w:val="EndnoteText"/>
        <w:ind w:left="284" w:hanging="284"/>
        <w:jc w:val="both"/>
        <w:rPr>
          <w:rFonts w:ascii="Times New Roman" w:hAnsi="Times New Roman" w:cs="Times New Roman"/>
          <w:lang w:val="en-GB"/>
        </w:rPr>
      </w:pPr>
      <w:r w:rsidRPr="00936161">
        <w:rPr>
          <w:rStyle w:val="EndnoteReference"/>
          <w:rFonts w:ascii="Times New Roman" w:hAnsi="Times New Roman" w:cs="Times New Roman"/>
        </w:rPr>
        <w:endnoteRef/>
      </w:r>
      <w:r w:rsidRPr="00936161">
        <w:rPr>
          <w:rFonts w:ascii="Times New Roman" w:hAnsi="Times New Roman" w:cs="Times New Roman"/>
        </w:rPr>
        <w:t xml:space="preserve"> The </w:t>
      </w:r>
      <w:r w:rsidRPr="00936161">
        <w:rPr>
          <w:rFonts w:ascii="Times New Roman" w:hAnsi="Times New Roman" w:cs="Times New Roman"/>
          <w:lang w:val="en-GB"/>
        </w:rPr>
        <w:t xml:space="preserve">mean of </w:t>
      </w:r>
      <m:oMath>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loan</m:t>
            </m:r>
          </m:e>
          <m:sub>
            <m:r>
              <w:rPr>
                <w:rFonts w:ascii="Cambria Math" w:hAnsi="Cambria Math" w:cs="Times New Roman"/>
                <w:lang w:val="en-GB"/>
              </w:rPr>
              <m:t>it</m:t>
            </m:r>
          </m:sub>
        </m:sSub>
      </m:oMath>
      <w:r w:rsidRPr="00936161">
        <w:rPr>
          <w:rFonts w:ascii="Times New Roman" w:hAnsi="Times New Roman" w:cs="Times New Roman"/>
          <w:lang w:val="en-GB"/>
        </w:rPr>
        <w:t xml:space="preserve"> after winsorization  is 0.102. The mean of </w:t>
      </w:r>
      <m:oMath>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Deposit</m:t>
            </m:r>
          </m:e>
          <m:sub>
            <m:r>
              <w:rPr>
                <w:rFonts w:ascii="Cambria Math" w:hAnsi="Cambria Math" w:cs="Times New Roman"/>
                <w:lang w:val="en-GB"/>
              </w:rPr>
              <m:t>it</m:t>
            </m:r>
          </m:sub>
        </m:sSub>
      </m:oMath>
      <w:r w:rsidRPr="00936161">
        <w:rPr>
          <w:rFonts w:ascii="Times New Roman" w:hAnsi="Times New Roman" w:cs="Times New Roman"/>
          <w:lang w:val="en-GB"/>
        </w:rPr>
        <w:t xml:space="preserve"> after winsorization is 0.867.</w:t>
      </w:r>
    </w:p>
    <w:p w14:paraId="792C331E" w14:textId="77777777" w:rsidR="00AF6265" w:rsidRPr="00936161" w:rsidRDefault="00AF6265" w:rsidP="00F73AEA">
      <w:pPr>
        <w:pStyle w:val="EndnoteText"/>
        <w:jc w:val="both"/>
        <w:rPr>
          <w:rFonts w:ascii="Times New Roman" w:hAnsi="Times New Roman" w:cs="Times New Roman"/>
          <w:lang w:val="en-GB"/>
        </w:rPr>
      </w:pPr>
    </w:p>
  </w:endnote>
  <w:endnote w:id="8">
    <w:p w14:paraId="1C03CA5D" w14:textId="07561651" w:rsidR="00AF6265" w:rsidRPr="00936161" w:rsidRDefault="00AF6265" w:rsidP="00F73AEA">
      <w:pPr>
        <w:pStyle w:val="EndnoteText"/>
        <w:jc w:val="both"/>
        <w:rPr>
          <w:rFonts w:ascii="Times New Roman" w:hAnsi="Times New Roman" w:cs="Times New Roman"/>
          <w:lang w:val="en-GB"/>
        </w:rPr>
      </w:pPr>
      <w:r w:rsidRPr="00936161">
        <w:rPr>
          <w:rFonts w:ascii="Times New Roman" w:hAnsi="Times New Roman" w:cs="Times New Roman"/>
          <w:lang w:val="en-GB"/>
        </w:rPr>
        <w:endnoteRef/>
      </w:r>
      <w:r w:rsidRPr="00936161">
        <w:rPr>
          <w:rFonts w:ascii="Times New Roman" w:hAnsi="Times New Roman" w:cs="Times New Roman"/>
          <w:lang w:val="en-GB"/>
        </w:rPr>
        <w:t xml:space="preserve"> The data on the number of employees for each bank is provided by ABI, while the data on branches per bank is provided by the Bank of Italy.</w:t>
      </w:r>
    </w:p>
    <w:p w14:paraId="0CA2DDE5" w14:textId="77777777" w:rsidR="00AF6265" w:rsidRPr="00936161" w:rsidRDefault="00AF6265" w:rsidP="00F73AEA">
      <w:pPr>
        <w:pStyle w:val="EndnoteText"/>
        <w:jc w:val="both"/>
        <w:rPr>
          <w:rFonts w:ascii="Times New Roman" w:hAnsi="Times New Roman" w:cs="Times New Roman"/>
          <w:lang w:val="en-GB"/>
        </w:rPr>
      </w:pPr>
    </w:p>
  </w:endnote>
  <w:endnote w:id="9">
    <w:p w14:paraId="18E3EF7E" w14:textId="4453D460" w:rsidR="00AF6265" w:rsidRPr="00936161" w:rsidRDefault="00AF6265" w:rsidP="00F73AEA">
      <w:pPr>
        <w:pStyle w:val="FootnoteText"/>
        <w:ind w:left="284" w:hanging="284"/>
        <w:jc w:val="both"/>
        <w:rPr>
          <w:rFonts w:ascii="Times New Roman" w:hAnsi="Times New Roman" w:cs="Times New Roman"/>
          <w:lang w:val="en-GB" w:eastAsia="it-IT"/>
        </w:rPr>
      </w:pPr>
      <w:r w:rsidRPr="00936161">
        <w:rPr>
          <w:rFonts w:ascii="Times New Roman" w:hAnsi="Times New Roman" w:cs="Times New Roman"/>
          <w:lang w:val="en-GB" w:eastAsia="it-IT"/>
        </w:rPr>
        <w:endnoteRef/>
      </w:r>
      <w:r w:rsidRPr="00936161">
        <w:rPr>
          <w:rFonts w:ascii="Times New Roman" w:hAnsi="Times New Roman" w:cs="Times New Roman"/>
          <w:lang w:val="en-GB" w:eastAsia="it-IT"/>
        </w:rPr>
        <w:t xml:space="preserve"> In accordance with the classification of the Bank of Italy, we consider as medium and large banks those banks that have more than €9 billion in total assets.</w:t>
      </w:r>
    </w:p>
    <w:p w14:paraId="08031118" w14:textId="77777777" w:rsidR="00AF6265" w:rsidRPr="00936161" w:rsidRDefault="00AF6265" w:rsidP="00F73AEA">
      <w:pPr>
        <w:pStyle w:val="EndnoteText"/>
        <w:ind w:left="142" w:hanging="142"/>
        <w:jc w:val="both"/>
        <w:rPr>
          <w:rFonts w:ascii="Times New Roman" w:hAnsi="Times New Roman" w:cs="Times New Roman"/>
          <w:lang w:val="en-US" w:eastAsia="en-US"/>
        </w:rPr>
      </w:pPr>
    </w:p>
  </w:endnote>
  <w:endnote w:id="10">
    <w:p w14:paraId="4375233D" w14:textId="22E27DAE" w:rsidR="00AF6265" w:rsidRPr="00936161" w:rsidRDefault="00AF6265" w:rsidP="00F73AEA">
      <w:pPr>
        <w:jc w:val="both"/>
        <w:rPr>
          <w:rFonts w:ascii="Times New Roman" w:eastAsia="Times New Roman" w:hAnsi="Times New Roman" w:cs="Times New Roman"/>
          <w:sz w:val="20"/>
          <w:szCs w:val="20"/>
          <w:lang w:val="en-GB" w:eastAsia="en-GB"/>
        </w:rPr>
      </w:pPr>
      <w:r w:rsidRPr="00936161">
        <w:rPr>
          <w:rStyle w:val="EndnoteReference"/>
          <w:rFonts w:ascii="Times New Roman" w:hAnsi="Times New Roman" w:cs="Times New Roman"/>
          <w:sz w:val="20"/>
          <w:szCs w:val="20"/>
        </w:rPr>
        <w:endnoteRef/>
      </w:r>
      <w:r w:rsidRPr="00936161">
        <w:rPr>
          <w:rFonts w:ascii="Times New Roman" w:hAnsi="Times New Roman" w:cs="Times New Roman"/>
          <w:sz w:val="20"/>
          <w:szCs w:val="20"/>
        </w:rPr>
        <w:t xml:space="preserve"> </w:t>
      </w:r>
      <w:r w:rsidRPr="00936161">
        <w:rPr>
          <w:rFonts w:ascii="Times New Roman" w:eastAsia="Times New Roman" w:hAnsi="Times New Roman" w:cs="Times New Roman"/>
          <w:sz w:val="20"/>
          <w:szCs w:val="20"/>
          <w:lang w:val="en-GB" w:eastAsia="en-GB"/>
        </w:rPr>
        <w:t xml:space="preserve"> Pooled OLS assumes that banks are fully cost efficient (Koetter et al., 2012).</w:t>
      </w:r>
    </w:p>
    <w:p w14:paraId="11D3D2B0" w14:textId="543B4006" w:rsidR="00AF6265" w:rsidRDefault="00AF6265">
      <w:pPr>
        <w:pStyle w:val="EndnoteText"/>
        <w:rPr>
          <w:lang w:val="en-GB"/>
        </w:rPr>
      </w:pPr>
    </w:p>
    <w:p w14:paraId="1D810F0A" w14:textId="77777777" w:rsidR="00FB736C" w:rsidRDefault="00FB736C">
      <w:pPr>
        <w:pStyle w:val="EndnoteText"/>
        <w:rPr>
          <w:lang w:val="en-GB"/>
        </w:rPr>
      </w:pPr>
    </w:p>
    <w:p w14:paraId="7B2AAECC" w14:textId="77777777" w:rsidR="00FB736C" w:rsidRDefault="00FB736C">
      <w:pPr>
        <w:pStyle w:val="EndnoteText"/>
        <w:rPr>
          <w:lang w:val="en-GB"/>
        </w:rPr>
      </w:pPr>
    </w:p>
    <w:p w14:paraId="2F80C2D8" w14:textId="77777777" w:rsidR="00FB736C" w:rsidRDefault="00FB736C">
      <w:pPr>
        <w:pStyle w:val="EndnoteText"/>
        <w:rPr>
          <w:lang w:val="en-GB"/>
        </w:rPr>
      </w:pPr>
    </w:p>
    <w:p w14:paraId="79BFA052" w14:textId="77777777" w:rsidR="00FB736C" w:rsidRDefault="00FB736C">
      <w:pPr>
        <w:pStyle w:val="EndnoteText"/>
        <w:rPr>
          <w:lang w:val="en-GB"/>
        </w:rPr>
      </w:pPr>
    </w:p>
    <w:p w14:paraId="47767169" w14:textId="77777777" w:rsidR="00FB736C" w:rsidRDefault="00FB736C">
      <w:pPr>
        <w:pStyle w:val="EndnoteText"/>
        <w:rPr>
          <w:lang w:val="en-GB"/>
        </w:rPr>
      </w:pPr>
    </w:p>
    <w:p w14:paraId="25E99A4B" w14:textId="77777777" w:rsidR="00FB736C" w:rsidRDefault="00FB736C">
      <w:pPr>
        <w:pStyle w:val="EndnoteText"/>
        <w:rPr>
          <w:lang w:val="en-GB"/>
        </w:rPr>
      </w:pPr>
    </w:p>
    <w:p w14:paraId="0DD0FE39" w14:textId="77777777" w:rsidR="00FB736C" w:rsidRDefault="00FB736C">
      <w:pPr>
        <w:pStyle w:val="EndnoteText"/>
        <w:rPr>
          <w:lang w:val="en-GB"/>
        </w:rPr>
      </w:pPr>
    </w:p>
    <w:p w14:paraId="25B5956B" w14:textId="77777777" w:rsidR="00FB736C" w:rsidRDefault="00FB736C">
      <w:pPr>
        <w:pStyle w:val="EndnoteText"/>
        <w:rPr>
          <w:lang w:val="en-GB"/>
        </w:rPr>
      </w:pPr>
    </w:p>
    <w:p w14:paraId="4231F300" w14:textId="77777777" w:rsidR="00FB736C" w:rsidRDefault="00FB736C">
      <w:pPr>
        <w:pStyle w:val="EndnoteText"/>
        <w:rPr>
          <w:lang w:val="en-GB"/>
        </w:rPr>
      </w:pPr>
    </w:p>
    <w:p w14:paraId="11442BA2" w14:textId="77777777" w:rsidR="00FB736C" w:rsidRDefault="00FB736C">
      <w:pPr>
        <w:pStyle w:val="EndnoteText"/>
        <w:rPr>
          <w:lang w:val="en-GB"/>
        </w:rPr>
      </w:pPr>
    </w:p>
    <w:p w14:paraId="7F4A9727" w14:textId="77777777" w:rsidR="00FB736C" w:rsidRDefault="00FB736C">
      <w:pPr>
        <w:pStyle w:val="EndnoteText"/>
        <w:rPr>
          <w:lang w:val="en-GB"/>
        </w:rPr>
      </w:pPr>
    </w:p>
    <w:p w14:paraId="6B95A0F0" w14:textId="77777777" w:rsidR="00FB736C" w:rsidRDefault="00FB736C">
      <w:pPr>
        <w:pStyle w:val="EndnoteText"/>
        <w:rPr>
          <w:lang w:val="en-GB"/>
        </w:rPr>
      </w:pPr>
    </w:p>
    <w:p w14:paraId="664BF512" w14:textId="77777777" w:rsidR="00FB736C" w:rsidRDefault="00FB736C">
      <w:pPr>
        <w:pStyle w:val="EndnoteText"/>
        <w:rPr>
          <w:lang w:val="en-GB"/>
        </w:rPr>
      </w:pPr>
    </w:p>
    <w:p w14:paraId="0B05A44F" w14:textId="77777777" w:rsidR="00FB736C" w:rsidRDefault="00FB736C">
      <w:pPr>
        <w:pStyle w:val="EndnoteText"/>
        <w:rPr>
          <w:lang w:val="en-GB"/>
        </w:rPr>
      </w:pPr>
    </w:p>
    <w:p w14:paraId="727D2C55" w14:textId="77777777" w:rsidR="00FB736C" w:rsidRDefault="00FB736C">
      <w:pPr>
        <w:pStyle w:val="EndnoteText"/>
        <w:rPr>
          <w:lang w:val="en-GB"/>
        </w:rPr>
      </w:pPr>
    </w:p>
    <w:p w14:paraId="471ABD94" w14:textId="77777777" w:rsidR="00FB736C" w:rsidRDefault="00FB736C">
      <w:pPr>
        <w:pStyle w:val="EndnoteText"/>
        <w:rPr>
          <w:lang w:val="en-GB"/>
        </w:rPr>
      </w:pPr>
    </w:p>
    <w:p w14:paraId="67E7A49D" w14:textId="77777777" w:rsidR="00FB736C" w:rsidRDefault="00FB736C">
      <w:pPr>
        <w:pStyle w:val="EndnoteText"/>
        <w:rPr>
          <w:lang w:val="en-GB"/>
        </w:rPr>
      </w:pPr>
    </w:p>
    <w:p w14:paraId="3CA310AC" w14:textId="77777777" w:rsidR="00FB736C" w:rsidRDefault="00FB736C">
      <w:pPr>
        <w:pStyle w:val="EndnoteText"/>
        <w:rPr>
          <w:lang w:val="en-GB"/>
        </w:rPr>
      </w:pPr>
    </w:p>
    <w:p w14:paraId="56C37711" w14:textId="77777777" w:rsidR="00FB736C" w:rsidRDefault="00FB736C">
      <w:pPr>
        <w:pStyle w:val="EndnoteText"/>
        <w:rPr>
          <w:lang w:val="en-GB"/>
        </w:rPr>
      </w:pPr>
    </w:p>
    <w:p w14:paraId="68801ED1" w14:textId="77777777" w:rsidR="00FB736C" w:rsidRDefault="00FB736C">
      <w:pPr>
        <w:pStyle w:val="EndnoteText"/>
        <w:rPr>
          <w:lang w:val="en-GB"/>
        </w:rPr>
      </w:pPr>
    </w:p>
    <w:p w14:paraId="162B2B2B" w14:textId="77777777" w:rsidR="00FB736C" w:rsidRDefault="00FB736C">
      <w:pPr>
        <w:pStyle w:val="EndnoteText"/>
        <w:rPr>
          <w:lang w:val="en-GB"/>
        </w:rPr>
      </w:pPr>
    </w:p>
    <w:p w14:paraId="1123D209" w14:textId="77777777" w:rsidR="00FB736C" w:rsidRDefault="00FB736C">
      <w:pPr>
        <w:pStyle w:val="EndnoteText"/>
        <w:rPr>
          <w:lang w:val="en-GB"/>
        </w:rPr>
      </w:pPr>
    </w:p>
    <w:p w14:paraId="263D6CB3" w14:textId="77777777" w:rsidR="00FB736C" w:rsidRDefault="00FB736C">
      <w:pPr>
        <w:pStyle w:val="EndnoteText"/>
        <w:rPr>
          <w:lang w:val="en-GB"/>
        </w:rPr>
      </w:pPr>
    </w:p>
    <w:p w14:paraId="1D7FE92B" w14:textId="77777777" w:rsidR="00FB736C" w:rsidRDefault="00FB736C">
      <w:pPr>
        <w:pStyle w:val="EndnoteText"/>
        <w:rPr>
          <w:lang w:val="en-GB"/>
        </w:rPr>
      </w:pPr>
    </w:p>
    <w:p w14:paraId="4F20DDCD" w14:textId="77777777" w:rsidR="00FB736C" w:rsidRDefault="00FB736C">
      <w:pPr>
        <w:pStyle w:val="EndnoteText"/>
        <w:rPr>
          <w:lang w:val="en-GB"/>
        </w:rPr>
      </w:pPr>
    </w:p>
    <w:p w14:paraId="3AE9F0BE" w14:textId="77777777" w:rsidR="00FB736C" w:rsidRPr="00872223" w:rsidRDefault="00FB736C">
      <w:pPr>
        <w:pStyle w:val="EndnoteText"/>
        <w:rPr>
          <w:lang w:val="en-GB"/>
        </w:rPr>
      </w:pPr>
    </w:p>
  </w:endnote>
  <w:endnote w:id="11">
    <w:p w14:paraId="7F07D55B" w14:textId="77777777" w:rsidR="00FB736C" w:rsidRPr="00904D35" w:rsidRDefault="00FB736C" w:rsidP="00FB736C">
      <w:pPr>
        <w:pStyle w:val="EndnoteText"/>
        <w:rPr>
          <w:lang w:val="en-GB"/>
        </w:rPr>
      </w:pPr>
      <w:r>
        <w:rPr>
          <w:rStyle w:val="EndnoteReference"/>
        </w:rPr>
        <w:endnoteRef/>
      </w:r>
      <w:r>
        <w:t xml:space="preserve"> </w:t>
      </w:r>
      <w:r w:rsidRPr="00F90713">
        <w:rPr>
          <w:rFonts w:ascii="Times New Roman" w:hAnsi="Times New Roman" w:cs="Times New Roman"/>
          <w:lang w:val="en-GB"/>
        </w:rPr>
        <w:t>The mean is 0.046 and standard deviation is</w:t>
      </w:r>
      <w:r>
        <w:rPr>
          <w:rFonts w:ascii="Times New Roman" w:hAnsi="Times New Roman" w:cs="Times New Roman"/>
          <w:lang w:val="en-GB"/>
        </w:rPr>
        <w:t xml:space="preserve"> 0</w:t>
      </w:r>
      <w:r w:rsidRPr="00F90713">
        <w:rPr>
          <w:rFonts w:ascii="Times New Roman" w:hAnsi="Times New Roman" w:cs="Times New Roman"/>
          <w:lang w:val="en-GB"/>
        </w:rPr>
        <w:t xml:space="preserve">.039.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006752"/>
      <w:docPartObj>
        <w:docPartGallery w:val="Page Numbers (Bottom of Page)"/>
        <w:docPartUnique/>
      </w:docPartObj>
    </w:sdtPr>
    <w:sdtEndPr>
      <w:rPr>
        <w:noProof/>
      </w:rPr>
    </w:sdtEndPr>
    <w:sdtContent>
      <w:p w14:paraId="7EB51F1A" w14:textId="3939006C" w:rsidR="00AF6265" w:rsidRDefault="00AF6265">
        <w:pPr>
          <w:pStyle w:val="Footer"/>
          <w:jc w:val="right"/>
        </w:pPr>
        <w:r>
          <w:fldChar w:fldCharType="begin"/>
        </w:r>
        <w:r>
          <w:instrText xml:space="preserve"> PAGE   \* MERGEFORMAT </w:instrText>
        </w:r>
        <w:r>
          <w:fldChar w:fldCharType="separate"/>
        </w:r>
        <w:r w:rsidR="00BB5E64">
          <w:rPr>
            <w:noProof/>
          </w:rPr>
          <w:t>49</w:t>
        </w:r>
        <w:r>
          <w:rPr>
            <w:noProof/>
          </w:rPr>
          <w:fldChar w:fldCharType="end"/>
        </w:r>
      </w:p>
    </w:sdtContent>
  </w:sdt>
  <w:p w14:paraId="05771924" w14:textId="77777777" w:rsidR="00AF6265" w:rsidRDefault="00AF6265">
    <w:pPr>
      <w:pStyle w:val="Footer"/>
    </w:pPr>
  </w:p>
  <w:p w14:paraId="3251DD5F" w14:textId="77777777" w:rsidR="00AF6265" w:rsidRDefault="00AF62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86ED2" w14:textId="77777777" w:rsidR="007E22AB" w:rsidRDefault="007E22AB" w:rsidP="00852367">
      <w:pPr>
        <w:spacing w:after="0" w:line="240" w:lineRule="auto"/>
      </w:pPr>
      <w:r>
        <w:separator/>
      </w:r>
    </w:p>
  </w:footnote>
  <w:footnote w:type="continuationSeparator" w:id="0">
    <w:p w14:paraId="1538AA5F" w14:textId="77777777" w:rsidR="007E22AB" w:rsidRDefault="007E22AB" w:rsidP="00852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D1816"/>
    <w:multiLevelType w:val="multilevel"/>
    <w:tmpl w:val="928EED3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A3927C0"/>
    <w:multiLevelType w:val="multilevel"/>
    <w:tmpl w:val="1144BC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F46D85"/>
    <w:multiLevelType w:val="multilevel"/>
    <w:tmpl w:val="BEAA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C4608"/>
    <w:multiLevelType w:val="multilevel"/>
    <w:tmpl w:val="C29EAFA6"/>
    <w:lvl w:ilvl="0">
      <w:start w:val="1"/>
      <w:numFmt w:val="decimal"/>
      <w:lvlText w:val="%1."/>
      <w:lvlJc w:val="left"/>
      <w:pPr>
        <w:ind w:left="360" w:hanging="360"/>
      </w:pPr>
      <w:rPr>
        <w:rFonts w:hint="default"/>
        <w:b/>
        <w:bCs/>
      </w:rPr>
    </w:lvl>
    <w:lvl w:ilvl="1">
      <w:start w:val="2"/>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29A971C7"/>
    <w:multiLevelType w:val="hybridMultilevel"/>
    <w:tmpl w:val="AFB06A30"/>
    <w:lvl w:ilvl="0" w:tplc="0410000F">
      <w:start w:val="6"/>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BCA07B1"/>
    <w:multiLevelType w:val="hybridMultilevel"/>
    <w:tmpl w:val="2402C8DC"/>
    <w:lvl w:ilvl="0" w:tplc="785E5318">
      <w:start w:val="13"/>
      <w:numFmt w:val="bullet"/>
      <w:lvlText w:val=""/>
      <w:lvlJc w:val="left"/>
      <w:pPr>
        <w:ind w:left="720" w:hanging="360"/>
      </w:pPr>
      <w:rPr>
        <w:rFonts w:ascii="Symbol" w:eastAsia="Times New Roman" w:hAnsi="Symbol" w:cstheme="majorBid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B206D3"/>
    <w:multiLevelType w:val="hybridMultilevel"/>
    <w:tmpl w:val="9C34E5C6"/>
    <w:lvl w:ilvl="0" w:tplc="76E00C78">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3CC786B"/>
    <w:multiLevelType w:val="hybridMultilevel"/>
    <w:tmpl w:val="24CACE9E"/>
    <w:lvl w:ilvl="0" w:tplc="0410000F">
      <w:start w:val="5"/>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5583574C"/>
    <w:multiLevelType w:val="multilevel"/>
    <w:tmpl w:val="A648A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C56EA"/>
    <w:multiLevelType w:val="hybridMultilevel"/>
    <w:tmpl w:val="AF08720C"/>
    <w:lvl w:ilvl="0" w:tplc="0410000F">
      <w:start w:val="6"/>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FD115A2"/>
    <w:multiLevelType w:val="multilevel"/>
    <w:tmpl w:val="481485C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3D59AE"/>
    <w:multiLevelType w:val="multilevel"/>
    <w:tmpl w:val="47E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D27D1"/>
    <w:multiLevelType w:val="multilevel"/>
    <w:tmpl w:val="9274F0B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80F310C"/>
    <w:multiLevelType w:val="hybridMultilevel"/>
    <w:tmpl w:val="2EF492B6"/>
    <w:lvl w:ilvl="0" w:tplc="0410000F">
      <w:start w:val="7"/>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9"/>
  </w:num>
  <w:num w:numId="3">
    <w:abstractNumId w:val="7"/>
  </w:num>
  <w:num w:numId="4">
    <w:abstractNumId w:val="0"/>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1"/>
  </w:num>
  <w:num w:numId="9">
    <w:abstractNumId w:val="12"/>
  </w:num>
  <w:num w:numId="10">
    <w:abstractNumId w:val="10"/>
  </w:num>
  <w:num w:numId="11">
    <w:abstractNumId w:val="4"/>
  </w:num>
  <w:num w:numId="12">
    <w:abstractNumId w:val="5"/>
  </w:num>
  <w:num w:numId="13">
    <w:abstractNumId w:val="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0"/>
  <w:activeWritingStyle w:appName="MSWord" w:lang="pt-PT" w:vendorID="64" w:dllVersion="131078" w:nlCheck="1" w:checkStyle="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67"/>
    <w:rsid w:val="000013DD"/>
    <w:rsid w:val="00001A1A"/>
    <w:rsid w:val="000021F4"/>
    <w:rsid w:val="00004C68"/>
    <w:rsid w:val="000064C1"/>
    <w:rsid w:val="00014E55"/>
    <w:rsid w:val="0001506E"/>
    <w:rsid w:val="00023132"/>
    <w:rsid w:val="00026426"/>
    <w:rsid w:val="000264E6"/>
    <w:rsid w:val="00026D10"/>
    <w:rsid w:val="000301FC"/>
    <w:rsid w:val="00030CE1"/>
    <w:rsid w:val="000371B3"/>
    <w:rsid w:val="0003750D"/>
    <w:rsid w:val="00041DC4"/>
    <w:rsid w:val="00042AA3"/>
    <w:rsid w:val="00042E85"/>
    <w:rsid w:val="0004363F"/>
    <w:rsid w:val="00043DD3"/>
    <w:rsid w:val="00044A52"/>
    <w:rsid w:val="00046AD7"/>
    <w:rsid w:val="00050F58"/>
    <w:rsid w:val="000524FC"/>
    <w:rsid w:val="00053035"/>
    <w:rsid w:val="000556C9"/>
    <w:rsid w:val="000560B1"/>
    <w:rsid w:val="00061BF3"/>
    <w:rsid w:val="00062893"/>
    <w:rsid w:val="00063366"/>
    <w:rsid w:val="0006431B"/>
    <w:rsid w:val="000675E6"/>
    <w:rsid w:val="00067DBC"/>
    <w:rsid w:val="00070AA9"/>
    <w:rsid w:val="00070BB7"/>
    <w:rsid w:val="00071652"/>
    <w:rsid w:val="000722B3"/>
    <w:rsid w:val="00074D41"/>
    <w:rsid w:val="00075861"/>
    <w:rsid w:val="00075F43"/>
    <w:rsid w:val="00080ADC"/>
    <w:rsid w:val="00081F58"/>
    <w:rsid w:val="000827C2"/>
    <w:rsid w:val="00083269"/>
    <w:rsid w:val="00084EF6"/>
    <w:rsid w:val="00085632"/>
    <w:rsid w:val="00090757"/>
    <w:rsid w:val="00092016"/>
    <w:rsid w:val="00092BA3"/>
    <w:rsid w:val="00094100"/>
    <w:rsid w:val="00094A94"/>
    <w:rsid w:val="00096037"/>
    <w:rsid w:val="00097919"/>
    <w:rsid w:val="000A1727"/>
    <w:rsid w:val="000A237C"/>
    <w:rsid w:val="000A2788"/>
    <w:rsid w:val="000A5D58"/>
    <w:rsid w:val="000B18C0"/>
    <w:rsid w:val="000B1B8A"/>
    <w:rsid w:val="000B2CAC"/>
    <w:rsid w:val="000B3ABE"/>
    <w:rsid w:val="000B4784"/>
    <w:rsid w:val="000B48B2"/>
    <w:rsid w:val="000C020C"/>
    <w:rsid w:val="000C0F4C"/>
    <w:rsid w:val="000C124D"/>
    <w:rsid w:val="000C1368"/>
    <w:rsid w:val="000C357B"/>
    <w:rsid w:val="000C56E2"/>
    <w:rsid w:val="000C5FC3"/>
    <w:rsid w:val="000C7434"/>
    <w:rsid w:val="000C7C79"/>
    <w:rsid w:val="000D025D"/>
    <w:rsid w:val="000D06D4"/>
    <w:rsid w:val="000D0AB0"/>
    <w:rsid w:val="000D0EEC"/>
    <w:rsid w:val="000D153C"/>
    <w:rsid w:val="000D36F5"/>
    <w:rsid w:val="000D4495"/>
    <w:rsid w:val="000D4B9B"/>
    <w:rsid w:val="000E00B2"/>
    <w:rsid w:val="000E021B"/>
    <w:rsid w:val="000E3658"/>
    <w:rsid w:val="000F6DED"/>
    <w:rsid w:val="000F6F93"/>
    <w:rsid w:val="00102633"/>
    <w:rsid w:val="00102D28"/>
    <w:rsid w:val="001100D8"/>
    <w:rsid w:val="00112B3D"/>
    <w:rsid w:val="00113493"/>
    <w:rsid w:val="00116545"/>
    <w:rsid w:val="0012228F"/>
    <w:rsid w:val="00122CDC"/>
    <w:rsid w:val="00123DAE"/>
    <w:rsid w:val="0012446E"/>
    <w:rsid w:val="00124FCF"/>
    <w:rsid w:val="001252DA"/>
    <w:rsid w:val="00125D5D"/>
    <w:rsid w:val="00127839"/>
    <w:rsid w:val="00130018"/>
    <w:rsid w:val="001302B7"/>
    <w:rsid w:val="0013280A"/>
    <w:rsid w:val="001332D1"/>
    <w:rsid w:val="001333AA"/>
    <w:rsid w:val="001334D4"/>
    <w:rsid w:val="00133B12"/>
    <w:rsid w:val="00133D9A"/>
    <w:rsid w:val="0014117C"/>
    <w:rsid w:val="00141BF2"/>
    <w:rsid w:val="0014373D"/>
    <w:rsid w:val="00147FC5"/>
    <w:rsid w:val="0015110E"/>
    <w:rsid w:val="00153341"/>
    <w:rsid w:val="00156577"/>
    <w:rsid w:val="0015737A"/>
    <w:rsid w:val="001605DB"/>
    <w:rsid w:val="00160618"/>
    <w:rsid w:val="0016172F"/>
    <w:rsid w:val="00161C0F"/>
    <w:rsid w:val="00162993"/>
    <w:rsid w:val="001634B3"/>
    <w:rsid w:val="0016594B"/>
    <w:rsid w:val="00165FC3"/>
    <w:rsid w:val="001662FD"/>
    <w:rsid w:val="00170D34"/>
    <w:rsid w:val="001713FA"/>
    <w:rsid w:val="001715AC"/>
    <w:rsid w:val="00171C4F"/>
    <w:rsid w:val="00173276"/>
    <w:rsid w:val="00174468"/>
    <w:rsid w:val="00175346"/>
    <w:rsid w:val="00176EB0"/>
    <w:rsid w:val="00180EA1"/>
    <w:rsid w:val="0018111F"/>
    <w:rsid w:val="001812C7"/>
    <w:rsid w:val="0019258E"/>
    <w:rsid w:val="00192755"/>
    <w:rsid w:val="00192D5D"/>
    <w:rsid w:val="00193223"/>
    <w:rsid w:val="00195B8C"/>
    <w:rsid w:val="001A00C6"/>
    <w:rsid w:val="001A1220"/>
    <w:rsid w:val="001A2B9C"/>
    <w:rsid w:val="001A2C24"/>
    <w:rsid w:val="001A4888"/>
    <w:rsid w:val="001A50CE"/>
    <w:rsid w:val="001A6278"/>
    <w:rsid w:val="001B0144"/>
    <w:rsid w:val="001B059E"/>
    <w:rsid w:val="001B08DC"/>
    <w:rsid w:val="001B1B55"/>
    <w:rsid w:val="001B36AB"/>
    <w:rsid w:val="001B6B69"/>
    <w:rsid w:val="001B7C04"/>
    <w:rsid w:val="001C0322"/>
    <w:rsid w:val="001C2563"/>
    <w:rsid w:val="001C3011"/>
    <w:rsid w:val="001C3A91"/>
    <w:rsid w:val="001C6033"/>
    <w:rsid w:val="001C7125"/>
    <w:rsid w:val="001C7761"/>
    <w:rsid w:val="001D1AD1"/>
    <w:rsid w:val="001D2D93"/>
    <w:rsid w:val="001D5CEA"/>
    <w:rsid w:val="001E0250"/>
    <w:rsid w:val="001E1194"/>
    <w:rsid w:val="001E21FD"/>
    <w:rsid w:val="001E28AD"/>
    <w:rsid w:val="001E3CFF"/>
    <w:rsid w:val="001E4E58"/>
    <w:rsid w:val="001E53C7"/>
    <w:rsid w:val="001F0FAE"/>
    <w:rsid w:val="001F1D44"/>
    <w:rsid w:val="001F1D7C"/>
    <w:rsid w:val="001F2EA5"/>
    <w:rsid w:val="001F31F6"/>
    <w:rsid w:val="001F5D34"/>
    <w:rsid w:val="001F6F2F"/>
    <w:rsid w:val="002005D8"/>
    <w:rsid w:val="002022A4"/>
    <w:rsid w:val="00205655"/>
    <w:rsid w:val="00205836"/>
    <w:rsid w:val="00206CF4"/>
    <w:rsid w:val="002078E1"/>
    <w:rsid w:val="002109A5"/>
    <w:rsid w:val="00213965"/>
    <w:rsid w:val="00213DD7"/>
    <w:rsid w:val="00214956"/>
    <w:rsid w:val="002210AF"/>
    <w:rsid w:val="00222021"/>
    <w:rsid w:val="00224195"/>
    <w:rsid w:val="00224BAF"/>
    <w:rsid w:val="0023351C"/>
    <w:rsid w:val="002351D7"/>
    <w:rsid w:val="0023707C"/>
    <w:rsid w:val="00237203"/>
    <w:rsid w:val="0023736C"/>
    <w:rsid w:val="00237569"/>
    <w:rsid w:val="00240878"/>
    <w:rsid w:val="002413C6"/>
    <w:rsid w:val="002416AA"/>
    <w:rsid w:val="002422EA"/>
    <w:rsid w:val="00244397"/>
    <w:rsid w:val="002447E4"/>
    <w:rsid w:val="002462CC"/>
    <w:rsid w:val="00251A15"/>
    <w:rsid w:val="00251C3C"/>
    <w:rsid w:val="00253532"/>
    <w:rsid w:val="00253FCD"/>
    <w:rsid w:val="00254361"/>
    <w:rsid w:val="00254CEE"/>
    <w:rsid w:val="00256D97"/>
    <w:rsid w:val="002606DD"/>
    <w:rsid w:val="00260F17"/>
    <w:rsid w:val="00271236"/>
    <w:rsid w:val="0027191C"/>
    <w:rsid w:val="002743D1"/>
    <w:rsid w:val="00280D46"/>
    <w:rsid w:val="00281964"/>
    <w:rsid w:val="002828B7"/>
    <w:rsid w:val="00285F36"/>
    <w:rsid w:val="00286012"/>
    <w:rsid w:val="00286739"/>
    <w:rsid w:val="00286A1B"/>
    <w:rsid w:val="00290963"/>
    <w:rsid w:val="002947DC"/>
    <w:rsid w:val="00295654"/>
    <w:rsid w:val="002959B2"/>
    <w:rsid w:val="002A080D"/>
    <w:rsid w:val="002A2B30"/>
    <w:rsid w:val="002A5851"/>
    <w:rsid w:val="002A68ED"/>
    <w:rsid w:val="002B22B2"/>
    <w:rsid w:val="002B24C8"/>
    <w:rsid w:val="002B285A"/>
    <w:rsid w:val="002B444D"/>
    <w:rsid w:val="002B5B04"/>
    <w:rsid w:val="002B6598"/>
    <w:rsid w:val="002C4019"/>
    <w:rsid w:val="002C5FE7"/>
    <w:rsid w:val="002C70F2"/>
    <w:rsid w:val="002C7DDF"/>
    <w:rsid w:val="002D1458"/>
    <w:rsid w:val="002D28F6"/>
    <w:rsid w:val="002D4E9D"/>
    <w:rsid w:val="002D55B2"/>
    <w:rsid w:val="002D6557"/>
    <w:rsid w:val="002D71D1"/>
    <w:rsid w:val="002D75E8"/>
    <w:rsid w:val="002E4D3F"/>
    <w:rsid w:val="002E55E6"/>
    <w:rsid w:val="002E6702"/>
    <w:rsid w:val="002E68E9"/>
    <w:rsid w:val="002E6A16"/>
    <w:rsid w:val="002E6D87"/>
    <w:rsid w:val="002F0F0B"/>
    <w:rsid w:val="002F325A"/>
    <w:rsid w:val="002F3E1C"/>
    <w:rsid w:val="002F6209"/>
    <w:rsid w:val="002F6F77"/>
    <w:rsid w:val="00301DDD"/>
    <w:rsid w:val="00303044"/>
    <w:rsid w:val="00303689"/>
    <w:rsid w:val="003044EA"/>
    <w:rsid w:val="00304BBB"/>
    <w:rsid w:val="00304C1D"/>
    <w:rsid w:val="00305EB4"/>
    <w:rsid w:val="003062E2"/>
    <w:rsid w:val="0030667F"/>
    <w:rsid w:val="003103FE"/>
    <w:rsid w:val="00310CA7"/>
    <w:rsid w:val="003111E5"/>
    <w:rsid w:val="003114E3"/>
    <w:rsid w:val="003117A4"/>
    <w:rsid w:val="00311810"/>
    <w:rsid w:val="00311A2D"/>
    <w:rsid w:val="00311EC2"/>
    <w:rsid w:val="00313293"/>
    <w:rsid w:val="00313484"/>
    <w:rsid w:val="003164C8"/>
    <w:rsid w:val="00317F40"/>
    <w:rsid w:val="003213E0"/>
    <w:rsid w:val="00321FEE"/>
    <w:rsid w:val="00324DAF"/>
    <w:rsid w:val="00333904"/>
    <w:rsid w:val="00335B54"/>
    <w:rsid w:val="00335C8D"/>
    <w:rsid w:val="00337A5F"/>
    <w:rsid w:val="00340D1E"/>
    <w:rsid w:val="00340F4F"/>
    <w:rsid w:val="00341FEE"/>
    <w:rsid w:val="00351D7D"/>
    <w:rsid w:val="00353B3A"/>
    <w:rsid w:val="00354B2F"/>
    <w:rsid w:val="00356B4C"/>
    <w:rsid w:val="00360792"/>
    <w:rsid w:val="003634FC"/>
    <w:rsid w:val="003639B2"/>
    <w:rsid w:val="00363A25"/>
    <w:rsid w:val="00363CDE"/>
    <w:rsid w:val="00363ECE"/>
    <w:rsid w:val="00370C2B"/>
    <w:rsid w:val="003711CB"/>
    <w:rsid w:val="00372AB0"/>
    <w:rsid w:val="00373804"/>
    <w:rsid w:val="00374B31"/>
    <w:rsid w:val="00375242"/>
    <w:rsid w:val="003756DD"/>
    <w:rsid w:val="00375B6E"/>
    <w:rsid w:val="00381493"/>
    <w:rsid w:val="003826F6"/>
    <w:rsid w:val="003832DB"/>
    <w:rsid w:val="00383553"/>
    <w:rsid w:val="00384A4B"/>
    <w:rsid w:val="00387D32"/>
    <w:rsid w:val="00390521"/>
    <w:rsid w:val="003913D7"/>
    <w:rsid w:val="003916EB"/>
    <w:rsid w:val="003959AB"/>
    <w:rsid w:val="00397E25"/>
    <w:rsid w:val="003A3D02"/>
    <w:rsid w:val="003A4FAD"/>
    <w:rsid w:val="003A52AA"/>
    <w:rsid w:val="003A6AF8"/>
    <w:rsid w:val="003B00FD"/>
    <w:rsid w:val="003B3216"/>
    <w:rsid w:val="003B3886"/>
    <w:rsid w:val="003B5CD2"/>
    <w:rsid w:val="003C3350"/>
    <w:rsid w:val="003C4959"/>
    <w:rsid w:val="003C503E"/>
    <w:rsid w:val="003D2447"/>
    <w:rsid w:val="003D2A06"/>
    <w:rsid w:val="003D3AD9"/>
    <w:rsid w:val="003D6335"/>
    <w:rsid w:val="003D6CB1"/>
    <w:rsid w:val="003E2921"/>
    <w:rsid w:val="003E4F2F"/>
    <w:rsid w:val="003F17AC"/>
    <w:rsid w:val="003F1F25"/>
    <w:rsid w:val="003F3F88"/>
    <w:rsid w:val="003F4064"/>
    <w:rsid w:val="003F6037"/>
    <w:rsid w:val="00401220"/>
    <w:rsid w:val="00403205"/>
    <w:rsid w:val="0040530B"/>
    <w:rsid w:val="00405679"/>
    <w:rsid w:val="00405B78"/>
    <w:rsid w:val="004142D4"/>
    <w:rsid w:val="00416507"/>
    <w:rsid w:val="00417489"/>
    <w:rsid w:val="004207BB"/>
    <w:rsid w:val="00420C2C"/>
    <w:rsid w:val="00422035"/>
    <w:rsid w:val="00423694"/>
    <w:rsid w:val="00425AC7"/>
    <w:rsid w:val="00426CC7"/>
    <w:rsid w:val="0042732F"/>
    <w:rsid w:val="0043051A"/>
    <w:rsid w:val="00431D83"/>
    <w:rsid w:val="00433D09"/>
    <w:rsid w:val="00434686"/>
    <w:rsid w:val="00436153"/>
    <w:rsid w:val="00436401"/>
    <w:rsid w:val="0044017A"/>
    <w:rsid w:val="00443DC6"/>
    <w:rsid w:val="00454F26"/>
    <w:rsid w:val="00461B29"/>
    <w:rsid w:val="004635F1"/>
    <w:rsid w:val="00463F7F"/>
    <w:rsid w:val="00464A92"/>
    <w:rsid w:val="00464B96"/>
    <w:rsid w:val="00464FF5"/>
    <w:rsid w:val="004711F2"/>
    <w:rsid w:val="00471601"/>
    <w:rsid w:val="00471BB5"/>
    <w:rsid w:val="004750EE"/>
    <w:rsid w:val="00476BCF"/>
    <w:rsid w:val="004778CE"/>
    <w:rsid w:val="00482076"/>
    <w:rsid w:val="00482C16"/>
    <w:rsid w:val="0048335B"/>
    <w:rsid w:val="00483BF6"/>
    <w:rsid w:val="00483C75"/>
    <w:rsid w:val="00486EE7"/>
    <w:rsid w:val="004903BD"/>
    <w:rsid w:val="00490B87"/>
    <w:rsid w:val="00490CC1"/>
    <w:rsid w:val="00491344"/>
    <w:rsid w:val="0049245B"/>
    <w:rsid w:val="004924FC"/>
    <w:rsid w:val="00492D46"/>
    <w:rsid w:val="0049443F"/>
    <w:rsid w:val="00496EE5"/>
    <w:rsid w:val="00497325"/>
    <w:rsid w:val="004A2E8F"/>
    <w:rsid w:val="004A3CE4"/>
    <w:rsid w:val="004A411A"/>
    <w:rsid w:val="004A6315"/>
    <w:rsid w:val="004B2D38"/>
    <w:rsid w:val="004B369F"/>
    <w:rsid w:val="004B4382"/>
    <w:rsid w:val="004B44B7"/>
    <w:rsid w:val="004B4900"/>
    <w:rsid w:val="004B6682"/>
    <w:rsid w:val="004B6D0E"/>
    <w:rsid w:val="004B7E72"/>
    <w:rsid w:val="004C2CEB"/>
    <w:rsid w:val="004C43B0"/>
    <w:rsid w:val="004C6CFD"/>
    <w:rsid w:val="004D0DE2"/>
    <w:rsid w:val="004D12E8"/>
    <w:rsid w:val="004D179D"/>
    <w:rsid w:val="004D24D4"/>
    <w:rsid w:val="004D3435"/>
    <w:rsid w:val="004D7A5B"/>
    <w:rsid w:val="004E2050"/>
    <w:rsid w:val="004E280E"/>
    <w:rsid w:val="004E2E1C"/>
    <w:rsid w:val="004E5F50"/>
    <w:rsid w:val="004E6306"/>
    <w:rsid w:val="004E66AF"/>
    <w:rsid w:val="004E7E83"/>
    <w:rsid w:val="004F555C"/>
    <w:rsid w:val="004F580B"/>
    <w:rsid w:val="00500438"/>
    <w:rsid w:val="00500990"/>
    <w:rsid w:val="00502750"/>
    <w:rsid w:val="00502946"/>
    <w:rsid w:val="00504EAE"/>
    <w:rsid w:val="00505879"/>
    <w:rsid w:val="005067D8"/>
    <w:rsid w:val="00511859"/>
    <w:rsid w:val="0051246E"/>
    <w:rsid w:val="00512655"/>
    <w:rsid w:val="0052325A"/>
    <w:rsid w:val="00523893"/>
    <w:rsid w:val="00524414"/>
    <w:rsid w:val="00525F9E"/>
    <w:rsid w:val="00526105"/>
    <w:rsid w:val="00530F68"/>
    <w:rsid w:val="0053199B"/>
    <w:rsid w:val="005330C9"/>
    <w:rsid w:val="005341E1"/>
    <w:rsid w:val="005344FA"/>
    <w:rsid w:val="00535EEF"/>
    <w:rsid w:val="00536CD1"/>
    <w:rsid w:val="00537D34"/>
    <w:rsid w:val="00540D1C"/>
    <w:rsid w:val="0054113F"/>
    <w:rsid w:val="00545BD9"/>
    <w:rsid w:val="0054684B"/>
    <w:rsid w:val="00547E32"/>
    <w:rsid w:val="005521EC"/>
    <w:rsid w:val="0055749D"/>
    <w:rsid w:val="0055783C"/>
    <w:rsid w:val="00557F71"/>
    <w:rsid w:val="00560100"/>
    <w:rsid w:val="00560426"/>
    <w:rsid w:val="0056449A"/>
    <w:rsid w:val="00566934"/>
    <w:rsid w:val="0056728B"/>
    <w:rsid w:val="005674D7"/>
    <w:rsid w:val="0057129B"/>
    <w:rsid w:val="005723D9"/>
    <w:rsid w:val="00573B59"/>
    <w:rsid w:val="00576357"/>
    <w:rsid w:val="005774A7"/>
    <w:rsid w:val="00577DAB"/>
    <w:rsid w:val="005811D7"/>
    <w:rsid w:val="00581D0B"/>
    <w:rsid w:val="00581F61"/>
    <w:rsid w:val="00583B83"/>
    <w:rsid w:val="00585724"/>
    <w:rsid w:val="0058717F"/>
    <w:rsid w:val="0059024B"/>
    <w:rsid w:val="00591824"/>
    <w:rsid w:val="00591EBD"/>
    <w:rsid w:val="00593B45"/>
    <w:rsid w:val="005960EA"/>
    <w:rsid w:val="00596264"/>
    <w:rsid w:val="005964D4"/>
    <w:rsid w:val="00597BCA"/>
    <w:rsid w:val="005A263C"/>
    <w:rsid w:val="005A4B58"/>
    <w:rsid w:val="005A53DE"/>
    <w:rsid w:val="005A71A9"/>
    <w:rsid w:val="005A7E72"/>
    <w:rsid w:val="005B0EB7"/>
    <w:rsid w:val="005B5520"/>
    <w:rsid w:val="005B6F7C"/>
    <w:rsid w:val="005C19B6"/>
    <w:rsid w:val="005C6316"/>
    <w:rsid w:val="005C6CDE"/>
    <w:rsid w:val="005D6466"/>
    <w:rsid w:val="005E259E"/>
    <w:rsid w:val="005E2FF3"/>
    <w:rsid w:val="005E5A1A"/>
    <w:rsid w:val="005F201B"/>
    <w:rsid w:val="005F2612"/>
    <w:rsid w:val="005F3B0D"/>
    <w:rsid w:val="005F5C6B"/>
    <w:rsid w:val="005F6759"/>
    <w:rsid w:val="005F72A0"/>
    <w:rsid w:val="005F76A3"/>
    <w:rsid w:val="005F7FDB"/>
    <w:rsid w:val="006000FF"/>
    <w:rsid w:val="006010C6"/>
    <w:rsid w:val="006019B9"/>
    <w:rsid w:val="00601B90"/>
    <w:rsid w:val="0060437E"/>
    <w:rsid w:val="0060765A"/>
    <w:rsid w:val="0061136F"/>
    <w:rsid w:val="00613B93"/>
    <w:rsid w:val="00613FFA"/>
    <w:rsid w:val="00614E95"/>
    <w:rsid w:val="006174CD"/>
    <w:rsid w:val="00620035"/>
    <w:rsid w:val="00621FEB"/>
    <w:rsid w:val="00625AFD"/>
    <w:rsid w:val="006264D1"/>
    <w:rsid w:val="00631632"/>
    <w:rsid w:val="00631797"/>
    <w:rsid w:val="006367F1"/>
    <w:rsid w:val="006368C5"/>
    <w:rsid w:val="0063779D"/>
    <w:rsid w:val="00642067"/>
    <w:rsid w:val="00646DED"/>
    <w:rsid w:val="00647A3C"/>
    <w:rsid w:val="0065095C"/>
    <w:rsid w:val="00651354"/>
    <w:rsid w:val="00651966"/>
    <w:rsid w:val="0065602E"/>
    <w:rsid w:val="006563B7"/>
    <w:rsid w:val="00656AFD"/>
    <w:rsid w:val="0066087A"/>
    <w:rsid w:val="00660D03"/>
    <w:rsid w:val="00662012"/>
    <w:rsid w:val="00663527"/>
    <w:rsid w:val="00664B73"/>
    <w:rsid w:val="00670261"/>
    <w:rsid w:val="00671645"/>
    <w:rsid w:val="00673EB1"/>
    <w:rsid w:val="00676E17"/>
    <w:rsid w:val="006773ED"/>
    <w:rsid w:val="00681FEA"/>
    <w:rsid w:val="00682D8B"/>
    <w:rsid w:val="00684968"/>
    <w:rsid w:val="0068620B"/>
    <w:rsid w:val="0068779F"/>
    <w:rsid w:val="006918BA"/>
    <w:rsid w:val="006934E9"/>
    <w:rsid w:val="00694637"/>
    <w:rsid w:val="00695C3B"/>
    <w:rsid w:val="00696101"/>
    <w:rsid w:val="006963BF"/>
    <w:rsid w:val="00697A97"/>
    <w:rsid w:val="006A22A8"/>
    <w:rsid w:val="006A491D"/>
    <w:rsid w:val="006B0E6A"/>
    <w:rsid w:val="006B289A"/>
    <w:rsid w:val="006B4C8B"/>
    <w:rsid w:val="006C0404"/>
    <w:rsid w:val="006C5B7C"/>
    <w:rsid w:val="006C76D9"/>
    <w:rsid w:val="006D4A59"/>
    <w:rsid w:val="006E1B48"/>
    <w:rsid w:val="006E261B"/>
    <w:rsid w:val="006E6B53"/>
    <w:rsid w:val="006E7365"/>
    <w:rsid w:val="006F231D"/>
    <w:rsid w:val="006F247A"/>
    <w:rsid w:val="006F309F"/>
    <w:rsid w:val="006F353E"/>
    <w:rsid w:val="006F4038"/>
    <w:rsid w:val="006F417E"/>
    <w:rsid w:val="006F72D5"/>
    <w:rsid w:val="006F75F6"/>
    <w:rsid w:val="006F7BA6"/>
    <w:rsid w:val="00700CB3"/>
    <w:rsid w:val="00702D55"/>
    <w:rsid w:val="007056C2"/>
    <w:rsid w:val="007070FC"/>
    <w:rsid w:val="007102CA"/>
    <w:rsid w:val="00710754"/>
    <w:rsid w:val="00711788"/>
    <w:rsid w:val="00713883"/>
    <w:rsid w:val="00714FD9"/>
    <w:rsid w:val="00717ABD"/>
    <w:rsid w:val="00722EBD"/>
    <w:rsid w:val="00723700"/>
    <w:rsid w:val="00725C8C"/>
    <w:rsid w:val="007311FE"/>
    <w:rsid w:val="00731C18"/>
    <w:rsid w:val="00731C96"/>
    <w:rsid w:val="00731E23"/>
    <w:rsid w:val="007371D3"/>
    <w:rsid w:val="00740097"/>
    <w:rsid w:val="00740DB0"/>
    <w:rsid w:val="0074422C"/>
    <w:rsid w:val="00744F7E"/>
    <w:rsid w:val="00746596"/>
    <w:rsid w:val="00746EAF"/>
    <w:rsid w:val="007512FA"/>
    <w:rsid w:val="007533F0"/>
    <w:rsid w:val="0075492A"/>
    <w:rsid w:val="00754B86"/>
    <w:rsid w:val="00756B3B"/>
    <w:rsid w:val="007605A6"/>
    <w:rsid w:val="007620F1"/>
    <w:rsid w:val="00763FD8"/>
    <w:rsid w:val="0076454E"/>
    <w:rsid w:val="00764AEC"/>
    <w:rsid w:val="00766C11"/>
    <w:rsid w:val="007679E3"/>
    <w:rsid w:val="007717C4"/>
    <w:rsid w:val="007723B7"/>
    <w:rsid w:val="00773B27"/>
    <w:rsid w:val="00776E2A"/>
    <w:rsid w:val="00777F8B"/>
    <w:rsid w:val="007803E0"/>
    <w:rsid w:val="00783183"/>
    <w:rsid w:val="00785C00"/>
    <w:rsid w:val="0078704E"/>
    <w:rsid w:val="00790E0E"/>
    <w:rsid w:val="007939C2"/>
    <w:rsid w:val="00793A0D"/>
    <w:rsid w:val="00793D87"/>
    <w:rsid w:val="00794155"/>
    <w:rsid w:val="0079518A"/>
    <w:rsid w:val="007958C6"/>
    <w:rsid w:val="00796156"/>
    <w:rsid w:val="00796232"/>
    <w:rsid w:val="00796E8A"/>
    <w:rsid w:val="00797352"/>
    <w:rsid w:val="007A36AC"/>
    <w:rsid w:val="007A50A5"/>
    <w:rsid w:val="007B337A"/>
    <w:rsid w:val="007B446D"/>
    <w:rsid w:val="007B44D6"/>
    <w:rsid w:val="007B673C"/>
    <w:rsid w:val="007C1389"/>
    <w:rsid w:val="007C2E86"/>
    <w:rsid w:val="007C4946"/>
    <w:rsid w:val="007C68DE"/>
    <w:rsid w:val="007D15A9"/>
    <w:rsid w:val="007D1814"/>
    <w:rsid w:val="007D25F2"/>
    <w:rsid w:val="007D6A42"/>
    <w:rsid w:val="007D731A"/>
    <w:rsid w:val="007E0FE1"/>
    <w:rsid w:val="007E22AB"/>
    <w:rsid w:val="007E2FA9"/>
    <w:rsid w:val="007E44D6"/>
    <w:rsid w:val="007E4BF1"/>
    <w:rsid w:val="007E5EC9"/>
    <w:rsid w:val="007E7995"/>
    <w:rsid w:val="007F121B"/>
    <w:rsid w:val="007F1374"/>
    <w:rsid w:val="007F1B75"/>
    <w:rsid w:val="007F2544"/>
    <w:rsid w:val="007F472C"/>
    <w:rsid w:val="007F48AB"/>
    <w:rsid w:val="007F6CDE"/>
    <w:rsid w:val="007F7167"/>
    <w:rsid w:val="008008C3"/>
    <w:rsid w:val="00804569"/>
    <w:rsid w:val="00806A6E"/>
    <w:rsid w:val="00810C6D"/>
    <w:rsid w:val="00810D36"/>
    <w:rsid w:val="00813129"/>
    <w:rsid w:val="00813C05"/>
    <w:rsid w:val="008179FC"/>
    <w:rsid w:val="00821877"/>
    <w:rsid w:val="00822902"/>
    <w:rsid w:val="008249C0"/>
    <w:rsid w:val="00825D73"/>
    <w:rsid w:val="0082733B"/>
    <w:rsid w:val="00831F05"/>
    <w:rsid w:val="008340D8"/>
    <w:rsid w:val="0084008D"/>
    <w:rsid w:val="00843644"/>
    <w:rsid w:val="00843FD0"/>
    <w:rsid w:val="008444EE"/>
    <w:rsid w:val="0084454B"/>
    <w:rsid w:val="0084569F"/>
    <w:rsid w:val="00847490"/>
    <w:rsid w:val="008519AB"/>
    <w:rsid w:val="00852367"/>
    <w:rsid w:val="008523D4"/>
    <w:rsid w:val="00852CE3"/>
    <w:rsid w:val="008625E0"/>
    <w:rsid w:val="00862E4D"/>
    <w:rsid w:val="00863A3C"/>
    <w:rsid w:val="00864D06"/>
    <w:rsid w:val="00866C72"/>
    <w:rsid w:val="008715E8"/>
    <w:rsid w:val="00871D6B"/>
    <w:rsid w:val="00872223"/>
    <w:rsid w:val="00873B07"/>
    <w:rsid w:val="008775EF"/>
    <w:rsid w:val="00881157"/>
    <w:rsid w:val="0088230A"/>
    <w:rsid w:val="00882C28"/>
    <w:rsid w:val="00883FD5"/>
    <w:rsid w:val="0088644C"/>
    <w:rsid w:val="0088731F"/>
    <w:rsid w:val="008874B7"/>
    <w:rsid w:val="00887E93"/>
    <w:rsid w:val="00890B6F"/>
    <w:rsid w:val="008913C1"/>
    <w:rsid w:val="00891F3C"/>
    <w:rsid w:val="00892485"/>
    <w:rsid w:val="00894622"/>
    <w:rsid w:val="00895A9E"/>
    <w:rsid w:val="0089690A"/>
    <w:rsid w:val="008A59C6"/>
    <w:rsid w:val="008A7309"/>
    <w:rsid w:val="008B3053"/>
    <w:rsid w:val="008B695C"/>
    <w:rsid w:val="008C49B9"/>
    <w:rsid w:val="008C62AD"/>
    <w:rsid w:val="008D25FB"/>
    <w:rsid w:val="008D3E01"/>
    <w:rsid w:val="008D517D"/>
    <w:rsid w:val="008D69D6"/>
    <w:rsid w:val="008D7201"/>
    <w:rsid w:val="008E0458"/>
    <w:rsid w:val="008E0999"/>
    <w:rsid w:val="008E5BD9"/>
    <w:rsid w:val="008E7439"/>
    <w:rsid w:val="008F0135"/>
    <w:rsid w:val="008F1824"/>
    <w:rsid w:val="008F4CC8"/>
    <w:rsid w:val="008F6EC5"/>
    <w:rsid w:val="008F753E"/>
    <w:rsid w:val="009036F6"/>
    <w:rsid w:val="00903EF7"/>
    <w:rsid w:val="00904631"/>
    <w:rsid w:val="009068C4"/>
    <w:rsid w:val="00910971"/>
    <w:rsid w:val="0091261D"/>
    <w:rsid w:val="009147FA"/>
    <w:rsid w:val="00915075"/>
    <w:rsid w:val="00915426"/>
    <w:rsid w:val="00916986"/>
    <w:rsid w:val="00916DDF"/>
    <w:rsid w:val="009216C8"/>
    <w:rsid w:val="00921C75"/>
    <w:rsid w:val="00922924"/>
    <w:rsid w:val="009236F9"/>
    <w:rsid w:val="00923D8C"/>
    <w:rsid w:val="009241E0"/>
    <w:rsid w:val="0093086A"/>
    <w:rsid w:val="009353F8"/>
    <w:rsid w:val="00936161"/>
    <w:rsid w:val="00936D69"/>
    <w:rsid w:val="0094007D"/>
    <w:rsid w:val="00941C5A"/>
    <w:rsid w:val="009420E8"/>
    <w:rsid w:val="00945D14"/>
    <w:rsid w:val="00945D77"/>
    <w:rsid w:val="00951264"/>
    <w:rsid w:val="009512DA"/>
    <w:rsid w:val="00952857"/>
    <w:rsid w:val="00952BAF"/>
    <w:rsid w:val="00952CF9"/>
    <w:rsid w:val="00954AA0"/>
    <w:rsid w:val="00954B65"/>
    <w:rsid w:val="009562B5"/>
    <w:rsid w:val="00961ED4"/>
    <w:rsid w:val="009625C4"/>
    <w:rsid w:val="0096280D"/>
    <w:rsid w:val="00965B6D"/>
    <w:rsid w:val="00980E87"/>
    <w:rsid w:val="00981979"/>
    <w:rsid w:val="0098393A"/>
    <w:rsid w:val="00983CCB"/>
    <w:rsid w:val="009840A9"/>
    <w:rsid w:val="0098485C"/>
    <w:rsid w:val="00987B20"/>
    <w:rsid w:val="00991289"/>
    <w:rsid w:val="00991EC5"/>
    <w:rsid w:val="0099414A"/>
    <w:rsid w:val="009974A8"/>
    <w:rsid w:val="009A25F4"/>
    <w:rsid w:val="009A493D"/>
    <w:rsid w:val="009A5072"/>
    <w:rsid w:val="009A59D7"/>
    <w:rsid w:val="009A619E"/>
    <w:rsid w:val="009B310A"/>
    <w:rsid w:val="009B5F45"/>
    <w:rsid w:val="009C205A"/>
    <w:rsid w:val="009C30B9"/>
    <w:rsid w:val="009C539E"/>
    <w:rsid w:val="009C5F71"/>
    <w:rsid w:val="009C6441"/>
    <w:rsid w:val="009D4ED7"/>
    <w:rsid w:val="009D5A37"/>
    <w:rsid w:val="009E07E6"/>
    <w:rsid w:val="009E28DE"/>
    <w:rsid w:val="009E7F2B"/>
    <w:rsid w:val="009F5C34"/>
    <w:rsid w:val="009F5C7A"/>
    <w:rsid w:val="009F5F9D"/>
    <w:rsid w:val="00A00B6D"/>
    <w:rsid w:val="00A01548"/>
    <w:rsid w:val="00A03101"/>
    <w:rsid w:val="00A04AE2"/>
    <w:rsid w:val="00A0576D"/>
    <w:rsid w:val="00A05ECC"/>
    <w:rsid w:val="00A0640A"/>
    <w:rsid w:val="00A07FAB"/>
    <w:rsid w:val="00A1502A"/>
    <w:rsid w:val="00A2018C"/>
    <w:rsid w:val="00A23050"/>
    <w:rsid w:val="00A27BE5"/>
    <w:rsid w:val="00A354EC"/>
    <w:rsid w:val="00A35A79"/>
    <w:rsid w:val="00A36475"/>
    <w:rsid w:val="00A377A4"/>
    <w:rsid w:val="00A40996"/>
    <w:rsid w:val="00A41114"/>
    <w:rsid w:val="00A4159A"/>
    <w:rsid w:val="00A42814"/>
    <w:rsid w:val="00A44FE7"/>
    <w:rsid w:val="00A46AA8"/>
    <w:rsid w:val="00A5055A"/>
    <w:rsid w:val="00A51883"/>
    <w:rsid w:val="00A555DC"/>
    <w:rsid w:val="00A56413"/>
    <w:rsid w:val="00A564A8"/>
    <w:rsid w:val="00A57310"/>
    <w:rsid w:val="00A6049C"/>
    <w:rsid w:val="00A62D0B"/>
    <w:rsid w:val="00A638A4"/>
    <w:rsid w:val="00A648DC"/>
    <w:rsid w:val="00A65B08"/>
    <w:rsid w:val="00A665FB"/>
    <w:rsid w:val="00A67889"/>
    <w:rsid w:val="00A71030"/>
    <w:rsid w:val="00A713F9"/>
    <w:rsid w:val="00A722DC"/>
    <w:rsid w:val="00A72A14"/>
    <w:rsid w:val="00A73770"/>
    <w:rsid w:val="00A74327"/>
    <w:rsid w:val="00A757C4"/>
    <w:rsid w:val="00A76258"/>
    <w:rsid w:val="00A8025C"/>
    <w:rsid w:val="00A829BF"/>
    <w:rsid w:val="00A830AA"/>
    <w:rsid w:val="00A8368A"/>
    <w:rsid w:val="00A83EFC"/>
    <w:rsid w:val="00A83FD1"/>
    <w:rsid w:val="00A83FD9"/>
    <w:rsid w:val="00A85A48"/>
    <w:rsid w:val="00A87327"/>
    <w:rsid w:val="00A878B4"/>
    <w:rsid w:val="00A9110B"/>
    <w:rsid w:val="00A93B77"/>
    <w:rsid w:val="00A93DF7"/>
    <w:rsid w:val="00A95569"/>
    <w:rsid w:val="00A955BB"/>
    <w:rsid w:val="00A966B3"/>
    <w:rsid w:val="00AA107B"/>
    <w:rsid w:val="00AA1E5C"/>
    <w:rsid w:val="00AA24B4"/>
    <w:rsid w:val="00AA24C0"/>
    <w:rsid w:val="00AA27F0"/>
    <w:rsid w:val="00AA371C"/>
    <w:rsid w:val="00AA3C78"/>
    <w:rsid w:val="00AA534B"/>
    <w:rsid w:val="00AA5919"/>
    <w:rsid w:val="00AA7DE6"/>
    <w:rsid w:val="00AB2A66"/>
    <w:rsid w:val="00AB2C58"/>
    <w:rsid w:val="00AB457A"/>
    <w:rsid w:val="00AB6338"/>
    <w:rsid w:val="00AC6639"/>
    <w:rsid w:val="00AC745F"/>
    <w:rsid w:val="00AC7E5D"/>
    <w:rsid w:val="00AC7F4D"/>
    <w:rsid w:val="00AD0739"/>
    <w:rsid w:val="00AD09E5"/>
    <w:rsid w:val="00AD12EE"/>
    <w:rsid w:val="00AD6A51"/>
    <w:rsid w:val="00AE1777"/>
    <w:rsid w:val="00AE34C0"/>
    <w:rsid w:val="00AE36BD"/>
    <w:rsid w:val="00AE36C8"/>
    <w:rsid w:val="00AE580D"/>
    <w:rsid w:val="00AE6E03"/>
    <w:rsid w:val="00AF0F25"/>
    <w:rsid w:val="00AF16AC"/>
    <w:rsid w:val="00AF6265"/>
    <w:rsid w:val="00AF7044"/>
    <w:rsid w:val="00AF7694"/>
    <w:rsid w:val="00B008B2"/>
    <w:rsid w:val="00B02BED"/>
    <w:rsid w:val="00B037E0"/>
    <w:rsid w:val="00B03CBE"/>
    <w:rsid w:val="00B03FC6"/>
    <w:rsid w:val="00B07071"/>
    <w:rsid w:val="00B07F18"/>
    <w:rsid w:val="00B11256"/>
    <w:rsid w:val="00B1166D"/>
    <w:rsid w:val="00B14AFB"/>
    <w:rsid w:val="00B1679E"/>
    <w:rsid w:val="00B171C7"/>
    <w:rsid w:val="00B2003A"/>
    <w:rsid w:val="00B21CBC"/>
    <w:rsid w:val="00B21CF2"/>
    <w:rsid w:val="00B21D05"/>
    <w:rsid w:val="00B21DDD"/>
    <w:rsid w:val="00B239EF"/>
    <w:rsid w:val="00B25105"/>
    <w:rsid w:val="00B25DF0"/>
    <w:rsid w:val="00B26289"/>
    <w:rsid w:val="00B27548"/>
    <w:rsid w:val="00B30FE6"/>
    <w:rsid w:val="00B34268"/>
    <w:rsid w:val="00B35BD9"/>
    <w:rsid w:val="00B36CFB"/>
    <w:rsid w:val="00B43E26"/>
    <w:rsid w:val="00B441F4"/>
    <w:rsid w:val="00B445CA"/>
    <w:rsid w:val="00B46E3F"/>
    <w:rsid w:val="00B4705C"/>
    <w:rsid w:val="00B526CF"/>
    <w:rsid w:val="00B526E8"/>
    <w:rsid w:val="00B571DC"/>
    <w:rsid w:val="00B6491D"/>
    <w:rsid w:val="00B66424"/>
    <w:rsid w:val="00B70415"/>
    <w:rsid w:val="00B76A8A"/>
    <w:rsid w:val="00B76F4B"/>
    <w:rsid w:val="00B77C3D"/>
    <w:rsid w:val="00B802B4"/>
    <w:rsid w:val="00B80BF3"/>
    <w:rsid w:val="00B82061"/>
    <w:rsid w:val="00B82B77"/>
    <w:rsid w:val="00B8326A"/>
    <w:rsid w:val="00B863AE"/>
    <w:rsid w:val="00B94710"/>
    <w:rsid w:val="00B948B3"/>
    <w:rsid w:val="00B9784E"/>
    <w:rsid w:val="00BA0F2C"/>
    <w:rsid w:val="00BA31CC"/>
    <w:rsid w:val="00BA3D8B"/>
    <w:rsid w:val="00BA58B0"/>
    <w:rsid w:val="00BA6BCB"/>
    <w:rsid w:val="00BB077E"/>
    <w:rsid w:val="00BB29F1"/>
    <w:rsid w:val="00BB3AFC"/>
    <w:rsid w:val="00BB5684"/>
    <w:rsid w:val="00BB5E64"/>
    <w:rsid w:val="00BB778B"/>
    <w:rsid w:val="00BC121F"/>
    <w:rsid w:val="00BC4B39"/>
    <w:rsid w:val="00BC5322"/>
    <w:rsid w:val="00BD12C3"/>
    <w:rsid w:val="00BD18D8"/>
    <w:rsid w:val="00BD2B83"/>
    <w:rsid w:val="00BD42A3"/>
    <w:rsid w:val="00BD4E35"/>
    <w:rsid w:val="00BD51E5"/>
    <w:rsid w:val="00BD5342"/>
    <w:rsid w:val="00BD687A"/>
    <w:rsid w:val="00BD71B0"/>
    <w:rsid w:val="00BD7711"/>
    <w:rsid w:val="00BE062F"/>
    <w:rsid w:val="00BE474E"/>
    <w:rsid w:val="00BE4FD1"/>
    <w:rsid w:val="00BE73AB"/>
    <w:rsid w:val="00BE7CB5"/>
    <w:rsid w:val="00BF1ADB"/>
    <w:rsid w:val="00BF26B5"/>
    <w:rsid w:val="00BF5D37"/>
    <w:rsid w:val="00C00B95"/>
    <w:rsid w:val="00C04E4E"/>
    <w:rsid w:val="00C050AB"/>
    <w:rsid w:val="00C10424"/>
    <w:rsid w:val="00C1159C"/>
    <w:rsid w:val="00C14826"/>
    <w:rsid w:val="00C20FD1"/>
    <w:rsid w:val="00C21699"/>
    <w:rsid w:val="00C22E84"/>
    <w:rsid w:val="00C23657"/>
    <w:rsid w:val="00C236F6"/>
    <w:rsid w:val="00C24328"/>
    <w:rsid w:val="00C268F5"/>
    <w:rsid w:val="00C27140"/>
    <w:rsid w:val="00C3024F"/>
    <w:rsid w:val="00C30A2B"/>
    <w:rsid w:val="00C30CD9"/>
    <w:rsid w:val="00C3238C"/>
    <w:rsid w:val="00C34CFF"/>
    <w:rsid w:val="00C354CF"/>
    <w:rsid w:val="00C35F2F"/>
    <w:rsid w:val="00C402C3"/>
    <w:rsid w:val="00C42829"/>
    <w:rsid w:val="00C451F9"/>
    <w:rsid w:val="00C45530"/>
    <w:rsid w:val="00C4743F"/>
    <w:rsid w:val="00C47B4D"/>
    <w:rsid w:val="00C50E0A"/>
    <w:rsid w:val="00C517FA"/>
    <w:rsid w:val="00C51B5F"/>
    <w:rsid w:val="00C51CE7"/>
    <w:rsid w:val="00C52457"/>
    <w:rsid w:val="00C53A4B"/>
    <w:rsid w:val="00C56B49"/>
    <w:rsid w:val="00C62FD7"/>
    <w:rsid w:val="00C6363D"/>
    <w:rsid w:val="00C6530E"/>
    <w:rsid w:val="00C65D66"/>
    <w:rsid w:val="00C666D5"/>
    <w:rsid w:val="00C67526"/>
    <w:rsid w:val="00C70281"/>
    <w:rsid w:val="00C7035D"/>
    <w:rsid w:val="00C72E38"/>
    <w:rsid w:val="00C74F1D"/>
    <w:rsid w:val="00C7535E"/>
    <w:rsid w:val="00C81BAF"/>
    <w:rsid w:val="00C82E59"/>
    <w:rsid w:val="00C9400E"/>
    <w:rsid w:val="00C95CED"/>
    <w:rsid w:val="00C95CF2"/>
    <w:rsid w:val="00CA02F6"/>
    <w:rsid w:val="00CA2282"/>
    <w:rsid w:val="00CA232A"/>
    <w:rsid w:val="00CA282C"/>
    <w:rsid w:val="00CA2D03"/>
    <w:rsid w:val="00CA36D6"/>
    <w:rsid w:val="00CA38D1"/>
    <w:rsid w:val="00CA3F95"/>
    <w:rsid w:val="00CA459B"/>
    <w:rsid w:val="00CA559B"/>
    <w:rsid w:val="00CA5996"/>
    <w:rsid w:val="00CA773F"/>
    <w:rsid w:val="00CB1042"/>
    <w:rsid w:val="00CB1267"/>
    <w:rsid w:val="00CB1547"/>
    <w:rsid w:val="00CB6470"/>
    <w:rsid w:val="00CC4230"/>
    <w:rsid w:val="00CC50A8"/>
    <w:rsid w:val="00CC61FF"/>
    <w:rsid w:val="00CC7B1E"/>
    <w:rsid w:val="00CC7B23"/>
    <w:rsid w:val="00CD02F0"/>
    <w:rsid w:val="00CD2C76"/>
    <w:rsid w:val="00CD4EE0"/>
    <w:rsid w:val="00CD7669"/>
    <w:rsid w:val="00CD7ED0"/>
    <w:rsid w:val="00CE01E4"/>
    <w:rsid w:val="00CE24A4"/>
    <w:rsid w:val="00CE7A4B"/>
    <w:rsid w:val="00CF1FBA"/>
    <w:rsid w:val="00CF2EA5"/>
    <w:rsid w:val="00CF4ACD"/>
    <w:rsid w:val="00CF5E32"/>
    <w:rsid w:val="00CF77B3"/>
    <w:rsid w:val="00CF7D67"/>
    <w:rsid w:val="00D00450"/>
    <w:rsid w:val="00D02FAF"/>
    <w:rsid w:val="00D036B1"/>
    <w:rsid w:val="00D04073"/>
    <w:rsid w:val="00D117D5"/>
    <w:rsid w:val="00D12762"/>
    <w:rsid w:val="00D1529B"/>
    <w:rsid w:val="00D1628F"/>
    <w:rsid w:val="00D1649B"/>
    <w:rsid w:val="00D2135F"/>
    <w:rsid w:val="00D21A42"/>
    <w:rsid w:val="00D22125"/>
    <w:rsid w:val="00D24752"/>
    <w:rsid w:val="00D252EB"/>
    <w:rsid w:val="00D256A6"/>
    <w:rsid w:val="00D2650F"/>
    <w:rsid w:val="00D26F4A"/>
    <w:rsid w:val="00D27C9E"/>
    <w:rsid w:val="00D30890"/>
    <w:rsid w:val="00D377E4"/>
    <w:rsid w:val="00D4022E"/>
    <w:rsid w:val="00D41A8D"/>
    <w:rsid w:val="00D425D0"/>
    <w:rsid w:val="00D5002D"/>
    <w:rsid w:val="00D50C8C"/>
    <w:rsid w:val="00D569CA"/>
    <w:rsid w:val="00D57909"/>
    <w:rsid w:val="00D57A8F"/>
    <w:rsid w:val="00D61B03"/>
    <w:rsid w:val="00D61E3D"/>
    <w:rsid w:val="00D62502"/>
    <w:rsid w:val="00D64945"/>
    <w:rsid w:val="00D66772"/>
    <w:rsid w:val="00D677C8"/>
    <w:rsid w:val="00D73B3E"/>
    <w:rsid w:val="00D7478D"/>
    <w:rsid w:val="00D76465"/>
    <w:rsid w:val="00D80C02"/>
    <w:rsid w:val="00D82CE8"/>
    <w:rsid w:val="00D82F85"/>
    <w:rsid w:val="00D84234"/>
    <w:rsid w:val="00D85709"/>
    <w:rsid w:val="00D8574D"/>
    <w:rsid w:val="00D85A84"/>
    <w:rsid w:val="00D85E0B"/>
    <w:rsid w:val="00D86BC3"/>
    <w:rsid w:val="00D912E7"/>
    <w:rsid w:val="00D91D7A"/>
    <w:rsid w:val="00D930B3"/>
    <w:rsid w:val="00D94348"/>
    <w:rsid w:val="00D973E0"/>
    <w:rsid w:val="00D977F1"/>
    <w:rsid w:val="00DA0092"/>
    <w:rsid w:val="00DA213B"/>
    <w:rsid w:val="00DA2242"/>
    <w:rsid w:val="00DB0363"/>
    <w:rsid w:val="00DB283B"/>
    <w:rsid w:val="00DB3137"/>
    <w:rsid w:val="00DB35F4"/>
    <w:rsid w:val="00DB74A8"/>
    <w:rsid w:val="00DB7AF6"/>
    <w:rsid w:val="00DC6654"/>
    <w:rsid w:val="00DC6FF4"/>
    <w:rsid w:val="00DD33BB"/>
    <w:rsid w:val="00DD614C"/>
    <w:rsid w:val="00DD6B4E"/>
    <w:rsid w:val="00DD778D"/>
    <w:rsid w:val="00DE0344"/>
    <w:rsid w:val="00DE489B"/>
    <w:rsid w:val="00DE4F89"/>
    <w:rsid w:val="00DE5787"/>
    <w:rsid w:val="00DE6254"/>
    <w:rsid w:val="00DE7EBE"/>
    <w:rsid w:val="00DF1BCF"/>
    <w:rsid w:val="00DF2156"/>
    <w:rsid w:val="00DF2F04"/>
    <w:rsid w:val="00DF6CBD"/>
    <w:rsid w:val="00DF7708"/>
    <w:rsid w:val="00E04E77"/>
    <w:rsid w:val="00E07C8C"/>
    <w:rsid w:val="00E10EBE"/>
    <w:rsid w:val="00E11AE6"/>
    <w:rsid w:val="00E13585"/>
    <w:rsid w:val="00E14AA2"/>
    <w:rsid w:val="00E17D71"/>
    <w:rsid w:val="00E21AE4"/>
    <w:rsid w:val="00E23BEA"/>
    <w:rsid w:val="00E309C8"/>
    <w:rsid w:val="00E33E85"/>
    <w:rsid w:val="00E3407A"/>
    <w:rsid w:val="00E34407"/>
    <w:rsid w:val="00E3735A"/>
    <w:rsid w:val="00E3778C"/>
    <w:rsid w:val="00E41B09"/>
    <w:rsid w:val="00E41FCF"/>
    <w:rsid w:val="00E422F1"/>
    <w:rsid w:val="00E44ADB"/>
    <w:rsid w:val="00E44B4C"/>
    <w:rsid w:val="00E46EB9"/>
    <w:rsid w:val="00E50F9D"/>
    <w:rsid w:val="00E51266"/>
    <w:rsid w:val="00E52CDE"/>
    <w:rsid w:val="00E52F51"/>
    <w:rsid w:val="00E53EFE"/>
    <w:rsid w:val="00E552F0"/>
    <w:rsid w:val="00E56F35"/>
    <w:rsid w:val="00E60C46"/>
    <w:rsid w:val="00E61395"/>
    <w:rsid w:val="00E63282"/>
    <w:rsid w:val="00E7578A"/>
    <w:rsid w:val="00E759F5"/>
    <w:rsid w:val="00E76B19"/>
    <w:rsid w:val="00E77766"/>
    <w:rsid w:val="00E77FC0"/>
    <w:rsid w:val="00E807CB"/>
    <w:rsid w:val="00E80ACC"/>
    <w:rsid w:val="00E80D39"/>
    <w:rsid w:val="00E850EE"/>
    <w:rsid w:val="00E864B4"/>
    <w:rsid w:val="00E90ABC"/>
    <w:rsid w:val="00E90C05"/>
    <w:rsid w:val="00E92897"/>
    <w:rsid w:val="00E92F62"/>
    <w:rsid w:val="00E941E8"/>
    <w:rsid w:val="00EA021F"/>
    <w:rsid w:val="00EA15D9"/>
    <w:rsid w:val="00EA2A89"/>
    <w:rsid w:val="00EA2D5F"/>
    <w:rsid w:val="00EA321E"/>
    <w:rsid w:val="00EA5855"/>
    <w:rsid w:val="00EA6737"/>
    <w:rsid w:val="00EA683F"/>
    <w:rsid w:val="00EB17F1"/>
    <w:rsid w:val="00EB56E5"/>
    <w:rsid w:val="00EB74A8"/>
    <w:rsid w:val="00EC0312"/>
    <w:rsid w:val="00EC05EB"/>
    <w:rsid w:val="00EC06C1"/>
    <w:rsid w:val="00EC16EF"/>
    <w:rsid w:val="00EC4399"/>
    <w:rsid w:val="00EC72D8"/>
    <w:rsid w:val="00EC764C"/>
    <w:rsid w:val="00ED339C"/>
    <w:rsid w:val="00ED3F3F"/>
    <w:rsid w:val="00ED587B"/>
    <w:rsid w:val="00ED6396"/>
    <w:rsid w:val="00ED6BC3"/>
    <w:rsid w:val="00EE05BE"/>
    <w:rsid w:val="00EE22AD"/>
    <w:rsid w:val="00EE3D82"/>
    <w:rsid w:val="00EE4E51"/>
    <w:rsid w:val="00EE7640"/>
    <w:rsid w:val="00EF047E"/>
    <w:rsid w:val="00EF1BF4"/>
    <w:rsid w:val="00EF3941"/>
    <w:rsid w:val="00EF5CEA"/>
    <w:rsid w:val="00F00149"/>
    <w:rsid w:val="00F00E43"/>
    <w:rsid w:val="00F01380"/>
    <w:rsid w:val="00F0227A"/>
    <w:rsid w:val="00F0420B"/>
    <w:rsid w:val="00F0569D"/>
    <w:rsid w:val="00F13A32"/>
    <w:rsid w:val="00F13E97"/>
    <w:rsid w:val="00F158E7"/>
    <w:rsid w:val="00F16487"/>
    <w:rsid w:val="00F16BBE"/>
    <w:rsid w:val="00F21BBC"/>
    <w:rsid w:val="00F21E1A"/>
    <w:rsid w:val="00F22539"/>
    <w:rsid w:val="00F22E81"/>
    <w:rsid w:val="00F23CF1"/>
    <w:rsid w:val="00F25251"/>
    <w:rsid w:val="00F30277"/>
    <w:rsid w:val="00F30502"/>
    <w:rsid w:val="00F31D9B"/>
    <w:rsid w:val="00F320D8"/>
    <w:rsid w:val="00F36F8E"/>
    <w:rsid w:val="00F37CD3"/>
    <w:rsid w:val="00F47327"/>
    <w:rsid w:val="00F47B38"/>
    <w:rsid w:val="00F501D7"/>
    <w:rsid w:val="00F514BF"/>
    <w:rsid w:val="00F5159D"/>
    <w:rsid w:val="00F56129"/>
    <w:rsid w:val="00F63974"/>
    <w:rsid w:val="00F63C42"/>
    <w:rsid w:val="00F70441"/>
    <w:rsid w:val="00F70CA7"/>
    <w:rsid w:val="00F72484"/>
    <w:rsid w:val="00F7275B"/>
    <w:rsid w:val="00F73AEA"/>
    <w:rsid w:val="00F75E5F"/>
    <w:rsid w:val="00F765B4"/>
    <w:rsid w:val="00F81AB5"/>
    <w:rsid w:val="00F83729"/>
    <w:rsid w:val="00F84ADC"/>
    <w:rsid w:val="00F86A1D"/>
    <w:rsid w:val="00F8736B"/>
    <w:rsid w:val="00F87F5A"/>
    <w:rsid w:val="00F90713"/>
    <w:rsid w:val="00F9701C"/>
    <w:rsid w:val="00FA1134"/>
    <w:rsid w:val="00FA1295"/>
    <w:rsid w:val="00FA19C1"/>
    <w:rsid w:val="00FA2494"/>
    <w:rsid w:val="00FA68D4"/>
    <w:rsid w:val="00FB0076"/>
    <w:rsid w:val="00FB153B"/>
    <w:rsid w:val="00FB17FC"/>
    <w:rsid w:val="00FB1C11"/>
    <w:rsid w:val="00FB736C"/>
    <w:rsid w:val="00FC1A69"/>
    <w:rsid w:val="00FC23BC"/>
    <w:rsid w:val="00FC2B95"/>
    <w:rsid w:val="00FC308E"/>
    <w:rsid w:val="00FC3191"/>
    <w:rsid w:val="00FC4221"/>
    <w:rsid w:val="00FC6BD3"/>
    <w:rsid w:val="00FD0677"/>
    <w:rsid w:val="00FD371B"/>
    <w:rsid w:val="00FD4F2D"/>
    <w:rsid w:val="00FD5E62"/>
    <w:rsid w:val="00FE3778"/>
    <w:rsid w:val="00FE426B"/>
    <w:rsid w:val="00FE4EB8"/>
    <w:rsid w:val="00FE5C22"/>
    <w:rsid w:val="00FF06E8"/>
    <w:rsid w:val="00FF117C"/>
    <w:rsid w:val="00FF3EC8"/>
    <w:rsid w:val="00FF504C"/>
    <w:rsid w:val="00FF5B66"/>
    <w:rsid w:val="00FF63FD"/>
    <w:rsid w:val="00FF6C8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3515A7"/>
  <w15:docId w15:val="{C159DC5D-24B8-45C7-81D0-53F5E986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367"/>
    <w:rPr>
      <w:rFonts w:ascii="Calibri" w:eastAsia="PMingLiU" w:hAnsi="Calibri" w:cs="Calibri"/>
      <w:lang w:eastAsia="it-IT"/>
    </w:rPr>
  </w:style>
  <w:style w:type="paragraph" w:styleId="Heading1">
    <w:name w:val="heading 1"/>
    <w:basedOn w:val="Normal"/>
    <w:next w:val="Normal"/>
    <w:link w:val="Heading1Char"/>
    <w:uiPriority w:val="99"/>
    <w:qFormat/>
    <w:rsid w:val="00852367"/>
    <w:pPr>
      <w:keepNext/>
      <w:keepLines/>
      <w:spacing w:before="480" w:after="0"/>
      <w:outlineLvl w:val="0"/>
    </w:pPr>
    <w:rPr>
      <w:rFonts w:ascii="Cambria" w:hAnsi="Cambria" w:cs="Cambria"/>
      <w:b/>
      <w:bCs/>
      <w:color w:val="365F91"/>
      <w:sz w:val="28"/>
      <w:szCs w:val="28"/>
      <w:lang w:val="en-US" w:eastAsia="en-US"/>
    </w:rPr>
  </w:style>
  <w:style w:type="paragraph" w:styleId="Heading2">
    <w:name w:val="heading 2"/>
    <w:basedOn w:val="Normal"/>
    <w:link w:val="Heading2Char"/>
    <w:uiPriority w:val="99"/>
    <w:qFormat/>
    <w:rsid w:val="00852367"/>
    <w:pPr>
      <w:spacing w:before="30" w:after="30" w:line="240" w:lineRule="auto"/>
      <w:outlineLvl w:val="1"/>
    </w:pPr>
    <w:rPr>
      <w:rFonts w:cs="Times New Roman"/>
      <w:b/>
      <w:bCs/>
      <w:color w:val="000000"/>
      <w:sz w:val="27"/>
      <w:szCs w:val="27"/>
      <w:lang w:val="en-US"/>
    </w:rPr>
  </w:style>
  <w:style w:type="paragraph" w:styleId="Heading3">
    <w:name w:val="heading 3"/>
    <w:basedOn w:val="Normal"/>
    <w:next w:val="Normal"/>
    <w:link w:val="Heading3Char"/>
    <w:uiPriority w:val="99"/>
    <w:qFormat/>
    <w:rsid w:val="00852367"/>
    <w:pPr>
      <w:keepNext/>
      <w:keepLines/>
      <w:spacing w:before="200" w:after="0"/>
      <w:outlineLvl w:val="2"/>
    </w:pPr>
    <w:rPr>
      <w:rFonts w:ascii="Cambria" w:hAnsi="Cambria" w:cs="Cambria"/>
      <w:b/>
      <w:bCs/>
      <w:color w:val="4F81BD"/>
      <w:sz w:val="20"/>
      <w:szCs w:val="20"/>
      <w:lang w:val="en-US" w:eastAsia="en-US"/>
    </w:rPr>
  </w:style>
  <w:style w:type="paragraph" w:styleId="Heading6">
    <w:name w:val="heading 6"/>
    <w:basedOn w:val="Normal"/>
    <w:next w:val="Normal"/>
    <w:link w:val="Heading6Char"/>
    <w:uiPriority w:val="99"/>
    <w:qFormat/>
    <w:rsid w:val="00852367"/>
    <w:pPr>
      <w:keepNext/>
      <w:keepLines/>
      <w:spacing w:before="200" w:after="0"/>
      <w:outlineLvl w:val="5"/>
    </w:pPr>
    <w:rPr>
      <w:rFonts w:ascii="Cambria" w:hAnsi="Cambria" w:cs="Cambria"/>
      <w:i/>
      <w:iCs/>
      <w:color w:val="243F60"/>
      <w:sz w:val="20"/>
      <w:szCs w:val="20"/>
      <w:lang w:val="en-US" w:eastAsia="en-US"/>
    </w:rPr>
  </w:style>
  <w:style w:type="paragraph" w:styleId="Heading7">
    <w:name w:val="heading 7"/>
    <w:basedOn w:val="Normal"/>
    <w:next w:val="Normal"/>
    <w:link w:val="Heading7Char"/>
    <w:uiPriority w:val="99"/>
    <w:qFormat/>
    <w:rsid w:val="00852367"/>
    <w:pPr>
      <w:keepNext/>
      <w:keepLines/>
      <w:spacing w:before="200" w:after="0"/>
      <w:outlineLvl w:val="6"/>
    </w:pPr>
    <w:rPr>
      <w:rFonts w:ascii="Cambria" w:hAnsi="Cambria" w:cs="Cambria"/>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2367"/>
    <w:rPr>
      <w:rFonts w:ascii="Cambria" w:eastAsia="PMingLiU" w:hAnsi="Cambria" w:cs="Cambria"/>
      <w:b/>
      <w:bCs/>
      <w:color w:val="365F91"/>
      <w:sz w:val="28"/>
      <w:szCs w:val="28"/>
      <w:lang w:val="en-US" w:eastAsia="en-US"/>
    </w:rPr>
  </w:style>
  <w:style w:type="character" w:customStyle="1" w:styleId="Heading2Char">
    <w:name w:val="Heading 2 Char"/>
    <w:basedOn w:val="DefaultParagraphFont"/>
    <w:link w:val="Heading2"/>
    <w:uiPriority w:val="99"/>
    <w:rsid w:val="00852367"/>
    <w:rPr>
      <w:rFonts w:ascii="Calibri" w:eastAsia="PMingLiU" w:hAnsi="Calibri" w:cs="Times New Roman"/>
      <w:b/>
      <w:bCs/>
      <w:color w:val="000000"/>
      <w:sz w:val="27"/>
      <w:szCs w:val="27"/>
      <w:lang w:val="en-US" w:eastAsia="it-IT"/>
    </w:rPr>
  </w:style>
  <w:style w:type="character" w:customStyle="1" w:styleId="Heading3Char">
    <w:name w:val="Heading 3 Char"/>
    <w:basedOn w:val="DefaultParagraphFont"/>
    <w:link w:val="Heading3"/>
    <w:uiPriority w:val="99"/>
    <w:rsid w:val="00852367"/>
    <w:rPr>
      <w:rFonts w:ascii="Cambria" w:eastAsia="PMingLiU" w:hAnsi="Cambria" w:cs="Cambria"/>
      <w:b/>
      <w:bCs/>
      <w:color w:val="4F81BD"/>
      <w:sz w:val="20"/>
      <w:szCs w:val="20"/>
      <w:lang w:val="en-US" w:eastAsia="en-US"/>
    </w:rPr>
  </w:style>
  <w:style w:type="character" w:customStyle="1" w:styleId="Heading6Char">
    <w:name w:val="Heading 6 Char"/>
    <w:basedOn w:val="DefaultParagraphFont"/>
    <w:link w:val="Heading6"/>
    <w:uiPriority w:val="99"/>
    <w:rsid w:val="00852367"/>
    <w:rPr>
      <w:rFonts w:ascii="Cambria" w:eastAsia="PMingLiU" w:hAnsi="Cambria" w:cs="Cambria"/>
      <w:i/>
      <w:iCs/>
      <w:color w:val="243F60"/>
      <w:sz w:val="20"/>
      <w:szCs w:val="20"/>
      <w:lang w:val="en-US" w:eastAsia="en-US"/>
    </w:rPr>
  </w:style>
  <w:style w:type="character" w:customStyle="1" w:styleId="Heading7Char">
    <w:name w:val="Heading 7 Char"/>
    <w:basedOn w:val="DefaultParagraphFont"/>
    <w:link w:val="Heading7"/>
    <w:uiPriority w:val="99"/>
    <w:rsid w:val="00852367"/>
    <w:rPr>
      <w:rFonts w:ascii="Cambria" w:eastAsia="PMingLiU" w:hAnsi="Cambria" w:cs="Cambria"/>
      <w:i/>
      <w:iCs/>
      <w:color w:val="404040"/>
      <w:sz w:val="20"/>
      <w:szCs w:val="20"/>
      <w:lang w:val="en-US" w:eastAsia="en-US"/>
    </w:rPr>
  </w:style>
  <w:style w:type="paragraph" w:styleId="FootnoteText">
    <w:name w:val="footnote text"/>
    <w:basedOn w:val="Normal"/>
    <w:link w:val="FootnoteTextChar"/>
    <w:uiPriority w:val="99"/>
    <w:rsid w:val="00852367"/>
    <w:pPr>
      <w:spacing w:after="0" w:line="240" w:lineRule="auto"/>
    </w:pPr>
    <w:rPr>
      <w:sz w:val="20"/>
      <w:szCs w:val="20"/>
      <w:lang w:val="en-US" w:eastAsia="en-US"/>
    </w:rPr>
  </w:style>
  <w:style w:type="character" w:customStyle="1" w:styleId="FootnoteTextChar">
    <w:name w:val="Footnote Text Char"/>
    <w:basedOn w:val="DefaultParagraphFont"/>
    <w:link w:val="FootnoteText"/>
    <w:uiPriority w:val="99"/>
    <w:rsid w:val="00852367"/>
    <w:rPr>
      <w:rFonts w:ascii="Calibri" w:eastAsia="PMingLiU" w:hAnsi="Calibri" w:cs="Calibri"/>
      <w:sz w:val="20"/>
      <w:szCs w:val="20"/>
      <w:lang w:val="en-US" w:eastAsia="en-US"/>
    </w:rPr>
  </w:style>
  <w:style w:type="character" w:styleId="FootnoteReference">
    <w:name w:val="footnote reference"/>
    <w:basedOn w:val="DefaultParagraphFont"/>
    <w:uiPriority w:val="99"/>
    <w:rsid w:val="00852367"/>
    <w:rPr>
      <w:vertAlign w:val="superscript"/>
    </w:rPr>
  </w:style>
  <w:style w:type="paragraph" w:styleId="ListParagraph">
    <w:name w:val="List Paragraph"/>
    <w:basedOn w:val="Normal"/>
    <w:uiPriority w:val="34"/>
    <w:qFormat/>
    <w:rsid w:val="00852367"/>
    <w:pPr>
      <w:ind w:left="720"/>
      <w:contextualSpacing/>
    </w:pPr>
  </w:style>
  <w:style w:type="character" w:customStyle="1" w:styleId="CommentTextChar">
    <w:name w:val="Comment Text Char"/>
    <w:link w:val="CommentText"/>
    <w:uiPriority w:val="99"/>
    <w:semiHidden/>
    <w:rsid w:val="00852367"/>
    <w:rPr>
      <w:sz w:val="20"/>
      <w:szCs w:val="20"/>
      <w:lang w:val="en-GB"/>
    </w:rPr>
  </w:style>
  <w:style w:type="paragraph" w:styleId="CommentText">
    <w:name w:val="annotation text"/>
    <w:basedOn w:val="Normal"/>
    <w:link w:val="CommentTextChar"/>
    <w:uiPriority w:val="99"/>
    <w:semiHidden/>
    <w:rsid w:val="00852367"/>
    <w:pPr>
      <w:spacing w:line="240" w:lineRule="auto"/>
    </w:pPr>
    <w:rPr>
      <w:rFonts w:asciiTheme="minorHAnsi" w:eastAsiaTheme="minorEastAsia" w:hAnsiTheme="minorHAnsi" w:cstheme="minorBidi"/>
      <w:sz w:val="20"/>
      <w:szCs w:val="20"/>
      <w:lang w:val="en-GB" w:eastAsia="zh-CN"/>
    </w:rPr>
  </w:style>
  <w:style w:type="character" w:customStyle="1" w:styleId="CommentTextChar1">
    <w:name w:val="Comment Text Char1"/>
    <w:basedOn w:val="DefaultParagraphFont"/>
    <w:uiPriority w:val="99"/>
    <w:semiHidden/>
    <w:rsid w:val="00852367"/>
    <w:rPr>
      <w:rFonts w:ascii="Calibri" w:eastAsia="PMingLiU" w:hAnsi="Calibri" w:cs="Calibri"/>
      <w:sz w:val="20"/>
      <w:szCs w:val="20"/>
      <w:lang w:eastAsia="it-IT"/>
    </w:rPr>
  </w:style>
  <w:style w:type="paragraph" w:styleId="BalloonText">
    <w:name w:val="Balloon Text"/>
    <w:basedOn w:val="Normal"/>
    <w:link w:val="BalloonTextChar"/>
    <w:uiPriority w:val="99"/>
    <w:semiHidden/>
    <w:rsid w:val="00852367"/>
    <w:pPr>
      <w:spacing w:after="0" w:line="240" w:lineRule="auto"/>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852367"/>
    <w:rPr>
      <w:rFonts w:ascii="Tahoma" w:eastAsia="PMingLiU" w:hAnsi="Tahoma" w:cs="Tahoma"/>
      <w:sz w:val="16"/>
      <w:szCs w:val="16"/>
      <w:lang w:val="en-US" w:eastAsia="en-US"/>
    </w:rPr>
  </w:style>
  <w:style w:type="character" w:customStyle="1" w:styleId="shorttext">
    <w:name w:val="short_text"/>
    <w:basedOn w:val="DefaultParagraphFont"/>
    <w:uiPriority w:val="99"/>
    <w:rsid w:val="00852367"/>
  </w:style>
  <w:style w:type="character" w:customStyle="1" w:styleId="hps">
    <w:name w:val="hps"/>
    <w:basedOn w:val="DefaultParagraphFont"/>
    <w:uiPriority w:val="99"/>
    <w:rsid w:val="00852367"/>
  </w:style>
  <w:style w:type="table" w:styleId="TableGrid">
    <w:name w:val="Table Grid"/>
    <w:basedOn w:val="TableNormal"/>
    <w:uiPriority w:val="59"/>
    <w:rsid w:val="00852367"/>
    <w:pPr>
      <w:spacing w:after="0" w:line="240" w:lineRule="auto"/>
    </w:pPr>
    <w:rPr>
      <w:rFonts w:ascii="Calibri" w:eastAsia="PMingLiU" w:hAnsi="Calibri" w:cs="Calibri"/>
      <w:sz w:val="20"/>
      <w:szCs w:val="20"/>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1"/>
    <w:uiPriority w:val="99"/>
    <w:rsid w:val="00852367"/>
    <w:pPr>
      <w:spacing w:after="0" w:line="240" w:lineRule="auto"/>
      <w:ind w:firstLine="708"/>
      <w:jc w:val="center"/>
    </w:pPr>
    <w:rPr>
      <w:rFonts w:cs="Times New Roman"/>
      <w:b/>
      <w:bCs/>
      <w:sz w:val="28"/>
      <w:szCs w:val="28"/>
      <w:lang w:val="en-GB" w:eastAsia="en-US"/>
    </w:rPr>
  </w:style>
  <w:style w:type="character" w:customStyle="1" w:styleId="BodyText2Char1">
    <w:name w:val="Body Text 2 Char1"/>
    <w:link w:val="BodyText2"/>
    <w:uiPriority w:val="99"/>
    <w:rsid w:val="00852367"/>
    <w:rPr>
      <w:rFonts w:ascii="Calibri" w:eastAsia="PMingLiU" w:hAnsi="Calibri" w:cs="Times New Roman"/>
      <w:b/>
      <w:bCs/>
      <w:sz w:val="28"/>
      <w:szCs w:val="28"/>
      <w:lang w:val="en-GB" w:eastAsia="en-US"/>
    </w:rPr>
  </w:style>
  <w:style w:type="character" w:customStyle="1" w:styleId="BodyText2Char">
    <w:name w:val="Body Text 2 Char"/>
    <w:basedOn w:val="DefaultParagraphFont"/>
    <w:uiPriority w:val="99"/>
    <w:semiHidden/>
    <w:rsid w:val="00852367"/>
    <w:rPr>
      <w:rFonts w:ascii="Calibri" w:eastAsia="PMingLiU" w:hAnsi="Calibri" w:cs="Calibri"/>
      <w:lang w:eastAsia="it-IT"/>
    </w:rPr>
  </w:style>
  <w:style w:type="character" w:styleId="Hyperlink">
    <w:name w:val="Hyperlink"/>
    <w:basedOn w:val="DefaultParagraphFont"/>
    <w:uiPriority w:val="99"/>
    <w:rsid w:val="00852367"/>
    <w:rPr>
      <w:color w:val="0000FF"/>
      <w:u w:val="single"/>
    </w:rPr>
  </w:style>
  <w:style w:type="paragraph" w:customStyle="1" w:styleId="Default">
    <w:name w:val="Default"/>
    <w:rsid w:val="00852367"/>
    <w:pPr>
      <w:autoSpaceDE w:val="0"/>
      <w:autoSpaceDN w:val="0"/>
      <w:adjustRightInd w:val="0"/>
      <w:spacing w:after="0" w:line="240" w:lineRule="auto"/>
    </w:pPr>
    <w:rPr>
      <w:rFonts w:ascii="Code" w:eastAsia="PMingLiU" w:hAnsi="Code" w:cs="Code"/>
      <w:color w:val="000000"/>
      <w:sz w:val="24"/>
      <w:szCs w:val="24"/>
      <w:lang w:eastAsia="it-IT"/>
    </w:rPr>
  </w:style>
  <w:style w:type="paragraph" w:customStyle="1" w:styleId="Normale2">
    <w:name w:val="Normale2"/>
    <w:autoRedefine/>
    <w:uiPriority w:val="99"/>
    <w:rsid w:val="00852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pPr>
    <w:rPr>
      <w:rFonts w:ascii="Times New Roman" w:eastAsia="ヒラギノ角ゴ Pro W3" w:hAnsi="Times New Roman" w:cs="Times New Roman"/>
      <w:color w:val="000000"/>
      <w:sz w:val="24"/>
      <w:szCs w:val="24"/>
      <w:lang w:eastAsia="it-IT"/>
    </w:rPr>
  </w:style>
  <w:style w:type="character" w:customStyle="1" w:styleId="searchword">
    <w:name w:val="searchword"/>
    <w:basedOn w:val="DefaultParagraphFont"/>
    <w:uiPriority w:val="99"/>
    <w:rsid w:val="00852367"/>
  </w:style>
  <w:style w:type="paragraph" w:styleId="Caption">
    <w:name w:val="caption"/>
    <w:basedOn w:val="Normal"/>
    <w:next w:val="Normal"/>
    <w:uiPriority w:val="99"/>
    <w:qFormat/>
    <w:rsid w:val="00852367"/>
    <w:pPr>
      <w:spacing w:line="240" w:lineRule="auto"/>
    </w:pPr>
    <w:rPr>
      <w:b/>
      <w:bCs/>
      <w:color w:val="4F81BD"/>
      <w:sz w:val="18"/>
      <w:szCs w:val="18"/>
      <w:lang w:val="en-GB"/>
    </w:rPr>
  </w:style>
  <w:style w:type="character" w:customStyle="1" w:styleId="shorttext1">
    <w:name w:val="short_text1"/>
    <w:uiPriority w:val="99"/>
    <w:rsid w:val="00852367"/>
    <w:rPr>
      <w:sz w:val="33"/>
      <w:szCs w:val="33"/>
    </w:rPr>
  </w:style>
  <w:style w:type="character" w:customStyle="1" w:styleId="longtext1">
    <w:name w:val="long_text1"/>
    <w:uiPriority w:val="99"/>
    <w:rsid w:val="00852367"/>
    <w:rPr>
      <w:sz w:val="20"/>
      <w:szCs w:val="20"/>
    </w:rPr>
  </w:style>
  <w:style w:type="character" w:customStyle="1" w:styleId="mediumtext1">
    <w:name w:val="medium_text1"/>
    <w:uiPriority w:val="99"/>
    <w:rsid w:val="00852367"/>
    <w:rPr>
      <w:sz w:val="24"/>
      <w:szCs w:val="24"/>
    </w:rPr>
  </w:style>
  <w:style w:type="paragraph" w:styleId="NormalWeb">
    <w:name w:val="Normal (Web)"/>
    <w:basedOn w:val="Normal"/>
    <w:uiPriority w:val="99"/>
    <w:rsid w:val="00852367"/>
    <w:pPr>
      <w:spacing w:before="100" w:beforeAutospacing="1" w:after="100" w:afterAutospacing="1" w:line="240" w:lineRule="auto"/>
    </w:pPr>
    <w:rPr>
      <w:rFonts w:cs="Times New Roman"/>
      <w:sz w:val="24"/>
      <w:szCs w:val="24"/>
    </w:rPr>
  </w:style>
  <w:style w:type="character" w:customStyle="1" w:styleId="CommentSubjectChar">
    <w:name w:val="Comment Subject Char"/>
    <w:link w:val="CommentSubject"/>
    <w:uiPriority w:val="99"/>
    <w:semiHidden/>
    <w:rsid w:val="00852367"/>
    <w:rPr>
      <w:rFonts w:ascii="Calibri" w:eastAsia="Times New Roman" w:hAnsi="Calibri" w:cs="Calibri"/>
      <w:b/>
      <w:bCs/>
      <w:sz w:val="20"/>
      <w:szCs w:val="20"/>
      <w:lang w:val="en-GB"/>
    </w:rPr>
  </w:style>
  <w:style w:type="paragraph" w:styleId="CommentSubject">
    <w:name w:val="annotation subject"/>
    <w:basedOn w:val="CommentText"/>
    <w:next w:val="CommentText"/>
    <w:link w:val="CommentSubjectChar"/>
    <w:uiPriority w:val="99"/>
    <w:semiHidden/>
    <w:rsid w:val="00852367"/>
    <w:rPr>
      <w:rFonts w:ascii="Calibri" w:eastAsia="Times New Roman" w:hAnsi="Calibri" w:cs="Calibri"/>
      <w:b/>
      <w:bCs/>
    </w:rPr>
  </w:style>
  <w:style w:type="character" w:customStyle="1" w:styleId="CommentSubjectChar1">
    <w:name w:val="Comment Subject Char1"/>
    <w:basedOn w:val="CommentTextChar1"/>
    <w:uiPriority w:val="99"/>
    <w:semiHidden/>
    <w:rsid w:val="00852367"/>
    <w:rPr>
      <w:rFonts w:ascii="Calibri" w:eastAsia="PMingLiU" w:hAnsi="Calibri" w:cs="Calibri"/>
      <w:b/>
      <w:bCs/>
      <w:sz w:val="20"/>
      <w:szCs w:val="20"/>
      <w:lang w:eastAsia="it-IT"/>
    </w:rPr>
  </w:style>
  <w:style w:type="character" w:customStyle="1" w:styleId="SoggettocommentoCarattere1">
    <w:name w:val="Soggetto commento Carattere1"/>
    <w:uiPriority w:val="99"/>
    <w:semiHidden/>
    <w:rsid w:val="00852367"/>
    <w:rPr>
      <w:b/>
      <w:bCs/>
      <w:sz w:val="20"/>
      <w:szCs w:val="20"/>
      <w:lang w:val="en-GB"/>
    </w:rPr>
  </w:style>
  <w:style w:type="character" w:customStyle="1" w:styleId="HeaderChar">
    <w:name w:val="Header Char"/>
    <w:link w:val="Header"/>
    <w:uiPriority w:val="99"/>
    <w:rsid w:val="00852367"/>
    <w:rPr>
      <w:rFonts w:ascii="Calibri" w:eastAsia="Times New Roman" w:hAnsi="Calibri" w:cs="Calibri"/>
      <w:lang w:val="en-GB"/>
    </w:rPr>
  </w:style>
  <w:style w:type="paragraph" w:styleId="Header">
    <w:name w:val="header"/>
    <w:basedOn w:val="Normal"/>
    <w:link w:val="HeaderChar"/>
    <w:uiPriority w:val="99"/>
    <w:rsid w:val="00852367"/>
    <w:pPr>
      <w:tabs>
        <w:tab w:val="center" w:pos="4513"/>
        <w:tab w:val="right" w:pos="9026"/>
      </w:tabs>
      <w:spacing w:after="0" w:line="240" w:lineRule="auto"/>
    </w:pPr>
    <w:rPr>
      <w:rFonts w:eastAsia="Times New Roman"/>
      <w:lang w:val="en-GB" w:eastAsia="zh-CN"/>
    </w:rPr>
  </w:style>
  <w:style w:type="character" w:customStyle="1" w:styleId="HeaderChar1">
    <w:name w:val="Header Char1"/>
    <w:basedOn w:val="DefaultParagraphFont"/>
    <w:uiPriority w:val="99"/>
    <w:semiHidden/>
    <w:rsid w:val="00852367"/>
    <w:rPr>
      <w:rFonts w:ascii="Calibri" w:eastAsia="PMingLiU" w:hAnsi="Calibri" w:cs="Calibri"/>
      <w:lang w:eastAsia="it-IT"/>
    </w:rPr>
  </w:style>
  <w:style w:type="character" w:customStyle="1" w:styleId="IntestazioneCarattere1">
    <w:name w:val="Intestazione Carattere1"/>
    <w:basedOn w:val="DefaultParagraphFont"/>
    <w:uiPriority w:val="99"/>
    <w:semiHidden/>
    <w:rsid w:val="00852367"/>
  </w:style>
  <w:style w:type="paragraph" w:styleId="Footer">
    <w:name w:val="footer"/>
    <w:basedOn w:val="Normal"/>
    <w:link w:val="FooterChar"/>
    <w:uiPriority w:val="99"/>
    <w:rsid w:val="00852367"/>
    <w:pPr>
      <w:tabs>
        <w:tab w:val="center" w:pos="4513"/>
        <w:tab w:val="right" w:pos="9026"/>
      </w:tabs>
      <w:spacing w:after="0" w:line="240" w:lineRule="auto"/>
    </w:pPr>
    <w:rPr>
      <w:sz w:val="20"/>
      <w:szCs w:val="20"/>
      <w:lang w:val="en-GB" w:eastAsia="en-US"/>
    </w:rPr>
  </w:style>
  <w:style w:type="character" w:customStyle="1" w:styleId="FooterChar">
    <w:name w:val="Footer Char"/>
    <w:basedOn w:val="DefaultParagraphFont"/>
    <w:link w:val="Footer"/>
    <w:uiPriority w:val="99"/>
    <w:rsid w:val="00852367"/>
    <w:rPr>
      <w:rFonts w:ascii="Calibri" w:eastAsia="PMingLiU" w:hAnsi="Calibri" w:cs="Calibri"/>
      <w:sz w:val="20"/>
      <w:szCs w:val="20"/>
      <w:lang w:val="en-GB" w:eastAsia="en-US"/>
    </w:rPr>
  </w:style>
  <w:style w:type="paragraph" w:customStyle="1" w:styleId="ListParagraph1">
    <w:name w:val="List Paragraph1"/>
    <w:basedOn w:val="Normal"/>
    <w:uiPriority w:val="99"/>
    <w:rsid w:val="00852367"/>
    <w:pPr>
      <w:ind w:left="720"/>
      <w:contextualSpacing/>
    </w:pPr>
  </w:style>
  <w:style w:type="character" w:customStyle="1" w:styleId="WW8Num4z0">
    <w:name w:val="WW8Num4z0"/>
    <w:uiPriority w:val="99"/>
    <w:rsid w:val="00852367"/>
    <w:rPr>
      <w:b/>
      <w:bCs/>
      <w:sz w:val="20"/>
      <w:szCs w:val="20"/>
    </w:rPr>
  </w:style>
  <w:style w:type="character" w:customStyle="1" w:styleId="FootnoteCharacters">
    <w:name w:val="Footnote Characters"/>
    <w:uiPriority w:val="99"/>
    <w:rsid w:val="00852367"/>
    <w:rPr>
      <w:vertAlign w:val="superscript"/>
    </w:rPr>
  </w:style>
  <w:style w:type="paragraph" w:customStyle="1" w:styleId="Paragrafoelenco1">
    <w:name w:val="Paragrafo elenco1"/>
    <w:basedOn w:val="Normal"/>
    <w:uiPriority w:val="99"/>
    <w:rsid w:val="00852367"/>
    <w:pPr>
      <w:suppressAutoHyphens/>
      <w:spacing w:after="0" w:line="240" w:lineRule="auto"/>
      <w:ind w:left="720"/>
      <w:jc w:val="both"/>
    </w:pPr>
    <w:rPr>
      <w:rFonts w:cs="Times New Roman"/>
      <w:sz w:val="20"/>
      <w:szCs w:val="20"/>
      <w:lang w:val="en-US"/>
    </w:rPr>
  </w:style>
  <w:style w:type="character" w:customStyle="1" w:styleId="ff23">
    <w:name w:val="ff23"/>
    <w:uiPriority w:val="99"/>
    <w:rsid w:val="00852367"/>
    <w:rPr>
      <w:rFonts w:ascii="Arial" w:hAnsi="Arial" w:cs="Arial"/>
    </w:rPr>
  </w:style>
  <w:style w:type="paragraph" w:customStyle="1" w:styleId="articledetails">
    <w:name w:val="articledetails"/>
    <w:basedOn w:val="Normal"/>
    <w:uiPriority w:val="99"/>
    <w:rsid w:val="00852367"/>
    <w:pPr>
      <w:spacing w:before="100" w:beforeAutospacing="1" w:after="100" w:afterAutospacing="1" w:line="240" w:lineRule="auto"/>
    </w:pPr>
    <w:rPr>
      <w:rFonts w:cs="Times New Roman"/>
      <w:sz w:val="24"/>
      <w:szCs w:val="24"/>
    </w:rPr>
  </w:style>
  <w:style w:type="character" w:styleId="Strong">
    <w:name w:val="Strong"/>
    <w:basedOn w:val="DefaultParagraphFont"/>
    <w:uiPriority w:val="22"/>
    <w:qFormat/>
    <w:rsid w:val="00852367"/>
    <w:rPr>
      <w:b/>
      <w:bCs/>
    </w:rPr>
  </w:style>
  <w:style w:type="character" w:customStyle="1" w:styleId="a">
    <w:name w:val="a"/>
    <w:basedOn w:val="DefaultParagraphFont"/>
    <w:uiPriority w:val="99"/>
    <w:rsid w:val="00852367"/>
  </w:style>
  <w:style w:type="paragraph" w:styleId="TOCHeading">
    <w:name w:val="TOC Heading"/>
    <w:basedOn w:val="Heading1"/>
    <w:next w:val="Normal"/>
    <w:uiPriority w:val="99"/>
    <w:qFormat/>
    <w:rsid w:val="00852367"/>
    <w:pPr>
      <w:outlineLvl w:val="9"/>
    </w:pPr>
  </w:style>
  <w:style w:type="paragraph" w:styleId="TOC2">
    <w:name w:val="toc 2"/>
    <w:basedOn w:val="Normal"/>
    <w:next w:val="Normal"/>
    <w:autoRedefine/>
    <w:uiPriority w:val="99"/>
    <w:semiHidden/>
    <w:rsid w:val="00852367"/>
    <w:pPr>
      <w:spacing w:after="100"/>
    </w:pPr>
    <w:rPr>
      <w:rFonts w:cs="Times New Roman"/>
      <w:b/>
      <w:bCs/>
      <w:color w:val="000000"/>
      <w:sz w:val="20"/>
      <w:szCs w:val="20"/>
      <w:lang w:val="en-US"/>
    </w:rPr>
  </w:style>
  <w:style w:type="paragraph" w:styleId="TOC1">
    <w:name w:val="toc 1"/>
    <w:basedOn w:val="Normal"/>
    <w:next w:val="Normal"/>
    <w:autoRedefine/>
    <w:uiPriority w:val="99"/>
    <w:semiHidden/>
    <w:rsid w:val="00852367"/>
    <w:pPr>
      <w:spacing w:after="100"/>
    </w:pPr>
  </w:style>
  <w:style w:type="paragraph" w:styleId="TOC3">
    <w:name w:val="toc 3"/>
    <w:basedOn w:val="Normal"/>
    <w:next w:val="Normal"/>
    <w:autoRedefine/>
    <w:uiPriority w:val="99"/>
    <w:semiHidden/>
    <w:rsid w:val="00852367"/>
    <w:pPr>
      <w:spacing w:after="100"/>
    </w:pPr>
    <w:rPr>
      <w:rFonts w:cs="Times New Roman"/>
      <w:b/>
      <w:bCs/>
      <w:color w:val="000000"/>
      <w:sz w:val="20"/>
      <w:szCs w:val="20"/>
      <w:lang w:val="en-US"/>
    </w:rPr>
  </w:style>
  <w:style w:type="character" w:customStyle="1" w:styleId="apple-style-span">
    <w:name w:val="apple-style-span"/>
    <w:basedOn w:val="DefaultParagraphFont"/>
    <w:uiPriority w:val="99"/>
    <w:rsid w:val="00852367"/>
  </w:style>
  <w:style w:type="character" w:customStyle="1" w:styleId="apple-converted-space">
    <w:name w:val="apple-converted-space"/>
    <w:basedOn w:val="DefaultParagraphFont"/>
    <w:rsid w:val="00852367"/>
  </w:style>
  <w:style w:type="character" w:styleId="Emphasis">
    <w:name w:val="Emphasis"/>
    <w:basedOn w:val="DefaultParagraphFont"/>
    <w:uiPriority w:val="20"/>
    <w:qFormat/>
    <w:rsid w:val="00852367"/>
    <w:rPr>
      <w:i/>
      <w:iCs/>
    </w:rPr>
  </w:style>
  <w:style w:type="character" w:styleId="PlaceholderText">
    <w:name w:val="Placeholder Text"/>
    <w:basedOn w:val="DefaultParagraphFont"/>
    <w:uiPriority w:val="99"/>
    <w:semiHidden/>
    <w:rsid w:val="00852367"/>
    <w:rPr>
      <w:color w:val="808080"/>
    </w:rPr>
  </w:style>
  <w:style w:type="paragraph" w:styleId="Revision">
    <w:name w:val="Revision"/>
    <w:hidden/>
    <w:uiPriority w:val="99"/>
    <w:semiHidden/>
    <w:rsid w:val="00852367"/>
    <w:pPr>
      <w:spacing w:after="0" w:line="240" w:lineRule="auto"/>
    </w:pPr>
    <w:rPr>
      <w:rFonts w:ascii="Calibri" w:eastAsia="PMingLiU" w:hAnsi="Calibri" w:cs="Calibri"/>
      <w:lang w:eastAsia="it-IT"/>
    </w:rPr>
  </w:style>
  <w:style w:type="character" w:styleId="CommentReference">
    <w:name w:val="annotation reference"/>
    <w:basedOn w:val="DefaultParagraphFont"/>
    <w:uiPriority w:val="99"/>
    <w:semiHidden/>
    <w:rsid w:val="00852367"/>
    <w:rPr>
      <w:sz w:val="16"/>
      <w:szCs w:val="16"/>
    </w:rPr>
  </w:style>
  <w:style w:type="character" w:styleId="HTMLCite">
    <w:name w:val="HTML Cite"/>
    <w:basedOn w:val="DefaultParagraphFont"/>
    <w:uiPriority w:val="99"/>
    <w:semiHidden/>
    <w:rsid w:val="00852367"/>
    <w:rPr>
      <w:i/>
      <w:iCs/>
    </w:rPr>
  </w:style>
  <w:style w:type="paragraph" w:styleId="EndnoteText">
    <w:name w:val="endnote text"/>
    <w:basedOn w:val="Normal"/>
    <w:link w:val="EndnoteTextChar"/>
    <w:uiPriority w:val="99"/>
    <w:semiHidden/>
    <w:rsid w:val="008523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2367"/>
    <w:rPr>
      <w:rFonts w:ascii="Calibri" w:eastAsia="PMingLiU" w:hAnsi="Calibri" w:cs="Calibri"/>
      <w:sz w:val="20"/>
      <w:szCs w:val="20"/>
      <w:lang w:eastAsia="it-IT"/>
    </w:rPr>
  </w:style>
  <w:style w:type="character" w:styleId="EndnoteReference">
    <w:name w:val="endnote reference"/>
    <w:basedOn w:val="DefaultParagraphFont"/>
    <w:uiPriority w:val="99"/>
    <w:semiHidden/>
    <w:rsid w:val="00852367"/>
    <w:rPr>
      <w:vertAlign w:val="superscript"/>
    </w:rPr>
  </w:style>
  <w:style w:type="paragraph" w:customStyle="1" w:styleId="Standard">
    <w:name w:val="Standard"/>
    <w:uiPriority w:val="99"/>
    <w:rsid w:val="00852367"/>
    <w:pPr>
      <w:suppressAutoHyphens/>
      <w:autoSpaceDN w:val="0"/>
      <w:textAlignment w:val="baseline"/>
    </w:pPr>
    <w:rPr>
      <w:rFonts w:ascii="Calibri" w:eastAsia="PMingLiU" w:hAnsi="Calibri" w:cs="Calibri"/>
      <w:kern w:val="3"/>
      <w:lang w:val="en-US" w:eastAsia="en-US"/>
    </w:rPr>
  </w:style>
  <w:style w:type="table" w:customStyle="1" w:styleId="LightList1">
    <w:name w:val="Light List1"/>
    <w:uiPriority w:val="99"/>
    <w:rsid w:val="00852367"/>
    <w:pPr>
      <w:spacing w:after="0" w:line="240" w:lineRule="auto"/>
    </w:pPr>
    <w:rPr>
      <w:rFonts w:ascii="Calibri" w:eastAsia="PMingLiU" w:hAnsi="Calibri" w:cs="Calibri"/>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uiPriority w:val="99"/>
    <w:rsid w:val="00852367"/>
    <w:pPr>
      <w:spacing w:after="0" w:line="240" w:lineRule="auto"/>
    </w:pPr>
    <w:rPr>
      <w:rFonts w:ascii="Calibri" w:eastAsia="PMingLiU" w:hAnsi="Calibri" w:cs="Calibri"/>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Normal"/>
    <w:uiPriority w:val="99"/>
    <w:rsid w:val="00852367"/>
    <w:pPr>
      <w:spacing w:after="0" w:line="240" w:lineRule="auto"/>
    </w:pPr>
    <w:rPr>
      <w:rFonts w:ascii="Calibri" w:eastAsia="PMingLiU" w:hAnsi="Calibri" w:cs="Calibri"/>
      <w:color w:val="E36C0A"/>
      <w:sz w:val="20"/>
      <w:szCs w:val="20"/>
      <w:lang w:val="en-GB" w:eastAsia="en-GB"/>
    </w:rPr>
    <w:tblPr>
      <w:tblStyleRowBandSize w:val="1"/>
      <w:tblStyleColBandSize w:val="1"/>
      <w:tblBorders>
        <w:top w:val="single" w:sz="8" w:space="0" w:color="F79646"/>
        <w:bottom w:val="single" w:sz="8" w:space="0" w:color="F79646"/>
      </w:tblBorders>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2">
    <w:name w:val="Light Shading2"/>
    <w:basedOn w:val="TableNormal"/>
    <w:uiPriority w:val="99"/>
    <w:rsid w:val="00852367"/>
    <w:pPr>
      <w:spacing w:after="0" w:line="240" w:lineRule="auto"/>
    </w:pPr>
    <w:rPr>
      <w:rFonts w:ascii="Calibri" w:eastAsia="PMingLiU" w:hAnsi="Calibri" w:cs="Calibri"/>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estonotaapidipaginaCarattere">
    <w:name w:val="Testo nota a piè di pagina Carattere"/>
    <w:uiPriority w:val="99"/>
    <w:rsid w:val="00852367"/>
    <w:rPr>
      <w:sz w:val="20"/>
      <w:szCs w:val="20"/>
    </w:rPr>
  </w:style>
  <w:style w:type="character" w:customStyle="1" w:styleId="name">
    <w:name w:val="name"/>
    <w:basedOn w:val="DefaultParagraphFont"/>
    <w:rsid w:val="00852367"/>
  </w:style>
  <w:style w:type="character" w:customStyle="1" w:styleId="st1">
    <w:name w:val="st1"/>
    <w:basedOn w:val="DefaultParagraphFont"/>
    <w:rsid w:val="00852367"/>
  </w:style>
  <w:style w:type="character" w:customStyle="1" w:styleId="googqs-tidbit1">
    <w:name w:val="goog_qs-tidbit1"/>
    <w:basedOn w:val="DefaultParagraphFont"/>
    <w:rsid w:val="00852367"/>
    <w:rPr>
      <w:vanish w:val="0"/>
      <w:webHidden w:val="0"/>
      <w:specVanish w:val="0"/>
    </w:rPr>
  </w:style>
  <w:style w:type="character" w:customStyle="1" w:styleId="mandelbrotrefrag">
    <w:name w:val="mandelbrot_refrag"/>
    <w:basedOn w:val="DefaultParagraphFont"/>
    <w:rsid w:val="00631632"/>
  </w:style>
  <w:style w:type="character" w:customStyle="1" w:styleId="watch-title">
    <w:name w:val="watch-title"/>
    <w:basedOn w:val="DefaultParagraphFont"/>
    <w:rsid w:val="00E11AE6"/>
  </w:style>
  <w:style w:type="character" w:customStyle="1" w:styleId="author">
    <w:name w:val="author"/>
    <w:basedOn w:val="DefaultParagraphFont"/>
    <w:rsid w:val="00BB5684"/>
  </w:style>
  <w:style w:type="character" w:customStyle="1" w:styleId="eventlocation">
    <w:name w:val="event_location"/>
    <w:basedOn w:val="DefaultParagraphFont"/>
    <w:rsid w:val="00BF1ADB"/>
  </w:style>
  <w:style w:type="character" w:customStyle="1" w:styleId="is-accessible">
    <w:name w:val="is-accessible"/>
    <w:basedOn w:val="DefaultParagraphFont"/>
    <w:rsid w:val="00CC7B1E"/>
  </w:style>
  <w:style w:type="character" w:customStyle="1" w:styleId="js-revealercontrol-toggle">
    <w:name w:val="js-revealer__control-toggle"/>
    <w:basedOn w:val="DefaultParagraphFont"/>
    <w:rsid w:val="00CC7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2540">
      <w:bodyDiv w:val="1"/>
      <w:marLeft w:val="0"/>
      <w:marRight w:val="0"/>
      <w:marTop w:val="0"/>
      <w:marBottom w:val="0"/>
      <w:divBdr>
        <w:top w:val="none" w:sz="0" w:space="0" w:color="auto"/>
        <w:left w:val="none" w:sz="0" w:space="0" w:color="auto"/>
        <w:bottom w:val="none" w:sz="0" w:space="0" w:color="auto"/>
        <w:right w:val="none" w:sz="0" w:space="0" w:color="auto"/>
      </w:divBdr>
      <w:divsChild>
        <w:div w:id="2056156885">
          <w:marLeft w:val="0"/>
          <w:marRight w:val="0"/>
          <w:marTop w:val="0"/>
          <w:marBottom w:val="0"/>
          <w:divBdr>
            <w:top w:val="none" w:sz="0" w:space="0" w:color="auto"/>
            <w:left w:val="none" w:sz="0" w:space="0" w:color="auto"/>
            <w:bottom w:val="none" w:sz="0" w:space="0" w:color="auto"/>
            <w:right w:val="none" w:sz="0" w:space="0" w:color="auto"/>
          </w:divBdr>
          <w:divsChild>
            <w:div w:id="1228033199">
              <w:marLeft w:val="0"/>
              <w:marRight w:val="0"/>
              <w:marTop w:val="0"/>
              <w:marBottom w:val="0"/>
              <w:divBdr>
                <w:top w:val="none" w:sz="0" w:space="0" w:color="auto"/>
                <w:left w:val="none" w:sz="0" w:space="0" w:color="auto"/>
                <w:bottom w:val="none" w:sz="0" w:space="0" w:color="auto"/>
                <w:right w:val="none" w:sz="0" w:space="0" w:color="auto"/>
              </w:divBdr>
              <w:divsChild>
                <w:div w:id="166403616">
                  <w:marLeft w:val="0"/>
                  <w:marRight w:val="0"/>
                  <w:marTop w:val="0"/>
                  <w:marBottom w:val="0"/>
                  <w:divBdr>
                    <w:top w:val="none" w:sz="0" w:space="0" w:color="auto"/>
                    <w:left w:val="none" w:sz="0" w:space="0" w:color="auto"/>
                    <w:bottom w:val="none" w:sz="0" w:space="0" w:color="auto"/>
                    <w:right w:val="none" w:sz="0" w:space="0" w:color="auto"/>
                  </w:divBdr>
                  <w:divsChild>
                    <w:div w:id="1262300694">
                      <w:marLeft w:val="0"/>
                      <w:marRight w:val="0"/>
                      <w:marTop w:val="0"/>
                      <w:marBottom w:val="0"/>
                      <w:divBdr>
                        <w:top w:val="none" w:sz="0" w:space="0" w:color="auto"/>
                        <w:left w:val="none" w:sz="0" w:space="0" w:color="auto"/>
                        <w:bottom w:val="none" w:sz="0" w:space="0" w:color="auto"/>
                        <w:right w:val="none" w:sz="0" w:space="0" w:color="auto"/>
                      </w:divBdr>
                      <w:divsChild>
                        <w:div w:id="1013842899">
                          <w:marLeft w:val="0"/>
                          <w:marRight w:val="0"/>
                          <w:marTop w:val="0"/>
                          <w:marBottom w:val="0"/>
                          <w:divBdr>
                            <w:top w:val="none" w:sz="0" w:space="0" w:color="auto"/>
                            <w:left w:val="none" w:sz="0" w:space="0" w:color="auto"/>
                            <w:bottom w:val="none" w:sz="0" w:space="0" w:color="auto"/>
                            <w:right w:val="none" w:sz="0" w:space="0" w:color="auto"/>
                          </w:divBdr>
                          <w:divsChild>
                            <w:div w:id="2031643874">
                              <w:marLeft w:val="0"/>
                              <w:marRight w:val="0"/>
                              <w:marTop w:val="0"/>
                              <w:marBottom w:val="0"/>
                              <w:divBdr>
                                <w:top w:val="none" w:sz="0" w:space="0" w:color="auto"/>
                                <w:left w:val="none" w:sz="0" w:space="0" w:color="auto"/>
                                <w:bottom w:val="none" w:sz="0" w:space="0" w:color="auto"/>
                                <w:right w:val="none" w:sz="0" w:space="0" w:color="auto"/>
                              </w:divBdr>
                              <w:divsChild>
                                <w:div w:id="173081647">
                                  <w:marLeft w:val="0"/>
                                  <w:marRight w:val="0"/>
                                  <w:marTop w:val="0"/>
                                  <w:marBottom w:val="0"/>
                                  <w:divBdr>
                                    <w:top w:val="none" w:sz="0" w:space="0" w:color="auto"/>
                                    <w:left w:val="none" w:sz="0" w:space="0" w:color="auto"/>
                                    <w:bottom w:val="none" w:sz="0" w:space="0" w:color="auto"/>
                                    <w:right w:val="none" w:sz="0" w:space="0" w:color="auto"/>
                                  </w:divBdr>
                                  <w:divsChild>
                                    <w:div w:id="6587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57090">
      <w:bodyDiv w:val="1"/>
      <w:marLeft w:val="0"/>
      <w:marRight w:val="0"/>
      <w:marTop w:val="0"/>
      <w:marBottom w:val="0"/>
      <w:divBdr>
        <w:top w:val="none" w:sz="0" w:space="0" w:color="auto"/>
        <w:left w:val="none" w:sz="0" w:space="0" w:color="auto"/>
        <w:bottom w:val="none" w:sz="0" w:space="0" w:color="auto"/>
        <w:right w:val="none" w:sz="0" w:space="0" w:color="auto"/>
      </w:divBdr>
      <w:divsChild>
        <w:div w:id="809594357">
          <w:marLeft w:val="0"/>
          <w:marRight w:val="0"/>
          <w:marTop w:val="0"/>
          <w:marBottom w:val="0"/>
          <w:divBdr>
            <w:top w:val="none" w:sz="0" w:space="0" w:color="auto"/>
            <w:left w:val="none" w:sz="0" w:space="0" w:color="auto"/>
            <w:bottom w:val="none" w:sz="0" w:space="0" w:color="auto"/>
            <w:right w:val="none" w:sz="0" w:space="0" w:color="auto"/>
          </w:divBdr>
        </w:div>
        <w:div w:id="165680105">
          <w:marLeft w:val="0"/>
          <w:marRight w:val="0"/>
          <w:marTop w:val="0"/>
          <w:marBottom w:val="0"/>
          <w:divBdr>
            <w:top w:val="none" w:sz="0" w:space="0" w:color="auto"/>
            <w:left w:val="none" w:sz="0" w:space="0" w:color="auto"/>
            <w:bottom w:val="none" w:sz="0" w:space="0" w:color="auto"/>
            <w:right w:val="none" w:sz="0" w:space="0" w:color="auto"/>
          </w:divBdr>
        </w:div>
        <w:div w:id="1394545780">
          <w:marLeft w:val="0"/>
          <w:marRight w:val="0"/>
          <w:marTop w:val="0"/>
          <w:marBottom w:val="0"/>
          <w:divBdr>
            <w:top w:val="none" w:sz="0" w:space="0" w:color="auto"/>
            <w:left w:val="none" w:sz="0" w:space="0" w:color="auto"/>
            <w:bottom w:val="none" w:sz="0" w:space="0" w:color="auto"/>
            <w:right w:val="none" w:sz="0" w:space="0" w:color="auto"/>
          </w:divBdr>
        </w:div>
        <w:div w:id="963922319">
          <w:marLeft w:val="0"/>
          <w:marRight w:val="0"/>
          <w:marTop w:val="0"/>
          <w:marBottom w:val="0"/>
          <w:divBdr>
            <w:top w:val="none" w:sz="0" w:space="0" w:color="auto"/>
            <w:left w:val="none" w:sz="0" w:space="0" w:color="auto"/>
            <w:bottom w:val="none" w:sz="0" w:space="0" w:color="auto"/>
            <w:right w:val="none" w:sz="0" w:space="0" w:color="auto"/>
          </w:divBdr>
        </w:div>
        <w:div w:id="2146311164">
          <w:marLeft w:val="0"/>
          <w:marRight w:val="0"/>
          <w:marTop w:val="0"/>
          <w:marBottom w:val="0"/>
          <w:divBdr>
            <w:top w:val="none" w:sz="0" w:space="0" w:color="auto"/>
            <w:left w:val="none" w:sz="0" w:space="0" w:color="auto"/>
            <w:bottom w:val="none" w:sz="0" w:space="0" w:color="auto"/>
            <w:right w:val="none" w:sz="0" w:space="0" w:color="auto"/>
          </w:divBdr>
        </w:div>
        <w:div w:id="737439981">
          <w:marLeft w:val="0"/>
          <w:marRight w:val="0"/>
          <w:marTop w:val="0"/>
          <w:marBottom w:val="0"/>
          <w:divBdr>
            <w:top w:val="none" w:sz="0" w:space="0" w:color="auto"/>
            <w:left w:val="none" w:sz="0" w:space="0" w:color="auto"/>
            <w:bottom w:val="none" w:sz="0" w:space="0" w:color="auto"/>
            <w:right w:val="none" w:sz="0" w:space="0" w:color="auto"/>
          </w:divBdr>
        </w:div>
        <w:div w:id="1834100629">
          <w:marLeft w:val="0"/>
          <w:marRight w:val="0"/>
          <w:marTop w:val="0"/>
          <w:marBottom w:val="0"/>
          <w:divBdr>
            <w:top w:val="none" w:sz="0" w:space="0" w:color="auto"/>
            <w:left w:val="none" w:sz="0" w:space="0" w:color="auto"/>
            <w:bottom w:val="none" w:sz="0" w:space="0" w:color="auto"/>
            <w:right w:val="none" w:sz="0" w:space="0" w:color="auto"/>
          </w:divBdr>
        </w:div>
        <w:div w:id="534004878">
          <w:marLeft w:val="0"/>
          <w:marRight w:val="0"/>
          <w:marTop w:val="0"/>
          <w:marBottom w:val="0"/>
          <w:divBdr>
            <w:top w:val="none" w:sz="0" w:space="0" w:color="auto"/>
            <w:left w:val="none" w:sz="0" w:space="0" w:color="auto"/>
            <w:bottom w:val="none" w:sz="0" w:space="0" w:color="auto"/>
            <w:right w:val="none" w:sz="0" w:space="0" w:color="auto"/>
          </w:divBdr>
        </w:div>
        <w:div w:id="583761130">
          <w:marLeft w:val="0"/>
          <w:marRight w:val="0"/>
          <w:marTop w:val="0"/>
          <w:marBottom w:val="0"/>
          <w:divBdr>
            <w:top w:val="none" w:sz="0" w:space="0" w:color="auto"/>
            <w:left w:val="none" w:sz="0" w:space="0" w:color="auto"/>
            <w:bottom w:val="none" w:sz="0" w:space="0" w:color="auto"/>
            <w:right w:val="none" w:sz="0" w:space="0" w:color="auto"/>
          </w:divBdr>
        </w:div>
        <w:div w:id="1455558082">
          <w:marLeft w:val="0"/>
          <w:marRight w:val="0"/>
          <w:marTop w:val="0"/>
          <w:marBottom w:val="0"/>
          <w:divBdr>
            <w:top w:val="none" w:sz="0" w:space="0" w:color="auto"/>
            <w:left w:val="none" w:sz="0" w:space="0" w:color="auto"/>
            <w:bottom w:val="none" w:sz="0" w:space="0" w:color="auto"/>
            <w:right w:val="none" w:sz="0" w:space="0" w:color="auto"/>
          </w:divBdr>
        </w:div>
        <w:div w:id="1704557838">
          <w:marLeft w:val="0"/>
          <w:marRight w:val="0"/>
          <w:marTop w:val="0"/>
          <w:marBottom w:val="0"/>
          <w:divBdr>
            <w:top w:val="none" w:sz="0" w:space="0" w:color="auto"/>
            <w:left w:val="none" w:sz="0" w:space="0" w:color="auto"/>
            <w:bottom w:val="none" w:sz="0" w:space="0" w:color="auto"/>
            <w:right w:val="none" w:sz="0" w:space="0" w:color="auto"/>
          </w:divBdr>
        </w:div>
        <w:div w:id="483279023">
          <w:marLeft w:val="0"/>
          <w:marRight w:val="0"/>
          <w:marTop w:val="0"/>
          <w:marBottom w:val="0"/>
          <w:divBdr>
            <w:top w:val="none" w:sz="0" w:space="0" w:color="auto"/>
            <w:left w:val="none" w:sz="0" w:space="0" w:color="auto"/>
            <w:bottom w:val="none" w:sz="0" w:space="0" w:color="auto"/>
            <w:right w:val="none" w:sz="0" w:space="0" w:color="auto"/>
          </w:divBdr>
        </w:div>
        <w:div w:id="662512992">
          <w:marLeft w:val="0"/>
          <w:marRight w:val="0"/>
          <w:marTop w:val="0"/>
          <w:marBottom w:val="0"/>
          <w:divBdr>
            <w:top w:val="none" w:sz="0" w:space="0" w:color="auto"/>
            <w:left w:val="none" w:sz="0" w:space="0" w:color="auto"/>
            <w:bottom w:val="none" w:sz="0" w:space="0" w:color="auto"/>
            <w:right w:val="none" w:sz="0" w:space="0" w:color="auto"/>
          </w:divBdr>
        </w:div>
        <w:div w:id="2048023410">
          <w:marLeft w:val="0"/>
          <w:marRight w:val="0"/>
          <w:marTop w:val="0"/>
          <w:marBottom w:val="0"/>
          <w:divBdr>
            <w:top w:val="none" w:sz="0" w:space="0" w:color="auto"/>
            <w:left w:val="none" w:sz="0" w:space="0" w:color="auto"/>
            <w:bottom w:val="none" w:sz="0" w:space="0" w:color="auto"/>
            <w:right w:val="none" w:sz="0" w:space="0" w:color="auto"/>
          </w:divBdr>
        </w:div>
        <w:div w:id="1405954897">
          <w:marLeft w:val="0"/>
          <w:marRight w:val="0"/>
          <w:marTop w:val="0"/>
          <w:marBottom w:val="0"/>
          <w:divBdr>
            <w:top w:val="none" w:sz="0" w:space="0" w:color="auto"/>
            <w:left w:val="none" w:sz="0" w:space="0" w:color="auto"/>
            <w:bottom w:val="none" w:sz="0" w:space="0" w:color="auto"/>
            <w:right w:val="none" w:sz="0" w:space="0" w:color="auto"/>
          </w:divBdr>
        </w:div>
        <w:div w:id="1173110555">
          <w:marLeft w:val="0"/>
          <w:marRight w:val="0"/>
          <w:marTop w:val="0"/>
          <w:marBottom w:val="0"/>
          <w:divBdr>
            <w:top w:val="none" w:sz="0" w:space="0" w:color="auto"/>
            <w:left w:val="none" w:sz="0" w:space="0" w:color="auto"/>
            <w:bottom w:val="none" w:sz="0" w:space="0" w:color="auto"/>
            <w:right w:val="none" w:sz="0" w:space="0" w:color="auto"/>
          </w:divBdr>
        </w:div>
        <w:div w:id="304236576">
          <w:marLeft w:val="0"/>
          <w:marRight w:val="0"/>
          <w:marTop w:val="0"/>
          <w:marBottom w:val="0"/>
          <w:divBdr>
            <w:top w:val="none" w:sz="0" w:space="0" w:color="auto"/>
            <w:left w:val="none" w:sz="0" w:space="0" w:color="auto"/>
            <w:bottom w:val="none" w:sz="0" w:space="0" w:color="auto"/>
            <w:right w:val="none" w:sz="0" w:space="0" w:color="auto"/>
          </w:divBdr>
        </w:div>
        <w:div w:id="550190206">
          <w:marLeft w:val="0"/>
          <w:marRight w:val="0"/>
          <w:marTop w:val="0"/>
          <w:marBottom w:val="0"/>
          <w:divBdr>
            <w:top w:val="none" w:sz="0" w:space="0" w:color="auto"/>
            <w:left w:val="none" w:sz="0" w:space="0" w:color="auto"/>
            <w:bottom w:val="none" w:sz="0" w:space="0" w:color="auto"/>
            <w:right w:val="none" w:sz="0" w:space="0" w:color="auto"/>
          </w:divBdr>
        </w:div>
        <w:div w:id="1363632813">
          <w:marLeft w:val="0"/>
          <w:marRight w:val="0"/>
          <w:marTop w:val="0"/>
          <w:marBottom w:val="0"/>
          <w:divBdr>
            <w:top w:val="none" w:sz="0" w:space="0" w:color="auto"/>
            <w:left w:val="none" w:sz="0" w:space="0" w:color="auto"/>
            <w:bottom w:val="none" w:sz="0" w:space="0" w:color="auto"/>
            <w:right w:val="none" w:sz="0" w:space="0" w:color="auto"/>
          </w:divBdr>
        </w:div>
        <w:div w:id="949702822">
          <w:marLeft w:val="0"/>
          <w:marRight w:val="0"/>
          <w:marTop w:val="0"/>
          <w:marBottom w:val="0"/>
          <w:divBdr>
            <w:top w:val="none" w:sz="0" w:space="0" w:color="auto"/>
            <w:left w:val="none" w:sz="0" w:space="0" w:color="auto"/>
            <w:bottom w:val="none" w:sz="0" w:space="0" w:color="auto"/>
            <w:right w:val="none" w:sz="0" w:space="0" w:color="auto"/>
          </w:divBdr>
        </w:div>
        <w:div w:id="231935719">
          <w:marLeft w:val="0"/>
          <w:marRight w:val="0"/>
          <w:marTop w:val="0"/>
          <w:marBottom w:val="0"/>
          <w:divBdr>
            <w:top w:val="none" w:sz="0" w:space="0" w:color="auto"/>
            <w:left w:val="none" w:sz="0" w:space="0" w:color="auto"/>
            <w:bottom w:val="none" w:sz="0" w:space="0" w:color="auto"/>
            <w:right w:val="none" w:sz="0" w:space="0" w:color="auto"/>
          </w:divBdr>
        </w:div>
        <w:div w:id="1012803572">
          <w:marLeft w:val="0"/>
          <w:marRight w:val="0"/>
          <w:marTop w:val="0"/>
          <w:marBottom w:val="0"/>
          <w:divBdr>
            <w:top w:val="none" w:sz="0" w:space="0" w:color="auto"/>
            <w:left w:val="none" w:sz="0" w:space="0" w:color="auto"/>
            <w:bottom w:val="none" w:sz="0" w:space="0" w:color="auto"/>
            <w:right w:val="none" w:sz="0" w:space="0" w:color="auto"/>
          </w:divBdr>
        </w:div>
        <w:div w:id="1215695179">
          <w:marLeft w:val="0"/>
          <w:marRight w:val="0"/>
          <w:marTop w:val="0"/>
          <w:marBottom w:val="0"/>
          <w:divBdr>
            <w:top w:val="none" w:sz="0" w:space="0" w:color="auto"/>
            <w:left w:val="none" w:sz="0" w:space="0" w:color="auto"/>
            <w:bottom w:val="none" w:sz="0" w:space="0" w:color="auto"/>
            <w:right w:val="none" w:sz="0" w:space="0" w:color="auto"/>
          </w:divBdr>
        </w:div>
        <w:div w:id="402798478">
          <w:marLeft w:val="0"/>
          <w:marRight w:val="0"/>
          <w:marTop w:val="0"/>
          <w:marBottom w:val="0"/>
          <w:divBdr>
            <w:top w:val="none" w:sz="0" w:space="0" w:color="auto"/>
            <w:left w:val="none" w:sz="0" w:space="0" w:color="auto"/>
            <w:bottom w:val="none" w:sz="0" w:space="0" w:color="auto"/>
            <w:right w:val="none" w:sz="0" w:space="0" w:color="auto"/>
          </w:divBdr>
        </w:div>
        <w:div w:id="1436317739">
          <w:marLeft w:val="0"/>
          <w:marRight w:val="0"/>
          <w:marTop w:val="0"/>
          <w:marBottom w:val="0"/>
          <w:divBdr>
            <w:top w:val="none" w:sz="0" w:space="0" w:color="auto"/>
            <w:left w:val="none" w:sz="0" w:space="0" w:color="auto"/>
            <w:bottom w:val="none" w:sz="0" w:space="0" w:color="auto"/>
            <w:right w:val="none" w:sz="0" w:space="0" w:color="auto"/>
          </w:divBdr>
        </w:div>
        <w:div w:id="807283635">
          <w:marLeft w:val="0"/>
          <w:marRight w:val="0"/>
          <w:marTop w:val="0"/>
          <w:marBottom w:val="0"/>
          <w:divBdr>
            <w:top w:val="none" w:sz="0" w:space="0" w:color="auto"/>
            <w:left w:val="none" w:sz="0" w:space="0" w:color="auto"/>
            <w:bottom w:val="none" w:sz="0" w:space="0" w:color="auto"/>
            <w:right w:val="none" w:sz="0" w:space="0" w:color="auto"/>
          </w:divBdr>
        </w:div>
        <w:div w:id="12465015">
          <w:marLeft w:val="0"/>
          <w:marRight w:val="0"/>
          <w:marTop w:val="0"/>
          <w:marBottom w:val="0"/>
          <w:divBdr>
            <w:top w:val="none" w:sz="0" w:space="0" w:color="auto"/>
            <w:left w:val="none" w:sz="0" w:space="0" w:color="auto"/>
            <w:bottom w:val="none" w:sz="0" w:space="0" w:color="auto"/>
            <w:right w:val="none" w:sz="0" w:space="0" w:color="auto"/>
          </w:divBdr>
        </w:div>
        <w:div w:id="1852403773">
          <w:marLeft w:val="0"/>
          <w:marRight w:val="0"/>
          <w:marTop w:val="0"/>
          <w:marBottom w:val="0"/>
          <w:divBdr>
            <w:top w:val="none" w:sz="0" w:space="0" w:color="auto"/>
            <w:left w:val="none" w:sz="0" w:space="0" w:color="auto"/>
            <w:bottom w:val="none" w:sz="0" w:space="0" w:color="auto"/>
            <w:right w:val="none" w:sz="0" w:space="0" w:color="auto"/>
          </w:divBdr>
        </w:div>
        <w:div w:id="2510139">
          <w:marLeft w:val="0"/>
          <w:marRight w:val="0"/>
          <w:marTop w:val="0"/>
          <w:marBottom w:val="0"/>
          <w:divBdr>
            <w:top w:val="none" w:sz="0" w:space="0" w:color="auto"/>
            <w:left w:val="none" w:sz="0" w:space="0" w:color="auto"/>
            <w:bottom w:val="none" w:sz="0" w:space="0" w:color="auto"/>
            <w:right w:val="none" w:sz="0" w:space="0" w:color="auto"/>
          </w:divBdr>
        </w:div>
        <w:div w:id="2080323411">
          <w:marLeft w:val="0"/>
          <w:marRight w:val="0"/>
          <w:marTop w:val="0"/>
          <w:marBottom w:val="0"/>
          <w:divBdr>
            <w:top w:val="none" w:sz="0" w:space="0" w:color="auto"/>
            <w:left w:val="none" w:sz="0" w:space="0" w:color="auto"/>
            <w:bottom w:val="none" w:sz="0" w:space="0" w:color="auto"/>
            <w:right w:val="none" w:sz="0" w:space="0" w:color="auto"/>
          </w:divBdr>
        </w:div>
        <w:div w:id="299502075">
          <w:marLeft w:val="0"/>
          <w:marRight w:val="0"/>
          <w:marTop w:val="0"/>
          <w:marBottom w:val="0"/>
          <w:divBdr>
            <w:top w:val="none" w:sz="0" w:space="0" w:color="auto"/>
            <w:left w:val="none" w:sz="0" w:space="0" w:color="auto"/>
            <w:bottom w:val="none" w:sz="0" w:space="0" w:color="auto"/>
            <w:right w:val="none" w:sz="0" w:space="0" w:color="auto"/>
          </w:divBdr>
        </w:div>
        <w:div w:id="1568221066">
          <w:marLeft w:val="0"/>
          <w:marRight w:val="0"/>
          <w:marTop w:val="0"/>
          <w:marBottom w:val="0"/>
          <w:divBdr>
            <w:top w:val="none" w:sz="0" w:space="0" w:color="auto"/>
            <w:left w:val="none" w:sz="0" w:space="0" w:color="auto"/>
            <w:bottom w:val="none" w:sz="0" w:space="0" w:color="auto"/>
            <w:right w:val="none" w:sz="0" w:space="0" w:color="auto"/>
          </w:divBdr>
        </w:div>
        <w:div w:id="1577325985">
          <w:marLeft w:val="0"/>
          <w:marRight w:val="0"/>
          <w:marTop w:val="0"/>
          <w:marBottom w:val="0"/>
          <w:divBdr>
            <w:top w:val="none" w:sz="0" w:space="0" w:color="auto"/>
            <w:left w:val="none" w:sz="0" w:space="0" w:color="auto"/>
            <w:bottom w:val="none" w:sz="0" w:space="0" w:color="auto"/>
            <w:right w:val="none" w:sz="0" w:space="0" w:color="auto"/>
          </w:divBdr>
        </w:div>
        <w:div w:id="1537162169">
          <w:marLeft w:val="0"/>
          <w:marRight w:val="0"/>
          <w:marTop w:val="0"/>
          <w:marBottom w:val="0"/>
          <w:divBdr>
            <w:top w:val="none" w:sz="0" w:space="0" w:color="auto"/>
            <w:left w:val="none" w:sz="0" w:space="0" w:color="auto"/>
            <w:bottom w:val="none" w:sz="0" w:space="0" w:color="auto"/>
            <w:right w:val="none" w:sz="0" w:space="0" w:color="auto"/>
          </w:divBdr>
        </w:div>
        <w:div w:id="1248272612">
          <w:marLeft w:val="0"/>
          <w:marRight w:val="0"/>
          <w:marTop w:val="0"/>
          <w:marBottom w:val="0"/>
          <w:divBdr>
            <w:top w:val="none" w:sz="0" w:space="0" w:color="auto"/>
            <w:left w:val="none" w:sz="0" w:space="0" w:color="auto"/>
            <w:bottom w:val="none" w:sz="0" w:space="0" w:color="auto"/>
            <w:right w:val="none" w:sz="0" w:space="0" w:color="auto"/>
          </w:divBdr>
        </w:div>
        <w:div w:id="1650592888">
          <w:marLeft w:val="0"/>
          <w:marRight w:val="0"/>
          <w:marTop w:val="0"/>
          <w:marBottom w:val="0"/>
          <w:divBdr>
            <w:top w:val="none" w:sz="0" w:space="0" w:color="auto"/>
            <w:left w:val="none" w:sz="0" w:space="0" w:color="auto"/>
            <w:bottom w:val="none" w:sz="0" w:space="0" w:color="auto"/>
            <w:right w:val="none" w:sz="0" w:space="0" w:color="auto"/>
          </w:divBdr>
        </w:div>
        <w:div w:id="1818648898">
          <w:marLeft w:val="0"/>
          <w:marRight w:val="0"/>
          <w:marTop w:val="0"/>
          <w:marBottom w:val="0"/>
          <w:divBdr>
            <w:top w:val="none" w:sz="0" w:space="0" w:color="auto"/>
            <w:left w:val="none" w:sz="0" w:space="0" w:color="auto"/>
            <w:bottom w:val="none" w:sz="0" w:space="0" w:color="auto"/>
            <w:right w:val="none" w:sz="0" w:space="0" w:color="auto"/>
          </w:divBdr>
        </w:div>
        <w:div w:id="1359743683">
          <w:marLeft w:val="0"/>
          <w:marRight w:val="0"/>
          <w:marTop w:val="0"/>
          <w:marBottom w:val="0"/>
          <w:divBdr>
            <w:top w:val="none" w:sz="0" w:space="0" w:color="auto"/>
            <w:left w:val="none" w:sz="0" w:space="0" w:color="auto"/>
            <w:bottom w:val="none" w:sz="0" w:space="0" w:color="auto"/>
            <w:right w:val="none" w:sz="0" w:space="0" w:color="auto"/>
          </w:divBdr>
        </w:div>
        <w:div w:id="1390181437">
          <w:marLeft w:val="0"/>
          <w:marRight w:val="0"/>
          <w:marTop w:val="0"/>
          <w:marBottom w:val="0"/>
          <w:divBdr>
            <w:top w:val="none" w:sz="0" w:space="0" w:color="auto"/>
            <w:left w:val="none" w:sz="0" w:space="0" w:color="auto"/>
            <w:bottom w:val="none" w:sz="0" w:space="0" w:color="auto"/>
            <w:right w:val="none" w:sz="0" w:space="0" w:color="auto"/>
          </w:divBdr>
        </w:div>
        <w:div w:id="1379013979">
          <w:marLeft w:val="0"/>
          <w:marRight w:val="0"/>
          <w:marTop w:val="0"/>
          <w:marBottom w:val="0"/>
          <w:divBdr>
            <w:top w:val="none" w:sz="0" w:space="0" w:color="auto"/>
            <w:left w:val="none" w:sz="0" w:space="0" w:color="auto"/>
            <w:bottom w:val="none" w:sz="0" w:space="0" w:color="auto"/>
            <w:right w:val="none" w:sz="0" w:space="0" w:color="auto"/>
          </w:divBdr>
        </w:div>
        <w:div w:id="1130787844">
          <w:marLeft w:val="0"/>
          <w:marRight w:val="0"/>
          <w:marTop w:val="0"/>
          <w:marBottom w:val="0"/>
          <w:divBdr>
            <w:top w:val="none" w:sz="0" w:space="0" w:color="auto"/>
            <w:left w:val="none" w:sz="0" w:space="0" w:color="auto"/>
            <w:bottom w:val="none" w:sz="0" w:space="0" w:color="auto"/>
            <w:right w:val="none" w:sz="0" w:space="0" w:color="auto"/>
          </w:divBdr>
        </w:div>
        <w:div w:id="1734618920">
          <w:marLeft w:val="0"/>
          <w:marRight w:val="0"/>
          <w:marTop w:val="0"/>
          <w:marBottom w:val="0"/>
          <w:divBdr>
            <w:top w:val="none" w:sz="0" w:space="0" w:color="auto"/>
            <w:left w:val="none" w:sz="0" w:space="0" w:color="auto"/>
            <w:bottom w:val="none" w:sz="0" w:space="0" w:color="auto"/>
            <w:right w:val="none" w:sz="0" w:space="0" w:color="auto"/>
          </w:divBdr>
        </w:div>
        <w:div w:id="558175978">
          <w:marLeft w:val="0"/>
          <w:marRight w:val="0"/>
          <w:marTop w:val="0"/>
          <w:marBottom w:val="0"/>
          <w:divBdr>
            <w:top w:val="none" w:sz="0" w:space="0" w:color="auto"/>
            <w:left w:val="none" w:sz="0" w:space="0" w:color="auto"/>
            <w:bottom w:val="none" w:sz="0" w:space="0" w:color="auto"/>
            <w:right w:val="none" w:sz="0" w:space="0" w:color="auto"/>
          </w:divBdr>
        </w:div>
        <w:div w:id="660430304">
          <w:marLeft w:val="0"/>
          <w:marRight w:val="0"/>
          <w:marTop w:val="0"/>
          <w:marBottom w:val="0"/>
          <w:divBdr>
            <w:top w:val="none" w:sz="0" w:space="0" w:color="auto"/>
            <w:left w:val="none" w:sz="0" w:space="0" w:color="auto"/>
            <w:bottom w:val="none" w:sz="0" w:space="0" w:color="auto"/>
            <w:right w:val="none" w:sz="0" w:space="0" w:color="auto"/>
          </w:divBdr>
        </w:div>
        <w:div w:id="2049332841">
          <w:marLeft w:val="0"/>
          <w:marRight w:val="0"/>
          <w:marTop w:val="0"/>
          <w:marBottom w:val="0"/>
          <w:divBdr>
            <w:top w:val="none" w:sz="0" w:space="0" w:color="auto"/>
            <w:left w:val="none" w:sz="0" w:space="0" w:color="auto"/>
            <w:bottom w:val="none" w:sz="0" w:space="0" w:color="auto"/>
            <w:right w:val="none" w:sz="0" w:space="0" w:color="auto"/>
          </w:divBdr>
        </w:div>
        <w:div w:id="683824945">
          <w:marLeft w:val="0"/>
          <w:marRight w:val="0"/>
          <w:marTop w:val="0"/>
          <w:marBottom w:val="0"/>
          <w:divBdr>
            <w:top w:val="none" w:sz="0" w:space="0" w:color="auto"/>
            <w:left w:val="none" w:sz="0" w:space="0" w:color="auto"/>
            <w:bottom w:val="none" w:sz="0" w:space="0" w:color="auto"/>
            <w:right w:val="none" w:sz="0" w:space="0" w:color="auto"/>
          </w:divBdr>
        </w:div>
        <w:div w:id="273438786">
          <w:marLeft w:val="0"/>
          <w:marRight w:val="0"/>
          <w:marTop w:val="0"/>
          <w:marBottom w:val="0"/>
          <w:divBdr>
            <w:top w:val="none" w:sz="0" w:space="0" w:color="auto"/>
            <w:left w:val="none" w:sz="0" w:space="0" w:color="auto"/>
            <w:bottom w:val="none" w:sz="0" w:space="0" w:color="auto"/>
            <w:right w:val="none" w:sz="0" w:space="0" w:color="auto"/>
          </w:divBdr>
        </w:div>
        <w:div w:id="2130738113">
          <w:marLeft w:val="0"/>
          <w:marRight w:val="0"/>
          <w:marTop w:val="0"/>
          <w:marBottom w:val="0"/>
          <w:divBdr>
            <w:top w:val="none" w:sz="0" w:space="0" w:color="auto"/>
            <w:left w:val="none" w:sz="0" w:space="0" w:color="auto"/>
            <w:bottom w:val="none" w:sz="0" w:space="0" w:color="auto"/>
            <w:right w:val="none" w:sz="0" w:space="0" w:color="auto"/>
          </w:divBdr>
        </w:div>
        <w:div w:id="1121266295">
          <w:marLeft w:val="0"/>
          <w:marRight w:val="0"/>
          <w:marTop w:val="0"/>
          <w:marBottom w:val="0"/>
          <w:divBdr>
            <w:top w:val="none" w:sz="0" w:space="0" w:color="auto"/>
            <w:left w:val="none" w:sz="0" w:space="0" w:color="auto"/>
            <w:bottom w:val="none" w:sz="0" w:space="0" w:color="auto"/>
            <w:right w:val="none" w:sz="0" w:space="0" w:color="auto"/>
          </w:divBdr>
        </w:div>
        <w:div w:id="1048918677">
          <w:marLeft w:val="0"/>
          <w:marRight w:val="0"/>
          <w:marTop w:val="0"/>
          <w:marBottom w:val="0"/>
          <w:divBdr>
            <w:top w:val="none" w:sz="0" w:space="0" w:color="auto"/>
            <w:left w:val="none" w:sz="0" w:space="0" w:color="auto"/>
            <w:bottom w:val="none" w:sz="0" w:space="0" w:color="auto"/>
            <w:right w:val="none" w:sz="0" w:space="0" w:color="auto"/>
          </w:divBdr>
        </w:div>
        <w:div w:id="180825067">
          <w:marLeft w:val="0"/>
          <w:marRight w:val="0"/>
          <w:marTop w:val="0"/>
          <w:marBottom w:val="0"/>
          <w:divBdr>
            <w:top w:val="none" w:sz="0" w:space="0" w:color="auto"/>
            <w:left w:val="none" w:sz="0" w:space="0" w:color="auto"/>
            <w:bottom w:val="none" w:sz="0" w:space="0" w:color="auto"/>
            <w:right w:val="none" w:sz="0" w:space="0" w:color="auto"/>
          </w:divBdr>
        </w:div>
        <w:div w:id="1537230886">
          <w:marLeft w:val="0"/>
          <w:marRight w:val="0"/>
          <w:marTop w:val="0"/>
          <w:marBottom w:val="0"/>
          <w:divBdr>
            <w:top w:val="none" w:sz="0" w:space="0" w:color="auto"/>
            <w:left w:val="none" w:sz="0" w:space="0" w:color="auto"/>
            <w:bottom w:val="none" w:sz="0" w:space="0" w:color="auto"/>
            <w:right w:val="none" w:sz="0" w:space="0" w:color="auto"/>
          </w:divBdr>
        </w:div>
        <w:div w:id="1750228031">
          <w:marLeft w:val="0"/>
          <w:marRight w:val="0"/>
          <w:marTop w:val="0"/>
          <w:marBottom w:val="0"/>
          <w:divBdr>
            <w:top w:val="none" w:sz="0" w:space="0" w:color="auto"/>
            <w:left w:val="none" w:sz="0" w:space="0" w:color="auto"/>
            <w:bottom w:val="none" w:sz="0" w:space="0" w:color="auto"/>
            <w:right w:val="none" w:sz="0" w:space="0" w:color="auto"/>
          </w:divBdr>
        </w:div>
        <w:div w:id="234124721">
          <w:marLeft w:val="0"/>
          <w:marRight w:val="0"/>
          <w:marTop w:val="0"/>
          <w:marBottom w:val="0"/>
          <w:divBdr>
            <w:top w:val="none" w:sz="0" w:space="0" w:color="auto"/>
            <w:left w:val="none" w:sz="0" w:space="0" w:color="auto"/>
            <w:bottom w:val="none" w:sz="0" w:space="0" w:color="auto"/>
            <w:right w:val="none" w:sz="0" w:space="0" w:color="auto"/>
          </w:divBdr>
        </w:div>
        <w:div w:id="745806547">
          <w:marLeft w:val="0"/>
          <w:marRight w:val="0"/>
          <w:marTop w:val="0"/>
          <w:marBottom w:val="0"/>
          <w:divBdr>
            <w:top w:val="none" w:sz="0" w:space="0" w:color="auto"/>
            <w:left w:val="none" w:sz="0" w:space="0" w:color="auto"/>
            <w:bottom w:val="none" w:sz="0" w:space="0" w:color="auto"/>
            <w:right w:val="none" w:sz="0" w:space="0" w:color="auto"/>
          </w:divBdr>
        </w:div>
        <w:div w:id="444155088">
          <w:marLeft w:val="0"/>
          <w:marRight w:val="0"/>
          <w:marTop w:val="0"/>
          <w:marBottom w:val="0"/>
          <w:divBdr>
            <w:top w:val="none" w:sz="0" w:space="0" w:color="auto"/>
            <w:left w:val="none" w:sz="0" w:space="0" w:color="auto"/>
            <w:bottom w:val="none" w:sz="0" w:space="0" w:color="auto"/>
            <w:right w:val="none" w:sz="0" w:space="0" w:color="auto"/>
          </w:divBdr>
        </w:div>
        <w:div w:id="1813909463">
          <w:marLeft w:val="0"/>
          <w:marRight w:val="0"/>
          <w:marTop w:val="0"/>
          <w:marBottom w:val="0"/>
          <w:divBdr>
            <w:top w:val="none" w:sz="0" w:space="0" w:color="auto"/>
            <w:left w:val="none" w:sz="0" w:space="0" w:color="auto"/>
            <w:bottom w:val="none" w:sz="0" w:space="0" w:color="auto"/>
            <w:right w:val="none" w:sz="0" w:space="0" w:color="auto"/>
          </w:divBdr>
        </w:div>
        <w:div w:id="888684937">
          <w:marLeft w:val="0"/>
          <w:marRight w:val="0"/>
          <w:marTop w:val="0"/>
          <w:marBottom w:val="0"/>
          <w:divBdr>
            <w:top w:val="none" w:sz="0" w:space="0" w:color="auto"/>
            <w:left w:val="none" w:sz="0" w:space="0" w:color="auto"/>
            <w:bottom w:val="none" w:sz="0" w:space="0" w:color="auto"/>
            <w:right w:val="none" w:sz="0" w:space="0" w:color="auto"/>
          </w:divBdr>
        </w:div>
        <w:div w:id="1003051805">
          <w:marLeft w:val="0"/>
          <w:marRight w:val="0"/>
          <w:marTop w:val="0"/>
          <w:marBottom w:val="0"/>
          <w:divBdr>
            <w:top w:val="none" w:sz="0" w:space="0" w:color="auto"/>
            <w:left w:val="none" w:sz="0" w:space="0" w:color="auto"/>
            <w:bottom w:val="none" w:sz="0" w:space="0" w:color="auto"/>
            <w:right w:val="none" w:sz="0" w:space="0" w:color="auto"/>
          </w:divBdr>
        </w:div>
      </w:divsChild>
    </w:div>
    <w:div w:id="164367518">
      <w:bodyDiv w:val="1"/>
      <w:marLeft w:val="0"/>
      <w:marRight w:val="0"/>
      <w:marTop w:val="0"/>
      <w:marBottom w:val="0"/>
      <w:divBdr>
        <w:top w:val="none" w:sz="0" w:space="0" w:color="auto"/>
        <w:left w:val="none" w:sz="0" w:space="0" w:color="auto"/>
        <w:bottom w:val="none" w:sz="0" w:space="0" w:color="auto"/>
        <w:right w:val="none" w:sz="0" w:space="0" w:color="auto"/>
      </w:divBdr>
    </w:div>
    <w:div w:id="218442959">
      <w:bodyDiv w:val="1"/>
      <w:marLeft w:val="0"/>
      <w:marRight w:val="0"/>
      <w:marTop w:val="0"/>
      <w:marBottom w:val="0"/>
      <w:divBdr>
        <w:top w:val="none" w:sz="0" w:space="0" w:color="auto"/>
        <w:left w:val="none" w:sz="0" w:space="0" w:color="auto"/>
        <w:bottom w:val="none" w:sz="0" w:space="0" w:color="auto"/>
        <w:right w:val="none" w:sz="0" w:space="0" w:color="auto"/>
      </w:divBdr>
      <w:divsChild>
        <w:div w:id="2046520556">
          <w:marLeft w:val="0"/>
          <w:marRight w:val="0"/>
          <w:marTop w:val="0"/>
          <w:marBottom w:val="0"/>
          <w:divBdr>
            <w:top w:val="none" w:sz="0" w:space="0" w:color="auto"/>
            <w:left w:val="none" w:sz="0" w:space="0" w:color="auto"/>
            <w:bottom w:val="none" w:sz="0" w:space="0" w:color="auto"/>
            <w:right w:val="none" w:sz="0" w:space="0" w:color="auto"/>
          </w:divBdr>
        </w:div>
        <w:div w:id="1426078663">
          <w:marLeft w:val="0"/>
          <w:marRight w:val="0"/>
          <w:marTop w:val="0"/>
          <w:marBottom w:val="0"/>
          <w:divBdr>
            <w:top w:val="none" w:sz="0" w:space="0" w:color="auto"/>
            <w:left w:val="none" w:sz="0" w:space="0" w:color="auto"/>
            <w:bottom w:val="none" w:sz="0" w:space="0" w:color="auto"/>
            <w:right w:val="none" w:sz="0" w:space="0" w:color="auto"/>
          </w:divBdr>
        </w:div>
        <w:div w:id="1846940616">
          <w:marLeft w:val="0"/>
          <w:marRight w:val="0"/>
          <w:marTop w:val="0"/>
          <w:marBottom w:val="0"/>
          <w:divBdr>
            <w:top w:val="none" w:sz="0" w:space="0" w:color="auto"/>
            <w:left w:val="none" w:sz="0" w:space="0" w:color="auto"/>
            <w:bottom w:val="none" w:sz="0" w:space="0" w:color="auto"/>
            <w:right w:val="none" w:sz="0" w:space="0" w:color="auto"/>
          </w:divBdr>
        </w:div>
        <w:div w:id="1932741815">
          <w:marLeft w:val="0"/>
          <w:marRight w:val="0"/>
          <w:marTop w:val="0"/>
          <w:marBottom w:val="0"/>
          <w:divBdr>
            <w:top w:val="none" w:sz="0" w:space="0" w:color="auto"/>
            <w:left w:val="none" w:sz="0" w:space="0" w:color="auto"/>
            <w:bottom w:val="none" w:sz="0" w:space="0" w:color="auto"/>
            <w:right w:val="none" w:sz="0" w:space="0" w:color="auto"/>
          </w:divBdr>
        </w:div>
        <w:div w:id="963117799">
          <w:marLeft w:val="0"/>
          <w:marRight w:val="0"/>
          <w:marTop w:val="0"/>
          <w:marBottom w:val="0"/>
          <w:divBdr>
            <w:top w:val="none" w:sz="0" w:space="0" w:color="auto"/>
            <w:left w:val="none" w:sz="0" w:space="0" w:color="auto"/>
            <w:bottom w:val="none" w:sz="0" w:space="0" w:color="auto"/>
            <w:right w:val="none" w:sz="0" w:space="0" w:color="auto"/>
          </w:divBdr>
        </w:div>
        <w:div w:id="1434088113">
          <w:marLeft w:val="0"/>
          <w:marRight w:val="0"/>
          <w:marTop w:val="0"/>
          <w:marBottom w:val="0"/>
          <w:divBdr>
            <w:top w:val="none" w:sz="0" w:space="0" w:color="auto"/>
            <w:left w:val="none" w:sz="0" w:space="0" w:color="auto"/>
            <w:bottom w:val="none" w:sz="0" w:space="0" w:color="auto"/>
            <w:right w:val="none" w:sz="0" w:space="0" w:color="auto"/>
          </w:divBdr>
        </w:div>
      </w:divsChild>
    </w:div>
    <w:div w:id="228417817">
      <w:bodyDiv w:val="1"/>
      <w:marLeft w:val="0"/>
      <w:marRight w:val="0"/>
      <w:marTop w:val="0"/>
      <w:marBottom w:val="0"/>
      <w:divBdr>
        <w:top w:val="none" w:sz="0" w:space="0" w:color="auto"/>
        <w:left w:val="none" w:sz="0" w:space="0" w:color="auto"/>
        <w:bottom w:val="none" w:sz="0" w:space="0" w:color="auto"/>
        <w:right w:val="none" w:sz="0" w:space="0" w:color="auto"/>
      </w:divBdr>
    </w:div>
    <w:div w:id="291860520">
      <w:bodyDiv w:val="1"/>
      <w:marLeft w:val="0"/>
      <w:marRight w:val="0"/>
      <w:marTop w:val="0"/>
      <w:marBottom w:val="0"/>
      <w:divBdr>
        <w:top w:val="none" w:sz="0" w:space="0" w:color="auto"/>
        <w:left w:val="none" w:sz="0" w:space="0" w:color="auto"/>
        <w:bottom w:val="none" w:sz="0" w:space="0" w:color="auto"/>
        <w:right w:val="none" w:sz="0" w:space="0" w:color="auto"/>
      </w:divBdr>
      <w:divsChild>
        <w:div w:id="1338574941">
          <w:marLeft w:val="0"/>
          <w:marRight w:val="0"/>
          <w:marTop w:val="0"/>
          <w:marBottom w:val="0"/>
          <w:divBdr>
            <w:top w:val="none" w:sz="0" w:space="0" w:color="auto"/>
            <w:left w:val="none" w:sz="0" w:space="0" w:color="auto"/>
            <w:bottom w:val="none" w:sz="0" w:space="0" w:color="auto"/>
            <w:right w:val="none" w:sz="0" w:space="0" w:color="auto"/>
          </w:divBdr>
        </w:div>
        <w:div w:id="1659647552">
          <w:marLeft w:val="0"/>
          <w:marRight w:val="0"/>
          <w:marTop w:val="0"/>
          <w:marBottom w:val="0"/>
          <w:divBdr>
            <w:top w:val="none" w:sz="0" w:space="0" w:color="auto"/>
            <w:left w:val="none" w:sz="0" w:space="0" w:color="auto"/>
            <w:bottom w:val="none" w:sz="0" w:space="0" w:color="auto"/>
            <w:right w:val="none" w:sz="0" w:space="0" w:color="auto"/>
          </w:divBdr>
        </w:div>
        <w:div w:id="1329288308">
          <w:marLeft w:val="0"/>
          <w:marRight w:val="0"/>
          <w:marTop w:val="0"/>
          <w:marBottom w:val="0"/>
          <w:divBdr>
            <w:top w:val="none" w:sz="0" w:space="0" w:color="auto"/>
            <w:left w:val="none" w:sz="0" w:space="0" w:color="auto"/>
            <w:bottom w:val="none" w:sz="0" w:space="0" w:color="auto"/>
            <w:right w:val="none" w:sz="0" w:space="0" w:color="auto"/>
          </w:divBdr>
        </w:div>
      </w:divsChild>
    </w:div>
    <w:div w:id="301232203">
      <w:bodyDiv w:val="1"/>
      <w:marLeft w:val="0"/>
      <w:marRight w:val="0"/>
      <w:marTop w:val="0"/>
      <w:marBottom w:val="0"/>
      <w:divBdr>
        <w:top w:val="none" w:sz="0" w:space="0" w:color="auto"/>
        <w:left w:val="none" w:sz="0" w:space="0" w:color="auto"/>
        <w:bottom w:val="none" w:sz="0" w:space="0" w:color="auto"/>
        <w:right w:val="none" w:sz="0" w:space="0" w:color="auto"/>
      </w:divBdr>
      <w:divsChild>
        <w:div w:id="1530415236">
          <w:marLeft w:val="0"/>
          <w:marRight w:val="0"/>
          <w:marTop w:val="0"/>
          <w:marBottom w:val="0"/>
          <w:divBdr>
            <w:top w:val="none" w:sz="0" w:space="0" w:color="auto"/>
            <w:left w:val="none" w:sz="0" w:space="0" w:color="auto"/>
            <w:bottom w:val="none" w:sz="0" w:space="0" w:color="auto"/>
            <w:right w:val="none" w:sz="0" w:space="0" w:color="auto"/>
          </w:divBdr>
        </w:div>
        <w:div w:id="190265178">
          <w:marLeft w:val="0"/>
          <w:marRight w:val="0"/>
          <w:marTop w:val="0"/>
          <w:marBottom w:val="0"/>
          <w:divBdr>
            <w:top w:val="none" w:sz="0" w:space="0" w:color="auto"/>
            <w:left w:val="none" w:sz="0" w:space="0" w:color="auto"/>
            <w:bottom w:val="none" w:sz="0" w:space="0" w:color="auto"/>
            <w:right w:val="none" w:sz="0" w:space="0" w:color="auto"/>
          </w:divBdr>
        </w:div>
        <w:div w:id="260534517">
          <w:marLeft w:val="0"/>
          <w:marRight w:val="0"/>
          <w:marTop w:val="0"/>
          <w:marBottom w:val="0"/>
          <w:divBdr>
            <w:top w:val="none" w:sz="0" w:space="0" w:color="auto"/>
            <w:left w:val="none" w:sz="0" w:space="0" w:color="auto"/>
            <w:bottom w:val="none" w:sz="0" w:space="0" w:color="auto"/>
            <w:right w:val="none" w:sz="0" w:space="0" w:color="auto"/>
          </w:divBdr>
        </w:div>
      </w:divsChild>
    </w:div>
    <w:div w:id="480468787">
      <w:bodyDiv w:val="1"/>
      <w:marLeft w:val="0"/>
      <w:marRight w:val="0"/>
      <w:marTop w:val="0"/>
      <w:marBottom w:val="0"/>
      <w:divBdr>
        <w:top w:val="none" w:sz="0" w:space="0" w:color="auto"/>
        <w:left w:val="none" w:sz="0" w:space="0" w:color="auto"/>
        <w:bottom w:val="none" w:sz="0" w:space="0" w:color="auto"/>
        <w:right w:val="none" w:sz="0" w:space="0" w:color="auto"/>
      </w:divBdr>
    </w:div>
    <w:div w:id="549847047">
      <w:bodyDiv w:val="1"/>
      <w:marLeft w:val="0"/>
      <w:marRight w:val="0"/>
      <w:marTop w:val="0"/>
      <w:marBottom w:val="0"/>
      <w:divBdr>
        <w:top w:val="none" w:sz="0" w:space="0" w:color="auto"/>
        <w:left w:val="none" w:sz="0" w:space="0" w:color="auto"/>
        <w:bottom w:val="none" w:sz="0" w:space="0" w:color="auto"/>
        <w:right w:val="none" w:sz="0" w:space="0" w:color="auto"/>
      </w:divBdr>
    </w:div>
    <w:div w:id="794520452">
      <w:bodyDiv w:val="1"/>
      <w:marLeft w:val="0"/>
      <w:marRight w:val="0"/>
      <w:marTop w:val="0"/>
      <w:marBottom w:val="0"/>
      <w:divBdr>
        <w:top w:val="none" w:sz="0" w:space="0" w:color="auto"/>
        <w:left w:val="none" w:sz="0" w:space="0" w:color="auto"/>
        <w:bottom w:val="none" w:sz="0" w:space="0" w:color="auto"/>
        <w:right w:val="none" w:sz="0" w:space="0" w:color="auto"/>
      </w:divBdr>
    </w:div>
    <w:div w:id="943464730">
      <w:bodyDiv w:val="1"/>
      <w:marLeft w:val="0"/>
      <w:marRight w:val="0"/>
      <w:marTop w:val="0"/>
      <w:marBottom w:val="0"/>
      <w:divBdr>
        <w:top w:val="none" w:sz="0" w:space="0" w:color="auto"/>
        <w:left w:val="none" w:sz="0" w:space="0" w:color="auto"/>
        <w:bottom w:val="none" w:sz="0" w:space="0" w:color="auto"/>
        <w:right w:val="none" w:sz="0" w:space="0" w:color="auto"/>
      </w:divBdr>
    </w:div>
    <w:div w:id="1002666126">
      <w:bodyDiv w:val="1"/>
      <w:marLeft w:val="0"/>
      <w:marRight w:val="0"/>
      <w:marTop w:val="0"/>
      <w:marBottom w:val="0"/>
      <w:divBdr>
        <w:top w:val="none" w:sz="0" w:space="0" w:color="auto"/>
        <w:left w:val="none" w:sz="0" w:space="0" w:color="auto"/>
        <w:bottom w:val="none" w:sz="0" w:space="0" w:color="auto"/>
        <w:right w:val="none" w:sz="0" w:space="0" w:color="auto"/>
      </w:divBdr>
    </w:div>
    <w:div w:id="1053041748">
      <w:bodyDiv w:val="1"/>
      <w:marLeft w:val="0"/>
      <w:marRight w:val="0"/>
      <w:marTop w:val="0"/>
      <w:marBottom w:val="0"/>
      <w:divBdr>
        <w:top w:val="none" w:sz="0" w:space="0" w:color="auto"/>
        <w:left w:val="none" w:sz="0" w:space="0" w:color="auto"/>
        <w:bottom w:val="none" w:sz="0" w:space="0" w:color="auto"/>
        <w:right w:val="none" w:sz="0" w:space="0" w:color="auto"/>
      </w:divBdr>
    </w:div>
    <w:div w:id="1058628807">
      <w:bodyDiv w:val="1"/>
      <w:marLeft w:val="0"/>
      <w:marRight w:val="0"/>
      <w:marTop w:val="0"/>
      <w:marBottom w:val="0"/>
      <w:divBdr>
        <w:top w:val="none" w:sz="0" w:space="0" w:color="auto"/>
        <w:left w:val="none" w:sz="0" w:space="0" w:color="auto"/>
        <w:bottom w:val="none" w:sz="0" w:space="0" w:color="auto"/>
        <w:right w:val="none" w:sz="0" w:space="0" w:color="auto"/>
      </w:divBdr>
      <w:divsChild>
        <w:div w:id="1495872660">
          <w:marLeft w:val="0"/>
          <w:marRight w:val="0"/>
          <w:marTop w:val="0"/>
          <w:marBottom w:val="0"/>
          <w:divBdr>
            <w:top w:val="none" w:sz="0" w:space="0" w:color="auto"/>
            <w:left w:val="none" w:sz="0" w:space="0" w:color="auto"/>
            <w:bottom w:val="none" w:sz="0" w:space="0" w:color="auto"/>
            <w:right w:val="none" w:sz="0" w:space="0" w:color="auto"/>
          </w:divBdr>
        </w:div>
        <w:div w:id="895237426">
          <w:marLeft w:val="0"/>
          <w:marRight w:val="0"/>
          <w:marTop w:val="0"/>
          <w:marBottom w:val="0"/>
          <w:divBdr>
            <w:top w:val="none" w:sz="0" w:space="0" w:color="auto"/>
            <w:left w:val="none" w:sz="0" w:space="0" w:color="auto"/>
            <w:bottom w:val="none" w:sz="0" w:space="0" w:color="auto"/>
            <w:right w:val="none" w:sz="0" w:space="0" w:color="auto"/>
          </w:divBdr>
        </w:div>
      </w:divsChild>
    </w:div>
    <w:div w:id="1116560168">
      <w:bodyDiv w:val="1"/>
      <w:marLeft w:val="0"/>
      <w:marRight w:val="0"/>
      <w:marTop w:val="0"/>
      <w:marBottom w:val="0"/>
      <w:divBdr>
        <w:top w:val="none" w:sz="0" w:space="0" w:color="auto"/>
        <w:left w:val="none" w:sz="0" w:space="0" w:color="auto"/>
        <w:bottom w:val="none" w:sz="0" w:space="0" w:color="auto"/>
        <w:right w:val="none" w:sz="0" w:space="0" w:color="auto"/>
      </w:divBdr>
      <w:divsChild>
        <w:div w:id="1964732287">
          <w:marLeft w:val="0"/>
          <w:marRight w:val="0"/>
          <w:marTop w:val="0"/>
          <w:marBottom w:val="0"/>
          <w:divBdr>
            <w:top w:val="none" w:sz="0" w:space="0" w:color="auto"/>
            <w:left w:val="none" w:sz="0" w:space="0" w:color="auto"/>
            <w:bottom w:val="none" w:sz="0" w:space="0" w:color="auto"/>
            <w:right w:val="none" w:sz="0" w:space="0" w:color="auto"/>
          </w:divBdr>
        </w:div>
        <w:div w:id="1921523706">
          <w:marLeft w:val="0"/>
          <w:marRight w:val="0"/>
          <w:marTop w:val="0"/>
          <w:marBottom w:val="0"/>
          <w:divBdr>
            <w:top w:val="none" w:sz="0" w:space="0" w:color="auto"/>
            <w:left w:val="none" w:sz="0" w:space="0" w:color="auto"/>
            <w:bottom w:val="none" w:sz="0" w:space="0" w:color="auto"/>
            <w:right w:val="none" w:sz="0" w:space="0" w:color="auto"/>
          </w:divBdr>
        </w:div>
        <w:div w:id="1299609910">
          <w:marLeft w:val="0"/>
          <w:marRight w:val="0"/>
          <w:marTop w:val="0"/>
          <w:marBottom w:val="0"/>
          <w:divBdr>
            <w:top w:val="none" w:sz="0" w:space="0" w:color="auto"/>
            <w:left w:val="none" w:sz="0" w:space="0" w:color="auto"/>
            <w:bottom w:val="none" w:sz="0" w:space="0" w:color="auto"/>
            <w:right w:val="none" w:sz="0" w:space="0" w:color="auto"/>
          </w:divBdr>
        </w:div>
        <w:div w:id="1073042230">
          <w:marLeft w:val="0"/>
          <w:marRight w:val="0"/>
          <w:marTop w:val="0"/>
          <w:marBottom w:val="0"/>
          <w:divBdr>
            <w:top w:val="none" w:sz="0" w:space="0" w:color="auto"/>
            <w:left w:val="none" w:sz="0" w:space="0" w:color="auto"/>
            <w:bottom w:val="none" w:sz="0" w:space="0" w:color="auto"/>
            <w:right w:val="none" w:sz="0" w:space="0" w:color="auto"/>
          </w:divBdr>
        </w:div>
        <w:div w:id="1515611636">
          <w:marLeft w:val="0"/>
          <w:marRight w:val="0"/>
          <w:marTop w:val="0"/>
          <w:marBottom w:val="0"/>
          <w:divBdr>
            <w:top w:val="none" w:sz="0" w:space="0" w:color="auto"/>
            <w:left w:val="none" w:sz="0" w:space="0" w:color="auto"/>
            <w:bottom w:val="none" w:sz="0" w:space="0" w:color="auto"/>
            <w:right w:val="none" w:sz="0" w:space="0" w:color="auto"/>
          </w:divBdr>
        </w:div>
        <w:div w:id="1669869363">
          <w:marLeft w:val="0"/>
          <w:marRight w:val="0"/>
          <w:marTop w:val="0"/>
          <w:marBottom w:val="0"/>
          <w:divBdr>
            <w:top w:val="none" w:sz="0" w:space="0" w:color="auto"/>
            <w:left w:val="none" w:sz="0" w:space="0" w:color="auto"/>
            <w:bottom w:val="none" w:sz="0" w:space="0" w:color="auto"/>
            <w:right w:val="none" w:sz="0" w:space="0" w:color="auto"/>
          </w:divBdr>
        </w:div>
      </w:divsChild>
    </w:div>
    <w:div w:id="1120996283">
      <w:bodyDiv w:val="1"/>
      <w:marLeft w:val="0"/>
      <w:marRight w:val="0"/>
      <w:marTop w:val="0"/>
      <w:marBottom w:val="0"/>
      <w:divBdr>
        <w:top w:val="none" w:sz="0" w:space="0" w:color="auto"/>
        <w:left w:val="none" w:sz="0" w:space="0" w:color="auto"/>
        <w:bottom w:val="none" w:sz="0" w:space="0" w:color="auto"/>
        <w:right w:val="none" w:sz="0" w:space="0" w:color="auto"/>
      </w:divBdr>
    </w:div>
    <w:div w:id="1140423168">
      <w:bodyDiv w:val="1"/>
      <w:marLeft w:val="0"/>
      <w:marRight w:val="0"/>
      <w:marTop w:val="0"/>
      <w:marBottom w:val="0"/>
      <w:divBdr>
        <w:top w:val="none" w:sz="0" w:space="0" w:color="auto"/>
        <w:left w:val="none" w:sz="0" w:space="0" w:color="auto"/>
        <w:bottom w:val="none" w:sz="0" w:space="0" w:color="auto"/>
        <w:right w:val="none" w:sz="0" w:space="0" w:color="auto"/>
      </w:divBdr>
    </w:div>
    <w:div w:id="1184054496">
      <w:bodyDiv w:val="1"/>
      <w:marLeft w:val="0"/>
      <w:marRight w:val="0"/>
      <w:marTop w:val="0"/>
      <w:marBottom w:val="0"/>
      <w:divBdr>
        <w:top w:val="none" w:sz="0" w:space="0" w:color="auto"/>
        <w:left w:val="none" w:sz="0" w:space="0" w:color="auto"/>
        <w:bottom w:val="none" w:sz="0" w:space="0" w:color="auto"/>
        <w:right w:val="none" w:sz="0" w:space="0" w:color="auto"/>
      </w:divBdr>
    </w:div>
    <w:div w:id="1196115481">
      <w:bodyDiv w:val="1"/>
      <w:marLeft w:val="0"/>
      <w:marRight w:val="0"/>
      <w:marTop w:val="0"/>
      <w:marBottom w:val="0"/>
      <w:divBdr>
        <w:top w:val="none" w:sz="0" w:space="0" w:color="auto"/>
        <w:left w:val="none" w:sz="0" w:space="0" w:color="auto"/>
        <w:bottom w:val="none" w:sz="0" w:space="0" w:color="auto"/>
        <w:right w:val="none" w:sz="0" w:space="0" w:color="auto"/>
      </w:divBdr>
    </w:div>
    <w:div w:id="1226641193">
      <w:bodyDiv w:val="1"/>
      <w:marLeft w:val="0"/>
      <w:marRight w:val="0"/>
      <w:marTop w:val="0"/>
      <w:marBottom w:val="0"/>
      <w:divBdr>
        <w:top w:val="none" w:sz="0" w:space="0" w:color="auto"/>
        <w:left w:val="none" w:sz="0" w:space="0" w:color="auto"/>
        <w:bottom w:val="none" w:sz="0" w:space="0" w:color="auto"/>
        <w:right w:val="none" w:sz="0" w:space="0" w:color="auto"/>
      </w:divBdr>
    </w:div>
    <w:div w:id="1246500385">
      <w:bodyDiv w:val="1"/>
      <w:marLeft w:val="0"/>
      <w:marRight w:val="0"/>
      <w:marTop w:val="0"/>
      <w:marBottom w:val="0"/>
      <w:divBdr>
        <w:top w:val="none" w:sz="0" w:space="0" w:color="auto"/>
        <w:left w:val="none" w:sz="0" w:space="0" w:color="auto"/>
        <w:bottom w:val="none" w:sz="0" w:space="0" w:color="auto"/>
        <w:right w:val="none" w:sz="0" w:space="0" w:color="auto"/>
      </w:divBdr>
    </w:div>
    <w:div w:id="1275362647">
      <w:bodyDiv w:val="1"/>
      <w:marLeft w:val="0"/>
      <w:marRight w:val="0"/>
      <w:marTop w:val="0"/>
      <w:marBottom w:val="0"/>
      <w:divBdr>
        <w:top w:val="none" w:sz="0" w:space="0" w:color="auto"/>
        <w:left w:val="none" w:sz="0" w:space="0" w:color="auto"/>
        <w:bottom w:val="none" w:sz="0" w:space="0" w:color="auto"/>
        <w:right w:val="none" w:sz="0" w:space="0" w:color="auto"/>
      </w:divBdr>
    </w:div>
    <w:div w:id="1427845553">
      <w:bodyDiv w:val="1"/>
      <w:marLeft w:val="0"/>
      <w:marRight w:val="0"/>
      <w:marTop w:val="0"/>
      <w:marBottom w:val="0"/>
      <w:divBdr>
        <w:top w:val="none" w:sz="0" w:space="0" w:color="auto"/>
        <w:left w:val="none" w:sz="0" w:space="0" w:color="auto"/>
        <w:bottom w:val="none" w:sz="0" w:space="0" w:color="auto"/>
        <w:right w:val="none" w:sz="0" w:space="0" w:color="auto"/>
      </w:divBdr>
    </w:div>
    <w:div w:id="1624456288">
      <w:bodyDiv w:val="1"/>
      <w:marLeft w:val="0"/>
      <w:marRight w:val="0"/>
      <w:marTop w:val="0"/>
      <w:marBottom w:val="0"/>
      <w:divBdr>
        <w:top w:val="none" w:sz="0" w:space="0" w:color="auto"/>
        <w:left w:val="none" w:sz="0" w:space="0" w:color="auto"/>
        <w:bottom w:val="none" w:sz="0" w:space="0" w:color="auto"/>
        <w:right w:val="none" w:sz="0" w:space="0" w:color="auto"/>
      </w:divBdr>
    </w:div>
    <w:div w:id="1624579224">
      <w:bodyDiv w:val="1"/>
      <w:marLeft w:val="0"/>
      <w:marRight w:val="0"/>
      <w:marTop w:val="0"/>
      <w:marBottom w:val="0"/>
      <w:divBdr>
        <w:top w:val="none" w:sz="0" w:space="0" w:color="auto"/>
        <w:left w:val="none" w:sz="0" w:space="0" w:color="auto"/>
        <w:bottom w:val="none" w:sz="0" w:space="0" w:color="auto"/>
        <w:right w:val="none" w:sz="0" w:space="0" w:color="auto"/>
      </w:divBdr>
    </w:div>
    <w:div w:id="1690717517">
      <w:bodyDiv w:val="1"/>
      <w:marLeft w:val="0"/>
      <w:marRight w:val="0"/>
      <w:marTop w:val="0"/>
      <w:marBottom w:val="0"/>
      <w:divBdr>
        <w:top w:val="none" w:sz="0" w:space="0" w:color="auto"/>
        <w:left w:val="none" w:sz="0" w:space="0" w:color="auto"/>
        <w:bottom w:val="none" w:sz="0" w:space="0" w:color="auto"/>
        <w:right w:val="none" w:sz="0" w:space="0" w:color="auto"/>
      </w:divBdr>
    </w:div>
    <w:div w:id="1705670313">
      <w:bodyDiv w:val="1"/>
      <w:marLeft w:val="0"/>
      <w:marRight w:val="0"/>
      <w:marTop w:val="0"/>
      <w:marBottom w:val="0"/>
      <w:divBdr>
        <w:top w:val="none" w:sz="0" w:space="0" w:color="auto"/>
        <w:left w:val="none" w:sz="0" w:space="0" w:color="auto"/>
        <w:bottom w:val="none" w:sz="0" w:space="0" w:color="auto"/>
        <w:right w:val="none" w:sz="0" w:space="0" w:color="auto"/>
      </w:divBdr>
    </w:div>
    <w:div w:id="1721902937">
      <w:bodyDiv w:val="1"/>
      <w:marLeft w:val="0"/>
      <w:marRight w:val="0"/>
      <w:marTop w:val="0"/>
      <w:marBottom w:val="0"/>
      <w:divBdr>
        <w:top w:val="none" w:sz="0" w:space="0" w:color="auto"/>
        <w:left w:val="none" w:sz="0" w:space="0" w:color="auto"/>
        <w:bottom w:val="none" w:sz="0" w:space="0" w:color="auto"/>
        <w:right w:val="none" w:sz="0" w:space="0" w:color="auto"/>
      </w:divBdr>
    </w:div>
    <w:div w:id="1754081676">
      <w:bodyDiv w:val="1"/>
      <w:marLeft w:val="0"/>
      <w:marRight w:val="0"/>
      <w:marTop w:val="0"/>
      <w:marBottom w:val="0"/>
      <w:divBdr>
        <w:top w:val="none" w:sz="0" w:space="0" w:color="auto"/>
        <w:left w:val="none" w:sz="0" w:space="0" w:color="auto"/>
        <w:bottom w:val="none" w:sz="0" w:space="0" w:color="auto"/>
        <w:right w:val="none" w:sz="0" w:space="0" w:color="auto"/>
      </w:divBdr>
    </w:div>
    <w:div w:id="1829052074">
      <w:bodyDiv w:val="1"/>
      <w:marLeft w:val="0"/>
      <w:marRight w:val="0"/>
      <w:marTop w:val="0"/>
      <w:marBottom w:val="0"/>
      <w:divBdr>
        <w:top w:val="none" w:sz="0" w:space="0" w:color="auto"/>
        <w:left w:val="none" w:sz="0" w:space="0" w:color="auto"/>
        <w:bottom w:val="none" w:sz="0" w:space="0" w:color="auto"/>
        <w:right w:val="none" w:sz="0" w:space="0" w:color="auto"/>
      </w:divBdr>
    </w:div>
    <w:div w:id="1835106137">
      <w:bodyDiv w:val="1"/>
      <w:marLeft w:val="0"/>
      <w:marRight w:val="0"/>
      <w:marTop w:val="0"/>
      <w:marBottom w:val="0"/>
      <w:divBdr>
        <w:top w:val="none" w:sz="0" w:space="0" w:color="auto"/>
        <w:left w:val="none" w:sz="0" w:space="0" w:color="auto"/>
        <w:bottom w:val="none" w:sz="0" w:space="0" w:color="auto"/>
        <w:right w:val="none" w:sz="0" w:space="0" w:color="auto"/>
      </w:divBdr>
    </w:div>
    <w:div w:id="1856844996">
      <w:bodyDiv w:val="1"/>
      <w:marLeft w:val="0"/>
      <w:marRight w:val="0"/>
      <w:marTop w:val="0"/>
      <w:marBottom w:val="0"/>
      <w:divBdr>
        <w:top w:val="none" w:sz="0" w:space="0" w:color="auto"/>
        <w:left w:val="none" w:sz="0" w:space="0" w:color="auto"/>
        <w:bottom w:val="none" w:sz="0" w:space="0" w:color="auto"/>
        <w:right w:val="none" w:sz="0" w:space="0" w:color="auto"/>
      </w:divBdr>
    </w:div>
    <w:div w:id="1879391287">
      <w:bodyDiv w:val="1"/>
      <w:marLeft w:val="0"/>
      <w:marRight w:val="0"/>
      <w:marTop w:val="0"/>
      <w:marBottom w:val="0"/>
      <w:divBdr>
        <w:top w:val="none" w:sz="0" w:space="0" w:color="auto"/>
        <w:left w:val="none" w:sz="0" w:space="0" w:color="auto"/>
        <w:bottom w:val="none" w:sz="0" w:space="0" w:color="auto"/>
        <w:right w:val="none" w:sz="0" w:space="0" w:color="auto"/>
      </w:divBdr>
    </w:div>
    <w:div w:id="2032683860">
      <w:bodyDiv w:val="1"/>
      <w:marLeft w:val="0"/>
      <w:marRight w:val="0"/>
      <w:marTop w:val="0"/>
      <w:marBottom w:val="0"/>
      <w:divBdr>
        <w:top w:val="none" w:sz="0" w:space="0" w:color="auto"/>
        <w:left w:val="none" w:sz="0" w:space="0" w:color="auto"/>
        <w:bottom w:val="none" w:sz="0" w:space="0" w:color="auto"/>
        <w:right w:val="none" w:sz="0" w:space="0" w:color="auto"/>
      </w:divBdr>
      <w:divsChild>
        <w:div w:id="1074474490">
          <w:marLeft w:val="0"/>
          <w:marRight w:val="0"/>
          <w:marTop w:val="0"/>
          <w:marBottom w:val="0"/>
          <w:divBdr>
            <w:top w:val="none" w:sz="0" w:space="0" w:color="auto"/>
            <w:left w:val="none" w:sz="0" w:space="0" w:color="auto"/>
            <w:bottom w:val="none" w:sz="0" w:space="0" w:color="auto"/>
            <w:right w:val="none" w:sz="0" w:space="0" w:color="auto"/>
          </w:divBdr>
        </w:div>
        <w:div w:id="1853489599">
          <w:marLeft w:val="0"/>
          <w:marRight w:val="0"/>
          <w:marTop w:val="0"/>
          <w:marBottom w:val="0"/>
          <w:divBdr>
            <w:top w:val="none" w:sz="0" w:space="0" w:color="auto"/>
            <w:left w:val="none" w:sz="0" w:space="0" w:color="auto"/>
            <w:bottom w:val="none" w:sz="0" w:space="0" w:color="auto"/>
            <w:right w:val="none" w:sz="0" w:space="0" w:color="auto"/>
          </w:divBdr>
        </w:div>
        <w:div w:id="2107997374">
          <w:marLeft w:val="0"/>
          <w:marRight w:val="0"/>
          <w:marTop w:val="0"/>
          <w:marBottom w:val="0"/>
          <w:divBdr>
            <w:top w:val="none" w:sz="0" w:space="0" w:color="auto"/>
            <w:left w:val="none" w:sz="0" w:space="0" w:color="auto"/>
            <w:bottom w:val="none" w:sz="0" w:space="0" w:color="auto"/>
            <w:right w:val="none" w:sz="0" w:space="0" w:color="auto"/>
          </w:divBdr>
        </w:div>
        <w:div w:id="1044404275">
          <w:marLeft w:val="0"/>
          <w:marRight w:val="0"/>
          <w:marTop w:val="0"/>
          <w:marBottom w:val="0"/>
          <w:divBdr>
            <w:top w:val="none" w:sz="0" w:space="0" w:color="auto"/>
            <w:left w:val="none" w:sz="0" w:space="0" w:color="auto"/>
            <w:bottom w:val="none" w:sz="0" w:space="0" w:color="auto"/>
            <w:right w:val="none" w:sz="0" w:space="0" w:color="auto"/>
          </w:divBdr>
        </w:div>
        <w:div w:id="1166752344">
          <w:marLeft w:val="0"/>
          <w:marRight w:val="0"/>
          <w:marTop w:val="0"/>
          <w:marBottom w:val="0"/>
          <w:divBdr>
            <w:top w:val="none" w:sz="0" w:space="0" w:color="auto"/>
            <w:left w:val="none" w:sz="0" w:space="0" w:color="auto"/>
            <w:bottom w:val="none" w:sz="0" w:space="0" w:color="auto"/>
            <w:right w:val="none" w:sz="0" w:space="0" w:color="auto"/>
          </w:divBdr>
        </w:div>
        <w:div w:id="1692026791">
          <w:marLeft w:val="0"/>
          <w:marRight w:val="0"/>
          <w:marTop w:val="0"/>
          <w:marBottom w:val="0"/>
          <w:divBdr>
            <w:top w:val="none" w:sz="0" w:space="0" w:color="auto"/>
            <w:left w:val="none" w:sz="0" w:space="0" w:color="auto"/>
            <w:bottom w:val="none" w:sz="0" w:space="0" w:color="auto"/>
            <w:right w:val="none" w:sz="0" w:space="0" w:color="auto"/>
          </w:divBdr>
        </w:div>
      </w:divsChild>
    </w:div>
    <w:div w:id="2038507071">
      <w:bodyDiv w:val="1"/>
      <w:marLeft w:val="0"/>
      <w:marRight w:val="0"/>
      <w:marTop w:val="0"/>
      <w:marBottom w:val="0"/>
      <w:divBdr>
        <w:top w:val="none" w:sz="0" w:space="0" w:color="auto"/>
        <w:left w:val="none" w:sz="0" w:space="0" w:color="auto"/>
        <w:bottom w:val="none" w:sz="0" w:space="0" w:color="auto"/>
        <w:right w:val="none" w:sz="0" w:space="0" w:color="auto"/>
      </w:divBdr>
    </w:div>
    <w:div w:id="21381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ecb.europa.eu/stats/pdf/140711_ssi_table.pdf?7e1fd6d87f874cd8cc43f91f271189f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deas.repec.org/s/oup/rfinst.html"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eprints.soton.ac.uk/36435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iencedirect.com/science/journal/03784266" TargetMode="External"/><Relationship Id="rId20" Type="http://schemas.openxmlformats.org/officeDocument/2006/relationships/hyperlink" Target="http://eprints.soton.ac.uk/458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www.sciencedirect.com/science/journal/0304405X/99/1" TargetMode="External"/><Relationship Id="rId10" Type="http://schemas.openxmlformats.org/officeDocument/2006/relationships/image" Target="media/image2.wmf"/><Relationship Id="rId19" Type="http://schemas.openxmlformats.org/officeDocument/2006/relationships/hyperlink" Target="http://www.sciencedirect.com/science/journal/0378426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www.sciencedirect.com/science/article/pii/S0304405X10001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7B896-CAAD-4F18-B6FD-A58BF065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14279</Words>
  <Characters>81393</Characters>
  <Application>Microsoft Office Word</Application>
  <DocSecurity>4</DocSecurity>
  <Lines>678</Lines>
  <Paragraphs>190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95482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Degl'innocenti M.</dc:creator>
  <cp:lastModifiedBy>Wellesley-Davies J.E.</cp:lastModifiedBy>
  <cp:revision>2</cp:revision>
  <cp:lastPrinted>2016-10-20T09:24:00Z</cp:lastPrinted>
  <dcterms:created xsi:type="dcterms:W3CDTF">2017-03-03T12:41:00Z</dcterms:created>
  <dcterms:modified xsi:type="dcterms:W3CDTF">2017-03-03T12:41:00Z</dcterms:modified>
</cp:coreProperties>
</file>