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45" w:rsidRPr="00D65145" w:rsidRDefault="00D65145" w:rsidP="00D65145">
      <w:pPr>
        <w:keepNext/>
        <w:keepLines/>
        <w:spacing w:line="480" w:lineRule="auto"/>
        <w:ind w:left="1440" w:hanging="1440"/>
        <w:jc w:val="left"/>
        <w:outlineLvl w:val="3"/>
        <w:rPr>
          <w:rFonts w:ascii="Arial Narrow" w:hAnsi="Arial Narrow"/>
          <w:b/>
          <w:bCs/>
          <w:iCs/>
          <w:sz w:val="24"/>
          <w:szCs w:val="22"/>
        </w:rPr>
      </w:pPr>
      <w:bookmarkStart w:id="0" w:name="_GoBack"/>
      <w:bookmarkEnd w:id="0"/>
      <w:r w:rsidRPr="00D65145">
        <w:rPr>
          <w:rFonts w:ascii="Arial Narrow" w:hAnsi="Arial Narrow"/>
          <w:b/>
          <w:bCs/>
          <w:iCs/>
          <w:sz w:val="24"/>
          <w:szCs w:val="22"/>
        </w:rPr>
        <w:t>Table 1</w:t>
      </w:r>
      <w:r w:rsidRPr="00D65145">
        <w:rPr>
          <w:rFonts w:ascii="Arial Narrow" w:hAnsi="Arial Narrow"/>
          <w:b/>
          <w:bCs/>
          <w:iCs/>
          <w:sz w:val="24"/>
          <w:szCs w:val="22"/>
        </w:rPr>
        <w:tab/>
        <w:t>Characteristics of localised and non-localised low back pain</w:t>
      </w:r>
    </w:p>
    <w:p w:rsidR="00D65145" w:rsidRPr="00D65145" w:rsidRDefault="00D65145" w:rsidP="00D65145">
      <w:pPr>
        <w:spacing w:line="480" w:lineRule="auto"/>
        <w:jc w:val="left"/>
        <w:rPr>
          <w:rFonts w:eastAsia="Calibri" w:cs="Arial"/>
          <w:szCs w:val="22"/>
        </w:rPr>
      </w:pPr>
    </w:p>
    <w:p w:rsidR="00D65145" w:rsidRPr="00D65145" w:rsidRDefault="00D65145" w:rsidP="00D65145">
      <w:pPr>
        <w:spacing w:line="480" w:lineRule="auto"/>
        <w:jc w:val="left"/>
        <w:rPr>
          <w:rFonts w:eastAsia="Calibri" w:cs="Arial"/>
          <w:szCs w:val="22"/>
        </w:rPr>
      </w:pPr>
    </w:p>
    <w:tbl>
      <w:tblPr>
        <w:tblStyle w:val="TableGrid1"/>
        <w:tblW w:w="9601" w:type="dxa"/>
        <w:tblInd w:w="-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84"/>
        <w:gridCol w:w="846"/>
        <w:gridCol w:w="708"/>
        <w:gridCol w:w="1276"/>
        <w:gridCol w:w="851"/>
        <w:gridCol w:w="708"/>
        <w:gridCol w:w="1276"/>
      </w:tblGrid>
      <w:tr w:rsidR="00D65145" w:rsidRPr="00D65145" w:rsidTr="003210D7">
        <w:tc>
          <w:tcPr>
            <w:tcW w:w="3652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Characteristic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30" w:type="dxa"/>
            <w:gridSpan w:val="3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Localised low back pain</w:t>
            </w:r>
          </w:p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(n = 609)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Non-localised low back pain</w:t>
            </w:r>
          </w:p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(n = 3,820)</w:t>
            </w:r>
          </w:p>
        </w:tc>
      </w:tr>
      <w:tr w:rsidR="00D65145" w:rsidRPr="00D65145" w:rsidTr="003210D7">
        <w:tc>
          <w:tcPr>
            <w:tcW w:w="3652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(95%CI)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N</w:t>
            </w: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(95%CI)</w:t>
            </w:r>
          </w:p>
        </w:tc>
      </w:tr>
      <w:tr w:rsidR="00D65145" w:rsidRPr="00D65145" w:rsidTr="003210D7">
        <w:tc>
          <w:tcPr>
            <w:tcW w:w="3652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Sciatica in past month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183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30.0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(26.4,33.9)</w:t>
            </w: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1,836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48.1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(46.5,49.7)</w:t>
            </w: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Sciatica in past 12 months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233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38.3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(34.4,42.3)</w:t>
            </w: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2,238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58.6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(57.0,60.2)</w:t>
            </w: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Total duration in past month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ind w:firstLine="284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1-6 days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369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60.6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(56.6,64.5)</w:t>
            </w: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2,067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54.1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(52.5,55.7)</w:t>
            </w: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ind w:firstLine="284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1-2 weeks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123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20.2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(17.1,23.6)</w:t>
            </w: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783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20.5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(19.2,21.8)</w:t>
            </w: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ind w:firstLine="284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&gt;2 weeks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112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18.4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(15.4,21.7)</w:t>
            </w: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947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24.8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(23.4,26.2)</w:t>
            </w: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ind w:firstLine="284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Not known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0.8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0.6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Total duration in past 12 months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ind w:firstLine="284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1-6 days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180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29.6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(26.0,33.4)</w:t>
            </w: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740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19.4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(18.1,20.7)</w:t>
            </w: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ind w:firstLine="284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1-4 weeks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263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43.2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(39.2,47.2)</w:t>
            </w: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1,661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43.5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(41.9,45.1)</w:t>
            </w: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ind w:firstLine="284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1-12 months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162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26.6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(23.1,30.3)</w:t>
            </w: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1,403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36.7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(35.2,38.3)</w:t>
            </w: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ind w:firstLine="284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Not known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0.7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0.4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Disabling in past month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288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47.3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(43.3,51.3)</w:t>
            </w: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2,447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64.1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(62.5,65.6)</w:t>
            </w: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 xml:space="preserve">Led to medical consultation in past 12 months 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255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41.9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(37.9,45.9)</w:t>
            </w: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1,974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51.7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(50.1,53.3)</w:t>
            </w: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lastRenderedPageBreak/>
              <w:t>Attributed sickness absence in past 12 months (days)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ind w:firstLine="284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475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78.0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(74.4,81.2)</w:t>
            </w: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2,707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70.9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(69.4,72.3)</w:t>
            </w: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ind w:firstLine="284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1-5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83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13.6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(11.0,16.6)</w:t>
            </w: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674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17.6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(16.4,18.9)</w:t>
            </w: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ind w:firstLine="284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6-30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4.8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(3.2,6.8)</w:t>
            </w: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238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6.2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(5.5,7.0)</w:t>
            </w: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ind w:firstLine="284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&gt;30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1.6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(0.8,3.0)</w:t>
            </w: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85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2.2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(1.8,2.7)</w:t>
            </w: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ind w:firstLine="284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Not known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2.0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116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3.0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Onset of most recent episode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ind w:firstLine="284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Sudden while at work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167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27.4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(23.9,31.2)</w:t>
            </w: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1,176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30.8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(29.3,32.3)</w:t>
            </w: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ind w:firstLine="284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Sudden not while at work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110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18.1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(15.1,21.4)</w:t>
            </w: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530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13.9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(12.8,15.0)</w:t>
            </w: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ind w:firstLine="284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Gradual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318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52.2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(48.2,56.2)</w:t>
            </w: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2,015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52.7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(51.2,54.3)</w:t>
            </w:r>
          </w:p>
        </w:tc>
      </w:tr>
      <w:tr w:rsidR="00D65145" w:rsidRPr="00D65145" w:rsidTr="003210D7">
        <w:tc>
          <w:tcPr>
            <w:tcW w:w="3652" w:type="dxa"/>
          </w:tcPr>
          <w:p w:rsidR="00D65145" w:rsidRPr="00D65145" w:rsidRDefault="00D65145" w:rsidP="00D65145">
            <w:pPr>
              <w:spacing w:line="480" w:lineRule="auto"/>
              <w:ind w:firstLine="284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Not known</w:t>
            </w:r>
          </w:p>
        </w:tc>
        <w:tc>
          <w:tcPr>
            <w:tcW w:w="284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2.3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99</w:t>
            </w:r>
          </w:p>
        </w:tc>
        <w:tc>
          <w:tcPr>
            <w:tcW w:w="708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2.6</w:t>
            </w:r>
          </w:p>
        </w:tc>
        <w:tc>
          <w:tcPr>
            <w:tcW w:w="1276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:rsidR="00D65145" w:rsidRPr="00D65145" w:rsidRDefault="00D65145" w:rsidP="00D65145">
      <w:pPr>
        <w:spacing w:line="480" w:lineRule="auto"/>
        <w:jc w:val="left"/>
        <w:rPr>
          <w:rFonts w:eastAsia="Calibri" w:cs="Arial"/>
          <w:szCs w:val="22"/>
        </w:rPr>
      </w:pPr>
    </w:p>
    <w:p w:rsidR="00D65145" w:rsidRPr="00D65145" w:rsidRDefault="00D65145" w:rsidP="00D65145">
      <w:pPr>
        <w:spacing w:line="480" w:lineRule="auto"/>
        <w:jc w:val="left"/>
        <w:rPr>
          <w:rFonts w:eastAsia="Calibri" w:cs="Arial"/>
          <w:szCs w:val="22"/>
        </w:rPr>
      </w:pPr>
    </w:p>
    <w:p w:rsidR="00D65145" w:rsidRPr="00D65145" w:rsidRDefault="00D65145" w:rsidP="00D65145">
      <w:pPr>
        <w:spacing w:line="480" w:lineRule="auto"/>
        <w:jc w:val="left"/>
        <w:rPr>
          <w:rFonts w:eastAsia="Calibri" w:cs="Arial"/>
          <w:szCs w:val="22"/>
        </w:rPr>
      </w:pPr>
      <w:r w:rsidRPr="00D65145">
        <w:rPr>
          <w:rFonts w:eastAsia="Calibri" w:cs="Arial"/>
          <w:szCs w:val="22"/>
        </w:rPr>
        <w:br w:type="page"/>
      </w:r>
    </w:p>
    <w:p w:rsidR="00D65145" w:rsidRPr="00D65145" w:rsidRDefault="00D65145" w:rsidP="00D65145">
      <w:pPr>
        <w:keepNext/>
        <w:keepLines/>
        <w:spacing w:line="480" w:lineRule="auto"/>
        <w:ind w:left="1440" w:hanging="1440"/>
        <w:jc w:val="left"/>
        <w:outlineLvl w:val="3"/>
        <w:rPr>
          <w:rFonts w:ascii="Arial Narrow" w:hAnsi="Arial Narrow"/>
          <w:b/>
          <w:bCs/>
          <w:iCs/>
          <w:sz w:val="24"/>
          <w:szCs w:val="22"/>
        </w:rPr>
      </w:pPr>
      <w:r w:rsidRPr="00D65145">
        <w:rPr>
          <w:rFonts w:ascii="Arial Narrow" w:hAnsi="Arial Narrow"/>
          <w:b/>
          <w:bCs/>
          <w:iCs/>
          <w:sz w:val="24"/>
          <w:szCs w:val="22"/>
        </w:rPr>
        <w:lastRenderedPageBreak/>
        <w:t>Table 2</w:t>
      </w:r>
      <w:r w:rsidRPr="00D65145">
        <w:rPr>
          <w:rFonts w:ascii="Arial Narrow" w:hAnsi="Arial Narrow"/>
          <w:b/>
          <w:bCs/>
          <w:iCs/>
          <w:sz w:val="24"/>
          <w:szCs w:val="22"/>
        </w:rPr>
        <w:tab/>
        <w:t>Associations of localised and non-localised low back pain with personal and occupational risk factors</w:t>
      </w:r>
    </w:p>
    <w:p w:rsidR="00D65145" w:rsidRPr="00D65145" w:rsidRDefault="00D65145" w:rsidP="00D65145">
      <w:pPr>
        <w:spacing w:line="480" w:lineRule="auto"/>
        <w:jc w:val="left"/>
        <w:rPr>
          <w:rFonts w:eastAsia="Calibri" w:cs="Arial"/>
          <w:szCs w:val="22"/>
        </w:rPr>
      </w:pPr>
    </w:p>
    <w:tbl>
      <w:tblPr>
        <w:tblStyle w:val="TableGrid1"/>
        <w:tblW w:w="10349" w:type="dxa"/>
        <w:tblInd w:w="-6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7"/>
        <w:gridCol w:w="1418"/>
        <w:gridCol w:w="283"/>
        <w:gridCol w:w="709"/>
        <w:gridCol w:w="850"/>
        <w:gridCol w:w="993"/>
        <w:gridCol w:w="283"/>
        <w:gridCol w:w="851"/>
        <w:gridCol w:w="792"/>
        <w:gridCol w:w="993"/>
      </w:tblGrid>
      <w:tr w:rsidR="00D65145" w:rsidRPr="00D65145" w:rsidTr="003210D7">
        <w:tc>
          <w:tcPr>
            <w:tcW w:w="3177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Risk factor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No low back pain in past 12 months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Localised low back pain</w:t>
            </w:r>
          </w:p>
        </w:tc>
        <w:tc>
          <w:tcPr>
            <w:tcW w:w="283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636" w:type="dxa"/>
            <w:gridSpan w:val="3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 xml:space="preserve">Non-localised low back pain </w:t>
            </w:r>
          </w:p>
        </w:tc>
      </w:tr>
      <w:tr w:rsidR="00D65145" w:rsidRPr="00D65145" w:rsidTr="003210D7">
        <w:tc>
          <w:tcPr>
            <w:tcW w:w="3177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N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b/>
                <w:sz w:val="20"/>
                <w:szCs w:val="20"/>
                <w:vertAlign w:val="superscript"/>
              </w:rPr>
            </w:pPr>
            <w:proofErr w:type="spellStart"/>
            <w:r w:rsidRPr="00D65145">
              <w:rPr>
                <w:rFonts w:cs="Arial"/>
                <w:b/>
                <w:sz w:val="20"/>
                <w:szCs w:val="20"/>
              </w:rPr>
              <w:t>PRR</w:t>
            </w:r>
            <w:r w:rsidRPr="00D65145">
              <w:rPr>
                <w:rFonts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(95%CI)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N</w:t>
            </w:r>
          </w:p>
        </w:tc>
        <w:tc>
          <w:tcPr>
            <w:tcW w:w="792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b/>
                <w:sz w:val="20"/>
                <w:szCs w:val="20"/>
                <w:vertAlign w:val="superscript"/>
              </w:rPr>
            </w:pPr>
            <w:proofErr w:type="spellStart"/>
            <w:r w:rsidRPr="00D65145">
              <w:rPr>
                <w:rFonts w:cs="Arial"/>
                <w:b/>
                <w:sz w:val="20"/>
                <w:szCs w:val="20"/>
              </w:rPr>
              <w:t>PRR</w:t>
            </w:r>
            <w:r w:rsidRPr="00D65145">
              <w:rPr>
                <w:rFonts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(95%CI)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Sex</w:t>
            </w:r>
          </w:p>
        </w:tc>
        <w:tc>
          <w:tcPr>
            <w:tcW w:w="1418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ab/>
              <w:t>Male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2,265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292 </w:t>
            </w:r>
          </w:p>
        </w:tc>
        <w:tc>
          <w:tcPr>
            <w:tcW w:w="850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943 </w:t>
            </w:r>
          </w:p>
        </w:tc>
        <w:tc>
          <w:tcPr>
            <w:tcW w:w="792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ab/>
              <w:t>Female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3,236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317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(0.6,0.9)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2,877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***1.2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(1.1,1.3)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Age (years)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ab/>
              <w:t>20-29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1,502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175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783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ab/>
              <w:t>30-39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1,737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208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(0.8,1.2)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1,189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**1.1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(1.1,1.2)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ab/>
              <w:t>40-49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1,446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147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(0.7,1.1)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1,203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***1.2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(1.1,1.4)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ab/>
              <w:t>50-59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816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79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(0.7,1.1)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645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***1.2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(1.1,1.4)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Smoking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ind w:firstLine="318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Never smoked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3,631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339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2,349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ind w:firstLine="318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Ex-smoker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727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91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(1.0,1.7)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579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(1.1,1.2)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ind w:firstLine="318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Current smoker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1,124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176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(1.0,1.7)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885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(1.1,1.3)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ind w:firstLine="318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Not known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3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7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Activity in average working day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ind w:left="318"/>
              <w:jc w:val="left"/>
              <w:rPr>
                <w:rFonts w:cs="Arial"/>
                <w:sz w:val="20"/>
                <w:szCs w:val="20"/>
                <w:vertAlign w:val="superscript"/>
              </w:rPr>
            </w:pPr>
            <w:r w:rsidRPr="00D65145">
              <w:rPr>
                <w:rFonts w:cs="Arial"/>
                <w:sz w:val="20"/>
                <w:szCs w:val="20"/>
              </w:rPr>
              <w:t>Lifting weights ≥25 kg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1,684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266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(1.2,1.7)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1,599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(1.1,1.3)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Psychosocial aspects of work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ind w:left="318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lastRenderedPageBreak/>
              <w:t>Work for &gt;50 hours per week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1,394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176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(0.8,1.3)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601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†1.0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(0.9,1.1)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ind w:left="318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Time pressure at work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3,948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456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(0.8,1.2)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3,046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*1.2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(1.1,1.3)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ind w:left="318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Incentives at work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1,605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168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(0.7,1.1)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1,054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(0.9,1.1)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ind w:left="318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Lack of support at work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1,104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126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(0.8,1.3)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1,190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**1.1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(1.0,1.2)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ind w:left="318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Job dissatisfaction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1,087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128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(0.8,1.1)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817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(0.9,1.2)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ind w:left="318"/>
              <w:jc w:val="left"/>
              <w:rPr>
                <w:rFonts w:cs="Arial"/>
                <w:sz w:val="20"/>
                <w:szCs w:val="20"/>
                <w:vertAlign w:val="superscript"/>
              </w:rPr>
            </w:pPr>
            <w:r w:rsidRPr="00D65145">
              <w:rPr>
                <w:rFonts w:cs="Arial"/>
                <w:sz w:val="20"/>
                <w:szCs w:val="20"/>
              </w:rPr>
              <w:t>Lack of job control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1,136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134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(0.9,1.3)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864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(1.0,1.1)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ind w:left="318"/>
              <w:jc w:val="left"/>
              <w:rPr>
                <w:rFonts w:cs="Arial"/>
                <w:sz w:val="20"/>
                <w:szCs w:val="20"/>
                <w:vertAlign w:val="superscript"/>
              </w:rPr>
            </w:pPr>
            <w:r w:rsidRPr="00D65145">
              <w:rPr>
                <w:rFonts w:cs="Arial"/>
                <w:sz w:val="20"/>
                <w:szCs w:val="20"/>
              </w:rPr>
              <w:t>Job insecurity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1,652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220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(1.0,1.3)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1,277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(1.0,1.2)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 xml:space="preserve">Number of distressing somatic symptoms in past week 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ab/>
              <w:t>0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3,871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406 </w:t>
            </w:r>
          </w:p>
        </w:tc>
        <w:tc>
          <w:tcPr>
            <w:tcW w:w="850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1,631 </w:t>
            </w:r>
          </w:p>
        </w:tc>
        <w:tc>
          <w:tcPr>
            <w:tcW w:w="792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ab/>
              <w:t>1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983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127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(1.0,1.5)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943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***1.4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(1.3,1.5)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ab/>
              <w:t>2+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596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70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(0.9,1.4)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1,200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***1.7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(1.5,1.8)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ind w:firstLine="318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Missing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51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6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46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Mental health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ab/>
              <w:t>Good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2,417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225 </w:t>
            </w:r>
          </w:p>
        </w:tc>
        <w:tc>
          <w:tcPr>
            <w:tcW w:w="850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1,137 </w:t>
            </w:r>
          </w:p>
        </w:tc>
        <w:tc>
          <w:tcPr>
            <w:tcW w:w="792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ab/>
              <w:t>Intermediate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1,628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181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(0.9,1.3)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1,157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(1.1,1.3)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ab/>
              <w:t>Poor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1,418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198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(1.0,1.5)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1,504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**1.4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(1.3,1.5)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ind w:left="318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Missing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38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5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22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 w:val="20"/>
                <w:szCs w:val="20"/>
                <w:vertAlign w:val="superscript"/>
              </w:rPr>
            </w:pPr>
            <w:r w:rsidRPr="00D65145">
              <w:rPr>
                <w:rFonts w:cs="Arial"/>
                <w:b/>
                <w:sz w:val="20"/>
                <w:szCs w:val="20"/>
              </w:rPr>
              <w:t>Adverse beliefs about back pain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ab/>
              <w:t>Work-relatedness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1,472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215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(1.1,1.5)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1,617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*1.3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(1.2,1.3)</w:t>
            </w:r>
          </w:p>
        </w:tc>
      </w:tr>
      <w:tr w:rsidR="00D65145" w:rsidRPr="00D65145" w:rsidTr="003210D7">
        <w:trPr>
          <w:trHeight w:val="74"/>
        </w:trPr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jc w:val="left"/>
              <w:rPr>
                <w:rFonts w:cs="Arial"/>
                <w:sz w:val="20"/>
                <w:szCs w:val="20"/>
                <w:vertAlign w:val="superscript"/>
              </w:rPr>
            </w:pPr>
            <w:r w:rsidRPr="00D65145">
              <w:rPr>
                <w:rFonts w:cs="Arial"/>
                <w:sz w:val="20"/>
                <w:szCs w:val="20"/>
              </w:rPr>
              <w:tab/>
              <w:t>Physical activity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999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119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(0.7,1.1)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669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(0.9,1.0)</w:t>
            </w:r>
          </w:p>
        </w:tc>
      </w:tr>
      <w:tr w:rsidR="00D65145" w:rsidRPr="00D65145" w:rsidTr="003210D7">
        <w:tc>
          <w:tcPr>
            <w:tcW w:w="3177" w:type="dxa"/>
          </w:tcPr>
          <w:p w:rsidR="00D65145" w:rsidRPr="00D65145" w:rsidRDefault="00D65145" w:rsidP="00D65145">
            <w:pPr>
              <w:tabs>
                <w:tab w:val="left" w:pos="318"/>
              </w:tabs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ab/>
              <w:t>Prognosis</w:t>
            </w:r>
          </w:p>
        </w:tc>
        <w:tc>
          <w:tcPr>
            <w:tcW w:w="141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>598</w:t>
            </w:r>
          </w:p>
        </w:tc>
        <w:tc>
          <w:tcPr>
            <w:tcW w:w="283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86 </w:t>
            </w:r>
          </w:p>
        </w:tc>
        <w:tc>
          <w:tcPr>
            <w:tcW w:w="850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(1.0,1.4)</w:t>
            </w:r>
          </w:p>
        </w:tc>
        <w:tc>
          <w:tcPr>
            <w:tcW w:w="283" w:type="dxa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D65145">
              <w:rPr>
                <w:rFonts w:cs="Arial"/>
                <w:sz w:val="20"/>
                <w:szCs w:val="20"/>
              </w:rPr>
              <w:t xml:space="preserve">709 </w:t>
            </w:r>
          </w:p>
        </w:tc>
        <w:tc>
          <w:tcPr>
            <w:tcW w:w="792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**1.2</w:t>
            </w:r>
          </w:p>
        </w:tc>
        <w:tc>
          <w:tcPr>
            <w:tcW w:w="993" w:type="dxa"/>
            <w:vAlign w:val="bottom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color w:val="000000"/>
                <w:sz w:val="20"/>
                <w:szCs w:val="20"/>
              </w:rPr>
            </w:pPr>
            <w:r w:rsidRPr="00D65145">
              <w:rPr>
                <w:rFonts w:cs="Arial"/>
                <w:color w:val="000000"/>
                <w:sz w:val="20"/>
                <w:szCs w:val="20"/>
              </w:rPr>
              <w:t>(1.1,1.3)</w:t>
            </w:r>
          </w:p>
        </w:tc>
      </w:tr>
    </w:tbl>
    <w:p w:rsidR="00D65145" w:rsidRPr="00D65145" w:rsidRDefault="00D65145" w:rsidP="00D65145">
      <w:pPr>
        <w:spacing w:line="480" w:lineRule="auto"/>
        <w:jc w:val="left"/>
        <w:rPr>
          <w:rFonts w:eastAsia="Calibri" w:cs="Arial"/>
          <w:sz w:val="20"/>
          <w:szCs w:val="22"/>
          <w:vertAlign w:val="superscript"/>
        </w:rPr>
      </w:pPr>
    </w:p>
    <w:p w:rsidR="00D65145" w:rsidRPr="00D65145" w:rsidRDefault="00D65145" w:rsidP="00D65145">
      <w:pPr>
        <w:spacing w:line="480" w:lineRule="auto"/>
        <w:jc w:val="left"/>
        <w:rPr>
          <w:rFonts w:eastAsia="Calibri" w:cs="Arial"/>
          <w:sz w:val="18"/>
          <w:szCs w:val="22"/>
        </w:rPr>
      </w:pPr>
      <w:proofErr w:type="spellStart"/>
      <w:proofErr w:type="gramStart"/>
      <w:r w:rsidRPr="00D65145">
        <w:rPr>
          <w:rFonts w:eastAsia="Calibri" w:cs="Arial"/>
          <w:sz w:val="18"/>
          <w:szCs w:val="22"/>
          <w:vertAlign w:val="superscript"/>
        </w:rPr>
        <w:t>a</w:t>
      </w:r>
      <w:r w:rsidRPr="00D65145">
        <w:rPr>
          <w:rFonts w:eastAsia="Calibri" w:cs="Arial"/>
          <w:sz w:val="18"/>
          <w:szCs w:val="22"/>
        </w:rPr>
        <w:t>Prevalence</w:t>
      </w:r>
      <w:proofErr w:type="spellEnd"/>
      <w:proofErr w:type="gramEnd"/>
      <w:r w:rsidRPr="00D65145">
        <w:rPr>
          <w:rFonts w:eastAsia="Calibri" w:cs="Arial"/>
          <w:sz w:val="18"/>
          <w:szCs w:val="22"/>
        </w:rPr>
        <w:t xml:space="preserve"> rate ratios relative to no low back pain in past 12 months derived from a single Poisson regression model for each pain outcome, with random intercept modelling to allow for clustering by occupational group</w:t>
      </w:r>
    </w:p>
    <w:p w:rsidR="00D65145" w:rsidRPr="00D65145" w:rsidRDefault="00D65145" w:rsidP="00D65145">
      <w:pPr>
        <w:spacing w:line="480" w:lineRule="auto"/>
        <w:jc w:val="left"/>
        <w:rPr>
          <w:rFonts w:eastAsia="Calibri" w:cs="Arial"/>
          <w:sz w:val="18"/>
          <w:szCs w:val="22"/>
        </w:rPr>
      </w:pPr>
      <w:r w:rsidRPr="00D65145">
        <w:rPr>
          <w:rFonts w:eastAsia="Calibri" w:cs="Arial"/>
          <w:sz w:val="18"/>
          <w:szCs w:val="22"/>
        </w:rPr>
        <w:t>*Risk significantly higher for non-localised when compared directly with localised low back pain (p&lt;0.05)</w:t>
      </w:r>
    </w:p>
    <w:p w:rsidR="00D65145" w:rsidRPr="00D65145" w:rsidRDefault="00D65145" w:rsidP="00D65145">
      <w:pPr>
        <w:spacing w:line="480" w:lineRule="auto"/>
        <w:jc w:val="left"/>
        <w:rPr>
          <w:rFonts w:eastAsia="Calibri" w:cs="Arial"/>
          <w:sz w:val="18"/>
          <w:szCs w:val="22"/>
        </w:rPr>
      </w:pPr>
      <w:r w:rsidRPr="00D65145">
        <w:rPr>
          <w:rFonts w:eastAsia="Calibri" w:cs="Arial"/>
          <w:sz w:val="18"/>
          <w:szCs w:val="22"/>
        </w:rPr>
        <w:t>**Risk significantly higher for non-localised when compared directly with localised low back pain (p&lt;0.01)</w:t>
      </w:r>
    </w:p>
    <w:p w:rsidR="00D65145" w:rsidRPr="00D65145" w:rsidRDefault="00D65145" w:rsidP="00D65145">
      <w:pPr>
        <w:spacing w:line="480" w:lineRule="auto"/>
        <w:jc w:val="left"/>
        <w:rPr>
          <w:rFonts w:eastAsia="Calibri" w:cs="Arial"/>
          <w:sz w:val="18"/>
          <w:szCs w:val="22"/>
        </w:rPr>
      </w:pPr>
      <w:r w:rsidRPr="00D65145">
        <w:rPr>
          <w:rFonts w:eastAsia="Calibri" w:cs="Arial"/>
          <w:sz w:val="18"/>
          <w:szCs w:val="22"/>
        </w:rPr>
        <w:lastRenderedPageBreak/>
        <w:t>***Risk significantly higher for non-localised when compared directly with localised low back pain (p&lt;0.001)</w:t>
      </w:r>
    </w:p>
    <w:p w:rsidR="00D65145" w:rsidRPr="00D65145" w:rsidRDefault="00D65145" w:rsidP="00D65145">
      <w:pPr>
        <w:spacing w:line="480" w:lineRule="auto"/>
        <w:jc w:val="left"/>
        <w:rPr>
          <w:rFonts w:eastAsia="Calibri" w:cs="Arial"/>
          <w:sz w:val="18"/>
          <w:szCs w:val="22"/>
        </w:rPr>
      </w:pPr>
      <w:r w:rsidRPr="00D65145">
        <w:rPr>
          <w:rFonts w:eastAsia="Calibri" w:cs="Arial"/>
          <w:sz w:val="18"/>
          <w:szCs w:val="22"/>
        </w:rPr>
        <w:t>†Risk significantly lower for non-localised when compared directly with localised low back pain (p&lt;0.01)</w:t>
      </w:r>
    </w:p>
    <w:p w:rsidR="00D65145" w:rsidRPr="00D65145" w:rsidRDefault="00D65145" w:rsidP="00D65145">
      <w:pPr>
        <w:spacing w:line="480" w:lineRule="auto"/>
        <w:jc w:val="left"/>
        <w:rPr>
          <w:rFonts w:eastAsia="Calibri" w:cs="Arial"/>
          <w:sz w:val="20"/>
          <w:szCs w:val="22"/>
        </w:rPr>
      </w:pPr>
      <w:r w:rsidRPr="00D65145">
        <w:rPr>
          <w:rFonts w:eastAsia="Calibri" w:cs="Arial"/>
          <w:sz w:val="20"/>
          <w:szCs w:val="22"/>
        </w:rPr>
        <w:br w:type="page"/>
      </w:r>
    </w:p>
    <w:p w:rsidR="00D65145" w:rsidRPr="00D65145" w:rsidRDefault="00D65145" w:rsidP="00D65145">
      <w:pPr>
        <w:keepNext/>
        <w:keepLines/>
        <w:spacing w:line="480" w:lineRule="auto"/>
        <w:ind w:left="1440" w:hanging="1440"/>
        <w:jc w:val="left"/>
        <w:outlineLvl w:val="3"/>
        <w:rPr>
          <w:rFonts w:ascii="Arial Narrow" w:hAnsi="Arial Narrow"/>
          <w:b/>
          <w:bCs/>
          <w:iCs/>
          <w:sz w:val="24"/>
          <w:szCs w:val="22"/>
        </w:rPr>
      </w:pPr>
      <w:r w:rsidRPr="00D65145">
        <w:rPr>
          <w:rFonts w:ascii="Arial Narrow" w:hAnsi="Arial Narrow"/>
          <w:b/>
          <w:bCs/>
          <w:iCs/>
          <w:sz w:val="24"/>
          <w:szCs w:val="22"/>
        </w:rPr>
        <w:lastRenderedPageBreak/>
        <w:t>Table 3</w:t>
      </w:r>
      <w:r w:rsidRPr="00D65145">
        <w:rPr>
          <w:rFonts w:ascii="Arial Narrow" w:hAnsi="Arial Narrow"/>
          <w:b/>
          <w:bCs/>
          <w:iCs/>
          <w:sz w:val="24"/>
          <w:szCs w:val="22"/>
        </w:rPr>
        <w:tab/>
        <w:t>One-month prevalence of low back pain at follow-up according to localisation of low back pain at baseline</w:t>
      </w:r>
    </w:p>
    <w:p w:rsidR="00D65145" w:rsidRPr="00D65145" w:rsidRDefault="00D65145" w:rsidP="00D65145">
      <w:pPr>
        <w:spacing w:line="480" w:lineRule="auto"/>
        <w:jc w:val="left"/>
        <w:rPr>
          <w:rFonts w:eastAsia="Calibri" w:cs="Arial"/>
          <w:szCs w:val="22"/>
        </w:rPr>
      </w:pPr>
    </w:p>
    <w:p w:rsidR="00D65145" w:rsidRPr="00D65145" w:rsidRDefault="00D65145" w:rsidP="00D65145">
      <w:pPr>
        <w:spacing w:line="480" w:lineRule="auto"/>
        <w:rPr>
          <w:rFonts w:eastAsia="Calibri" w:cs="Arial"/>
          <w:szCs w:val="22"/>
        </w:rPr>
      </w:pPr>
      <w:r w:rsidRPr="00D65145">
        <w:rPr>
          <w:rFonts w:eastAsia="Calibri" w:cs="Arial"/>
          <w:szCs w:val="22"/>
        </w:rPr>
        <w:t>Analysis was restricted to the 9,188 cases with satisfactory information about low back pain at follow-up</w:t>
      </w:r>
    </w:p>
    <w:p w:rsidR="00D65145" w:rsidRPr="00D65145" w:rsidRDefault="00D65145" w:rsidP="00D65145">
      <w:pPr>
        <w:spacing w:line="480" w:lineRule="auto"/>
        <w:jc w:val="left"/>
        <w:rPr>
          <w:rFonts w:eastAsia="Calibri" w:cs="Arial"/>
          <w:szCs w:val="22"/>
        </w:rPr>
      </w:pPr>
    </w:p>
    <w:p w:rsidR="00D65145" w:rsidRPr="00D65145" w:rsidRDefault="00D65145" w:rsidP="00D65145">
      <w:pPr>
        <w:spacing w:line="480" w:lineRule="auto"/>
        <w:jc w:val="left"/>
        <w:rPr>
          <w:rFonts w:eastAsia="Calibri" w:cs="Arial"/>
          <w:szCs w:val="22"/>
        </w:rPr>
      </w:pPr>
    </w:p>
    <w:tbl>
      <w:tblPr>
        <w:tblStyle w:val="TableGrid1"/>
        <w:tblW w:w="10546" w:type="dxa"/>
        <w:tblInd w:w="-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5"/>
        <w:gridCol w:w="278"/>
        <w:gridCol w:w="1386"/>
        <w:gridCol w:w="278"/>
        <w:gridCol w:w="1104"/>
        <w:gridCol w:w="1317"/>
        <w:gridCol w:w="1588"/>
      </w:tblGrid>
      <w:tr w:rsidR="00D65145" w:rsidRPr="00D65145" w:rsidTr="003210D7">
        <w:trPr>
          <w:trHeight w:val="454"/>
        </w:trPr>
        <w:tc>
          <w:tcPr>
            <w:tcW w:w="4595" w:type="dxa"/>
            <w:vMerge w:val="restart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Cs w:val="22"/>
              </w:rPr>
            </w:pPr>
            <w:r w:rsidRPr="00D65145">
              <w:rPr>
                <w:rFonts w:cs="Arial"/>
                <w:b/>
                <w:szCs w:val="22"/>
              </w:rPr>
              <w:t>Category of low back pain at baseline</w:t>
            </w:r>
          </w:p>
        </w:tc>
        <w:tc>
          <w:tcPr>
            <w:tcW w:w="278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1386" w:type="dxa"/>
            <w:vMerge w:val="restart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Cs w:val="22"/>
              </w:rPr>
            </w:pPr>
            <w:r w:rsidRPr="00D65145">
              <w:rPr>
                <w:rFonts w:cs="Arial"/>
                <w:b/>
                <w:szCs w:val="22"/>
              </w:rPr>
              <w:t>Number of cases at baseline</w:t>
            </w:r>
          </w:p>
        </w:tc>
        <w:tc>
          <w:tcPr>
            <w:tcW w:w="278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4009" w:type="dxa"/>
            <w:gridSpan w:val="3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Cs w:val="22"/>
              </w:rPr>
            </w:pPr>
            <w:r w:rsidRPr="00D65145">
              <w:rPr>
                <w:rFonts w:cs="Arial"/>
                <w:b/>
                <w:szCs w:val="22"/>
              </w:rPr>
              <w:t>Low back pain in past month at follow-up</w:t>
            </w:r>
          </w:p>
        </w:tc>
      </w:tr>
      <w:tr w:rsidR="00D65145" w:rsidRPr="00D65145" w:rsidTr="003210D7">
        <w:trPr>
          <w:trHeight w:val="454"/>
        </w:trPr>
        <w:tc>
          <w:tcPr>
            <w:tcW w:w="4595" w:type="dxa"/>
            <w:vMerge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386" w:type="dxa"/>
            <w:vMerge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104" w:type="dxa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b/>
                <w:szCs w:val="22"/>
              </w:rPr>
            </w:pPr>
            <w:r w:rsidRPr="00D65145">
              <w:rPr>
                <w:rFonts w:cs="Arial"/>
                <w:b/>
                <w:szCs w:val="22"/>
              </w:rPr>
              <w:t>Number of cases</w:t>
            </w:r>
          </w:p>
        </w:tc>
        <w:tc>
          <w:tcPr>
            <w:tcW w:w="2905" w:type="dxa"/>
            <w:gridSpan w:val="2"/>
            <w:tcBorders>
              <w:bottom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b/>
                <w:szCs w:val="22"/>
              </w:rPr>
            </w:pPr>
            <w:r w:rsidRPr="00D65145">
              <w:rPr>
                <w:rFonts w:cs="Arial"/>
                <w:b/>
                <w:szCs w:val="22"/>
              </w:rPr>
              <w:t>Prevalence % (95%CI)</w:t>
            </w:r>
          </w:p>
        </w:tc>
      </w:tr>
      <w:tr w:rsidR="00D65145" w:rsidRPr="00D65145" w:rsidTr="003210D7">
        <w:trPr>
          <w:trHeight w:val="454"/>
        </w:trPr>
        <w:tc>
          <w:tcPr>
            <w:tcW w:w="4595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386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104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317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588" w:type="dxa"/>
            <w:tcBorders>
              <w:top w:val="single" w:sz="12" w:space="0" w:color="auto"/>
            </w:tcBorders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</w:tr>
      <w:tr w:rsidR="00D65145" w:rsidRPr="00D65145" w:rsidTr="003210D7">
        <w:trPr>
          <w:trHeight w:val="454"/>
        </w:trPr>
        <w:tc>
          <w:tcPr>
            <w:tcW w:w="4595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Localised with no sciatica in past 12 months</w:t>
            </w:r>
          </w:p>
        </w:tc>
        <w:tc>
          <w:tcPr>
            <w:tcW w:w="27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386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282</w:t>
            </w:r>
          </w:p>
        </w:tc>
        <w:tc>
          <w:tcPr>
            <w:tcW w:w="27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144</w:t>
            </w:r>
          </w:p>
        </w:tc>
        <w:tc>
          <w:tcPr>
            <w:tcW w:w="1317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51.1</w:t>
            </w:r>
          </w:p>
        </w:tc>
        <w:tc>
          <w:tcPr>
            <w:tcW w:w="158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(45.1,57.0)</w:t>
            </w:r>
          </w:p>
        </w:tc>
      </w:tr>
      <w:tr w:rsidR="00D65145" w:rsidRPr="00D65145" w:rsidTr="003210D7">
        <w:trPr>
          <w:trHeight w:val="454"/>
        </w:trPr>
        <w:tc>
          <w:tcPr>
            <w:tcW w:w="4595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Localised with sciatica in past 12 months</w:t>
            </w:r>
          </w:p>
        </w:tc>
        <w:tc>
          <w:tcPr>
            <w:tcW w:w="27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386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158</w:t>
            </w:r>
          </w:p>
        </w:tc>
        <w:tc>
          <w:tcPr>
            <w:tcW w:w="27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94</w:t>
            </w:r>
          </w:p>
        </w:tc>
        <w:tc>
          <w:tcPr>
            <w:tcW w:w="1317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59.5</w:t>
            </w:r>
          </w:p>
        </w:tc>
        <w:tc>
          <w:tcPr>
            <w:tcW w:w="158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(51.4,67.1)</w:t>
            </w:r>
          </w:p>
        </w:tc>
      </w:tr>
      <w:tr w:rsidR="00D65145" w:rsidRPr="00D65145" w:rsidTr="003210D7">
        <w:trPr>
          <w:trHeight w:val="454"/>
        </w:trPr>
        <w:tc>
          <w:tcPr>
            <w:tcW w:w="4595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All localised low back pain</w:t>
            </w:r>
          </w:p>
        </w:tc>
        <w:tc>
          <w:tcPr>
            <w:tcW w:w="27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386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440</w:t>
            </w:r>
          </w:p>
        </w:tc>
        <w:tc>
          <w:tcPr>
            <w:tcW w:w="27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238</w:t>
            </w:r>
          </w:p>
        </w:tc>
        <w:tc>
          <w:tcPr>
            <w:tcW w:w="1317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54.1</w:t>
            </w:r>
          </w:p>
        </w:tc>
        <w:tc>
          <w:tcPr>
            <w:tcW w:w="158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(49.3,58.8)</w:t>
            </w:r>
          </w:p>
        </w:tc>
      </w:tr>
      <w:tr w:rsidR="00D65145" w:rsidRPr="00D65145" w:rsidTr="003210D7">
        <w:trPr>
          <w:trHeight w:val="454"/>
        </w:trPr>
        <w:tc>
          <w:tcPr>
            <w:tcW w:w="4595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7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386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27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1317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Cs w:val="22"/>
              </w:rPr>
            </w:pPr>
          </w:p>
        </w:tc>
        <w:tc>
          <w:tcPr>
            <w:tcW w:w="158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</w:tr>
      <w:tr w:rsidR="00D65145" w:rsidRPr="00D65145" w:rsidTr="003210D7">
        <w:trPr>
          <w:trHeight w:val="454"/>
        </w:trPr>
        <w:tc>
          <w:tcPr>
            <w:tcW w:w="4595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Non-localised with no sciatica in past 12 months</w:t>
            </w:r>
          </w:p>
        </w:tc>
        <w:tc>
          <w:tcPr>
            <w:tcW w:w="27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386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1,199</w:t>
            </w:r>
          </w:p>
        </w:tc>
        <w:tc>
          <w:tcPr>
            <w:tcW w:w="27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718</w:t>
            </w:r>
          </w:p>
        </w:tc>
        <w:tc>
          <w:tcPr>
            <w:tcW w:w="1317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59.9</w:t>
            </w:r>
          </w:p>
        </w:tc>
        <w:tc>
          <w:tcPr>
            <w:tcW w:w="158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(57.0,62.6)</w:t>
            </w:r>
          </w:p>
        </w:tc>
      </w:tr>
      <w:tr w:rsidR="00D65145" w:rsidRPr="00D65145" w:rsidTr="003210D7">
        <w:trPr>
          <w:trHeight w:val="454"/>
        </w:trPr>
        <w:tc>
          <w:tcPr>
            <w:tcW w:w="4595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Non-localised with sciatica in past 12 months</w:t>
            </w:r>
          </w:p>
        </w:tc>
        <w:tc>
          <w:tcPr>
            <w:tcW w:w="27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386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1,695</w:t>
            </w:r>
          </w:p>
        </w:tc>
        <w:tc>
          <w:tcPr>
            <w:tcW w:w="27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1,181</w:t>
            </w:r>
          </w:p>
        </w:tc>
        <w:tc>
          <w:tcPr>
            <w:tcW w:w="1317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69.7</w:t>
            </w:r>
          </w:p>
        </w:tc>
        <w:tc>
          <w:tcPr>
            <w:tcW w:w="158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(67.4,71.8)</w:t>
            </w:r>
          </w:p>
        </w:tc>
      </w:tr>
      <w:tr w:rsidR="00D65145" w:rsidRPr="00D65145" w:rsidTr="003210D7">
        <w:trPr>
          <w:trHeight w:val="454"/>
        </w:trPr>
        <w:tc>
          <w:tcPr>
            <w:tcW w:w="4595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All non-localised low back pain</w:t>
            </w:r>
          </w:p>
        </w:tc>
        <w:tc>
          <w:tcPr>
            <w:tcW w:w="27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386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2,894</w:t>
            </w:r>
          </w:p>
        </w:tc>
        <w:tc>
          <w:tcPr>
            <w:tcW w:w="27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104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center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1,899</w:t>
            </w:r>
          </w:p>
        </w:tc>
        <w:tc>
          <w:tcPr>
            <w:tcW w:w="1317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right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65.6</w:t>
            </w:r>
          </w:p>
        </w:tc>
        <w:tc>
          <w:tcPr>
            <w:tcW w:w="1588" w:type="dxa"/>
            <w:vAlign w:val="center"/>
          </w:tcPr>
          <w:p w:rsidR="00D65145" w:rsidRPr="00D65145" w:rsidRDefault="00D65145" w:rsidP="00D65145">
            <w:pPr>
              <w:spacing w:line="480" w:lineRule="auto"/>
              <w:jc w:val="left"/>
              <w:rPr>
                <w:rFonts w:cs="Arial"/>
                <w:szCs w:val="22"/>
              </w:rPr>
            </w:pPr>
            <w:r w:rsidRPr="00D65145">
              <w:rPr>
                <w:rFonts w:cs="Arial"/>
                <w:szCs w:val="22"/>
              </w:rPr>
              <w:t>(63.8,67.4)</w:t>
            </w:r>
          </w:p>
        </w:tc>
      </w:tr>
    </w:tbl>
    <w:p w:rsidR="00D65145" w:rsidRPr="00D65145" w:rsidRDefault="00D65145" w:rsidP="00D65145">
      <w:pPr>
        <w:keepNext/>
        <w:keepLines/>
        <w:spacing w:line="480" w:lineRule="auto"/>
        <w:jc w:val="left"/>
        <w:outlineLvl w:val="3"/>
        <w:rPr>
          <w:rFonts w:ascii="Arial Narrow" w:hAnsi="Arial Narrow"/>
          <w:b/>
          <w:bCs/>
          <w:iCs/>
          <w:sz w:val="24"/>
          <w:szCs w:val="22"/>
        </w:rPr>
      </w:pPr>
    </w:p>
    <w:p w:rsidR="00B77617" w:rsidRDefault="00B77617"/>
    <w:sectPr w:rsidR="00B77617" w:rsidSect="008E654B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45"/>
    <w:rsid w:val="00190A77"/>
    <w:rsid w:val="001B76D6"/>
    <w:rsid w:val="001D16A7"/>
    <w:rsid w:val="001E0BFC"/>
    <w:rsid w:val="001E5271"/>
    <w:rsid w:val="00495821"/>
    <w:rsid w:val="005A0856"/>
    <w:rsid w:val="005D307B"/>
    <w:rsid w:val="006B2903"/>
    <w:rsid w:val="00820976"/>
    <w:rsid w:val="008E654B"/>
    <w:rsid w:val="00A04DC4"/>
    <w:rsid w:val="00A55D77"/>
    <w:rsid w:val="00A66104"/>
    <w:rsid w:val="00A759C6"/>
    <w:rsid w:val="00AB10AA"/>
    <w:rsid w:val="00B20C23"/>
    <w:rsid w:val="00B77617"/>
    <w:rsid w:val="00BB0A2E"/>
    <w:rsid w:val="00BB7BF5"/>
    <w:rsid w:val="00CB2164"/>
    <w:rsid w:val="00CE48C1"/>
    <w:rsid w:val="00D01573"/>
    <w:rsid w:val="00D65145"/>
    <w:rsid w:val="00F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A3E78-FD86-4226-8AD8-D84D1D6A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pPr>
      <w:keepNext/>
      <w:jc w:val="left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Courier New"/>
      <w:b/>
      <w:bCs/>
      <w:szCs w:val="20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Univers" w:hAnsi="Univers"/>
      <w:b/>
      <w:szCs w:val="20"/>
      <w:lang w:val="de-CH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32"/>
    </w:rPr>
  </w:style>
  <w:style w:type="paragraph" w:styleId="Caption">
    <w:name w:val="caption"/>
    <w:aliases w:val="Table Title"/>
    <w:basedOn w:val="Normal"/>
    <w:next w:val="Normal"/>
    <w:autoRedefine/>
    <w:qFormat/>
    <w:pPr>
      <w:jc w:val="left"/>
    </w:pPr>
    <w:rPr>
      <w:b/>
      <w:i/>
      <w:iCs/>
    </w:rPr>
  </w:style>
  <w:style w:type="paragraph" w:styleId="TOC1">
    <w:name w:val="toc 1"/>
    <w:basedOn w:val="Normal"/>
    <w:next w:val="Normal"/>
    <w:autoRedefine/>
    <w:semiHidden/>
    <w:pPr>
      <w:spacing w:after="120"/>
      <w:jc w:val="left"/>
    </w:pPr>
    <w:rPr>
      <w:b/>
      <w:caps/>
    </w:rPr>
  </w:style>
  <w:style w:type="paragraph" w:styleId="TOC2">
    <w:name w:val="toc 2"/>
    <w:basedOn w:val="Normal"/>
    <w:next w:val="Normal"/>
    <w:autoRedefine/>
    <w:semiHidden/>
    <w:pPr>
      <w:spacing w:after="120"/>
      <w:ind w:left="245"/>
      <w:jc w:val="left"/>
    </w:pPr>
    <w:rPr>
      <w:b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280"/>
      </w:tabs>
      <w:spacing w:after="120"/>
      <w:ind w:left="475"/>
    </w:pPr>
    <w:rPr>
      <w:i/>
    </w:rPr>
  </w:style>
  <w:style w:type="paragraph" w:styleId="TOC4">
    <w:name w:val="toc 4"/>
    <w:basedOn w:val="Normal"/>
    <w:next w:val="Normal"/>
    <w:autoRedefine/>
    <w:semiHidden/>
    <w:pPr>
      <w:spacing w:after="120"/>
      <w:ind w:left="720"/>
    </w:pPr>
    <w:rPr>
      <w:i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jc w:val="right"/>
    </w:pPr>
    <w:rPr>
      <w:b/>
    </w:rPr>
  </w:style>
  <w:style w:type="paragraph" w:styleId="BodyText">
    <w:name w:val="Body Text"/>
    <w:basedOn w:val="Normal"/>
    <w:autoRedefine/>
    <w:semiHidden/>
  </w:style>
  <w:style w:type="paragraph" w:styleId="TableofFigures">
    <w:name w:val="table of figures"/>
    <w:basedOn w:val="Normal"/>
    <w:next w:val="Normal"/>
    <w:autoRedefine/>
    <w:semiHidden/>
    <w:pPr>
      <w:tabs>
        <w:tab w:val="right" w:pos="8280"/>
      </w:tabs>
      <w:spacing w:after="120"/>
      <w:ind w:left="1080" w:hanging="1080"/>
      <w:jc w:val="left"/>
    </w:pPr>
    <w:rPr>
      <w:b/>
      <w:noProof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Heading1IOSHReport">
    <w:name w:val="Heading 1 (IOSH Report)"/>
    <w:basedOn w:val="Normal"/>
    <w:link w:val="Heading1IOSHReportChar"/>
    <w:autoRedefine/>
    <w:qFormat/>
    <w:rsid w:val="00CB2164"/>
    <w:pPr>
      <w:spacing w:line="360" w:lineRule="auto"/>
      <w:jc w:val="left"/>
    </w:pPr>
    <w:rPr>
      <w:rFonts w:cs="Arial"/>
      <w:b/>
      <w:sz w:val="28"/>
      <w:szCs w:val="28"/>
      <w:lang w:eastAsia="en-GB"/>
    </w:rPr>
  </w:style>
  <w:style w:type="character" w:customStyle="1" w:styleId="Heading1IOSHReportChar">
    <w:name w:val="Heading 1 (IOSH Report) Char"/>
    <w:basedOn w:val="DefaultParagraphFont"/>
    <w:link w:val="Heading1IOSHReport"/>
    <w:rsid w:val="00CB2164"/>
    <w:rPr>
      <w:rFonts w:ascii="Arial" w:hAnsi="Arial" w:cs="Arial"/>
      <w:b/>
      <w:sz w:val="28"/>
      <w:szCs w:val="28"/>
    </w:rPr>
  </w:style>
  <w:style w:type="paragraph" w:customStyle="1" w:styleId="FiguresTabsandFigsIOSHReport">
    <w:name w:val="Figures Tabs and Figs (IOSH Report)"/>
    <w:basedOn w:val="Normal"/>
    <w:autoRedefine/>
    <w:qFormat/>
    <w:rsid w:val="00CB2164"/>
    <w:pPr>
      <w:jc w:val="left"/>
    </w:pPr>
    <w:rPr>
      <w:rFonts w:eastAsiaTheme="minorHAnsi" w:cs="Arial"/>
      <w:b/>
      <w:sz w:val="24"/>
      <w:szCs w:val="28"/>
    </w:rPr>
  </w:style>
  <w:style w:type="paragraph" w:styleId="EnvelopeAddress">
    <w:name w:val="envelope address"/>
    <w:basedOn w:val="Normal"/>
    <w:uiPriority w:val="99"/>
    <w:semiHidden/>
    <w:unhideWhenUsed/>
    <w:rsid w:val="00495821"/>
    <w:pPr>
      <w:framePr w:w="7920" w:h="1980" w:hRule="exact" w:hSpace="180" w:wrap="auto" w:hAnchor="page" w:xAlign="center" w:yAlign="bottom"/>
      <w:ind w:left="2880"/>
    </w:pPr>
    <w:rPr>
      <w:rFonts w:ascii="Comic Sans MS" w:eastAsiaTheme="majorEastAsia" w:hAnsi="Comic Sans MS" w:cstheme="majorBidi"/>
      <w:sz w:val="20"/>
    </w:rPr>
  </w:style>
  <w:style w:type="table" w:customStyle="1" w:styleId="TableGrid1">
    <w:name w:val="Table Grid1"/>
    <w:basedOn w:val="TableNormal"/>
    <w:next w:val="TableGrid"/>
    <w:uiPriority w:val="59"/>
    <w:rsid w:val="00D651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65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749</Words>
  <Characters>4427</Characters>
  <Application>Microsoft Office Word</Application>
  <DocSecurity>0</DocSecurity>
  <Lines>36</Lines>
  <Paragraphs>10</Paragraphs>
  <ScaleCrop>false</ScaleCrop>
  <Company/>
  <LinksUpToDate>false</LinksUpToDate>
  <CharactersWithSpaces>5166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Curtis</dc:creator>
  <cp:keywords/>
  <dc:description/>
  <cp:lastModifiedBy>Sue Curtis</cp:lastModifiedBy>
  <cp:revision>2</cp:revision>
  <dcterms:created xsi:type="dcterms:W3CDTF">2017-03-14T12:16:00Z</dcterms:created>
  <dcterms:modified xsi:type="dcterms:W3CDTF">2017-03-14T12:16:00Z</dcterms:modified>
</cp:coreProperties>
</file>