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F705D"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r w:rsidRPr="00C73325">
        <w:rPr>
          <w:rFonts w:ascii="Times New Roman" w:hAnsi="Times New Roman" w:cs="Times New Roman"/>
          <w:b/>
          <w:szCs w:val="24"/>
        </w:rPr>
        <w:t>Corporate governance and dividend pay-out policy in UK listed SMEs: The effects of corporate board characteristics</w:t>
      </w:r>
    </w:p>
    <w:p w14:paraId="2E867AAD"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781CFEFC"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0B6EF5F9"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3ADEFEA4" w14:textId="77777777" w:rsidR="00AD70E6"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17DBA15D" w14:textId="77777777" w:rsidR="00AD70E6" w:rsidRPr="002C1CB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vertAlign w:val="superscript"/>
        </w:rPr>
      </w:pPr>
      <w:r w:rsidRPr="00C73325">
        <w:rPr>
          <w:rFonts w:ascii="Times New Roman" w:hAnsi="Times New Roman" w:cs="Times New Roman"/>
          <w:b/>
          <w:szCs w:val="24"/>
        </w:rPr>
        <w:t xml:space="preserve">Mohamed H. </w:t>
      </w:r>
      <w:proofErr w:type="spellStart"/>
      <w:r w:rsidRPr="00C73325">
        <w:rPr>
          <w:rFonts w:ascii="Times New Roman" w:hAnsi="Times New Roman" w:cs="Times New Roman"/>
          <w:b/>
          <w:szCs w:val="24"/>
        </w:rPr>
        <w:t>Elmagrhi</w:t>
      </w:r>
      <w:r>
        <w:rPr>
          <w:rFonts w:ascii="Times New Roman" w:hAnsi="Times New Roman" w:cs="Times New Roman"/>
          <w:b/>
          <w:szCs w:val="24"/>
          <w:vertAlign w:val="superscript"/>
        </w:rPr>
        <w:t>a</w:t>
      </w:r>
      <w:proofErr w:type="spellEnd"/>
      <w:r w:rsidRPr="00C73325">
        <w:rPr>
          <w:rFonts w:ascii="Times New Roman" w:hAnsi="Times New Roman" w:cs="Times New Roman"/>
          <w:b/>
          <w:szCs w:val="24"/>
        </w:rPr>
        <w:t xml:space="preserve">, Collins G. </w:t>
      </w:r>
      <w:proofErr w:type="spellStart"/>
      <w:r w:rsidRPr="00C73325">
        <w:rPr>
          <w:rFonts w:ascii="Times New Roman" w:hAnsi="Times New Roman" w:cs="Times New Roman"/>
          <w:b/>
          <w:szCs w:val="24"/>
        </w:rPr>
        <w:t>Ntim</w:t>
      </w:r>
      <w:r>
        <w:rPr>
          <w:rFonts w:ascii="Times New Roman" w:hAnsi="Times New Roman" w:cs="Times New Roman"/>
          <w:b/>
          <w:szCs w:val="24"/>
          <w:vertAlign w:val="superscript"/>
        </w:rPr>
        <w:t>b</w:t>
      </w:r>
      <w:proofErr w:type="spellEnd"/>
      <w:r w:rsidRPr="00C73325">
        <w:rPr>
          <w:rFonts w:ascii="Times New Roman" w:eastAsia="SimSun" w:hAnsi="Times New Roman" w:cs="Times New Roman"/>
          <w:b/>
          <w:vertAlign w:val="superscript"/>
          <w:lang w:eastAsia="zh-CN"/>
        </w:rPr>
        <w:footnoteReference w:customMarkFollows="1" w:id="1"/>
        <w:sym w:font="Symbol" w:char="F0B7"/>
      </w:r>
      <w:r w:rsidRPr="00C73325">
        <w:rPr>
          <w:rFonts w:ascii="Times New Roman" w:hAnsi="Times New Roman" w:cs="Times New Roman"/>
          <w:b/>
          <w:szCs w:val="24"/>
        </w:rPr>
        <w:t xml:space="preserve">, Richard M. </w:t>
      </w:r>
      <w:proofErr w:type="spellStart"/>
      <w:r w:rsidRPr="00C73325">
        <w:rPr>
          <w:rFonts w:ascii="Times New Roman" w:hAnsi="Times New Roman" w:cs="Times New Roman"/>
          <w:b/>
          <w:szCs w:val="24"/>
        </w:rPr>
        <w:t>Crossley</w:t>
      </w:r>
      <w:r>
        <w:rPr>
          <w:rFonts w:ascii="Times New Roman" w:hAnsi="Times New Roman" w:cs="Times New Roman"/>
          <w:b/>
          <w:szCs w:val="24"/>
          <w:vertAlign w:val="superscript"/>
        </w:rPr>
        <w:t>c</w:t>
      </w:r>
      <w:proofErr w:type="spellEnd"/>
      <w:r w:rsidRPr="00C73325">
        <w:rPr>
          <w:rFonts w:ascii="Times New Roman" w:hAnsi="Times New Roman" w:cs="Times New Roman"/>
          <w:b/>
          <w:szCs w:val="24"/>
        </w:rPr>
        <w:t>,</w:t>
      </w:r>
      <w:r>
        <w:rPr>
          <w:rFonts w:ascii="Times New Roman" w:hAnsi="Times New Roman" w:cs="Times New Roman"/>
          <w:b/>
          <w:szCs w:val="24"/>
        </w:rPr>
        <w:t xml:space="preserve"> John </w:t>
      </w:r>
      <w:proofErr w:type="spellStart"/>
      <w:r>
        <w:rPr>
          <w:rFonts w:ascii="Times New Roman" w:hAnsi="Times New Roman" w:cs="Times New Roman"/>
          <w:b/>
          <w:szCs w:val="24"/>
        </w:rPr>
        <w:t>Malagila</w:t>
      </w:r>
      <w:r>
        <w:rPr>
          <w:rFonts w:ascii="Times New Roman" w:hAnsi="Times New Roman" w:cs="Times New Roman"/>
          <w:b/>
          <w:szCs w:val="24"/>
          <w:vertAlign w:val="superscript"/>
        </w:rPr>
        <w:t>b</w:t>
      </w:r>
      <w:proofErr w:type="spellEnd"/>
      <w:r>
        <w:rPr>
          <w:rFonts w:ascii="Times New Roman" w:hAnsi="Times New Roman" w:cs="Times New Roman"/>
          <w:b/>
          <w:szCs w:val="24"/>
        </w:rPr>
        <w:t xml:space="preserve">, Samuel </w:t>
      </w:r>
      <w:proofErr w:type="spellStart"/>
      <w:r>
        <w:rPr>
          <w:rFonts w:ascii="Times New Roman" w:hAnsi="Times New Roman" w:cs="Times New Roman"/>
          <w:b/>
          <w:szCs w:val="24"/>
        </w:rPr>
        <w:t>Fosu</w:t>
      </w:r>
      <w:r>
        <w:rPr>
          <w:rFonts w:ascii="Times New Roman" w:hAnsi="Times New Roman" w:cs="Times New Roman"/>
          <w:b/>
          <w:szCs w:val="24"/>
          <w:vertAlign w:val="superscript"/>
        </w:rPr>
        <w:t>d</w:t>
      </w:r>
      <w:proofErr w:type="spellEnd"/>
      <w:r>
        <w:rPr>
          <w:rFonts w:ascii="Times New Roman" w:hAnsi="Times New Roman" w:cs="Times New Roman"/>
          <w:b/>
          <w:szCs w:val="24"/>
        </w:rPr>
        <w:t xml:space="preserve">, and </w:t>
      </w:r>
      <w:r w:rsidRPr="00C73325">
        <w:rPr>
          <w:rFonts w:ascii="Times New Roman" w:hAnsi="Times New Roman" w:cs="Times New Roman"/>
          <w:b/>
          <w:szCs w:val="24"/>
        </w:rPr>
        <w:t xml:space="preserve">Tien V. </w:t>
      </w:r>
      <w:proofErr w:type="spellStart"/>
      <w:r w:rsidRPr="00C73325">
        <w:rPr>
          <w:rFonts w:ascii="Times New Roman" w:hAnsi="Times New Roman" w:cs="Times New Roman"/>
          <w:b/>
          <w:szCs w:val="24"/>
        </w:rPr>
        <w:t>Vu</w:t>
      </w:r>
      <w:r>
        <w:rPr>
          <w:rFonts w:ascii="Times New Roman" w:hAnsi="Times New Roman" w:cs="Times New Roman"/>
          <w:b/>
          <w:szCs w:val="24"/>
          <w:vertAlign w:val="superscript"/>
        </w:rPr>
        <w:t>c</w:t>
      </w:r>
      <w:proofErr w:type="spellEnd"/>
    </w:p>
    <w:p w14:paraId="5FCA20B5"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6855BB3C"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bookmarkStart w:id="0" w:name="_GoBack"/>
      <w:bookmarkEnd w:id="0"/>
    </w:p>
    <w:p w14:paraId="3BFCD3D3"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6D57161F"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40F8A69C" w14:textId="77777777" w:rsidR="00AD70E6" w:rsidRPr="00C73325" w:rsidRDefault="00AD70E6" w:rsidP="00AD70E6">
      <w:pPr>
        <w:spacing w:before="0" w:after="0"/>
        <w:jc w:val="center"/>
        <w:rPr>
          <w:rFonts w:eastAsia="SimSun" w:cs="Times New Roman"/>
          <w:lang w:val="en-US" w:eastAsia="zh-CN"/>
        </w:rPr>
      </w:pPr>
      <w:proofErr w:type="spellStart"/>
      <w:proofErr w:type="gramStart"/>
      <w:r>
        <w:rPr>
          <w:rFonts w:eastAsia="SimSun" w:cs="Times New Roman"/>
          <w:vertAlign w:val="superscript"/>
          <w:lang w:val="en-US" w:eastAsia="zh-CN"/>
        </w:rPr>
        <w:t>a</w:t>
      </w:r>
      <w:r>
        <w:rPr>
          <w:rFonts w:eastAsia="SimSun" w:cs="Times New Roman"/>
          <w:lang w:val="en-US" w:eastAsia="zh-CN"/>
        </w:rPr>
        <w:t>Accounting</w:t>
      </w:r>
      <w:proofErr w:type="spellEnd"/>
      <w:proofErr w:type="gramEnd"/>
      <w:r>
        <w:rPr>
          <w:rFonts w:eastAsia="SimSun" w:cs="Times New Roman"/>
          <w:lang w:val="en-US" w:eastAsia="zh-CN"/>
        </w:rPr>
        <w:t>, Finance and Economics Group</w:t>
      </w:r>
    </w:p>
    <w:p w14:paraId="1E1C988C" w14:textId="77777777" w:rsidR="00AD70E6" w:rsidRPr="00C73325" w:rsidRDefault="00AD70E6" w:rsidP="00AD70E6">
      <w:pPr>
        <w:spacing w:before="0" w:after="0"/>
        <w:jc w:val="center"/>
        <w:rPr>
          <w:rFonts w:eastAsia="SimSun" w:cs="Times New Roman"/>
          <w:lang w:val="en-US" w:eastAsia="zh-CN"/>
        </w:rPr>
      </w:pPr>
      <w:r>
        <w:rPr>
          <w:rFonts w:eastAsia="SimSun" w:cs="Times New Roman"/>
          <w:lang w:val="en-US" w:eastAsia="zh-CN"/>
        </w:rPr>
        <w:t>Royal Docks</w:t>
      </w:r>
      <w:r w:rsidRPr="00C73325">
        <w:rPr>
          <w:rFonts w:eastAsia="SimSun" w:cs="Times New Roman"/>
          <w:lang w:val="en-US" w:eastAsia="zh-CN"/>
        </w:rPr>
        <w:t xml:space="preserve"> </w:t>
      </w:r>
      <w:r>
        <w:rPr>
          <w:rFonts w:eastAsia="SimSun" w:cs="Times New Roman"/>
          <w:lang w:val="en-US" w:eastAsia="zh-CN"/>
        </w:rPr>
        <w:t xml:space="preserve">School of </w:t>
      </w:r>
      <w:r w:rsidRPr="00C73325">
        <w:rPr>
          <w:rFonts w:eastAsia="SimSun" w:cs="Times New Roman"/>
          <w:lang w:val="en-US" w:eastAsia="zh-CN"/>
        </w:rPr>
        <w:t xml:space="preserve">Business </w:t>
      </w:r>
      <w:r>
        <w:rPr>
          <w:rFonts w:eastAsia="SimSun" w:cs="Times New Roman"/>
          <w:lang w:val="en-US" w:eastAsia="zh-CN"/>
        </w:rPr>
        <w:t>and Law</w:t>
      </w:r>
    </w:p>
    <w:p w14:paraId="4A14FF96" w14:textId="77777777" w:rsidR="00AD70E6" w:rsidRPr="00C73325" w:rsidRDefault="00AD70E6" w:rsidP="00AD70E6">
      <w:pPr>
        <w:spacing w:before="0" w:after="0"/>
        <w:jc w:val="center"/>
        <w:rPr>
          <w:rFonts w:eastAsia="SimSun" w:cs="Times New Roman"/>
          <w:lang w:val="en-US" w:eastAsia="zh-CN"/>
        </w:rPr>
      </w:pPr>
      <w:r w:rsidRPr="00C73325">
        <w:rPr>
          <w:rFonts w:eastAsia="SimSun" w:cs="Times New Roman"/>
          <w:lang w:val="en-US" w:eastAsia="zh-CN"/>
        </w:rPr>
        <w:t xml:space="preserve">University of </w:t>
      </w:r>
      <w:r>
        <w:rPr>
          <w:rFonts w:eastAsia="SimSun" w:cs="Times New Roman"/>
          <w:lang w:val="en-US" w:eastAsia="zh-CN"/>
        </w:rPr>
        <w:t>East London</w:t>
      </w:r>
    </w:p>
    <w:p w14:paraId="229DF755" w14:textId="77777777" w:rsidR="00AD70E6" w:rsidRPr="00C73325" w:rsidRDefault="00AD70E6" w:rsidP="00AD70E6">
      <w:pPr>
        <w:spacing w:before="0" w:after="0"/>
        <w:jc w:val="center"/>
        <w:rPr>
          <w:rFonts w:eastAsia="SimSun" w:cs="Times New Roman"/>
          <w:lang w:val="en-US" w:eastAsia="zh-CN"/>
        </w:rPr>
      </w:pPr>
      <w:r>
        <w:rPr>
          <w:rFonts w:eastAsia="SimSun" w:cs="Times New Roman"/>
          <w:lang w:val="en-US" w:eastAsia="zh-CN"/>
        </w:rPr>
        <w:t>London</w:t>
      </w:r>
      <w:r w:rsidRPr="00C73325">
        <w:rPr>
          <w:rFonts w:eastAsia="SimSun" w:cs="Times New Roman"/>
          <w:lang w:val="en-US" w:eastAsia="zh-CN"/>
        </w:rPr>
        <w:t>, UK</w:t>
      </w:r>
    </w:p>
    <w:p w14:paraId="2126498E" w14:textId="77777777" w:rsidR="00AD70E6" w:rsidRPr="00C73325" w:rsidRDefault="00AD70E6" w:rsidP="00AD70E6">
      <w:pPr>
        <w:pStyle w:val="NoteLevel11"/>
        <w:keepNext w:val="0"/>
        <w:numPr>
          <w:ilvl w:val="0"/>
          <w:numId w:val="0"/>
        </w:numPr>
        <w:tabs>
          <w:tab w:val="left" w:pos="2805"/>
        </w:tabs>
        <w:spacing w:before="0" w:line="240" w:lineRule="auto"/>
        <w:contextualSpacing w:val="0"/>
        <w:outlineLvl w:val="9"/>
        <w:rPr>
          <w:rFonts w:ascii="Times New Roman" w:hAnsi="Times New Roman" w:cs="Times New Roman"/>
          <w:b/>
          <w:szCs w:val="24"/>
        </w:rPr>
      </w:pPr>
      <w:r w:rsidRPr="00C73325">
        <w:rPr>
          <w:rFonts w:ascii="Times New Roman" w:hAnsi="Times New Roman" w:cs="Times New Roman"/>
          <w:b/>
          <w:szCs w:val="24"/>
        </w:rPr>
        <w:tab/>
      </w:r>
    </w:p>
    <w:p w14:paraId="54E07F9C"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438C7843"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7EEE6E17" w14:textId="77777777" w:rsidR="00AD70E6" w:rsidRPr="001A7433"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szCs w:val="24"/>
        </w:rPr>
      </w:pPr>
      <w:proofErr w:type="spellStart"/>
      <w:proofErr w:type="gramStart"/>
      <w:r w:rsidRPr="001A7433">
        <w:rPr>
          <w:rFonts w:ascii="Times New Roman" w:hAnsi="Times New Roman" w:cs="Times New Roman"/>
          <w:szCs w:val="24"/>
          <w:vertAlign w:val="superscript"/>
        </w:rPr>
        <w:t>b</w:t>
      </w:r>
      <w:r w:rsidRPr="001A7433">
        <w:rPr>
          <w:rFonts w:ascii="Times New Roman" w:hAnsi="Times New Roman" w:cs="Times New Roman"/>
          <w:szCs w:val="24"/>
        </w:rPr>
        <w:t>Centre</w:t>
      </w:r>
      <w:proofErr w:type="spellEnd"/>
      <w:proofErr w:type="gramEnd"/>
      <w:r w:rsidRPr="001A7433">
        <w:rPr>
          <w:rFonts w:ascii="Times New Roman" w:hAnsi="Times New Roman" w:cs="Times New Roman"/>
          <w:szCs w:val="24"/>
        </w:rPr>
        <w:t xml:space="preserve"> for Research in Accounting, Accountability and Governance</w:t>
      </w:r>
    </w:p>
    <w:p w14:paraId="1C025AB3" w14:textId="77777777" w:rsidR="00AD70E6" w:rsidRPr="001A7433"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szCs w:val="24"/>
        </w:rPr>
      </w:pPr>
      <w:r w:rsidRPr="001A7433">
        <w:rPr>
          <w:rFonts w:ascii="Times New Roman" w:hAnsi="Times New Roman" w:cs="Times New Roman"/>
          <w:szCs w:val="24"/>
        </w:rPr>
        <w:t>Southampton Business School</w:t>
      </w:r>
    </w:p>
    <w:p w14:paraId="215E3FB3" w14:textId="77777777" w:rsidR="00AD70E6" w:rsidRPr="001A7433"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szCs w:val="24"/>
        </w:rPr>
      </w:pPr>
      <w:r w:rsidRPr="001A7433">
        <w:rPr>
          <w:rFonts w:ascii="Times New Roman" w:hAnsi="Times New Roman" w:cs="Times New Roman"/>
          <w:szCs w:val="24"/>
        </w:rPr>
        <w:t>University of Southampton</w:t>
      </w:r>
    </w:p>
    <w:p w14:paraId="37BE721F" w14:textId="77777777" w:rsidR="00AD70E6" w:rsidRPr="001A7433"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szCs w:val="24"/>
        </w:rPr>
      </w:pPr>
      <w:r w:rsidRPr="001A7433">
        <w:rPr>
          <w:rFonts w:ascii="Times New Roman" w:hAnsi="Times New Roman" w:cs="Times New Roman"/>
          <w:szCs w:val="24"/>
        </w:rPr>
        <w:t>Southampton, UK</w:t>
      </w:r>
    </w:p>
    <w:p w14:paraId="202CDCAA"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741A3195"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2BED1A70"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421C1786" w14:textId="77777777" w:rsidR="00AD70E6" w:rsidRPr="001A7433"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szCs w:val="24"/>
        </w:rPr>
      </w:pPr>
      <w:proofErr w:type="spellStart"/>
      <w:proofErr w:type="gramStart"/>
      <w:r w:rsidRPr="001A7433">
        <w:rPr>
          <w:rFonts w:ascii="Times New Roman" w:hAnsi="Times New Roman" w:cs="Times New Roman"/>
          <w:szCs w:val="24"/>
          <w:vertAlign w:val="superscript"/>
        </w:rPr>
        <w:t>c</w:t>
      </w:r>
      <w:r w:rsidRPr="001A7433">
        <w:rPr>
          <w:rFonts w:ascii="Times New Roman" w:hAnsi="Times New Roman" w:cs="Times New Roman"/>
          <w:szCs w:val="24"/>
        </w:rPr>
        <w:t>Financial</w:t>
      </w:r>
      <w:proofErr w:type="spellEnd"/>
      <w:proofErr w:type="gramEnd"/>
      <w:r w:rsidRPr="001A7433">
        <w:rPr>
          <w:rFonts w:ascii="Times New Roman" w:hAnsi="Times New Roman" w:cs="Times New Roman"/>
          <w:szCs w:val="24"/>
        </w:rPr>
        <w:t xml:space="preserve"> Ethics and Governance Research Group</w:t>
      </w:r>
    </w:p>
    <w:p w14:paraId="4ABF4B8B" w14:textId="77777777" w:rsidR="00AD70E6" w:rsidRPr="001A7433"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szCs w:val="24"/>
        </w:rPr>
      </w:pPr>
      <w:r w:rsidRPr="001A7433">
        <w:rPr>
          <w:rFonts w:ascii="Times New Roman" w:hAnsi="Times New Roman" w:cs="Times New Roman"/>
          <w:szCs w:val="24"/>
        </w:rPr>
        <w:t>Department of Accounting, Finance and Economics</w:t>
      </w:r>
    </w:p>
    <w:p w14:paraId="27C1E180" w14:textId="77777777" w:rsidR="00AD70E6" w:rsidRPr="001A7433"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szCs w:val="24"/>
        </w:rPr>
      </w:pPr>
      <w:r w:rsidRPr="001A7433">
        <w:rPr>
          <w:rFonts w:ascii="Times New Roman" w:hAnsi="Times New Roman" w:cs="Times New Roman"/>
          <w:szCs w:val="24"/>
        </w:rPr>
        <w:t>University of Huddersfield</w:t>
      </w:r>
    </w:p>
    <w:p w14:paraId="53F4A259" w14:textId="77777777" w:rsidR="00AD70E6" w:rsidRPr="001A7433"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szCs w:val="24"/>
        </w:rPr>
      </w:pPr>
      <w:r w:rsidRPr="001A7433">
        <w:rPr>
          <w:rFonts w:ascii="Times New Roman" w:hAnsi="Times New Roman" w:cs="Times New Roman"/>
          <w:szCs w:val="24"/>
        </w:rPr>
        <w:t>Huddersfield, UK</w:t>
      </w:r>
    </w:p>
    <w:p w14:paraId="6B0508AC"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3B2A8E3E" w14:textId="77777777" w:rsidR="00AD70E6"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6A9FBFC1" w14:textId="77777777" w:rsidR="00AD70E6"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0D8C4A26" w14:textId="77777777" w:rsidR="00AD70E6"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5A055105"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19021605" w14:textId="77777777" w:rsidR="00AD70E6" w:rsidRPr="000341A1" w:rsidRDefault="00AD70E6" w:rsidP="00AD70E6">
      <w:pPr>
        <w:spacing w:before="0" w:after="0"/>
        <w:jc w:val="center"/>
        <w:rPr>
          <w:rFonts w:eastAsiaTheme="minorEastAsia" w:cs="Times New Roman"/>
          <w:szCs w:val="24"/>
        </w:rPr>
      </w:pPr>
      <w:proofErr w:type="spellStart"/>
      <w:proofErr w:type="gramStart"/>
      <w:r>
        <w:rPr>
          <w:rFonts w:eastAsiaTheme="minorEastAsia" w:cs="Times New Roman"/>
          <w:szCs w:val="24"/>
          <w:vertAlign w:val="superscript"/>
        </w:rPr>
        <w:t>d</w:t>
      </w:r>
      <w:r w:rsidRPr="000341A1">
        <w:rPr>
          <w:rFonts w:eastAsiaTheme="minorEastAsia" w:cs="Times New Roman"/>
          <w:szCs w:val="24"/>
        </w:rPr>
        <w:t>Department</w:t>
      </w:r>
      <w:proofErr w:type="spellEnd"/>
      <w:proofErr w:type="gramEnd"/>
      <w:r w:rsidRPr="000341A1">
        <w:rPr>
          <w:rFonts w:eastAsiaTheme="minorEastAsia" w:cs="Times New Roman"/>
          <w:szCs w:val="24"/>
        </w:rPr>
        <w:t xml:space="preserve"> of Finance</w:t>
      </w:r>
    </w:p>
    <w:p w14:paraId="00137232" w14:textId="77777777" w:rsidR="00AD70E6" w:rsidRPr="000341A1" w:rsidRDefault="00AD70E6" w:rsidP="00AD70E6">
      <w:pPr>
        <w:spacing w:before="0" w:after="0"/>
        <w:jc w:val="center"/>
        <w:rPr>
          <w:rFonts w:eastAsiaTheme="minorEastAsia" w:cs="Times New Roman"/>
          <w:szCs w:val="24"/>
        </w:rPr>
      </w:pPr>
      <w:r w:rsidRPr="000341A1">
        <w:rPr>
          <w:rFonts w:eastAsiaTheme="minorEastAsia" w:cs="Times New Roman"/>
          <w:szCs w:val="24"/>
        </w:rPr>
        <w:t>Birmingham Business School</w:t>
      </w:r>
    </w:p>
    <w:p w14:paraId="05109A5F" w14:textId="77777777" w:rsidR="00AD70E6" w:rsidRPr="000341A1" w:rsidRDefault="00AD70E6" w:rsidP="00AD70E6">
      <w:pPr>
        <w:spacing w:before="0" w:after="0"/>
        <w:jc w:val="center"/>
        <w:rPr>
          <w:rFonts w:eastAsiaTheme="minorEastAsia" w:cs="Times New Roman"/>
          <w:szCs w:val="24"/>
        </w:rPr>
      </w:pPr>
      <w:r w:rsidRPr="000341A1">
        <w:rPr>
          <w:rFonts w:eastAsiaTheme="minorEastAsia" w:cs="Times New Roman"/>
          <w:szCs w:val="24"/>
        </w:rPr>
        <w:t>University of Birmingham</w:t>
      </w:r>
    </w:p>
    <w:p w14:paraId="68FED673" w14:textId="77777777" w:rsidR="00AD70E6" w:rsidRDefault="00AD70E6" w:rsidP="00AD70E6">
      <w:pPr>
        <w:spacing w:before="0" w:after="0"/>
        <w:jc w:val="center"/>
        <w:rPr>
          <w:rFonts w:eastAsiaTheme="minorEastAsia" w:cs="Times New Roman"/>
          <w:szCs w:val="24"/>
        </w:rPr>
      </w:pPr>
      <w:r w:rsidRPr="000341A1">
        <w:rPr>
          <w:rFonts w:eastAsiaTheme="minorEastAsia" w:cs="Times New Roman"/>
          <w:szCs w:val="24"/>
        </w:rPr>
        <w:t>Birmingham, UK.</w:t>
      </w:r>
    </w:p>
    <w:p w14:paraId="1375DA28"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2B3EF2C5"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28F438EC"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3C3888E8"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5FE8F795" w14:textId="77777777" w:rsidR="00AD70E6" w:rsidRPr="00C73325" w:rsidRDefault="00AD70E6" w:rsidP="00AD70E6">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112A5C57" w14:textId="77777777" w:rsidR="00572B4D" w:rsidRPr="00C73325" w:rsidRDefault="00572B4D" w:rsidP="000F6B14">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2A7B5F03" w14:textId="77777777" w:rsidR="000F6B14" w:rsidRPr="00C73325" w:rsidRDefault="000F6B14" w:rsidP="00291964">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p>
    <w:p w14:paraId="3C9E2B0A" w14:textId="1B408D45" w:rsidR="000338CC" w:rsidRPr="00C73325" w:rsidRDefault="007C6CE3" w:rsidP="00291964">
      <w:pPr>
        <w:pStyle w:val="NoteLevel11"/>
        <w:keepNext w:val="0"/>
        <w:numPr>
          <w:ilvl w:val="0"/>
          <w:numId w:val="0"/>
        </w:numPr>
        <w:spacing w:before="0" w:line="240" w:lineRule="auto"/>
        <w:contextualSpacing w:val="0"/>
        <w:jc w:val="center"/>
        <w:outlineLvl w:val="9"/>
        <w:rPr>
          <w:rFonts w:ascii="Times New Roman" w:hAnsi="Times New Roman" w:cs="Times New Roman"/>
          <w:b/>
          <w:szCs w:val="24"/>
        </w:rPr>
      </w:pPr>
      <w:r w:rsidRPr="00C73325">
        <w:rPr>
          <w:rFonts w:ascii="Times New Roman" w:hAnsi="Times New Roman" w:cs="Times New Roman"/>
          <w:b/>
          <w:szCs w:val="24"/>
        </w:rPr>
        <w:t xml:space="preserve">Corporate governance and dividend </w:t>
      </w:r>
      <w:r w:rsidR="00606A44" w:rsidRPr="00C73325">
        <w:rPr>
          <w:rFonts w:ascii="Times New Roman" w:hAnsi="Times New Roman" w:cs="Times New Roman"/>
          <w:b/>
          <w:szCs w:val="24"/>
        </w:rPr>
        <w:t>pay</w:t>
      </w:r>
      <w:r w:rsidR="00855D30" w:rsidRPr="00C73325">
        <w:rPr>
          <w:rFonts w:ascii="Times New Roman" w:hAnsi="Times New Roman" w:cs="Times New Roman"/>
          <w:b/>
          <w:szCs w:val="24"/>
        </w:rPr>
        <w:t>-</w:t>
      </w:r>
      <w:r w:rsidR="00606A44" w:rsidRPr="00C73325">
        <w:rPr>
          <w:rFonts w:ascii="Times New Roman" w:hAnsi="Times New Roman" w:cs="Times New Roman"/>
          <w:b/>
          <w:szCs w:val="24"/>
        </w:rPr>
        <w:t xml:space="preserve">out </w:t>
      </w:r>
      <w:r w:rsidRPr="00C73325">
        <w:rPr>
          <w:rFonts w:ascii="Times New Roman" w:hAnsi="Times New Roman" w:cs="Times New Roman"/>
          <w:b/>
          <w:szCs w:val="24"/>
        </w:rPr>
        <w:t>policy in UK listed SMEs: The effects of corporate board characteristics</w:t>
      </w:r>
    </w:p>
    <w:p w14:paraId="2BD9C6DC" w14:textId="77777777" w:rsidR="00904DDD" w:rsidRDefault="00904DDD" w:rsidP="001055B4">
      <w:pPr>
        <w:pStyle w:val="Heading1"/>
        <w:rPr>
          <w:color w:val="auto"/>
        </w:rPr>
      </w:pPr>
    </w:p>
    <w:p w14:paraId="1AE5FCAC" w14:textId="77777777" w:rsidR="000338CC" w:rsidRPr="00C73325" w:rsidRDefault="000338CC" w:rsidP="001055B4">
      <w:pPr>
        <w:pStyle w:val="Heading1"/>
        <w:rPr>
          <w:color w:val="auto"/>
        </w:rPr>
      </w:pPr>
      <w:r w:rsidRPr="00C73325">
        <w:rPr>
          <w:color w:val="auto"/>
        </w:rPr>
        <w:t>Abstract</w:t>
      </w:r>
    </w:p>
    <w:p w14:paraId="40164E22" w14:textId="77777777" w:rsidR="00606A44" w:rsidRPr="00C73325" w:rsidRDefault="00606A44" w:rsidP="00606A44">
      <w:pPr>
        <w:spacing w:before="0" w:after="0" w:line="360" w:lineRule="auto"/>
      </w:pPr>
    </w:p>
    <w:p w14:paraId="01FE0163" w14:textId="53FBDDB5" w:rsidR="00320334" w:rsidRPr="00904DDD" w:rsidRDefault="00320334" w:rsidP="00D36A98">
      <w:pPr>
        <w:spacing w:before="0" w:after="0" w:line="360" w:lineRule="auto"/>
        <w:rPr>
          <w:rFonts w:cs="Times New Roman"/>
          <w:szCs w:val="24"/>
        </w:rPr>
      </w:pPr>
      <w:r w:rsidRPr="00904DDD">
        <w:rPr>
          <w:rFonts w:cs="Times New Roman"/>
          <w:b/>
          <w:szCs w:val="24"/>
        </w:rPr>
        <w:t>Purpose:</w:t>
      </w:r>
      <w:r w:rsidR="00904DDD" w:rsidRPr="00904DDD">
        <w:rPr>
          <w:rFonts w:cs="Times New Roman"/>
          <w:szCs w:val="24"/>
        </w:rPr>
        <w:t xml:space="preserve"> </w:t>
      </w:r>
      <w:r w:rsidR="000338CC" w:rsidRPr="00904DDD">
        <w:rPr>
          <w:rFonts w:cs="Times New Roman"/>
          <w:szCs w:val="24"/>
        </w:rPr>
        <w:t xml:space="preserve">This </w:t>
      </w:r>
      <w:r w:rsidR="00D51A77" w:rsidRPr="00904DDD">
        <w:rPr>
          <w:rFonts w:cs="Times New Roman"/>
          <w:szCs w:val="24"/>
        </w:rPr>
        <w:t>paper</w:t>
      </w:r>
      <w:r w:rsidR="000338CC" w:rsidRPr="00904DDD">
        <w:rPr>
          <w:rFonts w:cs="Times New Roman"/>
          <w:szCs w:val="24"/>
        </w:rPr>
        <w:t xml:space="preserve"> examines the extent to which </w:t>
      </w:r>
      <w:r w:rsidR="007C6CE3" w:rsidRPr="00904DDD">
        <w:rPr>
          <w:rFonts w:cs="Times New Roman"/>
          <w:szCs w:val="24"/>
        </w:rPr>
        <w:t>c</w:t>
      </w:r>
      <w:r w:rsidR="000338CC" w:rsidRPr="00904DDD">
        <w:rPr>
          <w:rFonts w:cs="Times New Roman"/>
          <w:szCs w:val="24"/>
        </w:rPr>
        <w:t xml:space="preserve">orporate </w:t>
      </w:r>
      <w:r w:rsidR="007C6CE3" w:rsidRPr="00904DDD">
        <w:rPr>
          <w:rFonts w:cs="Times New Roman"/>
          <w:szCs w:val="24"/>
        </w:rPr>
        <w:t>b</w:t>
      </w:r>
      <w:r w:rsidR="005060A6" w:rsidRPr="00904DDD">
        <w:rPr>
          <w:rFonts w:cs="Times New Roman"/>
          <w:szCs w:val="24"/>
        </w:rPr>
        <w:t>oard</w:t>
      </w:r>
      <w:r w:rsidR="000338CC" w:rsidRPr="00904DDD">
        <w:rPr>
          <w:rFonts w:cs="Times New Roman"/>
          <w:szCs w:val="24"/>
        </w:rPr>
        <w:t xml:space="preserve"> characteristics influence </w:t>
      </w:r>
      <w:r w:rsidR="00606A44" w:rsidRPr="00904DDD">
        <w:rPr>
          <w:rFonts w:cs="Times New Roman"/>
          <w:szCs w:val="24"/>
        </w:rPr>
        <w:t xml:space="preserve">the level of dividend </w:t>
      </w:r>
      <w:r w:rsidR="00855D30" w:rsidRPr="00904DDD">
        <w:rPr>
          <w:rFonts w:cs="Times New Roman"/>
          <w:szCs w:val="24"/>
        </w:rPr>
        <w:t>pay-out</w:t>
      </w:r>
      <w:r w:rsidR="000338CC" w:rsidRPr="00904DDD">
        <w:rPr>
          <w:rFonts w:cs="Times New Roman"/>
          <w:szCs w:val="24"/>
        </w:rPr>
        <w:t xml:space="preserve"> </w:t>
      </w:r>
      <w:r w:rsidR="009577B3" w:rsidRPr="00904DDD">
        <w:rPr>
          <w:rFonts w:cs="Times New Roman"/>
          <w:szCs w:val="24"/>
        </w:rPr>
        <w:t xml:space="preserve">ratio </w:t>
      </w:r>
      <w:r w:rsidR="000338CC" w:rsidRPr="00904DDD">
        <w:rPr>
          <w:rFonts w:cs="Times New Roman"/>
          <w:szCs w:val="24"/>
        </w:rPr>
        <w:t xml:space="preserve">using a sample of </w:t>
      </w:r>
      <w:r w:rsidR="0044019B" w:rsidRPr="00904DDD">
        <w:rPr>
          <w:rFonts w:cs="Times New Roman"/>
          <w:szCs w:val="24"/>
        </w:rPr>
        <w:t>UK small and medium</w:t>
      </w:r>
      <w:r w:rsidR="00DB6BAE" w:rsidRPr="00904DDD">
        <w:rPr>
          <w:rFonts w:cs="Times New Roman"/>
          <w:szCs w:val="24"/>
        </w:rPr>
        <w:t>-</w:t>
      </w:r>
      <w:r w:rsidR="0044019B" w:rsidRPr="00904DDD">
        <w:rPr>
          <w:rFonts w:cs="Times New Roman"/>
          <w:szCs w:val="24"/>
        </w:rPr>
        <w:t>size</w:t>
      </w:r>
      <w:r w:rsidR="00DB6BAE" w:rsidRPr="00904DDD">
        <w:rPr>
          <w:rFonts w:cs="Times New Roman"/>
          <w:szCs w:val="24"/>
        </w:rPr>
        <w:t>d</w:t>
      </w:r>
      <w:r w:rsidR="00091082" w:rsidRPr="00904DDD">
        <w:rPr>
          <w:rFonts w:cs="Times New Roman"/>
          <w:szCs w:val="24"/>
        </w:rPr>
        <w:t xml:space="preserve"> enterprises</w:t>
      </w:r>
      <w:r w:rsidR="004341A9" w:rsidRPr="00904DDD">
        <w:rPr>
          <w:rFonts w:cs="Times New Roman"/>
          <w:szCs w:val="24"/>
        </w:rPr>
        <w:t xml:space="preserve"> (SMEs)</w:t>
      </w:r>
      <w:r w:rsidR="000338CC" w:rsidRPr="00904DDD">
        <w:rPr>
          <w:rFonts w:cs="Times New Roman"/>
          <w:szCs w:val="24"/>
        </w:rPr>
        <w:t xml:space="preserve"> </w:t>
      </w:r>
      <w:r w:rsidR="005060A6" w:rsidRPr="00904DDD">
        <w:rPr>
          <w:rFonts w:cs="Times New Roman"/>
          <w:szCs w:val="24"/>
        </w:rPr>
        <w:t>from 2010 to 2013</w:t>
      </w:r>
      <w:r w:rsidR="00133ABC" w:rsidRPr="00904DDD">
        <w:rPr>
          <w:rFonts w:cs="Times New Roman"/>
          <w:szCs w:val="24"/>
        </w:rPr>
        <w:t xml:space="preserve"> listed on the Alternative Investment Market</w:t>
      </w:r>
      <w:r w:rsidR="00091082" w:rsidRPr="00904DDD">
        <w:rPr>
          <w:rFonts w:cs="Times New Roman"/>
          <w:szCs w:val="24"/>
        </w:rPr>
        <w:t>.</w:t>
      </w:r>
      <w:r w:rsidR="000338CC" w:rsidRPr="00904DDD">
        <w:rPr>
          <w:rFonts w:cs="Times New Roman"/>
          <w:szCs w:val="24"/>
        </w:rPr>
        <w:t xml:space="preserve"> </w:t>
      </w:r>
    </w:p>
    <w:p w14:paraId="604D0978" w14:textId="77777777" w:rsidR="00320334" w:rsidRPr="00904DDD" w:rsidRDefault="00320334" w:rsidP="00D36A98">
      <w:pPr>
        <w:spacing w:before="0" w:after="0" w:line="360" w:lineRule="auto"/>
        <w:rPr>
          <w:rFonts w:cs="Times New Roman"/>
          <w:szCs w:val="24"/>
        </w:rPr>
      </w:pPr>
    </w:p>
    <w:p w14:paraId="06713415" w14:textId="7B357B23" w:rsidR="00320334" w:rsidRPr="00904DDD" w:rsidRDefault="00904DDD" w:rsidP="00D36A98">
      <w:pPr>
        <w:spacing w:before="0" w:after="0" w:line="360" w:lineRule="auto"/>
        <w:rPr>
          <w:rFonts w:cs="Times New Roman"/>
          <w:szCs w:val="24"/>
        </w:rPr>
      </w:pPr>
      <w:r w:rsidRPr="00904DDD">
        <w:rPr>
          <w:rFonts w:cs="Times New Roman"/>
          <w:b/>
          <w:szCs w:val="24"/>
        </w:rPr>
        <w:t>Design/methodology/approach</w:t>
      </w:r>
      <w:r w:rsidRPr="00904DDD">
        <w:rPr>
          <w:rFonts w:cs="Times New Roman"/>
          <w:szCs w:val="24"/>
        </w:rPr>
        <w:t xml:space="preserve">: </w:t>
      </w:r>
      <w:r w:rsidR="000338CC" w:rsidRPr="00904DDD">
        <w:rPr>
          <w:rFonts w:cs="Times New Roman"/>
          <w:szCs w:val="24"/>
        </w:rPr>
        <w:t>The data is analysed by employing multivariate regression techniques</w:t>
      </w:r>
      <w:r w:rsidR="002C1CB5">
        <w:rPr>
          <w:rFonts w:cs="Times New Roman"/>
          <w:szCs w:val="24"/>
        </w:rPr>
        <w:t>, including estimating fixed effects, lagged effects and two-stage least squares</w:t>
      </w:r>
      <w:r w:rsidR="000E43CD">
        <w:rPr>
          <w:rFonts w:cs="Times New Roman"/>
          <w:szCs w:val="24"/>
        </w:rPr>
        <w:t xml:space="preserve"> regressions</w:t>
      </w:r>
      <w:r w:rsidR="000338CC" w:rsidRPr="00904DDD">
        <w:rPr>
          <w:rFonts w:cs="Times New Roman"/>
          <w:szCs w:val="24"/>
        </w:rPr>
        <w:t xml:space="preserve">. </w:t>
      </w:r>
    </w:p>
    <w:p w14:paraId="36999A24" w14:textId="77777777" w:rsidR="00320334" w:rsidRPr="00904DDD" w:rsidRDefault="00320334" w:rsidP="00D36A98">
      <w:pPr>
        <w:spacing w:before="0" w:after="0" w:line="360" w:lineRule="auto"/>
        <w:rPr>
          <w:rFonts w:cs="Times New Roman"/>
          <w:szCs w:val="24"/>
        </w:rPr>
      </w:pPr>
    </w:p>
    <w:p w14:paraId="7D1FB79C" w14:textId="25916951" w:rsidR="00904DDD" w:rsidRPr="00904DDD" w:rsidRDefault="00904DDD" w:rsidP="00D36A98">
      <w:pPr>
        <w:spacing w:before="0" w:after="0" w:line="360" w:lineRule="auto"/>
        <w:rPr>
          <w:rFonts w:cs="Times New Roman"/>
          <w:szCs w:val="24"/>
        </w:rPr>
      </w:pPr>
      <w:r w:rsidRPr="00904DDD">
        <w:rPr>
          <w:rFonts w:cs="Times New Roman"/>
          <w:b/>
          <w:szCs w:val="24"/>
        </w:rPr>
        <w:t>Findings:</w:t>
      </w:r>
      <w:r w:rsidRPr="00904DDD">
        <w:rPr>
          <w:rFonts w:cs="Times New Roman"/>
          <w:szCs w:val="24"/>
        </w:rPr>
        <w:t xml:space="preserve"> </w:t>
      </w:r>
      <w:r w:rsidR="00091082" w:rsidRPr="00904DDD">
        <w:rPr>
          <w:rFonts w:cs="Times New Roman"/>
          <w:szCs w:val="24"/>
        </w:rPr>
        <w:t xml:space="preserve">The results </w:t>
      </w:r>
      <w:r w:rsidR="00AF040A" w:rsidRPr="00904DDD">
        <w:rPr>
          <w:rFonts w:cs="Times New Roman"/>
          <w:szCs w:val="24"/>
        </w:rPr>
        <w:t>show</w:t>
      </w:r>
      <w:r w:rsidR="00091082" w:rsidRPr="00904DDD">
        <w:rPr>
          <w:rFonts w:cs="Times New Roman"/>
          <w:szCs w:val="24"/>
        </w:rPr>
        <w:t xml:space="preserve"> that board size, </w:t>
      </w:r>
      <w:r w:rsidR="00137830" w:rsidRPr="00904DDD">
        <w:rPr>
          <w:rFonts w:cs="Times New Roman"/>
          <w:szCs w:val="24"/>
        </w:rPr>
        <w:t xml:space="preserve">the </w:t>
      </w:r>
      <w:r w:rsidR="00091082" w:rsidRPr="00904DDD">
        <w:rPr>
          <w:rFonts w:cs="Times New Roman"/>
          <w:szCs w:val="24"/>
        </w:rPr>
        <w:t xml:space="preserve">frequency of board meetings, board gender diversity and audit committee size have a significant relationship with </w:t>
      </w:r>
      <w:r w:rsidR="005C1041" w:rsidRPr="00904DDD">
        <w:rPr>
          <w:rFonts w:cs="Times New Roman"/>
          <w:szCs w:val="24"/>
        </w:rPr>
        <w:t xml:space="preserve">the level of </w:t>
      </w:r>
      <w:r w:rsidR="00091082" w:rsidRPr="00904DDD">
        <w:rPr>
          <w:rFonts w:cs="Times New Roman"/>
          <w:szCs w:val="24"/>
        </w:rPr>
        <w:t xml:space="preserve">dividend </w:t>
      </w:r>
      <w:r w:rsidR="00855D30" w:rsidRPr="00904DDD">
        <w:rPr>
          <w:rFonts w:cs="Times New Roman"/>
          <w:szCs w:val="24"/>
        </w:rPr>
        <w:t>pay-out</w:t>
      </w:r>
      <w:r w:rsidR="00091082" w:rsidRPr="00904DDD">
        <w:rPr>
          <w:rFonts w:cs="Times New Roman"/>
          <w:szCs w:val="24"/>
        </w:rPr>
        <w:t xml:space="preserve">. Audit committee size and board size have a positive association with the </w:t>
      </w:r>
      <w:r w:rsidR="00606A44" w:rsidRPr="00904DDD">
        <w:rPr>
          <w:rFonts w:cs="Times New Roman"/>
          <w:szCs w:val="24"/>
        </w:rPr>
        <w:t xml:space="preserve">level of </w:t>
      </w:r>
      <w:r w:rsidR="00091082" w:rsidRPr="00904DDD">
        <w:rPr>
          <w:rFonts w:cs="Times New Roman"/>
          <w:szCs w:val="24"/>
        </w:rPr>
        <w:t xml:space="preserve">dividend </w:t>
      </w:r>
      <w:r w:rsidR="00855D30" w:rsidRPr="00904DDD">
        <w:rPr>
          <w:rFonts w:cs="Times New Roman"/>
          <w:szCs w:val="24"/>
        </w:rPr>
        <w:t>pay-out</w:t>
      </w:r>
      <w:r w:rsidR="00091082" w:rsidRPr="00904DDD">
        <w:rPr>
          <w:rFonts w:cs="Times New Roman"/>
          <w:szCs w:val="24"/>
        </w:rPr>
        <w:t xml:space="preserve">, whilst </w:t>
      </w:r>
      <w:r w:rsidR="00137830" w:rsidRPr="00904DDD">
        <w:rPr>
          <w:rFonts w:cs="Times New Roman"/>
          <w:szCs w:val="24"/>
        </w:rPr>
        <w:t xml:space="preserve">the </w:t>
      </w:r>
      <w:r w:rsidR="00C86B37" w:rsidRPr="00904DDD">
        <w:rPr>
          <w:rFonts w:cs="Times New Roman"/>
          <w:szCs w:val="24"/>
        </w:rPr>
        <w:t>frequency of board meetings and board gender diversity has</w:t>
      </w:r>
      <w:r w:rsidR="00091082" w:rsidRPr="00904DDD">
        <w:rPr>
          <w:rFonts w:cs="Times New Roman"/>
          <w:szCs w:val="24"/>
        </w:rPr>
        <w:t xml:space="preserve"> a significant negative relationship with </w:t>
      </w:r>
      <w:r w:rsidR="00606A44" w:rsidRPr="00904DDD">
        <w:rPr>
          <w:rFonts w:cs="Times New Roman"/>
          <w:szCs w:val="24"/>
        </w:rPr>
        <w:t xml:space="preserve">the level of </w:t>
      </w:r>
      <w:r w:rsidR="00091082" w:rsidRPr="00904DDD">
        <w:rPr>
          <w:rFonts w:cs="Times New Roman"/>
          <w:szCs w:val="24"/>
        </w:rPr>
        <w:t xml:space="preserve">dividend </w:t>
      </w:r>
      <w:r w:rsidR="00855D30" w:rsidRPr="00904DDD">
        <w:rPr>
          <w:rFonts w:cs="Times New Roman"/>
          <w:szCs w:val="24"/>
        </w:rPr>
        <w:t>pay-out</w:t>
      </w:r>
      <w:r w:rsidR="00091082" w:rsidRPr="00904DDD">
        <w:rPr>
          <w:rFonts w:cs="Times New Roman"/>
          <w:szCs w:val="24"/>
        </w:rPr>
        <w:t>. By contrast, the findings suggest that board independence and CEO role duality do not have any significant effect on</w:t>
      </w:r>
      <w:r w:rsidR="00606A44" w:rsidRPr="00904DDD">
        <w:rPr>
          <w:rFonts w:cs="Times New Roman"/>
          <w:szCs w:val="24"/>
        </w:rPr>
        <w:t xml:space="preserve"> the level of</w:t>
      </w:r>
      <w:r w:rsidR="00091082" w:rsidRPr="00904DDD">
        <w:rPr>
          <w:rFonts w:cs="Times New Roman"/>
          <w:szCs w:val="24"/>
        </w:rPr>
        <w:t xml:space="preserve"> dividend </w:t>
      </w:r>
      <w:r w:rsidR="00855D30" w:rsidRPr="00904DDD">
        <w:rPr>
          <w:rFonts w:cs="Times New Roman"/>
          <w:szCs w:val="24"/>
        </w:rPr>
        <w:t>pay-out</w:t>
      </w:r>
      <w:r w:rsidR="00091082" w:rsidRPr="00904DDD">
        <w:rPr>
          <w:rFonts w:cs="Times New Roman"/>
          <w:szCs w:val="24"/>
        </w:rPr>
        <w:t xml:space="preserve">. </w:t>
      </w:r>
    </w:p>
    <w:p w14:paraId="0CAD08E3" w14:textId="77777777" w:rsidR="00904DDD" w:rsidRPr="00904DDD" w:rsidRDefault="00904DDD" w:rsidP="00D36A98">
      <w:pPr>
        <w:spacing w:before="0" w:after="0" w:line="360" w:lineRule="auto"/>
        <w:rPr>
          <w:rFonts w:cs="Times New Roman"/>
          <w:szCs w:val="24"/>
        </w:rPr>
      </w:pPr>
    </w:p>
    <w:p w14:paraId="6171662E" w14:textId="73217E18" w:rsidR="00D36A98" w:rsidRPr="00904DDD" w:rsidRDefault="00904DDD" w:rsidP="00D36A98">
      <w:pPr>
        <w:spacing w:before="0" w:after="0" w:line="360" w:lineRule="auto"/>
        <w:rPr>
          <w:rFonts w:cs="Times New Roman"/>
          <w:szCs w:val="24"/>
        </w:rPr>
      </w:pPr>
      <w:r w:rsidRPr="00904DDD">
        <w:rPr>
          <w:rFonts w:cs="Times New Roman"/>
          <w:b/>
          <w:szCs w:val="24"/>
        </w:rPr>
        <w:t>Originality/value:</w:t>
      </w:r>
      <w:r w:rsidRPr="00904DDD">
        <w:rPr>
          <w:rFonts w:cs="Times New Roman"/>
          <w:szCs w:val="24"/>
        </w:rPr>
        <w:t xml:space="preserve"> </w:t>
      </w:r>
      <w:r w:rsidR="00E179FD">
        <w:rPr>
          <w:rFonts w:cs="Times New Roman"/>
          <w:szCs w:val="24"/>
        </w:rPr>
        <w:t xml:space="preserve">This </w:t>
      </w:r>
      <w:r w:rsidR="00791C97">
        <w:rPr>
          <w:rFonts w:cs="Times New Roman"/>
          <w:szCs w:val="24"/>
        </w:rPr>
        <w:t xml:space="preserve">is </w:t>
      </w:r>
      <w:r w:rsidR="00E179FD">
        <w:rPr>
          <w:rFonts w:cs="Times New Roman"/>
          <w:szCs w:val="24"/>
        </w:rPr>
        <w:t>one of the first attempts at examining the relationship between corporate governance and dividend policy in the UK’s Alternative Investment Market, with the</w:t>
      </w:r>
      <w:r w:rsidR="00D36A98" w:rsidRPr="00904DDD">
        <w:rPr>
          <w:rFonts w:cs="Times New Roman"/>
          <w:szCs w:val="24"/>
        </w:rPr>
        <w:t xml:space="preserve"> analysis </w:t>
      </w:r>
      <w:r w:rsidR="00E179FD">
        <w:rPr>
          <w:rFonts w:cs="Times New Roman"/>
          <w:szCs w:val="24"/>
        </w:rPr>
        <w:t>distinctively</w:t>
      </w:r>
      <w:r w:rsidR="00D36A98" w:rsidRPr="00904DDD">
        <w:rPr>
          <w:rFonts w:cs="Times New Roman"/>
          <w:szCs w:val="24"/>
        </w:rPr>
        <w:t xml:space="preserve"> informed by agency theoretical insights drawn from the outcome and substitution hypothes</w:t>
      </w:r>
      <w:r w:rsidR="00DB6BAE" w:rsidRPr="00904DDD">
        <w:rPr>
          <w:rFonts w:cs="Times New Roman"/>
          <w:szCs w:val="24"/>
        </w:rPr>
        <w:t>e</w:t>
      </w:r>
      <w:r w:rsidR="00D36A98" w:rsidRPr="00904DDD">
        <w:rPr>
          <w:rFonts w:cs="Times New Roman"/>
          <w:szCs w:val="24"/>
        </w:rPr>
        <w:t>s.</w:t>
      </w:r>
    </w:p>
    <w:p w14:paraId="1CBE7A62" w14:textId="77777777" w:rsidR="00091082" w:rsidRPr="00904DDD" w:rsidRDefault="00091082" w:rsidP="00606A44">
      <w:pPr>
        <w:spacing w:before="0" w:after="0" w:line="360" w:lineRule="auto"/>
        <w:rPr>
          <w:rFonts w:cs="Times New Roman"/>
          <w:szCs w:val="24"/>
        </w:rPr>
      </w:pPr>
    </w:p>
    <w:p w14:paraId="761C96EB" w14:textId="18BBCFD7" w:rsidR="00AA7168" w:rsidRPr="00C73325" w:rsidRDefault="00606A44" w:rsidP="00AA7168">
      <w:pPr>
        <w:rPr>
          <w:b/>
        </w:rPr>
      </w:pPr>
      <w:r w:rsidRPr="00C73325">
        <w:rPr>
          <w:b/>
        </w:rPr>
        <w:t xml:space="preserve">Keywords: corporate governance; </w:t>
      </w:r>
      <w:r w:rsidR="00B802E5" w:rsidRPr="00C73325">
        <w:rPr>
          <w:b/>
        </w:rPr>
        <w:t xml:space="preserve">corporate </w:t>
      </w:r>
      <w:r w:rsidRPr="00C73325">
        <w:rPr>
          <w:b/>
        </w:rPr>
        <w:t xml:space="preserve">board characteristics; dividend </w:t>
      </w:r>
      <w:r w:rsidR="00855D30" w:rsidRPr="00C73325">
        <w:rPr>
          <w:b/>
        </w:rPr>
        <w:t>pay-out</w:t>
      </w:r>
      <w:r w:rsidRPr="00C73325">
        <w:rPr>
          <w:b/>
        </w:rPr>
        <w:t xml:space="preserve"> policy; </w:t>
      </w:r>
      <w:r w:rsidR="00AA7168" w:rsidRPr="00C73325">
        <w:rPr>
          <w:b/>
        </w:rPr>
        <w:t>UK listed SMEs</w:t>
      </w:r>
      <w:r w:rsidRPr="00C73325">
        <w:rPr>
          <w:b/>
        </w:rPr>
        <w:t xml:space="preserve">; </w:t>
      </w:r>
      <w:r w:rsidR="00DB6BAE">
        <w:rPr>
          <w:b/>
        </w:rPr>
        <w:t>outcome versus substitution hypothesis</w:t>
      </w:r>
    </w:p>
    <w:p w14:paraId="7D2FD377" w14:textId="41D69B0D" w:rsidR="00606A44" w:rsidRPr="00C73325" w:rsidRDefault="00606A44" w:rsidP="00AA7168">
      <w:pPr>
        <w:rPr>
          <w:b/>
        </w:rPr>
        <w:sectPr w:rsidR="00606A44" w:rsidRPr="00C73325">
          <w:footerReference w:type="default" r:id="rId8"/>
          <w:pgSz w:w="11906" w:h="16838"/>
          <w:pgMar w:top="1440" w:right="1440" w:bottom="1440" w:left="1440" w:header="708" w:footer="708" w:gutter="0"/>
          <w:cols w:space="708"/>
          <w:docGrid w:linePitch="360"/>
        </w:sectPr>
      </w:pPr>
      <w:r w:rsidRPr="00C73325">
        <w:rPr>
          <w:b/>
        </w:rPr>
        <w:t xml:space="preserve"> </w:t>
      </w:r>
    </w:p>
    <w:p w14:paraId="1B8422C2" w14:textId="1406A46C" w:rsidR="00A4118C" w:rsidRPr="00C73325" w:rsidRDefault="00EE612C" w:rsidP="007C6CE3">
      <w:pPr>
        <w:pStyle w:val="Heading1"/>
        <w:numPr>
          <w:ilvl w:val="0"/>
          <w:numId w:val="6"/>
        </w:numPr>
        <w:rPr>
          <w:color w:val="auto"/>
          <w:szCs w:val="24"/>
        </w:rPr>
      </w:pPr>
      <w:r w:rsidRPr="00C73325">
        <w:rPr>
          <w:color w:val="auto"/>
          <w:szCs w:val="24"/>
        </w:rPr>
        <w:lastRenderedPageBreak/>
        <w:t>Introduction</w:t>
      </w:r>
    </w:p>
    <w:p w14:paraId="1835D6AE" w14:textId="77777777" w:rsidR="00426635" w:rsidRPr="00C73325" w:rsidRDefault="00426635" w:rsidP="00426635">
      <w:pPr>
        <w:spacing w:before="0" w:after="0"/>
        <w:ind w:firstLine="567"/>
        <w:rPr>
          <w:rFonts w:eastAsia="MS Gothic" w:cs="Times New Roman"/>
          <w:szCs w:val="24"/>
        </w:rPr>
      </w:pPr>
    </w:p>
    <w:p w14:paraId="7EEA1930" w14:textId="746EBBD3" w:rsidR="00426635" w:rsidRPr="00C73325" w:rsidRDefault="00D36A98" w:rsidP="00D36A98">
      <w:pPr>
        <w:spacing w:before="0" w:after="0" w:line="360" w:lineRule="auto"/>
        <w:ind w:firstLine="360"/>
        <w:rPr>
          <w:rFonts w:eastAsia="MS Gothic" w:cs="Times New Roman"/>
          <w:szCs w:val="24"/>
        </w:rPr>
      </w:pPr>
      <w:r w:rsidRPr="00F45A19">
        <w:rPr>
          <w:rFonts w:eastAsia="MS Gothic" w:cs="Times New Roman"/>
          <w:szCs w:val="24"/>
        </w:rPr>
        <w:t xml:space="preserve">Small and </w:t>
      </w:r>
      <w:r w:rsidR="00335DDD">
        <w:rPr>
          <w:rFonts w:eastAsia="MS Gothic" w:cs="Times New Roman"/>
          <w:szCs w:val="24"/>
        </w:rPr>
        <w:t>m</w:t>
      </w:r>
      <w:r w:rsidRPr="00F45A19">
        <w:rPr>
          <w:rFonts w:eastAsia="MS Gothic" w:cs="Times New Roman"/>
          <w:szCs w:val="24"/>
        </w:rPr>
        <w:t>edium</w:t>
      </w:r>
      <w:r w:rsidR="00335DDD">
        <w:rPr>
          <w:rFonts w:eastAsia="MS Gothic" w:cs="Times New Roman"/>
          <w:szCs w:val="24"/>
        </w:rPr>
        <w:t>-s</w:t>
      </w:r>
      <w:r w:rsidRPr="00F45A19">
        <w:rPr>
          <w:rFonts w:eastAsia="MS Gothic" w:cs="Times New Roman"/>
          <w:szCs w:val="24"/>
        </w:rPr>
        <w:t>ize</w:t>
      </w:r>
      <w:r w:rsidR="00335DDD">
        <w:rPr>
          <w:rFonts w:eastAsia="MS Gothic" w:cs="Times New Roman"/>
          <w:szCs w:val="24"/>
        </w:rPr>
        <w:t>d</w:t>
      </w:r>
      <w:r w:rsidRPr="00F45A19">
        <w:rPr>
          <w:rFonts w:eastAsia="MS Gothic" w:cs="Times New Roman"/>
          <w:szCs w:val="24"/>
        </w:rPr>
        <w:t xml:space="preserve"> </w:t>
      </w:r>
      <w:r w:rsidR="00335DDD">
        <w:rPr>
          <w:rFonts w:eastAsia="MS Gothic" w:cs="Times New Roman"/>
          <w:szCs w:val="24"/>
        </w:rPr>
        <w:t>e</w:t>
      </w:r>
      <w:r w:rsidRPr="00F45A19">
        <w:rPr>
          <w:rFonts w:eastAsia="MS Gothic" w:cs="Times New Roman"/>
          <w:szCs w:val="24"/>
        </w:rPr>
        <w:t xml:space="preserve">nterprises (SMEs) have played, and </w:t>
      </w:r>
      <w:r w:rsidR="001E21CC">
        <w:rPr>
          <w:rFonts w:eastAsia="MS Gothic" w:cs="Times New Roman"/>
          <w:szCs w:val="24"/>
        </w:rPr>
        <w:t xml:space="preserve">are </w:t>
      </w:r>
      <w:r w:rsidRPr="00F45A19">
        <w:rPr>
          <w:rFonts w:eastAsia="MS Gothic" w:cs="Times New Roman"/>
          <w:szCs w:val="24"/>
        </w:rPr>
        <w:t>increasingly playing, an important role in most economies around the world, including in the UK. For example, in the UK, SMEs contribute up to 60 percent of total private sector employment. They account for about 99 percent of all private sector businesses and 47 percent of total private sector turnover (</w:t>
      </w:r>
      <w:r w:rsidRPr="00F45A19">
        <w:t>White</w:t>
      </w:r>
      <w:r w:rsidRPr="00F45A19">
        <w:rPr>
          <w:rFonts w:eastAsia="MS Gothic" w:cs="Times New Roman"/>
          <w:szCs w:val="24"/>
        </w:rPr>
        <w:t>, 2016)</w:t>
      </w:r>
      <w:r w:rsidR="00133ABC">
        <w:rPr>
          <w:rFonts w:eastAsia="MS Gothic" w:cs="Times New Roman"/>
          <w:szCs w:val="24"/>
        </w:rPr>
        <w:t xml:space="preserve">, with a small number </w:t>
      </w:r>
      <w:r w:rsidR="005D5BAA">
        <w:rPr>
          <w:rFonts w:eastAsia="MS Gothic" w:cs="Times New Roman"/>
          <w:szCs w:val="24"/>
        </w:rPr>
        <w:t xml:space="preserve">of them </w:t>
      </w:r>
      <w:r w:rsidR="00133ABC">
        <w:rPr>
          <w:rFonts w:eastAsia="MS Gothic" w:cs="Times New Roman"/>
          <w:szCs w:val="24"/>
        </w:rPr>
        <w:t>listed on the London Stock Exchange’s Alternative Investment Market (AIM)</w:t>
      </w:r>
      <w:r w:rsidRPr="00F45A19">
        <w:rPr>
          <w:rFonts w:eastAsia="MS Gothic" w:cs="Times New Roman"/>
          <w:szCs w:val="24"/>
        </w:rPr>
        <w:t xml:space="preserve">. </w:t>
      </w:r>
      <w:r w:rsidRPr="00F45A19">
        <w:rPr>
          <w:rFonts w:eastAsiaTheme="minorEastAsia" w:cs="Times New Roman"/>
        </w:rPr>
        <w:t>Thus, failure of SMEs can lead to significant reputational damage to the sector</w:t>
      </w:r>
      <w:r w:rsidR="00E916EB">
        <w:rPr>
          <w:rFonts w:eastAsiaTheme="minorEastAsia" w:cs="Times New Roman"/>
        </w:rPr>
        <w:t>,</w:t>
      </w:r>
      <w:r w:rsidRPr="00F45A19">
        <w:rPr>
          <w:rFonts w:eastAsiaTheme="minorEastAsia" w:cs="Times New Roman"/>
        </w:rPr>
        <w:t xml:space="preserve"> as well as the UK economy (</w:t>
      </w:r>
      <w:proofErr w:type="spellStart"/>
      <w:r w:rsidRPr="00F45A19">
        <w:rPr>
          <w:rFonts w:eastAsiaTheme="minorEastAsia" w:cs="Times New Roman"/>
        </w:rPr>
        <w:t>Herbane</w:t>
      </w:r>
      <w:proofErr w:type="spellEnd"/>
      <w:r w:rsidRPr="00F45A19">
        <w:rPr>
          <w:rFonts w:eastAsiaTheme="minorEastAsia" w:cs="Times New Roman"/>
        </w:rPr>
        <w:t>, 2013). In spite of the importance of SMEs to UK and worldwide economy, there seems to be a lack of empirical evidence regarding the impact of board mechanisms on dividend pay-out polic</w:t>
      </w:r>
      <w:r w:rsidR="00335DDD">
        <w:rPr>
          <w:rFonts w:eastAsiaTheme="minorEastAsia" w:cs="Times New Roman"/>
        </w:rPr>
        <w:t>ies</w:t>
      </w:r>
      <w:r w:rsidRPr="00F45A19">
        <w:rPr>
          <w:rFonts w:eastAsiaTheme="minorEastAsia" w:cs="Times New Roman"/>
        </w:rPr>
        <w:t xml:space="preserve"> of SMEs (</w:t>
      </w:r>
      <w:proofErr w:type="spellStart"/>
      <w:r w:rsidRPr="00F45A19">
        <w:rPr>
          <w:rFonts w:eastAsiaTheme="minorEastAsia" w:cs="Times New Roman"/>
        </w:rPr>
        <w:t>Belghitar</w:t>
      </w:r>
      <w:proofErr w:type="spellEnd"/>
      <w:r w:rsidRPr="00F45A19">
        <w:rPr>
          <w:rFonts w:eastAsiaTheme="minorEastAsia" w:cs="Times New Roman"/>
        </w:rPr>
        <w:t xml:space="preserve"> &amp; Khan, 2013). </w:t>
      </w:r>
      <w:r w:rsidRPr="00F45A19">
        <w:rPr>
          <w:rFonts w:eastAsia="MS Gothic" w:cs="Times New Roman"/>
          <w:szCs w:val="24"/>
        </w:rPr>
        <w:t xml:space="preserve"> </w:t>
      </w:r>
      <w:r w:rsidR="00335DDD">
        <w:rPr>
          <w:rFonts w:eastAsia="MS Gothic" w:cs="Times New Roman"/>
          <w:szCs w:val="24"/>
        </w:rPr>
        <w:t>Meanwhile t</w:t>
      </w:r>
      <w:r w:rsidR="00A4118C" w:rsidRPr="00C73325">
        <w:rPr>
          <w:rFonts w:eastAsia="MS Gothic" w:cs="Times New Roman"/>
          <w:szCs w:val="24"/>
        </w:rPr>
        <w:t xml:space="preserve">he </w:t>
      </w:r>
      <w:r w:rsidR="00426635" w:rsidRPr="00FF6091">
        <w:rPr>
          <w:rFonts w:eastAsia="MS Gothic" w:cs="Times New Roman"/>
          <w:szCs w:val="24"/>
        </w:rPr>
        <w:t xml:space="preserve">continuous public interest and discussions </w:t>
      </w:r>
      <w:r w:rsidR="00CD152C" w:rsidRPr="002E11E6">
        <w:rPr>
          <w:rFonts w:eastAsia="MS Gothic" w:cs="Times New Roman"/>
          <w:szCs w:val="24"/>
        </w:rPr>
        <w:t>surrounding board</w:t>
      </w:r>
      <w:r w:rsidR="0020247F" w:rsidRPr="002E11E6">
        <w:rPr>
          <w:rFonts w:eastAsia="MS Gothic" w:cs="Times New Roman"/>
          <w:szCs w:val="24"/>
        </w:rPr>
        <w:t xml:space="preserve"> </w:t>
      </w:r>
      <w:r w:rsidR="00426635" w:rsidRPr="002E11E6">
        <w:rPr>
          <w:rFonts w:eastAsia="MS Gothic" w:cs="Times New Roman"/>
          <w:szCs w:val="24"/>
        </w:rPr>
        <w:t>mechanisms</w:t>
      </w:r>
      <w:r w:rsidR="0020247F" w:rsidRPr="002E11E6">
        <w:rPr>
          <w:rFonts w:eastAsia="MS Gothic" w:cs="Times New Roman"/>
          <w:szCs w:val="24"/>
        </w:rPr>
        <w:t xml:space="preserve"> </w:t>
      </w:r>
      <w:r w:rsidR="00F02CC6" w:rsidRPr="002E11E6">
        <w:rPr>
          <w:rFonts w:eastAsia="MS Gothic" w:cs="Times New Roman"/>
          <w:szCs w:val="24"/>
        </w:rPr>
        <w:t>supports the idea that</w:t>
      </w:r>
      <w:r w:rsidR="0020247F" w:rsidRPr="00C73325">
        <w:rPr>
          <w:rFonts w:eastAsia="MS Gothic" w:cs="Times New Roman"/>
          <w:szCs w:val="24"/>
        </w:rPr>
        <w:t xml:space="preserve"> </w:t>
      </w:r>
      <w:r w:rsidR="001E53A6" w:rsidRPr="00C73325">
        <w:rPr>
          <w:rFonts w:eastAsia="MS Gothic" w:cs="Times New Roman"/>
          <w:szCs w:val="24"/>
        </w:rPr>
        <w:t>c</w:t>
      </w:r>
      <w:r w:rsidR="0020247F" w:rsidRPr="00C73325">
        <w:rPr>
          <w:rFonts w:eastAsia="MS Gothic" w:cs="Times New Roman"/>
          <w:szCs w:val="24"/>
        </w:rPr>
        <w:t xml:space="preserve">orporate </w:t>
      </w:r>
      <w:r w:rsidR="001E53A6" w:rsidRPr="00C73325">
        <w:rPr>
          <w:rFonts w:eastAsia="MS Gothic" w:cs="Times New Roman"/>
          <w:szCs w:val="24"/>
        </w:rPr>
        <w:t>b</w:t>
      </w:r>
      <w:r w:rsidR="0020247F" w:rsidRPr="00C73325">
        <w:rPr>
          <w:rFonts w:eastAsia="MS Gothic" w:cs="Times New Roman"/>
          <w:szCs w:val="24"/>
        </w:rPr>
        <w:t xml:space="preserve">oard </w:t>
      </w:r>
      <w:r w:rsidR="003B7BB3" w:rsidRPr="00C73325">
        <w:rPr>
          <w:rFonts w:eastAsia="MS Gothic" w:cs="Times New Roman"/>
          <w:szCs w:val="24"/>
        </w:rPr>
        <w:t xml:space="preserve">features </w:t>
      </w:r>
      <w:r w:rsidR="0020247F" w:rsidRPr="00C73325">
        <w:rPr>
          <w:rFonts w:eastAsia="MS Gothic" w:cs="Times New Roman"/>
          <w:szCs w:val="24"/>
        </w:rPr>
        <w:t xml:space="preserve">may affect dividend </w:t>
      </w:r>
      <w:r w:rsidR="00855D30" w:rsidRPr="00C73325">
        <w:rPr>
          <w:rFonts w:eastAsia="MS Gothic" w:cs="Times New Roman"/>
          <w:szCs w:val="24"/>
        </w:rPr>
        <w:t>pay-out</w:t>
      </w:r>
      <w:r w:rsidR="0020247F" w:rsidRPr="00C73325">
        <w:rPr>
          <w:rFonts w:eastAsia="MS Gothic" w:cs="Times New Roman"/>
          <w:szCs w:val="24"/>
        </w:rPr>
        <w:t xml:space="preserve"> (Hu </w:t>
      </w:r>
      <w:r w:rsidR="00361278" w:rsidRPr="00C73325">
        <w:rPr>
          <w:rFonts w:eastAsia="MS Gothic" w:cs="Times New Roman"/>
          <w:szCs w:val="24"/>
        </w:rPr>
        <w:t>&amp;</w:t>
      </w:r>
      <w:r w:rsidR="0020247F" w:rsidRPr="00C73325">
        <w:rPr>
          <w:rFonts w:eastAsia="MS Gothic" w:cs="Times New Roman"/>
          <w:szCs w:val="24"/>
        </w:rPr>
        <w:t xml:space="preserve"> Kumar</w:t>
      </w:r>
      <w:r w:rsidR="00FA0B2A" w:rsidRPr="00C73325">
        <w:rPr>
          <w:rFonts w:eastAsia="MS Gothic" w:cs="Times New Roman"/>
          <w:szCs w:val="24"/>
        </w:rPr>
        <w:t>,</w:t>
      </w:r>
      <w:r w:rsidR="0020247F" w:rsidRPr="00C73325">
        <w:rPr>
          <w:rFonts w:eastAsia="MS Gothic" w:cs="Times New Roman"/>
          <w:szCs w:val="24"/>
        </w:rPr>
        <w:t xml:space="preserve"> 2004; </w:t>
      </w:r>
      <w:proofErr w:type="spellStart"/>
      <w:r w:rsidR="0020247F" w:rsidRPr="00C73325">
        <w:rPr>
          <w:rFonts w:eastAsia="MS Gothic" w:cs="Times New Roman"/>
          <w:szCs w:val="24"/>
        </w:rPr>
        <w:t>Ozkan</w:t>
      </w:r>
      <w:proofErr w:type="spellEnd"/>
      <w:r w:rsidR="0020247F" w:rsidRPr="00C73325">
        <w:rPr>
          <w:rFonts w:eastAsia="MS Gothic" w:cs="Times New Roman"/>
          <w:szCs w:val="24"/>
        </w:rPr>
        <w:t xml:space="preserve"> </w:t>
      </w:r>
      <w:r w:rsidR="00806B0A" w:rsidRPr="00C73325">
        <w:rPr>
          <w:rFonts w:eastAsia="MS Gothic" w:cs="Times New Roman"/>
          <w:szCs w:val="24"/>
        </w:rPr>
        <w:t xml:space="preserve">&amp; </w:t>
      </w:r>
      <w:proofErr w:type="spellStart"/>
      <w:r w:rsidR="00806B0A" w:rsidRPr="00C73325">
        <w:rPr>
          <w:rFonts w:eastAsia="MS Gothic" w:cs="Times New Roman"/>
          <w:szCs w:val="24"/>
        </w:rPr>
        <w:t>Mancinelli</w:t>
      </w:r>
      <w:proofErr w:type="spellEnd"/>
      <w:r w:rsidR="00FA0B2A" w:rsidRPr="00C73325">
        <w:rPr>
          <w:rFonts w:eastAsia="MS Gothic" w:cs="Times New Roman"/>
          <w:szCs w:val="24"/>
        </w:rPr>
        <w:t>,</w:t>
      </w:r>
      <w:r w:rsidR="00806B0A" w:rsidRPr="00C73325">
        <w:rPr>
          <w:rFonts w:eastAsia="MS Gothic" w:cs="Times New Roman"/>
          <w:szCs w:val="24"/>
        </w:rPr>
        <w:t xml:space="preserve"> </w:t>
      </w:r>
      <w:r w:rsidR="0020247F" w:rsidRPr="00C73325">
        <w:rPr>
          <w:rFonts w:eastAsia="MS Gothic" w:cs="Times New Roman"/>
          <w:szCs w:val="24"/>
        </w:rPr>
        <w:t>2006;</w:t>
      </w:r>
      <w:r w:rsidR="0020247F" w:rsidRPr="00C73325">
        <w:t xml:space="preserve"> </w:t>
      </w:r>
      <w:r w:rsidR="0020247F" w:rsidRPr="00C73325">
        <w:rPr>
          <w:rFonts w:eastAsia="MS Gothic" w:cs="Times New Roman"/>
          <w:szCs w:val="24"/>
        </w:rPr>
        <w:t xml:space="preserve">Ghosh </w:t>
      </w:r>
      <w:r w:rsidR="00361278" w:rsidRPr="00C73325">
        <w:rPr>
          <w:rFonts w:eastAsia="MS Gothic" w:cs="Times New Roman"/>
          <w:szCs w:val="24"/>
        </w:rPr>
        <w:t>&amp;</w:t>
      </w:r>
      <w:r w:rsidR="0020247F" w:rsidRPr="00C73325">
        <w:rPr>
          <w:rFonts w:eastAsia="MS Gothic" w:cs="Times New Roman"/>
          <w:szCs w:val="24"/>
        </w:rPr>
        <w:t xml:space="preserve"> </w:t>
      </w:r>
      <w:proofErr w:type="spellStart"/>
      <w:r w:rsidR="0020247F" w:rsidRPr="00C73325">
        <w:rPr>
          <w:rFonts w:eastAsia="MS Gothic" w:cs="Times New Roman"/>
          <w:szCs w:val="24"/>
        </w:rPr>
        <w:t>Sirmans</w:t>
      </w:r>
      <w:proofErr w:type="spellEnd"/>
      <w:r w:rsidR="00FA0B2A" w:rsidRPr="00C73325">
        <w:rPr>
          <w:rFonts w:eastAsia="MS Gothic" w:cs="Times New Roman"/>
          <w:szCs w:val="24"/>
        </w:rPr>
        <w:t>,</w:t>
      </w:r>
      <w:r w:rsidR="0020247F" w:rsidRPr="00C73325">
        <w:rPr>
          <w:rFonts w:eastAsia="MS Gothic" w:cs="Times New Roman"/>
          <w:szCs w:val="24"/>
        </w:rPr>
        <w:t xml:space="preserve"> 2006; </w:t>
      </w:r>
      <w:r w:rsidR="0016793E" w:rsidRPr="00C73325">
        <w:rPr>
          <w:rFonts w:eastAsia="MS Gothic" w:cs="Times New Roman"/>
          <w:szCs w:val="24"/>
        </w:rPr>
        <w:t>How</w:t>
      </w:r>
      <w:r w:rsidR="00E76F0C" w:rsidRPr="00C73325">
        <w:rPr>
          <w:rFonts w:eastAsia="MS Gothic" w:cs="Times New Roman"/>
          <w:szCs w:val="24"/>
        </w:rPr>
        <w:t xml:space="preserve"> et al.</w:t>
      </w:r>
      <w:r w:rsidR="00FA0B2A" w:rsidRPr="00C73325">
        <w:rPr>
          <w:rFonts w:eastAsia="MS Gothic" w:cs="Times New Roman"/>
          <w:szCs w:val="24"/>
        </w:rPr>
        <w:t>,</w:t>
      </w:r>
      <w:r w:rsidR="0020247F" w:rsidRPr="00C73325">
        <w:rPr>
          <w:rFonts w:eastAsia="MS Gothic" w:cs="Times New Roman"/>
          <w:szCs w:val="24"/>
        </w:rPr>
        <w:t xml:space="preserve"> 2008; Al-</w:t>
      </w:r>
      <w:proofErr w:type="spellStart"/>
      <w:r w:rsidR="0020247F" w:rsidRPr="00C73325">
        <w:rPr>
          <w:rFonts w:eastAsia="MS Gothic" w:cs="Times New Roman"/>
          <w:szCs w:val="24"/>
        </w:rPr>
        <w:t>Najjar</w:t>
      </w:r>
      <w:proofErr w:type="spellEnd"/>
      <w:r w:rsidR="0020247F" w:rsidRPr="00C73325">
        <w:rPr>
          <w:rFonts w:eastAsia="MS Gothic" w:cs="Times New Roman"/>
          <w:szCs w:val="24"/>
        </w:rPr>
        <w:t xml:space="preserve"> </w:t>
      </w:r>
      <w:r w:rsidR="00361278" w:rsidRPr="00C73325">
        <w:rPr>
          <w:rFonts w:eastAsia="MS Gothic" w:cs="Times New Roman"/>
          <w:szCs w:val="24"/>
        </w:rPr>
        <w:t>&amp;</w:t>
      </w:r>
      <w:r w:rsidR="0020247F" w:rsidRPr="00C73325">
        <w:rPr>
          <w:rFonts w:eastAsia="MS Gothic" w:cs="Times New Roman"/>
          <w:szCs w:val="24"/>
        </w:rPr>
        <w:t xml:space="preserve"> </w:t>
      </w:r>
      <w:proofErr w:type="spellStart"/>
      <w:r w:rsidR="0020247F" w:rsidRPr="00C73325">
        <w:rPr>
          <w:rFonts w:eastAsia="MS Gothic" w:cs="Times New Roman"/>
          <w:szCs w:val="24"/>
        </w:rPr>
        <w:t>Hussainey</w:t>
      </w:r>
      <w:proofErr w:type="spellEnd"/>
      <w:r w:rsidR="00FA0B2A" w:rsidRPr="00C73325">
        <w:rPr>
          <w:rFonts w:eastAsia="MS Gothic" w:cs="Times New Roman"/>
          <w:szCs w:val="24"/>
        </w:rPr>
        <w:t>,</w:t>
      </w:r>
      <w:r w:rsidR="0020247F" w:rsidRPr="00C73325">
        <w:rPr>
          <w:rFonts w:eastAsia="MS Gothic" w:cs="Times New Roman"/>
          <w:szCs w:val="24"/>
        </w:rPr>
        <w:t xml:space="preserve"> 2009;</w:t>
      </w:r>
      <w:r w:rsidR="00E02637" w:rsidRPr="00C73325">
        <w:rPr>
          <w:rFonts w:eastAsia="MS Gothic" w:cs="Times New Roman"/>
          <w:szCs w:val="24"/>
        </w:rPr>
        <w:t xml:space="preserve"> </w:t>
      </w:r>
      <w:r w:rsidR="00E02637" w:rsidRPr="00C73325">
        <w:rPr>
          <w:rFonts w:cs="Times New Roman"/>
          <w:noProof/>
          <w:szCs w:val="24"/>
        </w:rPr>
        <w:t>Al-Matari</w:t>
      </w:r>
      <w:r w:rsidR="00E76F0C" w:rsidRPr="00C73325">
        <w:rPr>
          <w:rFonts w:cs="Times New Roman"/>
          <w:noProof/>
          <w:szCs w:val="24"/>
        </w:rPr>
        <w:t xml:space="preserve"> et al.</w:t>
      </w:r>
      <w:r w:rsidR="00FA0B2A" w:rsidRPr="00C73325">
        <w:rPr>
          <w:rFonts w:cs="Times New Roman"/>
          <w:noProof/>
          <w:szCs w:val="24"/>
        </w:rPr>
        <w:t>,</w:t>
      </w:r>
      <w:r w:rsidR="00E02637" w:rsidRPr="00C73325">
        <w:rPr>
          <w:rFonts w:cs="Times New Roman"/>
          <w:noProof/>
          <w:szCs w:val="24"/>
        </w:rPr>
        <w:t xml:space="preserve"> 2012;</w:t>
      </w:r>
      <w:r w:rsidR="0020247F" w:rsidRPr="00C73325">
        <w:rPr>
          <w:rFonts w:eastAsia="MS Gothic" w:cs="Times New Roman"/>
          <w:szCs w:val="24"/>
        </w:rPr>
        <w:t xml:space="preserve"> </w:t>
      </w:r>
      <w:r w:rsidR="00550F6C" w:rsidRPr="00BB75B8">
        <w:rPr>
          <w:rFonts w:cs="Times New Roman"/>
          <w:szCs w:val="24"/>
        </w:rPr>
        <w:t xml:space="preserve">Karim, </w:t>
      </w:r>
      <w:proofErr w:type="spellStart"/>
      <w:r w:rsidR="00550F6C" w:rsidRPr="00BB75B8">
        <w:rPr>
          <w:rFonts w:cs="Times New Roman"/>
          <w:szCs w:val="24"/>
        </w:rPr>
        <w:t>Z</w:t>
      </w:r>
      <w:r w:rsidR="00AF50EE">
        <w:rPr>
          <w:rFonts w:cs="Times New Roman"/>
          <w:szCs w:val="24"/>
        </w:rPr>
        <w:t>ijl</w:t>
      </w:r>
      <w:proofErr w:type="spellEnd"/>
      <w:r w:rsidR="00AF50EE">
        <w:rPr>
          <w:rFonts w:cs="Times New Roman"/>
          <w:szCs w:val="24"/>
        </w:rPr>
        <w:t xml:space="preserve"> &amp;</w:t>
      </w:r>
      <w:r w:rsidR="00550F6C" w:rsidRPr="00BB75B8">
        <w:rPr>
          <w:rFonts w:cs="Times New Roman"/>
          <w:szCs w:val="24"/>
        </w:rPr>
        <w:t xml:space="preserve"> </w:t>
      </w:r>
      <w:proofErr w:type="spellStart"/>
      <w:r w:rsidR="00550F6C" w:rsidRPr="00BB75B8">
        <w:rPr>
          <w:rFonts w:cs="Times New Roman"/>
          <w:szCs w:val="24"/>
        </w:rPr>
        <w:t>Mollah</w:t>
      </w:r>
      <w:proofErr w:type="spellEnd"/>
      <w:r w:rsidR="00550F6C" w:rsidRPr="00BB75B8">
        <w:rPr>
          <w:rFonts w:cs="Times New Roman"/>
          <w:szCs w:val="24"/>
        </w:rPr>
        <w:t>, 2013</w:t>
      </w:r>
      <w:r w:rsidR="00550F6C">
        <w:rPr>
          <w:rFonts w:cs="Times New Roman"/>
          <w:szCs w:val="24"/>
        </w:rPr>
        <w:t xml:space="preserve">; </w:t>
      </w:r>
      <w:proofErr w:type="spellStart"/>
      <w:r w:rsidR="0020247F" w:rsidRPr="00C73325">
        <w:rPr>
          <w:rFonts w:eastAsia="MS Gothic" w:cs="Times New Roman"/>
          <w:szCs w:val="24"/>
        </w:rPr>
        <w:t>Mansourinia</w:t>
      </w:r>
      <w:proofErr w:type="spellEnd"/>
      <w:r w:rsidR="00E76F0C" w:rsidRPr="00C73325">
        <w:rPr>
          <w:rFonts w:eastAsia="MS Gothic" w:cs="Times New Roman"/>
          <w:szCs w:val="24"/>
        </w:rPr>
        <w:t xml:space="preserve"> et al.</w:t>
      </w:r>
      <w:r w:rsidR="00FA0B2A" w:rsidRPr="00C73325">
        <w:rPr>
          <w:rFonts w:eastAsia="MS Gothic" w:cs="Times New Roman"/>
          <w:szCs w:val="24"/>
        </w:rPr>
        <w:t>,</w:t>
      </w:r>
      <w:r w:rsidR="0020247F" w:rsidRPr="00C73325">
        <w:rPr>
          <w:rFonts w:eastAsia="MS Gothic" w:cs="Times New Roman"/>
          <w:szCs w:val="24"/>
        </w:rPr>
        <w:t xml:space="preserve"> 2013; </w:t>
      </w:r>
      <w:proofErr w:type="spellStart"/>
      <w:r w:rsidR="0020247F" w:rsidRPr="00C73325">
        <w:rPr>
          <w:rFonts w:eastAsia="MS Gothic" w:cs="Times New Roman"/>
          <w:szCs w:val="24"/>
        </w:rPr>
        <w:t>Ghasemi</w:t>
      </w:r>
      <w:proofErr w:type="spellEnd"/>
      <w:r w:rsidR="00E76F0C" w:rsidRPr="00C73325">
        <w:rPr>
          <w:rFonts w:eastAsia="MS Gothic" w:cs="Times New Roman"/>
          <w:szCs w:val="24"/>
        </w:rPr>
        <w:t xml:space="preserve"> et al.</w:t>
      </w:r>
      <w:r w:rsidR="00FA0B2A" w:rsidRPr="00C73325">
        <w:rPr>
          <w:rFonts w:eastAsia="MS Gothic" w:cs="Times New Roman"/>
          <w:szCs w:val="24"/>
        </w:rPr>
        <w:t>,</w:t>
      </w:r>
      <w:r w:rsidR="0020247F" w:rsidRPr="00C73325">
        <w:rPr>
          <w:rFonts w:eastAsia="MS Gothic" w:cs="Times New Roman"/>
          <w:szCs w:val="24"/>
        </w:rPr>
        <w:t xml:space="preserve"> 2013</w:t>
      </w:r>
      <w:r w:rsidR="00F02CC6" w:rsidRPr="00C73325">
        <w:rPr>
          <w:rFonts w:eastAsia="MS Gothic" w:cs="Times New Roman"/>
          <w:szCs w:val="24"/>
        </w:rPr>
        <w:t xml:space="preserve">; </w:t>
      </w:r>
      <w:r w:rsidR="00AF50EE">
        <w:rPr>
          <w:rFonts w:cs="Times New Roman"/>
          <w:noProof/>
          <w:szCs w:val="24"/>
        </w:rPr>
        <w:t>Hao, Hu, Liu &amp;</w:t>
      </w:r>
      <w:r w:rsidR="00550F6C" w:rsidRPr="0032702E">
        <w:rPr>
          <w:rFonts w:cs="Times New Roman"/>
          <w:noProof/>
          <w:szCs w:val="24"/>
        </w:rPr>
        <w:t xml:space="preserve"> Yao, 2014</w:t>
      </w:r>
      <w:r w:rsidR="00550F6C">
        <w:rPr>
          <w:rFonts w:cs="Times New Roman"/>
          <w:noProof/>
          <w:szCs w:val="24"/>
        </w:rPr>
        <w:t>;</w:t>
      </w:r>
      <w:r w:rsidR="00550F6C" w:rsidRPr="0032702E">
        <w:rPr>
          <w:rFonts w:cs="Times New Roman"/>
          <w:noProof/>
          <w:szCs w:val="24"/>
        </w:rPr>
        <w:t xml:space="preserve"> </w:t>
      </w:r>
      <w:r w:rsidR="00F02CC6" w:rsidRPr="00C73325">
        <w:rPr>
          <w:rFonts w:eastAsia="MS Gothic" w:cs="Times New Roman"/>
          <w:szCs w:val="24"/>
        </w:rPr>
        <w:t>Ntim et al., 2015a, b</w:t>
      </w:r>
      <w:r w:rsidR="00550F6C">
        <w:rPr>
          <w:rFonts w:eastAsia="MS Gothic" w:cs="Times New Roman"/>
          <w:szCs w:val="24"/>
        </w:rPr>
        <w:t xml:space="preserve">; </w:t>
      </w:r>
      <w:r w:rsidR="00550F6C" w:rsidRPr="0013556B">
        <w:rPr>
          <w:rFonts w:cs="Times New Roman"/>
          <w:noProof/>
          <w:szCs w:val="24"/>
        </w:rPr>
        <w:t xml:space="preserve">Khan, </w:t>
      </w:r>
      <w:proofErr w:type="spellStart"/>
      <w:r w:rsidR="00AF50EE">
        <w:rPr>
          <w:rFonts w:cs="Times New Roman"/>
          <w:szCs w:val="24"/>
        </w:rPr>
        <w:t>Mihret</w:t>
      </w:r>
      <w:proofErr w:type="spellEnd"/>
      <w:r w:rsidR="00AF50EE">
        <w:rPr>
          <w:rFonts w:cs="Times New Roman"/>
          <w:szCs w:val="24"/>
        </w:rPr>
        <w:t xml:space="preserve"> &amp;</w:t>
      </w:r>
      <w:r w:rsidR="00550F6C" w:rsidRPr="0013556B">
        <w:rPr>
          <w:rFonts w:cs="Times New Roman"/>
          <w:szCs w:val="24"/>
        </w:rPr>
        <w:t xml:space="preserve"> </w:t>
      </w:r>
      <w:proofErr w:type="spellStart"/>
      <w:r w:rsidR="00550F6C" w:rsidRPr="0013556B">
        <w:rPr>
          <w:rFonts w:cs="Times New Roman"/>
          <w:szCs w:val="24"/>
        </w:rPr>
        <w:t>Muttakin</w:t>
      </w:r>
      <w:proofErr w:type="spellEnd"/>
      <w:r w:rsidR="00550F6C">
        <w:rPr>
          <w:rFonts w:cs="Times New Roman"/>
          <w:szCs w:val="24"/>
        </w:rPr>
        <w:t xml:space="preserve">, </w:t>
      </w:r>
      <w:r w:rsidR="00550F6C" w:rsidRPr="0013556B">
        <w:rPr>
          <w:rFonts w:cs="Times New Roman"/>
          <w:szCs w:val="24"/>
        </w:rPr>
        <w:t>2016</w:t>
      </w:r>
      <w:r w:rsidR="00870D5C">
        <w:rPr>
          <w:rFonts w:cs="Times New Roman"/>
          <w:szCs w:val="24"/>
        </w:rPr>
        <w:t>; Ntim et al., 2017</w:t>
      </w:r>
      <w:r w:rsidR="0020247F" w:rsidRPr="00C73325">
        <w:rPr>
          <w:rFonts w:eastAsia="MS Gothic" w:cs="Times New Roman"/>
          <w:szCs w:val="24"/>
        </w:rPr>
        <w:t>).</w:t>
      </w:r>
      <w:r w:rsidR="001E53A6" w:rsidRPr="00C73325">
        <w:rPr>
          <w:rFonts w:eastAsia="MS Gothic" w:cs="Times New Roman"/>
          <w:szCs w:val="24"/>
        </w:rPr>
        <w:t xml:space="preserve"> </w:t>
      </w:r>
      <w:r w:rsidR="00CD152C" w:rsidRPr="00C73325">
        <w:rPr>
          <w:rFonts w:eastAsia="MS Gothic" w:cs="Times New Roman"/>
          <w:szCs w:val="24"/>
        </w:rPr>
        <w:t>Specifically,</w:t>
      </w:r>
      <w:r w:rsidR="001127F6" w:rsidRPr="00C73325">
        <w:rPr>
          <w:rFonts w:eastAsia="MS Gothic" w:cs="Times New Roman"/>
          <w:szCs w:val="24"/>
        </w:rPr>
        <w:t xml:space="preserve"> and g</w:t>
      </w:r>
      <w:r w:rsidR="00033691" w:rsidRPr="00C73325">
        <w:rPr>
          <w:rFonts w:eastAsia="MS Gothic" w:cs="Times New Roman"/>
          <w:szCs w:val="24"/>
        </w:rPr>
        <w:t>iven the diversity of</w:t>
      </w:r>
      <w:r w:rsidR="001127F6" w:rsidRPr="00C73325">
        <w:rPr>
          <w:rFonts w:eastAsia="MS Gothic" w:cs="Times New Roman"/>
          <w:szCs w:val="24"/>
        </w:rPr>
        <w:t>,</w:t>
      </w:r>
      <w:r w:rsidR="00033691" w:rsidRPr="00C73325">
        <w:rPr>
          <w:rFonts w:eastAsia="MS Gothic" w:cs="Times New Roman"/>
          <w:szCs w:val="24"/>
        </w:rPr>
        <w:t xml:space="preserve"> and fast-paced change</w:t>
      </w:r>
      <w:r w:rsidR="001127F6" w:rsidRPr="00C73325">
        <w:rPr>
          <w:rFonts w:eastAsia="MS Gothic" w:cs="Times New Roman"/>
          <w:szCs w:val="24"/>
        </w:rPr>
        <w:t>s</w:t>
      </w:r>
      <w:r w:rsidR="00033691" w:rsidRPr="00C73325">
        <w:rPr>
          <w:rFonts w:eastAsia="MS Gothic" w:cs="Times New Roman"/>
          <w:szCs w:val="24"/>
        </w:rPr>
        <w:t xml:space="preserve"> in</w:t>
      </w:r>
      <w:r w:rsidR="001127F6" w:rsidRPr="00C73325">
        <w:rPr>
          <w:rFonts w:eastAsia="MS Gothic" w:cs="Times New Roman"/>
          <w:szCs w:val="24"/>
        </w:rPr>
        <w:t>, corporate dividend policies</w:t>
      </w:r>
      <w:r w:rsidR="00C12C52" w:rsidRPr="00C73325">
        <w:rPr>
          <w:rFonts w:eastAsia="MS Gothic" w:cs="Times New Roman"/>
          <w:szCs w:val="24"/>
        </w:rPr>
        <w:t xml:space="preserve"> in the post-2007/08 period</w:t>
      </w:r>
      <w:r w:rsidR="00033691" w:rsidRPr="00C73325">
        <w:rPr>
          <w:rFonts w:eastAsia="MS Gothic" w:cs="Times New Roman"/>
          <w:szCs w:val="24"/>
        </w:rPr>
        <w:t xml:space="preserve">, it </w:t>
      </w:r>
      <w:r w:rsidR="008574A2" w:rsidRPr="00C73325">
        <w:rPr>
          <w:rFonts w:eastAsia="MS Gothic" w:cs="Times New Roman"/>
          <w:szCs w:val="24"/>
        </w:rPr>
        <w:t>has become</w:t>
      </w:r>
      <w:r w:rsidR="001127F6" w:rsidRPr="00C73325">
        <w:rPr>
          <w:rFonts w:eastAsia="MS Gothic" w:cs="Times New Roman"/>
          <w:szCs w:val="24"/>
        </w:rPr>
        <w:t xml:space="preserve"> important</w:t>
      </w:r>
      <w:r w:rsidR="00033691" w:rsidRPr="00C73325">
        <w:rPr>
          <w:rFonts w:eastAsia="MS Gothic" w:cs="Times New Roman"/>
          <w:szCs w:val="24"/>
        </w:rPr>
        <w:t xml:space="preserve"> to understand </w:t>
      </w:r>
      <w:r w:rsidR="00D9198E" w:rsidRPr="00C73325">
        <w:rPr>
          <w:rFonts w:eastAsia="MS Gothic" w:cs="Times New Roman"/>
          <w:szCs w:val="24"/>
        </w:rPr>
        <w:t>the</w:t>
      </w:r>
      <w:r w:rsidR="008574A2" w:rsidRPr="00C73325">
        <w:rPr>
          <w:rFonts w:eastAsia="MS Gothic" w:cs="Times New Roman"/>
          <w:szCs w:val="24"/>
        </w:rPr>
        <w:t xml:space="preserve"> central drivers</w:t>
      </w:r>
      <w:r w:rsidR="00D9198E" w:rsidRPr="00C73325">
        <w:rPr>
          <w:rFonts w:eastAsia="MS Gothic" w:cs="Times New Roman"/>
          <w:szCs w:val="24"/>
        </w:rPr>
        <w:t xml:space="preserve"> of corporate dividend policy in the UK</w:t>
      </w:r>
      <w:r w:rsidR="00033691" w:rsidRPr="00C73325">
        <w:rPr>
          <w:rFonts w:eastAsia="MS Gothic" w:cs="Times New Roman"/>
          <w:szCs w:val="24"/>
        </w:rPr>
        <w:t xml:space="preserve">. </w:t>
      </w:r>
      <w:r w:rsidR="00B15896" w:rsidRPr="00C73325">
        <w:rPr>
          <w:rFonts w:eastAsiaTheme="minorEastAsia" w:cs="Times New Roman"/>
        </w:rPr>
        <w:t xml:space="preserve">Therefore, in this paper, we seek to contribute to the extant literature by investigating </w:t>
      </w:r>
      <w:r w:rsidR="00B15896" w:rsidRPr="00C73325">
        <w:rPr>
          <w:rFonts w:eastAsia="MS Gothic" w:cs="Times New Roman"/>
          <w:szCs w:val="24"/>
        </w:rPr>
        <w:t xml:space="preserve">the association between corporate governance and dividend policy of UK </w:t>
      </w:r>
      <w:r w:rsidR="00B15896" w:rsidRPr="00C73325">
        <w:t>listed SMEs in the post-2007/08 global financial crisis era</w:t>
      </w:r>
      <w:r w:rsidR="00B15896" w:rsidRPr="00C73325">
        <w:rPr>
          <w:rFonts w:eastAsia="MS Gothic" w:cs="Times New Roman"/>
          <w:szCs w:val="24"/>
        </w:rPr>
        <w:t xml:space="preserve">. Specially, we examine the extent to which corporate board characteristics influence dividend </w:t>
      </w:r>
      <w:r w:rsidR="00855D30" w:rsidRPr="00C73325">
        <w:rPr>
          <w:rFonts w:eastAsia="MS Gothic" w:cs="Times New Roman"/>
          <w:szCs w:val="24"/>
        </w:rPr>
        <w:t>pay-out</w:t>
      </w:r>
      <w:r w:rsidR="00B15896" w:rsidRPr="00C73325">
        <w:rPr>
          <w:rFonts w:eastAsia="MS Gothic" w:cs="Times New Roman"/>
          <w:szCs w:val="24"/>
        </w:rPr>
        <w:t xml:space="preserve"> ratio using a sample of UK listed SMEs from 2010 to 2013.</w:t>
      </w:r>
    </w:p>
    <w:p w14:paraId="36E84555" w14:textId="3A612E8A" w:rsidR="00D36A98" w:rsidRPr="00C73325" w:rsidRDefault="00D36A98" w:rsidP="00DF52BF">
      <w:pPr>
        <w:spacing w:before="0" w:after="0" w:line="360" w:lineRule="auto"/>
        <w:ind w:firstLine="360"/>
        <w:rPr>
          <w:rFonts w:eastAsia="MS Gothic" w:cs="Times New Roman"/>
          <w:szCs w:val="24"/>
        </w:rPr>
      </w:pPr>
      <w:r w:rsidRPr="00C73325">
        <w:rPr>
          <w:rFonts w:eastAsia="MS Gothic" w:cs="Times New Roman"/>
          <w:szCs w:val="24"/>
        </w:rPr>
        <w:t xml:space="preserve">Agency inspired theoretical literature has suggested several monitoring mechanisms </w:t>
      </w:r>
      <w:r w:rsidR="00E25C5C" w:rsidRPr="00C73325">
        <w:rPr>
          <w:rFonts w:eastAsia="MS Gothic" w:cs="Times New Roman"/>
          <w:szCs w:val="24"/>
        </w:rPr>
        <w:t>(e.g., good governance practices and dividends) that can be used to mitigate potential conflict of interest problems</w:t>
      </w:r>
      <w:r w:rsidR="00DF52BF" w:rsidRPr="00C73325">
        <w:rPr>
          <w:rFonts w:eastAsia="MS Gothic" w:cs="Times New Roman"/>
          <w:szCs w:val="24"/>
        </w:rPr>
        <w:t>, including</w:t>
      </w:r>
      <w:r w:rsidR="00E25C5C" w:rsidRPr="00C73325">
        <w:rPr>
          <w:rFonts w:eastAsia="MS Gothic" w:cs="Times New Roman"/>
          <w:szCs w:val="24"/>
        </w:rPr>
        <w:t xml:space="preserve"> reducing the amount of free cash flow available to managers (</w:t>
      </w:r>
      <w:proofErr w:type="spellStart"/>
      <w:r w:rsidR="00CF563E" w:rsidRPr="00DB3494">
        <w:rPr>
          <w:rFonts w:eastAsia="Times New Roman" w:cs="Times New Roman"/>
          <w:szCs w:val="24"/>
        </w:rPr>
        <w:t>DeAngelo</w:t>
      </w:r>
      <w:proofErr w:type="spellEnd"/>
      <w:r w:rsidR="00CF563E" w:rsidRPr="00DB3494">
        <w:rPr>
          <w:rFonts w:eastAsia="Times New Roman" w:cs="Times New Roman"/>
          <w:szCs w:val="24"/>
        </w:rPr>
        <w:t xml:space="preserve"> et al., 2006; </w:t>
      </w:r>
      <w:r w:rsidR="00CF563E" w:rsidRPr="00DB3494">
        <w:rPr>
          <w:rFonts w:eastAsia="Times New Roman" w:cs="Times New Roman"/>
          <w:szCs w:val="24"/>
          <w:shd w:val="clear" w:color="auto" w:fill="FFFFFF"/>
        </w:rPr>
        <w:t xml:space="preserve">Easterbrook, 1984; </w:t>
      </w:r>
      <w:r w:rsidR="00E25C5C" w:rsidRPr="00C73325">
        <w:rPr>
          <w:rFonts w:cs="Times New Roman"/>
          <w:szCs w:val="24"/>
        </w:rPr>
        <w:t>Jensen, 1986</w:t>
      </w:r>
      <w:r w:rsidR="00CF563E" w:rsidRPr="00C73325">
        <w:rPr>
          <w:rFonts w:cs="Times New Roman"/>
          <w:szCs w:val="24"/>
        </w:rPr>
        <w:t xml:space="preserve">). </w:t>
      </w:r>
      <w:r w:rsidR="003E2820">
        <w:rPr>
          <w:rFonts w:cs="Times New Roman"/>
          <w:szCs w:val="24"/>
        </w:rPr>
        <w:t>Meanwhile, p</w:t>
      </w:r>
      <w:r w:rsidR="00CF563E" w:rsidRPr="00C73325">
        <w:rPr>
          <w:rFonts w:cs="Times New Roman"/>
          <w:szCs w:val="24"/>
        </w:rPr>
        <w:t xml:space="preserve">rior studies </w:t>
      </w:r>
      <w:r w:rsidR="00DF52BF" w:rsidRPr="00C73325">
        <w:rPr>
          <w:rFonts w:cs="Times New Roman"/>
          <w:szCs w:val="24"/>
        </w:rPr>
        <w:t>which</w:t>
      </w:r>
      <w:r w:rsidR="00CF563E" w:rsidRPr="00C73325">
        <w:rPr>
          <w:rFonts w:cs="Times New Roman"/>
          <w:szCs w:val="24"/>
        </w:rPr>
        <w:t xml:space="preserve"> examined the association between corporate governance quality and divide</w:t>
      </w:r>
      <w:r w:rsidR="00CF563E" w:rsidRPr="00FF6091">
        <w:rPr>
          <w:rFonts w:cs="Times New Roman"/>
          <w:szCs w:val="24"/>
        </w:rPr>
        <w:t xml:space="preserve">nd pay-out policy </w:t>
      </w:r>
      <w:r w:rsidR="00AF598E" w:rsidRPr="002E11E6">
        <w:rPr>
          <w:rFonts w:cs="Times New Roman"/>
          <w:szCs w:val="24"/>
        </w:rPr>
        <w:t xml:space="preserve">have used two </w:t>
      </w:r>
      <w:r w:rsidR="00AF598E" w:rsidRPr="00C73325">
        <w:rPr>
          <w:rFonts w:cs="Times New Roman"/>
          <w:szCs w:val="24"/>
        </w:rPr>
        <w:t>agency theoretical perspectives</w:t>
      </w:r>
      <w:r w:rsidR="003E2820">
        <w:rPr>
          <w:rFonts w:cs="Times New Roman"/>
          <w:szCs w:val="24"/>
        </w:rPr>
        <w:t>:</w:t>
      </w:r>
      <w:r w:rsidR="00AF598E" w:rsidRPr="00C73325">
        <w:rPr>
          <w:rFonts w:cs="Times New Roman"/>
          <w:szCs w:val="24"/>
        </w:rPr>
        <w:t xml:space="preserve"> </w:t>
      </w:r>
      <w:r w:rsidR="00AF598E" w:rsidRPr="00C73325">
        <w:t>the outcome and substitution hypothes</w:t>
      </w:r>
      <w:r w:rsidR="003E2820">
        <w:t>e</w:t>
      </w:r>
      <w:r w:rsidR="00AF598E" w:rsidRPr="00C73325">
        <w:t>s (</w:t>
      </w:r>
      <w:r w:rsidR="00AF50EE">
        <w:t>Al-</w:t>
      </w:r>
      <w:proofErr w:type="spellStart"/>
      <w:r w:rsidR="00AF50EE">
        <w:t>Najjar</w:t>
      </w:r>
      <w:proofErr w:type="spellEnd"/>
      <w:r w:rsidR="00AF50EE">
        <w:t xml:space="preserve"> &amp;</w:t>
      </w:r>
      <w:r w:rsidR="00E25C5C" w:rsidRPr="00C73325">
        <w:t xml:space="preserve"> </w:t>
      </w:r>
      <w:proofErr w:type="spellStart"/>
      <w:r w:rsidR="00E25C5C" w:rsidRPr="00C73325">
        <w:t>Hussainey</w:t>
      </w:r>
      <w:proofErr w:type="spellEnd"/>
      <w:r w:rsidR="00E25C5C" w:rsidRPr="00C73325">
        <w:t xml:space="preserve">, 2009; </w:t>
      </w:r>
      <w:proofErr w:type="spellStart"/>
      <w:r w:rsidR="00E25C5C" w:rsidRPr="00C73325">
        <w:t>Jiraporn</w:t>
      </w:r>
      <w:proofErr w:type="spellEnd"/>
      <w:r w:rsidR="00E25C5C" w:rsidRPr="00C73325">
        <w:t xml:space="preserve"> et al., 2011; </w:t>
      </w:r>
      <w:r w:rsidR="00E25C5C" w:rsidRPr="00C73325">
        <w:rPr>
          <w:rFonts w:cs="Times New Roman"/>
          <w:szCs w:val="24"/>
        </w:rPr>
        <w:t xml:space="preserve">La-Porta et al., 2000; </w:t>
      </w:r>
      <w:proofErr w:type="spellStart"/>
      <w:r w:rsidR="00E25C5C" w:rsidRPr="00C73325">
        <w:rPr>
          <w:rFonts w:cs="Times New Roman"/>
          <w:szCs w:val="24"/>
        </w:rPr>
        <w:t>Sawick</w:t>
      </w:r>
      <w:proofErr w:type="spellEnd"/>
      <w:r w:rsidR="00E25C5C" w:rsidRPr="00C73325">
        <w:rPr>
          <w:rFonts w:cs="Times New Roman"/>
          <w:szCs w:val="24"/>
        </w:rPr>
        <w:t xml:space="preserve">, 2009). </w:t>
      </w:r>
      <w:r w:rsidR="007159F9" w:rsidRPr="00C73325">
        <w:rPr>
          <w:rFonts w:cs="Times New Roman"/>
          <w:szCs w:val="24"/>
        </w:rPr>
        <w:t xml:space="preserve">Briefly, the outcome hypothesis suggests that the payment of dividends is a result of corporate governance regime, where managers in well-governed firms </w:t>
      </w:r>
      <w:r w:rsidR="00DF52BF" w:rsidRPr="00C73325">
        <w:rPr>
          <w:rFonts w:cs="Times New Roman"/>
          <w:szCs w:val="24"/>
        </w:rPr>
        <w:t>are less likely to retain cash within the firms</w:t>
      </w:r>
      <w:r w:rsidR="00BA156F">
        <w:rPr>
          <w:rFonts w:cs="Times New Roman"/>
          <w:szCs w:val="24"/>
        </w:rPr>
        <w:t xml:space="preserve"> in the absence of positive net present value (NPV) investments</w:t>
      </w:r>
      <w:r w:rsidR="00DF52BF" w:rsidRPr="00C73325">
        <w:rPr>
          <w:rFonts w:cs="Times New Roman"/>
          <w:szCs w:val="24"/>
        </w:rPr>
        <w:t>, and hence managers in well-governed firms tend to pay large dividends in order to signal shareholders</w:t>
      </w:r>
      <w:r w:rsidR="00CF0868">
        <w:rPr>
          <w:rFonts w:cs="Times New Roman"/>
          <w:szCs w:val="24"/>
        </w:rPr>
        <w:t xml:space="preserve"> their </w:t>
      </w:r>
      <w:r w:rsidR="00CF0868">
        <w:rPr>
          <w:rFonts w:cs="Times New Roman"/>
          <w:szCs w:val="24"/>
        </w:rPr>
        <w:lastRenderedPageBreak/>
        <w:t>commitment to treat them fairly by improving the returns on their investments</w:t>
      </w:r>
      <w:r w:rsidR="00DF52BF" w:rsidRPr="00C73325">
        <w:rPr>
          <w:rFonts w:cs="Times New Roman"/>
          <w:szCs w:val="24"/>
        </w:rPr>
        <w:t xml:space="preserve"> (</w:t>
      </w:r>
      <w:proofErr w:type="spellStart"/>
      <w:r w:rsidR="00C00CE9" w:rsidRPr="00C00CE9">
        <w:rPr>
          <w:rFonts w:cs="Times New Roman"/>
          <w:szCs w:val="24"/>
        </w:rPr>
        <w:t>DeAngelo</w:t>
      </w:r>
      <w:proofErr w:type="spellEnd"/>
      <w:r w:rsidR="00C00CE9" w:rsidRPr="00C00CE9">
        <w:rPr>
          <w:rFonts w:cs="Times New Roman"/>
          <w:szCs w:val="24"/>
        </w:rPr>
        <w:t xml:space="preserve"> &amp; </w:t>
      </w:r>
      <w:proofErr w:type="spellStart"/>
      <w:r w:rsidR="00C00CE9" w:rsidRPr="00C00CE9">
        <w:rPr>
          <w:rFonts w:cs="Times New Roman"/>
          <w:szCs w:val="24"/>
        </w:rPr>
        <w:t>DeAngelo</w:t>
      </w:r>
      <w:proofErr w:type="spellEnd"/>
      <w:r w:rsidR="00C00CE9" w:rsidRPr="00C00CE9">
        <w:rPr>
          <w:rFonts w:cs="Times New Roman"/>
          <w:szCs w:val="24"/>
        </w:rPr>
        <w:t>, 1990</w:t>
      </w:r>
      <w:r w:rsidR="00C00CE9">
        <w:rPr>
          <w:rFonts w:cs="Times New Roman"/>
          <w:szCs w:val="24"/>
        </w:rPr>
        <w:t xml:space="preserve">; </w:t>
      </w:r>
      <w:r w:rsidR="00DF52BF" w:rsidRPr="00C00CE9">
        <w:rPr>
          <w:rFonts w:cs="Times New Roman"/>
          <w:szCs w:val="24"/>
        </w:rPr>
        <w:t>La-Porta et al., 2000</w:t>
      </w:r>
      <w:r w:rsidR="00DF52BF" w:rsidRPr="00325F63">
        <w:rPr>
          <w:rFonts w:cs="Times New Roman"/>
          <w:szCs w:val="24"/>
        </w:rPr>
        <w:t xml:space="preserve">; </w:t>
      </w:r>
      <w:proofErr w:type="spellStart"/>
      <w:r w:rsidR="00DF52BF" w:rsidRPr="00325F63">
        <w:rPr>
          <w:rFonts w:cs="Times New Roman"/>
          <w:szCs w:val="24"/>
        </w:rPr>
        <w:t>Sawick</w:t>
      </w:r>
      <w:proofErr w:type="spellEnd"/>
      <w:r w:rsidR="00DF52BF" w:rsidRPr="00325F63">
        <w:rPr>
          <w:rFonts w:cs="Times New Roman"/>
          <w:szCs w:val="24"/>
        </w:rPr>
        <w:t xml:space="preserve">, 2009). </w:t>
      </w:r>
      <w:r w:rsidR="00DF52BF" w:rsidRPr="004102EC">
        <w:rPr>
          <w:rFonts w:cs="Times New Roman"/>
          <w:szCs w:val="24"/>
        </w:rPr>
        <w:t xml:space="preserve">By contrast, the substitution hypothesis assumes that </w:t>
      </w:r>
      <w:r w:rsidR="00DF52BF" w:rsidRPr="007154F9">
        <w:rPr>
          <w:rFonts w:cs="Times New Roman"/>
          <w:szCs w:val="24"/>
        </w:rPr>
        <w:t xml:space="preserve">dividends are a </w:t>
      </w:r>
      <w:r w:rsidR="00DF52BF" w:rsidRPr="00632969">
        <w:rPr>
          <w:rFonts w:cs="Times New Roman"/>
          <w:szCs w:val="24"/>
        </w:rPr>
        <w:t>substitute for corporate governance quality</w:t>
      </w:r>
      <w:r w:rsidR="00BA450F" w:rsidRPr="00632969">
        <w:rPr>
          <w:rFonts w:cs="Times New Roman"/>
          <w:szCs w:val="24"/>
        </w:rPr>
        <w:t>, where poorly-governed firms are expected to pay larger dividends in o</w:t>
      </w:r>
      <w:r w:rsidR="00BA450F" w:rsidRPr="00C73325">
        <w:rPr>
          <w:rFonts w:cs="Times New Roman"/>
          <w:szCs w:val="24"/>
        </w:rPr>
        <w:t xml:space="preserve">rder to </w:t>
      </w:r>
      <w:r w:rsidR="00066184">
        <w:rPr>
          <w:rFonts w:cs="Times New Roman"/>
          <w:szCs w:val="24"/>
        </w:rPr>
        <w:t>maintain</w:t>
      </w:r>
      <w:r w:rsidR="00BA450F" w:rsidRPr="00C73325">
        <w:rPr>
          <w:rFonts w:cs="Times New Roman"/>
          <w:szCs w:val="24"/>
        </w:rPr>
        <w:t xml:space="preserve"> a </w:t>
      </w:r>
      <w:r w:rsidR="00E916EB">
        <w:rPr>
          <w:rFonts w:cs="Times New Roman"/>
          <w:szCs w:val="24"/>
        </w:rPr>
        <w:t>good</w:t>
      </w:r>
      <w:r w:rsidR="00BA450F" w:rsidRPr="00C73325">
        <w:rPr>
          <w:rFonts w:cs="Times New Roman"/>
          <w:szCs w:val="24"/>
        </w:rPr>
        <w:t xml:space="preserve"> </w:t>
      </w:r>
      <w:r w:rsidR="00E916EB" w:rsidRPr="00C73325">
        <w:rPr>
          <w:rFonts w:cs="Times New Roman"/>
          <w:szCs w:val="24"/>
        </w:rPr>
        <w:t>re</w:t>
      </w:r>
      <w:r w:rsidR="00E916EB">
        <w:rPr>
          <w:rFonts w:cs="Times New Roman"/>
          <w:szCs w:val="24"/>
        </w:rPr>
        <w:t xml:space="preserve">lationship </w:t>
      </w:r>
      <w:r w:rsidR="00BA450F" w:rsidRPr="00C73325">
        <w:rPr>
          <w:rFonts w:cs="Times New Roman"/>
          <w:szCs w:val="24"/>
        </w:rPr>
        <w:t xml:space="preserve">with shareholders </w:t>
      </w:r>
      <w:r w:rsidR="00947D7E" w:rsidRPr="00C73325">
        <w:rPr>
          <w:rFonts w:cs="Times New Roman"/>
          <w:szCs w:val="24"/>
        </w:rPr>
        <w:t>(</w:t>
      </w:r>
      <w:r w:rsidR="00947D7E" w:rsidRPr="00DB3494">
        <w:t xml:space="preserve">John &amp; </w:t>
      </w:r>
      <w:proofErr w:type="spellStart"/>
      <w:r w:rsidR="00947D7E" w:rsidRPr="00DB3494">
        <w:t>Knyazeva</w:t>
      </w:r>
      <w:proofErr w:type="spellEnd"/>
      <w:r w:rsidR="00947D7E" w:rsidRPr="00DB3494">
        <w:t xml:space="preserve">, 2006; </w:t>
      </w:r>
      <w:r w:rsidR="00947D7E" w:rsidRPr="00C73325">
        <w:rPr>
          <w:rFonts w:cs="Times New Roman"/>
          <w:szCs w:val="24"/>
        </w:rPr>
        <w:t>La-Porta et al., 2000).</w:t>
      </w:r>
    </w:p>
    <w:p w14:paraId="0F68BA07" w14:textId="3A09A844" w:rsidR="006B2406" w:rsidRPr="00C73325" w:rsidRDefault="004C7CF4" w:rsidP="00815594">
      <w:pPr>
        <w:spacing w:before="0" w:after="0" w:line="360" w:lineRule="auto"/>
        <w:ind w:firstLine="360"/>
      </w:pPr>
      <w:r w:rsidRPr="00C73325">
        <w:rPr>
          <w:rFonts w:eastAsia="MS Gothic" w:cs="Times New Roman"/>
          <w:szCs w:val="24"/>
        </w:rPr>
        <w:t xml:space="preserve">Due to the numerous reasons explaining why managers pay dividends to their shareholders, </w:t>
      </w:r>
      <w:r w:rsidR="00800916" w:rsidRPr="00C73325">
        <w:rPr>
          <w:rFonts w:eastAsia="MS Gothic" w:cs="Times New Roman"/>
          <w:szCs w:val="24"/>
        </w:rPr>
        <w:t xml:space="preserve">a plethora of studies </w:t>
      </w:r>
      <w:r w:rsidRPr="00C73325">
        <w:rPr>
          <w:rFonts w:eastAsia="MS Gothic" w:cs="Times New Roman"/>
          <w:szCs w:val="24"/>
        </w:rPr>
        <w:t>have investigated the determinants</w:t>
      </w:r>
      <w:r w:rsidR="00800916" w:rsidRPr="00C73325">
        <w:rPr>
          <w:rFonts w:eastAsia="MS Gothic" w:cs="Times New Roman"/>
          <w:szCs w:val="24"/>
        </w:rPr>
        <w:t xml:space="preserve"> </w:t>
      </w:r>
      <w:r w:rsidR="00E50808" w:rsidRPr="00C73325">
        <w:rPr>
          <w:rFonts w:eastAsia="MS Gothic" w:cs="Times New Roman"/>
          <w:szCs w:val="24"/>
        </w:rPr>
        <w:t xml:space="preserve">of </w:t>
      </w:r>
      <w:r w:rsidRPr="00C73325">
        <w:rPr>
          <w:rFonts w:eastAsia="MS Gothic" w:cs="Times New Roman"/>
          <w:szCs w:val="24"/>
        </w:rPr>
        <w:t xml:space="preserve">dividend policy </w:t>
      </w:r>
      <w:r w:rsidR="00800916" w:rsidRPr="00C73325">
        <w:rPr>
          <w:rFonts w:eastAsia="MS Gothic" w:cs="Times New Roman"/>
          <w:szCs w:val="24"/>
        </w:rPr>
        <w:t>(</w:t>
      </w:r>
      <w:proofErr w:type="spellStart"/>
      <w:r w:rsidR="00033691" w:rsidRPr="00C73325">
        <w:rPr>
          <w:rFonts w:eastAsia="MS Gothic" w:cs="Times New Roman"/>
          <w:szCs w:val="24"/>
        </w:rPr>
        <w:t>Litai</w:t>
      </w:r>
      <w:proofErr w:type="spellEnd"/>
      <w:r w:rsidR="00F3194C" w:rsidRPr="00C73325">
        <w:rPr>
          <w:rFonts w:eastAsia="MS Gothic" w:cs="Times New Roman"/>
          <w:szCs w:val="24"/>
        </w:rPr>
        <w:t xml:space="preserve"> et al.</w:t>
      </w:r>
      <w:r w:rsidR="00FA0B2A" w:rsidRPr="00C73325">
        <w:rPr>
          <w:rFonts w:eastAsia="MS Gothic" w:cs="Times New Roman"/>
          <w:szCs w:val="24"/>
        </w:rPr>
        <w:t>,</w:t>
      </w:r>
      <w:r w:rsidR="00033691" w:rsidRPr="00C73325">
        <w:rPr>
          <w:rFonts w:eastAsia="MS Gothic" w:cs="Times New Roman"/>
          <w:szCs w:val="24"/>
        </w:rPr>
        <w:t xml:space="preserve"> 2011</w:t>
      </w:r>
      <w:r w:rsidR="00B278E1" w:rsidRPr="00C73325">
        <w:rPr>
          <w:rFonts w:eastAsia="MS Gothic" w:cs="Times New Roman"/>
          <w:szCs w:val="24"/>
        </w:rPr>
        <w:t>;</w:t>
      </w:r>
      <w:r w:rsidR="00033691" w:rsidRPr="00C73325">
        <w:rPr>
          <w:rFonts w:eastAsia="MS Gothic" w:cs="Times New Roman"/>
          <w:szCs w:val="24"/>
        </w:rPr>
        <w:t xml:space="preserve"> Gill </w:t>
      </w:r>
      <w:r w:rsidR="00544F41" w:rsidRPr="00C73325">
        <w:rPr>
          <w:rFonts w:eastAsia="MS Gothic" w:cs="Times New Roman"/>
          <w:szCs w:val="24"/>
        </w:rPr>
        <w:t xml:space="preserve">&amp; </w:t>
      </w:r>
      <w:proofErr w:type="spellStart"/>
      <w:r w:rsidR="00544F41" w:rsidRPr="00C73325">
        <w:rPr>
          <w:rFonts w:eastAsia="MS Gothic" w:cs="Times New Roman"/>
          <w:szCs w:val="24"/>
        </w:rPr>
        <w:t>Obradovich</w:t>
      </w:r>
      <w:proofErr w:type="spellEnd"/>
      <w:r w:rsidR="00FA0B2A" w:rsidRPr="00C73325">
        <w:rPr>
          <w:rFonts w:eastAsia="MS Gothic" w:cs="Times New Roman"/>
          <w:szCs w:val="24"/>
        </w:rPr>
        <w:t>,</w:t>
      </w:r>
      <w:r w:rsidR="00544F41" w:rsidRPr="00C73325">
        <w:rPr>
          <w:rFonts w:eastAsia="MS Gothic" w:cs="Times New Roman"/>
          <w:szCs w:val="24"/>
        </w:rPr>
        <w:t xml:space="preserve"> 2012</w:t>
      </w:r>
      <w:r w:rsidR="00B278E1" w:rsidRPr="00C73325">
        <w:rPr>
          <w:rFonts w:eastAsia="MS Gothic" w:cs="Times New Roman"/>
          <w:szCs w:val="24"/>
        </w:rPr>
        <w:t>;</w:t>
      </w:r>
      <w:r w:rsidR="00544F41" w:rsidRPr="00C73325">
        <w:rPr>
          <w:rFonts w:eastAsia="MS Gothic" w:cs="Times New Roman"/>
          <w:szCs w:val="24"/>
        </w:rPr>
        <w:t xml:space="preserve"> </w:t>
      </w:r>
      <w:proofErr w:type="spellStart"/>
      <w:r w:rsidR="00544F41" w:rsidRPr="00C73325">
        <w:rPr>
          <w:rFonts w:eastAsia="MS Gothic" w:cs="Times New Roman"/>
          <w:szCs w:val="24"/>
        </w:rPr>
        <w:t>Mansourinia</w:t>
      </w:r>
      <w:proofErr w:type="spellEnd"/>
      <w:r w:rsidR="00544F41" w:rsidRPr="00C73325">
        <w:rPr>
          <w:rFonts w:eastAsia="MS Gothic" w:cs="Times New Roman"/>
          <w:szCs w:val="24"/>
        </w:rPr>
        <w:t xml:space="preserve"> et al</w:t>
      </w:r>
      <w:r w:rsidR="00F3194C" w:rsidRPr="00C73325">
        <w:rPr>
          <w:rFonts w:eastAsia="MS Gothic" w:cs="Times New Roman"/>
          <w:szCs w:val="24"/>
        </w:rPr>
        <w:t>.</w:t>
      </w:r>
      <w:r w:rsidR="00FA0B2A" w:rsidRPr="00C73325">
        <w:rPr>
          <w:rFonts w:eastAsia="MS Gothic" w:cs="Times New Roman"/>
          <w:szCs w:val="24"/>
        </w:rPr>
        <w:t>,</w:t>
      </w:r>
      <w:r w:rsidR="00544F41" w:rsidRPr="00C73325">
        <w:rPr>
          <w:rFonts w:eastAsia="MS Gothic" w:cs="Times New Roman"/>
          <w:szCs w:val="24"/>
        </w:rPr>
        <w:t xml:space="preserve"> </w:t>
      </w:r>
      <w:r w:rsidR="00033691" w:rsidRPr="00C73325">
        <w:rPr>
          <w:rFonts w:eastAsia="MS Gothic" w:cs="Times New Roman"/>
          <w:szCs w:val="24"/>
        </w:rPr>
        <w:t>2013</w:t>
      </w:r>
      <w:r w:rsidR="00B278E1" w:rsidRPr="00C73325">
        <w:rPr>
          <w:rFonts w:eastAsia="MS Gothic" w:cs="Times New Roman"/>
          <w:szCs w:val="24"/>
        </w:rPr>
        <w:t xml:space="preserve">; </w:t>
      </w:r>
      <w:proofErr w:type="spellStart"/>
      <w:r w:rsidR="00800916" w:rsidRPr="00C73325">
        <w:rPr>
          <w:rFonts w:eastAsia="MS Gothic" w:cs="Times New Roman"/>
          <w:szCs w:val="24"/>
        </w:rPr>
        <w:t>Ghasemi</w:t>
      </w:r>
      <w:proofErr w:type="spellEnd"/>
      <w:r w:rsidR="00544F41" w:rsidRPr="00C73325">
        <w:rPr>
          <w:rFonts w:eastAsia="MS Gothic" w:cs="Times New Roman"/>
          <w:szCs w:val="24"/>
        </w:rPr>
        <w:t xml:space="preserve"> et al</w:t>
      </w:r>
      <w:r w:rsidR="00E76F0C" w:rsidRPr="00C73325">
        <w:rPr>
          <w:rFonts w:eastAsia="MS Gothic" w:cs="Times New Roman"/>
          <w:szCs w:val="24"/>
        </w:rPr>
        <w:t>.</w:t>
      </w:r>
      <w:r w:rsidR="00FA0B2A" w:rsidRPr="00C73325">
        <w:rPr>
          <w:rFonts w:eastAsia="MS Gothic" w:cs="Times New Roman"/>
          <w:szCs w:val="24"/>
        </w:rPr>
        <w:t>,</w:t>
      </w:r>
      <w:r w:rsidR="00800916" w:rsidRPr="00C73325">
        <w:rPr>
          <w:rFonts w:eastAsia="MS Gothic" w:cs="Times New Roman"/>
          <w:szCs w:val="24"/>
        </w:rPr>
        <w:t xml:space="preserve"> 2013</w:t>
      </w:r>
      <w:r w:rsidR="00FD146E" w:rsidRPr="00C73325">
        <w:rPr>
          <w:rFonts w:eastAsia="MS Gothic" w:cs="Times New Roman"/>
          <w:szCs w:val="24"/>
        </w:rPr>
        <w:t>)</w:t>
      </w:r>
      <w:r w:rsidR="00BC374F" w:rsidRPr="00C73325">
        <w:rPr>
          <w:rFonts w:eastAsia="MS Gothic" w:cs="Times New Roman"/>
          <w:szCs w:val="24"/>
        </w:rPr>
        <w:t>, albeit with a number of observable limitations</w:t>
      </w:r>
      <w:r w:rsidR="00FD146E" w:rsidRPr="00C73325">
        <w:rPr>
          <w:rFonts w:eastAsia="MS Gothic" w:cs="Times New Roman"/>
          <w:szCs w:val="24"/>
        </w:rPr>
        <w:t>.</w:t>
      </w:r>
      <w:r w:rsidR="00CB3E1C" w:rsidRPr="00C73325">
        <w:rPr>
          <w:rFonts w:eastAsia="MS Gothic" w:cs="Times New Roman"/>
          <w:szCs w:val="24"/>
        </w:rPr>
        <w:t xml:space="preserve"> </w:t>
      </w:r>
      <w:r w:rsidR="00BC374F" w:rsidRPr="00C73325">
        <w:rPr>
          <w:rFonts w:eastAsia="MS Gothic" w:cs="Times New Roman"/>
          <w:szCs w:val="24"/>
        </w:rPr>
        <w:t xml:space="preserve">First, </w:t>
      </w:r>
      <w:r w:rsidR="00BC374F" w:rsidRPr="00FF6091">
        <w:rPr>
          <w:rFonts w:eastAsia="MS Gothic" w:cs="Times New Roman"/>
          <w:szCs w:val="24"/>
        </w:rPr>
        <w:t xml:space="preserve">the findings of existing studies relating to the </w:t>
      </w:r>
      <w:r w:rsidR="00CB3E1C" w:rsidRPr="00FF6091">
        <w:rPr>
          <w:rFonts w:eastAsia="MS Gothic" w:cs="Times New Roman"/>
          <w:szCs w:val="24"/>
        </w:rPr>
        <w:t xml:space="preserve">determinants of dividend policy </w:t>
      </w:r>
      <w:r w:rsidR="00BC374F" w:rsidRPr="00FF6091">
        <w:rPr>
          <w:rFonts w:eastAsia="MS Gothic" w:cs="Times New Roman"/>
          <w:szCs w:val="24"/>
        </w:rPr>
        <w:t xml:space="preserve">are largely mixed </w:t>
      </w:r>
      <w:r w:rsidR="00CB3E1C" w:rsidRPr="00FF6091">
        <w:rPr>
          <w:rFonts w:eastAsia="MS Gothic" w:cs="Times New Roman"/>
          <w:szCs w:val="24"/>
        </w:rPr>
        <w:t>(</w:t>
      </w:r>
      <w:proofErr w:type="spellStart"/>
      <w:r w:rsidR="00354C3C" w:rsidRPr="00FF6091">
        <w:rPr>
          <w:rFonts w:cs="Times New Roman"/>
          <w:szCs w:val="24"/>
        </w:rPr>
        <w:t>O</w:t>
      </w:r>
      <w:r w:rsidR="00354C3C" w:rsidRPr="002E11E6">
        <w:rPr>
          <w:rFonts w:cs="Times New Roman"/>
          <w:szCs w:val="24"/>
        </w:rPr>
        <w:t>sobov</w:t>
      </w:r>
      <w:proofErr w:type="spellEnd"/>
      <w:r w:rsidR="00354C3C" w:rsidRPr="002E11E6">
        <w:rPr>
          <w:rFonts w:cs="Times New Roman"/>
          <w:szCs w:val="24"/>
        </w:rPr>
        <w:t xml:space="preserve"> &amp; Denis</w:t>
      </w:r>
      <w:r w:rsidR="00FA0B2A" w:rsidRPr="002E11E6">
        <w:rPr>
          <w:rFonts w:cs="Times New Roman"/>
          <w:szCs w:val="24"/>
        </w:rPr>
        <w:t>,</w:t>
      </w:r>
      <w:r w:rsidR="00354C3C" w:rsidRPr="002E11E6">
        <w:rPr>
          <w:rFonts w:cs="Times New Roman"/>
          <w:szCs w:val="24"/>
        </w:rPr>
        <w:t xml:space="preserve"> 2008; </w:t>
      </w:r>
      <w:proofErr w:type="spellStart"/>
      <w:r w:rsidR="00CB3E1C" w:rsidRPr="002E11E6">
        <w:rPr>
          <w:rFonts w:eastAsia="MS Gothic" w:cs="Times New Roman"/>
          <w:szCs w:val="24"/>
        </w:rPr>
        <w:t>Banga</w:t>
      </w:r>
      <w:proofErr w:type="spellEnd"/>
      <w:r w:rsidR="00CB3E1C" w:rsidRPr="002E11E6">
        <w:rPr>
          <w:rFonts w:eastAsia="MS Gothic" w:cs="Times New Roman"/>
          <w:szCs w:val="24"/>
        </w:rPr>
        <w:t xml:space="preserve"> &amp; Gupta</w:t>
      </w:r>
      <w:r w:rsidR="00FA0B2A" w:rsidRPr="002E11E6">
        <w:rPr>
          <w:rFonts w:eastAsia="MS Gothic" w:cs="Times New Roman"/>
          <w:szCs w:val="24"/>
        </w:rPr>
        <w:t>,</w:t>
      </w:r>
      <w:r w:rsidR="00CB3E1C" w:rsidRPr="00C00CE9">
        <w:rPr>
          <w:rFonts w:eastAsia="MS Gothic" w:cs="Times New Roman"/>
          <w:szCs w:val="24"/>
        </w:rPr>
        <w:t xml:space="preserve"> 2010</w:t>
      </w:r>
      <w:r w:rsidR="00544F41" w:rsidRPr="00C00CE9">
        <w:rPr>
          <w:rFonts w:eastAsia="MS Gothic" w:cs="Times New Roman"/>
          <w:szCs w:val="24"/>
        </w:rPr>
        <w:t>;</w:t>
      </w:r>
      <w:r w:rsidR="00354C3C" w:rsidRPr="00C00CE9">
        <w:rPr>
          <w:rFonts w:cs="Times New Roman"/>
          <w:szCs w:val="24"/>
        </w:rPr>
        <w:t xml:space="preserve"> </w:t>
      </w:r>
      <w:proofErr w:type="spellStart"/>
      <w:r w:rsidR="00980D1A" w:rsidRPr="00C00CE9">
        <w:rPr>
          <w:rFonts w:cs="Times New Roman"/>
          <w:szCs w:val="24"/>
        </w:rPr>
        <w:t>Nnadi</w:t>
      </w:r>
      <w:proofErr w:type="spellEnd"/>
      <w:r w:rsidR="00F3194C" w:rsidRPr="00C00CE9">
        <w:rPr>
          <w:rFonts w:cs="Times New Roman"/>
          <w:szCs w:val="24"/>
        </w:rPr>
        <w:t xml:space="preserve"> et al.</w:t>
      </w:r>
      <w:r w:rsidR="00FA0B2A" w:rsidRPr="00C00CE9">
        <w:rPr>
          <w:rFonts w:cs="Times New Roman"/>
          <w:szCs w:val="24"/>
        </w:rPr>
        <w:t>,</w:t>
      </w:r>
      <w:r w:rsidR="00980D1A" w:rsidRPr="00C00CE9">
        <w:rPr>
          <w:rFonts w:cs="Times New Roman"/>
          <w:szCs w:val="24"/>
        </w:rPr>
        <w:t xml:space="preserve"> 2013; </w:t>
      </w:r>
      <w:proofErr w:type="spellStart"/>
      <w:r w:rsidR="00354C3C" w:rsidRPr="00C73325">
        <w:rPr>
          <w:rFonts w:cs="Times New Roman"/>
          <w:szCs w:val="24"/>
        </w:rPr>
        <w:t>Maldajian</w:t>
      </w:r>
      <w:proofErr w:type="spellEnd"/>
      <w:r w:rsidR="00354C3C" w:rsidRPr="00C73325">
        <w:rPr>
          <w:rFonts w:cs="Times New Roman"/>
          <w:szCs w:val="24"/>
        </w:rPr>
        <w:t xml:space="preserve"> &amp; El </w:t>
      </w:r>
      <w:proofErr w:type="spellStart"/>
      <w:r w:rsidR="00354C3C" w:rsidRPr="00C73325">
        <w:rPr>
          <w:rFonts w:cs="Times New Roman"/>
          <w:szCs w:val="24"/>
        </w:rPr>
        <w:t>Khoury</w:t>
      </w:r>
      <w:proofErr w:type="spellEnd"/>
      <w:r w:rsidR="00FA0B2A" w:rsidRPr="00C73325">
        <w:rPr>
          <w:rFonts w:cs="Times New Roman"/>
          <w:szCs w:val="24"/>
        </w:rPr>
        <w:t>,</w:t>
      </w:r>
      <w:r w:rsidR="00354C3C" w:rsidRPr="00C73325">
        <w:rPr>
          <w:rFonts w:cs="Times New Roman"/>
          <w:szCs w:val="24"/>
        </w:rPr>
        <w:t xml:space="preserve"> 2014</w:t>
      </w:r>
      <w:r w:rsidR="00B27F6E" w:rsidRPr="00C73325">
        <w:rPr>
          <w:rFonts w:cs="Times New Roman"/>
          <w:szCs w:val="24"/>
        </w:rPr>
        <w:t xml:space="preserve">; </w:t>
      </w:r>
      <w:proofErr w:type="spellStart"/>
      <w:r w:rsidR="00B27F6E" w:rsidRPr="00C73325">
        <w:rPr>
          <w:rFonts w:cs="Times New Roman"/>
          <w:szCs w:val="24"/>
        </w:rPr>
        <w:t>Brunzell</w:t>
      </w:r>
      <w:proofErr w:type="spellEnd"/>
      <w:r w:rsidR="00B27F6E" w:rsidRPr="00C73325">
        <w:rPr>
          <w:rFonts w:cs="Times New Roman"/>
          <w:szCs w:val="24"/>
        </w:rPr>
        <w:t xml:space="preserve"> </w:t>
      </w:r>
      <w:r w:rsidR="00F3194C" w:rsidRPr="00C73325">
        <w:rPr>
          <w:rFonts w:cs="Times New Roman"/>
          <w:szCs w:val="24"/>
        </w:rPr>
        <w:t>et al.</w:t>
      </w:r>
      <w:r w:rsidR="00FA0B2A" w:rsidRPr="00C73325">
        <w:rPr>
          <w:rFonts w:cs="Times New Roman"/>
          <w:szCs w:val="24"/>
        </w:rPr>
        <w:t>,</w:t>
      </w:r>
      <w:r w:rsidR="00F3194C" w:rsidRPr="00C73325">
        <w:rPr>
          <w:rFonts w:cs="Times New Roman"/>
          <w:szCs w:val="24"/>
        </w:rPr>
        <w:t xml:space="preserve"> </w:t>
      </w:r>
      <w:r w:rsidR="00B27F6E" w:rsidRPr="00C73325">
        <w:rPr>
          <w:rFonts w:cs="Times New Roman"/>
          <w:szCs w:val="24"/>
        </w:rPr>
        <w:t>2014</w:t>
      </w:r>
      <w:r w:rsidR="00354C3C" w:rsidRPr="00C73325">
        <w:rPr>
          <w:rFonts w:cs="Times New Roman"/>
          <w:szCs w:val="24"/>
        </w:rPr>
        <w:t>)</w:t>
      </w:r>
      <w:r w:rsidR="00B27F6E" w:rsidRPr="00C73325">
        <w:rPr>
          <w:rFonts w:cs="Times New Roman"/>
          <w:szCs w:val="24"/>
        </w:rPr>
        <w:t xml:space="preserve">. </w:t>
      </w:r>
      <w:r w:rsidR="00815594">
        <w:rPr>
          <w:rFonts w:cs="Times New Roman"/>
          <w:szCs w:val="24"/>
        </w:rPr>
        <w:t>Second</w:t>
      </w:r>
      <w:r w:rsidR="00BC374F" w:rsidRPr="00C73325">
        <w:rPr>
          <w:rFonts w:cs="Times New Roman"/>
          <w:szCs w:val="24"/>
        </w:rPr>
        <w:t xml:space="preserve">, </w:t>
      </w:r>
      <w:r w:rsidR="00B27F6E" w:rsidRPr="00C73325">
        <w:rPr>
          <w:rFonts w:cs="Times New Roman"/>
          <w:szCs w:val="24"/>
        </w:rPr>
        <w:t>existing studies have investigated largely how general firm level characteristics</w:t>
      </w:r>
      <w:r w:rsidR="00BB50AE" w:rsidRPr="00C73325">
        <w:rPr>
          <w:rFonts w:cs="Times New Roman"/>
          <w:szCs w:val="24"/>
        </w:rPr>
        <w:t>,</w:t>
      </w:r>
      <w:r w:rsidR="00B27F6E" w:rsidRPr="00C73325">
        <w:rPr>
          <w:rFonts w:cs="Times New Roman"/>
          <w:szCs w:val="24"/>
        </w:rPr>
        <w:t xml:space="preserve"> such as </w:t>
      </w:r>
      <w:r w:rsidR="00BB50AE" w:rsidRPr="00C73325">
        <w:rPr>
          <w:rFonts w:cs="Times New Roman"/>
          <w:szCs w:val="24"/>
        </w:rPr>
        <w:t xml:space="preserve">cash flow </w:t>
      </w:r>
      <w:r w:rsidR="00B27F6E" w:rsidRPr="00C73325">
        <w:rPr>
          <w:rFonts w:cs="Times New Roman"/>
          <w:szCs w:val="24"/>
        </w:rPr>
        <w:t>(</w:t>
      </w:r>
      <w:proofErr w:type="spellStart"/>
      <w:r w:rsidR="00834CFA" w:rsidRPr="00C73325">
        <w:rPr>
          <w:rFonts w:cs="Times New Roman"/>
          <w:szCs w:val="24"/>
        </w:rPr>
        <w:t>Travlos</w:t>
      </w:r>
      <w:proofErr w:type="spellEnd"/>
      <w:r w:rsidR="00F3194C" w:rsidRPr="00C73325">
        <w:rPr>
          <w:rFonts w:cs="Times New Roman"/>
          <w:szCs w:val="24"/>
        </w:rPr>
        <w:t xml:space="preserve"> et al.</w:t>
      </w:r>
      <w:r w:rsidR="00FA0B2A" w:rsidRPr="00C73325">
        <w:rPr>
          <w:rFonts w:cs="Times New Roman"/>
          <w:szCs w:val="24"/>
        </w:rPr>
        <w:t>,</w:t>
      </w:r>
      <w:r w:rsidR="00834CFA" w:rsidRPr="00C73325">
        <w:rPr>
          <w:rFonts w:cs="Times New Roman"/>
          <w:szCs w:val="24"/>
        </w:rPr>
        <w:t xml:space="preserve"> 2001; </w:t>
      </w:r>
      <w:proofErr w:type="spellStart"/>
      <w:r w:rsidR="00834CFA" w:rsidRPr="00C73325">
        <w:rPr>
          <w:rFonts w:cs="Times New Roman"/>
          <w:szCs w:val="24"/>
        </w:rPr>
        <w:t>Fama</w:t>
      </w:r>
      <w:proofErr w:type="spellEnd"/>
      <w:r w:rsidR="00834CFA" w:rsidRPr="00C73325">
        <w:rPr>
          <w:rFonts w:cs="Times New Roman"/>
          <w:szCs w:val="24"/>
        </w:rPr>
        <w:t xml:space="preserve"> &amp; French</w:t>
      </w:r>
      <w:r w:rsidR="00FA0B2A" w:rsidRPr="00C73325">
        <w:rPr>
          <w:rFonts w:cs="Times New Roman"/>
          <w:szCs w:val="24"/>
        </w:rPr>
        <w:t>,</w:t>
      </w:r>
      <w:r w:rsidR="00834CFA" w:rsidRPr="00C73325">
        <w:rPr>
          <w:rFonts w:cs="Times New Roman"/>
          <w:szCs w:val="24"/>
        </w:rPr>
        <w:t xml:space="preserve"> 2001</w:t>
      </w:r>
      <w:r w:rsidR="00BB50AE" w:rsidRPr="00C73325">
        <w:rPr>
          <w:rFonts w:cs="Times New Roman"/>
          <w:szCs w:val="24"/>
        </w:rPr>
        <w:t>), firm size</w:t>
      </w:r>
      <w:r w:rsidR="00834CFA" w:rsidRPr="00C73325">
        <w:rPr>
          <w:rFonts w:cs="Times New Roman"/>
          <w:szCs w:val="24"/>
        </w:rPr>
        <w:t xml:space="preserve"> </w:t>
      </w:r>
      <w:r w:rsidR="00BB50AE" w:rsidRPr="00C73325">
        <w:rPr>
          <w:rFonts w:cs="Times New Roman"/>
          <w:szCs w:val="24"/>
        </w:rPr>
        <w:t>(</w:t>
      </w:r>
      <w:r w:rsidR="00834CFA" w:rsidRPr="00C73325">
        <w:rPr>
          <w:rFonts w:cs="Times New Roman"/>
          <w:szCs w:val="24"/>
        </w:rPr>
        <w:t>Al-</w:t>
      </w:r>
      <w:proofErr w:type="spellStart"/>
      <w:r w:rsidR="00834CFA" w:rsidRPr="00C73325">
        <w:rPr>
          <w:rFonts w:cs="Times New Roman"/>
          <w:szCs w:val="24"/>
        </w:rPr>
        <w:t>Malkawi</w:t>
      </w:r>
      <w:proofErr w:type="spellEnd"/>
      <w:r w:rsidR="00FA0B2A" w:rsidRPr="00C73325">
        <w:rPr>
          <w:rFonts w:cs="Times New Roman"/>
          <w:szCs w:val="24"/>
        </w:rPr>
        <w:t>,</w:t>
      </w:r>
      <w:r w:rsidR="00834CFA" w:rsidRPr="00C73325">
        <w:rPr>
          <w:rFonts w:cs="Times New Roman"/>
          <w:szCs w:val="24"/>
        </w:rPr>
        <w:t xml:space="preserve"> 2007; Al</w:t>
      </w:r>
      <w:r w:rsidR="00544F41" w:rsidRPr="00C73325">
        <w:rPr>
          <w:rFonts w:cs="Times New Roman"/>
          <w:szCs w:val="24"/>
        </w:rPr>
        <w:t>-</w:t>
      </w:r>
      <w:proofErr w:type="spellStart"/>
      <w:r w:rsidR="00834CFA" w:rsidRPr="00C73325">
        <w:rPr>
          <w:rFonts w:cs="Times New Roman"/>
          <w:szCs w:val="24"/>
        </w:rPr>
        <w:t>Kuwari</w:t>
      </w:r>
      <w:proofErr w:type="spellEnd"/>
      <w:r w:rsidR="00FA0B2A" w:rsidRPr="00C73325">
        <w:rPr>
          <w:rFonts w:cs="Times New Roman"/>
          <w:szCs w:val="24"/>
        </w:rPr>
        <w:t>,</w:t>
      </w:r>
      <w:r w:rsidR="00834CFA" w:rsidRPr="00C73325">
        <w:rPr>
          <w:rFonts w:cs="Times New Roman"/>
          <w:szCs w:val="24"/>
        </w:rPr>
        <w:t xml:space="preserve"> 2009</w:t>
      </w:r>
      <w:r w:rsidR="00842D79" w:rsidRPr="00C73325">
        <w:rPr>
          <w:rFonts w:cs="Times New Roman"/>
          <w:szCs w:val="24"/>
        </w:rPr>
        <w:t>, 2010</w:t>
      </w:r>
      <w:r w:rsidR="00834CFA" w:rsidRPr="00C73325">
        <w:rPr>
          <w:rFonts w:cs="Times New Roman"/>
          <w:szCs w:val="24"/>
        </w:rPr>
        <w:t>;</w:t>
      </w:r>
      <w:r w:rsidR="00490075" w:rsidRPr="00C73325">
        <w:rPr>
          <w:rFonts w:cs="Times New Roman"/>
          <w:szCs w:val="24"/>
        </w:rPr>
        <w:t xml:space="preserve"> </w:t>
      </w:r>
      <w:proofErr w:type="spellStart"/>
      <w:r w:rsidR="00834CFA" w:rsidRPr="00C73325">
        <w:rPr>
          <w:rFonts w:cs="Times New Roman"/>
          <w:szCs w:val="24"/>
        </w:rPr>
        <w:t>Jiraporn</w:t>
      </w:r>
      <w:proofErr w:type="spellEnd"/>
      <w:r w:rsidR="00490075" w:rsidRPr="00C73325">
        <w:rPr>
          <w:rFonts w:cs="Times New Roman"/>
          <w:szCs w:val="24"/>
        </w:rPr>
        <w:t xml:space="preserve"> et al.</w:t>
      </w:r>
      <w:r w:rsidR="00FA0B2A" w:rsidRPr="00C73325">
        <w:rPr>
          <w:rFonts w:cs="Times New Roman"/>
          <w:szCs w:val="24"/>
        </w:rPr>
        <w:t>,</w:t>
      </w:r>
      <w:r w:rsidR="00834CFA" w:rsidRPr="00C73325">
        <w:rPr>
          <w:rFonts w:cs="Times New Roman"/>
          <w:szCs w:val="24"/>
        </w:rPr>
        <w:t xml:space="preserve"> 2011), leverage (Al-</w:t>
      </w:r>
      <w:proofErr w:type="spellStart"/>
      <w:r w:rsidR="00834CFA" w:rsidRPr="00C73325">
        <w:rPr>
          <w:rFonts w:cs="Times New Roman"/>
          <w:szCs w:val="24"/>
        </w:rPr>
        <w:t>Shubiri</w:t>
      </w:r>
      <w:proofErr w:type="spellEnd"/>
      <w:r w:rsidR="00FA0B2A" w:rsidRPr="00C73325">
        <w:rPr>
          <w:rFonts w:cs="Times New Roman"/>
          <w:szCs w:val="24"/>
        </w:rPr>
        <w:t>,</w:t>
      </w:r>
      <w:r w:rsidR="00834CFA" w:rsidRPr="00C73325">
        <w:rPr>
          <w:rFonts w:cs="Times New Roman"/>
          <w:szCs w:val="24"/>
        </w:rPr>
        <w:t xml:space="preserve"> 2011</w:t>
      </w:r>
      <w:r w:rsidR="00F3194C" w:rsidRPr="00C73325">
        <w:rPr>
          <w:rFonts w:cs="Times New Roman"/>
          <w:szCs w:val="24"/>
        </w:rPr>
        <w:t>;</w:t>
      </w:r>
      <w:r w:rsidR="00976F16" w:rsidRPr="00C73325">
        <w:rPr>
          <w:rFonts w:cs="Times New Roman"/>
          <w:szCs w:val="24"/>
        </w:rPr>
        <w:t xml:space="preserve"> </w:t>
      </w:r>
      <w:proofErr w:type="spellStart"/>
      <w:r w:rsidR="00976F16" w:rsidRPr="00C73325">
        <w:rPr>
          <w:rFonts w:cs="Times New Roman"/>
          <w:szCs w:val="24"/>
        </w:rPr>
        <w:t>Afza</w:t>
      </w:r>
      <w:proofErr w:type="spellEnd"/>
      <w:r w:rsidR="00976F16" w:rsidRPr="00C73325">
        <w:rPr>
          <w:rFonts w:cs="Times New Roman"/>
          <w:szCs w:val="24"/>
        </w:rPr>
        <w:t xml:space="preserve"> &amp; Mirza</w:t>
      </w:r>
      <w:r w:rsidR="00FA0B2A" w:rsidRPr="00C73325">
        <w:rPr>
          <w:rFonts w:cs="Times New Roman"/>
          <w:szCs w:val="24"/>
        </w:rPr>
        <w:t>,</w:t>
      </w:r>
      <w:r w:rsidR="00976F16" w:rsidRPr="00C73325">
        <w:rPr>
          <w:rFonts w:cs="Times New Roman"/>
          <w:szCs w:val="24"/>
        </w:rPr>
        <w:t xml:space="preserve"> 2011;</w:t>
      </w:r>
      <w:r w:rsidR="00976F16" w:rsidRPr="00C73325">
        <w:t xml:space="preserve"> </w:t>
      </w:r>
      <w:proofErr w:type="spellStart"/>
      <w:r w:rsidR="00976F16" w:rsidRPr="00C73325">
        <w:rPr>
          <w:rFonts w:cs="Times New Roman"/>
          <w:szCs w:val="24"/>
        </w:rPr>
        <w:t>Rafique</w:t>
      </w:r>
      <w:proofErr w:type="spellEnd"/>
      <w:r w:rsidR="00FA0B2A" w:rsidRPr="00C73325">
        <w:rPr>
          <w:rFonts w:cs="Times New Roman"/>
          <w:szCs w:val="24"/>
        </w:rPr>
        <w:t>,</w:t>
      </w:r>
      <w:r w:rsidR="00976F16" w:rsidRPr="00C73325">
        <w:rPr>
          <w:rFonts w:cs="Times New Roman"/>
          <w:szCs w:val="24"/>
        </w:rPr>
        <w:t xml:space="preserve"> 2012;</w:t>
      </w:r>
      <w:r w:rsidR="00834CFA" w:rsidRPr="00C73325">
        <w:rPr>
          <w:rFonts w:cs="Times New Roman"/>
          <w:szCs w:val="24"/>
        </w:rPr>
        <w:t xml:space="preserve"> </w:t>
      </w:r>
      <w:proofErr w:type="spellStart"/>
      <w:r w:rsidR="00834CFA" w:rsidRPr="00C73325">
        <w:rPr>
          <w:rFonts w:cs="Times New Roman"/>
          <w:szCs w:val="24"/>
        </w:rPr>
        <w:t>Emamalizadeh</w:t>
      </w:r>
      <w:proofErr w:type="spellEnd"/>
      <w:r w:rsidR="00F3194C" w:rsidRPr="00C73325">
        <w:rPr>
          <w:rFonts w:cs="Times New Roman"/>
          <w:szCs w:val="24"/>
        </w:rPr>
        <w:t xml:space="preserve"> et al.</w:t>
      </w:r>
      <w:r w:rsidR="00FA0B2A" w:rsidRPr="00C73325">
        <w:rPr>
          <w:rFonts w:cs="Times New Roman"/>
          <w:szCs w:val="24"/>
        </w:rPr>
        <w:t>,</w:t>
      </w:r>
      <w:r w:rsidR="00834CFA" w:rsidRPr="00C73325">
        <w:rPr>
          <w:rFonts w:cs="Times New Roman"/>
          <w:szCs w:val="24"/>
        </w:rPr>
        <w:t xml:space="preserve"> 2013)</w:t>
      </w:r>
      <w:r w:rsidR="00976F16" w:rsidRPr="00C73325">
        <w:rPr>
          <w:rFonts w:cs="Times New Roman"/>
          <w:szCs w:val="24"/>
        </w:rPr>
        <w:t xml:space="preserve"> </w:t>
      </w:r>
      <w:r w:rsidR="00BB50AE" w:rsidRPr="00C73325">
        <w:rPr>
          <w:rFonts w:cs="Times New Roman"/>
          <w:szCs w:val="24"/>
        </w:rPr>
        <w:t>and</w:t>
      </w:r>
      <w:r w:rsidR="00976F16" w:rsidRPr="00C73325">
        <w:rPr>
          <w:rFonts w:cs="Times New Roman"/>
          <w:szCs w:val="24"/>
        </w:rPr>
        <w:t xml:space="preserve"> return on assets</w:t>
      </w:r>
      <w:r w:rsidR="00FE15AC" w:rsidRPr="00C73325">
        <w:rPr>
          <w:rFonts w:cs="Times New Roman"/>
          <w:szCs w:val="24"/>
        </w:rPr>
        <w:t xml:space="preserve"> </w:t>
      </w:r>
      <w:r w:rsidR="00FE15AC" w:rsidRPr="00C73325">
        <w:t>(</w:t>
      </w:r>
      <w:proofErr w:type="spellStart"/>
      <w:r w:rsidR="00FE15AC" w:rsidRPr="00C73325">
        <w:rPr>
          <w:rFonts w:cs="Times New Roman"/>
          <w:szCs w:val="24"/>
        </w:rPr>
        <w:t>Amidu</w:t>
      </w:r>
      <w:proofErr w:type="spellEnd"/>
      <w:r w:rsidR="00FA0B2A" w:rsidRPr="00C73325">
        <w:rPr>
          <w:rFonts w:cs="Times New Roman"/>
          <w:szCs w:val="24"/>
        </w:rPr>
        <w:t>,</w:t>
      </w:r>
      <w:r w:rsidR="00FE15AC" w:rsidRPr="00C73325">
        <w:rPr>
          <w:rFonts w:cs="Times New Roman"/>
          <w:szCs w:val="24"/>
        </w:rPr>
        <w:t xml:space="preserve"> 2007; G</w:t>
      </w:r>
      <w:r w:rsidR="00976F16" w:rsidRPr="00C73325">
        <w:rPr>
          <w:rFonts w:cs="Times New Roman"/>
          <w:szCs w:val="24"/>
        </w:rPr>
        <w:t>ill</w:t>
      </w:r>
      <w:r w:rsidR="00F3194C" w:rsidRPr="00C73325">
        <w:rPr>
          <w:rFonts w:cs="Times New Roman"/>
          <w:szCs w:val="24"/>
        </w:rPr>
        <w:t xml:space="preserve"> et al.</w:t>
      </w:r>
      <w:r w:rsidR="00FA0B2A" w:rsidRPr="00C73325">
        <w:rPr>
          <w:rFonts w:cs="Times New Roman"/>
          <w:szCs w:val="24"/>
        </w:rPr>
        <w:t>,</w:t>
      </w:r>
      <w:r w:rsidR="00976F16" w:rsidRPr="00C73325">
        <w:rPr>
          <w:rFonts w:cs="Times New Roman"/>
          <w:szCs w:val="24"/>
        </w:rPr>
        <w:t xml:space="preserve"> 2010; </w:t>
      </w:r>
      <w:proofErr w:type="spellStart"/>
      <w:r w:rsidR="00976F16" w:rsidRPr="00C73325">
        <w:rPr>
          <w:rFonts w:cs="Times New Roman"/>
          <w:szCs w:val="24"/>
        </w:rPr>
        <w:t>Adil</w:t>
      </w:r>
      <w:proofErr w:type="spellEnd"/>
      <w:r w:rsidR="00F3194C" w:rsidRPr="00C73325">
        <w:rPr>
          <w:rFonts w:cs="Times New Roman"/>
          <w:szCs w:val="24"/>
        </w:rPr>
        <w:t xml:space="preserve"> et al.</w:t>
      </w:r>
      <w:r w:rsidR="00FA0B2A" w:rsidRPr="00C73325">
        <w:rPr>
          <w:rFonts w:cs="Times New Roman"/>
          <w:szCs w:val="24"/>
        </w:rPr>
        <w:t>,</w:t>
      </w:r>
      <w:r w:rsidR="00976F16" w:rsidRPr="00C73325">
        <w:rPr>
          <w:rFonts w:cs="Times New Roman"/>
          <w:szCs w:val="24"/>
        </w:rPr>
        <w:t xml:space="preserve"> 2011; </w:t>
      </w:r>
      <w:proofErr w:type="spellStart"/>
      <w:r w:rsidR="00976F16" w:rsidRPr="00C73325">
        <w:rPr>
          <w:rFonts w:cs="Times New Roman"/>
          <w:szCs w:val="24"/>
        </w:rPr>
        <w:t>Ouma</w:t>
      </w:r>
      <w:proofErr w:type="spellEnd"/>
      <w:r w:rsidR="00FA0B2A" w:rsidRPr="00C73325">
        <w:rPr>
          <w:rFonts w:cs="Times New Roman"/>
          <w:szCs w:val="24"/>
        </w:rPr>
        <w:t>,</w:t>
      </w:r>
      <w:r w:rsidR="00976F16" w:rsidRPr="00C73325">
        <w:rPr>
          <w:rFonts w:cs="Times New Roman"/>
          <w:szCs w:val="24"/>
        </w:rPr>
        <w:t xml:space="preserve"> 2012)</w:t>
      </w:r>
      <w:r w:rsidR="00BB50AE" w:rsidRPr="00C73325">
        <w:rPr>
          <w:rFonts w:cs="Times New Roman"/>
          <w:szCs w:val="24"/>
        </w:rPr>
        <w:t xml:space="preserve"> affect dividend </w:t>
      </w:r>
      <w:r w:rsidR="00855D30" w:rsidRPr="00C73325">
        <w:rPr>
          <w:rFonts w:cs="Times New Roman"/>
          <w:szCs w:val="24"/>
        </w:rPr>
        <w:t>pay-out</w:t>
      </w:r>
      <w:r w:rsidR="00BB50AE" w:rsidRPr="00C73325">
        <w:rPr>
          <w:rFonts w:cs="Times New Roman"/>
          <w:szCs w:val="24"/>
        </w:rPr>
        <w:t>.</w:t>
      </w:r>
      <w:r w:rsidR="00A54C1F" w:rsidRPr="00C73325">
        <w:rPr>
          <w:rFonts w:cs="Times New Roman"/>
          <w:szCs w:val="24"/>
        </w:rPr>
        <w:t xml:space="preserve"> </w:t>
      </w:r>
      <w:r w:rsidR="001C31E6" w:rsidRPr="00C73325">
        <w:rPr>
          <w:rFonts w:cs="Times New Roman"/>
          <w:szCs w:val="24"/>
        </w:rPr>
        <w:t>By contrast and</w:t>
      </w:r>
      <w:r w:rsidR="00A54C1F" w:rsidRPr="00C73325">
        <w:rPr>
          <w:rFonts w:cs="Times New Roman"/>
          <w:szCs w:val="24"/>
        </w:rPr>
        <w:t xml:space="preserve"> despite suggestions that dividend policy is determined </w:t>
      </w:r>
      <w:r w:rsidR="00634171" w:rsidRPr="00C73325">
        <w:rPr>
          <w:rFonts w:cs="Times New Roman"/>
          <w:szCs w:val="24"/>
        </w:rPr>
        <w:t xml:space="preserve">by </w:t>
      </w:r>
      <w:r w:rsidR="00A54C1F" w:rsidRPr="00C73325">
        <w:rPr>
          <w:rFonts w:cs="Times New Roman"/>
          <w:szCs w:val="24"/>
        </w:rPr>
        <w:t>corporate boards and top executives (</w:t>
      </w:r>
      <w:proofErr w:type="spellStart"/>
      <w:r w:rsidR="0016793E" w:rsidRPr="00C73325">
        <w:rPr>
          <w:rFonts w:cs="Times New Roman"/>
          <w:szCs w:val="24"/>
          <w:lang w:val="en-US"/>
        </w:rPr>
        <w:t>Borokhovich</w:t>
      </w:r>
      <w:proofErr w:type="spellEnd"/>
      <w:r w:rsidR="00F3194C" w:rsidRPr="00C73325">
        <w:rPr>
          <w:rFonts w:cs="Times New Roman"/>
          <w:szCs w:val="24"/>
          <w:lang w:val="en-US"/>
        </w:rPr>
        <w:t xml:space="preserve"> et al.</w:t>
      </w:r>
      <w:r w:rsidR="00FA0B2A" w:rsidRPr="00C73325">
        <w:rPr>
          <w:rFonts w:cs="Times New Roman"/>
          <w:szCs w:val="24"/>
          <w:lang w:val="en-US"/>
        </w:rPr>
        <w:t>,</w:t>
      </w:r>
      <w:r w:rsidR="0016793E" w:rsidRPr="00C73325">
        <w:rPr>
          <w:rFonts w:cs="Times New Roman"/>
          <w:szCs w:val="24"/>
          <w:lang w:val="en-US"/>
        </w:rPr>
        <w:t xml:space="preserve"> </w:t>
      </w:r>
      <w:r w:rsidR="00A54C1F" w:rsidRPr="00C73325">
        <w:rPr>
          <w:rFonts w:cs="Times New Roman"/>
          <w:szCs w:val="24"/>
        </w:rPr>
        <w:t xml:space="preserve">2005; Ghosh &amp; </w:t>
      </w:r>
      <w:proofErr w:type="spellStart"/>
      <w:r w:rsidR="00A54C1F" w:rsidRPr="00C73325">
        <w:rPr>
          <w:rFonts w:cs="Times New Roman"/>
          <w:szCs w:val="24"/>
        </w:rPr>
        <w:t>Sirmans</w:t>
      </w:r>
      <w:proofErr w:type="spellEnd"/>
      <w:r w:rsidR="00FA0B2A" w:rsidRPr="00C73325">
        <w:rPr>
          <w:rFonts w:cs="Times New Roman"/>
          <w:szCs w:val="24"/>
        </w:rPr>
        <w:t>,</w:t>
      </w:r>
      <w:r w:rsidR="00A54C1F" w:rsidRPr="00C73325">
        <w:rPr>
          <w:rFonts w:cs="Times New Roman"/>
          <w:szCs w:val="24"/>
        </w:rPr>
        <w:t xml:space="preserve"> 2006;</w:t>
      </w:r>
      <w:r w:rsidR="00127067" w:rsidRPr="00C73325">
        <w:rPr>
          <w:rFonts w:cs="Times New Roman"/>
          <w:szCs w:val="24"/>
        </w:rPr>
        <w:t xml:space="preserve"> How et al</w:t>
      </w:r>
      <w:r w:rsidR="00F3194C" w:rsidRPr="00C73325">
        <w:rPr>
          <w:rFonts w:cs="Times New Roman"/>
          <w:szCs w:val="24"/>
        </w:rPr>
        <w:t>.</w:t>
      </w:r>
      <w:r w:rsidR="00FA0B2A" w:rsidRPr="00C73325">
        <w:rPr>
          <w:rFonts w:cs="Times New Roman"/>
          <w:szCs w:val="24"/>
        </w:rPr>
        <w:t>,</w:t>
      </w:r>
      <w:r w:rsidR="00127067" w:rsidRPr="00C73325">
        <w:rPr>
          <w:rFonts w:cs="Times New Roman"/>
          <w:szCs w:val="24"/>
        </w:rPr>
        <w:t xml:space="preserve"> </w:t>
      </w:r>
      <w:r w:rsidR="00A54C1F" w:rsidRPr="00C73325">
        <w:rPr>
          <w:rFonts w:cs="Times New Roman"/>
          <w:szCs w:val="24"/>
        </w:rPr>
        <w:t>2008;</w:t>
      </w:r>
      <w:r w:rsidR="00237710" w:rsidRPr="00C73325">
        <w:rPr>
          <w:rFonts w:cs="Times New Roman"/>
          <w:szCs w:val="24"/>
        </w:rPr>
        <w:t xml:space="preserve"> </w:t>
      </w:r>
      <w:r w:rsidR="00A54C1F" w:rsidRPr="00C73325">
        <w:rPr>
          <w:rFonts w:cs="Times New Roman"/>
          <w:szCs w:val="24"/>
        </w:rPr>
        <w:t>Al-</w:t>
      </w:r>
      <w:proofErr w:type="spellStart"/>
      <w:r w:rsidR="00A54C1F" w:rsidRPr="00C73325">
        <w:rPr>
          <w:rFonts w:cs="Times New Roman"/>
          <w:szCs w:val="24"/>
        </w:rPr>
        <w:t>Najjar</w:t>
      </w:r>
      <w:proofErr w:type="spellEnd"/>
      <w:r w:rsidR="00A54C1F" w:rsidRPr="00C73325">
        <w:rPr>
          <w:rFonts w:cs="Times New Roman"/>
          <w:szCs w:val="24"/>
        </w:rPr>
        <w:t xml:space="preserve"> &amp; </w:t>
      </w:r>
      <w:proofErr w:type="spellStart"/>
      <w:r w:rsidR="00A54C1F" w:rsidRPr="00C73325">
        <w:rPr>
          <w:rFonts w:cs="Times New Roman"/>
          <w:szCs w:val="24"/>
        </w:rPr>
        <w:t>Hussainey</w:t>
      </w:r>
      <w:proofErr w:type="spellEnd"/>
      <w:r w:rsidR="00FA0B2A" w:rsidRPr="00C73325">
        <w:rPr>
          <w:rFonts w:cs="Times New Roman"/>
          <w:szCs w:val="24"/>
        </w:rPr>
        <w:t>,</w:t>
      </w:r>
      <w:r w:rsidR="00A54C1F" w:rsidRPr="00C73325">
        <w:rPr>
          <w:rFonts w:cs="Times New Roman"/>
          <w:szCs w:val="24"/>
        </w:rPr>
        <w:t xml:space="preserve"> 2009</w:t>
      </w:r>
      <w:r w:rsidR="00127067" w:rsidRPr="00C73325">
        <w:rPr>
          <w:rFonts w:cs="Times New Roman"/>
          <w:szCs w:val="24"/>
        </w:rPr>
        <w:t xml:space="preserve">; </w:t>
      </w:r>
      <w:proofErr w:type="spellStart"/>
      <w:r w:rsidR="00127067" w:rsidRPr="00C73325">
        <w:rPr>
          <w:rFonts w:cs="Times New Roman"/>
          <w:szCs w:val="24"/>
        </w:rPr>
        <w:t>Borokhovich</w:t>
      </w:r>
      <w:proofErr w:type="spellEnd"/>
      <w:r w:rsidR="00127067" w:rsidRPr="00C73325">
        <w:rPr>
          <w:rFonts w:cs="Times New Roman"/>
          <w:szCs w:val="24"/>
        </w:rPr>
        <w:t xml:space="preserve"> et al</w:t>
      </w:r>
      <w:r w:rsidR="00F3194C" w:rsidRPr="00C73325">
        <w:rPr>
          <w:rFonts w:cs="Times New Roman"/>
          <w:szCs w:val="24"/>
        </w:rPr>
        <w:t>.</w:t>
      </w:r>
      <w:r w:rsidR="00FA0B2A" w:rsidRPr="00C73325">
        <w:rPr>
          <w:rFonts w:cs="Times New Roman"/>
          <w:szCs w:val="24"/>
        </w:rPr>
        <w:t>,</w:t>
      </w:r>
      <w:r w:rsidR="00127067" w:rsidRPr="00C73325">
        <w:rPr>
          <w:rFonts w:cs="Times New Roman"/>
          <w:szCs w:val="24"/>
        </w:rPr>
        <w:t xml:space="preserve"> </w:t>
      </w:r>
      <w:r w:rsidR="00A54C1F" w:rsidRPr="00C73325">
        <w:rPr>
          <w:rFonts w:cs="Times New Roman"/>
          <w:szCs w:val="24"/>
        </w:rPr>
        <w:t>2013</w:t>
      </w:r>
      <w:r w:rsidR="00B278E1" w:rsidRPr="00C73325">
        <w:rPr>
          <w:rFonts w:cs="Times New Roman"/>
          <w:szCs w:val="24"/>
        </w:rPr>
        <w:t>;</w:t>
      </w:r>
      <w:r w:rsidR="00A54C1F" w:rsidRPr="00C73325">
        <w:rPr>
          <w:rFonts w:cs="Times New Roman"/>
          <w:szCs w:val="24"/>
        </w:rPr>
        <w:t xml:space="preserve"> </w:t>
      </w:r>
      <w:proofErr w:type="spellStart"/>
      <w:r w:rsidR="00A54C1F" w:rsidRPr="00C73325">
        <w:rPr>
          <w:rFonts w:eastAsia="MS Gothic" w:cs="Times New Roman"/>
          <w:szCs w:val="24"/>
        </w:rPr>
        <w:t>Ghasemi</w:t>
      </w:r>
      <w:proofErr w:type="spellEnd"/>
      <w:r w:rsidR="00A54C1F" w:rsidRPr="00C73325">
        <w:rPr>
          <w:rFonts w:eastAsia="MS Gothic" w:cs="Times New Roman"/>
          <w:szCs w:val="24"/>
        </w:rPr>
        <w:t xml:space="preserve"> et al</w:t>
      </w:r>
      <w:r w:rsidR="00E76F0C" w:rsidRPr="00C73325">
        <w:rPr>
          <w:rFonts w:eastAsia="MS Gothic" w:cs="Times New Roman"/>
          <w:szCs w:val="24"/>
        </w:rPr>
        <w:t>.</w:t>
      </w:r>
      <w:r w:rsidR="00FA0B2A" w:rsidRPr="00C73325">
        <w:rPr>
          <w:rFonts w:eastAsia="MS Gothic" w:cs="Times New Roman"/>
          <w:szCs w:val="24"/>
        </w:rPr>
        <w:t>,</w:t>
      </w:r>
      <w:r w:rsidR="00A54C1F" w:rsidRPr="00C73325">
        <w:rPr>
          <w:rFonts w:eastAsia="MS Gothic" w:cs="Times New Roman"/>
          <w:szCs w:val="24"/>
        </w:rPr>
        <w:t xml:space="preserve"> 2013</w:t>
      </w:r>
      <w:r w:rsidR="00A54C1F" w:rsidRPr="00C73325">
        <w:rPr>
          <w:rFonts w:cs="Times New Roman"/>
          <w:szCs w:val="24"/>
        </w:rPr>
        <w:t xml:space="preserve">), </w:t>
      </w:r>
      <w:r w:rsidR="00E74CA5" w:rsidRPr="00C73325">
        <w:rPr>
          <w:rFonts w:cs="Times New Roman"/>
          <w:szCs w:val="24"/>
        </w:rPr>
        <w:t xml:space="preserve">existing studies examining the </w:t>
      </w:r>
      <w:r w:rsidR="004912BE" w:rsidRPr="00C73325">
        <w:rPr>
          <w:rFonts w:cs="Times New Roman"/>
          <w:szCs w:val="24"/>
        </w:rPr>
        <w:t>effect of</w:t>
      </w:r>
      <w:r w:rsidR="00E74CA5" w:rsidRPr="00C73325">
        <w:rPr>
          <w:rFonts w:cs="Times New Roman"/>
          <w:szCs w:val="24"/>
        </w:rPr>
        <w:t xml:space="preserve"> corporate governance on dividend </w:t>
      </w:r>
      <w:r w:rsidR="00855D30" w:rsidRPr="00C73325">
        <w:rPr>
          <w:rFonts w:cs="Times New Roman"/>
          <w:szCs w:val="24"/>
        </w:rPr>
        <w:t>pay-out</w:t>
      </w:r>
      <w:r w:rsidR="00E74CA5" w:rsidRPr="00C73325">
        <w:rPr>
          <w:rFonts w:cs="Times New Roman"/>
          <w:szCs w:val="24"/>
        </w:rPr>
        <w:t xml:space="preserve"> are rare (</w:t>
      </w:r>
      <w:r w:rsidR="00D56391" w:rsidRPr="00C73325">
        <w:rPr>
          <w:rFonts w:eastAsia="Times New Roman" w:cs="Times New Roman"/>
          <w:szCs w:val="24"/>
          <w:shd w:val="clear" w:color="auto" w:fill="FFFFFF"/>
        </w:rPr>
        <w:t>How</w:t>
      </w:r>
      <w:r w:rsidR="00D56391" w:rsidRPr="00C73325">
        <w:rPr>
          <w:rFonts w:cs="Times New Roman"/>
          <w:bCs/>
          <w:szCs w:val="24"/>
        </w:rPr>
        <w:t xml:space="preserve"> et al.</w:t>
      </w:r>
      <w:r w:rsidR="00FA0B2A" w:rsidRPr="00C73325">
        <w:rPr>
          <w:rFonts w:cs="Times New Roman"/>
          <w:bCs/>
          <w:szCs w:val="24"/>
        </w:rPr>
        <w:t>,</w:t>
      </w:r>
      <w:r w:rsidR="00D56391" w:rsidRPr="00C73325">
        <w:rPr>
          <w:rFonts w:cs="Times New Roman"/>
          <w:bCs/>
          <w:szCs w:val="24"/>
        </w:rPr>
        <w:t xml:space="preserve"> 2008; Ghosh &amp; </w:t>
      </w:r>
      <w:proofErr w:type="spellStart"/>
      <w:r w:rsidR="00D56391" w:rsidRPr="00C73325">
        <w:rPr>
          <w:rFonts w:cs="Times New Roman"/>
          <w:bCs/>
          <w:szCs w:val="24"/>
        </w:rPr>
        <w:t>Sirmans</w:t>
      </w:r>
      <w:proofErr w:type="spellEnd"/>
      <w:r w:rsidR="00FA0B2A" w:rsidRPr="00C73325">
        <w:rPr>
          <w:rFonts w:cs="Times New Roman"/>
          <w:bCs/>
          <w:szCs w:val="24"/>
        </w:rPr>
        <w:t>,</w:t>
      </w:r>
      <w:r w:rsidR="00D56391" w:rsidRPr="00C73325">
        <w:rPr>
          <w:rFonts w:cs="Times New Roman"/>
          <w:bCs/>
          <w:szCs w:val="24"/>
        </w:rPr>
        <w:t xml:space="preserve"> 2006; </w:t>
      </w:r>
      <w:r w:rsidR="00D56391" w:rsidRPr="00C73325">
        <w:rPr>
          <w:rFonts w:cs="Times New Roman"/>
          <w:szCs w:val="24"/>
        </w:rPr>
        <w:t>Zhang</w:t>
      </w:r>
      <w:r w:rsidR="00FA0B2A" w:rsidRPr="00C73325">
        <w:rPr>
          <w:rFonts w:cs="Times New Roman"/>
          <w:szCs w:val="24"/>
        </w:rPr>
        <w:t>,</w:t>
      </w:r>
      <w:r w:rsidR="00D56391" w:rsidRPr="00C73325">
        <w:rPr>
          <w:rFonts w:cs="Times New Roman"/>
          <w:szCs w:val="24"/>
        </w:rPr>
        <w:t xml:space="preserve"> 2008; </w:t>
      </w:r>
      <w:r w:rsidR="00D56391" w:rsidRPr="00C73325">
        <w:rPr>
          <w:rFonts w:eastAsia="Times New Roman" w:cs="Times New Roman"/>
          <w:szCs w:val="24"/>
          <w:shd w:val="clear" w:color="auto" w:fill="FFFFFF"/>
        </w:rPr>
        <w:t>Al-</w:t>
      </w:r>
      <w:proofErr w:type="spellStart"/>
      <w:r w:rsidR="00D56391" w:rsidRPr="00C73325">
        <w:rPr>
          <w:rFonts w:eastAsia="Times New Roman" w:cs="Times New Roman"/>
          <w:szCs w:val="24"/>
          <w:shd w:val="clear" w:color="auto" w:fill="FFFFFF"/>
        </w:rPr>
        <w:t>Najjar</w:t>
      </w:r>
      <w:proofErr w:type="spellEnd"/>
      <w:r w:rsidR="00D56391" w:rsidRPr="00C73325">
        <w:rPr>
          <w:rFonts w:eastAsia="Times New Roman" w:cs="Times New Roman"/>
          <w:szCs w:val="24"/>
          <w:shd w:val="clear" w:color="auto" w:fill="FFFFFF"/>
        </w:rPr>
        <w:t xml:space="preserve"> &amp; </w:t>
      </w:r>
      <w:proofErr w:type="spellStart"/>
      <w:r w:rsidR="00D56391" w:rsidRPr="00C73325">
        <w:rPr>
          <w:rFonts w:eastAsia="Times New Roman" w:cs="Times New Roman"/>
          <w:szCs w:val="24"/>
          <w:shd w:val="clear" w:color="auto" w:fill="FFFFFF"/>
        </w:rPr>
        <w:t>Hussainey</w:t>
      </w:r>
      <w:proofErr w:type="spellEnd"/>
      <w:r w:rsidR="00FA0B2A" w:rsidRPr="00C73325">
        <w:rPr>
          <w:rFonts w:eastAsia="Times New Roman" w:cs="Times New Roman"/>
          <w:szCs w:val="24"/>
          <w:shd w:val="clear" w:color="auto" w:fill="FFFFFF"/>
        </w:rPr>
        <w:t>,</w:t>
      </w:r>
      <w:r w:rsidR="00D56391" w:rsidRPr="00C73325">
        <w:rPr>
          <w:rFonts w:eastAsia="Times New Roman" w:cs="Times New Roman"/>
          <w:szCs w:val="24"/>
          <w:shd w:val="clear" w:color="auto" w:fill="FFFFFF"/>
        </w:rPr>
        <w:t xml:space="preserve"> 2009; Harada &amp; Nguyen</w:t>
      </w:r>
      <w:r w:rsidR="00FA0B2A" w:rsidRPr="00C73325">
        <w:rPr>
          <w:rFonts w:eastAsia="Times New Roman" w:cs="Times New Roman"/>
          <w:szCs w:val="24"/>
          <w:shd w:val="clear" w:color="auto" w:fill="FFFFFF"/>
        </w:rPr>
        <w:t>,</w:t>
      </w:r>
      <w:r w:rsidR="00D56391" w:rsidRPr="00C73325">
        <w:rPr>
          <w:rFonts w:eastAsia="Times New Roman" w:cs="Times New Roman"/>
          <w:szCs w:val="24"/>
          <w:shd w:val="clear" w:color="auto" w:fill="FFFFFF"/>
        </w:rPr>
        <w:t xml:space="preserve"> 2011; </w:t>
      </w:r>
      <w:proofErr w:type="spellStart"/>
      <w:r w:rsidR="00D56391" w:rsidRPr="00C73325">
        <w:rPr>
          <w:rFonts w:cs="Times New Roman"/>
          <w:szCs w:val="24"/>
        </w:rPr>
        <w:t>Jiraporn</w:t>
      </w:r>
      <w:proofErr w:type="spellEnd"/>
      <w:r w:rsidR="00490075" w:rsidRPr="00C73325">
        <w:rPr>
          <w:rFonts w:cs="Times New Roman"/>
          <w:szCs w:val="24"/>
        </w:rPr>
        <w:t xml:space="preserve"> et al.</w:t>
      </w:r>
      <w:r w:rsidR="00FA0B2A" w:rsidRPr="00C73325">
        <w:rPr>
          <w:rFonts w:cs="Times New Roman"/>
          <w:szCs w:val="24"/>
        </w:rPr>
        <w:t>,</w:t>
      </w:r>
      <w:r w:rsidR="00D56391" w:rsidRPr="00C73325">
        <w:rPr>
          <w:rFonts w:cs="Times New Roman"/>
          <w:szCs w:val="24"/>
        </w:rPr>
        <w:t xml:space="preserve"> 2011; </w:t>
      </w:r>
      <w:proofErr w:type="spellStart"/>
      <w:r w:rsidR="00D56391" w:rsidRPr="00C73325">
        <w:rPr>
          <w:rFonts w:eastAsia="Times New Roman" w:cs="Times New Roman"/>
          <w:szCs w:val="24"/>
        </w:rPr>
        <w:t>Litai</w:t>
      </w:r>
      <w:proofErr w:type="spellEnd"/>
      <w:r w:rsidR="00D56391" w:rsidRPr="00C73325">
        <w:rPr>
          <w:rFonts w:cs="Times New Roman"/>
          <w:szCs w:val="24"/>
        </w:rPr>
        <w:t xml:space="preserve"> et al.</w:t>
      </w:r>
      <w:r w:rsidR="00FA0B2A" w:rsidRPr="00C73325">
        <w:rPr>
          <w:rFonts w:cs="Times New Roman"/>
          <w:szCs w:val="24"/>
        </w:rPr>
        <w:t>,</w:t>
      </w:r>
      <w:r w:rsidR="00D56391" w:rsidRPr="00C73325">
        <w:rPr>
          <w:rFonts w:cs="Times New Roman"/>
          <w:szCs w:val="24"/>
        </w:rPr>
        <w:t xml:space="preserve"> 2011</w:t>
      </w:r>
      <w:r w:rsidR="00E74CA5" w:rsidRPr="00C73325">
        <w:rPr>
          <w:rFonts w:cs="Times New Roman"/>
          <w:szCs w:val="24"/>
        </w:rPr>
        <w:t>).</w:t>
      </w:r>
      <w:r w:rsidR="003F0FCC" w:rsidRPr="00C73325">
        <w:rPr>
          <w:rFonts w:cs="Times New Roman"/>
          <w:szCs w:val="24"/>
        </w:rPr>
        <w:t xml:space="preserve"> </w:t>
      </w:r>
      <w:r w:rsidR="00815594">
        <w:rPr>
          <w:rFonts w:cs="Times New Roman"/>
          <w:szCs w:val="24"/>
        </w:rPr>
        <w:t>Third</w:t>
      </w:r>
      <w:r w:rsidR="0090058C" w:rsidRPr="00C73325">
        <w:rPr>
          <w:rFonts w:cs="Times New Roman"/>
          <w:szCs w:val="24"/>
        </w:rPr>
        <w:t xml:space="preserve">, the limited prior studies </w:t>
      </w:r>
      <w:r w:rsidR="00164DD9" w:rsidRPr="00C73325">
        <w:rPr>
          <w:rFonts w:cs="Times New Roman"/>
          <w:szCs w:val="24"/>
        </w:rPr>
        <w:t xml:space="preserve">examining the impact of corporate governance on dividend </w:t>
      </w:r>
      <w:r w:rsidR="00855D30" w:rsidRPr="00C73325">
        <w:rPr>
          <w:rFonts w:cs="Times New Roman"/>
          <w:szCs w:val="24"/>
        </w:rPr>
        <w:t>pay-out</w:t>
      </w:r>
      <w:r w:rsidR="00164DD9" w:rsidRPr="00C73325">
        <w:rPr>
          <w:rFonts w:cs="Times New Roman"/>
          <w:szCs w:val="24"/>
        </w:rPr>
        <w:t xml:space="preserve"> have also </w:t>
      </w:r>
      <w:r w:rsidR="00E76F0C" w:rsidRPr="00C73325">
        <w:rPr>
          <w:rFonts w:cs="Times New Roman"/>
          <w:szCs w:val="24"/>
        </w:rPr>
        <w:t xml:space="preserve">focused </w:t>
      </w:r>
      <w:r w:rsidR="00164DD9" w:rsidRPr="00C73325">
        <w:rPr>
          <w:rFonts w:cs="Times New Roman"/>
          <w:szCs w:val="24"/>
        </w:rPr>
        <w:t xml:space="preserve">almost exclusively </w:t>
      </w:r>
      <w:r w:rsidR="00B70A11" w:rsidRPr="00C73325">
        <w:rPr>
          <w:rFonts w:cs="Times New Roman"/>
          <w:szCs w:val="24"/>
        </w:rPr>
        <w:t>on large</w:t>
      </w:r>
      <w:r w:rsidR="00164DD9" w:rsidRPr="00C73325">
        <w:rPr>
          <w:rFonts w:cs="Times New Roman"/>
          <w:szCs w:val="24"/>
        </w:rPr>
        <w:t xml:space="preserve"> listed public corporations to the neglect of SMEs </w:t>
      </w:r>
      <w:r w:rsidR="0090058C" w:rsidRPr="00C73325">
        <w:rPr>
          <w:rFonts w:cs="Times New Roman"/>
          <w:szCs w:val="24"/>
        </w:rPr>
        <w:t>(</w:t>
      </w:r>
      <w:r w:rsidR="0090058C" w:rsidRPr="00C73325">
        <w:rPr>
          <w:rFonts w:cs="Times New Roman"/>
          <w:szCs w:val="24"/>
          <w:lang w:val="en-US"/>
        </w:rPr>
        <w:t>Sharma</w:t>
      </w:r>
      <w:r w:rsidR="00FA0B2A" w:rsidRPr="00C73325">
        <w:rPr>
          <w:rFonts w:cs="Times New Roman"/>
          <w:szCs w:val="24"/>
          <w:lang w:val="en-US"/>
        </w:rPr>
        <w:t>,</w:t>
      </w:r>
      <w:r w:rsidR="0090058C" w:rsidRPr="00C73325">
        <w:rPr>
          <w:rFonts w:cs="Times New Roman"/>
          <w:szCs w:val="24"/>
          <w:lang w:val="en-US"/>
        </w:rPr>
        <w:t xml:space="preserve"> 2011; </w:t>
      </w:r>
      <w:proofErr w:type="spellStart"/>
      <w:r w:rsidR="0090058C" w:rsidRPr="00C73325">
        <w:rPr>
          <w:rFonts w:eastAsia="Times New Roman" w:cs="Times New Roman"/>
          <w:szCs w:val="24"/>
        </w:rPr>
        <w:t>Subramaniam</w:t>
      </w:r>
      <w:proofErr w:type="spellEnd"/>
      <w:r w:rsidR="0090058C" w:rsidRPr="00C73325">
        <w:rPr>
          <w:rFonts w:eastAsia="Times New Roman" w:cs="Times New Roman"/>
          <w:szCs w:val="24"/>
        </w:rPr>
        <w:t xml:space="preserve"> </w:t>
      </w:r>
      <w:r w:rsidR="00D56DC0" w:rsidRPr="00C73325">
        <w:rPr>
          <w:rFonts w:cs="Times New Roman"/>
          <w:szCs w:val="24"/>
        </w:rPr>
        <w:t>&amp; Devi</w:t>
      </w:r>
      <w:r w:rsidR="00D56DC0" w:rsidRPr="00C73325" w:rsidDel="00D56DC0">
        <w:rPr>
          <w:rFonts w:eastAsia="Times New Roman" w:cs="Times New Roman"/>
          <w:szCs w:val="24"/>
        </w:rPr>
        <w:t>,</w:t>
      </w:r>
      <w:r w:rsidR="0090058C" w:rsidRPr="00C73325">
        <w:rPr>
          <w:rFonts w:eastAsia="Times New Roman" w:cs="Times New Roman"/>
          <w:szCs w:val="24"/>
        </w:rPr>
        <w:t xml:space="preserve"> 2011; </w:t>
      </w:r>
      <w:r w:rsidR="0090058C" w:rsidRPr="00C73325">
        <w:rPr>
          <w:rFonts w:cs="Times New Roman"/>
          <w:szCs w:val="24"/>
        </w:rPr>
        <w:t>Al-</w:t>
      </w:r>
      <w:proofErr w:type="spellStart"/>
      <w:r w:rsidR="0090058C" w:rsidRPr="00C73325">
        <w:rPr>
          <w:rFonts w:cs="Times New Roman"/>
          <w:szCs w:val="24"/>
        </w:rPr>
        <w:t>Swidi</w:t>
      </w:r>
      <w:proofErr w:type="spellEnd"/>
      <w:r w:rsidR="0090058C" w:rsidRPr="00C73325">
        <w:rPr>
          <w:rFonts w:cs="Times New Roman"/>
          <w:szCs w:val="24"/>
        </w:rPr>
        <w:t xml:space="preserve"> et al.</w:t>
      </w:r>
      <w:r w:rsidR="00FA0B2A" w:rsidRPr="00C73325">
        <w:rPr>
          <w:rFonts w:cs="Times New Roman"/>
          <w:szCs w:val="24"/>
        </w:rPr>
        <w:t>,</w:t>
      </w:r>
      <w:r w:rsidR="0090058C" w:rsidRPr="00C73325">
        <w:rPr>
          <w:rFonts w:cs="Times New Roman"/>
          <w:szCs w:val="24"/>
        </w:rPr>
        <w:t xml:space="preserve"> 2012; </w:t>
      </w:r>
      <w:r w:rsidR="0090058C" w:rsidRPr="00C73325">
        <w:rPr>
          <w:rFonts w:eastAsia="Times New Roman" w:cs="Times New Roman"/>
          <w:szCs w:val="24"/>
        </w:rPr>
        <w:t>Al-</w:t>
      </w:r>
      <w:proofErr w:type="spellStart"/>
      <w:r w:rsidR="0090058C" w:rsidRPr="00C73325">
        <w:rPr>
          <w:rFonts w:eastAsia="Times New Roman" w:cs="Times New Roman"/>
          <w:szCs w:val="24"/>
        </w:rPr>
        <w:t>Taleb</w:t>
      </w:r>
      <w:proofErr w:type="spellEnd"/>
      <w:r w:rsidR="0090058C" w:rsidRPr="00C73325">
        <w:rPr>
          <w:rFonts w:cs="Times New Roman"/>
          <w:szCs w:val="24"/>
        </w:rPr>
        <w:t xml:space="preserve"> et al.</w:t>
      </w:r>
      <w:r w:rsidR="00FA0B2A" w:rsidRPr="00C73325">
        <w:rPr>
          <w:rFonts w:cs="Times New Roman"/>
          <w:szCs w:val="24"/>
        </w:rPr>
        <w:t>,</w:t>
      </w:r>
      <w:r w:rsidR="0090058C" w:rsidRPr="00C73325">
        <w:rPr>
          <w:rFonts w:cs="Times New Roman"/>
          <w:szCs w:val="24"/>
        </w:rPr>
        <w:t xml:space="preserve"> 2012; </w:t>
      </w:r>
      <w:r w:rsidR="0090058C" w:rsidRPr="00C73325">
        <w:rPr>
          <w:rFonts w:eastAsia="Times New Roman" w:cs="Times New Roman"/>
          <w:szCs w:val="24"/>
        </w:rPr>
        <w:t xml:space="preserve">Gill &amp; </w:t>
      </w:r>
      <w:proofErr w:type="spellStart"/>
      <w:r w:rsidR="0090058C" w:rsidRPr="00C73325">
        <w:rPr>
          <w:rFonts w:eastAsia="Times New Roman" w:cs="Times New Roman"/>
          <w:szCs w:val="24"/>
        </w:rPr>
        <w:t>Obradovich</w:t>
      </w:r>
      <w:proofErr w:type="spellEnd"/>
      <w:r w:rsidR="00FA0B2A" w:rsidRPr="00C73325">
        <w:rPr>
          <w:rFonts w:eastAsia="Times New Roman" w:cs="Times New Roman"/>
          <w:szCs w:val="24"/>
        </w:rPr>
        <w:t>,</w:t>
      </w:r>
      <w:r w:rsidR="0090058C" w:rsidRPr="00C73325">
        <w:rPr>
          <w:rFonts w:eastAsia="Times New Roman" w:cs="Times New Roman"/>
          <w:szCs w:val="24"/>
        </w:rPr>
        <w:t xml:space="preserve"> 2012; </w:t>
      </w:r>
      <w:proofErr w:type="spellStart"/>
      <w:r w:rsidR="00A55E64" w:rsidRPr="00C73325">
        <w:rPr>
          <w:rFonts w:cs="Times New Roman"/>
          <w:szCs w:val="24"/>
        </w:rPr>
        <w:t>Thanatawee</w:t>
      </w:r>
      <w:proofErr w:type="spellEnd"/>
      <w:r w:rsidR="00FA0B2A" w:rsidRPr="00C73325">
        <w:rPr>
          <w:rFonts w:cs="Times New Roman"/>
          <w:szCs w:val="24"/>
        </w:rPr>
        <w:t>,</w:t>
      </w:r>
      <w:r w:rsidR="0090058C" w:rsidRPr="00C73325">
        <w:rPr>
          <w:rFonts w:cs="Times New Roman"/>
          <w:szCs w:val="24"/>
        </w:rPr>
        <w:t xml:space="preserve"> 2012</w:t>
      </w:r>
      <w:r w:rsidR="00067081" w:rsidRPr="00C73325">
        <w:rPr>
          <w:rFonts w:cs="Times New Roman"/>
          <w:szCs w:val="24"/>
        </w:rPr>
        <w:t xml:space="preserve">; Abor &amp; </w:t>
      </w:r>
      <w:proofErr w:type="spellStart"/>
      <w:r w:rsidR="00067081" w:rsidRPr="00C73325">
        <w:rPr>
          <w:rFonts w:cs="Times New Roman"/>
          <w:szCs w:val="24"/>
        </w:rPr>
        <w:t>Fiador</w:t>
      </w:r>
      <w:proofErr w:type="spellEnd"/>
      <w:r w:rsidR="00FA0B2A" w:rsidRPr="00C73325">
        <w:rPr>
          <w:rFonts w:cs="Times New Roman"/>
          <w:szCs w:val="24"/>
        </w:rPr>
        <w:t>,</w:t>
      </w:r>
      <w:r w:rsidR="0090058C" w:rsidRPr="00C73325">
        <w:rPr>
          <w:rFonts w:cs="Times New Roman"/>
          <w:szCs w:val="24"/>
        </w:rPr>
        <w:t xml:space="preserve"> 2013; </w:t>
      </w:r>
      <w:r w:rsidR="0090058C" w:rsidRPr="00C73325">
        <w:rPr>
          <w:rFonts w:eastAsia="Times New Roman" w:cs="Times New Roman"/>
          <w:szCs w:val="24"/>
        </w:rPr>
        <w:t>Arshad</w:t>
      </w:r>
      <w:r w:rsidR="00A55E64" w:rsidRPr="00C73325">
        <w:rPr>
          <w:rFonts w:eastAsia="Times New Roman" w:cs="Times New Roman"/>
          <w:szCs w:val="24"/>
        </w:rPr>
        <w:t xml:space="preserve"> et al.</w:t>
      </w:r>
      <w:r w:rsidR="00FA0B2A" w:rsidRPr="00C73325">
        <w:rPr>
          <w:rFonts w:eastAsia="Times New Roman" w:cs="Times New Roman"/>
          <w:szCs w:val="24"/>
        </w:rPr>
        <w:t>,</w:t>
      </w:r>
      <w:r w:rsidR="0090058C" w:rsidRPr="00C73325">
        <w:rPr>
          <w:rFonts w:eastAsia="Times New Roman" w:cs="Times New Roman"/>
          <w:szCs w:val="24"/>
        </w:rPr>
        <w:t xml:space="preserve"> 2013</w:t>
      </w:r>
      <w:r w:rsidR="004912BE" w:rsidRPr="00C73325">
        <w:rPr>
          <w:rFonts w:cs="Times New Roman"/>
          <w:szCs w:val="24"/>
        </w:rPr>
        <w:t xml:space="preserve">). </w:t>
      </w:r>
      <w:r w:rsidR="00EB381B" w:rsidRPr="00C73325">
        <w:rPr>
          <w:rFonts w:cs="Times New Roman"/>
          <w:szCs w:val="24"/>
        </w:rPr>
        <w:t>Finally, despite increasing evidence that poor corporate governance practices played a role in instigating the 2007/08 global financial</w:t>
      </w:r>
      <w:r w:rsidR="00585A58" w:rsidRPr="00C73325">
        <w:rPr>
          <w:rFonts w:cs="Times New Roman"/>
          <w:szCs w:val="24"/>
        </w:rPr>
        <w:t xml:space="preserve"> crisis</w:t>
      </w:r>
      <w:r w:rsidR="00BA2EDC" w:rsidRPr="00C73325">
        <w:rPr>
          <w:rFonts w:cs="Times New Roman"/>
          <w:szCs w:val="24"/>
        </w:rPr>
        <w:t xml:space="preserve"> (</w:t>
      </w:r>
      <w:r w:rsidR="00545CDD" w:rsidRPr="00C73325">
        <w:rPr>
          <w:rFonts w:cs="Times New Roman"/>
          <w:szCs w:val="24"/>
        </w:rPr>
        <w:t>Al-Bassam et al.</w:t>
      </w:r>
      <w:r w:rsidR="00FA0B2A" w:rsidRPr="00C73325">
        <w:rPr>
          <w:rFonts w:cs="Times New Roman"/>
          <w:szCs w:val="24"/>
        </w:rPr>
        <w:t>,</w:t>
      </w:r>
      <w:r w:rsidR="00545CDD" w:rsidRPr="00C73325">
        <w:rPr>
          <w:rFonts w:cs="Times New Roman"/>
          <w:szCs w:val="24"/>
        </w:rPr>
        <w:t xml:space="preserve"> 2015)</w:t>
      </w:r>
      <w:r w:rsidR="00585A58" w:rsidRPr="00C73325">
        <w:rPr>
          <w:rFonts w:cs="Times New Roman"/>
          <w:szCs w:val="24"/>
        </w:rPr>
        <w:t>, there have been limited empirical studies, and inadequate critical reflections on the role of good governance on a number of organisational outcomes, such as dividend policy</w:t>
      </w:r>
      <w:r w:rsidR="00C73325">
        <w:rPr>
          <w:rFonts w:cs="Times New Roman"/>
          <w:szCs w:val="24"/>
        </w:rPr>
        <w:t xml:space="preserve"> following </w:t>
      </w:r>
      <w:r w:rsidR="00066184">
        <w:rPr>
          <w:rFonts w:cs="Times New Roman"/>
          <w:szCs w:val="24"/>
        </w:rPr>
        <w:t>the crisis</w:t>
      </w:r>
      <w:r w:rsidR="00585A58" w:rsidRPr="00C73325">
        <w:rPr>
          <w:rFonts w:cs="Times New Roman"/>
          <w:szCs w:val="24"/>
        </w:rPr>
        <w:t xml:space="preserve">. </w:t>
      </w:r>
      <w:r w:rsidR="009C416E" w:rsidRPr="00C73325">
        <w:rPr>
          <w:rFonts w:cs="Times New Roman"/>
          <w:szCs w:val="24"/>
        </w:rPr>
        <w:t xml:space="preserve">Together, these limitations </w:t>
      </w:r>
      <w:r w:rsidR="00237710" w:rsidRPr="00C73325">
        <w:rPr>
          <w:rFonts w:cs="Times New Roman"/>
          <w:szCs w:val="24"/>
        </w:rPr>
        <w:t xml:space="preserve">considerably restrict </w:t>
      </w:r>
      <w:r w:rsidR="009C416E" w:rsidRPr="00C73325">
        <w:rPr>
          <w:rFonts w:cs="Times New Roman"/>
          <w:szCs w:val="24"/>
        </w:rPr>
        <w:t>current</w:t>
      </w:r>
      <w:r w:rsidR="00237710" w:rsidRPr="00C73325">
        <w:rPr>
          <w:rFonts w:cs="Times New Roman"/>
          <w:szCs w:val="24"/>
        </w:rPr>
        <w:t xml:space="preserve"> </w:t>
      </w:r>
      <w:r w:rsidR="009C416E" w:rsidRPr="00C73325">
        <w:rPr>
          <w:rFonts w:cs="Times New Roman"/>
          <w:szCs w:val="24"/>
        </w:rPr>
        <w:t>under</w:t>
      </w:r>
      <w:r w:rsidR="00237710" w:rsidRPr="00C73325">
        <w:rPr>
          <w:rFonts w:cs="Times New Roman"/>
          <w:szCs w:val="24"/>
        </w:rPr>
        <w:t xml:space="preserve">standing of how and why SMEs </w:t>
      </w:r>
      <w:r w:rsidR="009C416E" w:rsidRPr="00C73325">
        <w:rPr>
          <w:rFonts w:cs="Times New Roman"/>
          <w:szCs w:val="24"/>
        </w:rPr>
        <w:t xml:space="preserve">pay dividends and crucially, what role corporate governance </w:t>
      </w:r>
      <w:r w:rsidR="00067081" w:rsidRPr="00C73325">
        <w:rPr>
          <w:rFonts w:cs="Times New Roman"/>
          <w:szCs w:val="24"/>
        </w:rPr>
        <w:t>plays in such corporate decisions</w:t>
      </w:r>
      <w:r w:rsidR="00237710" w:rsidRPr="00C73325">
        <w:rPr>
          <w:rFonts w:cs="Times New Roman"/>
          <w:szCs w:val="24"/>
        </w:rPr>
        <w:t>.</w:t>
      </w:r>
    </w:p>
    <w:p w14:paraId="660298DE" w14:textId="1F3E971E" w:rsidR="0029456C" w:rsidRPr="00C73325" w:rsidRDefault="00237710" w:rsidP="00D56DC0">
      <w:pPr>
        <w:spacing w:before="0" w:after="0" w:line="360" w:lineRule="auto"/>
        <w:ind w:firstLine="360"/>
        <w:rPr>
          <w:rFonts w:cs="Times New Roman"/>
          <w:szCs w:val="24"/>
        </w:rPr>
      </w:pPr>
      <w:r w:rsidRPr="00C73325">
        <w:rPr>
          <w:rFonts w:cs="Times New Roman"/>
          <w:szCs w:val="24"/>
        </w:rPr>
        <w:t xml:space="preserve">Given this background, this study </w:t>
      </w:r>
      <w:r w:rsidR="0029456C" w:rsidRPr="00C73325">
        <w:rPr>
          <w:rFonts w:cs="Times New Roman"/>
          <w:szCs w:val="24"/>
        </w:rPr>
        <w:t>seeks</w:t>
      </w:r>
      <w:r w:rsidRPr="00C73325">
        <w:rPr>
          <w:rFonts w:cs="Times New Roman"/>
          <w:szCs w:val="24"/>
        </w:rPr>
        <w:t xml:space="preserve"> to </w:t>
      </w:r>
      <w:r w:rsidR="0029456C" w:rsidRPr="00C73325">
        <w:rPr>
          <w:rFonts w:cs="Times New Roman"/>
          <w:szCs w:val="24"/>
        </w:rPr>
        <w:t>address</w:t>
      </w:r>
      <w:r w:rsidRPr="00C73325">
        <w:rPr>
          <w:rFonts w:cs="Times New Roman"/>
          <w:szCs w:val="24"/>
        </w:rPr>
        <w:t xml:space="preserve"> </w:t>
      </w:r>
      <w:r w:rsidR="0029456C" w:rsidRPr="00C73325">
        <w:rPr>
          <w:rFonts w:cs="Times New Roman"/>
          <w:szCs w:val="24"/>
        </w:rPr>
        <w:t xml:space="preserve">some of </w:t>
      </w:r>
      <w:r w:rsidRPr="00C73325">
        <w:rPr>
          <w:rFonts w:cs="Times New Roman"/>
          <w:szCs w:val="24"/>
        </w:rPr>
        <w:t xml:space="preserve">the </w:t>
      </w:r>
      <w:r w:rsidR="0029456C" w:rsidRPr="00C73325">
        <w:rPr>
          <w:rFonts w:cs="Times New Roman"/>
          <w:szCs w:val="24"/>
        </w:rPr>
        <w:t xml:space="preserve">weaknesses </w:t>
      </w:r>
      <w:r w:rsidRPr="00C73325">
        <w:rPr>
          <w:rFonts w:cs="Times New Roman"/>
          <w:szCs w:val="24"/>
        </w:rPr>
        <w:t xml:space="preserve">of existing studies in </w:t>
      </w:r>
      <w:r w:rsidR="00BD6182" w:rsidRPr="00C73325">
        <w:rPr>
          <w:rFonts w:cs="Times New Roman"/>
          <w:szCs w:val="24"/>
        </w:rPr>
        <w:t xml:space="preserve">a </w:t>
      </w:r>
      <w:r w:rsidRPr="00C73325">
        <w:rPr>
          <w:rFonts w:cs="Times New Roman"/>
          <w:szCs w:val="24"/>
        </w:rPr>
        <w:t>num</w:t>
      </w:r>
      <w:r w:rsidR="00BD6182" w:rsidRPr="00C73325">
        <w:rPr>
          <w:rFonts w:cs="Times New Roman"/>
          <w:szCs w:val="24"/>
        </w:rPr>
        <w:t>ber of</w:t>
      </w:r>
      <w:r w:rsidRPr="00C73325">
        <w:rPr>
          <w:rFonts w:cs="Times New Roman"/>
          <w:szCs w:val="24"/>
        </w:rPr>
        <w:t xml:space="preserve"> ways, and thereby extend</w:t>
      </w:r>
      <w:r w:rsidR="00FD7060" w:rsidRPr="00C73325">
        <w:rPr>
          <w:rFonts w:cs="Times New Roman"/>
          <w:szCs w:val="24"/>
        </w:rPr>
        <w:t xml:space="preserve">, as well as </w:t>
      </w:r>
      <w:r w:rsidRPr="00C73325">
        <w:rPr>
          <w:rFonts w:cs="Times New Roman"/>
          <w:szCs w:val="24"/>
        </w:rPr>
        <w:t xml:space="preserve">make </w:t>
      </w:r>
      <w:r w:rsidR="00BD6182" w:rsidRPr="00C73325">
        <w:rPr>
          <w:rFonts w:cs="Times New Roman"/>
          <w:szCs w:val="24"/>
        </w:rPr>
        <w:t xml:space="preserve">a </w:t>
      </w:r>
      <w:r w:rsidR="00FD7060" w:rsidRPr="00C73325">
        <w:rPr>
          <w:rFonts w:cs="Times New Roman"/>
          <w:szCs w:val="24"/>
        </w:rPr>
        <w:t xml:space="preserve">number of </w:t>
      </w:r>
      <w:r w:rsidRPr="00C73325">
        <w:rPr>
          <w:rFonts w:cs="Times New Roman"/>
          <w:szCs w:val="24"/>
        </w:rPr>
        <w:t>new contributions</w:t>
      </w:r>
      <w:r w:rsidR="00FD7060" w:rsidRPr="00C73325">
        <w:rPr>
          <w:rFonts w:cs="Times New Roman"/>
          <w:szCs w:val="24"/>
        </w:rPr>
        <w:t xml:space="preserve"> </w:t>
      </w:r>
      <w:r w:rsidR="00FD7060" w:rsidRPr="00C73325">
        <w:rPr>
          <w:rFonts w:cs="Times New Roman"/>
          <w:szCs w:val="24"/>
        </w:rPr>
        <w:lastRenderedPageBreak/>
        <w:t xml:space="preserve">to the </w:t>
      </w:r>
      <w:r w:rsidR="00BD6182" w:rsidRPr="00C73325">
        <w:rPr>
          <w:rFonts w:cs="Times New Roman"/>
          <w:szCs w:val="24"/>
        </w:rPr>
        <w:t>extant literature</w:t>
      </w:r>
      <w:r w:rsidR="00FD7060" w:rsidRPr="00C73325">
        <w:rPr>
          <w:rFonts w:cs="Times New Roman"/>
          <w:szCs w:val="24"/>
        </w:rPr>
        <w:t>.</w:t>
      </w:r>
      <w:r w:rsidR="00A96FAC" w:rsidRPr="00C73325">
        <w:rPr>
          <w:rFonts w:cs="Times New Roman"/>
          <w:szCs w:val="24"/>
        </w:rPr>
        <w:t xml:space="preserve"> </w:t>
      </w:r>
      <w:r w:rsidR="0029456C" w:rsidRPr="00C73325">
        <w:rPr>
          <w:rFonts w:cs="Times New Roman"/>
          <w:szCs w:val="24"/>
        </w:rPr>
        <w:t>First, we seek to contribute to</w:t>
      </w:r>
      <w:r w:rsidR="00634171" w:rsidRPr="00C73325">
        <w:rPr>
          <w:rFonts w:cs="Times New Roman"/>
          <w:szCs w:val="24"/>
        </w:rPr>
        <w:t xml:space="preserve"> the extant</w:t>
      </w:r>
      <w:r w:rsidR="0029456C" w:rsidRPr="00C73325">
        <w:rPr>
          <w:rFonts w:cs="Times New Roman"/>
          <w:szCs w:val="24"/>
        </w:rPr>
        <w:t xml:space="preserve"> literature by examining the effect of board characteristics on dividend policy</w:t>
      </w:r>
      <w:r w:rsidR="00B77584" w:rsidRPr="00C73325">
        <w:rPr>
          <w:rFonts w:cs="Times New Roman"/>
          <w:szCs w:val="24"/>
        </w:rPr>
        <w:t xml:space="preserve"> within the context of listed SMEs</w:t>
      </w:r>
      <w:r w:rsidR="0029456C" w:rsidRPr="00C73325">
        <w:rPr>
          <w:rFonts w:cs="Times New Roman"/>
          <w:szCs w:val="24"/>
        </w:rPr>
        <w:t xml:space="preserve">. This departs from most past studies that </w:t>
      </w:r>
      <w:r w:rsidR="00CE2B78" w:rsidRPr="00C73325">
        <w:rPr>
          <w:rFonts w:cs="Times New Roman"/>
          <w:szCs w:val="24"/>
        </w:rPr>
        <w:t xml:space="preserve">have </w:t>
      </w:r>
      <w:r w:rsidR="0029456C" w:rsidRPr="00C73325">
        <w:rPr>
          <w:rFonts w:cs="Times New Roman"/>
          <w:szCs w:val="24"/>
        </w:rPr>
        <w:t>investigate</w:t>
      </w:r>
      <w:r w:rsidR="00CE2B78" w:rsidRPr="00C73325">
        <w:rPr>
          <w:rFonts w:cs="Times New Roman"/>
          <w:szCs w:val="24"/>
        </w:rPr>
        <w:t>d</w:t>
      </w:r>
      <w:r w:rsidR="0029456C" w:rsidRPr="00C73325">
        <w:rPr>
          <w:rFonts w:cs="Times New Roman"/>
          <w:szCs w:val="24"/>
        </w:rPr>
        <w:t xml:space="preserve"> h</w:t>
      </w:r>
      <w:r w:rsidR="00411ADA" w:rsidRPr="00C73325">
        <w:rPr>
          <w:rFonts w:cs="Times New Roman"/>
          <w:szCs w:val="24"/>
        </w:rPr>
        <w:t xml:space="preserve">ow general </w:t>
      </w:r>
      <w:r w:rsidR="003C78B4" w:rsidRPr="00C73325">
        <w:rPr>
          <w:rFonts w:cs="Times New Roman"/>
          <w:szCs w:val="24"/>
        </w:rPr>
        <w:t>firms’</w:t>
      </w:r>
      <w:r w:rsidR="00411ADA" w:rsidRPr="00C73325">
        <w:rPr>
          <w:rFonts w:cs="Times New Roman"/>
          <w:szCs w:val="24"/>
        </w:rPr>
        <w:t xml:space="preserve"> characteristics, such as cash flow, firm size, gearing and profitability impact on dividend policy</w:t>
      </w:r>
      <w:r w:rsidR="00B77584" w:rsidRPr="00C73325">
        <w:rPr>
          <w:rFonts w:cs="Times New Roman"/>
          <w:szCs w:val="24"/>
        </w:rPr>
        <w:t xml:space="preserve"> in large publicly listed corporations</w:t>
      </w:r>
      <w:r w:rsidR="00411ADA" w:rsidRPr="00C73325">
        <w:rPr>
          <w:rFonts w:cs="Times New Roman"/>
          <w:szCs w:val="24"/>
        </w:rPr>
        <w:t>.</w:t>
      </w:r>
      <w:r w:rsidR="00585376" w:rsidRPr="00C73325">
        <w:rPr>
          <w:rFonts w:cs="Times New Roman"/>
          <w:szCs w:val="24"/>
        </w:rPr>
        <w:t xml:space="preserve"> Second, given the variety of reasons explaining why corporations may develop dividend p</w:t>
      </w:r>
      <w:r w:rsidR="00B77584" w:rsidRPr="00C73325">
        <w:rPr>
          <w:rFonts w:cs="Times New Roman"/>
          <w:szCs w:val="24"/>
        </w:rPr>
        <w:t xml:space="preserve">olicy, </w:t>
      </w:r>
      <w:r w:rsidR="00D56DC0" w:rsidRPr="00C73325">
        <w:rPr>
          <w:rFonts w:cs="Times New Roman"/>
          <w:szCs w:val="24"/>
        </w:rPr>
        <w:t>and consistent with the existing literature (</w:t>
      </w:r>
      <w:r w:rsidR="00AF50EE">
        <w:t>Al-</w:t>
      </w:r>
      <w:proofErr w:type="spellStart"/>
      <w:r w:rsidR="00AF50EE">
        <w:t>Najjar</w:t>
      </w:r>
      <w:proofErr w:type="spellEnd"/>
      <w:r w:rsidR="00AF50EE">
        <w:t xml:space="preserve"> &amp;</w:t>
      </w:r>
      <w:r w:rsidR="00D56DC0" w:rsidRPr="00C73325">
        <w:t xml:space="preserve"> </w:t>
      </w:r>
      <w:proofErr w:type="spellStart"/>
      <w:r w:rsidR="00D56DC0" w:rsidRPr="00C73325">
        <w:t>Hussainey</w:t>
      </w:r>
      <w:proofErr w:type="spellEnd"/>
      <w:r w:rsidR="00D56DC0" w:rsidRPr="00C73325">
        <w:t xml:space="preserve">, 2009; </w:t>
      </w:r>
      <w:proofErr w:type="spellStart"/>
      <w:r w:rsidR="00D56DC0" w:rsidRPr="00C73325">
        <w:t>Jiraporn</w:t>
      </w:r>
      <w:proofErr w:type="spellEnd"/>
      <w:r w:rsidR="00D56DC0" w:rsidRPr="00C73325">
        <w:t xml:space="preserve"> et al., 2011; </w:t>
      </w:r>
      <w:r w:rsidR="00D56DC0" w:rsidRPr="00C73325">
        <w:rPr>
          <w:rFonts w:cs="Times New Roman"/>
          <w:szCs w:val="24"/>
        </w:rPr>
        <w:t xml:space="preserve">La-Porta et al., 2000; </w:t>
      </w:r>
      <w:proofErr w:type="spellStart"/>
      <w:r w:rsidR="00D56DC0" w:rsidRPr="00C73325">
        <w:rPr>
          <w:rFonts w:cs="Times New Roman"/>
          <w:szCs w:val="24"/>
        </w:rPr>
        <w:t>Sawick</w:t>
      </w:r>
      <w:proofErr w:type="spellEnd"/>
      <w:r w:rsidR="00D56DC0" w:rsidRPr="00C73325">
        <w:rPr>
          <w:rFonts w:cs="Times New Roman"/>
          <w:szCs w:val="24"/>
        </w:rPr>
        <w:t xml:space="preserve">, 2009), </w:t>
      </w:r>
      <w:r w:rsidR="00B77584" w:rsidRPr="00C73325">
        <w:rPr>
          <w:rFonts w:cs="Times New Roman"/>
          <w:szCs w:val="24"/>
        </w:rPr>
        <w:t xml:space="preserve">we inform our analysis with </w:t>
      </w:r>
      <w:r w:rsidR="00585376" w:rsidRPr="00C73325">
        <w:rPr>
          <w:rFonts w:cs="Times New Roman"/>
          <w:szCs w:val="24"/>
        </w:rPr>
        <w:t>insights drawn</w:t>
      </w:r>
      <w:r w:rsidR="00B77584" w:rsidRPr="00C73325">
        <w:rPr>
          <w:rFonts w:cs="Times New Roman"/>
          <w:szCs w:val="24"/>
        </w:rPr>
        <w:t xml:space="preserve"> from</w:t>
      </w:r>
      <w:r w:rsidR="00585376" w:rsidRPr="00C73325">
        <w:rPr>
          <w:rFonts w:cs="Times New Roman"/>
          <w:szCs w:val="24"/>
        </w:rPr>
        <w:t xml:space="preserve"> </w:t>
      </w:r>
      <w:r w:rsidR="00D56DC0" w:rsidRPr="00C73325">
        <w:t>the outcome and substitution hypothes</w:t>
      </w:r>
      <w:r w:rsidR="00066184">
        <w:t>e</w:t>
      </w:r>
      <w:r w:rsidR="00D56DC0" w:rsidRPr="00C73325">
        <w:t>s</w:t>
      </w:r>
      <w:r w:rsidR="00D56DC0" w:rsidRPr="00C73325">
        <w:rPr>
          <w:rFonts w:cs="Times New Roman"/>
          <w:szCs w:val="24"/>
        </w:rPr>
        <w:t xml:space="preserve">. </w:t>
      </w:r>
      <w:r w:rsidR="00B77584" w:rsidRPr="00FF6091">
        <w:rPr>
          <w:rFonts w:cs="Times New Roman"/>
          <w:szCs w:val="24"/>
        </w:rPr>
        <w:t>Third,</w:t>
      </w:r>
      <w:r w:rsidR="00AB4654" w:rsidRPr="00FF6091">
        <w:rPr>
          <w:rFonts w:cs="Times New Roman"/>
          <w:szCs w:val="24"/>
        </w:rPr>
        <w:t xml:space="preserve"> we offer new</w:t>
      </w:r>
      <w:r w:rsidR="00AB4654" w:rsidRPr="00C73325">
        <w:rPr>
          <w:rFonts w:cs="Times New Roman"/>
          <w:szCs w:val="24"/>
        </w:rPr>
        <w:t xml:space="preserve"> timely empirical evidence on the effect of corporate board characteristics on dividend policy following </w:t>
      </w:r>
      <w:r w:rsidR="00226F36" w:rsidRPr="00C73325">
        <w:rPr>
          <w:rFonts w:cs="Times New Roman"/>
          <w:szCs w:val="24"/>
        </w:rPr>
        <w:t xml:space="preserve">the </w:t>
      </w:r>
      <w:r w:rsidR="00AB4654" w:rsidRPr="00C73325">
        <w:rPr>
          <w:rFonts w:cs="Times New Roman"/>
          <w:szCs w:val="24"/>
        </w:rPr>
        <w:t xml:space="preserve">2007/08 global financial crisis, which have been </w:t>
      </w:r>
      <w:r w:rsidR="003141AC" w:rsidRPr="00C73325">
        <w:rPr>
          <w:rFonts w:cs="Times New Roman"/>
          <w:szCs w:val="24"/>
        </w:rPr>
        <w:t xml:space="preserve">partly </w:t>
      </w:r>
      <w:r w:rsidR="00AB4654" w:rsidRPr="00C73325">
        <w:rPr>
          <w:rFonts w:cs="Times New Roman"/>
          <w:szCs w:val="24"/>
        </w:rPr>
        <w:t xml:space="preserve">attributed widely to poor corporate </w:t>
      </w:r>
      <w:r w:rsidR="003141AC" w:rsidRPr="00C73325">
        <w:rPr>
          <w:rFonts w:cs="Times New Roman"/>
          <w:szCs w:val="24"/>
        </w:rPr>
        <w:t>governance practices.</w:t>
      </w:r>
      <w:r w:rsidR="00AB4654" w:rsidRPr="00C73325">
        <w:rPr>
          <w:rFonts w:cs="Times New Roman"/>
          <w:szCs w:val="24"/>
        </w:rPr>
        <w:t xml:space="preserve"> </w:t>
      </w:r>
    </w:p>
    <w:p w14:paraId="7353A63D" w14:textId="43BCC3ED" w:rsidR="00A5387F" w:rsidRPr="00C73325" w:rsidRDefault="008B529F" w:rsidP="00325272">
      <w:pPr>
        <w:spacing w:before="0" w:after="0" w:line="360" w:lineRule="auto"/>
        <w:ind w:firstLine="360"/>
        <w:rPr>
          <w:rFonts w:eastAsia="MS Gothic" w:cs="Times New Roman"/>
          <w:szCs w:val="24"/>
        </w:rPr>
      </w:pPr>
      <w:r w:rsidRPr="00C73325">
        <w:rPr>
          <w:rFonts w:cs="Times New Roman"/>
          <w:szCs w:val="24"/>
          <w:lang w:val="en-US"/>
        </w:rPr>
        <w:t>The</w:t>
      </w:r>
      <w:r w:rsidR="00A5387F" w:rsidRPr="00C73325">
        <w:rPr>
          <w:rFonts w:cs="Times New Roman"/>
          <w:szCs w:val="24"/>
          <w:lang w:val="en-US"/>
        </w:rPr>
        <w:t xml:space="preserve"> remainder of the paper is organ</w:t>
      </w:r>
      <w:r w:rsidR="003141AC" w:rsidRPr="00C73325">
        <w:rPr>
          <w:rFonts w:cs="Times New Roman"/>
          <w:szCs w:val="24"/>
          <w:lang w:val="en-US"/>
        </w:rPr>
        <w:t>is</w:t>
      </w:r>
      <w:r w:rsidR="00A5387F" w:rsidRPr="00C73325">
        <w:rPr>
          <w:rFonts w:cs="Times New Roman"/>
          <w:szCs w:val="24"/>
          <w:lang w:val="en-US"/>
        </w:rPr>
        <w:t xml:space="preserve">ed as follows. </w:t>
      </w:r>
      <w:r w:rsidR="00BE4965" w:rsidRPr="00C73325">
        <w:rPr>
          <w:rFonts w:cs="Times New Roman"/>
          <w:szCs w:val="24"/>
          <w:lang w:val="en-US"/>
        </w:rPr>
        <w:t xml:space="preserve">Section 2 will outline corporate governance developments and dividend policy within the UK corporate context. Section 3 will </w:t>
      </w:r>
      <w:r w:rsidR="00917DC4" w:rsidRPr="00C73325">
        <w:rPr>
          <w:rFonts w:cs="Times New Roman"/>
          <w:szCs w:val="24"/>
          <w:lang w:val="en-US"/>
        </w:rPr>
        <w:t xml:space="preserve">briefly </w:t>
      </w:r>
      <w:r w:rsidR="004540F0" w:rsidRPr="00C73325">
        <w:rPr>
          <w:rFonts w:cs="Times New Roman"/>
          <w:szCs w:val="24"/>
          <w:lang w:val="en-US"/>
        </w:rPr>
        <w:t>elaborate on the theories underlying the study. Section 4 will review the literature and develop hypotheses. Section 5 will present the research design. Section 6 will present the empirical results, whilst section 7 will conclude the study.</w:t>
      </w:r>
    </w:p>
    <w:p w14:paraId="6F06AC3A" w14:textId="546D6051" w:rsidR="0000768E" w:rsidRPr="00DB3494" w:rsidRDefault="007C6CE3" w:rsidP="00DB3494">
      <w:pPr>
        <w:pStyle w:val="Heading1"/>
        <w:numPr>
          <w:ilvl w:val="0"/>
          <w:numId w:val="6"/>
        </w:numPr>
        <w:rPr>
          <w:bCs/>
          <w:i/>
          <w:iCs/>
          <w:color w:val="auto"/>
        </w:rPr>
      </w:pPr>
      <w:r w:rsidRPr="00DB3494">
        <w:rPr>
          <w:bCs/>
          <w:iCs/>
          <w:color w:val="auto"/>
        </w:rPr>
        <w:t>Corporate governance and dividend policy in the context of UK</w:t>
      </w:r>
      <w:r w:rsidR="0000768E" w:rsidRPr="00DB3494">
        <w:rPr>
          <w:bCs/>
          <w:iCs/>
          <w:color w:val="auto"/>
        </w:rPr>
        <w:t xml:space="preserve"> </w:t>
      </w:r>
    </w:p>
    <w:p w14:paraId="4CF233D0" w14:textId="77777777" w:rsidR="00DB617A" w:rsidRPr="00C73325" w:rsidRDefault="00DB617A" w:rsidP="00DB617A">
      <w:pPr>
        <w:spacing w:before="0" w:after="0"/>
        <w:ind w:firstLine="357"/>
        <w:rPr>
          <w:rFonts w:cs="Times New Roman"/>
          <w:szCs w:val="24"/>
        </w:rPr>
      </w:pPr>
    </w:p>
    <w:p w14:paraId="5843ADD0" w14:textId="316F2546" w:rsidR="003C78B4" w:rsidRPr="00C73325" w:rsidRDefault="003C78B4" w:rsidP="00325272">
      <w:pPr>
        <w:spacing w:before="0" w:after="0" w:line="360" w:lineRule="auto"/>
        <w:ind w:firstLine="360"/>
        <w:rPr>
          <w:rFonts w:cs="Times New Roman"/>
          <w:szCs w:val="24"/>
        </w:rPr>
      </w:pPr>
      <w:r w:rsidRPr="00C73325">
        <w:rPr>
          <w:rFonts w:cs="Times New Roman"/>
          <w:szCs w:val="24"/>
        </w:rPr>
        <w:t xml:space="preserve"> </w:t>
      </w:r>
      <w:r w:rsidR="00D45728" w:rsidRPr="00C73325">
        <w:rPr>
          <w:rFonts w:cs="Times New Roman"/>
          <w:szCs w:val="24"/>
        </w:rPr>
        <w:t>Since the 1980s, the UK has been at the forefront of pursuing global reforms relating to the way companies are governed</w:t>
      </w:r>
      <w:r w:rsidR="00BA2EDC" w:rsidRPr="00C73325">
        <w:rPr>
          <w:rFonts w:cs="Times New Roman"/>
          <w:szCs w:val="24"/>
        </w:rPr>
        <w:t xml:space="preserve"> (Ntim, 2015</w:t>
      </w:r>
      <w:r w:rsidR="00ED0401" w:rsidRPr="00C73325">
        <w:rPr>
          <w:rFonts w:cs="Times New Roman"/>
          <w:szCs w:val="24"/>
        </w:rPr>
        <w:t>)</w:t>
      </w:r>
      <w:r w:rsidR="00D45728" w:rsidRPr="00C73325">
        <w:rPr>
          <w:rFonts w:cs="Times New Roman"/>
          <w:szCs w:val="24"/>
        </w:rPr>
        <w:t>.</w:t>
      </w:r>
      <w:r w:rsidR="00D701BC" w:rsidRPr="00C73325">
        <w:rPr>
          <w:rFonts w:cs="Times New Roman"/>
          <w:szCs w:val="24"/>
        </w:rPr>
        <w:t xml:space="preserve"> Observably, these </w:t>
      </w:r>
      <w:r w:rsidR="00E40239" w:rsidRPr="00C73325">
        <w:rPr>
          <w:rFonts w:cs="Times New Roman"/>
          <w:szCs w:val="24"/>
        </w:rPr>
        <w:t xml:space="preserve">corporate </w:t>
      </w:r>
      <w:r w:rsidR="00D701BC" w:rsidRPr="00C73325">
        <w:rPr>
          <w:rFonts w:cs="Times New Roman"/>
          <w:szCs w:val="24"/>
        </w:rPr>
        <w:t>governance reforms followed failures of a number of large UK corporations, such as Barings Bank and Bank for Credit and Commerce International in the late 1980s and early 1990s</w:t>
      </w:r>
      <w:r w:rsidR="001B6716" w:rsidRPr="00C73325">
        <w:rPr>
          <w:rFonts w:cs="Times New Roman"/>
          <w:szCs w:val="24"/>
        </w:rPr>
        <w:t xml:space="preserve">, in which poor </w:t>
      </w:r>
      <w:r w:rsidR="00E40239" w:rsidRPr="00C73325">
        <w:rPr>
          <w:rFonts w:cs="Times New Roman"/>
          <w:szCs w:val="24"/>
        </w:rPr>
        <w:t xml:space="preserve">corporate </w:t>
      </w:r>
      <w:r w:rsidR="001B6716" w:rsidRPr="00C73325">
        <w:rPr>
          <w:rFonts w:cs="Times New Roman"/>
          <w:szCs w:val="24"/>
        </w:rPr>
        <w:t>governance practices were largely implicated</w:t>
      </w:r>
      <w:r w:rsidR="00BA2EDC" w:rsidRPr="00C73325">
        <w:rPr>
          <w:rFonts w:cs="Times New Roman"/>
          <w:szCs w:val="24"/>
        </w:rPr>
        <w:t xml:space="preserve"> (Ntim et al., 2015a, b</w:t>
      </w:r>
      <w:r w:rsidR="00ED0401" w:rsidRPr="00C73325">
        <w:rPr>
          <w:rFonts w:cs="Times New Roman"/>
          <w:szCs w:val="24"/>
        </w:rPr>
        <w:t>)</w:t>
      </w:r>
      <w:r w:rsidR="00D701BC" w:rsidRPr="00C73325">
        <w:rPr>
          <w:rFonts w:cs="Times New Roman"/>
          <w:szCs w:val="24"/>
        </w:rPr>
        <w:t>.</w:t>
      </w:r>
      <w:r w:rsidR="001B6716" w:rsidRPr="00C73325">
        <w:rPr>
          <w:rFonts w:cs="Times New Roman"/>
          <w:szCs w:val="24"/>
        </w:rPr>
        <w:t xml:space="preserve"> To prevent future corporate failures arising from p</w:t>
      </w:r>
      <w:r w:rsidR="00545CDD" w:rsidRPr="00C73325">
        <w:rPr>
          <w:rFonts w:cs="Times New Roman"/>
          <w:szCs w:val="24"/>
        </w:rPr>
        <w:t>oor</w:t>
      </w:r>
      <w:r w:rsidR="00186497" w:rsidRPr="00C73325">
        <w:rPr>
          <w:rFonts w:cs="Times New Roman"/>
          <w:szCs w:val="24"/>
        </w:rPr>
        <w:t xml:space="preserve"> </w:t>
      </w:r>
      <w:r w:rsidR="00E40239" w:rsidRPr="00C73325">
        <w:rPr>
          <w:rFonts w:cs="Times New Roman"/>
          <w:szCs w:val="24"/>
        </w:rPr>
        <w:t xml:space="preserve">corporate </w:t>
      </w:r>
      <w:r w:rsidR="00186497" w:rsidRPr="00C73325">
        <w:rPr>
          <w:rFonts w:cs="Times New Roman"/>
          <w:szCs w:val="24"/>
        </w:rPr>
        <w:t>governance practices, the Cadbu</w:t>
      </w:r>
      <w:r w:rsidR="00C23094" w:rsidRPr="00C73325">
        <w:rPr>
          <w:rFonts w:cs="Times New Roman"/>
          <w:szCs w:val="24"/>
        </w:rPr>
        <w:t>ry Committee was formed in 1991</w:t>
      </w:r>
      <w:r w:rsidR="00BE17B1" w:rsidRPr="00C73325">
        <w:rPr>
          <w:rFonts w:cs="Times New Roman"/>
          <w:szCs w:val="24"/>
        </w:rPr>
        <w:t>,</w:t>
      </w:r>
      <w:r w:rsidR="00C23094" w:rsidRPr="00C73325">
        <w:rPr>
          <w:rFonts w:cs="Times New Roman"/>
          <w:szCs w:val="24"/>
        </w:rPr>
        <w:t xml:space="preserve"> and</w:t>
      </w:r>
      <w:r w:rsidR="00BE17B1" w:rsidRPr="00C73325">
        <w:rPr>
          <w:rFonts w:cs="Times New Roman"/>
          <w:szCs w:val="24"/>
        </w:rPr>
        <w:t xml:space="preserve"> consequently the issuance</w:t>
      </w:r>
      <w:r w:rsidR="00E27791" w:rsidRPr="00C73325">
        <w:rPr>
          <w:rFonts w:cs="Times New Roman"/>
          <w:szCs w:val="24"/>
        </w:rPr>
        <w:t xml:space="preserve"> of</w:t>
      </w:r>
      <w:r w:rsidR="00186497" w:rsidRPr="00C73325">
        <w:rPr>
          <w:rFonts w:cs="Times New Roman"/>
          <w:szCs w:val="24"/>
        </w:rPr>
        <w:t xml:space="preserve"> the Cadbury Report in 1992</w:t>
      </w:r>
      <w:r w:rsidR="007D618A" w:rsidRPr="00C73325">
        <w:rPr>
          <w:rFonts w:cs="Times New Roman"/>
          <w:szCs w:val="24"/>
        </w:rPr>
        <w:t xml:space="preserve"> (Ntim &amp; </w:t>
      </w:r>
      <w:proofErr w:type="spellStart"/>
      <w:r w:rsidR="007D618A" w:rsidRPr="00C73325">
        <w:rPr>
          <w:rFonts w:cs="Times New Roman"/>
          <w:szCs w:val="24"/>
        </w:rPr>
        <w:t>Osei</w:t>
      </w:r>
      <w:proofErr w:type="spellEnd"/>
      <w:r w:rsidR="007D618A" w:rsidRPr="00C73325">
        <w:rPr>
          <w:rFonts w:cs="Times New Roman"/>
          <w:szCs w:val="24"/>
        </w:rPr>
        <w:t>, 2011)</w:t>
      </w:r>
      <w:r w:rsidR="00186497" w:rsidRPr="00C73325">
        <w:rPr>
          <w:rFonts w:cs="Times New Roman"/>
          <w:szCs w:val="24"/>
        </w:rPr>
        <w:t xml:space="preserve">. The Cadbury Report </w:t>
      </w:r>
      <w:r w:rsidR="00DB60B4" w:rsidRPr="00C73325">
        <w:rPr>
          <w:rFonts w:cs="Times New Roman"/>
          <w:szCs w:val="24"/>
        </w:rPr>
        <w:t xml:space="preserve">made a number </w:t>
      </w:r>
      <w:r w:rsidR="00AF5AE1" w:rsidRPr="00C73325">
        <w:rPr>
          <w:rFonts w:cs="Times New Roman"/>
          <w:szCs w:val="24"/>
        </w:rPr>
        <w:t xml:space="preserve">of </w:t>
      </w:r>
      <w:r w:rsidR="00DB60B4" w:rsidRPr="00C73325">
        <w:rPr>
          <w:rFonts w:cs="Times New Roman"/>
          <w:szCs w:val="24"/>
        </w:rPr>
        <w:t xml:space="preserve">recommendations aimed at improving </w:t>
      </w:r>
      <w:r w:rsidR="00E40239" w:rsidRPr="00C73325">
        <w:rPr>
          <w:rFonts w:cs="Times New Roman"/>
          <w:szCs w:val="24"/>
        </w:rPr>
        <w:t xml:space="preserve">corporate </w:t>
      </w:r>
      <w:r w:rsidR="00DB60B4" w:rsidRPr="00C73325">
        <w:rPr>
          <w:rFonts w:cs="Times New Roman"/>
          <w:szCs w:val="24"/>
        </w:rPr>
        <w:t>governance practices by encouraging greater accountability, responsibility and transparency among corporate boards and executives</w:t>
      </w:r>
      <w:r w:rsidR="00BA2EDC" w:rsidRPr="00C73325">
        <w:rPr>
          <w:rFonts w:cs="Times New Roman"/>
          <w:szCs w:val="24"/>
        </w:rPr>
        <w:t xml:space="preserve"> (Ntim, 2015</w:t>
      </w:r>
      <w:r w:rsidR="00ED0401" w:rsidRPr="00C73325">
        <w:rPr>
          <w:rFonts w:cs="Times New Roman"/>
          <w:szCs w:val="24"/>
        </w:rPr>
        <w:t>)</w:t>
      </w:r>
      <w:r w:rsidR="00DB60B4" w:rsidRPr="00C73325">
        <w:rPr>
          <w:rFonts w:cs="Times New Roman"/>
          <w:szCs w:val="24"/>
        </w:rPr>
        <w:t xml:space="preserve">. For example, Cadbury Report </w:t>
      </w:r>
      <w:r w:rsidR="00824352" w:rsidRPr="00C73325">
        <w:rPr>
          <w:rFonts w:cs="Times New Roman"/>
          <w:szCs w:val="24"/>
        </w:rPr>
        <w:t>recommended that every board should: (</w:t>
      </w:r>
      <w:proofErr w:type="spellStart"/>
      <w:r w:rsidR="00824352" w:rsidRPr="00C73325">
        <w:rPr>
          <w:rFonts w:cs="Times New Roman"/>
          <w:szCs w:val="24"/>
        </w:rPr>
        <w:t>i</w:t>
      </w:r>
      <w:proofErr w:type="spellEnd"/>
      <w:r w:rsidR="00824352" w:rsidRPr="00C73325">
        <w:rPr>
          <w:rFonts w:cs="Times New Roman"/>
          <w:szCs w:val="24"/>
        </w:rPr>
        <w:t>) have at least 3 independent directors; (ii) separate the roles of CEO and chairperson; (iii) establish an audit committee</w:t>
      </w:r>
      <w:r w:rsidR="006D3342" w:rsidRPr="00C73325">
        <w:rPr>
          <w:rFonts w:cs="Times New Roman"/>
          <w:szCs w:val="24"/>
        </w:rPr>
        <w:t xml:space="preserve">; and </w:t>
      </w:r>
      <w:proofErr w:type="gramStart"/>
      <w:r w:rsidR="006D3342" w:rsidRPr="00C73325">
        <w:rPr>
          <w:rFonts w:cs="Times New Roman"/>
          <w:szCs w:val="24"/>
        </w:rPr>
        <w:t>(iv) set</w:t>
      </w:r>
      <w:proofErr w:type="gramEnd"/>
      <w:r w:rsidR="006D3342" w:rsidRPr="00C73325">
        <w:rPr>
          <w:rFonts w:cs="Times New Roman"/>
          <w:szCs w:val="24"/>
        </w:rPr>
        <w:t xml:space="preserve"> up an internal audit and control system</w:t>
      </w:r>
      <w:r w:rsidR="00BA2EDC" w:rsidRPr="00C73325">
        <w:rPr>
          <w:rFonts w:cs="Times New Roman"/>
          <w:szCs w:val="24"/>
        </w:rPr>
        <w:t xml:space="preserve"> (Ntim, 2012</w:t>
      </w:r>
      <w:r w:rsidR="00097C99">
        <w:rPr>
          <w:rFonts w:cs="Times New Roman"/>
          <w:szCs w:val="24"/>
        </w:rPr>
        <w:t>a, b</w:t>
      </w:r>
      <w:r w:rsidR="00ED0401" w:rsidRPr="00C73325">
        <w:rPr>
          <w:rFonts w:cs="Times New Roman"/>
          <w:szCs w:val="24"/>
        </w:rPr>
        <w:t>)</w:t>
      </w:r>
      <w:r w:rsidR="006D3342" w:rsidRPr="00C73325">
        <w:rPr>
          <w:rFonts w:cs="Times New Roman"/>
          <w:szCs w:val="24"/>
        </w:rPr>
        <w:t xml:space="preserve">. </w:t>
      </w:r>
    </w:p>
    <w:p w14:paraId="70316998" w14:textId="037D749C" w:rsidR="003C78B4" w:rsidRPr="004102EC" w:rsidRDefault="006D3342" w:rsidP="004102EC">
      <w:pPr>
        <w:spacing w:before="0" w:after="0" w:line="360" w:lineRule="auto"/>
        <w:ind w:firstLine="360"/>
        <w:rPr>
          <w:rFonts w:cs="Times New Roman"/>
          <w:szCs w:val="24"/>
        </w:rPr>
      </w:pPr>
      <w:r w:rsidRPr="00C73325">
        <w:rPr>
          <w:rFonts w:cs="Times New Roman"/>
          <w:szCs w:val="24"/>
        </w:rPr>
        <w:t>A major limitation of</w:t>
      </w:r>
      <w:r w:rsidR="00705538" w:rsidRPr="00C73325">
        <w:rPr>
          <w:rFonts w:cs="Times New Roman"/>
          <w:szCs w:val="24"/>
        </w:rPr>
        <w:t xml:space="preserve"> the Cadbury Report was that it focused mainly </w:t>
      </w:r>
      <w:r w:rsidR="002C4831" w:rsidRPr="00C73325">
        <w:rPr>
          <w:rFonts w:cs="Times New Roman"/>
          <w:szCs w:val="24"/>
        </w:rPr>
        <w:t xml:space="preserve">on the financial aspects of </w:t>
      </w:r>
      <w:r w:rsidR="00E40239" w:rsidRPr="00C73325">
        <w:rPr>
          <w:rFonts w:cs="Times New Roman"/>
          <w:szCs w:val="24"/>
        </w:rPr>
        <w:t xml:space="preserve">corporate </w:t>
      </w:r>
      <w:r w:rsidR="00705538" w:rsidRPr="00C73325">
        <w:rPr>
          <w:rFonts w:cs="Times New Roman"/>
          <w:szCs w:val="24"/>
        </w:rPr>
        <w:t>governance without considering other equally important issues, such as executive remuneration and risk</w:t>
      </w:r>
      <w:r w:rsidR="002C4831" w:rsidRPr="00C73325">
        <w:rPr>
          <w:rFonts w:cs="Times New Roman"/>
          <w:szCs w:val="24"/>
        </w:rPr>
        <w:t xml:space="preserve"> management practices</w:t>
      </w:r>
      <w:r w:rsidR="00ED0401" w:rsidRPr="00C73325">
        <w:rPr>
          <w:rFonts w:cs="Times New Roman"/>
          <w:szCs w:val="24"/>
        </w:rPr>
        <w:t xml:space="preserve"> (Ntim et al. 2015a, b)</w:t>
      </w:r>
      <w:r w:rsidR="00705538" w:rsidRPr="00C73325">
        <w:rPr>
          <w:rFonts w:cs="Times New Roman"/>
          <w:szCs w:val="24"/>
        </w:rPr>
        <w:t xml:space="preserve">. </w:t>
      </w:r>
      <w:r w:rsidR="007F357A" w:rsidRPr="00C73325">
        <w:rPr>
          <w:rFonts w:cs="Times New Roman"/>
          <w:szCs w:val="24"/>
        </w:rPr>
        <w:t xml:space="preserve">Consequently, a number </w:t>
      </w:r>
      <w:r w:rsidR="007F357A" w:rsidRPr="00C73325">
        <w:rPr>
          <w:rFonts w:cs="Times New Roman"/>
          <w:szCs w:val="24"/>
        </w:rPr>
        <w:lastRenderedPageBreak/>
        <w:t xml:space="preserve">of additional reports addressing different aspects of </w:t>
      </w:r>
      <w:r w:rsidR="00E40239" w:rsidRPr="00C73325">
        <w:rPr>
          <w:rFonts w:cs="Times New Roman"/>
          <w:szCs w:val="24"/>
        </w:rPr>
        <w:t xml:space="preserve">corporate </w:t>
      </w:r>
      <w:r w:rsidR="007F357A" w:rsidRPr="00C73325">
        <w:rPr>
          <w:rFonts w:cs="Times New Roman"/>
          <w:szCs w:val="24"/>
        </w:rPr>
        <w:t>governance were</w:t>
      </w:r>
      <w:r w:rsidR="00E96FE3" w:rsidRPr="00C73325">
        <w:rPr>
          <w:rFonts w:cs="Times New Roman"/>
          <w:szCs w:val="24"/>
        </w:rPr>
        <w:t xml:space="preserve"> introduced. For example, the </w:t>
      </w:r>
      <w:proofErr w:type="spellStart"/>
      <w:r w:rsidR="00E96FE3" w:rsidRPr="00C73325">
        <w:rPr>
          <w:rFonts w:cs="Times New Roman"/>
          <w:szCs w:val="24"/>
        </w:rPr>
        <w:t>Greenbury</w:t>
      </w:r>
      <w:proofErr w:type="spellEnd"/>
      <w:r w:rsidR="00E96FE3" w:rsidRPr="00C73325">
        <w:rPr>
          <w:rFonts w:cs="Times New Roman"/>
          <w:szCs w:val="24"/>
        </w:rPr>
        <w:t xml:space="preserve"> Report was published in 1995. The Report sought to improve practices relating to executive remune</w:t>
      </w:r>
      <w:r w:rsidR="00467C57" w:rsidRPr="00C73325">
        <w:rPr>
          <w:rFonts w:cs="Times New Roman"/>
          <w:szCs w:val="24"/>
        </w:rPr>
        <w:t xml:space="preserve">ration by ensuring a stronger </w:t>
      </w:r>
      <w:r w:rsidR="00E96FE3" w:rsidRPr="00C73325">
        <w:rPr>
          <w:rFonts w:cs="Times New Roman"/>
          <w:szCs w:val="24"/>
        </w:rPr>
        <w:t xml:space="preserve">link between executive pay and corporate performance. In 1998, the </w:t>
      </w:r>
      <w:proofErr w:type="spellStart"/>
      <w:r w:rsidR="00E96FE3" w:rsidRPr="00C73325">
        <w:rPr>
          <w:rFonts w:cs="Times New Roman"/>
          <w:szCs w:val="24"/>
        </w:rPr>
        <w:t>Hampel</w:t>
      </w:r>
      <w:proofErr w:type="spellEnd"/>
      <w:r w:rsidR="00E96FE3" w:rsidRPr="00C73325">
        <w:rPr>
          <w:rFonts w:cs="Times New Roman"/>
          <w:szCs w:val="24"/>
        </w:rPr>
        <w:t xml:space="preserve"> Report, which</w:t>
      </w:r>
      <w:r w:rsidR="003D5D7D" w:rsidRPr="00C73325">
        <w:rPr>
          <w:rFonts w:cs="Times New Roman"/>
          <w:szCs w:val="24"/>
        </w:rPr>
        <w:t xml:space="preserve"> consolidated</w:t>
      </w:r>
      <w:r w:rsidR="00E96FE3" w:rsidRPr="00C73325">
        <w:rPr>
          <w:rFonts w:cs="Times New Roman"/>
          <w:szCs w:val="24"/>
        </w:rPr>
        <w:t xml:space="preserve"> the good </w:t>
      </w:r>
      <w:r w:rsidR="00E40239" w:rsidRPr="00C73325">
        <w:rPr>
          <w:rFonts w:cs="Times New Roman"/>
          <w:szCs w:val="24"/>
        </w:rPr>
        <w:t xml:space="preserve">corporate </w:t>
      </w:r>
      <w:r w:rsidR="00E96FE3" w:rsidRPr="00C73325">
        <w:rPr>
          <w:rFonts w:cs="Times New Roman"/>
          <w:szCs w:val="24"/>
        </w:rPr>
        <w:t xml:space="preserve">governance recommendations </w:t>
      </w:r>
      <w:r w:rsidR="003D5D7D" w:rsidRPr="00C73325">
        <w:rPr>
          <w:rFonts w:cs="Times New Roman"/>
          <w:szCs w:val="24"/>
        </w:rPr>
        <w:t xml:space="preserve">contained in the 1992 Cadbury Report and 1995 </w:t>
      </w:r>
      <w:proofErr w:type="spellStart"/>
      <w:r w:rsidR="003D5D7D" w:rsidRPr="00C73325">
        <w:rPr>
          <w:rFonts w:cs="Times New Roman"/>
          <w:szCs w:val="24"/>
        </w:rPr>
        <w:t>Greenbury</w:t>
      </w:r>
      <w:proofErr w:type="spellEnd"/>
      <w:r w:rsidR="003D5D7D" w:rsidRPr="00C73325">
        <w:rPr>
          <w:rFonts w:cs="Times New Roman"/>
          <w:szCs w:val="24"/>
        </w:rPr>
        <w:t xml:space="preserve"> Report to form the first ‘UK Combined Code’</w:t>
      </w:r>
      <w:r w:rsidR="00C23094" w:rsidRPr="00C73325">
        <w:rPr>
          <w:rFonts w:cs="Times New Roman"/>
          <w:szCs w:val="24"/>
        </w:rPr>
        <w:t>,</w:t>
      </w:r>
      <w:r w:rsidR="003D5D7D" w:rsidRPr="00C73325">
        <w:rPr>
          <w:rFonts w:cs="Times New Roman"/>
          <w:szCs w:val="24"/>
        </w:rPr>
        <w:t xml:space="preserve"> was launched. In 1999,</w:t>
      </w:r>
      <w:r w:rsidR="00EB7597" w:rsidRPr="00C73325">
        <w:rPr>
          <w:rFonts w:cs="Times New Roman"/>
          <w:szCs w:val="24"/>
        </w:rPr>
        <w:t xml:space="preserve"> the Turnbull Report, which focused on making</w:t>
      </w:r>
      <w:r w:rsidR="003D5D7D" w:rsidRPr="00C73325">
        <w:rPr>
          <w:rFonts w:cs="Times New Roman"/>
          <w:szCs w:val="24"/>
        </w:rPr>
        <w:t xml:space="preserve"> </w:t>
      </w:r>
      <w:r w:rsidR="00EB7597" w:rsidRPr="00C73325">
        <w:rPr>
          <w:rFonts w:cs="Times New Roman"/>
          <w:szCs w:val="24"/>
        </w:rPr>
        <w:t xml:space="preserve">recommendations </w:t>
      </w:r>
      <w:r w:rsidR="003D5D7D" w:rsidRPr="00C73325">
        <w:rPr>
          <w:rFonts w:cs="Times New Roman"/>
          <w:szCs w:val="24"/>
        </w:rPr>
        <w:t xml:space="preserve">relating to </w:t>
      </w:r>
      <w:r w:rsidR="00EB7597" w:rsidRPr="00C73325">
        <w:rPr>
          <w:rFonts w:cs="Times New Roman"/>
          <w:szCs w:val="24"/>
        </w:rPr>
        <w:t xml:space="preserve">good </w:t>
      </w:r>
      <w:r w:rsidR="003D5D7D" w:rsidRPr="00C73325">
        <w:rPr>
          <w:rFonts w:cs="Times New Roman"/>
          <w:szCs w:val="24"/>
        </w:rPr>
        <w:t xml:space="preserve">risk management </w:t>
      </w:r>
      <w:r w:rsidR="004C726D" w:rsidRPr="00C73325">
        <w:rPr>
          <w:rFonts w:cs="Times New Roman"/>
          <w:szCs w:val="24"/>
        </w:rPr>
        <w:t>practices,</w:t>
      </w:r>
      <w:r w:rsidR="00EB7597" w:rsidRPr="00C73325">
        <w:rPr>
          <w:rFonts w:cs="Times New Roman"/>
          <w:szCs w:val="24"/>
        </w:rPr>
        <w:t xml:space="preserve"> was implemented</w:t>
      </w:r>
      <w:r w:rsidR="003C78B4" w:rsidRPr="00C73325">
        <w:rPr>
          <w:rFonts w:cs="Times New Roman"/>
          <w:szCs w:val="24"/>
        </w:rPr>
        <w:t>. In 200</w:t>
      </w:r>
      <w:r w:rsidR="0064244B" w:rsidRPr="00C73325">
        <w:rPr>
          <w:rFonts w:cs="Times New Roman"/>
          <w:szCs w:val="24"/>
        </w:rPr>
        <w:t xml:space="preserve">3, two different reports aimed </w:t>
      </w:r>
      <w:r w:rsidR="00E40239" w:rsidRPr="00C73325">
        <w:rPr>
          <w:rFonts w:cs="Times New Roman"/>
          <w:szCs w:val="24"/>
        </w:rPr>
        <w:t xml:space="preserve">at </w:t>
      </w:r>
      <w:r w:rsidR="0064244B" w:rsidRPr="00C73325">
        <w:rPr>
          <w:rFonts w:cs="Times New Roman"/>
          <w:szCs w:val="24"/>
        </w:rPr>
        <w:t xml:space="preserve">improving </w:t>
      </w:r>
      <w:r w:rsidR="00E40239" w:rsidRPr="00C73325">
        <w:rPr>
          <w:rFonts w:cs="Times New Roman"/>
          <w:szCs w:val="24"/>
        </w:rPr>
        <w:t xml:space="preserve">corporate </w:t>
      </w:r>
      <w:r w:rsidR="0064244B" w:rsidRPr="00C73325">
        <w:rPr>
          <w:rFonts w:cs="Times New Roman"/>
          <w:szCs w:val="24"/>
        </w:rPr>
        <w:t xml:space="preserve">governance </w:t>
      </w:r>
      <w:r w:rsidR="00E40239" w:rsidRPr="00C73325">
        <w:rPr>
          <w:rFonts w:cs="Times New Roman"/>
          <w:szCs w:val="24"/>
        </w:rPr>
        <w:t xml:space="preserve">practices </w:t>
      </w:r>
      <w:r w:rsidR="0064244B" w:rsidRPr="00C73325">
        <w:rPr>
          <w:rFonts w:cs="Times New Roman"/>
          <w:szCs w:val="24"/>
        </w:rPr>
        <w:t>were further published: Higgs and Smith Reports. The Higgs Report concentrated on improving board independence by defining and strengthening the involvement and role of independent directors, whilst</w:t>
      </w:r>
      <w:r w:rsidR="00A26B87" w:rsidRPr="00C73325">
        <w:rPr>
          <w:rFonts w:cs="Times New Roman"/>
          <w:szCs w:val="24"/>
        </w:rPr>
        <w:t xml:space="preserve"> the Smith Report</w:t>
      </w:r>
      <w:r w:rsidR="0064244B" w:rsidRPr="00C73325">
        <w:rPr>
          <w:rFonts w:cs="Times New Roman"/>
          <w:szCs w:val="24"/>
        </w:rPr>
        <w:t xml:space="preserve"> sought to strengthen board effectiveness by encouraging the establishment of board sub-committees, such as audit, nomination and remuneration committees. The good </w:t>
      </w:r>
      <w:r w:rsidR="00E40239" w:rsidRPr="00C73325">
        <w:rPr>
          <w:rFonts w:cs="Times New Roman"/>
          <w:szCs w:val="24"/>
        </w:rPr>
        <w:t xml:space="preserve">corporate </w:t>
      </w:r>
      <w:r w:rsidR="0064244B" w:rsidRPr="00C73325">
        <w:rPr>
          <w:rFonts w:cs="Times New Roman"/>
          <w:szCs w:val="24"/>
        </w:rPr>
        <w:t>governance recommendations contained in all these reports were further consolidated to form the second ‘UK Combined Code’ in 2003.</w:t>
      </w:r>
      <w:r w:rsidR="00555E33" w:rsidRPr="00C73325">
        <w:rPr>
          <w:rFonts w:cs="Times New Roman"/>
          <w:szCs w:val="24"/>
        </w:rPr>
        <w:t xml:space="preserve"> Discernibly, the 2003 </w:t>
      </w:r>
      <w:r w:rsidR="004B144B" w:rsidRPr="00C73325">
        <w:rPr>
          <w:rFonts w:cs="Times New Roman"/>
          <w:szCs w:val="24"/>
        </w:rPr>
        <w:t>Code emphasis</w:t>
      </w:r>
      <w:r w:rsidR="00A26B87" w:rsidRPr="00C73325">
        <w:rPr>
          <w:rFonts w:cs="Times New Roman"/>
          <w:szCs w:val="24"/>
        </w:rPr>
        <w:t xml:space="preserve">ed the need for more </w:t>
      </w:r>
      <w:r w:rsidR="00425C99" w:rsidRPr="00C73325">
        <w:rPr>
          <w:rFonts w:cs="Times New Roman"/>
          <w:szCs w:val="24"/>
        </w:rPr>
        <w:t xml:space="preserve">board </w:t>
      </w:r>
      <w:r w:rsidR="00A26B87" w:rsidRPr="00C73325">
        <w:rPr>
          <w:rFonts w:cs="Times New Roman"/>
          <w:szCs w:val="24"/>
        </w:rPr>
        <w:t>independence</w:t>
      </w:r>
      <w:r w:rsidR="004B144B" w:rsidRPr="00C73325">
        <w:rPr>
          <w:rFonts w:cs="Times New Roman"/>
          <w:szCs w:val="24"/>
        </w:rPr>
        <w:t xml:space="preserve"> (majority of independent directors), </w:t>
      </w:r>
      <w:r w:rsidR="00425C99" w:rsidRPr="00C73325">
        <w:rPr>
          <w:rFonts w:cs="Times New Roman"/>
          <w:szCs w:val="24"/>
        </w:rPr>
        <w:t xml:space="preserve">board </w:t>
      </w:r>
      <w:r w:rsidR="004B144B" w:rsidRPr="00C73325">
        <w:rPr>
          <w:rFonts w:cs="Times New Roman"/>
          <w:szCs w:val="24"/>
        </w:rPr>
        <w:t xml:space="preserve">diversity (on the basis of gender, ethnicity, experience, age, and qualifications, amongst others) and regular </w:t>
      </w:r>
      <w:r w:rsidR="00425C99" w:rsidRPr="00C73325">
        <w:rPr>
          <w:rFonts w:cs="Times New Roman"/>
          <w:szCs w:val="24"/>
        </w:rPr>
        <w:t xml:space="preserve">board </w:t>
      </w:r>
      <w:r w:rsidR="004B144B" w:rsidRPr="00C73325">
        <w:rPr>
          <w:rFonts w:cs="Times New Roman"/>
          <w:szCs w:val="24"/>
        </w:rPr>
        <w:t>meetings (i.e., at least</w:t>
      </w:r>
      <w:r w:rsidR="00C73E1A" w:rsidRPr="00C73325">
        <w:rPr>
          <w:rFonts w:cs="Times New Roman"/>
          <w:szCs w:val="24"/>
        </w:rPr>
        <w:t xml:space="preserve"> meet</w:t>
      </w:r>
      <w:r w:rsidR="004B144B" w:rsidRPr="00C73325">
        <w:rPr>
          <w:rFonts w:cs="Times New Roman"/>
          <w:szCs w:val="24"/>
        </w:rPr>
        <w:t xml:space="preserve"> four times in a year), amongst other, good </w:t>
      </w:r>
      <w:r w:rsidR="00E40239" w:rsidRPr="00C73325">
        <w:rPr>
          <w:rFonts w:cs="Times New Roman"/>
          <w:szCs w:val="24"/>
        </w:rPr>
        <w:t xml:space="preserve">corporate </w:t>
      </w:r>
      <w:r w:rsidR="004B144B" w:rsidRPr="00C73325">
        <w:rPr>
          <w:rFonts w:cs="Times New Roman"/>
          <w:szCs w:val="24"/>
        </w:rPr>
        <w:t>governance practices</w:t>
      </w:r>
      <w:r w:rsidR="00ED0401" w:rsidRPr="00C73325">
        <w:rPr>
          <w:rFonts w:cs="Times New Roman"/>
          <w:szCs w:val="24"/>
        </w:rPr>
        <w:t xml:space="preserve"> (Ntim, 2015)</w:t>
      </w:r>
      <w:r w:rsidR="004B144B" w:rsidRPr="00C73325">
        <w:rPr>
          <w:rFonts w:cs="Times New Roman"/>
          <w:szCs w:val="24"/>
        </w:rPr>
        <w:t>.</w:t>
      </w:r>
      <w:r w:rsidR="00F674AF" w:rsidRPr="00C73325">
        <w:rPr>
          <w:rFonts w:cs="Times New Roman"/>
          <w:szCs w:val="24"/>
        </w:rPr>
        <w:t xml:space="preserve"> The ‘2003 Combined Code’ has been revised almost every two years, including in 2006, 2008, 2010, 2012 and 2014.</w:t>
      </w:r>
      <w:r w:rsidR="004102EC">
        <w:rPr>
          <w:rFonts w:cs="Times New Roman"/>
          <w:szCs w:val="24"/>
        </w:rPr>
        <w:t xml:space="preserve"> Additionally, and in order to enhance shareholder activism following the global financial crisis of 2007/08, the Stewardship Code was issued in 2010 and updated in 2012. This code emphasises that shareholders should play an active role in enhancing corporate governance structures in order to protect their wealth.  </w:t>
      </w:r>
    </w:p>
    <w:p w14:paraId="1C0C45BB" w14:textId="5D4A851C" w:rsidR="002B75E8" w:rsidRPr="00C73325" w:rsidRDefault="00632969" w:rsidP="00325272">
      <w:pPr>
        <w:spacing w:before="0" w:after="0" w:line="360" w:lineRule="auto"/>
        <w:ind w:firstLine="360"/>
      </w:pPr>
      <w:r>
        <w:rPr>
          <w:rFonts w:cs="Times New Roman"/>
          <w:szCs w:val="24"/>
        </w:rPr>
        <w:t>A</w:t>
      </w:r>
      <w:r w:rsidR="00F674AF" w:rsidRPr="00632969">
        <w:rPr>
          <w:rFonts w:cs="Times New Roman"/>
          <w:szCs w:val="24"/>
        </w:rPr>
        <w:t xml:space="preserve">lthough the governance reforms pursued in the UK focused on improving corporate board decisions, including those relating to dividend policy, they did not specify </w:t>
      </w:r>
      <w:r w:rsidR="00035A5D" w:rsidRPr="00C73325">
        <w:rPr>
          <w:rFonts w:cs="Times New Roman"/>
          <w:szCs w:val="24"/>
        </w:rPr>
        <w:t xml:space="preserve">exactly what corporate boards should do when it comes to dividend policy. Similarly, and unlike in other countries, where the payment of dividends is </w:t>
      </w:r>
      <w:r w:rsidR="00425C99" w:rsidRPr="00C73325">
        <w:rPr>
          <w:rFonts w:cs="Times New Roman"/>
          <w:szCs w:val="24"/>
        </w:rPr>
        <w:t xml:space="preserve">sometimes </w:t>
      </w:r>
      <w:r w:rsidR="00035A5D" w:rsidRPr="00C73325">
        <w:rPr>
          <w:rFonts w:cs="Times New Roman"/>
          <w:szCs w:val="24"/>
        </w:rPr>
        <w:t xml:space="preserve">compulsory for all profit-making firms, </w:t>
      </w:r>
      <w:r w:rsidR="002B75E8" w:rsidRPr="00C73325">
        <w:rPr>
          <w:rFonts w:cs="Times New Roman"/>
          <w:szCs w:val="24"/>
        </w:rPr>
        <w:t xml:space="preserve">according to </w:t>
      </w:r>
      <w:r w:rsidR="00035A5D" w:rsidRPr="00C73325">
        <w:rPr>
          <w:rFonts w:cs="Times New Roman"/>
          <w:szCs w:val="24"/>
        </w:rPr>
        <w:t>the 2006 UK Companies Act</w:t>
      </w:r>
      <w:r w:rsidR="002B75E8" w:rsidRPr="00C73325">
        <w:rPr>
          <w:rFonts w:cs="Times New Roman"/>
          <w:szCs w:val="24"/>
        </w:rPr>
        <w:t xml:space="preserve">, the payment of dividends by a corporation is voluntary. Specifically, Section 830 of the Act states two conditions under which dividend may be paid to shareholders as follows: </w:t>
      </w:r>
      <w:r w:rsidR="0064244B" w:rsidRPr="00C73325">
        <w:rPr>
          <w:rFonts w:cs="Times New Roman"/>
          <w:szCs w:val="24"/>
        </w:rPr>
        <w:t xml:space="preserve"> </w:t>
      </w:r>
      <w:r w:rsidR="003D5D7D" w:rsidRPr="00C73325">
        <w:rPr>
          <w:rFonts w:cs="Times New Roman"/>
          <w:szCs w:val="24"/>
        </w:rPr>
        <w:t xml:space="preserve"> </w:t>
      </w:r>
      <w:r w:rsidR="002B75E8" w:rsidRPr="00C73325">
        <w:t>(</w:t>
      </w:r>
      <w:proofErr w:type="spellStart"/>
      <w:r w:rsidR="002B75E8" w:rsidRPr="00C73325">
        <w:t>i</w:t>
      </w:r>
      <w:proofErr w:type="spellEnd"/>
      <w:r w:rsidR="002B75E8" w:rsidRPr="00C73325">
        <w:t>) “</w:t>
      </w:r>
      <w:r w:rsidR="002B75E8" w:rsidRPr="00C73325">
        <w:rPr>
          <w:i/>
        </w:rPr>
        <w:t>A company may only make a distribution out of profits available for the purpose</w:t>
      </w:r>
      <w:r w:rsidR="00E8242C">
        <w:rPr>
          <w:i/>
        </w:rPr>
        <w:t xml:space="preserve"> of paying dividends</w:t>
      </w:r>
      <w:r w:rsidR="002B75E8" w:rsidRPr="00C73325">
        <w:t>”</w:t>
      </w:r>
      <w:r w:rsidR="002B75E8" w:rsidRPr="00C73325">
        <w:rPr>
          <w:i/>
        </w:rPr>
        <w:t xml:space="preserve">; </w:t>
      </w:r>
      <w:r w:rsidR="002B75E8" w:rsidRPr="00C73325">
        <w:t xml:space="preserve">and </w:t>
      </w:r>
      <w:r w:rsidR="002B75E8" w:rsidRPr="00C73325">
        <w:rPr>
          <w:i/>
        </w:rPr>
        <w:t xml:space="preserve">(ii) “A company's profits available for distribution are its accumulated, realised profits, so far as not previously utilised by distribution or capitalisation, less its accumulated, realised losses, so far as not previously </w:t>
      </w:r>
      <w:r w:rsidR="002B75E8" w:rsidRPr="00C73325">
        <w:rPr>
          <w:i/>
        </w:rPr>
        <w:lastRenderedPageBreak/>
        <w:t>written off in a reduction or reorganisation of capital duly made”</w:t>
      </w:r>
      <w:r w:rsidR="002B75E8" w:rsidRPr="00C73325">
        <w:t>.</w:t>
      </w:r>
      <w:r w:rsidR="00764D67" w:rsidRPr="00C73325">
        <w:t xml:space="preserve"> </w:t>
      </w:r>
      <w:r w:rsidR="003C78B4" w:rsidRPr="00C73325">
        <w:t>However,</w:t>
      </w:r>
      <w:r w:rsidR="00764D67" w:rsidRPr="00C73325">
        <w:t xml:space="preserve"> and notwithstanding the voluntary nature of dividend policy in the UK, corporations face a critical dilemma when developing their policies relating to the payment of dividends</w:t>
      </w:r>
      <w:r w:rsidR="00425C99" w:rsidRPr="00C73325">
        <w:t xml:space="preserve"> to their shareholders</w:t>
      </w:r>
      <w:r w:rsidR="00764D67" w:rsidRPr="00C73325">
        <w:t>. On the one hand, paying excessive amounts of corporate profits back to shareholders can stifle future growth potenti</w:t>
      </w:r>
      <w:r w:rsidR="00425C99" w:rsidRPr="00C73325">
        <w:t>al by increasing cost of financing future</w:t>
      </w:r>
      <w:r w:rsidR="00764D67" w:rsidRPr="00C73325">
        <w:t xml:space="preserve"> investments via borrowing. On the other hand, leaving too much cash flow (‘excess cash flow problem</w:t>
      </w:r>
      <w:r w:rsidR="00515E52" w:rsidRPr="00C73325">
        <w:t>’</w:t>
      </w:r>
      <w:r w:rsidR="00764D67" w:rsidRPr="00C73325">
        <w:t xml:space="preserve">) in the hands of company executives can potentially increase agency problems. </w:t>
      </w:r>
      <w:r w:rsidR="00515E52" w:rsidRPr="00C73325">
        <w:t>We, thus</w:t>
      </w:r>
      <w:r w:rsidR="00960CF7" w:rsidRPr="00C73325">
        <w:t xml:space="preserve">, argue that firms with good </w:t>
      </w:r>
      <w:r w:rsidR="00E40239" w:rsidRPr="00C73325">
        <w:t xml:space="preserve">corporate </w:t>
      </w:r>
      <w:r w:rsidR="00960CF7" w:rsidRPr="00C73325">
        <w:t xml:space="preserve">governance credentials will be better </w:t>
      </w:r>
      <w:r w:rsidR="00425C99" w:rsidRPr="00C73325">
        <w:t>placed to strike a fair balance</w:t>
      </w:r>
      <w:r w:rsidR="00960CF7" w:rsidRPr="00C73325">
        <w:t xml:space="preserve"> between the amount of profits that are distributed to shareholders as dividends and those that are retained in the firm for investment </w:t>
      </w:r>
      <w:r w:rsidR="00425C99" w:rsidRPr="00C73325">
        <w:t>than</w:t>
      </w:r>
      <w:r w:rsidR="00960CF7" w:rsidRPr="00C73325">
        <w:t xml:space="preserve"> their poorly-governed counterparts. The central objective of this paper, therefore, is to examine the effect of corporate governance on dividend policy within UK listed SMEs.</w:t>
      </w:r>
    </w:p>
    <w:p w14:paraId="0C3CCA66" w14:textId="2391FBF0" w:rsidR="00CE2213" w:rsidRPr="00C73325" w:rsidRDefault="00015486" w:rsidP="003C78B4">
      <w:pPr>
        <w:pStyle w:val="Heading1"/>
        <w:numPr>
          <w:ilvl w:val="0"/>
          <w:numId w:val="6"/>
        </w:numPr>
        <w:spacing w:after="240"/>
        <w:rPr>
          <w:rFonts w:eastAsia="MS Gothic"/>
          <w:color w:val="auto"/>
          <w:szCs w:val="24"/>
        </w:rPr>
      </w:pPr>
      <w:r>
        <w:rPr>
          <w:rFonts w:eastAsia="MS Gothic"/>
          <w:color w:val="auto"/>
          <w:szCs w:val="24"/>
        </w:rPr>
        <w:t>Theory</w:t>
      </w:r>
    </w:p>
    <w:p w14:paraId="653E340A" w14:textId="07B2DCA8" w:rsidR="00D82D78" w:rsidRPr="00C73325" w:rsidRDefault="00367933" w:rsidP="00133ABC">
      <w:pPr>
        <w:spacing w:before="0" w:after="0" w:line="360" w:lineRule="auto"/>
        <w:ind w:firstLine="360"/>
        <w:rPr>
          <w:rFonts w:cs="Times New Roman"/>
          <w:szCs w:val="24"/>
        </w:rPr>
      </w:pPr>
      <w:r w:rsidRPr="00C73325">
        <w:t xml:space="preserve">There are two </w:t>
      </w:r>
      <w:r w:rsidR="00E8242C">
        <w:t xml:space="preserve">main </w:t>
      </w:r>
      <w:r w:rsidRPr="00C73325">
        <w:t>theoretical perspectives</w:t>
      </w:r>
      <w:r w:rsidR="00E8242C">
        <w:t xml:space="preserve"> that</w:t>
      </w:r>
      <w:r w:rsidRPr="00C73325">
        <w:t xml:space="preserve"> have been used by previous studies to explain the relationship between corporate governance mechanisms and dividends pay-outs</w:t>
      </w:r>
      <w:r w:rsidR="00E8242C">
        <w:t>:</w:t>
      </w:r>
      <w:r w:rsidR="0024053F" w:rsidRPr="00C73325">
        <w:t xml:space="preserve"> the outcome and substitution hypotheses</w:t>
      </w:r>
      <w:r w:rsidR="00FD7A8D">
        <w:t xml:space="preserve"> (Al-</w:t>
      </w:r>
      <w:proofErr w:type="spellStart"/>
      <w:r w:rsidR="00FD7A8D">
        <w:t>Najjar</w:t>
      </w:r>
      <w:proofErr w:type="spellEnd"/>
      <w:r w:rsidR="00FD7A8D">
        <w:t xml:space="preserve"> &amp;</w:t>
      </w:r>
      <w:r w:rsidRPr="00C73325">
        <w:t xml:space="preserve"> </w:t>
      </w:r>
      <w:proofErr w:type="spellStart"/>
      <w:r w:rsidRPr="00C73325">
        <w:t>Hussainey</w:t>
      </w:r>
      <w:proofErr w:type="spellEnd"/>
      <w:r w:rsidRPr="00C73325">
        <w:t xml:space="preserve">, 2009; </w:t>
      </w:r>
      <w:proofErr w:type="spellStart"/>
      <w:r w:rsidR="00C00CE9" w:rsidRPr="00C00CE9">
        <w:t>DeAngelo</w:t>
      </w:r>
      <w:proofErr w:type="spellEnd"/>
      <w:r w:rsidR="00C00CE9" w:rsidRPr="00C00CE9">
        <w:t xml:space="preserve"> &amp; </w:t>
      </w:r>
      <w:proofErr w:type="spellStart"/>
      <w:r w:rsidR="00C00CE9" w:rsidRPr="00C00CE9">
        <w:t>DeAngelo</w:t>
      </w:r>
      <w:proofErr w:type="spellEnd"/>
      <w:r w:rsidR="00C00CE9" w:rsidRPr="00C00CE9">
        <w:t>, 1990</w:t>
      </w:r>
      <w:r w:rsidR="00C00CE9">
        <w:t xml:space="preserve">; </w:t>
      </w:r>
      <w:proofErr w:type="spellStart"/>
      <w:r w:rsidRPr="00C00CE9">
        <w:t>Jiraporn</w:t>
      </w:r>
      <w:proofErr w:type="spellEnd"/>
      <w:r w:rsidRPr="00C00CE9">
        <w:t xml:space="preserve"> et al., 2011; </w:t>
      </w:r>
      <w:r w:rsidRPr="00C00CE9">
        <w:rPr>
          <w:rFonts w:cs="Times New Roman"/>
          <w:szCs w:val="24"/>
        </w:rPr>
        <w:t xml:space="preserve">La-Porta et al., 2000; </w:t>
      </w:r>
      <w:proofErr w:type="spellStart"/>
      <w:r w:rsidRPr="00C00CE9">
        <w:rPr>
          <w:rFonts w:cs="Times New Roman"/>
          <w:szCs w:val="24"/>
        </w:rPr>
        <w:t>Sawick</w:t>
      </w:r>
      <w:proofErr w:type="spellEnd"/>
      <w:r w:rsidRPr="00C00CE9">
        <w:rPr>
          <w:rFonts w:cs="Times New Roman"/>
          <w:szCs w:val="24"/>
        </w:rPr>
        <w:t xml:space="preserve">, 2009). </w:t>
      </w:r>
      <w:r w:rsidR="0024053F" w:rsidRPr="00C00CE9">
        <w:rPr>
          <w:rFonts w:cs="Times New Roman"/>
          <w:szCs w:val="24"/>
        </w:rPr>
        <w:t xml:space="preserve">The outcome hypothesis assumes that </w:t>
      </w:r>
      <w:r w:rsidR="0024053F" w:rsidRPr="00C73325">
        <w:rPr>
          <w:rFonts w:cs="Times New Roman"/>
          <w:szCs w:val="24"/>
        </w:rPr>
        <w:t>the payment of dividends is a result of the corporate governance regime</w:t>
      </w:r>
      <w:r w:rsidR="00461FB1" w:rsidRPr="00C73325">
        <w:rPr>
          <w:rFonts w:cs="Times New Roman"/>
          <w:szCs w:val="24"/>
        </w:rPr>
        <w:t xml:space="preserve"> (La-Porta et al., 2000)</w:t>
      </w:r>
      <w:r w:rsidR="00084E6B">
        <w:rPr>
          <w:rFonts w:cs="Times New Roman"/>
          <w:szCs w:val="24"/>
        </w:rPr>
        <w:t>,</w:t>
      </w:r>
      <w:r w:rsidR="0024053F" w:rsidRPr="00C73325">
        <w:rPr>
          <w:rFonts w:cs="Times New Roman"/>
          <w:szCs w:val="24"/>
        </w:rPr>
        <w:t xml:space="preserve"> where</w:t>
      </w:r>
      <w:r w:rsidR="00461FB1" w:rsidRPr="00C73325">
        <w:rPr>
          <w:rFonts w:cs="Times New Roman"/>
          <w:szCs w:val="24"/>
        </w:rPr>
        <w:t xml:space="preserve"> managers in</w:t>
      </w:r>
      <w:r w:rsidR="0024053F" w:rsidRPr="00C73325">
        <w:rPr>
          <w:rFonts w:cs="Times New Roman"/>
          <w:szCs w:val="24"/>
        </w:rPr>
        <w:t xml:space="preserve"> poor-governed firms </w:t>
      </w:r>
      <w:r w:rsidR="00461FB1" w:rsidRPr="00C73325">
        <w:rPr>
          <w:rFonts w:cs="Times New Roman"/>
          <w:szCs w:val="24"/>
        </w:rPr>
        <w:t>are often interested in maximising their own personal wealth, by paying no or low dividends to shareholders (Al-</w:t>
      </w:r>
      <w:proofErr w:type="spellStart"/>
      <w:r w:rsidR="00461FB1" w:rsidRPr="00C73325">
        <w:rPr>
          <w:rFonts w:cs="Times New Roman"/>
          <w:szCs w:val="24"/>
        </w:rPr>
        <w:t>Taleb</w:t>
      </w:r>
      <w:proofErr w:type="spellEnd"/>
      <w:r w:rsidR="00461FB1" w:rsidRPr="00C73325">
        <w:rPr>
          <w:rFonts w:cs="Times New Roman"/>
          <w:szCs w:val="24"/>
        </w:rPr>
        <w:t xml:space="preserve">, 2012; La-Porta et al., 2000; Chen &amp; Steiner, 1999). The availability of ‘free excess cash flow’ will permit such managers to invest and expand the size of the company (e.g., through empire building mergers and acquisitions) even in the absence of positive net present value (NPV) projects (Jensen, 1986, 1993; Shapiro, 2005). </w:t>
      </w:r>
      <w:r w:rsidR="00D82D78" w:rsidRPr="00C73325">
        <w:rPr>
          <w:rFonts w:cs="Times New Roman"/>
          <w:szCs w:val="24"/>
        </w:rPr>
        <w:t xml:space="preserve">In contrast, managers in well-governed firms are expected to act according to the best interest of shareholders, by </w:t>
      </w:r>
      <w:r w:rsidR="00F90F8C" w:rsidRPr="00C73325">
        <w:rPr>
          <w:rFonts w:cs="Times New Roman"/>
          <w:szCs w:val="24"/>
        </w:rPr>
        <w:t>pursuing</w:t>
      </w:r>
      <w:r w:rsidR="00D82D78" w:rsidRPr="00C73325">
        <w:rPr>
          <w:rFonts w:cs="Times New Roman"/>
          <w:szCs w:val="24"/>
        </w:rPr>
        <w:t xml:space="preserve"> wealth maximising policies, </w:t>
      </w:r>
      <w:r w:rsidR="00F90F8C" w:rsidRPr="00C73325">
        <w:rPr>
          <w:rFonts w:cs="Times New Roman"/>
          <w:szCs w:val="24"/>
        </w:rPr>
        <w:t>such as</w:t>
      </w:r>
      <w:r w:rsidR="00D82D78" w:rsidRPr="00C73325">
        <w:rPr>
          <w:rFonts w:cs="Times New Roman"/>
          <w:szCs w:val="24"/>
        </w:rPr>
        <w:t xml:space="preserve"> paying large</w:t>
      </w:r>
      <w:r w:rsidR="00F90F8C" w:rsidRPr="00C73325">
        <w:rPr>
          <w:rFonts w:cs="Times New Roman"/>
          <w:szCs w:val="24"/>
        </w:rPr>
        <w:t>r</w:t>
      </w:r>
      <w:r w:rsidR="00D82D78" w:rsidRPr="00C73325">
        <w:rPr>
          <w:rFonts w:cs="Times New Roman"/>
          <w:szCs w:val="24"/>
        </w:rPr>
        <w:t xml:space="preserve"> dividends</w:t>
      </w:r>
      <w:r w:rsidR="00C00CE9">
        <w:rPr>
          <w:rFonts w:cs="Times New Roman"/>
          <w:szCs w:val="24"/>
        </w:rPr>
        <w:t xml:space="preserve"> (</w:t>
      </w:r>
      <w:proofErr w:type="spellStart"/>
      <w:r w:rsidR="00C00CE9" w:rsidRPr="00C00CE9">
        <w:rPr>
          <w:rFonts w:cs="Times New Roman"/>
          <w:szCs w:val="24"/>
        </w:rPr>
        <w:t>DeAngelo</w:t>
      </w:r>
      <w:proofErr w:type="spellEnd"/>
      <w:r w:rsidR="00C00CE9" w:rsidRPr="00C00CE9">
        <w:rPr>
          <w:rFonts w:cs="Times New Roman"/>
          <w:szCs w:val="24"/>
        </w:rPr>
        <w:t xml:space="preserve"> &amp; </w:t>
      </w:r>
      <w:proofErr w:type="spellStart"/>
      <w:r w:rsidR="00C00CE9" w:rsidRPr="00C00CE9">
        <w:rPr>
          <w:rFonts w:cs="Times New Roman"/>
          <w:szCs w:val="24"/>
        </w:rPr>
        <w:t>DeAngelo</w:t>
      </w:r>
      <w:proofErr w:type="spellEnd"/>
      <w:r w:rsidR="00C00CE9" w:rsidRPr="00C00CE9">
        <w:rPr>
          <w:rFonts w:cs="Times New Roman"/>
          <w:szCs w:val="24"/>
        </w:rPr>
        <w:t>, 1990</w:t>
      </w:r>
      <w:r w:rsidR="00C00CE9">
        <w:rPr>
          <w:rFonts w:cs="Times New Roman"/>
          <w:szCs w:val="24"/>
        </w:rPr>
        <w:t>)</w:t>
      </w:r>
      <w:r w:rsidR="000B40D5" w:rsidRPr="00C00CE9">
        <w:rPr>
          <w:rFonts w:cs="Times New Roman"/>
          <w:szCs w:val="24"/>
        </w:rPr>
        <w:t xml:space="preserve">. Therefore, and according to the outcome hypothesis, it is expected that corporate governance quality </w:t>
      </w:r>
      <w:r w:rsidR="00084E6B">
        <w:rPr>
          <w:rFonts w:cs="Times New Roman"/>
          <w:szCs w:val="24"/>
        </w:rPr>
        <w:t>will</w:t>
      </w:r>
      <w:r w:rsidR="000B40D5" w:rsidRPr="00C00CE9">
        <w:rPr>
          <w:rFonts w:cs="Times New Roman"/>
          <w:szCs w:val="24"/>
        </w:rPr>
        <w:t xml:space="preserve"> be</w:t>
      </w:r>
      <w:r w:rsidR="003715A3" w:rsidRPr="00C00CE9">
        <w:rPr>
          <w:rFonts w:cs="Times New Roman"/>
          <w:szCs w:val="24"/>
        </w:rPr>
        <w:t xml:space="preserve"> positively</w:t>
      </w:r>
      <w:r w:rsidR="000B40D5" w:rsidRPr="00C00CE9">
        <w:rPr>
          <w:rFonts w:cs="Times New Roman"/>
          <w:szCs w:val="24"/>
        </w:rPr>
        <w:t xml:space="preserve"> associated with divide</w:t>
      </w:r>
      <w:r w:rsidR="000B40D5" w:rsidRPr="00C73325">
        <w:rPr>
          <w:rFonts w:cs="Times New Roman"/>
          <w:szCs w:val="24"/>
        </w:rPr>
        <w:t>nd pay-out policy.</w:t>
      </w:r>
    </w:p>
    <w:p w14:paraId="55963F17" w14:textId="1F8906EE" w:rsidR="00461FB1" w:rsidRPr="00C73325" w:rsidRDefault="00EA06FB" w:rsidP="00C163FA">
      <w:pPr>
        <w:spacing w:before="0" w:after="0" w:line="360" w:lineRule="auto"/>
        <w:ind w:firstLine="360"/>
        <w:rPr>
          <w:rFonts w:cs="Times New Roman"/>
          <w:szCs w:val="24"/>
        </w:rPr>
      </w:pPr>
      <w:r w:rsidRPr="00C73325">
        <w:rPr>
          <w:rFonts w:cs="Times New Roman"/>
          <w:szCs w:val="24"/>
        </w:rPr>
        <w:t>On the other hand, the substitution hypothesis suggests that firms with poor governance structures tend to pay larger dividends in order to</w:t>
      </w:r>
      <w:r w:rsidRPr="00F1415A">
        <w:rPr>
          <w:rFonts w:cs="Times New Roman"/>
          <w:szCs w:val="24"/>
        </w:rPr>
        <w:t xml:space="preserve"> establish a positive reputation with shareholders</w:t>
      </w:r>
      <w:r w:rsidR="00F226E4" w:rsidRPr="00C73325">
        <w:rPr>
          <w:rFonts w:cs="Times New Roman"/>
          <w:szCs w:val="24"/>
        </w:rPr>
        <w:t xml:space="preserve"> (La-Porta et al.,</w:t>
      </w:r>
      <w:r w:rsidR="00F226E4" w:rsidRPr="00FF6091">
        <w:rPr>
          <w:rFonts w:cs="Times New Roman"/>
          <w:szCs w:val="24"/>
        </w:rPr>
        <w:t xml:space="preserve"> 2000)</w:t>
      </w:r>
      <w:r w:rsidR="006E6A64" w:rsidRPr="00FF6091">
        <w:rPr>
          <w:rFonts w:cs="Times New Roman"/>
          <w:szCs w:val="24"/>
        </w:rPr>
        <w:t xml:space="preserve">. According to this hypothesis, </w:t>
      </w:r>
      <w:r w:rsidR="00DD65D0" w:rsidRPr="00FF6091">
        <w:rPr>
          <w:rFonts w:cs="Times New Roman"/>
          <w:szCs w:val="24"/>
        </w:rPr>
        <w:t xml:space="preserve">dividends pay-out is a substitute for </w:t>
      </w:r>
      <w:r w:rsidR="00DD65D0" w:rsidRPr="00C73325">
        <w:rPr>
          <w:rFonts w:cs="Times New Roman"/>
          <w:szCs w:val="24"/>
        </w:rPr>
        <w:t xml:space="preserve">corporate governance quality, where managers in poor-governed firms </w:t>
      </w:r>
      <w:r w:rsidR="009066C2" w:rsidRPr="00C73325">
        <w:rPr>
          <w:rFonts w:cs="Times New Roman"/>
          <w:szCs w:val="24"/>
        </w:rPr>
        <w:t xml:space="preserve">are encouraged to pay larger dividends in order to establish good reputation with shareholders. </w:t>
      </w:r>
      <w:r w:rsidR="007D4546" w:rsidRPr="00C73325">
        <w:rPr>
          <w:rFonts w:cs="Times New Roman"/>
          <w:szCs w:val="24"/>
        </w:rPr>
        <w:t xml:space="preserve">By </w:t>
      </w:r>
      <w:r w:rsidR="007D4546" w:rsidRPr="00C73325">
        <w:rPr>
          <w:rFonts w:cs="Times New Roman"/>
          <w:szCs w:val="24"/>
        </w:rPr>
        <w:lastRenderedPageBreak/>
        <w:t>establishing a positive reputation with shareholders</w:t>
      </w:r>
      <w:r w:rsidR="009066C2" w:rsidRPr="00C73325">
        <w:rPr>
          <w:rFonts w:cs="Times New Roman"/>
          <w:szCs w:val="24"/>
        </w:rPr>
        <w:t>, firms with poor governance structures will be able to attract future external funds at low costs</w:t>
      </w:r>
      <w:r w:rsidR="00234002">
        <w:rPr>
          <w:rFonts w:cs="Times New Roman"/>
          <w:szCs w:val="24"/>
        </w:rPr>
        <w:t xml:space="preserve"> than it will normally cost</w:t>
      </w:r>
      <w:r w:rsidR="003B5DD0">
        <w:rPr>
          <w:rFonts w:cs="Times New Roman"/>
          <w:szCs w:val="24"/>
        </w:rPr>
        <w:t xml:space="preserve"> such firms</w:t>
      </w:r>
      <w:r w:rsidR="00234002">
        <w:rPr>
          <w:rFonts w:cs="Times New Roman"/>
          <w:szCs w:val="24"/>
        </w:rPr>
        <w:t xml:space="preserve"> to attract external funds</w:t>
      </w:r>
      <w:r w:rsidR="009066C2" w:rsidRPr="00C73325">
        <w:rPr>
          <w:rFonts w:cs="Times New Roman"/>
          <w:szCs w:val="24"/>
        </w:rPr>
        <w:t xml:space="preserve"> </w:t>
      </w:r>
      <w:r w:rsidR="007D4546" w:rsidRPr="00C73325">
        <w:rPr>
          <w:rFonts w:cs="Times New Roman"/>
          <w:szCs w:val="24"/>
        </w:rPr>
        <w:t xml:space="preserve">(La-Porta et al., 2000). </w:t>
      </w:r>
      <w:r w:rsidR="00967B0B" w:rsidRPr="00C73325">
        <w:rPr>
          <w:rFonts w:cs="Times New Roman"/>
          <w:szCs w:val="24"/>
        </w:rPr>
        <w:t>Based on this view</w:t>
      </w:r>
      <w:r w:rsidR="007D4546" w:rsidRPr="00C73325">
        <w:rPr>
          <w:rFonts w:cs="Times New Roman"/>
          <w:szCs w:val="24"/>
        </w:rPr>
        <w:t xml:space="preserve">, dividends pay-out can be used by poorly-governed firms as alternative governance mechanism to mitigate potential conflict of interest </w:t>
      </w:r>
      <w:r w:rsidR="00684DD9" w:rsidRPr="00C73325">
        <w:rPr>
          <w:rFonts w:cs="Times New Roman"/>
          <w:szCs w:val="24"/>
        </w:rPr>
        <w:t>between managers and shareholders</w:t>
      </w:r>
      <w:r w:rsidR="00926040" w:rsidRPr="00C73325">
        <w:rPr>
          <w:rFonts w:cs="Times New Roman"/>
          <w:szCs w:val="24"/>
        </w:rPr>
        <w:t xml:space="preserve"> (</w:t>
      </w:r>
      <w:proofErr w:type="spellStart"/>
      <w:r w:rsidR="00926040" w:rsidRPr="00C73325">
        <w:rPr>
          <w:rFonts w:cs="Times New Roman"/>
          <w:szCs w:val="24"/>
        </w:rPr>
        <w:t>Sawicki</w:t>
      </w:r>
      <w:proofErr w:type="spellEnd"/>
      <w:r w:rsidR="00926040" w:rsidRPr="00C73325">
        <w:rPr>
          <w:rFonts w:cs="Times New Roman"/>
          <w:szCs w:val="24"/>
        </w:rPr>
        <w:t xml:space="preserve">, 2009). </w:t>
      </w:r>
      <w:r w:rsidR="006C4138" w:rsidRPr="00C73325">
        <w:rPr>
          <w:rFonts w:cs="Times New Roman"/>
          <w:szCs w:val="24"/>
        </w:rPr>
        <w:t>Th</w:t>
      </w:r>
      <w:r w:rsidR="006F4FE9">
        <w:rPr>
          <w:rFonts w:cs="Times New Roman"/>
          <w:szCs w:val="24"/>
        </w:rPr>
        <w:t xml:space="preserve">us, </w:t>
      </w:r>
      <w:r w:rsidR="006C4138" w:rsidRPr="00C73325">
        <w:rPr>
          <w:rFonts w:cs="Times New Roman"/>
          <w:szCs w:val="24"/>
        </w:rPr>
        <w:t>accordin</w:t>
      </w:r>
      <w:r w:rsidR="003715A3" w:rsidRPr="00C73325">
        <w:rPr>
          <w:rFonts w:cs="Times New Roman"/>
          <w:szCs w:val="24"/>
        </w:rPr>
        <w:t>g to the substitution hypothesis,</w:t>
      </w:r>
      <w:r w:rsidR="006C4138" w:rsidRPr="00C73325">
        <w:rPr>
          <w:rFonts w:cs="Times New Roman"/>
          <w:szCs w:val="24"/>
        </w:rPr>
        <w:t xml:space="preserve"> </w:t>
      </w:r>
      <w:r w:rsidR="003715A3" w:rsidRPr="00C73325">
        <w:rPr>
          <w:rFonts w:cs="Times New Roman"/>
          <w:szCs w:val="24"/>
        </w:rPr>
        <w:t xml:space="preserve">it is expected that </w:t>
      </w:r>
      <w:r w:rsidR="006C4138" w:rsidRPr="00C73325">
        <w:rPr>
          <w:rFonts w:cs="Times New Roman"/>
          <w:szCs w:val="24"/>
        </w:rPr>
        <w:t xml:space="preserve">firms with </w:t>
      </w:r>
      <w:r w:rsidR="003715A3" w:rsidRPr="00C73325">
        <w:rPr>
          <w:rFonts w:cs="Times New Roman"/>
          <w:szCs w:val="24"/>
        </w:rPr>
        <w:t>poor</w:t>
      </w:r>
      <w:r w:rsidR="006C4138" w:rsidRPr="00C73325">
        <w:rPr>
          <w:rFonts w:cs="Times New Roman"/>
          <w:szCs w:val="24"/>
        </w:rPr>
        <w:t xml:space="preserve"> corporate governance structures </w:t>
      </w:r>
      <w:r w:rsidR="00BB2022">
        <w:rPr>
          <w:rFonts w:cs="Times New Roman"/>
          <w:szCs w:val="24"/>
        </w:rPr>
        <w:t>have a greater</w:t>
      </w:r>
      <w:r w:rsidR="003715A3" w:rsidRPr="00C73325">
        <w:rPr>
          <w:rFonts w:cs="Times New Roman"/>
          <w:szCs w:val="24"/>
        </w:rPr>
        <w:t xml:space="preserve"> need to establish a positive reputation by paying large dividends. </w:t>
      </w:r>
      <w:r w:rsidR="00BB2022">
        <w:rPr>
          <w:rFonts w:cs="Times New Roman"/>
          <w:szCs w:val="24"/>
        </w:rPr>
        <w:t xml:space="preserve">Therefore and in contrast to the predictions of the outcome hypothesis, </w:t>
      </w:r>
      <w:r w:rsidR="00F1415A">
        <w:rPr>
          <w:rFonts w:cs="Times New Roman"/>
          <w:szCs w:val="24"/>
        </w:rPr>
        <w:t>the substitution hypothesis expects</w:t>
      </w:r>
      <w:r w:rsidR="003715A3" w:rsidRPr="00C73325">
        <w:rPr>
          <w:rFonts w:cs="Times New Roman"/>
          <w:szCs w:val="24"/>
        </w:rPr>
        <w:t xml:space="preserve"> that corporate governance quality </w:t>
      </w:r>
      <w:r w:rsidR="00F1415A">
        <w:rPr>
          <w:rFonts w:cs="Times New Roman"/>
          <w:szCs w:val="24"/>
        </w:rPr>
        <w:t>will be</w:t>
      </w:r>
      <w:r w:rsidR="003715A3" w:rsidRPr="00C73325">
        <w:rPr>
          <w:rFonts w:cs="Times New Roman"/>
          <w:szCs w:val="24"/>
        </w:rPr>
        <w:t xml:space="preserve"> negatively associated with dividend pay-out policy. </w:t>
      </w:r>
    </w:p>
    <w:p w14:paraId="6FE269E2" w14:textId="14540DC0" w:rsidR="00AF1345" w:rsidRPr="002E11E6" w:rsidRDefault="007A2FBC" w:rsidP="00414CB6">
      <w:pPr>
        <w:pStyle w:val="Heading1"/>
        <w:numPr>
          <w:ilvl w:val="0"/>
          <w:numId w:val="6"/>
        </w:numPr>
        <w:rPr>
          <w:color w:val="auto"/>
        </w:rPr>
      </w:pPr>
      <w:r w:rsidRPr="00FF6091">
        <w:rPr>
          <w:color w:val="auto"/>
        </w:rPr>
        <w:t xml:space="preserve">Empirical </w:t>
      </w:r>
      <w:r w:rsidR="00414CB6" w:rsidRPr="00FF6091">
        <w:rPr>
          <w:color w:val="auto"/>
        </w:rPr>
        <w:t>literature review and hypothese</w:t>
      </w:r>
      <w:r w:rsidR="00414CB6" w:rsidRPr="002E11E6">
        <w:rPr>
          <w:color w:val="auto"/>
        </w:rPr>
        <w:t>s development</w:t>
      </w:r>
    </w:p>
    <w:p w14:paraId="0E1115B8" w14:textId="72C387EB" w:rsidR="007A2FBC" w:rsidRPr="00C73325" w:rsidRDefault="00850CAD" w:rsidP="00325272">
      <w:pPr>
        <w:spacing w:after="0" w:line="360" w:lineRule="auto"/>
        <w:ind w:firstLine="360"/>
        <w:rPr>
          <w:rFonts w:cs="Times New Roman"/>
          <w:szCs w:val="24"/>
        </w:rPr>
      </w:pPr>
      <w:r w:rsidRPr="00C73325">
        <w:rPr>
          <w:rFonts w:cs="Times New Roman"/>
          <w:szCs w:val="24"/>
        </w:rPr>
        <w:t>As previous noted, a number of past studies have examined the effect of</w:t>
      </w:r>
      <w:r w:rsidR="007040C5" w:rsidRPr="00C73325">
        <w:rPr>
          <w:rFonts w:cs="Times New Roman"/>
          <w:szCs w:val="24"/>
        </w:rPr>
        <w:t xml:space="preserve"> firm-level characteristics, such as size, cash flow, leverage and profitability on</w:t>
      </w:r>
      <w:r w:rsidR="007A2FBC" w:rsidRPr="00C73325">
        <w:rPr>
          <w:rFonts w:cs="Times New Roman"/>
          <w:szCs w:val="24"/>
        </w:rPr>
        <w:t xml:space="preserve"> dividend policy (</w:t>
      </w:r>
      <w:proofErr w:type="spellStart"/>
      <w:r w:rsidR="007665F4" w:rsidRPr="00C73325">
        <w:rPr>
          <w:rFonts w:cs="Times New Roman"/>
          <w:szCs w:val="24"/>
        </w:rPr>
        <w:t>Valipour</w:t>
      </w:r>
      <w:proofErr w:type="spellEnd"/>
      <w:r w:rsidR="007665F4" w:rsidRPr="00C73325">
        <w:rPr>
          <w:rFonts w:cs="Times New Roman"/>
          <w:szCs w:val="24"/>
        </w:rPr>
        <w:t xml:space="preserve">, </w:t>
      </w:r>
      <w:proofErr w:type="spellStart"/>
      <w:r w:rsidR="007665F4" w:rsidRPr="00C73325">
        <w:rPr>
          <w:rFonts w:cs="Times New Roman"/>
          <w:szCs w:val="24"/>
        </w:rPr>
        <w:t>Rostami</w:t>
      </w:r>
      <w:proofErr w:type="spellEnd"/>
      <w:r w:rsidR="007665F4" w:rsidRPr="00C73325">
        <w:rPr>
          <w:rFonts w:cs="Times New Roman"/>
          <w:szCs w:val="24"/>
        </w:rPr>
        <w:t xml:space="preserve"> &amp; </w:t>
      </w:r>
      <w:proofErr w:type="spellStart"/>
      <w:r w:rsidR="007665F4" w:rsidRPr="00C73325">
        <w:rPr>
          <w:rFonts w:cs="Times New Roman"/>
          <w:szCs w:val="24"/>
        </w:rPr>
        <w:t>Salehi</w:t>
      </w:r>
      <w:proofErr w:type="spellEnd"/>
      <w:r w:rsidR="007665F4" w:rsidRPr="00C73325">
        <w:rPr>
          <w:rFonts w:cs="Times New Roman"/>
          <w:szCs w:val="24"/>
        </w:rPr>
        <w:t xml:space="preserve"> 2009; </w:t>
      </w:r>
      <w:proofErr w:type="spellStart"/>
      <w:r w:rsidR="007665F4" w:rsidRPr="00C73325">
        <w:rPr>
          <w:rFonts w:cs="Times New Roman"/>
          <w:szCs w:val="24"/>
        </w:rPr>
        <w:t>Okpara</w:t>
      </w:r>
      <w:proofErr w:type="spellEnd"/>
      <w:r w:rsidR="007665F4" w:rsidRPr="00C73325">
        <w:rPr>
          <w:rFonts w:cs="Times New Roman"/>
          <w:szCs w:val="24"/>
        </w:rPr>
        <w:t xml:space="preserve"> 2010; </w:t>
      </w:r>
      <w:proofErr w:type="spellStart"/>
      <w:r w:rsidR="007665F4" w:rsidRPr="00C73325">
        <w:rPr>
          <w:rFonts w:cs="Times New Roman"/>
          <w:szCs w:val="24"/>
        </w:rPr>
        <w:t>Hunjra</w:t>
      </w:r>
      <w:proofErr w:type="spellEnd"/>
      <w:r w:rsidR="007665F4" w:rsidRPr="00C73325">
        <w:rPr>
          <w:rFonts w:cs="Times New Roman"/>
          <w:szCs w:val="24"/>
        </w:rPr>
        <w:t xml:space="preserve"> 2011; </w:t>
      </w:r>
      <w:proofErr w:type="spellStart"/>
      <w:r w:rsidR="007665F4" w:rsidRPr="00C73325">
        <w:rPr>
          <w:rFonts w:cs="Times New Roman"/>
          <w:szCs w:val="24"/>
        </w:rPr>
        <w:t>Jagannathan</w:t>
      </w:r>
      <w:proofErr w:type="spellEnd"/>
      <w:r w:rsidR="007665F4" w:rsidRPr="00C73325">
        <w:rPr>
          <w:rFonts w:cs="Times New Roman"/>
          <w:szCs w:val="24"/>
        </w:rPr>
        <w:t xml:space="preserve"> &amp; </w:t>
      </w:r>
      <w:proofErr w:type="spellStart"/>
      <w:r w:rsidR="007665F4" w:rsidRPr="00C73325">
        <w:rPr>
          <w:rFonts w:cs="Times New Roman"/>
          <w:szCs w:val="24"/>
        </w:rPr>
        <w:t>Marakani</w:t>
      </w:r>
      <w:proofErr w:type="spellEnd"/>
      <w:r w:rsidR="007665F4" w:rsidRPr="00C73325">
        <w:rPr>
          <w:rFonts w:cs="Times New Roman"/>
          <w:szCs w:val="24"/>
        </w:rPr>
        <w:t xml:space="preserve">, 2011; </w:t>
      </w:r>
      <w:proofErr w:type="spellStart"/>
      <w:r w:rsidR="007A2FBC" w:rsidRPr="00C73325">
        <w:rPr>
          <w:rFonts w:cs="Times New Roman"/>
          <w:szCs w:val="24"/>
        </w:rPr>
        <w:t>Oladipupo</w:t>
      </w:r>
      <w:proofErr w:type="spellEnd"/>
      <w:r w:rsidR="007A2FBC" w:rsidRPr="00C73325">
        <w:rPr>
          <w:rFonts w:cs="Times New Roman"/>
          <w:szCs w:val="24"/>
        </w:rPr>
        <w:t xml:space="preserve"> </w:t>
      </w:r>
      <w:r w:rsidR="007665F4" w:rsidRPr="00C73325">
        <w:rPr>
          <w:rFonts w:cs="Times New Roman"/>
          <w:szCs w:val="24"/>
        </w:rPr>
        <w:t xml:space="preserve">&amp; </w:t>
      </w:r>
      <w:proofErr w:type="spellStart"/>
      <w:r w:rsidR="007665F4" w:rsidRPr="00C73325">
        <w:rPr>
          <w:rFonts w:cs="Times New Roman"/>
          <w:szCs w:val="24"/>
        </w:rPr>
        <w:t>Ibadin</w:t>
      </w:r>
      <w:proofErr w:type="spellEnd"/>
      <w:r w:rsidR="007A2FBC" w:rsidRPr="00C73325">
        <w:rPr>
          <w:rFonts w:cs="Times New Roman"/>
          <w:szCs w:val="24"/>
        </w:rPr>
        <w:t xml:space="preserve"> 2013</w:t>
      </w:r>
      <w:r w:rsidR="007665F4" w:rsidRPr="00C73325">
        <w:rPr>
          <w:rFonts w:cs="Times New Roman"/>
          <w:szCs w:val="24"/>
        </w:rPr>
        <w:t xml:space="preserve">; </w:t>
      </w:r>
      <w:proofErr w:type="spellStart"/>
      <w:r w:rsidR="007665F4" w:rsidRPr="00C73325">
        <w:rPr>
          <w:rFonts w:cs="Times New Roman"/>
          <w:szCs w:val="24"/>
        </w:rPr>
        <w:t>Mirbagherijam</w:t>
      </w:r>
      <w:proofErr w:type="spellEnd"/>
      <w:r w:rsidR="007665F4" w:rsidRPr="00C73325">
        <w:rPr>
          <w:rFonts w:cs="Times New Roman"/>
          <w:szCs w:val="24"/>
        </w:rPr>
        <w:t xml:space="preserve"> 2014)</w:t>
      </w:r>
      <w:r w:rsidR="00E36D65" w:rsidRPr="00C73325">
        <w:rPr>
          <w:rFonts w:cs="Times New Roman"/>
          <w:szCs w:val="24"/>
        </w:rPr>
        <w:t xml:space="preserve">. </w:t>
      </w:r>
      <w:r w:rsidR="007040C5" w:rsidRPr="00C73325">
        <w:rPr>
          <w:rFonts w:cs="Times New Roman"/>
          <w:szCs w:val="24"/>
        </w:rPr>
        <w:t>By contrast,</w:t>
      </w:r>
      <w:r w:rsidR="00E36D65" w:rsidRPr="00C73325">
        <w:rPr>
          <w:rFonts w:cs="Times New Roman"/>
          <w:szCs w:val="24"/>
        </w:rPr>
        <w:t xml:space="preserve"> </w:t>
      </w:r>
      <w:r w:rsidR="00C91BF8" w:rsidRPr="00C73325">
        <w:rPr>
          <w:rFonts w:cs="Times New Roman"/>
          <w:szCs w:val="24"/>
        </w:rPr>
        <w:t xml:space="preserve">studies </w:t>
      </w:r>
      <w:r w:rsidR="000B710C" w:rsidRPr="00C73325">
        <w:rPr>
          <w:rFonts w:cs="Times New Roman"/>
          <w:szCs w:val="24"/>
        </w:rPr>
        <w:t>examining the exte</w:t>
      </w:r>
      <w:r w:rsidR="00C91BF8" w:rsidRPr="00C73325">
        <w:rPr>
          <w:rFonts w:cs="Times New Roman"/>
          <w:szCs w:val="24"/>
        </w:rPr>
        <w:t>nt to which corporate governance mechanisms affect dividend policy are generally scarce, but particularly acute in the case of SMEs</w:t>
      </w:r>
      <w:r w:rsidR="000B710C" w:rsidRPr="00C73325">
        <w:rPr>
          <w:rFonts w:cs="Times New Roman"/>
          <w:szCs w:val="24"/>
        </w:rPr>
        <w:t xml:space="preserve"> (</w:t>
      </w:r>
      <w:proofErr w:type="spellStart"/>
      <w:r w:rsidR="000B710C" w:rsidRPr="00C73325">
        <w:rPr>
          <w:rFonts w:cs="Times New Roman"/>
          <w:szCs w:val="24"/>
        </w:rPr>
        <w:t>Thanatawee</w:t>
      </w:r>
      <w:proofErr w:type="spellEnd"/>
      <w:r w:rsidR="000B710C" w:rsidRPr="00C73325">
        <w:rPr>
          <w:rFonts w:cs="Times New Roman"/>
          <w:szCs w:val="24"/>
        </w:rPr>
        <w:t xml:space="preserve">, 2012; Abor &amp; </w:t>
      </w:r>
      <w:proofErr w:type="spellStart"/>
      <w:r w:rsidR="000B710C" w:rsidRPr="00C73325">
        <w:rPr>
          <w:rFonts w:cs="Times New Roman"/>
          <w:szCs w:val="24"/>
        </w:rPr>
        <w:t>Fiador</w:t>
      </w:r>
      <w:proofErr w:type="spellEnd"/>
      <w:r w:rsidR="000B710C" w:rsidRPr="00C73325">
        <w:rPr>
          <w:rFonts w:cs="Times New Roman"/>
          <w:szCs w:val="24"/>
        </w:rPr>
        <w:t xml:space="preserve">, 2013; </w:t>
      </w:r>
      <w:r w:rsidR="000B710C" w:rsidRPr="00C73325">
        <w:rPr>
          <w:rFonts w:eastAsia="Times New Roman" w:cs="Times New Roman"/>
          <w:szCs w:val="24"/>
        </w:rPr>
        <w:t xml:space="preserve">Arshad et al., 2013; </w:t>
      </w:r>
      <w:proofErr w:type="spellStart"/>
      <w:r w:rsidR="000B710C" w:rsidRPr="00C73325">
        <w:rPr>
          <w:rFonts w:eastAsia="Times New Roman" w:cs="Times New Roman"/>
          <w:szCs w:val="24"/>
        </w:rPr>
        <w:t>Ghasemi</w:t>
      </w:r>
      <w:proofErr w:type="spellEnd"/>
      <w:r w:rsidR="000B710C" w:rsidRPr="00C73325">
        <w:rPr>
          <w:rFonts w:eastAsia="Times New Roman" w:cs="Times New Roman"/>
          <w:szCs w:val="24"/>
        </w:rPr>
        <w:t xml:space="preserve"> et al. 2013; </w:t>
      </w:r>
      <w:r w:rsidR="000B710C" w:rsidRPr="00C73325">
        <w:rPr>
          <w:rFonts w:eastAsia="Times New Roman" w:cs="Times New Roman"/>
          <w:szCs w:val="24"/>
          <w:shd w:val="clear" w:color="auto" w:fill="FFFFFF"/>
        </w:rPr>
        <w:t xml:space="preserve">Iqbal 2013; </w:t>
      </w:r>
      <w:proofErr w:type="spellStart"/>
      <w:r w:rsidR="000B710C" w:rsidRPr="00C73325">
        <w:rPr>
          <w:rFonts w:cs="Times New Roman"/>
          <w:szCs w:val="24"/>
        </w:rPr>
        <w:t>Mansourinia</w:t>
      </w:r>
      <w:proofErr w:type="spellEnd"/>
      <w:r w:rsidR="000B710C" w:rsidRPr="00C73325">
        <w:rPr>
          <w:rFonts w:cs="Times New Roman"/>
          <w:szCs w:val="24"/>
        </w:rPr>
        <w:t xml:space="preserve"> et al. 2013)</w:t>
      </w:r>
      <w:r w:rsidR="00C91BF8" w:rsidRPr="00C73325">
        <w:rPr>
          <w:rFonts w:cs="Times New Roman"/>
          <w:szCs w:val="24"/>
        </w:rPr>
        <w:t xml:space="preserve">. Therefore, </w:t>
      </w:r>
      <w:r w:rsidR="000B710C" w:rsidRPr="00C73325">
        <w:rPr>
          <w:rFonts w:cs="Times New Roman"/>
          <w:szCs w:val="24"/>
        </w:rPr>
        <w:t>in this section, we seek to contribute to the</w:t>
      </w:r>
      <w:r w:rsidR="00FE7314" w:rsidRPr="00C73325">
        <w:rPr>
          <w:rFonts w:cs="Times New Roman"/>
          <w:szCs w:val="24"/>
        </w:rPr>
        <w:t xml:space="preserve"> extant</w:t>
      </w:r>
      <w:r w:rsidR="000B710C" w:rsidRPr="00C73325">
        <w:rPr>
          <w:rFonts w:cs="Times New Roman"/>
          <w:szCs w:val="24"/>
        </w:rPr>
        <w:t xml:space="preserve"> literature by examining how corporate </w:t>
      </w:r>
      <w:r w:rsidR="00BB50AE" w:rsidRPr="00C73325">
        <w:rPr>
          <w:rFonts w:cs="Times New Roman"/>
          <w:szCs w:val="24"/>
        </w:rPr>
        <w:t>b</w:t>
      </w:r>
      <w:r w:rsidR="00E36D65" w:rsidRPr="00C73325">
        <w:rPr>
          <w:rFonts w:cs="Times New Roman"/>
          <w:szCs w:val="24"/>
        </w:rPr>
        <w:t xml:space="preserve">oard </w:t>
      </w:r>
      <w:r w:rsidR="00BB50AE" w:rsidRPr="00C73325">
        <w:rPr>
          <w:rFonts w:cs="Times New Roman"/>
          <w:szCs w:val="24"/>
        </w:rPr>
        <w:t>c</w:t>
      </w:r>
      <w:r w:rsidR="00E36D65" w:rsidRPr="00C73325">
        <w:rPr>
          <w:rFonts w:cs="Times New Roman"/>
          <w:szCs w:val="24"/>
        </w:rPr>
        <w:t>haracteristics (i.e.</w:t>
      </w:r>
      <w:r w:rsidR="00BB50AE" w:rsidRPr="00C73325">
        <w:rPr>
          <w:rFonts w:cs="Times New Roman"/>
          <w:szCs w:val="24"/>
        </w:rPr>
        <w:t>,</w:t>
      </w:r>
      <w:r w:rsidR="00E36D65" w:rsidRPr="00C73325">
        <w:rPr>
          <w:rFonts w:cs="Times New Roman"/>
          <w:szCs w:val="24"/>
        </w:rPr>
        <w:t xml:space="preserve"> </w:t>
      </w:r>
      <w:r w:rsidR="00BB50AE" w:rsidRPr="00C73325">
        <w:rPr>
          <w:rFonts w:cs="Times New Roman"/>
          <w:szCs w:val="24"/>
        </w:rPr>
        <w:t>board size, board independen</w:t>
      </w:r>
      <w:r w:rsidR="00FE7314" w:rsidRPr="00C73325">
        <w:rPr>
          <w:rFonts w:cs="Times New Roman"/>
          <w:szCs w:val="24"/>
        </w:rPr>
        <w:t>ce</w:t>
      </w:r>
      <w:r w:rsidR="00BB50AE" w:rsidRPr="00C73325">
        <w:rPr>
          <w:rFonts w:cs="Times New Roman"/>
          <w:szCs w:val="24"/>
        </w:rPr>
        <w:t xml:space="preserve">, </w:t>
      </w:r>
      <w:proofErr w:type="gramStart"/>
      <w:r w:rsidR="000B710C" w:rsidRPr="00C73325">
        <w:rPr>
          <w:rFonts w:cs="Times New Roman"/>
          <w:szCs w:val="24"/>
        </w:rPr>
        <w:t>CEO</w:t>
      </w:r>
      <w:proofErr w:type="gramEnd"/>
      <w:r w:rsidR="00BB50AE" w:rsidRPr="00C73325">
        <w:rPr>
          <w:rFonts w:cs="Times New Roman"/>
          <w:szCs w:val="24"/>
        </w:rPr>
        <w:t xml:space="preserve"> </w:t>
      </w:r>
      <w:r w:rsidR="00FE7314" w:rsidRPr="00C73325">
        <w:rPr>
          <w:rFonts w:cs="Times New Roman"/>
          <w:szCs w:val="24"/>
        </w:rPr>
        <w:t xml:space="preserve">role </w:t>
      </w:r>
      <w:r w:rsidR="00BB50AE" w:rsidRPr="00C73325">
        <w:rPr>
          <w:rFonts w:cs="Times New Roman"/>
          <w:szCs w:val="24"/>
        </w:rPr>
        <w:t>duality, frequency of board meeting</w:t>
      </w:r>
      <w:r w:rsidR="00FE7314" w:rsidRPr="00C73325">
        <w:rPr>
          <w:rFonts w:cs="Times New Roman"/>
          <w:szCs w:val="24"/>
        </w:rPr>
        <w:t>s</w:t>
      </w:r>
      <w:r w:rsidR="00BB50AE" w:rsidRPr="00C73325">
        <w:rPr>
          <w:rFonts w:cs="Times New Roman"/>
          <w:szCs w:val="24"/>
        </w:rPr>
        <w:t>, board gender diversity and audit committee size</w:t>
      </w:r>
      <w:r w:rsidR="00E36D65" w:rsidRPr="00C73325">
        <w:rPr>
          <w:rFonts w:cs="Times New Roman"/>
          <w:szCs w:val="24"/>
        </w:rPr>
        <w:t xml:space="preserve">) </w:t>
      </w:r>
      <w:r w:rsidR="000B710C" w:rsidRPr="00C73325">
        <w:rPr>
          <w:rFonts w:cs="Times New Roman"/>
          <w:szCs w:val="24"/>
        </w:rPr>
        <w:t>can affect</w:t>
      </w:r>
      <w:r w:rsidR="00E36D65" w:rsidRPr="00C73325">
        <w:rPr>
          <w:rFonts w:cs="Times New Roman"/>
          <w:szCs w:val="24"/>
        </w:rPr>
        <w:t xml:space="preserve"> dividend policy</w:t>
      </w:r>
      <w:r w:rsidR="000B710C" w:rsidRPr="00C73325">
        <w:rPr>
          <w:rFonts w:cs="Times New Roman"/>
          <w:szCs w:val="24"/>
        </w:rPr>
        <w:t xml:space="preserve"> of SMEs</w:t>
      </w:r>
      <w:r w:rsidR="00E36D65" w:rsidRPr="00C73325">
        <w:rPr>
          <w:rFonts w:cs="Times New Roman"/>
          <w:szCs w:val="24"/>
        </w:rPr>
        <w:t xml:space="preserve">. In </w:t>
      </w:r>
      <w:r w:rsidR="00E22EAF" w:rsidRPr="00C73325">
        <w:rPr>
          <w:rFonts w:cs="Times New Roman"/>
          <w:szCs w:val="24"/>
        </w:rPr>
        <w:t>addition,</w:t>
      </w:r>
      <w:r w:rsidR="00FE7314" w:rsidRPr="00C73325">
        <w:rPr>
          <w:rFonts w:cs="Times New Roman"/>
          <w:szCs w:val="24"/>
        </w:rPr>
        <w:t xml:space="preserve"> and</w:t>
      </w:r>
      <w:r w:rsidR="00E36D65" w:rsidRPr="00C73325">
        <w:rPr>
          <w:rFonts w:cs="Times New Roman"/>
          <w:szCs w:val="24"/>
        </w:rPr>
        <w:t xml:space="preserve"> f</w:t>
      </w:r>
      <w:r w:rsidR="00234002">
        <w:rPr>
          <w:rFonts w:cs="Times New Roman"/>
          <w:szCs w:val="24"/>
        </w:rPr>
        <w:t>oll</w:t>
      </w:r>
      <w:r w:rsidR="00E36D65" w:rsidRPr="00C73325">
        <w:rPr>
          <w:rFonts w:cs="Times New Roman"/>
          <w:szCs w:val="24"/>
        </w:rPr>
        <w:t>owing previous studies, we also investigate</w:t>
      </w:r>
      <w:r w:rsidR="00FE7314" w:rsidRPr="00C73325">
        <w:rPr>
          <w:rFonts w:cs="Times New Roman"/>
          <w:szCs w:val="24"/>
        </w:rPr>
        <w:t xml:space="preserve"> (control for)</w:t>
      </w:r>
      <w:r w:rsidR="00E36D65" w:rsidRPr="00C73325">
        <w:rPr>
          <w:rFonts w:cs="Times New Roman"/>
          <w:szCs w:val="24"/>
        </w:rPr>
        <w:t xml:space="preserve"> how general firm characteristics (including </w:t>
      </w:r>
      <w:r w:rsidR="00FE7314" w:rsidRPr="00C73325">
        <w:rPr>
          <w:rFonts w:cs="Times New Roman"/>
          <w:szCs w:val="24"/>
        </w:rPr>
        <w:t>f</w:t>
      </w:r>
      <w:r w:rsidR="00E36D65" w:rsidRPr="00C73325">
        <w:rPr>
          <w:rFonts w:cs="Times New Roman"/>
          <w:szCs w:val="24"/>
        </w:rPr>
        <w:t xml:space="preserve">irm </w:t>
      </w:r>
      <w:r w:rsidR="00FE7314" w:rsidRPr="00C73325">
        <w:rPr>
          <w:rFonts w:cs="Times New Roman"/>
          <w:szCs w:val="24"/>
        </w:rPr>
        <w:t>s</w:t>
      </w:r>
      <w:r w:rsidR="00E36D65" w:rsidRPr="00C73325">
        <w:rPr>
          <w:rFonts w:cs="Times New Roman"/>
          <w:szCs w:val="24"/>
        </w:rPr>
        <w:t xml:space="preserve">ize, </w:t>
      </w:r>
      <w:r w:rsidR="00FE7314" w:rsidRPr="00C73325">
        <w:rPr>
          <w:rFonts w:cs="Times New Roman"/>
          <w:szCs w:val="24"/>
        </w:rPr>
        <w:t>l</w:t>
      </w:r>
      <w:r w:rsidR="00E36D65" w:rsidRPr="00C73325">
        <w:rPr>
          <w:rFonts w:cs="Times New Roman"/>
          <w:szCs w:val="24"/>
        </w:rPr>
        <w:t xml:space="preserve">everage, </w:t>
      </w:r>
      <w:r w:rsidR="00FE7314" w:rsidRPr="00C73325">
        <w:rPr>
          <w:rFonts w:cs="Times New Roman"/>
          <w:szCs w:val="24"/>
        </w:rPr>
        <w:t>c</w:t>
      </w:r>
      <w:r w:rsidR="00E36D65" w:rsidRPr="00C73325">
        <w:rPr>
          <w:rFonts w:cs="Times New Roman"/>
          <w:szCs w:val="24"/>
        </w:rPr>
        <w:t xml:space="preserve">ash flow per </w:t>
      </w:r>
      <w:r w:rsidR="00FE7314" w:rsidRPr="00C73325">
        <w:rPr>
          <w:rFonts w:cs="Times New Roman"/>
          <w:szCs w:val="24"/>
        </w:rPr>
        <w:t>s</w:t>
      </w:r>
      <w:r w:rsidR="00E36D65" w:rsidRPr="00C73325">
        <w:rPr>
          <w:rFonts w:cs="Times New Roman"/>
          <w:szCs w:val="24"/>
        </w:rPr>
        <w:t xml:space="preserve">hare and </w:t>
      </w:r>
      <w:r w:rsidR="00FE7314" w:rsidRPr="00C73325">
        <w:rPr>
          <w:rFonts w:cs="Times New Roman"/>
          <w:szCs w:val="24"/>
        </w:rPr>
        <w:t>return on assets</w:t>
      </w:r>
      <w:r w:rsidR="00E36D65" w:rsidRPr="00C73325">
        <w:rPr>
          <w:rFonts w:cs="Times New Roman"/>
          <w:szCs w:val="24"/>
        </w:rPr>
        <w:t xml:space="preserve">) affect dividend payment. </w:t>
      </w:r>
    </w:p>
    <w:p w14:paraId="436306DD" w14:textId="621F4567" w:rsidR="00AF1345" w:rsidRPr="00C73325" w:rsidRDefault="00414CB6" w:rsidP="0042017A">
      <w:pPr>
        <w:pStyle w:val="Heading2"/>
        <w:spacing w:line="360" w:lineRule="auto"/>
        <w:rPr>
          <w:b/>
          <w:color w:val="auto"/>
        </w:rPr>
      </w:pPr>
      <w:r w:rsidRPr="00C73325">
        <w:rPr>
          <w:b/>
          <w:color w:val="auto"/>
        </w:rPr>
        <w:t xml:space="preserve">4.1 </w:t>
      </w:r>
      <w:r w:rsidR="00AF1345" w:rsidRPr="00C73325">
        <w:rPr>
          <w:b/>
          <w:color w:val="auto"/>
        </w:rPr>
        <w:t xml:space="preserve">Board </w:t>
      </w:r>
      <w:r w:rsidRPr="00C73325">
        <w:rPr>
          <w:b/>
          <w:color w:val="auto"/>
        </w:rPr>
        <w:t>s</w:t>
      </w:r>
      <w:r w:rsidR="00AF1345" w:rsidRPr="00C73325">
        <w:rPr>
          <w:b/>
          <w:color w:val="auto"/>
        </w:rPr>
        <w:t>ize</w:t>
      </w:r>
      <w:r w:rsidRPr="00C73325">
        <w:rPr>
          <w:b/>
          <w:color w:val="auto"/>
        </w:rPr>
        <w:t xml:space="preserve"> and dividend policy</w:t>
      </w:r>
    </w:p>
    <w:p w14:paraId="4CDD178D" w14:textId="314E21A6" w:rsidR="002620D2" w:rsidRPr="00F1415A" w:rsidRDefault="0043620E" w:rsidP="002620D2">
      <w:pPr>
        <w:spacing w:before="0" w:after="0" w:line="360" w:lineRule="auto"/>
        <w:ind w:firstLine="360"/>
        <w:rPr>
          <w:rFonts w:cs="Times New Roman"/>
          <w:szCs w:val="24"/>
        </w:rPr>
      </w:pPr>
      <w:r w:rsidRPr="00C73325">
        <w:rPr>
          <w:rFonts w:cs="Times New Roman"/>
          <w:szCs w:val="24"/>
        </w:rPr>
        <w:t xml:space="preserve">Following </w:t>
      </w:r>
      <w:r w:rsidR="006B24F3" w:rsidRPr="00C73325">
        <w:rPr>
          <w:rFonts w:cs="Times New Roman"/>
          <w:szCs w:val="24"/>
        </w:rPr>
        <w:t>t</w:t>
      </w:r>
      <w:r w:rsidRPr="00C73325">
        <w:rPr>
          <w:rFonts w:cs="Times New Roman"/>
          <w:szCs w:val="24"/>
        </w:rPr>
        <w:t xml:space="preserve">he </w:t>
      </w:r>
      <w:r w:rsidR="00320F73" w:rsidRPr="00C73325">
        <w:rPr>
          <w:rFonts w:cs="Times New Roman"/>
          <w:szCs w:val="24"/>
        </w:rPr>
        <w:t xml:space="preserve">2012 UK Combined </w:t>
      </w:r>
      <w:r w:rsidRPr="00C73325">
        <w:rPr>
          <w:rFonts w:cs="Times New Roman"/>
          <w:szCs w:val="24"/>
        </w:rPr>
        <w:t>Co</w:t>
      </w:r>
      <w:r w:rsidR="00320F73" w:rsidRPr="00C73325">
        <w:rPr>
          <w:rFonts w:cs="Times New Roman"/>
          <w:szCs w:val="24"/>
        </w:rPr>
        <w:t>de</w:t>
      </w:r>
      <w:r w:rsidRPr="00C73325">
        <w:rPr>
          <w:rFonts w:cs="Times New Roman"/>
          <w:szCs w:val="24"/>
        </w:rPr>
        <w:t xml:space="preserve">, </w:t>
      </w:r>
      <w:r w:rsidR="00320F73" w:rsidRPr="00C73325">
        <w:rPr>
          <w:rFonts w:cs="Times New Roman"/>
          <w:szCs w:val="24"/>
        </w:rPr>
        <w:t xml:space="preserve">the </w:t>
      </w:r>
      <w:r w:rsidRPr="00C73325">
        <w:rPr>
          <w:rFonts w:cs="Times New Roman"/>
          <w:szCs w:val="24"/>
        </w:rPr>
        <w:t xml:space="preserve">number </w:t>
      </w:r>
      <w:r w:rsidR="00320F73" w:rsidRPr="00C73325">
        <w:rPr>
          <w:rFonts w:cs="Times New Roman"/>
          <w:szCs w:val="24"/>
        </w:rPr>
        <w:t xml:space="preserve">of board members </w:t>
      </w:r>
      <w:r w:rsidRPr="00C73325">
        <w:rPr>
          <w:rFonts w:cs="Times New Roman"/>
          <w:szCs w:val="24"/>
        </w:rPr>
        <w:t>should be sufficient s</w:t>
      </w:r>
      <w:r w:rsidR="00320F73" w:rsidRPr="00C73325">
        <w:rPr>
          <w:rFonts w:cs="Times New Roman"/>
          <w:szCs w:val="24"/>
        </w:rPr>
        <w:t>uch that the business of the corporation can be carried out without any significant challenges.</w:t>
      </w:r>
      <w:r w:rsidRPr="00C73325">
        <w:rPr>
          <w:rFonts w:cs="Times New Roman"/>
          <w:szCs w:val="24"/>
        </w:rPr>
        <w:t xml:space="preserve"> </w:t>
      </w:r>
      <w:r w:rsidR="002620D2" w:rsidRPr="00C73325">
        <w:rPr>
          <w:rFonts w:cs="Times New Roman"/>
          <w:szCs w:val="24"/>
        </w:rPr>
        <w:t xml:space="preserve">According to the outcome hypothesis, larger boards are more effective in monitoring and controlling the opportunistic behaviours of management (i.e., </w:t>
      </w:r>
      <w:r w:rsidR="00F1415A">
        <w:rPr>
          <w:rFonts w:cs="Times New Roman"/>
          <w:szCs w:val="24"/>
        </w:rPr>
        <w:t xml:space="preserve">exploiting </w:t>
      </w:r>
      <w:r w:rsidR="002620D2" w:rsidRPr="00C73325">
        <w:rPr>
          <w:rFonts w:cs="Times New Roman"/>
          <w:szCs w:val="24"/>
        </w:rPr>
        <w:t>free cash flow</w:t>
      </w:r>
      <w:r w:rsidR="00F1415A">
        <w:rPr>
          <w:rFonts w:cs="Times New Roman"/>
          <w:szCs w:val="24"/>
        </w:rPr>
        <w:t>s for themselves</w:t>
      </w:r>
      <w:r w:rsidR="002620D2" w:rsidRPr="00C73325">
        <w:rPr>
          <w:rFonts w:cs="Times New Roman"/>
          <w:szCs w:val="24"/>
        </w:rPr>
        <w:t>), since larger boards are associated with more expertise and experience, which can minimise agency problems and increase firm performance, including dividend pay-out (</w:t>
      </w:r>
      <w:r w:rsidR="002620D2" w:rsidRPr="00F1415A">
        <w:rPr>
          <w:rFonts w:cs="Times New Roman"/>
          <w:szCs w:val="24"/>
        </w:rPr>
        <w:t xml:space="preserve">Ntim, 2011; Ntim et al., 2015a, b). By contrast, and based on the substitution hypothesis, larger boards are less effective in monitoring managerial opportunism, since they are often associated with more communication and co-ordination problems, and thereby poor </w:t>
      </w:r>
      <w:r w:rsidR="002620D2" w:rsidRPr="00F1415A">
        <w:rPr>
          <w:rFonts w:cs="Times New Roman"/>
          <w:szCs w:val="24"/>
        </w:rPr>
        <w:lastRenderedPageBreak/>
        <w:t xml:space="preserve">governance structures (Lipton &amp; </w:t>
      </w:r>
      <w:proofErr w:type="spellStart"/>
      <w:r w:rsidR="002620D2" w:rsidRPr="00F1415A">
        <w:rPr>
          <w:rFonts w:cs="Times New Roman"/>
          <w:szCs w:val="24"/>
        </w:rPr>
        <w:t>Lorsch</w:t>
      </w:r>
      <w:proofErr w:type="spellEnd"/>
      <w:r w:rsidR="002620D2" w:rsidRPr="00F1415A">
        <w:rPr>
          <w:rFonts w:cs="Times New Roman"/>
          <w:szCs w:val="24"/>
        </w:rPr>
        <w:t xml:space="preserve"> 1992; Jensen, 1993). As poor governance is often associated with larger boards, firms with larger boards are expected to pay higher dividends on average</w:t>
      </w:r>
      <w:r w:rsidR="00F1415A">
        <w:rPr>
          <w:rFonts w:cs="Times New Roman"/>
          <w:szCs w:val="24"/>
        </w:rPr>
        <w:t xml:space="preserve"> in order to compensate for their poor governance structures, such as poor managerial monitoring</w:t>
      </w:r>
      <w:r w:rsidR="002620D2" w:rsidRPr="00F1415A">
        <w:rPr>
          <w:rFonts w:cs="Times New Roman"/>
          <w:szCs w:val="24"/>
        </w:rPr>
        <w:t>.</w:t>
      </w:r>
    </w:p>
    <w:p w14:paraId="4CE4BE3C" w14:textId="2288F86C" w:rsidR="008D4155" w:rsidRPr="00C73325" w:rsidRDefault="00F66BC9" w:rsidP="00325272">
      <w:pPr>
        <w:spacing w:before="0" w:after="0" w:line="360" w:lineRule="auto"/>
        <w:ind w:firstLine="360"/>
        <w:rPr>
          <w:rFonts w:cs="Times New Roman"/>
          <w:szCs w:val="24"/>
        </w:rPr>
      </w:pPr>
      <w:r w:rsidRPr="00C73325">
        <w:rPr>
          <w:rFonts w:cs="Times New Roman"/>
          <w:szCs w:val="24"/>
        </w:rPr>
        <w:t xml:space="preserve">Empirically, studies examining the connection between board size and dividend </w:t>
      </w:r>
      <w:r w:rsidR="00CB4D86" w:rsidRPr="00C73325">
        <w:rPr>
          <w:rFonts w:cs="Times New Roman"/>
          <w:szCs w:val="24"/>
        </w:rPr>
        <w:t>pay-out</w:t>
      </w:r>
      <w:r w:rsidRPr="00FF6091">
        <w:rPr>
          <w:rFonts w:cs="Times New Roman"/>
          <w:szCs w:val="24"/>
        </w:rPr>
        <w:t xml:space="preserve"> policy are rare</w:t>
      </w:r>
      <w:r w:rsidR="00852FC1" w:rsidRPr="00C73325">
        <w:rPr>
          <w:rFonts w:cs="Times New Roman"/>
          <w:szCs w:val="24"/>
        </w:rPr>
        <w:t>,</w:t>
      </w:r>
      <w:r w:rsidRPr="00C73325">
        <w:rPr>
          <w:rFonts w:cs="Times New Roman"/>
          <w:szCs w:val="24"/>
        </w:rPr>
        <w:t xml:space="preserve"> and therefore offering good opportunity to contribute to the literature. The findings of past studies relating to the link between board size and dividend </w:t>
      </w:r>
      <w:r w:rsidR="00CB4D86" w:rsidRPr="00C73325">
        <w:rPr>
          <w:rFonts w:cs="Times New Roman"/>
          <w:szCs w:val="24"/>
        </w:rPr>
        <w:t>pay-out</w:t>
      </w:r>
      <w:r w:rsidRPr="00C73325">
        <w:rPr>
          <w:rFonts w:cs="Times New Roman"/>
          <w:szCs w:val="24"/>
        </w:rPr>
        <w:t xml:space="preserve"> policy are, however, observably mixed (e.g., Kiel &amp; Nicholson, 2003; </w:t>
      </w:r>
      <w:proofErr w:type="spellStart"/>
      <w:r w:rsidRPr="00C73325">
        <w:rPr>
          <w:rFonts w:cs="Times New Roman"/>
          <w:szCs w:val="24"/>
        </w:rPr>
        <w:t>Ozkan</w:t>
      </w:r>
      <w:proofErr w:type="spellEnd"/>
      <w:r w:rsidRPr="00C73325">
        <w:rPr>
          <w:rFonts w:cs="Times New Roman"/>
          <w:szCs w:val="24"/>
        </w:rPr>
        <w:t xml:space="preserve"> &amp; </w:t>
      </w:r>
      <w:proofErr w:type="spellStart"/>
      <w:r w:rsidRPr="00C73325">
        <w:rPr>
          <w:rFonts w:cs="Times New Roman"/>
          <w:szCs w:val="24"/>
        </w:rPr>
        <w:t>Mancinelli</w:t>
      </w:r>
      <w:proofErr w:type="spellEnd"/>
      <w:r w:rsidRPr="00C73325">
        <w:rPr>
          <w:rFonts w:cs="Times New Roman"/>
          <w:szCs w:val="24"/>
        </w:rPr>
        <w:t xml:space="preserve">, 2006; </w:t>
      </w:r>
      <w:proofErr w:type="spellStart"/>
      <w:r w:rsidRPr="00C73325">
        <w:rPr>
          <w:rFonts w:cs="Times New Roman"/>
          <w:szCs w:val="24"/>
        </w:rPr>
        <w:t>Litai</w:t>
      </w:r>
      <w:proofErr w:type="spellEnd"/>
      <w:r w:rsidRPr="00C73325">
        <w:rPr>
          <w:rFonts w:cs="Times New Roman"/>
          <w:szCs w:val="24"/>
        </w:rPr>
        <w:t xml:space="preserve"> et al., 2011; </w:t>
      </w:r>
      <w:proofErr w:type="spellStart"/>
      <w:r w:rsidRPr="00C73325">
        <w:rPr>
          <w:rFonts w:cs="Times New Roman"/>
          <w:szCs w:val="24"/>
        </w:rPr>
        <w:t>Ghasemi</w:t>
      </w:r>
      <w:proofErr w:type="spellEnd"/>
      <w:r w:rsidRPr="00C73325">
        <w:rPr>
          <w:rFonts w:cs="Times New Roman"/>
          <w:szCs w:val="24"/>
        </w:rPr>
        <w:t xml:space="preserve"> et al., 2013; </w:t>
      </w:r>
      <w:proofErr w:type="spellStart"/>
      <w:r w:rsidRPr="00C73325">
        <w:rPr>
          <w:rFonts w:cs="Times New Roman"/>
          <w:szCs w:val="24"/>
        </w:rPr>
        <w:t>Mansourinia</w:t>
      </w:r>
      <w:proofErr w:type="spellEnd"/>
      <w:r w:rsidRPr="00C73325">
        <w:rPr>
          <w:rFonts w:cs="Times New Roman"/>
          <w:szCs w:val="24"/>
        </w:rPr>
        <w:t xml:space="preserve"> et al., 2013). For example, </w:t>
      </w:r>
      <w:proofErr w:type="spellStart"/>
      <w:r w:rsidR="00806B0A" w:rsidRPr="00C73325">
        <w:rPr>
          <w:rFonts w:cs="Times New Roman"/>
          <w:szCs w:val="24"/>
        </w:rPr>
        <w:t>Ozkan</w:t>
      </w:r>
      <w:proofErr w:type="spellEnd"/>
      <w:r w:rsidR="00806B0A" w:rsidRPr="00C73325">
        <w:rPr>
          <w:rFonts w:cs="Times New Roman"/>
          <w:szCs w:val="24"/>
        </w:rPr>
        <w:t xml:space="preserve"> and</w:t>
      </w:r>
      <w:r w:rsidR="008D4155" w:rsidRPr="00C73325">
        <w:rPr>
          <w:rFonts w:cs="Times New Roman"/>
          <w:szCs w:val="24"/>
        </w:rPr>
        <w:t xml:space="preserve"> </w:t>
      </w:r>
      <w:proofErr w:type="spellStart"/>
      <w:r w:rsidR="008D4155" w:rsidRPr="00C73325">
        <w:rPr>
          <w:rFonts w:cs="Times New Roman"/>
          <w:szCs w:val="24"/>
        </w:rPr>
        <w:t>Mancinelli</w:t>
      </w:r>
      <w:proofErr w:type="spellEnd"/>
      <w:r w:rsidR="008D4155" w:rsidRPr="00C73325">
        <w:rPr>
          <w:rFonts w:cs="Times New Roman"/>
          <w:szCs w:val="24"/>
        </w:rPr>
        <w:t xml:space="preserve"> (2006)</w:t>
      </w:r>
      <w:r w:rsidR="00572B4D" w:rsidRPr="00C73325">
        <w:rPr>
          <w:rFonts w:cs="Times New Roman"/>
          <w:szCs w:val="24"/>
        </w:rPr>
        <w:t xml:space="preserve"> reported a different result which suggested that</w:t>
      </w:r>
      <w:r w:rsidR="008D4155" w:rsidRPr="00C73325">
        <w:rPr>
          <w:rFonts w:cs="Times New Roman"/>
          <w:szCs w:val="24"/>
        </w:rPr>
        <w:t xml:space="preserve"> </w:t>
      </w:r>
      <w:r w:rsidR="00572B4D" w:rsidRPr="00C73325">
        <w:rPr>
          <w:rFonts w:cs="Times New Roman"/>
          <w:szCs w:val="24"/>
        </w:rPr>
        <w:t xml:space="preserve">firms with </w:t>
      </w:r>
      <w:r w:rsidR="008D4155" w:rsidRPr="00C73325">
        <w:rPr>
          <w:rFonts w:cs="Times New Roman"/>
          <w:szCs w:val="24"/>
        </w:rPr>
        <w:t>larger board</w:t>
      </w:r>
      <w:r w:rsidR="00572B4D" w:rsidRPr="00C73325">
        <w:rPr>
          <w:rFonts w:cs="Times New Roman"/>
          <w:szCs w:val="24"/>
        </w:rPr>
        <w:t>s</w:t>
      </w:r>
      <w:r w:rsidR="008D4155" w:rsidRPr="00C73325">
        <w:rPr>
          <w:rFonts w:cs="Times New Roman"/>
          <w:szCs w:val="24"/>
        </w:rPr>
        <w:t xml:space="preserve"> </w:t>
      </w:r>
      <w:r w:rsidR="00572B4D" w:rsidRPr="00C73325">
        <w:rPr>
          <w:rFonts w:cs="Times New Roman"/>
          <w:szCs w:val="24"/>
        </w:rPr>
        <w:t>tend to be associated with greater managerial monitoring</w:t>
      </w:r>
      <w:r w:rsidR="00852FC1" w:rsidRPr="00C73325">
        <w:rPr>
          <w:rFonts w:cs="Times New Roman"/>
          <w:szCs w:val="24"/>
        </w:rPr>
        <w:t>,</w:t>
      </w:r>
      <w:r w:rsidR="00572B4D" w:rsidRPr="00C73325">
        <w:rPr>
          <w:rFonts w:cs="Times New Roman"/>
          <w:szCs w:val="24"/>
        </w:rPr>
        <w:t xml:space="preserve"> and thus lower levels of agency problems</w:t>
      </w:r>
      <w:r w:rsidR="008D4155" w:rsidRPr="00C73325">
        <w:rPr>
          <w:rFonts w:cs="Times New Roman"/>
          <w:szCs w:val="24"/>
        </w:rPr>
        <w:t xml:space="preserve">. </w:t>
      </w:r>
      <w:r w:rsidR="00801E44" w:rsidRPr="00C73325">
        <w:rPr>
          <w:rFonts w:cs="Times New Roman"/>
          <w:szCs w:val="24"/>
        </w:rPr>
        <w:t>Similarly,</w:t>
      </w:r>
      <w:r w:rsidR="008D4155" w:rsidRPr="00C73325">
        <w:rPr>
          <w:rFonts w:cs="Times New Roman"/>
          <w:szCs w:val="24"/>
        </w:rPr>
        <w:t xml:space="preserve"> </w:t>
      </w:r>
      <w:r w:rsidR="00801E44" w:rsidRPr="00C73325">
        <w:rPr>
          <w:rFonts w:cs="Times New Roman"/>
          <w:szCs w:val="24"/>
        </w:rPr>
        <w:t>the findings of</w:t>
      </w:r>
      <w:r w:rsidR="008D4155" w:rsidRPr="00C73325">
        <w:rPr>
          <w:rFonts w:cs="Times New Roman"/>
          <w:szCs w:val="24"/>
        </w:rPr>
        <w:t xml:space="preserve"> </w:t>
      </w:r>
      <w:proofErr w:type="spellStart"/>
      <w:r w:rsidR="00801E44" w:rsidRPr="00C73325">
        <w:rPr>
          <w:rFonts w:cs="Times New Roman"/>
          <w:szCs w:val="24"/>
        </w:rPr>
        <w:t>Mansourinia</w:t>
      </w:r>
      <w:proofErr w:type="spellEnd"/>
      <w:r w:rsidR="00801E44" w:rsidRPr="00C73325">
        <w:rPr>
          <w:rFonts w:cs="Times New Roman"/>
          <w:szCs w:val="24"/>
        </w:rPr>
        <w:t xml:space="preserve"> et al</w:t>
      </w:r>
      <w:r w:rsidR="00A85E29" w:rsidRPr="00C73325">
        <w:rPr>
          <w:rFonts w:cs="Times New Roman"/>
          <w:szCs w:val="24"/>
        </w:rPr>
        <w:t>.</w:t>
      </w:r>
      <w:r w:rsidR="00801E44" w:rsidRPr="00C73325">
        <w:rPr>
          <w:rFonts w:cs="Times New Roman"/>
          <w:szCs w:val="24"/>
        </w:rPr>
        <w:t xml:space="preserve"> (2013) </w:t>
      </w:r>
      <w:r w:rsidR="007F1760" w:rsidRPr="00C73325">
        <w:rPr>
          <w:rFonts w:cs="Times New Roman"/>
          <w:szCs w:val="24"/>
        </w:rPr>
        <w:t>suggested a</w:t>
      </w:r>
      <w:r w:rsidR="008D4155" w:rsidRPr="00C73325">
        <w:rPr>
          <w:rFonts w:cs="Times New Roman"/>
          <w:szCs w:val="24"/>
        </w:rPr>
        <w:t xml:space="preserve"> positive relationship between </w:t>
      </w:r>
      <w:r w:rsidR="007F1760" w:rsidRPr="00C73325">
        <w:rPr>
          <w:rFonts w:cs="Times New Roman"/>
          <w:szCs w:val="24"/>
        </w:rPr>
        <w:t>b</w:t>
      </w:r>
      <w:r w:rsidR="008D4155" w:rsidRPr="00C73325">
        <w:rPr>
          <w:rFonts w:cs="Times New Roman"/>
          <w:szCs w:val="24"/>
        </w:rPr>
        <w:t xml:space="preserve">oard </w:t>
      </w:r>
      <w:r w:rsidR="007F1760" w:rsidRPr="00C73325">
        <w:rPr>
          <w:rFonts w:cs="Times New Roman"/>
          <w:szCs w:val="24"/>
        </w:rPr>
        <w:t>s</w:t>
      </w:r>
      <w:r w:rsidR="008D4155" w:rsidRPr="00C73325">
        <w:rPr>
          <w:rFonts w:cs="Times New Roman"/>
          <w:szCs w:val="24"/>
        </w:rPr>
        <w:t xml:space="preserve">ize and dividend </w:t>
      </w:r>
      <w:r w:rsidR="00CB4D86" w:rsidRPr="00C73325">
        <w:rPr>
          <w:rFonts w:cs="Times New Roman"/>
          <w:szCs w:val="24"/>
        </w:rPr>
        <w:t>pay-out</w:t>
      </w:r>
      <w:r w:rsidR="008D4155" w:rsidRPr="00C73325">
        <w:rPr>
          <w:rFonts w:cs="Times New Roman"/>
          <w:szCs w:val="24"/>
        </w:rPr>
        <w:t xml:space="preserve"> policy. </w:t>
      </w:r>
      <w:r w:rsidR="007F1760" w:rsidRPr="00C73325">
        <w:rPr>
          <w:rFonts w:cs="Times New Roman"/>
          <w:szCs w:val="24"/>
        </w:rPr>
        <w:t>In addition,</w:t>
      </w:r>
      <w:r w:rsidR="008D4155" w:rsidRPr="00C73325">
        <w:rPr>
          <w:rFonts w:cs="Times New Roman"/>
          <w:szCs w:val="24"/>
        </w:rPr>
        <w:t xml:space="preserve"> Kiel and Nicholson (2003) </w:t>
      </w:r>
      <w:r w:rsidR="007F1760" w:rsidRPr="00C73325">
        <w:rPr>
          <w:rFonts w:cs="Times New Roman"/>
          <w:szCs w:val="24"/>
        </w:rPr>
        <w:t>reported a</w:t>
      </w:r>
      <w:r w:rsidR="008D4155" w:rsidRPr="00C73325">
        <w:rPr>
          <w:rFonts w:cs="Times New Roman"/>
          <w:szCs w:val="24"/>
        </w:rPr>
        <w:t xml:space="preserve"> positive impact of board size on </w:t>
      </w:r>
      <w:r w:rsidR="007F1760" w:rsidRPr="00C73325">
        <w:rPr>
          <w:rFonts w:cs="Times New Roman"/>
          <w:szCs w:val="24"/>
        </w:rPr>
        <w:t>d</w:t>
      </w:r>
      <w:r w:rsidR="008D4155" w:rsidRPr="00C73325">
        <w:rPr>
          <w:rFonts w:cs="Times New Roman"/>
          <w:szCs w:val="24"/>
        </w:rPr>
        <w:t xml:space="preserve">ividend </w:t>
      </w:r>
      <w:r w:rsidR="00CB4D86" w:rsidRPr="00C73325">
        <w:rPr>
          <w:rFonts w:cs="Times New Roman"/>
          <w:szCs w:val="24"/>
        </w:rPr>
        <w:t>pay-out</w:t>
      </w:r>
      <w:r w:rsidR="007F1760" w:rsidRPr="00C73325">
        <w:rPr>
          <w:rFonts w:cs="Times New Roman"/>
          <w:szCs w:val="24"/>
        </w:rPr>
        <w:t xml:space="preserve"> </w:t>
      </w:r>
      <w:r w:rsidR="008D4155" w:rsidRPr="00C73325">
        <w:rPr>
          <w:rFonts w:cs="Times New Roman"/>
          <w:szCs w:val="24"/>
        </w:rPr>
        <w:t xml:space="preserve">among </w:t>
      </w:r>
      <w:r w:rsidR="00F1415A">
        <w:rPr>
          <w:rFonts w:cs="Times New Roman"/>
          <w:szCs w:val="24"/>
        </w:rPr>
        <w:t xml:space="preserve">a </w:t>
      </w:r>
      <w:r w:rsidR="007F1760" w:rsidRPr="00C73325">
        <w:rPr>
          <w:rFonts w:cs="Times New Roman"/>
          <w:szCs w:val="24"/>
        </w:rPr>
        <w:t xml:space="preserve">sample of </w:t>
      </w:r>
      <w:r w:rsidR="008D4155" w:rsidRPr="00C73325">
        <w:rPr>
          <w:rFonts w:cs="Times New Roman"/>
          <w:szCs w:val="24"/>
        </w:rPr>
        <w:t xml:space="preserve">Australian companies. </w:t>
      </w:r>
      <w:r w:rsidR="007F1760" w:rsidRPr="00C73325">
        <w:rPr>
          <w:rFonts w:cs="Times New Roman"/>
          <w:szCs w:val="24"/>
        </w:rPr>
        <w:t xml:space="preserve">Further and using </w:t>
      </w:r>
      <w:r w:rsidR="008D4155" w:rsidRPr="00C73325">
        <w:rPr>
          <w:rFonts w:cs="Times New Roman"/>
          <w:szCs w:val="24"/>
        </w:rPr>
        <w:t>data from 1</w:t>
      </w:r>
      <w:r w:rsidR="00511C83">
        <w:rPr>
          <w:rFonts w:cs="Times New Roman"/>
          <w:szCs w:val="24"/>
        </w:rPr>
        <w:t>,</w:t>
      </w:r>
      <w:r w:rsidR="008D4155" w:rsidRPr="00C73325">
        <w:rPr>
          <w:rFonts w:cs="Times New Roman"/>
          <w:szCs w:val="24"/>
        </w:rPr>
        <w:t xml:space="preserve">056 A-share listed businesses in Shanghai and </w:t>
      </w:r>
      <w:proofErr w:type="spellStart"/>
      <w:r w:rsidR="008D4155" w:rsidRPr="00C73325">
        <w:rPr>
          <w:rFonts w:cs="Times New Roman"/>
          <w:szCs w:val="24"/>
        </w:rPr>
        <w:t>Shenzen</w:t>
      </w:r>
      <w:proofErr w:type="spellEnd"/>
      <w:r w:rsidR="008D4155" w:rsidRPr="00C73325">
        <w:rPr>
          <w:rFonts w:cs="Times New Roman"/>
          <w:szCs w:val="24"/>
        </w:rPr>
        <w:t xml:space="preserve"> stock exchange </w:t>
      </w:r>
      <w:r w:rsidR="00511C83">
        <w:rPr>
          <w:rFonts w:cs="Times New Roman"/>
          <w:szCs w:val="24"/>
        </w:rPr>
        <w:t>over a period of</w:t>
      </w:r>
      <w:r w:rsidR="008D4155" w:rsidRPr="00C73325">
        <w:rPr>
          <w:rFonts w:cs="Times New Roman"/>
          <w:szCs w:val="24"/>
        </w:rPr>
        <w:t xml:space="preserve"> 7 years (2001-2008), </w:t>
      </w:r>
      <w:proofErr w:type="spellStart"/>
      <w:r w:rsidR="007F1760" w:rsidRPr="00C73325">
        <w:rPr>
          <w:rFonts w:cs="Times New Roman"/>
          <w:szCs w:val="24"/>
        </w:rPr>
        <w:t>Litai</w:t>
      </w:r>
      <w:proofErr w:type="spellEnd"/>
      <w:r w:rsidR="007F1760" w:rsidRPr="00C73325">
        <w:rPr>
          <w:rFonts w:cs="Times New Roman"/>
          <w:szCs w:val="24"/>
        </w:rPr>
        <w:t xml:space="preserve"> et al (2011) </w:t>
      </w:r>
      <w:r w:rsidR="008D4155" w:rsidRPr="00C73325">
        <w:rPr>
          <w:rFonts w:cs="Times New Roman"/>
          <w:szCs w:val="24"/>
        </w:rPr>
        <w:t xml:space="preserve">found that the </w:t>
      </w:r>
      <w:r w:rsidR="007F1760" w:rsidRPr="00C73325">
        <w:rPr>
          <w:rFonts w:cs="Times New Roman"/>
          <w:szCs w:val="24"/>
        </w:rPr>
        <w:t>s</w:t>
      </w:r>
      <w:r w:rsidR="008D4155" w:rsidRPr="00C73325">
        <w:rPr>
          <w:rFonts w:cs="Times New Roman"/>
          <w:szCs w:val="24"/>
        </w:rPr>
        <w:t xml:space="preserve">ize of </w:t>
      </w:r>
      <w:r w:rsidR="00CE344D">
        <w:rPr>
          <w:rFonts w:cs="Times New Roman"/>
          <w:szCs w:val="24"/>
        </w:rPr>
        <w:t xml:space="preserve">a </w:t>
      </w:r>
      <w:r w:rsidR="007F1760" w:rsidRPr="00C73325">
        <w:rPr>
          <w:rFonts w:cs="Times New Roman"/>
          <w:szCs w:val="24"/>
        </w:rPr>
        <w:t>b</w:t>
      </w:r>
      <w:r w:rsidR="008D4155" w:rsidRPr="00C73325">
        <w:rPr>
          <w:rFonts w:cs="Times New Roman"/>
          <w:szCs w:val="24"/>
        </w:rPr>
        <w:t xml:space="preserve">oard is positively related to </w:t>
      </w:r>
      <w:r w:rsidR="007F1760" w:rsidRPr="00C73325">
        <w:rPr>
          <w:rFonts w:cs="Times New Roman"/>
          <w:szCs w:val="24"/>
        </w:rPr>
        <w:t xml:space="preserve">dividend </w:t>
      </w:r>
      <w:r w:rsidR="00CB4D86" w:rsidRPr="00C73325">
        <w:rPr>
          <w:rFonts w:cs="Times New Roman"/>
          <w:szCs w:val="24"/>
        </w:rPr>
        <w:t>pay-out</w:t>
      </w:r>
      <w:r w:rsidR="007F1760" w:rsidRPr="00C73325">
        <w:rPr>
          <w:rFonts w:cs="Times New Roman"/>
          <w:szCs w:val="24"/>
        </w:rPr>
        <w:t xml:space="preserve"> policy</w:t>
      </w:r>
      <w:r w:rsidR="008D4155" w:rsidRPr="00C73325">
        <w:rPr>
          <w:rFonts w:cs="Times New Roman"/>
          <w:szCs w:val="24"/>
        </w:rPr>
        <w:t>.</w:t>
      </w:r>
      <w:r w:rsidR="0076794E" w:rsidRPr="00C73325">
        <w:rPr>
          <w:rFonts w:cs="Times New Roman"/>
          <w:szCs w:val="24"/>
        </w:rPr>
        <w:t xml:space="preserve"> </w:t>
      </w:r>
    </w:p>
    <w:p w14:paraId="32A99EB5" w14:textId="12640CDA" w:rsidR="008D4155" w:rsidRPr="00C73325" w:rsidRDefault="007F1760" w:rsidP="00325272">
      <w:pPr>
        <w:spacing w:before="0" w:after="0" w:line="360" w:lineRule="auto"/>
        <w:ind w:firstLine="360"/>
        <w:rPr>
          <w:rFonts w:cs="Times New Roman"/>
          <w:szCs w:val="24"/>
        </w:rPr>
      </w:pPr>
      <w:r w:rsidRPr="00C73325">
        <w:rPr>
          <w:rFonts w:cs="Times New Roman"/>
          <w:szCs w:val="24"/>
        </w:rPr>
        <w:t xml:space="preserve">By contrast, other studies have reported a </w:t>
      </w:r>
      <w:r w:rsidR="00BF1CB6" w:rsidRPr="00C73325">
        <w:rPr>
          <w:rFonts w:cs="Times New Roman"/>
          <w:szCs w:val="24"/>
        </w:rPr>
        <w:t>negative</w:t>
      </w:r>
      <w:r w:rsidRPr="00C73325">
        <w:rPr>
          <w:rFonts w:cs="Times New Roman"/>
          <w:szCs w:val="24"/>
        </w:rPr>
        <w:t xml:space="preserve"> effect of board size on dividend </w:t>
      </w:r>
      <w:r w:rsidR="00855D30" w:rsidRPr="00C73325">
        <w:rPr>
          <w:rFonts w:cs="Times New Roman"/>
          <w:szCs w:val="24"/>
        </w:rPr>
        <w:t>pay-out</w:t>
      </w:r>
      <w:r w:rsidRPr="00C73325">
        <w:rPr>
          <w:rFonts w:cs="Times New Roman"/>
          <w:szCs w:val="24"/>
        </w:rPr>
        <w:t xml:space="preserve"> policy. For example, the findings of </w:t>
      </w:r>
      <w:proofErr w:type="spellStart"/>
      <w:r w:rsidRPr="00C73325">
        <w:rPr>
          <w:rFonts w:cs="Times New Roman"/>
          <w:szCs w:val="24"/>
        </w:rPr>
        <w:t>Ghasemi</w:t>
      </w:r>
      <w:proofErr w:type="spellEnd"/>
      <w:r w:rsidRPr="00C73325">
        <w:rPr>
          <w:rFonts w:cs="Times New Roman"/>
          <w:szCs w:val="24"/>
        </w:rPr>
        <w:t xml:space="preserve"> et al</w:t>
      </w:r>
      <w:r w:rsidR="00511C83">
        <w:rPr>
          <w:rFonts w:cs="Times New Roman"/>
          <w:szCs w:val="24"/>
        </w:rPr>
        <w:t>.</w:t>
      </w:r>
      <w:r w:rsidRPr="00C73325">
        <w:rPr>
          <w:rFonts w:cs="Times New Roman"/>
          <w:szCs w:val="24"/>
        </w:rPr>
        <w:t xml:space="preserve"> (2013) suggested</w:t>
      </w:r>
      <w:r w:rsidR="008D4155" w:rsidRPr="00C73325">
        <w:rPr>
          <w:rFonts w:cs="Times New Roman"/>
          <w:szCs w:val="24"/>
        </w:rPr>
        <w:t xml:space="preserve"> a negative and significant relationship between </w:t>
      </w:r>
      <w:r w:rsidR="00761BEE" w:rsidRPr="00C73325">
        <w:rPr>
          <w:rFonts w:cs="Times New Roman"/>
          <w:szCs w:val="24"/>
        </w:rPr>
        <w:t>b</w:t>
      </w:r>
      <w:r w:rsidR="008D4155" w:rsidRPr="00C73325">
        <w:rPr>
          <w:rFonts w:cs="Times New Roman"/>
          <w:szCs w:val="24"/>
        </w:rPr>
        <w:t xml:space="preserve">oard size and dividend </w:t>
      </w:r>
      <w:r w:rsidR="00CB4D86" w:rsidRPr="00C73325">
        <w:rPr>
          <w:rFonts w:cs="Times New Roman"/>
          <w:szCs w:val="24"/>
        </w:rPr>
        <w:t>pay-out</w:t>
      </w:r>
      <w:r w:rsidR="008D4155" w:rsidRPr="00C73325">
        <w:rPr>
          <w:rFonts w:cs="Times New Roman"/>
          <w:szCs w:val="24"/>
        </w:rPr>
        <w:t xml:space="preserve"> policy among 81 Iranian listed enterprises </w:t>
      </w:r>
      <w:r w:rsidR="00761BEE" w:rsidRPr="00C73325">
        <w:rPr>
          <w:rFonts w:cs="Times New Roman"/>
          <w:szCs w:val="24"/>
        </w:rPr>
        <w:t>o</w:t>
      </w:r>
      <w:r w:rsidR="008D4155" w:rsidRPr="00C73325">
        <w:rPr>
          <w:rFonts w:cs="Times New Roman"/>
          <w:szCs w:val="24"/>
        </w:rPr>
        <w:t xml:space="preserve">n </w:t>
      </w:r>
      <w:r w:rsidR="00761BEE" w:rsidRPr="00C73325">
        <w:rPr>
          <w:rFonts w:cs="Times New Roman"/>
          <w:szCs w:val="24"/>
        </w:rPr>
        <w:t xml:space="preserve">the </w:t>
      </w:r>
      <w:r w:rsidR="008D4155" w:rsidRPr="00C73325">
        <w:rPr>
          <w:rFonts w:cs="Times New Roman"/>
          <w:szCs w:val="24"/>
        </w:rPr>
        <w:t xml:space="preserve">Teheran Stock Exchange from 2005 to 2011. </w:t>
      </w:r>
      <w:r w:rsidR="00482443" w:rsidRPr="00C73325">
        <w:rPr>
          <w:rFonts w:cs="Times New Roman"/>
          <w:szCs w:val="24"/>
        </w:rPr>
        <w:t xml:space="preserve">This notwithstanding and given the overwhelming evidence of a positive effect of board size on dividend </w:t>
      </w:r>
      <w:r w:rsidR="00CB4D86" w:rsidRPr="00C73325">
        <w:rPr>
          <w:rFonts w:cs="Times New Roman"/>
          <w:szCs w:val="24"/>
        </w:rPr>
        <w:t>pay-out</w:t>
      </w:r>
      <w:r w:rsidR="00482443" w:rsidRPr="00C73325">
        <w:rPr>
          <w:rFonts w:cs="Times New Roman"/>
          <w:szCs w:val="24"/>
        </w:rPr>
        <w:t xml:space="preserve"> policy, our</w:t>
      </w:r>
      <w:r w:rsidR="008D4155" w:rsidRPr="00C73325">
        <w:rPr>
          <w:rFonts w:cs="Times New Roman"/>
          <w:szCs w:val="24"/>
        </w:rPr>
        <w:t xml:space="preserve"> first hypothesis </w:t>
      </w:r>
      <w:r w:rsidR="00482443" w:rsidRPr="00C73325">
        <w:rPr>
          <w:rFonts w:cs="Times New Roman"/>
          <w:szCs w:val="24"/>
        </w:rPr>
        <w:t>is that</w:t>
      </w:r>
      <w:r w:rsidR="008D4155" w:rsidRPr="00C73325">
        <w:rPr>
          <w:rFonts w:cs="Times New Roman"/>
          <w:szCs w:val="24"/>
        </w:rPr>
        <w:t xml:space="preserve">: </w:t>
      </w:r>
    </w:p>
    <w:p w14:paraId="303A472B" w14:textId="725DB7B2" w:rsidR="008D4155" w:rsidRPr="00C73325" w:rsidRDefault="00127067" w:rsidP="00D75850">
      <w:pPr>
        <w:spacing w:before="0" w:after="0"/>
        <w:ind w:left="720"/>
        <w:rPr>
          <w:rFonts w:cs="Times New Roman"/>
          <w:i/>
          <w:szCs w:val="24"/>
        </w:rPr>
      </w:pPr>
      <w:r w:rsidRPr="00C73325">
        <w:rPr>
          <w:rFonts w:cs="Times New Roman"/>
          <w:b/>
          <w:i/>
          <w:szCs w:val="24"/>
        </w:rPr>
        <w:t>H1</w:t>
      </w:r>
      <w:r w:rsidR="00D75850" w:rsidRPr="00C73325">
        <w:rPr>
          <w:rFonts w:cs="Times New Roman"/>
          <w:b/>
          <w:i/>
          <w:szCs w:val="24"/>
        </w:rPr>
        <w:t>:</w:t>
      </w:r>
      <w:r w:rsidRPr="00C73325">
        <w:rPr>
          <w:rFonts w:cs="Times New Roman"/>
          <w:i/>
          <w:szCs w:val="24"/>
        </w:rPr>
        <w:t xml:space="preserve"> </w:t>
      </w:r>
      <w:r w:rsidR="008D4155" w:rsidRPr="00C73325">
        <w:rPr>
          <w:rFonts w:cs="Times New Roman"/>
          <w:i/>
          <w:szCs w:val="24"/>
        </w:rPr>
        <w:t xml:space="preserve">There is a positive relationship between </w:t>
      </w:r>
      <w:r w:rsidR="00482443" w:rsidRPr="00C73325">
        <w:rPr>
          <w:rFonts w:cs="Times New Roman"/>
          <w:i/>
          <w:szCs w:val="24"/>
        </w:rPr>
        <w:t>b</w:t>
      </w:r>
      <w:r w:rsidR="008D4155" w:rsidRPr="00C73325">
        <w:rPr>
          <w:rFonts w:cs="Times New Roman"/>
          <w:i/>
          <w:szCs w:val="24"/>
        </w:rPr>
        <w:t xml:space="preserve">oard </w:t>
      </w:r>
      <w:r w:rsidR="00482443" w:rsidRPr="00C73325">
        <w:rPr>
          <w:rFonts w:cs="Times New Roman"/>
          <w:i/>
          <w:szCs w:val="24"/>
        </w:rPr>
        <w:t>s</w:t>
      </w:r>
      <w:r w:rsidR="008D4155" w:rsidRPr="00C73325">
        <w:rPr>
          <w:rFonts w:cs="Times New Roman"/>
          <w:i/>
          <w:szCs w:val="24"/>
        </w:rPr>
        <w:t xml:space="preserve">ize and </w:t>
      </w:r>
      <w:r w:rsidR="00482443" w:rsidRPr="00C73325">
        <w:rPr>
          <w:rFonts w:cs="Times New Roman"/>
          <w:i/>
          <w:szCs w:val="24"/>
        </w:rPr>
        <w:t xml:space="preserve">dividend </w:t>
      </w:r>
      <w:r w:rsidR="00CB4D86" w:rsidRPr="00C73325">
        <w:rPr>
          <w:rFonts w:cs="Times New Roman"/>
          <w:i/>
          <w:szCs w:val="24"/>
        </w:rPr>
        <w:t>pay-out</w:t>
      </w:r>
      <w:r w:rsidR="00482443" w:rsidRPr="00C73325">
        <w:rPr>
          <w:rFonts w:cs="Times New Roman"/>
          <w:i/>
          <w:szCs w:val="24"/>
        </w:rPr>
        <w:t xml:space="preserve"> rate</w:t>
      </w:r>
      <w:r w:rsidR="00D75850" w:rsidRPr="00C73325">
        <w:rPr>
          <w:rFonts w:cs="Times New Roman"/>
          <w:i/>
          <w:szCs w:val="24"/>
        </w:rPr>
        <w:t>.</w:t>
      </w:r>
    </w:p>
    <w:p w14:paraId="7274A3AA" w14:textId="77777777" w:rsidR="00D75850" w:rsidRPr="00C73325" w:rsidRDefault="00D75850" w:rsidP="00414CB6">
      <w:pPr>
        <w:spacing w:before="0" w:after="0"/>
        <w:ind w:firstLine="720"/>
        <w:rPr>
          <w:rFonts w:cs="Times New Roman"/>
          <w:i/>
          <w:szCs w:val="24"/>
        </w:rPr>
      </w:pPr>
    </w:p>
    <w:p w14:paraId="46C9060D" w14:textId="77E4469F" w:rsidR="00AF1345" w:rsidRPr="00C73325" w:rsidRDefault="00414CB6" w:rsidP="00127067">
      <w:pPr>
        <w:pStyle w:val="Heading2"/>
        <w:rPr>
          <w:b/>
          <w:color w:val="auto"/>
        </w:rPr>
      </w:pPr>
      <w:r w:rsidRPr="00C73325">
        <w:rPr>
          <w:b/>
          <w:color w:val="auto"/>
        </w:rPr>
        <w:t xml:space="preserve">4.2 </w:t>
      </w:r>
      <w:r w:rsidR="00AF1345" w:rsidRPr="00C73325">
        <w:rPr>
          <w:b/>
          <w:color w:val="auto"/>
        </w:rPr>
        <w:t xml:space="preserve">Board </w:t>
      </w:r>
      <w:r w:rsidRPr="00C73325">
        <w:rPr>
          <w:b/>
          <w:color w:val="auto"/>
        </w:rPr>
        <w:t>i</w:t>
      </w:r>
      <w:r w:rsidR="00AF1345" w:rsidRPr="00C73325">
        <w:rPr>
          <w:b/>
          <w:color w:val="auto"/>
        </w:rPr>
        <w:t>ndependen</w:t>
      </w:r>
      <w:r w:rsidRPr="00C73325">
        <w:rPr>
          <w:b/>
          <w:color w:val="auto"/>
        </w:rPr>
        <w:t>ce and dividend policy</w:t>
      </w:r>
      <w:r w:rsidR="00AF1345" w:rsidRPr="00C73325">
        <w:rPr>
          <w:b/>
          <w:color w:val="auto"/>
        </w:rPr>
        <w:t xml:space="preserve"> </w:t>
      </w:r>
    </w:p>
    <w:p w14:paraId="1D2D7E83" w14:textId="185E3C87" w:rsidR="00B700E9" w:rsidRPr="00C73325" w:rsidRDefault="00B700E9" w:rsidP="00325272">
      <w:pPr>
        <w:spacing w:after="0" w:line="360" w:lineRule="auto"/>
        <w:ind w:firstLine="360"/>
        <w:rPr>
          <w:rFonts w:eastAsia="Times New Roman" w:cs="Times New Roman"/>
          <w:szCs w:val="24"/>
          <w:shd w:val="clear" w:color="auto" w:fill="FFFFFF"/>
        </w:rPr>
      </w:pPr>
      <w:r w:rsidRPr="00C73325">
        <w:rPr>
          <w:rFonts w:cs="Times New Roman"/>
          <w:szCs w:val="24"/>
        </w:rPr>
        <w:t>The outcome hypothesis</w:t>
      </w:r>
      <w:r w:rsidR="00CF101D" w:rsidRPr="00C73325">
        <w:rPr>
          <w:rFonts w:cs="Times New Roman"/>
          <w:szCs w:val="24"/>
        </w:rPr>
        <w:t xml:space="preserve"> suggests that the presence of outside directors has an important influence on board effectiveness, since they have more </w:t>
      </w:r>
      <w:r w:rsidR="00186CC0" w:rsidRPr="00C73325">
        <w:rPr>
          <w:rFonts w:cs="Times New Roman"/>
          <w:szCs w:val="24"/>
        </w:rPr>
        <w:t>power</w:t>
      </w:r>
      <w:r w:rsidR="00CF101D" w:rsidRPr="00C73325">
        <w:rPr>
          <w:rFonts w:cs="Times New Roman"/>
          <w:szCs w:val="24"/>
        </w:rPr>
        <w:t xml:space="preserve"> to protect shareholder wealth in the form of dividend </w:t>
      </w:r>
      <w:r w:rsidR="00CB4D86" w:rsidRPr="00C73325">
        <w:rPr>
          <w:rFonts w:cs="Times New Roman"/>
          <w:szCs w:val="24"/>
        </w:rPr>
        <w:t>pay-out</w:t>
      </w:r>
      <w:r w:rsidR="00CF101D" w:rsidRPr="00C73325">
        <w:rPr>
          <w:rFonts w:cs="Times New Roman"/>
          <w:szCs w:val="24"/>
        </w:rPr>
        <w:t xml:space="preserve"> </w:t>
      </w:r>
      <w:r w:rsidR="00D72963" w:rsidRPr="00C73325">
        <w:rPr>
          <w:rFonts w:cs="Times New Roman"/>
          <w:szCs w:val="24"/>
        </w:rPr>
        <w:t>(Al-</w:t>
      </w:r>
      <w:proofErr w:type="spellStart"/>
      <w:r w:rsidR="00D72963" w:rsidRPr="00C73325">
        <w:rPr>
          <w:rFonts w:cs="Times New Roman"/>
          <w:szCs w:val="24"/>
        </w:rPr>
        <w:t>Najjar</w:t>
      </w:r>
      <w:proofErr w:type="spellEnd"/>
      <w:r w:rsidR="00D72963" w:rsidRPr="00C73325">
        <w:rPr>
          <w:rFonts w:cs="Times New Roman"/>
          <w:szCs w:val="24"/>
        </w:rPr>
        <w:t xml:space="preserve"> &amp; </w:t>
      </w:r>
      <w:proofErr w:type="spellStart"/>
      <w:r w:rsidR="00D72963" w:rsidRPr="00C73325">
        <w:rPr>
          <w:rFonts w:cs="Times New Roman"/>
          <w:szCs w:val="24"/>
        </w:rPr>
        <w:t>Hussainey</w:t>
      </w:r>
      <w:proofErr w:type="spellEnd"/>
      <w:r w:rsidR="00D72963" w:rsidRPr="00C73325">
        <w:rPr>
          <w:rFonts w:cs="Times New Roman"/>
          <w:szCs w:val="24"/>
        </w:rPr>
        <w:t>, 2009</w:t>
      </w:r>
      <w:r w:rsidR="00317598" w:rsidRPr="00C73325">
        <w:rPr>
          <w:rFonts w:cs="Times New Roman"/>
          <w:szCs w:val="24"/>
        </w:rPr>
        <w:t xml:space="preserve">; </w:t>
      </w:r>
      <w:r w:rsidR="00317598" w:rsidRPr="00C73325">
        <w:rPr>
          <w:rFonts w:eastAsia="Times New Roman" w:cs="Times New Roman"/>
          <w:szCs w:val="24"/>
          <w:shd w:val="clear" w:color="auto" w:fill="FFFFFF"/>
        </w:rPr>
        <w:t>Hu &amp; Kumar 2004</w:t>
      </w:r>
      <w:r w:rsidR="00870D5C">
        <w:rPr>
          <w:rFonts w:eastAsia="Times New Roman" w:cs="Times New Roman"/>
          <w:szCs w:val="24"/>
          <w:shd w:val="clear" w:color="auto" w:fill="FFFFFF"/>
        </w:rPr>
        <w:t>; Ntim, 2011</w:t>
      </w:r>
      <w:r w:rsidR="00317598" w:rsidRPr="00C73325">
        <w:rPr>
          <w:rFonts w:eastAsia="Times New Roman" w:cs="Times New Roman"/>
          <w:szCs w:val="24"/>
          <w:shd w:val="clear" w:color="auto" w:fill="FFFFFF"/>
        </w:rPr>
        <w:t xml:space="preserve">). Additionally, </w:t>
      </w:r>
      <w:r w:rsidR="00DC0916" w:rsidRPr="00C73325">
        <w:rPr>
          <w:rFonts w:eastAsia="Times New Roman" w:cs="Times New Roman"/>
          <w:szCs w:val="24"/>
          <w:shd w:val="clear" w:color="auto" w:fill="FFFFFF"/>
        </w:rPr>
        <w:t>outside directors are suggested to hav</w:t>
      </w:r>
      <w:r w:rsidR="00186CC0" w:rsidRPr="00C73325">
        <w:rPr>
          <w:rFonts w:eastAsia="Times New Roman" w:cs="Times New Roman"/>
          <w:szCs w:val="24"/>
          <w:shd w:val="clear" w:color="auto" w:fill="FFFFFF"/>
        </w:rPr>
        <w:t>e strong</w:t>
      </w:r>
      <w:r w:rsidR="00DC0916" w:rsidRPr="00C73325">
        <w:rPr>
          <w:rFonts w:eastAsia="Times New Roman" w:cs="Times New Roman"/>
          <w:szCs w:val="24"/>
          <w:shd w:val="clear" w:color="auto" w:fill="FFFFFF"/>
        </w:rPr>
        <w:t xml:space="preserve"> incentive to monitor and control managers’ </w:t>
      </w:r>
      <w:r w:rsidR="004B60F1" w:rsidRPr="00C73325">
        <w:rPr>
          <w:rFonts w:eastAsia="Times New Roman" w:cs="Times New Roman"/>
          <w:szCs w:val="24"/>
          <w:shd w:val="clear" w:color="auto" w:fill="FFFFFF"/>
        </w:rPr>
        <w:t xml:space="preserve">opportunistic </w:t>
      </w:r>
      <w:r w:rsidR="00DC0916" w:rsidRPr="00C73325">
        <w:rPr>
          <w:rFonts w:eastAsia="Times New Roman" w:cs="Times New Roman"/>
          <w:szCs w:val="24"/>
          <w:shd w:val="clear" w:color="auto" w:fill="FFFFFF"/>
        </w:rPr>
        <w:t xml:space="preserve">behaviour in order to </w:t>
      </w:r>
      <w:r w:rsidR="007C1133" w:rsidRPr="00C73325">
        <w:rPr>
          <w:rFonts w:eastAsia="Times New Roman" w:cs="Times New Roman"/>
          <w:szCs w:val="24"/>
          <w:shd w:val="clear" w:color="auto" w:fill="FFFFFF"/>
        </w:rPr>
        <w:t>enhance</w:t>
      </w:r>
      <w:r w:rsidR="00DC0916" w:rsidRPr="00C73325">
        <w:rPr>
          <w:rFonts w:eastAsia="Times New Roman" w:cs="Times New Roman"/>
          <w:szCs w:val="24"/>
          <w:shd w:val="clear" w:color="auto" w:fill="FFFFFF"/>
        </w:rPr>
        <w:t xml:space="preserve"> </w:t>
      </w:r>
      <w:r w:rsidR="007C1133" w:rsidRPr="00C73325">
        <w:rPr>
          <w:rFonts w:eastAsia="Times New Roman" w:cs="Times New Roman"/>
          <w:szCs w:val="24"/>
          <w:shd w:val="clear" w:color="auto" w:fill="FFFFFF"/>
        </w:rPr>
        <w:t>their</w:t>
      </w:r>
      <w:r w:rsidR="00DC0916" w:rsidRPr="00C73325">
        <w:rPr>
          <w:rFonts w:eastAsia="Times New Roman" w:cs="Times New Roman"/>
          <w:szCs w:val="24"/>
          <w:shd w:val="clear" w:color="auto" w:fill="FFFFFF"/>
        </w:rPr>
        <w:t xml:space="preserve"> reputation and image in the labour market </w:t>
      </w:r>
      <w:r w:rsidR="007C1133" w:rsidRPr="00C73325">
        <w:rPr>
          <w:rFonts w:eastAsia="Times New Roman" w:cs="Times New Roman"/>
          <w:szCs w:val="24"/>
          <w:shd w:val="clear" w:color="auto" w:fill="FFFFFF"/>
        </w:rPr>
        <w:t>(</w:t>
      </w:r>
      <w:proofErr w:type="spellStart"/>
      <w:r w:rsidR="00A95D6E" w:rsidRPr="00C73325">
        <w:rPr>
          <w:rFonts w:cs="Times New Roman"/>
          <w:szCs w:val="24"/>
          <w:lang w:val="en-US"/>
        </w:rPr>
        <w:t>Borokhovich</w:t>
      </w:r>
      <w:proofErr w:type="spellEnd"/>
      <w:r w:rsidR="00A95D6E" w:rsidRPr="00C73325">
        <w:rPr>
          <w:rFonts w:eastAsia="Times New Roman" w:cs="Times New Roman"/>
          <w:szCs w:val="24"/>
          <w:shd w:val="clear" w:color="auto" w:fill="FFFFFF"/>
        </w:rPr>
        <w:t xml:space="preserve"> et al., 2005</w:t>
      </w:r>
      <w:r w:rsidR="007C1133" w:rsidRPr="00C73325">
        <w:rPr>
          <w:rFonts w:eastAsia="Times New Roman" w:cs="Times New Roman"/>
          <w:szCs w:val="24"/>
          <w:shd w:val="clear" w:color="auto" w:fill="FFFFFF"/>
        </w:rPr>
        <w:t>)</w:t>
      </w:r>
      <w:r w:rsidR="0021647A" w:rsidRPr="00C73325">
        <w:rPr>
          <w:rFonts w:eastAsia="Times New Roman" w:cs="Times New Roman"/>
          <w:szCs w:val="24"/>
          <w:shd w:val="clear" w:color="auto" w:fill="FFFFFF"/>
        </w:rPr>
        <w:t xml:space="preserve">. </w:t>
      </w:r>
      <w:r w:rsidRPr="00C73325">
        <w:rPr>
          <w:rFonts w:eastAsia="Times New Roman" w:cs="Times New Roman"/>
          <w:szCs w:val="24"/>
          <w:shd w:val="clear" w:color="auto" w:fill="FFFFFF"/>
        </w:rPr>
        <w:t xml:space="preserve">By contrast, and </w:t>
      </w:r>
      <w:r w:rsidRPr="00450D70">
        <w:rPr>
          <w:rFonts w:eastAsia="Times New Roman" w:cs="Times New Roman"/>
          <w:szCs w:val="24"/>
          <w:shd w:val="clear" w:color="auto" w:fill="FFFFFF"/>
        </w:rPr>
        <w:t xml:space="preserve">based on the substitute hypothesis, dividends help in mitigating agency conflicts, particularly in firms with poor governance </w:t>
      </w:r>
      <w:r w:rsidRPr="00450D70">
        <w:rPr>
          <w:rFonts w:eastAsia="Times New Roman" w:cs="Times New Roman"/>
          <w:szCs w:val="24"/>
          <w:shd w:val="clear" w:color="auto" w:fill="FFFFFF"/>
        </w:rPr>
        <w:lastRenderedPageBreak/>
        <w:t>practices, since dividends pay-out reduces the free cash flow available to managers (Easterbrook, 1984</w:t>
      </w:r>
      <w:r w:rsidR="00823919">
        <w:rPr>
          <w:rFonts w:eastAsia="Times New Roman" w:cs="Times New Roman"/>
          <w:szCs w:val="24"/>
          <w:shd w:val="clear" w:color="auto" w:fill="FFFFFF"/>
        </w:rPr>
        <w:t>).</w:t>
      </w:r>
    </w:p>
    <w:p w14:paraId="0C8DD289" w14:textId="41554EAA" w:rsidR="000D543E" w:rsidRPr="00C73325" w:rsidRDefault="003B2267" w:rsidP="00B700E9">
      <w:pPr>
        <w:spacing w:before="0" w:after="0" w:line="360" w:lineRule="auto"/>
        <w:ind w:firstLine="360"/>
        <w:rPr>
          <w:rFonts w:cs="Times New Roman"/>
          <w:szCs w:val="24"/>
        </w:rPr>
      </w:pPr>
      <w:r w:rsidRPr="00FF6091">
        <w:rPr>
          <w:rFonts w:cs="Times New Roman"/>
          <w:szCs w:val="24"/>
        </w:rPr>
        <w:t xml:space="preserve">The empirical evidence of the impact of outside directors on dividend </w:t>
      </w:r>
      <w:r w:rsidR="00CB4D86" w:rsidRPr="00FF6091">
        <w:rPr>
          <w:rFonts w:cs="Times New Roman"/>
          <w:szCs w:val="24"/>
        </w:rPr>
        <w:t>pay-out</w:t>
      </w:r>
      <w:r w:rsidRPr="00C73325">
        <w:rPr>
          <w:rFonts w:cs="Times New Roman"/>
          <w:szCs w:val="24"/>
        </w:rPr>
        <w:t xml:space="preserve"> policy is rare, and thus this study provides a</w:t>
      </w:r>
      <w:r w:rsidR="00B23E3C" w:rsidRPr="00C73325">
        <w:rPr>
          <w:rFonts w:cs="Times New Roman"/>
          <w:szCs w:val="24"/>
        </w:rPr>
        <w:t xml:space="preserve">n opportunity to make a new </w:t>
      </w:r>
      <w:r w:rsidRPr="00C73325">
        <w:rPr>
          <w:rFonts w:cs="Times New Roman"/>
          <w:szCs w:val="24"/>
        </w:rPr>
        <w:t>contribut</w:t>
      </w:r>
      <w:r w:rsidR="00B23E3C" w:rsidRPr="00C73325">
        <w:rPr>
          <w:rFonts w:cs="Times New Roman"/>
          <w:szCs w:val="24"/>
        </w:rPr>
        <w:t>ion</w:t>
      </w:r>
      <w:r w:rsidR="00503F9F" w:rsidRPr="00C73325">
        <w:rPr>
          <w:rFonts w:cs="Times New Roman"/>
          <w:szCs w:val="24"/>
        </w:rPr>
        <w:t xml:space="preserve"> to the extant literature. For example, consistent with past studies (</w:t>
      </w:r>
      <w:proofErr w:type="spellStart"/>
      <w:r w:rsidR="00E039D1" w:rsidRPr="00C73325">
        <w:rPr>
          <w:rFonts w:cs="Times New Roman"/>
          <w:szCs w:val="24"/>
        </w:rPr>
        <w:t>Borokhovich</w:t>
      </w:r>
      <w:proofErr w:type="spellEnd"/>
      <w:r w:rsidR="00E039D1" w:rsidRPr="00C73325">
        <w:rPr>
          <w:rFonts w:cs="Times New Roman"/>
          <w:szCs w:val="24"/>
        </w:rPr>
        <w:t xml:space="preserve"> et al., </w:t>
      </w:r>
      <w:r w:rsidR="009F554A" w:rsidRPr="00C73325">
        <w:rPr>
          <w:rFonts w:cs="Times New Roman"/>
          <w:szCs w:val="24"/>
        </w:rPr>
        <w:t>2005;</w:t>
      </w:r>
      <w:r w:rsidR="00503F9F" w:rsidRPr="00C73325">
        <w:rPr>
          <w:rFonts w:cs="Times New Roman"/>
          <w:szCs w:val="24"/>
        </w:rPr>
        <w:t xml:space="preserve"> Iqbal, 2013; </w:t>
      </w:r>
      <w:proofErr w:type="spellStart"/>
      <w:r w:rsidR="00E039D1" w:rsidRPr="00C73325">
        <w:rPr>
          <w:rFonts w:cs="Times New Roman"/>
          <w:szCs w:val="24"/>
        </w:rPr>
        <w:t>Mansourinia</w:t>
      </w:r>
      <w:proofErr w:type="spellEnd"/>
      <w:r w:rsidR="00E039D1" w:rsidRPr="00C73325">
        <w:rPr>
          <w:rFonts w:cs="Times New Roman"/>
          <w:szCs w:val="24"/>
        </w:rPr>
        <w:t xml:space="preserve"> et al.</w:t>
      </w:r>
      <w:r w:rsidR="00CD1578">
        <w:rPr>
          <w:rFonts w:cs="Times New Roman"/>
          <w:szCs w:val="24"/>
        </w:rPr>
        <w:t>,</w:t>
      </w:r>
      <w:r w:rsidR="00E039D1" w:rsidRPr="00C73325">
        <w:rPr>
          <w:rFonts w:cs="Times New Roman"/>
          <w:szCs w:val="24"/>
        </w:rPr>
        <w:t xml:space="preserve"> 2013; </w:t>
      </w:r>
      <w:r w:rsidR="00503F9F" w:rsidRPr="00C73325">
        <w:rPr>
          <w:rFonts w:cs="Times New Roman"/>
          <w:szCs w:val="24"/>
        </w:rPr>
        <w:t>La-Porta et al</w:t>
      </w:r>
      <w:r w:rsidR="0096095F" w:rsidRPr="00C73325">
        <w:rPr>
          <w:rFonts w:cs="Times New Roman"/>
          <w:szCs w:val="24"/>
        </w:rPr>
        <w:t>.</w:t>
      </w:r>
      <w:r w:rsidR="00503F9F" w:rsidRPr="00C73325">
        <w:rPr>
          <w:rFonts w:cs="Times New Roman"/>
          <w:szCs w:val="24"/>
        </w:rPr>
        <w:t>, 2000)</w:t>
      </w:r>
      <w:r w:rsidR="00E039D1" w:rsidRPr="00C73325">
        <w:rPr>
          <w:rFonts w:cs="Times New Roman"/>
          <w:szCs w:val="24"/>
        </w:rPr>
        <w:t xml:space="preserve">, Abor and </w:t>
      </w:r>
      <w:proofErr w:type="spellStart"/>
      <w:r w:rsidR="00E039D1" w:rsidRPr="00C73325">
        <w:rPr>
          <w:rFonts w:cs="Times New Roman"/>
          <w:szCs w:val="24"/>
        </w:rPr>
        <w:t>Fiador</w:t>
      </w:r>
      <w:proofErr w:type="spellEnd"/>
      <w:r w:rsidR="00E039D1" w:rsidRPr="00C73325">
        <w:rPr>
          <w:rFonts w:cs="Times New Roman"/>
          <w:szCs w:val="24"/>
        </w:rPr>
        <w:t xml:space="preserve"> (2013) find a negative relationship between the presence of outside directors and dividend </w:t>
      </w:r>
      <w:r w:rsidR="00CB4D86" w:rsidRPr="00C73325">
        <w:rPr>
          <w:rFonts w:cs="Times New Roman"/>
          <w:szCs w:val="24"/>
        </w:rPr>
        <w:t>pay-out</w:t>
      </w:r>
      <w:r w:rsidR="00E039D1" w:rsidRPr="00C73325">
        <w:rPr>
          <w:rFonts w:cs="Times New Roman"/>
          <w:szCs w:val="24"/>
        </w:rPr>
        <w:t xml:space="preserve"> policy for a sample of 177 </w:t>
      </w:r>
      <w:r w:rsidR="000D543E" w:rsidRPr="00C73325">
        <w:rPr>
          <w:rFonts w:cs="Times New Roman"/>
          <w:szCs w:val="24"/>
        </w:rPr>
        <w:t>Nigerian firms. Within the UK corporate context</w:t>
      </w:r>
      <w:r w:rsidR="00B23E3C" w:rsidRPr="00C73325">
        <w:rPr>
          <w:rFonts w:cs="Times New Roman"/>
          <w:szCs w:val="24"/>
        </w:rPr>
        <w:t>,</w:t>
      </w:r>
      <w:r w:rsidR="000D543E" w:rsidRPr="00C73325">
        <w:rPr>
          <w:rFonts w:cs="Times New Roman"/>
          <w:szCs w:val="24"/>
        </w:rPr>
        <w:t xml:space="preserve"> Al-</w:t>
      </w:r>
      <w:proofErr w:type="spellStart"/>
      <w:r w:rsidR="000D543E" w:rsidRPr="00C73325">
        <w:rPr>
          <w:rFonts w:cs="Times New Roman"/>
          <w:szCs w:val="24"/>
        </w:rPr>
        <w:t>Najjar</w:t>
      </w:r>
      <w:proofErr w:type="spellEnd"/>
      <w:r w:rsidR="000D543E" w:rsidRPr="00C73325">
        <w:rPr>
          <w:rFonts w:cs="Times New Roman"/>
          <w:szCs w:val="24"/>
        </w:rPr>
        <w:t xml:space="preserve"> and </w:t>
      </w:r>
      <w:proofErr w:type="spellStart"/>
      <w:r w:rsidR="000D543E" w:rsidRPr="00C73325">
        <w:rPr>
          <w:rFonts w:cs="Times New Roman"/>
          <w:szCs w:val="24"/>
        </w:rPr>
        <w:t>Hussainey</w:t>
      </w:r>
      <w:proofErr w:type="spellEnd"/>
      <w:r w:rsidR="000D543E" w:rsidRPr="00C73325">
        <w:rPr>
          <w:rFonts w:cs="Times New Roman"/>
          <w:szCs w:val="24"/>
        </w:rPr>
        <w:t xml:space="preserve"> (2009) report empirical evidence of a statistically negative association between the number of outside directors and dividend </w:t>
      </w:r>
      <w:r w:rsidR="00CB4D86" w:rsidRPr="00C73325">
        <w:rPr>
          <w:rFonts w:cs="Times New Roman"/>
          <w:szCs w:val="24"/>
        </w:rPr>
        <w:t>pay-out</w:t>
      </w:r>
      <w:r w:rsidR="000D543E" w:rsidRPr="00C73325">
        <w:rPr>
          <w:rFonts w:cs="Times New Roman"/>
          <w:szCs w:val="24"/>
        </w:rPr>
        <w:t xml:space="preserve"> among 400 non-financial firms. F</w:t>
      </w:r>
      <w:r w:rsidR="0003224C" w:rsidRPr="00C73325">
        <w:rPr>
          <w:rFonts w:cs="Times New Roman"/>
          <w:szCs w:val="24"/>
        </w:rPr>
        <w:t>r</w:t>
      </w:r>
      <w:r w:rsidR="000D543E" w:rsidRPr="00C73325">
        <w:rPr>
          <w:rFonts w:cs="Times New Roman"/>
          <w:szCs w:val="24"/>
        </w:rPr>
        <w:t>o</w:t>
      </w:r>
      <w:r w:rsidR="0003224C" w:rsidRPr="00C73325">
        <w:rPr>
          <w:rFonts w:cs="Times New Roman"/>
          <w:szCs w:val="24"/>
        </w:rPr>
        <w:t>m a</w:t>
      </w:r>
      <w:r w:rsidR="000D543E" w:rsidRPr="00C73325">
        <w:rPr>
          <w:rFonts w:cs="Times New Roman"/>
          <w:szCs w:val="24"/>
        </w:rPr>
        <w:t xml:space="preserve"> regulatory perspective, the </w:t>
      </w:r>
      <w:r w:rsidR="0003224C" w:rsidRPr="00C73325">
        <w:rPr>
          <w:rFonts w:cs="Times New Roman"/>
          <w:szCs w:val="24"/>
        </w:rPr>
        <w:t xml:space="preserve">various </w:t>
      </w:r>
      <w:r w:rsidR="000D543E" w:rsidRPr="00C73325">
        <w:rPr>
          <w:rFonts w:cs="Times New Roman"/>
          <w:szCs w:val="24"/>
        </w:rPr>
        <w:t xml:space="preserve">UK </w:t>
      </w:r>
      <w:r w:rsidR="0022681F">
        <w:rPr>
          <w:rFonts w:cs="Times New Roman"/>
          <w:szCs w:val="24"/>
        </w:rPr>
        <w:t>corporate governance</w:t>
      </w:r>
      <w:r w:rsidR="000D543E" w:rsidRPr="00C73325">
        <w:rPr>
          <w:rFonts w:cs="Times New Roman"/>
          <w:szCs w:val="24"/>
        </w:rPr>
        <w:t xml:space="preserve"> </w:t>
      </w:r>
      <w:r w:rsidR="0003224C" w:rsidRPr="00C73325">
        <w:rPr>
          <w:rFonts w:cs="Times New Roman"/>
          <w:szCs w:val="24"/>
        </w:rPr>
        <w:t>C</w:t>
      </w:r>
      <w:r w:rsidR="000D543E" w:rsidRPr="00C73325">
        <w:rPr>
          <w:rFonts w:cs="Times New Roman"/>
          <w:szCs w:val="24"/>
        </w:rPr>
        <w:t xml:space="preserve">odes (e.g., Cadbury Report, 1992; and Combined Code, 2010) recommend that the majority of boards’ members should be outside directors. This suggests that increasing the proportion of outside directors is considered as an important </w:t>
      </w:r>
      <w:r w:rsidR="0022681F">
        <w:rPr>
          <w:rFonts w:cs="Times New Roman"/>
          <w:szCs w:val="24"/>
        </w:rPr>
        <w:t>corporate governance</w:t>
      </w:r>
      <w:r w:rsidR="0022681F" w:rsidRPr="00C73325">
        <w:rPr>
          <w:rFonts w:cs="Times New Roman"/>
          <w:szCs w:val="24"/>
        </w:rPr>
        <w:t xml:space="preserve"> </w:t>
      </w:r>
      <w:r w:rsidR="000D543E" w:rsidRPr="00C73325">
        <w:rPr>
          <w:rFonts w:cs="Times New Roman"/>
          <w:szCs w:val="24"/>
        </w:rPr>
        <w:t>mechanism</w:t>
      </w:r>
      <w:r w:rsidR="002A5096" w:rsidRPr="00C73325">
        <w:rPr>
          <w:rFonts w:cs="Times New Roman"/>
          <w:szCs w:val="24"/>
        </w:rPr>
        <w:t>,</w:t>
      </w:r>
      <w:r w:rsidR="00B700E9" w:rsidRPr="00C73325">
        <w:rPr>
          <w:rFonts w:cs="Times New Roman"/>
          <w:szCs w:val="24"/>
        </w:rPr>
        <w:t xml:space="preserve"> which reduce the need to pay larger dividends</w:t>
      </w:r>
      <w:r w:rsidR="000D543E" w:rsidRPr="00C73325">
        <w:rPr>
          <w:rFonts w:cs="Times New Roman"/>
          <w:szCs w:val="24"/>
        </w:rPr>
        <w:t>. Thus, our second hypothesis to be tested is that:</w:t>
      </w:r>
    </w:p>
    <w:p w14:paraId="40B0E139" w14:textId="56584B4B" w:rsidR="00714AD1" w:rsidRPr="00C73325" w:rsidRDefault="00127067" w:rsidP="00D75850">
      <w:pPr>
        <w:spacing w:before="0" w:after="0"/>
        <w:ind w:left="720"/>
        <w:rPr>
          <w:rFonts w:cs="Times New Roman"/>
          <w:i/>
          <w:szCs w:val="24"/>
        </w:rPr>
      </w:pPr>
      <w:r w:rsidRPr="00C73325">
        <w:rPr>
          <w:rFonts w:cs="Times New Roman"/>
          <w:b/>
          <w:i/>
          <w:szCs w:val="24"/>
        </w:rPr>
        <w:t>H</w:t>
      </w:r>
      <w:r w:rsidR="00714AD1" w:rsidRPr="00C73325">
        <w:rPr>
          <w:rFonts w:cs="Times New Roman"/>
          <w:b/>
          <w:i/>
          <w:szCs w:val="24"/>
        </w:rPr>
        <w:t>2</w:t>
      </w:r>
      <w:r w:rsidR="00D75850" w:rsidRPr="00C73325">
        <w:rPr>
          <w:rFonts w:cs="Times New Roman"/>
          <w:b/>
          <w:i/>
          <w:szCs w:val="24"/>
        </w:rPr>
        <w:t>:</w:t>
      </w:r>
      <w:r w:rsidRPr="00C73325">
        <w:rPr>
          <w:rFonts w:cs="Times New Roman"/>
          <w:b/>
          <w:i/>
          <w:szCs w:val="24"/>
        </w:rPr>
        <w:t xml:space="preserve"> </w:t>
      </w:r>
      <w:r w:rsidR="00714AD1" w:rsidRPr="00C73325">
        <w:rPr>
          <w:rFonts w:cs="Times New Roman"/>
          <w:i/>
          <w:szCs w:val="24"/>
        </w:rPr>
        <w:t xml:space="preserve">There is a negative relationship between </w:t>
      </w:r>
      <w:r w:rsidR="00482443" w:rsidRPr="00C73325">
        <w:rPr>
          <w:rFonts w:cs="Times New Roman"/>
          <w:i/>
          <w:szCs w:val="24"/>
        </w:rPr>
        <w:t>b</w:t>
      </w:r>
      <w:r w:rsidR="00714AD1" w:rsidRPr="00C73325">
        <w:rPr>
          <w:rFonts w:cs="Times New Roman"/>
          <w:i/>
          <w:szCs w:val="24"/>
        </w:rPr>
        <w:t xml:space="preserve">oard </w:t>
      </w:r>
      <w:r w:rsidR="00AE0610">
        <w:rPr>
          <w:rFonts w:cs="Times New Roman"/>
          <w:i/>
          <w:szCs w:val="24"/>
        </w:rPr>
        <w:t>i</w:t>
      </w:r>
      <w:r w:rsidR="00714AD1" w:rsidRPr="00C73325">
        <w:rPr>
          <w:rFonts w:cs="Times New Roman"/>
          <w:i/>
          <w:szCs w:val="24"/>
        </w:rPr>
        <w:t>ndependence</w:t>
      </w:r>
      <w:r w:rsidR="00482443" w:rsidRPr="00C73325">
        <w:rPr>
          <w:rFonts w:cs="Times New Roman"/>
          <w:i/>
          <w:szCs w:val="24"/>
        </w:rPr>
        <w:t xml:space="preserve"> and dividend </w:t>
      </w:r>
      <w:r w:rsidR="00CB4D86" w:rsidRPr="00C73325">
        <w:rPr>
          <w:rFonts w:cs="Times New Roman"/>
          <w:i/>
          <w:szCs w:val="24"/>
        </w:rPr>
        <w:t>pay-out</w:t>
      </w:r>
      <w:r w:rsidR="00482443" w:rsidRPr="00C73325">
        <w:rPr>
          <w:rFonts w:cs="Times New Roman"/>
          <w:i/>
          <w:szCs w:val="24"/>
        </w:rPr>
        <w:t xml:space="preserve"> rate.</w:t>
      </w:r>
    </w:p>
    <w:p w14:paraId="08055EBD" w14:textId="77777777" w:rsidR="00D75850" w:rsidRPr="00C73325" w:rsidRDefault="00D75850" w:rsidP="00D75850">
      <w:pPr>
        <w:spacing w:before="0" w:after="0"/>
        <w:ind w:firstLine="720"/>
        <w:rPr>
          <w:rFonts w:cs="Times New Roman"/>
          <w:i/>
          <w:szCs w:val="24"/>
        </w:rPr>
      </w:pPr>
    </w:p>
    <w:p w14:paraId="5CBD2BBC" w14:textId="2A3BFEB4" w:rsidR="008D4155" w:rsidRPr="00C73325" w:rsidRDefault="00414CB6" w:rsidP="0096629B">
      <w:pPr>
        <w:pStyle w:val="Heading2"/>
        <w:rPr>
          <w:b/>
          <w:bCs/>
          <w:color w:val="auto"/>
        </w:rPr>
      </w:pPr>
      <w:r w:rsidRPr="00C73325">
        <w:rPr>
          <w:b/>
          <w:bCs/>
          <w:color w:val="auto"/>
        </w:rPr>
        <w:t xml:space="preserve">4.3 </w:t>
      </w:r>
      <w:r w:rsidR="00AF1345" w:rsidRPr="00C73325">
        <w:rPr>
          <w:b/>
          <w:bCs/>
          <w:color w:val="auto"/>
        </w:rPr>
        <w:t xml:space="preserve">CEO </w:t>
      </w:r>
      <w:r w:rsidRPr="00C73325">
        <w:rPr>
          <w:b/>
          <w:bCs/>
          <w:color w:val="auto"/>
        </w:rPr>
        <w:t>role d</w:t>
      </w:r>
      <w:r w:rsidR="00AF1345" w:rsidRPr="00C73325">
        <w:rPr>
          <w:b/>
          <w:bCs/>
          <w:color w:val="auto"/>
        </w:rPr>
        <w:t>uality</w:t>
      </w:r>
      <w:r w:rsidRPr="00C73325">
        <w:rPr>
          <w:b/>
          <w:bCs/>
          <w:color w:val="auto"/>
        </w:rPr>
        <w:t xml:space="preserve"> and dividend policy</w:t>
      </w:r>
    </w:p>
    <w:p w14:paraId="1ECC389D" w14:textId="47B051A9" w:rsidR="00B700E9" w:rsidRPr="00450D70" w:rsidRDefault="00BD16FA" w:rsidP="00355C4B">
      <w:pPr>
        <w:spacing w:after="0" w:line="360" w:lineRule="auto"/>
        <w:ind w:firstLine="360"/>
        <w:rPr>
          <w:rFonts w:cs="Times New Roman"/>
          <w:szCs w:val="24"/>
        </w:rPr>
      </w:pPr>
      <w:r w:rsidRPr="00C73325">
        <w:rPr>
          <w:rFonts w:cs="Times New Roman"/>
          <w:szCs w:val="24"/>
        </w:rPr>
        <w:t xml:space="preserve">Combining CEO and chairperson </w:t>
      </w:r>
      <w:r w:rsidR="0003224C" w:rsidRPr="00C73325">
        <w:rPr>
          <w:rFonts w:cs="Times New Roman"/>
          <w:szCs w:val="24"/>
        </w:rPr>
        <w:t xml:space="preserve">roles </w:t>
      </w:r>
      <w:r w:rsidRPr="00C73325">
        <w:rPr>
          <w:rFonts w:cs="Times New Roman"/>
          <w:szCs w:val="24"/>
        </w:rPr>
        <w:t xml:space="preserve">creates agency problems by </w:t>
      </w:r>
      <w:r w:rsidR="0003224C" w:rsidRPr="00C73325">
        <w:rPr>
          <w:rFonts w:cs="Times New Roman"/>
          <w:szCs w:val="24"/>
        </w:rPr>
        <w:t xml:space="preserve">concentrating too much executive power </w:t>
      </w:r>
      <w:r w:rsidR="00AE0610">
        <w:rPr>
          <w:rFonts w:cs="Times New Roman"/>
          <w:szCs w:val="24"/>
        </w:rPr>
        <w:t>in the</w:t>
      </w:r>
      <w:r w:rsidR="0003224C" w:rsidRPr="00C73325">
        <w:rPr>
          <w:rFonts w:cs="Times New Roman"/>
          <w:szCs w:val="24"/>
        </w:rPr>
        <w:t xml:space="preserve"> hands of</w:t>
      </w:r>
      <w:r w:rsidR="00A55B04" w:rsidRPr="00C73325">
        <w:rPr>
          <w:rFonts w:cs="Times New Roman"/>
          <w:szCs w:val="24"/>
        </w:rPr>
        <w:t xml:space="preserve"> CEOs</w:t>
      </w:r>
      <w:r w:rsidR="0003224C" w:rsidRPr="00C73325">
        <w:rPr>
          <w:rFonts w:cs="Times New Roman"/>
          <w:szCs w:val="24"/>
        </w:rPr>
        <w:t xml:space="preserve"> and thus, allowing them</w:t>
      </w:r>
      <w:r w:rsidR="00A55B04" w:rsidRPr="00C73325">
        <w:rPr>
          <w:rFonts w:cs="Times New Roman"/>
          <w:szCs w:val="24"/>
        </w:rPr>
        <w:t xml:space="preserve"> to pursue their own interests at the expense of shareholders </w:t>
      </w:r>
      <w:r w:rsidR="00375B88" w:rsidRPr="00C73325">
        <w:rPr>
          <w:rFonts w:cs="Times New Roman"/>
          <w:szCs w:val="24"/>
        </w:rPr>
        <w:t>(Jensen, 1993</w:t>
      </w:r>
      <w:r w:rsidR="00355C4B">
        <w:rPr>
          <w:rFonts w:cs="Times New Roman"/>
          <w:szCs w:val="24"/>
        </w:rPr>
        <w:t xml:space="preserve">; </w:t>
      </w:r>
      <w:r w:rsidR="00FD7A8D">
        <w:rPr>
          <w:rFonts w:cs="Times New Roman"/>
          <w:szCs w:val="24"/>
        </w:rPr>
        <w:t xml:space="preserve">Karim, </w:t>
      </w:r>
      <w:proofErr w:type="spellStart"/>
      <w:r w:rsidR="00FD7A8D">
        <w:rPr>
          <w:rFonts w:cs="Times New Roman"/>
          <w:szCs w:val="24"/>
        </w:rPr>
        <w:t>Zijl</w:t>
      </w:r>
      <w:proofErr w:type="spellEnd"/>
      <w:r w:rsidR="00FD7A8D">
        <w:rPr>
          <w:rFonts w:cs="Times New Roman"/>
          <w:szCs w:val="24"/>
        </w:rPr>
        <w:t xml:space="preserve"> &amp;</w:t>
      </w:r>
      <w:r w:rsidR="00355C4B" w:rsidRPr="00BB75B8">
        <w:rPr>
          <w:rFonts w:cs="Times New Roman"/>
          <w:szCs w:val="24"/>
        </w:rPr>
        <w:t xml:space="preserve"> </w:t>
      </w:r>
      <w:proofErr w:type="spellStart"/>
      <w:r w:rsidR="00355C4B" w:rsidRPr="00BB75B8">
        <w:rPr>
          <w:rFonts w:cs="Times New Roman"/>
          <w:szCs w:val="24"/>
        </w:rPr>
        <w:t>Mollah</w:t>
      </w:r>
      <w:proofErr w:type="spellEnd"/>
      <w:r w:rsidR="00355C4B" w:rsidRPr="00BB75B8">
        <w:rPr>
          <w:rFonts w:cs="Times New Roman"/>
          <w:szCs w:val="24"/>
        </w:rPr>
        <w:t>, 2013</w:t>
      </w:r>
      <w:r w:rsidR="00375B88" w:rsidRPr="00C73325">
        <w:rPr>
          <w:rFonts w:cs="Times New Roman"/>
          <w:szCs w:val="24"/>
        </w:rPr>
        <w:t xml:space="preserve">). </w:t>
      </w:r>
      <w:r w:rsidR="00540873" w:rsidRPr="00C73325">
        <w:rPr>
          <w:rFonts w:cs="Times New Roman"/>
          <w:szCs w:val="24"/>
        </w:rPr>
        <w:t xml:space="preserve">Combining CEO and chair </w:t>
      </w:r>
      <w:r w:rsidR="00863387" w:rsidRPr="00C73325">
        <w:rPr>
          <w:rFonts w:cs="Times New Roman"/>
          <w:szCs w:val="24"/>
        </w:rPr>
        <w:t xml:space="preserve">roles </w:t>
      </w:r>
      <w:r w:rsidR="00540873" w:rsidRPr="00C73325">
        <w:rPr>
          <w:rFonts w:cs="Times New Roman"/>
          <w:szCs w:val="24"/>
        </w:rPr>
        <w:t xml:space="preserve">into </w:t>
      </w:r>
      <w:r w:rsidR="00375B88" w:rsidRPr="00C73325">
        <w:rPr>
          <w:rFonts w:cs="Times New Roman"/>
          <w:szCs w:val="24"/>
        </w:rPr>
        <w:t>one individual can also impact negatively on board indepen</w:t>
      </w:r>
      <w:r w:rsidR="000D4911" w:rsidRPr="00C73325">
        <w:rPr>
          <w:rFonts w:cs="Times New Roman"/>
          <w:szCs w:val="24"/>
        </w:rPr>
        <w:t xml:space="preserve">dence </w:t>
      </w:r>
      <w:r w:rsidR="00375B88" w:rsidRPr="00C73325">
        <w:rPr>
          <w:rFonts w:cs="Times New Roman"/>
          <w:szCs w:val="24"/>
        </w:rPr>
        <w:t xml:space="preserve">by </w:t>
      </w:r>
      <w:r w:rsidRPr="00C73325">
        <w:rPr>
          <w:rFonts w:cs="Times New Roman"/>
          <w:szCs w:val="24"/>
        </w:rPr>
        <w:t xml:space="preserve">reducing monitoring </w:t>
      </w:r>
      <w:r w:rsidR="00FD59D5" w:rsidRPr="00C73325">
        <w:rPr>
          <w:rFonts w:cs="Times New Roman"/>
          <w:szCs w:val="24"/>
        </w:rPr>
        <w:t xml:space="preserve">over </w:t>
      </w:r>
      <w:r w:rsidRPr="00C73325">
        <w:rPr>
          <w:rFonts w:cs="Times New Roman"/>
          <w:szCs w:val="24"/>
        </w:rPr>
        <w:t>top management</w:t>
      </w:r>
      <w:r w:rsidR="00FD59D5" w:rsidRPr="00C73325">
        <w:rPr>
          <w:rFonts w:cs="Times New Roman"/>
          <w:szCs w:val="24"/>
        </w:rPr>
        <w:t xml:space="preserve"> activities</w:t>
      </w:r>
      <w:r w:rsidRPr="00C73325">
        <w:rPr>
          <w:rFonts w:cs="Times New Roman"/>
          <w:szCs w:val="24"/>
        </w:rPr>
        <w:t xml:space="preserve"> (</w:t>
      </w:r>
      <w:proofErr w:type="spellStart"/>
      <w:r w:rsidR="00375B88" w:rsidRPr="00C73325">
        <w:rPr>
          <w:rFonts w:cs="Times New Roman"/>
          <w:szCs w:val="24"/>
        </w:rPr>
        <w:t>Fama</w:t>
      </w:r>
      <w:proofErr w:type="spellEnd"/>
      <w:r w:rsidR="00375B88" w:rsidRPr="00C73325">
        <w:rPr>
          <w:rFonts w:cs="Times New Roman"/>
          <w:szCs w:val="24"/>
        </w:rPr>
        <w:t xml:space="preserve"> </w:t>
      </w:r>
      <w:r w:rsidRPr="00C73325">
        <w:rPr>
          <w:rFonts w:cs="Times New Roman"/>
          <w:szCs w:val="24"/>
        </w:rPr>
        <w:t xml:space="preserve">&amp; </w:t>
      </w:r>
      <w:r w:rsidR="00375B88" w:rsidRPr="00C73325">
        <w:rPr>
          <w:rFonts w:cs="Times New Roman"/>
          <w:szCs w:val="24"/>
        </w:rPr>
        <w:t>Jensen</w:t>
      </w:r>
      <w:r w:rsidRPr="00C73325">
        <w:rPr>
          <w:rFonts w:cs="Times New Roman"/>
          <w:szCs w:val="24"/>
        </w:rPr>
        <w:t xml:space="preserve">, </w:t>
      </w:r>
      <w:r w:rsidR="00375B88" w:rsidRPr="00C73325">
        <w:rPr>
          <w:rFonts w:cs="Times New Roman"/>
          <w:szCs w:val="24"/>
        </w:rPr>
        <w:t>1983</w:t>
      </w:r>
      <w:r w:rsidR="001E297E">
        <w:rPr>
          <w:rFonts w:cs="Times New Roman"/>
          <w:szCs w:val="24"/>
        </w:rPr>
        <w:t xml:space="preserve">; </w:t>
      </w:r>
      <w:r w:rsidR="001E297E" w:rsidRPr="00BB75B8">
        <w:rPr>
          <w:rFonts w:cs="Times New Roman"/>
          <w:szCs w:val="24"/>
        </w:rPr>
        <w:t xml:space="preserve">Karim, </w:t>
      </w:r>
      <w:proofErr w:type="spellStart"/>
      <w:r w:rsidR="001E297E" w:rsidRPr="00BB75B8">
        <w:rPr>
          <w:rFonts w:cs="Times New Roman"/>
          <w:szCs w:val="24"/>
        </w:rPr>
        <w:t>Zijl</w:t>
      </w:r>
      <w:proofErr w:type="spellEnd"/>
      <w:r w:rsidR="001E297E" w:rsidRPr="00BB75B8">
        <w:rPr>
          <w:rFonts w:cs="Times New Roman"/>
          <w:szCs w:val="24"/>
        </w:rPr>
        <w:t xml:space="preserve"> </w:t>
      </w:r>
      <w:r w:rsidR="00FD7A8D">
        <w:rPr>
          <w:rFonts w:cs="Times New Roman"/>
          <w:szCs w:val="24"/>
        </w:rPr>
        <w:t>&amp;</w:t>
      </w:r>
      <w:r w:rsidR="001E297E" w:rsidRPr="00BB75B8">
        <w:rPr>
          <w:rFonts w:cs="Times New Roman"/>
          <w:szCs w:val="24"/>
        </w:rPr>
        <w:t xml:space="preserve"> </w:t>
      </w:r>
      <w:proofErr w:type="spellStart"/>
      <w:r w:rsidR="001E297E" w:rsidRPr="00BB75B8">
        <w:rPr>
          <w:rFonts w:cs="Times New Roman"/>
          <w:szCs w:val="24"/>
        </w:rPr>
        <w:t>Mollah</w:t>
      </w:r>
      <w:proofErr w:type="spellEnd"/>
      <w:r w:rsidR="001E297E" w:rsidRPr="00BB75B8">
        <w:rPr>
          <w:rFonts w:cs="Times New Roman"/>
          <w:szCs w:val="24"/>
        </w:rPr>
        <w:t>, 2013</w:t>
      </w:r>
      <w:r w:rsidRPr="00C73325">
        <w:rPr>
          <w:rFonts w:cs="Times New Roman"/>
          <w:szCs w:val="24"/>
        </w:rPr>
        <w:t>)</w:t>
      </w:r>
      <w:r w:rsidR="00FD59D5" w:rsidRPr="00C73325">
        <w:rPr>
          <w:rFonts w:cs="Times New Roman"/>
          <w:szCs w:val="24"/>
        </w:rPr>
        <w:t xml:space="preserve">. </w:t>
      </w:r>
      <w:r w:rsidR="0099740F" w:rsidRPr="00C73325">
        <w:rPr>
          <w:rFonts w:cs="Times New Roman"/>
          <w:szCs w:val="24"/>
        </w:rPr>
        <w:t>Weak monitoring by corporate board</w:t>
      </w:r>
      <w:r w:rsidR="00D0208B" w:rsidRPr="00C73325">
        <w:rPr>
          <w:rFonts w:cs="Times New Roman"/>
          <w:szCs w:val="24"/>
        </w:rPr>
        <w:t>s</w:t>
      </w:r>
      <w:r w:rsidR="0099740F" w:rsidRPr="00C73325">
        <w:rPr>
          <w:rFonts w:cs="Times New Roman"/>
          <w:szCs w:val="24"/>
        </w:rPr>
        <w:t xml:space="preserve"> may </w:t>
      </w:r>
      <w:r w:rsidR="00AE0610">
        <w:rPr>
          <w:rFonts w:cs="Times New Roman"/>
          <w:szCs w:val="24"/>
        </w:rPr>
        <w:t>grant</w:t>
      </w:r>
      <w:r w:rsidR="0099740F" w:rsidRPr="00C73325">
        <w:rPr>
          <w:rFonts w:cs="Times New Roman"/>
          <w:szCs w:val="24"/>
        </w:rPr>
        <w:t xml:space="preserve"> opportunistic CEOs </w:t>
      </w:r>
      <w:r w:rsidR="00AE0610">
        <w:rPr>
          <w:rFonts w:cs="Times New Roman"/>
          <w:szCs w:val="24"/>
        </w:rPr>
        <w:t xml:space="preserve">avenues </w:t>
      </w:r>
      <w:r w:rsidR="0099740F" w:rsidRPr="00C73325">
        <w:rPr>
          <w:rFonts w:cs="Times New Roman"/>
          <w:szCs w:val="24"/>
        </w:rPr>
        <w:t xml:space="preserve">to expropriate shareholder wealth </w:t>
      </w:r>
      <w:r w:rsidR="000550AC" w:rsidRPr="00C73325">
        <w:rPr>
          <w:rFonts w:cs="Times New Roman"/>
          <w:szCs w:val="24"/>
        </w:rPr>
        <w:t xml:space="preserve">by, for example, paying no or low dividends to shareholders </w:t>
      </w:r>
      <w:r w:rsidR="00290D0F" w:rsidRPr="00C73325">
        <w:rPr>
          <w:rFonts w:cs="Times New Roman"/>
          <w:szCs w:val="24"/>
        </w:rPr>
        <w:t xml:space="preserve">(Dalton, 2014). </w:t>
      </w:r>
      <w:r w:rsidR="00B700E9" w:rsidRPr="00C73325">
        <w:rPr>
          <w:rFonts w:cs="Times New Roman"/>
          <w:szCs w:val="24"/>
        </w:rPr>
        <w:t xml:space="preserve">By contrast, and based on the view of </w:t>
      </w:r>
      <w:r w:rsidR="00B700E9" w:rsidRPr="00450D70">
        <w:rPr>
          <w:rFonts w:cs="Times New Roman"/>
          <w:szCs w:val="24"/>
        </w:rPr>
        <w:t>the substitute hypothesis, firms with combined leadership structure are expected to pay larger dividends in order to substitute for poor governance</w:t>
      </w:r>
      <w:r w:rsidR="00AE0610">
        <w:rPr>
          <w:rFonts w:cs="Times New Roman"/>
          <w:szCs w:val="24"/>
        </w:rPr>
        <w:t xml:space="preserve"> quality often</w:t>
      </w:r>
      <w:r w:rsidR="00B700E9" w:rsidRPr="00450D70">
        <w:rPr>
          <w:rFonts w:cs="Times New Roman"/>
          <w:szCs w:val="24"/>
        </w:rPr>
        <w:t xml:space="preserve"> associated with CEO role duality (Chen et al., 2016).</w:t>
      </w:r>
    </w:p>
    <w:p w14:paraId="708494C4" w14:textId="05AE0F2E" w:rsidR="00D94EAC" w:rsidRPr="00C73325" w:rsidRDefault="00D94EAC" w:rsidP="00325272">
      <w:pPr>
        <w:spacing w:before="0" w:after="0" w:line="360" w:lineRule="auto"/>
        <w:ind w:firstLine="360"/>
        <w:rPr>
          <w:rFonts w:cs="Times New Roman"/>
          <w:szCs w:val="24"/>
        </w:rPr>
      </w:pPr>
      <w:r w:rsidRPr="00C73325">
        <w:rPr>
          <w:rStyle w:val="hps"/>
          <w:rFonts w:asciiTheme="majorBidi" w:hAnsiTheme="majorBidi"/>
          <w:noProof/>
          <w:szCs w:val="24"/>
        </w:rPr>
        <w:t>Prior evidence on the link between CEO duality and divdend pay</w:t>
      </w:r>
      <w:r w:rsidR="00855D30" w:rsidRPr="00C73325">
        <w:rPr>
          <w:rStyle w:val="hps"/>
          <w:rFonts w:asciiTheme="majorBidi" w:hAnsiTheme="majorBidi"/>
          <w:noProof/>
          <w:szCs w:val="24"/>
        </w:rPr>
        <w:t>-</w:t>
      </w:r>
      <w:r w:rsidRPr="00C73325">
        <w:rPr>
          <w:rStyle w:val="hps"/>
          <w:rFonts w:asciiTheme="majorBidi" w:hAnsiTheme="majorBidi"/>
          <w:noProof/>
          <w:szCs w:val="24"/>
        </w:rPr>
        <w:t xml:space="preserve">out rates is generally mixed </w:t>
      </w:r>
      <w:r w:rsidR="00E70465" w:rsidRPr="00C73325">
        <w:rPr>
          <w:rStyle w:val="hps"/>
          <w:rFonts w:asciiTheme="majorBidi" w:hAnsiTheme="majorBidi"/>
          <w:noProof/>
          <w:szCs w:val="24"/>
        </w:rPr>
        <w:t xml:space="preserve">(Abor &amp; Fiador, 2013; </w:t>
      </w:r>
      <w:r w:rsidR="00E70465" w:rsidRPr="00C73325">
        <w:rPr>
          <w:rFonts w:cs="Times New Roman"/>
          <w:szCs w:val="24"/>
        </w:rPr>
        <w:t>Hu &amp; Kumar, 2004</w:t>
      </w:r>
      <w:r w:rsidR="00E70465" w:rsidRPr="00C73325">
        <w:rPr>
          <w:rFonts w:asciiTheme="majorBidi" w:hAnsiTheme="majorBidi" w:cstheme="majorBidi"/>
          <w:szCs w:val="24"/>
        </w:rPr>
        <w:t xml:space="preserve">; </w:t>
      </w:r>
      <w:proofErr w:type="spellStart"/>
      <w:r w:rsidR="00E70465" w:rsidRPr="00C73325">
        <w:rPr>
          <w:rFonts w:asciiTheme="majorBidi" w:hAnsiTheme="majorBidi" w:cstheme="majorBidi"/>
          <w:szCs w:val="24"/>
        </w:rPr>
        <w:t>Mansourinia</w:t>
      </w:r>
      <w:proofErr w:type="spellEnd"/>
      <w:r w:rsidR="00E70465" w:rsidRPr="00C73325">
        <w:rPr>
          <w:rFonts w:asciiTheme="majorBidi" w:hAnsiTheme="majorBidi" w:cstheme="majorBidi"/>
          <w:szCs w:val="24"/>
        </w:rPr>
        <w:t xml:space="preserve"> et al.</w:t>
      </w:r>
      <w:r w:rsidR="00CD1578">
        <w:rPr>
          <w:rFonts w:asciiTheme="majorBidi" w:hAnsiTheme="majorBidi" w:cstheme="majorBidi"/>
          <w:szCs w:val="24"/>
        </w:rPr>
        <w:t>,</w:t>
      </w:r>
      <w:r w:rsidR="00E70465" w:rsidRPr="00C73325">
        <w:rPr>
          <w:rFonts w:asciiTheme="majorBidi" w:hAnsiTheme="majorBidi" w:cstheme="majorBidi"/>
          <w:szCs w:val="24"/>
        </w:rPr>
        <w:t xml:space="preserve"> 2013; </w:t>
      </w:r>
      <w:proofErr w:type="spellStart"/>
      <w:r w:rsidR="00E70465" w:rsidRPr="00C73325">
        <w:rPr>
          <w:rFonts w:asciiTheme="majorBidi" w:hAnsiTheme="majorBidi" w:cstheme="majorBidi"/>
          <w:szCs w:val="24"/>
        </w:rPr>
        <w:t>Litai</w:t>
      </w:r>
      <w:proofErr w:type="spellEnd"/>
      <w:r w:rsidR="00E70465" w:rsidRPr="00C73325">
        <w:rPr>
          <w:rFonts w:asciiTheme="majorBidi" w:hAnsiTheme="majorBidi" w:cstheme="majorBidi"/>
          <w:szCs w:val="24"/>
        </w:rPr>
        <w:t xml:space="preserve"> et al., 2011; </w:t>
      </w:r>
      <w:r w:rsidR="00E70465" w:rsidRPr="00C73325">
        <w:rPr>
          <w:rFonts w:cs="Times New Roman"/>
          <w:szCs w:val="24"/>
        </w:rPr>
        <w:t xml:space="preserve">Zhang, 2008; </w:t>
      </w:r>
      <w:proofErr w:type="spellStart"/>
      <w:r w:rsidR="00E70465" w:rsidRPr="00C73325">
        <w:rPr>
          <w:rFonts w:cs="Times New Roman"/>
          <w:szCs w:val="24"/>
        </w:rPr>
        <w:t>Subramaniam</w:t>
      </w:r>
      <w:proofErr w:type="spellEnd"/>
      <w:r w:rsidR="00E70465" w:rsidRPr="00C73325">
        <w:rPr>
          <w:rFonts w:cs="Times New Roman"/>
          <w:szCs w:val="24"/>
        </w:rPr>
        <w:t xml:space="preserve"> &amp; Devi, 2011). For example, and consistent with the results of previous studies </w:t>
      </w:r>
      <w:r w:rsidR="00254BF1" w:rsidRPr="00C73325">
        <w:rPr>
          <w:rFonts w:cs="Times New Roman"/>
          <w:szCs w:val="24"/>
        </w:rPr>
        <w:t>(</w:t>
      </w:r>
      <w:r w:rsidR="00254BF1" w:rsidRPr="00C73325">
        <w:rPr>
          <w:rStyle w:val="hps"/>
          <w:rFonts w:asciiTheme="majorBidi" w:hAnsiTheme="majorBidi"/>
          <w:noProof/>
          <w:szCs w:val="24"/>
        </w:rPr>
        <w:t xml:space="preserve">Abor &amp; Fiador, 2013; </w:t>
      </w:r>
      <w:r w:rsidR="00C87D74" w:rsidRPr="00C73325">
        <w:rPr>
          <w:rFonts w:cs="Times New Roman"/>
          <w:szCs w:val="24"/>
        </w:rPr>
        <w:t xml:space="preserve">Ghosh &amp; </w:t>
      </w:r>
      <w:proofErr w:type="spellStart"/>
      <w:r w:rsidR="00C87D74" w:rsidRPr="00C73325">
        <w:rPr>
          <w:rFonts w:cs="Times New Roman"/>
          <w:szCs w:val="24"/>
        </w:rPr>
        <w:t>Sirmans</w:t>
      </w:r>
      <w:proofErr w:type="spellEnd"/>
      <w:r w:rsidR="00C87D74" w:rsidRPr="00C73325">
        <w:rPr>
          <w:rFonts w:cs="Times New Roman"/>
          <w:szCs w:val="24"/>
        </w:rPr>
        <w:t xml:space="preserve">, 2006; </w:t>
      </w:r>
      <w:proofErr w:type="spellStart"/>
      <w:r w:rsidR="00254BF1" w:rsidRPr="00C73325">
        <w:rPr>
          <w:rFonts w:asciiTheme="majorBidi" w:hAnsiTheme="majorBidi" w:cstheme="majorBidi"/>
          <w:szCs w:val="24"/>
        </w:rPr>
        <w:t>Litai</w:t>
      </w:r>
      <w:proofErr w:type="spellEnd"/>
      <w:r w:rsidR="00254BF1" w:rsidRPr="00C73325">
        <w:rPr>
          <w:rFonts w:asciiTheme="majorBidi" w:hAnsiTheme="majorBidi" w:cstheme="majorBidi"/>
          <w:szCs w:val="24"/>
        </w:rPr>
        <w:t xml:space="preserve"> et al., 2011</w:t>
      </w:r>
      <w:r w:rsidR="00C87D74" w:rsidRPr="00C73325">
        <w:rPr>
          <w:rFonts w:asciiTheme="majorBidi" w:hAnsiTheme="majorBidi" w:cstheme="majorBidi"/>
          <w:szCs w:val="24"/>
        </w:rPr>
        <w:t xml:space="preserve">; </w:t>
      </w:r>
      <w:r w:rsidR="00C87D74" w:rsidRPr="00C73325">
        <w:rPr>
          <w:rFonts w:cs="Times New Roman"/>
          <w:szCs w:val="24"/>
        </w:rPr>
        <w:t>Sharma, 2011</w:t>
      </w:r>
      <w:r w:rsidR="00254BF1" w:rsidRPr="00C73325">
        <w:rPr>
          <w:rFonts w:asciiTheme="majorBidi" w:hAnsiTheme="majorBidi" w:cstheme="majorBidi"/>
          <w:szCs w:val="24"/>
        </w:rPr>
        <w:t xml:space="preserve">), Zhang (2008) report a negative association between CEO duality and dividend </w:t>
      </w:r>
      <w:r w:rsidR="00855D30" w:rsidRPr="00C73325">
        <w:rPr>
          <w:rFonts w:asciiTheme="majorBidi" w:hAnsiTheme="majorBidi" w:cstheme="majorBidi"/>
          <w:szCs w:val="24"/>
        </w:rPr>
        <w:t>pay-out</w:t>
      </w:r>
      <w:r w:rsidR="00254BF1" w:rsidRPr="00C73325">
        <w:rPr>
          <w:rFonts w:asciiTheme="majorBidi" w:hAnsiTheme="majorBidi" w:cstheme="majorBidi"/>
          <w:szCs w:val="24"/>
        </w:rPr>
        <w:t xml:space="preserve"> </w:t>
      </w:r>
      <w:r w:rsidR="00254BF1" w:rsidRPr="00C73325">
        <w:rPr>
          <w:rFonts w:asciiTheme="majorBidi" w:hAnsiTheme="majorBidi" w:cstheme="majorBidi"/>
          <w:szCs w:val="24"/>
        </w:rPr>
        <w:lastRenderedPageBreak/>
        <w:t>policy using a sample of Chinese firms. By contrast</w:t>
      </w:r>
      <w:r w:rsidR="00651C2B" w:rsidRPr="00C73325">
        <w:rPr>
          <w:rFonts w:asciiTheme="majorBidi" w:hAnsiTheme="majorBidi" w:cstheme="majorBidi"/>
          <w:szCs w:val="24"/>
        </w:rPr>
        <w:t>,</w:t>
      </w:r>
      <w:r w:rsidR="00254BF1" w:rsidRPr="00C73325">
        <w:rPr>
          <w:rFonts w:asciiTheme="majorBidi" w:hAnsiTheme="majorBidi" w:cstheme="majorBidi"/>
          <w:szCs w:val="24"/>
        </w:rPr>
        <w:t xml:space="preserve"> </w:t>
      </w:r>
      <w:r w:rsidR="00254BF1" w:rsidRPr="00C73325">
        <w:rPr>
          <w:rFonts w:cs="Times New Roman"/>
          <w:szCs w:val="24"/>
        </w:rPr>
        <w:t xml:space="preserve">Hu and Kumar (2004), </w:t>
      </w:r>
      <w:proofErr w:type="spellStart"/>
      <w:r w:rsidR="00FD7A8D">
        <w:rPr>
          <w:rFonts w:asciiTheme="majorBidi" w:hAnsiTheme="majorBidi" w:cstheme="majorBidi"/>
          <w:szCs w:val="24"/>
        </w:rPr>
        <w:t>Mansourinia</w:t>
      </w:r>
      <w:proofErr w:type="spellEnd"/>
      <w:r w:rsidR="00FD7A8D">
        <w:rPr>
          <w:rFonts w:asciiTheme="majorBidi" w:hAnsiTheme="majorBidi" w:cstheme="majorBidi"/>
          <w:szCs w:val="24"/>
        </w:rPr>
        <w:t xml:space="preserve"> et al.</w:t>
      </w:r>
      <w:r w:rsidR="00254BF1" w:rsidRPr="00C73325">
        <w:rPr>
          <w:rFonts w:asciiTheme="majorBidi" w:hAnsiTheme="majorBidi" w:cstheme="majorBidi"/>
          <w:szCs w:val="24"/>
        </w:rPr>
        <w:t xml:space="preserve"> (2013) and </w:t>
      </w:r>
      <w:proofErr w:type="spellStart"/>
      <w:r w:rsidR="00254BF1" w:rsidRPr="00C73325">
        <w:rPr>
          <w:rFonts w:cs="Times New Roman"/>
          <w:szCs w:val="24"/>
        </w:rPr>
        <w:t>Subramaniam</w:t>
      </w:r>
      <w:proofErr w:type="spellEnd"/>
      <w:r w:rsidR="00254BF1" w:rsidRPr="00C73325">
        <w:rPr>
          <w:rFonts w:cs="Times New Roman"/>
          <w:szCs w:val="24"/>
        </w:rPr>
        <w:t xml:space="preserve"> and Devi (2011)</w:t>
      </w:r>
      <w:r w:rsidR="000E257E" w:rsidRPr="00C73325">
        <w:rPr>
          <w:rFonts w:cs="Times New Roman"/>
          <w:szCs w:val="24"/>
        </w:rPr>
        <w:t xml:space="preserve"> find no association between CEO duality and dividend </w:t>
      </w:r>
      <w:r w:rsidR="00855D30" w:rsidRPr="00C73325">
        <w:rPr>
          <w:rFonts w:cs="Times New Roman"/>
          <w:szCs w:val="24"/>
        </w:rPr>
        <w:t>pay-out</w:t>
      </w:r>
      <w:r w:rsidR="000E257E" w:rsidRPr="00C73325">
        <w:rPr>
          <w:rFonts w:cs="Times New Roman"/>
          <w:szCs w:val="24"/>
        </w:rPr>
        <w:t xml:space="preserve"> policy among US, Iranian and Malaysian listed firms, respectively. </w:t>
      </w:r>
      <w:r w:rsidR="00C87D74" w:rsidRPr="00C73325">
        <w:rPr>
          <w:rFonts w:cs="Times New Roman"/>
          <w:szCs w:val="24"/>
        </w:rPr>
        <w:t xml:space="preserve">From UK regulatory perspective, much </w:t>
      </w:r>
      <w:r w:rsidR="003575F5" w:rsidRPr="00C73325">
        <w:rPr>
          <w:rFonts w:cs="Times New Roman"/>
          <w:szCs w:val="24"/>
        </w:rPr>
        <w:t>of</w:t>
      </w:r>
      <w:r w:rsidR="00C87D74" w:rsidRPr="00C73325">
        <w:rPr>
          <w:rFonts w:cs="Times New Roman"/>
          <w:szCs w:val="24"/>
        </w:rPr>
        <w:t xml:space="preserve"> the UK </w:t>
      </w:r>
      <w:r w:rsidR="0022681F">
        <w:rPr>
          <w:rFonts w:cs="Times New Roman"/>
          <w:szCs w:val="24"/>
        </w:rPr>
        <w:t>corporate governance</w:t>
      </w:r>
      <w:r w:rsidR="0022681F" w:rsidRPr="00C73325">
        <w:rPr>
          <w:rFonts w:cs="Times New Roman"/>
          <w:szCs w:val="24"/>
        </w:rPr>
        <w:t xml:space="preserve"> </w:t>
      </w:r>
      <w:r w:rsidR="00C87D74" w:rsidRPr="00C73325">
        <w:rPr>
          <w:rFonts w:cs="Times New Roman"/>
          <w:szCs w:val="24"/>
        </w:rPr>
        <w:t>reforms (i.e.</w:t>
      </w:r>
      <w:r w:rsidR="00AE0610">
        <w:rPr>
          <w:rFonts w:cs="Times New Roman"/>
          <w:szCs w:val="24"/>
        </w:rPr>
        <w:t>,</w:t>
      </w:r>
      <w:r w:rsidR="00C87D74" w:rsidRPr="00C73325">
        <w:rPr>
          <w:rFonts w:cs="Times New Roman"/>
          <w:szCs w:val="24"/>
        </w:rPr>
        <w:t xml:space="preserve"> from 1992 Cadbury Report to </w:t>
      </w:r>
      <w:r w:rsidR="00DE0A47" w:rsidRPr="00C73325">
        <w:rPr>
          <w:rFonts w:cs="Times New Roman"/>
          <w:szCs w:val="24"/>
        </w:rPr>
        <w:t>201</w:t>
      </w:r>
      <w:r w:rsidR="00947CAF" w:rsidRPr="00C73325">
        <w:rPr>
          <w:rFonts w:cs="Times New Roman"/>
          <w:szCs w:val="24"/>
        </w:rPr>
        <w:t>2</w:t>
      </w:r>
      <w:r w:rsidR="00C87D74" w:rsidRPr="00C73325">
        <w:rPr>
          <w:rFonts w:cs="Times New Roman"/>
          <w:szCs w:val="24"/>
        </w:rPr>
        <w:t xml:space="preserve"> Combined Code) suggest that the roles of CEO and chairperson should be separated in order to </w:t>
      </w:r>
      <w:r w:rsidR="00916EB3" w:rsidRPr="00C73325">
        <w:rPr>
          <w:rFonts w:cs="Times New Roman"/>
          <w:szCs w:val="24"/>
        </w:rPr>
        <w:t>enhance</w:t>
      </w:r>
      <w:r w:rsidR="00C87D74" w:rsidRPr="00C73325">
        <w:rPr>
          <w:rFonts w:cs="Times New Roman"/>
          <w:szCs w:val="24"/>
        </w:rPr>
        <w:t xml:space="preserve"> board independence, and thus, our third hypothesis to be tested is that:</w:t>
      </w:r>
    </w:p>
    <w:p w14:paraId="0C2E702E" w14:textId="13DE6ABF" w:rsidR="00F0032D" w:rsidRPr="00C73325" w:rsidRDefault="00127067" w:rsidP="00A55316">
      <w:pPr>
        <w:spacing w:before="0"/>
        <w:ind w:left="720"/>
        <w:rPr>
          <w:rFonts w:cs="Times New Roman"/>
          <w:i/>
          <w:szCs w:val="24"/>
        </w:rPr>
      </w:pPr>
      <w:r w:rsidRPr="00C73325">
        <w:rPr>
          <w:rFonts w:cs="Times New Roman"/>
          <w:b/>
          <w:i/>
          <w:szCs w:val="24"/>
        </w:rPr>
        <w:t>H</w:t>
      </w:r>
      <w:r w:rsidR="0096629B" w:rsidRPr="00C73325">
        <w:rPr>
          <w:rFonts w:cs="Times New Roman"/>
          <w:b/>
          <w:i/>
          <w:szCs w:val="24"/>
        </w:rPr>
        <w:t>3</w:t>
      </w:r>
      <w:r w:rsidR="00D75850" w:rsidRPr="00C73325">
        <w:rPr>
          <w:rFonts w:cs="Times New Roman"/>
          <w:b/>
          <w:i/>
          <w:szCs w:val="24"/>
        </w:rPr>
        <w:t>:</w:t>
      </w:r>
      <w:r w:rsidRPr="00C73325">
        <w:rPr>
          <w:rFonts w:cs="Times New Roman"/>
          <w:i/>
          <w:szCs w:val="24"/>
        </w:rPr>
        <w:t xml:space="preserve"> T</w:t>
      </w:r>
      <w:r w:rsidR="0096629B" w:rsidRPr="00C73325">
        <w:rPr>
          <w:rFonts w:cs="Times New Roman"/>
          <w:i/>
          <w:szCs w:val="24"/>
        </w:rPr>
        <w:t>here is a negative relationship between CEO duality</w:t>
      </w:r>
      <w:r w:rsidR="00482443" w:rsidRPr="00C73325">
        <w:rPr>
          <w:rFonts w:cs="Times New Roman"/>
          <w:i/>
          <w:szCs w:val="24"/>
        </w:rPr>
        <w:t xml:space="preserve"> and dividend </w:t>
      </w:r>
      <w:r w:rsidR="00855D30" w:rsidRPr="00C73325">
        <w:rPr>
          <w:rFonts w:cs="Times New Roman"/>
          <w:i/>
          <w:szCs w:val="24"/>
        </w:rPr>
        <w:t>pay-out</w:t>
      </w:r>
      <w:r w:rsidR="00482443" w:rsidRPr="00C73325">
        <w:rPr>
          <w:rFonts w:cs="Times New Roman"/>
          <w:i/>
          <w:szCs w:val="24"/>
        </w:rPr>
        <w:t xml:space="preserve"> rate</w:t>
      </w:r>
      <w:r w:rsidR="0096629B" w:rsidRPr="00C73325">
        <w:rPr>
          <w:rFonts w:cs="Times New Roman"/>
          <w:i/>
          <w:szCs w:val="24"/>
        </w:rPr>
        <w:t>.</w:t>
      </w:r>
    </w:p>
    <w:p w14:paraId="6C925EE3" w14:textId="2631C0A0" w:rsidR="00AF1345" w:rsidRPr="00C73325" w:rsidRDefault="00414CB6" w:rsidP="009A4045">
      <w:pPr>
        <w:pStyle w:val="Heading2"/>
        <w:rPr>
          <w:b/>
          <w:color w:val="auto"/>
        </w:rPr>
      </w:pPr>
      <w:r w:rsidRPr="00C73325">
        <w:rPr>
          <w:b/>
          <w:color w:val="auto"/>
        </w:rPr>
        <w:t xml:space="preserve">4.4 </w:t>
      </w:r>
      <w:r w:rsidR="00AF1345" w:rsidRPr="00C73325">
        <w:rPr>
          <w:b/>
          <w:color w:val="auto"/>
        </w:rPr>
        <w:t xml:space="preserve">Frequency of </w:t>
      </w:r>
      <w:r w:rsidRPr="00C73325">
        <w:rPr>
          <w:b/>
          <w:color w:val="auto"/>
        </w:rPr>
        <w:t>b</w:t>
      </w:r>
      <w:r w:rsidR="00AF1345" w:rsidRPr="00C73325">
        <w:rPr>
          <w:b/>
          <w:color w:val="auto"/>
        </w:rPr>
        <w:t xml:space="preserve">oard </w:t>
      </w:r>
      <w:r w:rsidRPr="00C73325">
        <w:rPr>
          <w:b/>
          <w:color w:val="auto"/>
        </w:rPr>
        <w:t>m</w:t>
      </w:r>
      <w:r w:rsidR="00AF1345" w:rsidRPr="00C73325">
        <w:rPr>
          <w:b/>
          <w:color w:val="auto"/>
        </w:rPr>
        <w:t>eeting</w:t>
      </w:r>
      <w:r w:rsidRPr="00C73325">
        <w:rPr>
          <w:b/>
          <w:color w:val="auto"/>
        </w:rPr>
        <w:t>s and dividend policy</w:t>
      </w:r>
    </w:p>
    <w:p w14:paraId="138855A9" w14:textId="7244D125" w:rsidR="00B700E9" w:rsidRPr="00450D70" w:rsidRDefault="000548A3" w:rsidP="00B700E9">
      <w:pPr>
        <w:spacing w:after="0" w:line="360" w:lineRule="auto"/>
        <w:ind w:firstLine="360"/>
        <w:rPr>
          <w:rFonts w:cs="Times New Roman"/>
          <w:noProof/>
        </w:rPr>
      </w:pPr>
      <w:r w:rsidRPr="00C73325">
        <w:rPr>
          <w:rFonts w:cs="Times New Roman"/>
          <w:szCs w:val="24"/>
        </w:rPr>
        <w:t xml:space="preserve">Theoretically, there are inconclusive perspectives as to the impact of the frequency of board meetings on dividend </w:t>
      </w:r>
      <w:r w:rsidR="00855D30" w:rsidRPr="00C73325">
        <w:rPr>
          <w:rFonts w:cs="Times New Roman"/>
          <w:szCs w:val="24"/>
        </w:rPr>
        <w:t>pay-out</w:t>
      </w:r>
      <w:r w:rsidRPr="00C73325">
        <w:rPr>
          <w:rFonts w:cs="Times New Roman"/>
          <w:szCs w:val="24"/>
        </w:rPr>
        <w:t xml:space="preserve"> policy. </w:t>
      </w:r>
      <w:r w:rsidR="00D450D6" w:rsidRPr="00C73325">
        <w:rPr>
          <w:rFonts w:cs="Times New Roman"/>
          <w:szCs w:val="24"/>
        </w:rPr>
        <w:t>On the one hand, f</w:t>
      </w:r>
      <w:r w:rsidR="0077703D" w:rsidRPr="00C73325">
        <w:rPr>
          <w:rStyle w:val="hps"/>
          <w:rFonts w:asciiTheme="majorBidi" w:hAnsiTheme="majorBidi"/>
          <w:noProof/>
          <w:szCs w:val="24"/>
        </w:rPr>
        <w:t xml:space="preserve">requent board meetings can help in reducing agency conflicts by conveying information to managers and shareholders </w:t>
      </w:r>
      <w:r w:rsidR="0077703D" w:rsidRPr="00C73325">
        <w:rPr>
          <w:rFonts w:cs="Times New Roman"/>
          <w:szCs w:val="24"/>
        </w:rPr>
        <w:t>in a transparent way, and therefore bolstering the quality of work process (Greco 2011). Additionally, i</w:t>
      </w:r>
      <w:r w:rsidR="003A546F" w:rsidRPr="00C73325">
        <w:rPr>
          <w:rFonts w:cs="Times New Roman"/>
          <w:szCs w:val="24"/>
        </w:rPr>
        <w:t xml:space="preserve">t has been suggested that frequent board meetings can improve board independence and effectiveness by allowing directors more time </w:t>
      </w:r>
      <w:r w:rsidR="009D604D" w:rsidRPr="00C73325">
        <w:rPr>
          <w:rFonts w:cs="Times New Roman"/>
          <w:szCs w:val="24"/>
        </w:rPr>
        <w:t xml:space="preserve">to </w:t>
      </w:r>
      <w:r w:rsidR="002075CC" w:rsidRPr="00C73325">
        <w:rPr>
          <w:rFonts w:cs="Times New Roman"/>
          <w:szCs w:val="24"/>
        </w:rPr>
        <w:t>monitor/</w:t>
      </w:r>
      <w:r w:rsidR="009D604D" w:rsidRPr="00C73325">
        <w:rPr>
          <w:rFonts w:cs="Times New Roman"/>
          <w:szCs w:val="24"/>
        </w:rPr>
        <w:t xml:space="preserve">evaluate management performance </w:t>
      </w:r>
      <w:r w:rsidR="00E0284C" w:rsidRPr="00C73325">
        <w:rPr>
          <w:rFonts w:cs="Times New Roman"/>
          <w:szCs w:val="24"/>
        </w:rPr>
        <w:t>(</w:t>
      </w:r>
      <w:r w:rsidR="00E0284C" w:rsidRPr="00C73325">
        <w:rPr>
          <w:rStyle w:val="hps"/>
          <w:rFonts w:asciiTheme="majorBidi" w:hAnsiTheme="majorBidi"/>
          <w:noProof/>
          <w:szCs w:val="24"/>
        </w:rPr>
        <w:t>Conger</w:t>
      </w:r>
      <w:r w:rsidR="00E0284C" w:rsidRPr="00C73325">
        <w:rPr>
          <w:rStyle w:val="hps"/>
          <w:rFonts w:asciiTheme="majorBidi" w:hAnsiTheme="majorBidi"/>
          <w:i/>
          <w:noProof/>
          <w:szCs w:val="24"/>
        </w:rPr>
        <w:t xml:space="preserve"> </w:t>
      </w:r>
      <w:r w:rsidR="00E0284C" w:rsidRPr="00CD1578">
        <w:rPr>
          <w:rStyle w:val="hps"/>
          <w:rFonts w:asciiTheme="majorBidi" w:hAnsiTheme="majorBidi"/>
          <w:noProof/>
          <w:szCs w:val="24"/>
        </w:rPr>
        <w:t>et al</w:t>
      </w:r>
      <w:r w:rsidR="00E0284C" w:rsidRPr="00C73325">
        <w:rPr>
          <w:rStyle w:val="hps"/>
          <w:rFonts w:asciiTheme="majorBidi" w:hAnsiTheme="majorBidi"/>
          <w:i/>
          <w:noProof/>
          <w:szCs w:val="24"/>
        </w:rPr>
        <w:t>.</w:t>
      </w:r>
      <w:r w:rsidR="00E0284C" w:rsidRPr="00C73325">
        <w:rPr>
          <w:rStyle w:val="hps"/>
          <w:rFonts w:asciiTheme="majorBidi" w:hAnsiTheme="majorBidi"/>
          <w:noProof/>
          <w:szCs w:val="24"/>
        </w:rPr>
        <w:t xml:space="preserve">, 1998). </w:t>
      </w:r>
      <w:r w:rsidR="002075CC" w:rsidRPr="00C73325">
        <w:rPr>
          <w:rStyle w:val="hps"/>
          <w:rFonts w:asciiTheme="majorBidi" w:hAnsiTheme="majorBidi"/>
          <w:noProof/>
          <w:szCs w:val="24"/>
        </w:rPr>
        <w:t>Increased managerial monitoring associatd with board meetings can reduce agency problems and increase firm performance, including dividend pay</w:t>
      </w:r>
      <w:r w:rsidR="00855D30" w:rsidRPr="00C73325">
        <w:rPr>
          <w:rStyle w:val="hps"/>
          <w:rFonts w:asciiTheme="majorBidi" w:hAnsiTheme="majorBidi"/>
          <w:noProof/>
          <w:szCs w:val="24"/>
        </w:rPr>
        <w:t>-</w:t>
      </w:r>
      <w:r w:rsidR="002075CC" w:rsidRPr="00C73325">
        <w:rPr>
          <w:rStyle w:val="hps"/>
          <w:rFonts w:asciiTheme="majorBidi" w:hAnsiTheme="majorBidi"/>
          <w:noProof/>
          <w:szCs w:val="24"/>
        </w:rPr>
        <w:t xml:space="preserve">out </w:t>
      </w:r>
      <w:r w:rsidR="00D450D6" w:rsidRPr="00C73325">
        <w:rPr>
          <w:rStyle w:val="hps"/>
          <w:rFonts w:asciiTheme="majorBidi" w:hAnsiTheme="majorBidi"/>
          <w:noProof/>
          <w:szCs w:val="24"/>
        </w:rPr>
        <w:t>(Ntim &amp; Osei, 2011</w:t>
      </w:r>
      <w:r w:rsidR="00870D5C">
        <w:rPr>
          <w:rStyle w:val="hps"/>
          <w:rFonts w:asciiTheme="majorBidi" w:hAnsiTheme="majorBidi"/>
          <w:noProof/>
          <w:szCs w:val="24"/>
        </w:rPr>
        <w:t>; Ntim, 2013a, b</w:t>
      </w:r>
      <w:r w:rsidR="00D450D6" w:rsidRPr="00C73325">
        <w:rPr>
          <w:rStyle w:val="hps"/>
          <w:rFonts w:asciiTheme="majorBidi" w:hAnsiTheme="majorBidi"/>
          <w:noProof/>
          <w:szCs w:val="24"/>
        </w:rPr>
        <w:t xml:space="preserve">). </w:t>
      </w:r>
      <w:r w:rsidR="00B700E9" w:rsidRPr="00C73325">
        <w:rPr>
          <w:rStyle w:val="hps"/>
          <w:rFonts w:asciiTheme="majorBidi" w:hAnsiTheme="majorBidi"/>
          <w:noProof/>
          <w:szCs w:val="24"/>
        </w:rPr>
        <w:t xml:space="preserve">On the other hand, the substitute hypothesis suggests that </w:t>
      </w:r>
      <w:r w:rsidR="00B700E9" w:rsidRPr="00450D70">
        <w:rPr>
          <w:rStyle w:val="hps"/>
          <w:rFonts w:asciiTheme="majorBidi" w:hAnsiTheme="majorBidi"/>
          <w:noProof/>
          <w:szCs w:val="24"/>
        </w:rPr>
        <w:t xml:space="preserve">frequent board meetings may not be considered as a good governance mechanism, because it can reduce </w:t>
      </w:r>
      <w:r w:rsidR="00B700E9" w:rsidRPr="00450D70">
        <w:rPr>
          <w:rFonts w:cs="Times New Roman"/>
          <w:noProof/>
          <w:szCs w:val="24"/>
        </w:rPr>
        <w:t>the time outside executives spend effectively</w:t>
      </w:r>
      <w:r w:rsidR="00AE0610">
        <w:rPr>
          <w:rFonts w:cs="Times New Roman"/>
          <w:noProof/>
          <w:szCs w:val="24"/>
        </w:rPr>
        <w:t xml:space="preserve"> in</w:t>
      </w:r>
      <w:r w:rsidR="00B700E9" w:rsidRPr="00450D70">
        <w:rPr>
          <w:rFonts w:cs="Times New Roman"/>
          <w:noProof/>
          <w:szCs w:val="24"/>
        </w:rPr>
        <w:t xml:space="preserve"> monitoring management (Lipton &amp; Lorsch, 1992), </w:t>
      </w:r>
      <w:r w:rsidR="00B700E9" w:rsidRPr="004B422B">
        <w:rPr>
          <w:rFonts w:cs="Times New Roman"/>
          <w:noProof/>
          <w:szCs w:val="24"/>
        </w:rPr>
        <w:t>and</w:t>
      </w:r>
      <w:r w:rsidR="00B700E9" w:rsidRPr="004B422B">
        <w:rPr>
          <w:rFonts w:eastAsia="Times New Roman" w:cs="Times New Roman"/>
          <w:szCs w:val="24"/>
        </w:rPr>
        <w:t xml:space="preserve"> this may result in increasing agency costs (</w:t>
      </w:r>
      <w:proofErr w:type="spellStart"/>
      <w:r w:rsidR="00B700E9" w:rsidRPr="004B422B">
        <w:rPr>
          <w:rFonts w:cs="Times New Roman"/>
          <w:noProof/>
          <w:szCs w:val="24"/>
        </w:rPr>
        <w:t>Vafeas</w:t>
      </w:r>
      <w:proofErr w:type="spellEnd"/>
      <w:r w:rsidR="00B700E9" w:rsidRPr="004B422B">
        <w:rPr>
          <w:rFonts w:cs="Times New Roman"/>
          <w:noProof/>
          <w:szCs w:val="24"/>
        </w:rPr>
        <w:t>, 1999). To substitute for poor governance associated with frequent board meetings, managers</w:t>
      </w:r>
      <w:r w:rsidR="00B700E9" w:rsidRPr="00450D70">
        <w:rPr>
          <w:rFonts w:cs="Times New Roman"/>
          <w:noProof/>
        </w:rPr>
        <w:t xml:space="preserve"> may use dividends to signal to the market that shareholders’ interests are protected (</w:t>
      </w:r>
      <w:proofErr w:type="spellStart"/>
      <w:r w:rsidR="00B700E9" w:rsidRPr="00450D70">
        <w:t>Sawicki</w:t>
      </w:r>
      <w:proofErr w:type="spellEnd"/>
      <w:r w:rsidR="00B700E9" w:rsidRPr="00450D70">
        <w:t>, 2009).</w:t>
      </w:r>
    </w:p>
    <w:p w14:paraId="0AE97363" w14:textId="3F4504DF" w:rsidR="00CC0842" w:rsidRPr="00C73325" w:rsidRDefault="00677EFE" w:rsidP="006E308A">
      <w:pPr>
        <w:spacing w:before="0" w:after="0" w:line="360" w:lineRule="auto"/>
        <w:ind w:firstLine="360"/>
        <w:rPr>
          <w:rFonts w:cs="Times New Roman"/>
          <w:szCs w:val="24"/>
        </w:rPr>
      </w:pPr>
      <w:r w:rsidRPr="00C73325">
        <w:rPr>
          <w:rFonts w:cs="Times New Roman"/>
          <w:noProof/>
        </w:rPr>
        <w:t xml:space="preserve">Empirically, although a number of past studies suggest that </w:t>
      </w:r>
      <w:r w:rsidR="00B71993" w:rsidRPr="00FF6091">
        <w:rPr>
          <w:rFonts w:cs="Times New Roman"/>
          <w:noProof/>
        </w:rPr>
        <w:t xml:space="preserve">board meetings impacts </w:t>
      </w:r>
      <w:r w:rsidR="00D12723" w:rsidRPr="00C73325">
        <w:rPr>
          <w:rFonts w:cs="Times New Roman"/>
          <w:noProof/>
        </w:rPr>
        <w:t>significantly</w:t>
      </w:r>
      <w:r w:rsidR="00B71993" w:rsidRPr="00C73325">
        <w:rPr>
          <w:rFonts w:cs="Times New Roman"/>
          <w:noProof/>
        </w:rPr>
        <w:t xml:space="preserve"> on performance (</w:t>
      </w:r>
      <w:r w:rsidR="00177606" w:rsidRPr="00C73325">
        <w:rPr>
          <w:rFonts w:cs="Times New Roman"/>
          <w:noProof/>
          <w:szCs w:val="24"/>
        </w:rPr>
        <w:t xml:space="preserve">Chen &amp; Chen, 2012; </w:t>
      </w:r>
      <w:r w:rsidR="00DF2C79" w:rsidRPr="0032702E">
        <w:rPr>
          <w:rFonts w:cs="Times New Roman"/>
          <w:noProof/>
          <w:szCs w:val="24"/>
        </w:rPr>
        <w:t>Hao, Hu, Liu and Yao, 2014</w:t>
      </w:r>
      <w:r w:rsidR="00DF2C79">
        <w:rPr>
          <w:rFonts w:cs="Times New Roman"/>
          <w:noProof/>
          <w:szCs w:val="24"/>
        </w:rPr>
        <w:t xml:space="preserve">; </w:t>
      </w:r>
      <w:r w:rsidR="00804CC0" w:rsidRPr="00C73325">
        <w:rPr>
          <w:rFonts w:cs="Times New Roman"/>
          <w:noProof/>
          <w:szCs w:val="24"/>
        </w:rPr>
        <w:t>Hu</w:t>
      </w:r>
      <w:r w:rsidR="00804CC0" w:rsidRPr="00C73325">
        <w:rPr>
          <w:rFonts w:cs="Times New Roman"/>
          <w:i/>
          <w:noProof/>
          <w:szCs w:val="24"/>
        </w:rPr>
        <w:t xml:space="preserve"> </w:t>
      </w:r>
      <w:r w:rsidR="00804CC0" w:rsidRPr="00C73325">
        <w:rPr>
          <w:rFonts w:cs="Times New Roman"/>
          <w:iCs/>
          <w:noProof/>
          <w:szCs w:val="24"/>
        </w:rPr>
        <w:t>et al.,</w:t>
      </w:r>
      <w:r w:rsidR="00804CC0" w:rsidRPr="00C73325">
        <w:rPr>
          <w:rFonts w:cs="Times New Roman"/>
          <w:i/>
          <w:noProof/>
          <w:szCs w:val="24"/>
        </w:rPr>
        <w:t xml:space="preserve"> </w:t>
      </w:r>
      <w:r w:rsidR="00804CC0" w:rsidRPr="00C73325">
        <w:rPr>
          <w:rFonts w:cs="Times New Roman"/>
          <w:iCs/>
          <w:noProof/>
          <w:szCs w:val="24"/>
        </w:rPr>
        <w:t>2010;</w:t>
      </w:r>
      <w:r w:rsidR="00B71993" w:rsidRPr="00C73325">
        <w:rPr>
          <w:rFonts w:cs="Times New Roman"/>
          <w:szCs w:val="24"/>
        </w:rPr>
        <w:t xml:space="preserve"> </w:t>
      </w:r>
      <w:r w:rsidR="00565D62" w:rsidRPr="00C73325">
        <w:rPr>
          <w:rFonts w:cs="Times New Roman"/>
          <w:noProof/>
          <w:szCs w:val="24"/>
        </w:rPr>
        <w:t>Karamanou &amp; Vafeas</w:t>
      </w:r>
      <w:r w:rsidR="00565D62" w:rsidRPr="00C73325">
        <w:rPr>
          <w:rFonts w:cs="Times New Roman"/>
          <w:noProof/>
        </w:rPr>
        <w:t>, 2005; Ntim &amp; Osei, 2011</w:t>
      </w:r>
      <w:r w:rsidR="00804CC0" w:rsidRPr="00C73325">
        <w:rPr>
          <w:rFonts w:cs="Times New Roman"/>
          <w:szCs w:val="24"/>
        </w:rPr>
        <w:t xml:space="preserve">), there seems to be a lack of studies examining the effect of board meetings on dividend </w:t>
      </w:r>
      <w:r w:rsidR="00855D30" w:rsidRPr="00C73325">
        <w:rPr>
          <w:rFonts w:cs="Times New Roman"/>
          <w:szCs w:val="24"/>
        </w:rPr>
        <w:t>pay-out</w:t>
      </w:r>
      <w:r w:rsidR="00804CC0" w:rsidRPr="00C73325">
        <w:rPr>
          <w:rFonts w:cs="Times New Roman"/>
          <w:szCs w:val="24"/>
        </w:rPr>
        <w:t xml:space="preserve"> policy. This offer</w:t>
      </w:r>
      <w:r w:rsidR="00565D62" w:rsidRPr="00C73325">
        <w:rPr>
          <w:rFonts w:cs="Times New Roman"/>
          <w:szCs w:val="24"/>
        </w:rPr>
        <w:t>s</w:t>
      </w:r>
      <w:r w:rsidR="00804CC0" w:rsidRPr="00C73325">
        <w:rPr>
          <w:rFonts w:cs="Times New Roman"/>
          <w:szCs w:val="24"/>
        </w:rPr>
        <w:t xml:space="preserve"> opportunity to make original contribution to the literature. </w:t>
      </w:r>
      <w:r w:rsidR="00565D62" w:rsidRPr="00C73325">
        <w:rPr>
          <w:rFonts w:cs="Times New Roman"/>
          <w:szCs w:val="24"/>
        </w:rPr>
        <w:t>Therefore</w:t>
      </w:r>
      <w:r w:rsidR="00056215" w:rsidRPr="00C73325">
        <w:rPr>
          <w:rFonts w:cs="Times New Roman"/>
          <w:szCs w:val="24"/>
        </w:rPr>
        <w:t>,</w:t>
      </w:r>
      <w:r w:rsidR="00565D62" w:rsidRPr="00C73325">
        <w:rPr>
          <w:rFonts w:cs="Times New Roman"/>
          <w:szCs w:val="24"/>
        </w:rPr>
        <w:t xml:space="preserve"> and to the extent that the frequency of board meetings </w:t>
      </w:r>
      <w:r w:rsidR="00D12723" w:rsidRPr="00C73325">
        <w:rPr>
          <w:rFonts w:cs="Times New Roman"/>
          <w:szCs w:val="24"/>
        </w:rPr>
        <w:t>impacts negatively on</w:t>
      </w:r>
      <w:r w:rsidR="00565D62" w:rsidRPr="00C73325">
        <w:rPr>
          <w:rFonts w:cs="Times New Roman"/>
          <w:szCs w:val="24"/>
        </w:rPr>
        <w:t xml:space="preserve"> firm performance</w:t>
      </w:r>
      <w:r w:rsidR="00D12723" w:rsidRPr="00C73325">
        <w:rPr>
          <w:rFonts w:cs="Times New Roman"/>
          <w:szCs w:val="24"/>
        </w:rPr>
        <w:t xml:space="preserve"> (</w:t>
      </w:r>
      <w:proofErr w:type="spellStart"/>
      <w:r w:rsidR="00D12723" w:rsidRPr="00C73325">
        <w:rPr>
          <w:rFonts w:eastAsia="Times New Roman" w:cs="Times New Roman"/>
          <w:szCs w:val="24"/>
        </w:rPr>
        <w:t>Taghizadeh</w:t>
      </w:r>
      <w:proofErr w:type="spellEnd"/>
      <w:r w:rsidR="00D12723" w:rsidRPr="00C73325">
        <w:rPr>
          <w:rFonts w:eastAsia="Times New Roman" w:cs="Times New Roman"/>
          <w:szCs w:val="24"/>
        </w:rPr>
        <w:t xml:space="preserve"> &amp; </w:t>
      </w:r>
      <w:proofErr w:type="spellStart"/>
      <w:r w:rsidR="00D12723" w:rsidRPr="00C73325">
        <w:rPr>
          <w:rFonts w:eastAsia="Times New Roman" w:cs="Times New Roman"/>
          <w:szCs w:val="24"/>
        </w:rPr>
        <w:t>Saremi</w:t>
      </w:r>
      <w:proofErr w:type="spellEnd"/>
      <w:r w:rsidR="00D12723" w:rsidRPr="00C73325">
        <w:rPr>
          <w:rFonts w:eastAsia="Times New Roman" w:cs="Times New Roman"/>
          <w:szCs w:val="24"/>
        </w:rPr>
        <w:t>, 2013)</w:t>
      </w:r>
      <w:r w:rsidR="00D07C96" w:rsidRPr="00C73325">
        <w:rPr>
          <w:rFonts w:eastAsia="Times New Roman" w:cs="Times New Roman"/>
          <w:szCs w:val="24"/>
        </w:rPr>
        <w:t>,</w:t>
      </w:r>
      <w:r w:rsidR="00565D62" w:rsidRPr="00C73325">
        <w:rPr>
          <w:rFonts w:cs="Times New Roman"/>
          <w:szCs w:val="24"/>
        </w:rPr>
        <w:t xml:space="preserve"> we expect that </w:t>
      </w:r>
      <w:r w:rsidR="00177606" w:rsidRPr="00C73325">
        <w:rPr>
          <w:rFonts w:cs="Times New Roman"/>
          <w:szCs w:val="24"/>
        </w:rPr>
        <w:t xml:space="preserve">firms with frequent board meetings </w:t>
      </w:r>
      <w:r w:rsidR="00AE0610">
        <w:rPr>
          <w:rFonts w:cs="Times New Roman"/>
          <w:szCs w:val="24"/>
        </w:rPr>
        <w:t>will be</w:t>
      </w:r>
      <w:r w:rsidR="006E308A" w:rsidRPr="00C73325">
        <w:rPr>
          <w:rFonts w:cs="Times New Roman"/>
          <w:szCs w:val="24"/>
        </w:rPr>
        <w:t xml:space="preserve"> associated with good governance practices and dividends play a substitute role in mitigating agency problems when governance practices are poor and, </w:t>
      </w:r>
      <w:r w:rsidR="00177606" w:rsidRPr="00C73325">
        <w:rPr>
          <w:rFonts w:cs="Times New Roman"/>
          <w:szCs w:val="24"/>
        </w:rPr>
        <w:t>hence</w:t>
      </w:r>
      <w:r w:rsidR="00D07C96" w:rsidRPr="00C73325">
        <w:rPr>
          <w:rFonts w:cs="Times New Roman"/>
          <w:szCs w:val="24"/>
        </w:rPr>
        <w:t>,</w:t>
      </w:r>
      <w:r w:rsidR="00177606" w:rsidRPr="00C73325">
        <w:rPr>
          <w:rFonts w:cs="Times New Roman"/>
          <w:szCs w:val="24"/>
        </w:rPr>
        <w:t xml:space="preserve"> our fourth hypothesis to be tested is that: </w:t>
      </w:r>
    </w:p>
    <w:p w14:paraId="19D44EB6" w14:textId="39300960" w:rsidR="00D75850" w:rsidRPr="00C73325" w:rsidRDefault="00F0032D" w:rsidP="00D12723">
      <w:pPr>
        <w:spacing w:before="0" w:after="0"/>
        <w:ind w:left="720"/>
        <w:rPr>
          <w:rFonts w:cs="Times New Roman"/>
          <w:i/>
          <w:szCs w:val="24"/>
        </w:rPr>
      </w:pPr>
      <w:r w:rsidRPr="00C73325">
        <w:rPr>
          <w:rFonts w:cs="Times New Roman"/>
          <w:b/>
          <w:i/>
          <w:szCs w:val="24"/>
        </w:rPr>
        <w:lastRenderedPageBreak/>
        <w:t>H4</w:t>
      </w:r>
      <w:r w:rsidR="00D75850" w:rsidRPr="00C73325">
        <w:rPr>
          <w:rFonts w:cs="Times New Roman"/>
          <w:b/>
          <w:i/>
          <w:szCs w:val="24"/>
        </w:rPr>
        <w:t>:</w:t>
      </w:r>
      <w:r w:rsidR="00A10F74" w:rsidRPr="00C73325">
        <w:rPr>
          <w:rFonts w:cs="Times New Roman"/>
          <w:i/>
          <w:szCs w:val="24"/>
        </w:rPr>
        <w:t xml:space="preserve"> </w:t>
      </w:r>
      <w:r w:rsidR="00177606" w:rsidRPr="00C73325">
        <w:rPr>
          <w:rFonts w:cs="Times New Roman"/>
          <w:i/>
          <w:szCs w:val="24"/>
        </w:rPr>
        <w:t>There is a</w:t>
      </w:r>
      <w:r w:rsidRPr="00C73325">
        <w:rPr>
          <w:rFonts w:cs="Times New Roman"/>
          <w:i/>
          <w:szCs w:val="24"/>
        </w:rPr>
        <w:t xml:space="preserve"> </w:t>
      </w:r>
      <w:r w:rsidR="00D12723" w:rsidRPr="00C73325">
        <w:rPr>
          <w:rFonts w:cs="Times New Roman"/>
          <w:i/>
          <w:szCs w:val="24"/>
        </w:rPr>
        <w:t>negative</w:t>
      </w:r>
      <w:r w:rsidR="00177606" w:rsidRPr="00C73325">
        <w:rPr>
          <w:rFonts w:cs="Times New Roman"/>
          <w:i/>
          <w:szCs w:val="24"/>
        </w:rPr>
        <w:t xml:space="preserve"> </w:t>
      </w:r>
      <w:r w:rsidRPr="00C73325">
        <w:rPr>
          <w:rFonts w:cs="Times New Roman"/>
          <w:i/>
          <w:szCs w:val="24"/>
        </w:rPr>
        <w:t xml:space="preserve">relationship between </w:t>
      </w:r>
      <w:r w:rsidR="00FE7314" w:rsidRPr="00C73325">
        <w:rPr>
          <w:rFonts w:cs="Times New Roman"/>
          <w:i/>
          <w:szCs w:val="24"/>
        </w:rPr>
        <w:t xml:space="preserve">the </w:t>
      </w:r>
      <w:r w:rsidR="00D75850" w:rsidRPr="00C73325">
        <w:rPr>
          <w:rFonts w:cs="Times New Roman"/>
          <w:i/>
          <w:szCs w:val="24"/>
        </w:rPr>
        <w:t>frequency of board meeting</w:t>
      </w:r>
      <w:r w:rsidR="00FE7314" w:rsidRPr="00C73325">
        <w:rPr>
          <w:rFonts w:cs="Times New Roman"/>
          <w:i/>
          <w:szCs w:val="24"/>
        </w:rPr>
        <w:t>s</w:t>
      </w:r>
      <w:r w:rsidR="00D75850" w:rsidRPr="00C73325">
        <w:rPr>
          <w:rFonts w:cs="Times New Roman"/>
          <w:i/>
          <w:szCs w:val="24"/>
        </w:rPr>
        <w:t xml:space="preserve"> and </w:t>
      </w:r>
      <w:r w:rsidR="00482443" w:rsidRPr="00C73325">
        <w:rPr>
          <w:rFonts w:cs="Times New Roman"/>
          <w:i/>
          <w:szCs w:val="24"/>
        </w:rPr>
        <w:t xml:space="preserve">dividend </w:t>
      </w:r>
      <w:r w:rsidR="00855D30" w:rsidRPr="00C73325">
        <w:rPr>
          <w:rFonts w:cs="Times New Roman"/>
          <w:i/>
          <w:szCs w:val="24"/>
        </w:rPr>
        <w:t>pay-out</w:t>
      </w:r>
      <w:r w:rsidR="00482443" w:rsidRPr="00C73325">
        <w:rPr>
          <w:rFonts w:cs="Times New Roman"/>
          <w:i/>
          <w:szCs w:val="24"/>
        </w:rPr>
        <w:t xml:space="preserve"> rate</w:t>
      </w:r>
      <w:r w:rsidR="00D75850" w:rsidRPr="00C73325">
        <w:rPr>
          <w:rFonts w:cs="Times New Roman"/>
          <w:i/>
          <w:szCs w:val="24"/>
        </w:rPr>
        <w:t>.</w:t>
      </w:r>
    </w:p>
    <w:p w14:paraId="15E35B1B" w14:textId="64FB3EA7" w:rsidR="00F0032D" w:rsidRPr="00C73325" w:rsidRDefault="00F0032D" w:rsidP="00D75850">
      <w:pPr>
        <w:spacing w:before="0" w:after="0"/>
        <w:ind w:left="720"/>
        <w:rPr>
          <w:rFonts w:cs="Times New Roman"/>
          <w:i/>
          <w:szCs w:val="24"/>
        </w:rPr>
      </w:pPr>
      <w:r w:rsidRPr="00C73325">
        <w:rPr>
          <w:rFonts w:cs="Times New Roman"/>
          <w:i/>
          <w:szCs w:val="24"/>
        </w:rPr>
        <w:t xml:space="preserve">                    </w:t>
      </w:r>
    </w:p>
    <w:p w14:paraId="4E2AD7F3" w14:textId="27DECC03" w:rsidR="0033063A" w:rsidRPr="00C73325" w:rsidRDefault="00414CB6" w:rsidP="00993DA9">
      <w:pPr>
        <w:pStyle w:val="Heading2"/>
        <w:spacing w:after="240"/>
        <w:rPr>
          <w:b/>
          <w:color w:val="auto"/>
        </w:rPr>
      </w:pPr>
      <w:r w:rsidRPr="00C73325">
        <w:rPr>
          <w:b/>
          <w:color w:val="auto"/>
        </w:rPr>
        <w:t xml:space="preserve">4.5 </w:t>
      </w:r>
      <w:r w:rsidR="0033063A" w:rsidRPr="00C73325">
        <w:rPr>
          <w:b/>
          <w:color w:val="auto"/>
        </w:rPr>
        <w:t xml:space="preserve">Board </w:t>
      </w:r>
      <w:r w:rsidRPr="00C73325">
        <w:rPr>
          <w:b/>
          <w:color w:val="auto"/>
        </w:rPr>
        <w:t>g</w:t>
      </w:r>
      <w:r w:rsidR="0033063A" w:rsidRPr="00C73325">
        <w:rPr>
          <w:b/>
          <w:color w:val="auto"/>
        </w:rPr>
        <w:t xml:space="preserve">ender </w:t>
      </w:r>
      <w:r w:rsidRPr="00C73325">
        <w:rPr>
          <w:b/>
          <w:color w:val="auto"/>
        </w:rPr>
        <w:t>d</w:t>
      </w:r>
      <w:r w:rsidR="0033063A" w:rsidRPr="00C73325">
        <w:rPr>
          <w:b/>
          <w:color w:val="auto"/>
        </w:rPr>
        <w:t xml:space="preserve">iversity </w:t>
      </w:r>
      <w:r w:rsidRPr="00C73325">
        <w:rPr>
          <w:b/>
          <w:color w:val="auto"/>
        </w:rPr>
        <w:t>and dividend policy</w:t>
      </w:r>
    </w:p>
    <w:p w14:paraId="4DAB893A" w14:textId="7F33C36D" w:rsidR="006E308A" w:rsidRPr="00AE0610" w:rsidRDefault="00FA1983" w:rsidP="006E308A">
      <w:pPr>
        <w:spacing w:before="0" w:after="0" w:line="360" w:lineRule="auto"/>
        <w:ind w:firstLine="360"/>
        <w:rPr>
          <w:rFonts w:cs="Times New Roman"/>
          <w:szCs w:val="24"/>
        </w:rPr>
      </w:pPr>
      <w:r w:rsidRPr="00C73325">
        <w:rPr>
          <w:rFonts w:cs="Times New Roman"/>
          <w:szCs w:val="24"/>
          <w:lang w:val="en-US"/>
        </w:rPr>
        <w:t>Although, board diversity can be defined based on different attributes (e.g., education background, age, ethnicity and gender), this study focuses only on gender diversity aspect of the board for two reasons: (</w:t>
      </w:r>
      <w:proofErr w:type="spellStart"/>
      <w:r w:rsidRPr="00C73325">
        <w:rPr>
          <w:rFonts w:cs="Times New Roman"/>
          <w:szCs w:val="24"/>
          <w:lang w:val="en-US"/>
        </w:rPr>
        <w:t>i</w:t>
      </w:r>
      <w:proofErr w:type="spellEnd"/>
      <w:r w:rsidRPr="00C73325">
        <w:rPr>
          <w:rFonts w:cs="Times New Roman"/>
          <w:szCs w:val="24"/>
          <w:lang w:val="en-US"/>
        </w:rPr>
        <w:t xml:space="preserve">) gender diversity aspect has been widely investigated </w:t>
      </w:r>
      <w:r w:rsidR="0085437D" w:rsidRPr="00C73325">
        <w:rPr>
          <w:rFonts w:cs="Times New Roman"/>
          <w:szCs w:val="24"/>
          <w:lang w:val="en-US"/>
        </w:rPr>
        <w:t>(</w:t>
      </w:r>
      <w:r w:rsidR="0085437D" w:rsidRPr="00C73325">
        <w:t xml:space="preserve">Chapple &amp; Humphrey, 2014; </w:t>
      </w:r>
      <w:r w:rsidR="004F7F7D" w:rsidRPr="00C73325">
        <w:rPr>
          <w:rFonts w:cs="Times New Roman"/>
          <w:szCs w:val="24"/>
        </w:rPr>
        <w:t xml:space="preserve">Nguyen &amp; Faff 2007; </w:t>
      </w:r>
      <w:proofErr w:type="spellStart"/>
      <w:r w:rsidR="004F7F7D" w:rsidRPr="00C73325">
        <w:rPr>
          <w:rFonts w:cs="Times New Roman"/>
          <w:szCs w:val="24"/>
        </w:rPr>
        <w:t>Julizaerma</w:t>
      </w:r>
      <w:proofErr w:type="spellEnd"/>
      <w:r w:rsidR="004F7F7D" w:rsidRPr="00C73325">
        <w:rPr>
          <w:rFonts w:cs="Times New Roman"/>
          <w:szCs w:val="24"/>
        </w:rPr>
        <w:t xml:space="preserve"> &amp; </w:t>
      </w:r>
      <w:proofErr w:type="spellStart"/>
      <w:r w:rsidR="004F7F7D" w:rsidRPr="00C73325">
        <w:rPr>
          <w:rFonts w:cs="Times New Roman"/>
          <w:szCs w:val="24"/>
        </w:rPr>
        <w:t>Sori</w:t>
      </w:r>
      <w:proofErr w:type="spellEnd"/>
      <w:r w:rsidR="004F7F7D" w:rsidRPr="00C73325">
        <w:rPr>
          <w:rFonts w:cs="Times New Roman"/>
          <w:szCs w:val="24"/>
        </w:rPr>
        <w:t xml:space="preserve"> 2012; Ntim, 2015); and (ii) this aspect can be measured easily (Ntim, 2015). </w:t>
      </w:r>
      <w:r w:rsidR="009066C2" w:rsidRPr="00C73325">
        <w:rPr>
          <w:rFonts w:cs="Times New Roman"/>
          <w:szCs w:val="24"/>
        </w:rPr>
        <w:t>The outcome hypothesis</w:t>
      </w:r>
      <w:r w:rsidR="00BF09AC" w:rsidRPr="00C73325">
        <w:rPr>
          <w:rFonts w:cs="Times New Roman"/>
          <w:szCs w:val="24"/>
        </w:rPr>
        <w:t xml:space="preserve"> suggest</w:t>
      </w:r>
      <w:r w:rsidR="009066C2" w:rsidRPr="00C73325">
        <w:rPr>
          <w:rFonts w:cs="Times New Roman"/>
          <w:szCs w:val="24"/>
        </w:rPr>
        <w:t>s</w:t>
      </w:r>
      <w:r w:rsidR="00BF09AC" w:rsidRPr="00C73325">
        <w:rPr>
          <w:rFonts w:cs="Times New Roman"/>
          <w:szCs w:val="24"/>
        </w:rPr>
        <w:t xml:space="preserve"> that board diversity can improve board independence and effectiveness by bringing </w:t>
      </w:r>
      <w:r w:rsidR="004567A0" w:rsidRPr="00C73325">
        <w:rPr>
          <w:rFonts w:cs="Times New Roman"/>
          <w:szCs w:val="24"/>
        </w:rPr>
        <w:t>diverse ideas, perspectives and experience to the board</w:t>
      </w:r>
      <w:r w:rsidR="00226DB1" w:rsidRPr="00C73325">
        <w:rPr>
          <w:rFonts w:cs="Times New Roman"/>
          <w:szCs w:val="24"/>
        </w:rPr>
        <w:t xml:space="preserve"> </w:t>
      </w:r>
      <w:r w:rsidR="00B87F0D" w:rsidRPr="00C73325">
        <w:rPr>
          <w:rFonts w:cs="Times New Roman"/>
          <w:szCs w:val="24"/>
        </w:rPr>
        <w:t>(</w:t>
      </w:r>
      <w:r w:rsidR="009B52EB" w:rsidRPr="00C73325">
        <w:rPr>
          <w:rFonts w:cs="Times New Roman"/>
          <w:szCs w:val="24"/>
        </w:rPr>
        <w:t xml:space="preserve">Asher et al., 2005; </w:t>
      </w:r>
      <w:r w:rsidR="00B87F0D" w:rsidRPr="00C73325">
        <w:rPr>
          <w:rFonts w:cs="Times New Roman"/>
          <w:szCs w:val="24"/>
        </w:rPr>
        <w:t>Carter et al., 2003</w:t>
      </w:r>
      <w:r w:rsidR="00EF4DCB" w:rsidRPr="00C73325">
        <w:rPr>
          <w:rFonts w:cs="Times New Roman"/>
          <w:szCs w:val="24"/>
        </w:rPr>
        <w:t>; Tsuji, 2012</w:t>
      </w:r>
      <w:r w:rsidR="00791E42" w:rsidRPr="00C73325">
        <w:rPr>
          <w:rFonts w:cs="Times New Roman"/>
          <w:szCs w:val="24"/>
        </w:rPr>
        <w:t>)</w:t>
      </w:r>
      <w:r w:rsidR="006D591C" w:rsidRPr="00C73325">
        <w:rPr>
          <w:rFonts w:cs="Times New Roman"/>
          <w:szCs w:val="24"/>
        </w:rPr>
        <w:t xml:space="preserve">. </w:t>
      </w:r>
      <w:r w:rsidR="005E4DBD" w:rsidRPr="00C73325">
        <w:rPr>
          <w:rFonts w:cs="Times New Roman"/>
          <w:szCs w:val="24"/>
        </w:rPr>
        <w:t xml:space="preserve">Therefore, board gender diversity can increase firm performance and dividend </w:t>
      </w:r>
      <w:r w:rsidR="00855D30" w:rsidRPr="00C73325">
        <w:rPr>
          <w:rFonts w:cs="Times New Roman"/>
          <w:szCs w:val="24"/>
        </w:rPr>
        <w:t>pay-out</w:t>
      </w:r>
      <w:r w:rsidR="005E4DBD" w:rsidRPr="00C73325">
        <w:rPr>
          <w:rFonts w:cs="Times New Roman"/>
          <w:szCs w:val="24"/>
        </w:rPr>
        <w:t xml:space="preserve">. </w:t>
      </w:r>
      <w:r w:rsidR="006E308A" w:rsidRPr="00C73325">
        <w:rPr>
          <w:rFonts w:cs="Times New Roman"/>
          <w:szCs w:val="24"/>
        </w:rPr>
        <w:t xml:space="preserve">By contrast, </w:t>
      </w:r>
      <w:r w:rsidR="00AE0610">
        <w:rPr>
          <w:rFonts w:cs="Times New Roman"/>
          <w:szCs w:val="24"/>
        </w:rPr>
        <w:t xml:space="preserve">and in line with the predictions of the substitute hypothesis, </w:t>
      </w:r>
      <w:r w:rsidR="006E308A" w:rsidRPr="00AE0610">
        <w:rPr>
          <w:rFonts w:cs="Times New Roman"/>
          <w:szCs w:val="24"/>
        </w:rPr>
        <w:t>board gender diversity may not be considered as effective governance mechanism because it can increase conflict among board members (</w:t>
      </w:r>
      <w:proofErr w:type="spellStart"/>
      <w:r w:rsidR="006E308A" w:rsidRPr="00AE0610">
        <w:rPr>
          <w:rFonts w:cs="Times New Roman"/>
          <w:szCs w:val="24"/>
        </w:rPr>
        <w:t>Baranchuk</w:t>
      </w:r>
      <w:proofErr w:type="spellEnd"/>
      <w:r w:rsidR="006E308A" w:rsidRPr="00AE0610">
        <w:rPr>
          <w:rFonts w:cs="Times New Roman"/>
          <w:szCs w:val="24"/>
        </w:rPr>
        <w:t xml:space="preserve"> &amp; </w:t>
      </w:r>
      <w:proofErr w:type="spellStart"/>
      <w:r w:rsidR="006E308A" w:rsidRPr="00AE0610">
        <w:rPr>
          <w:rFonts w:cs="Times New Roman"/>
          <w:szCs w:val="24"/>
        </w:rPr>
        <w:t>Dybvig</w:t>
      </w:r>
      <w:proofErr w:type="spellEnd"/>
      <w:r w:rsidR="006E308A" w:rsidRPr="00AE0610">
        <w:rPr>
          <w:rFonts w:cs="Times New Roman"/>
          <w:szCs w:val="24"/>
        </w:rPr>
        <w:t>, 2009). As poor governance can be associated with gender-diverse boards, firms with more women on their boards are expected to pay larger dividends in order to substitute for weaker governance.</w:t>
      </w:r>
    </w:p>
    <w:p w14:paraId="09536656" w14:textId="40DDA92E" w:rsidR="00AF5AF1" w:rsidRPr="00C73325" w:rsidRDefault="00BC27DB" w:rsidP="006E308A">
      <w:pPr>
        <w:spacing w:before="0" w:after="0" w:line="360" w:lineRule="auto"/>
        <w:ind w:firstLine="360"/>
        <w:rPr>
          <w:rFonts w:cs="Times New Roman"/>
          <w:szCs w:val="24"/>
        </w:rPr>
      </w:pPr>
      <w:r w:rsidRPr="00C73325">
        <w:rPr>
          <w:rFonts w:cs="Times New Roman"/>
          <w:szCs w:val="24"/>
        </w:rPr>
        <w:t xml:space="preserve">Empirically, </w:t>
      </w:r>
      <w:r w:rsidR="00394E43" w:rsidRPr="00C73325">
        <w:rPr>
          <w:rFonts w:cs="Times New Roman"/>
          <w:szCs w:val="24"/>
        </w:rPr>
        <w:t xml:space="preserve">and </w:t>
      </w:r>
      <w:r w:rsidRPr="00C73325">
        <w:rPr>
          <w:rFonts w:cs="Times New Roman"/>
          <w:szCs w:val="24"/>
        </w:rPr>
        <w:t xml:space="preserve">although several past studies suggest that board gender diversity impacts positively on performance (Carter et al., 2003; </w:t>
      </w:r>
      <w:proofErr w:type="spellStart"/>
      <w:r w:rsidR="007C274A" w:rsidRPr="00C73325">
        <w:rPr>
          <w:rFonts w:cs="Times New Roman"/>
          <w:szCs w:val="24"/>
        </w:rPr>
        <w:t>Julizaerma</w:t>
      </w:r>
      <w:proofErr w:type="spellEnd"/>
      <w:r w:rsidR="007C274A" w:rsidRPr="00C73325">
        <w:rPr>
          <w:rFonts w:cs="Times New Roman"/>
          <w:szCs w:val="24"/>
        </w:rPr>
        <w:t xml:space="preserve"> &amp; </w:t>
      </w:r>
      <w:proofErr w:type="spellStart"/>
      <w:r w:rsidR="007C274A" w:rsidRPr="00C73325">
        <w:rPr>
          <w:rFonts w:cs="Times New Roman"/>
          <w:szCs w:val="24"/>
        </w:rPr>
        <w:t>Sori</w:t>
      </w:r>
      <w:proofErr w:type="spellEnd"/>
      <w:r w:rsidR="007C274A" w:rsidRPr="00C73325">
        <w:rPr>
          <w:rFonts w:cs="Times New Roman"/>
          <w:szCs w:val="24"/>
        </w:rPr>
        <w:t xml:space="preserve">, 2012; </w:t>
      </w:r>
      <w:r w:rsidRPr="00C73325">
        <w:rPr>
          <w:rFonts w:cs="Times New Roman"/>
          <w:szCs w:val="24"/>
        </w:rPr>
        <w:t>Ntim, 2015</w:t>
      </w:r>
      <w:r w:rsidR="00464D27" w:rsidRPr="00C73325">
        <w:rPr>
          <w:rFonts w:cs="Times New Roman"/>
          <w:szCs w:val="24"/>
        </w:rPr>
        <w:t xml:space="preserve">; Smith et al., 2006; </w:t>
      </w:r>
      <w:proofErr w:type="spellStart"/>
      <w:r w:rsidR="007C274A" w:rsidRPr="00C73325">
        <w:rPr>
          <w:rFonts w:cs="Times New Roman"/>
          <w:szCs w:val="24"/>
        </w:rPr>
        <w:t>Taghizadeh</w:t>
      </w:r>
      <w:proofErr w:type="spellEnd"/>
      <w:r w:rsidR="007C274A" w:rsidRPr="00C73325">
        <w:rPr>
          <w:rFonts w:cs="Times New Roman"/>
          <w:szCs w:val="24"/>
        </w:rPr>
        <w:t xml:space="preserve"> &amp; </w:t>
      </w:r>
      <w:proofErr w:type="spellStart"/>
      <w:r w:rsidR="007C274A" w:rsidRPr="00C73325">
        <w:rPr>
          <w:rFonts w:cs="Times New Roman"/>
          <w:szCs w:val="24"/>
        </w:rPr>
        <w:t>Saremi</w:t>
      </w:r>
      <w:proofErr w:type="spellEnd"/>
      <w:r w:rsidR="007C274A" w:rsidRPr="00C73325">
        <w:rPr>
          <w:rFonts w:cs="Times New Roman"/>
          <w:szCs w:val="24"/>
        </w:rPr>
        <w:t xml:space="preserve">, 2013), there seems to be a lack of studies examining the influence of board gender diversity on dividend </w:t>
      </w:r>
      <w:r w:rsidR="00CB4D86" w:rsidRPr="00C73325">
        <w:rPr>
          <w:rFonts w:cs="Times New Roman"/>
          <w:szCs w:val="24"/>
        </w:rPr>
        <w:t>pay-out</w:t>
      </w:r>
      <w:r w:rsidR="007C274A" w:rsidRPr="00C73325">
        <w:rPr>
          <w:rFonts w:cs="Times New Roman"/>
          <w:szCs w:val="24"/>
        </w:rPr>
        <w:t xml:space="preserve"> policy. Thus, this study offers a timely contribution</w:t>
      </w:r>
      <w:r w:rsidR="00394E43" w:rsidRPr="00C73325">
        <w:rPr>
          <w:rFonts w:cs="Times New Roman"/>
          <w:szCs w:val="24"/>
        </w:rPr>
        <w:t xml:space="preserve"> to the extant literature</w:t>
      </w:r>
      <w:r w:rsidR="007C274A" w:rsidRPr="00C73325">
        <w:rPr>
          <w:rFonts w:cs="Times New Roman"/>
          <w:szCs w:val="24"/>
        </w:rPr>
        <w:t xml:space="preserve">. </w:t>
      </w:r>
      <w:r w:rsidR="001D0F29" w:rsidRPr="00C73325">
        <w:rPr>
          <w:rFonts w:cs="Times New Roman"/>
          <w:szCs w:val="24"/>
        </w:rPr>
        <w:t xml:space="preserve">For example, Carter et al. (2003) and </w:t>
      </w:r>
      <w:proofErr w:type="spellStart"/>
      <w:r w:rsidR="001D0F29" w:rsidRPr="00C73325">
        <w:rPr>
          <w:rFonts w:cs="Times New Roman"/>
          <w:szCs w:val="24"/>
        </w:rPr>
        <w:t>Erhardt</w:t>
      </w:r>
      <w:proofErr w:type="spellEnd"/>
      <w:r w:rsidR="001D0F29" w:rsidRPr="00C73325">
        <w:rPr>
          <w:rFonts w:cs="Times New Roman"/>
          <w:szCs w:val="24"/>
        </w:rPr>
        <w:t xml:space="preserve"> et al. (2003) report empirical evidence of a statistically positive association between board gender diversity and the performance of US firms. </w:t>
      </w:r>
      <w:r w:rsidR="00DE0A47" w:rsidRPr="00C73325">
        <w:rPr>
          <w:rFonts w:cs="Times New Roman"/>
          <w:szCs w:val="24"/>
        </w:rPr>
        <w:t xml:space="preserve">Within </w:t>
      </w:r>
      <w:r w:rsidR="00394E43" w:rsidRPr="00C73325">
        <w:rPr>
          <w:rFonts w:cs="Times New Roman"/>
          <w:szCs w:val="24"/>
        </w:rPr>
        <w:t xml:space="preserve">the </w:t>
      </w:r>
      <w:r w:rsidR="00DE0A47" w:rsidRPr="00C73325">
        <w:rPr>
          <w:rFonts w:cs="Times New Roman"/>
          <w:szCs w:val="24"/>
        </w:rPr>
        <w:t xml:space="preserve">UK context, </w:t>
      </w:r>
      <w:r w:rsidR="00394E43" w:rsidRPr="00C73325">
        <w:rPr>
          <w:rFonts w:cs="Times New Roman"/>
          <w:szCs w:val="24"/>
        </w:rPr>
        <w:t xml:space="preserve">the various </w:t>
      </w:r>
      <w:r w:rsidR="0022681F">
        <w:rPr>
          <w:rFonts w:cs="Times New Roman"/>
          <w:szCs w:val="24"/>
        </w:rPr>
        <w:t>corporate governance</w:t>
      </w:r>
      <w:r w:rsidR="00B44E12" w:rsidRPr="00C73325">
        <w:rPr>
          <w:rFonts w:cs="Times New Roman"/>
          <w:szCs w:val="24"/>
        </w:rPr>
        <w:t xml:space="preserve"> </w:t>
      </w:r>
      <w:r w:rsidR="00394E43" w:rsidRPr="00C73325">
        <w:rPr>
          <w:rFonts w:cs="Times New Roman"/>
          <w:szCs w:val="24"/>
        </w:rPr>
        <w:t>C</w:t>
      </w:r>
      <w:r w:rsidR="00B44E12" w:rsidRPr="00C73325">
        <w:rPr>
          <w:rFonts w:cs="Times New Roman"/>
          <w:szCs w:val="24"/>
        </w:rPr>
        <w:t>odes (e.g.</w:t>
      </w:r>
      <w:r w:rsidR="00464006">
        <w:rPr>
          <w:rFonts w:cs="Times New Roman"/>
          <w:szCs w:val="24"/>
        </w:rPr>
        <w:t>,</w:t>
      </w:r>
      <w:r w:rsidR="00B44E12" w:rsidRPr="00C73325">
        <w:rPr>
          <w:rFonts w:cs="Times New Roman"/>
          <w:szCs w:val="24"/>
        </w:rPr>
        <w:t xml:space="preserve"> </w:t>
      </w:r>
      <w:r w:rsidR="00BE3078" w:rsidRPr="00C73325">
        <w:rPr>
          <w:rFonts w:cs="Times New Roman"/>
          <w:szCs w:val="24"/>
        </w:rPr>
        <w:t xml:space="preserve">2010 and </w:t>
      </w:r>
      <w:r w:rsidR="00B44E12" w:rsidRPr="00C73325">
        <w:rPr>
          <w:rFonts w:cs="Times New Roman"/>
          <w:szCs w:val="24"/>
        </w:rPr>
        <w:t>201</w:t>
      </w:r>
      <w:r w:rsidR="00BE3078" w:rsidRPr="00C73325">
        <w:rPr>
          <w:rFonts w:cs="Times New Roman"/>
          <w:szCs w:val="24"/>
        </w:rPr>
        <w:t>2</w:t>
      </w:r>
      <w:r w:rsidR="00B44E12" w:rsidRPr="00C73325">
        <w:rPr>
          <w:rFonts w:cs="Times New Roman"/>
          <w:szCs w:val="24"/>
        </w:rPr>
        <w:t xml:space="preserve"> Combined Code</w:t>
      </w:r>
      <w:r w:rsidR="00BE3078" w:rsidRPr="00C73325">
        <w:rPr>
          <w:rFonts w:cs="Times New Roman"/>
          <w:szCs w:val="24"/>
        </w:rPr>
        <w:t>s</w:t>
      </w:r>
      <w:r w:rsidR="00B44E12" w:rsidRPr="00C73325">
        <w:rPr>
          <w:rFonts w:cs="Times New Roman"/>
          <w:szCs w:val="24"/>
        </w:rPr>
        <w:t xml:space="preserve">) recommend that corporate boards should be sufficiently diverse in many aspects (e.g., gender, age, skills, </w:t>
      </w:r>
      <w:r w:rsidR="00394E43" w:rsidRPr="00C73325">
        <w:rPr>
          <w:rFonts w:cs="Times New Roman"/>
          <w:szCs w:val="24"/>
        </w:rPr>
        <w:t xml:space="preserve">and </w:t>
      </w:r>
      <w:r w:rsidR="00B44E12" w:rsidRPr="00C73325">
        <w:rPr>
          <w:rFonts w:cs="Times New Roman"/>
          <w:szCs w:val="24"/>
        </w:rPr>
        <w:t>qualifications) in order to improve board effectiveness.</w:t>
      </w:r>
      <w:r w:rsidR="006E308A" w:rsidRPr="00C73325">
        <w:rPr>
          <w:rFonts w:cs="Times New Roman"/>
          <w:szCs w:val="24"/>
        </w:rPr>
        <w:t xml:space="preserve"> Hence, this study hypothesises that firms with gender-diverse boards </w:t>
      </w:r>
      <w:r w:rsidR="006E308A" w:rsidRPr="00B7265C">
        <w:rPr>
          <w:rFonts w:cs="Times New Roman"/>
          <w:szCs w:val="24"/>
        </w:rPr>
        <w:t>are associated with good governance practices and dividends play a substitute role in mitigating agency problems when governance practices are poor.</w:t>
      </w:r>
      <w:r w:rsidR="00B44E12" w:rsidRPr="00C73325">
        <w:rPr>
          <w:rFonts w:cs="Times New Roman"/>
          <w:szCs w:val="24"/>
        </w:rPr>
        <w:t xml:space="preserve"> </w:t>
      </w:r>
      <w:r w:rsidR="00DF7A68" w:rsidRPr="00C73325">
        <w:rPr>
          <w:rFonts w:cs="Times New Roman"/>
          <w:szCs w:val="24"/>
        </w:rPr>
        <w:t>Therefore, our fifth hypothesis to be tested is that:</w:t>
      </w:r>
    </w:p>
    <w:p w14:paraId="64A04184" w14:textId="458013FA" w:rsidR="008D4975" w:rsidRPr="00C73325" w:rsidRDefault="00753C80" w:rsidP="006E308A">
      <w:pPr>
        <w:spacing w:before="0" w:after="0"/>
        <w:ind w:left="720"/>
        <w:rPr>
          <w:rFonts w:cs="Times New Roman"/>
          <w:i/>
          <w:szCs w:val="24"/>
        </w:rPr>
      </w:pPr>
      <w:r w:rsidRPr="00C73325">
        <w:rPr>
          <w:rFonts w:cs="Times New Roman"/>
          <w:b/>
          <w:i/>
          <w:szCs w:val="24"/>
        </w:rPr>
        <w:t>H</w:t>
      </w:r>
      <w:r w:rsidR="008D4975" w:rsidRPr="00C73325">
        <w:rPr>
          <w:rFonts w:cs="Times New Roman"/>
          <w:b/>
          <w:i/>
          <w:szCs w:val="24"/>
        </w:rPr>
        <w:t>5</w:t>
      </w:r>
      <w:r w:rsidR="00D75850" w:rsidRPr="00C73325">
        <w:rPr>
          <w:rFonts w:cs="Times New Roman"/>
          <w:b/>
          <w:i/>
          <w:szCs w:val="24"/>
        </w:rPr>
        <w:t>:</w:t>
      </w:r>
      <w:r w:rsidRPr="00C73325">
        <w:rPr>
          <w:rFonts w:cs="Times New Roman"/>
          <w:i/>
          <w:szCs w:val="24"/>
        </w:rPr>
        <w:t xml:space="preserve"> </w:t>
      </w:r>
      <w:r w:rsidR="008D4975" w:rsidRPr="00C73325">
        <w:rPr>
          <w:rFonts w:cs="Times New Roman"/>
          <w:i/>
          <w:szCs w:val="24"/>
        </w:rPr>
        <w:t xml:space="preserve">There is a </w:t>
      </w:r>
      <w:r w:rsidR="006E308A" w:rsidRPr="00464006">
        <w:rPr>
          <w:rFonts w:cs="Times New Roman"/>
          <w:i/>
          <w:szCs w:val="24"/>
        </w:rPr>
        <w:t xml:space="preserve">negative </w:t>
      </w:r>
      <w:r w:rsidR="008D4975" w:rsidRPr="00C73325">
        <w:rPr>
          <w:rFonts w:cs="Times New Roman"/>
          <w:i/>
          <w:szCs w:val="24"/>
        </w:rPr>
        <w:t xml:space="preserve">relationship between </w:t>
      </w:r>
      <w:r w:rsidR="006A2330" w:rsidRPr="00C73325">
        <w:rPr>
          <w:rFonts w:cs="Times New Roman"/>
          <w:i/>
          <w:szCs w:val="24"/>
        </w:rPr>
        <w:t xml:space="preserve">board gender </w:t>
      </w:r>
      <w:r w:rsidR="008D4975" w:rsidRPr="00C73325">
        <w:rPr>
          <w:rFonts w:cs="Times New Roman"/>
          <w:i/>
          <w:szCs w:val="24"/>
        </w:rPr>
        <w:t>divers</w:t>
      </w:r>
      <w:r w:rsidRPr="00FF6091">
        <w:rPr>
          <w:rFonts w:cs="Times New Roman"/>
          <w:i/>
          <w:szCs w:val="24"/>
        </w:rPr>
        <w:t xml:space="preserve">ity and </w:t>
      </w:r>
      <w:r w:rsidR="00482443" w:rsidRPr="00FF6091">
        <w:rPr>
          <w:rFonts w:cs="Times New Roman"/>
          <w:i/>
          <w:szCs w:val="24"/>
        </w:rPr>
        <w:t xml:space="preserve">dividend </w:t>
      </w:r>
      <w:r w:rsidR="00855D30" w:rsidRPr="00FF6091">
        <w:rPr>
          <w:rFonts w:cs="Times New Roman"/>
          <w:i/>
          <w:szCs w:val="24"/>
        </w:rPr>
        <w:t>pay-out</w:t>
      </w:r>
      <w:r w:rsidR="00482443" w:rsidRPr="00C73325">
        <w:rPr>
          <w:rFonts w:cs="Times New Roman"/>
          <w:i/>
          <w:szCs w:val="24"/>
        </w:rPr>
        <w:t xml:space="preserve"> rate.</w:t>
      </w:r>
    </w:p>
    <w:p w14:paraId="7AC9D546" w14:textId="77777777" w:rsidR="00D75850" w:rsidRPr="00C73325" w:rsidRDefault="00D75850" w:rsidP="00D75850">
      <w:pPr>
        <w:spacing w:before="0" w:after="0"/>
        <w:ind w:left="720"/>
        <w:rPr>
          <w:rFonts w:cs="Times New Roman"/>
          <w:i/>
          <w:szCs w:val="24"/>
        </w:rPr>
      </w:pPr>
    </w:p>
    <w:p w14:paraId="72FE514C" w14:textId="34402D07" w:rsidR="002363C7" w:rsidRPr="00C73325" w:rsidRDefault="00414CB6" w:rsidP="008E25FB">
      <w:pPr>
        <w:pStyle w:val="Heading2"/>
        <w:spacing w:after="240"/>
        <w:rPr>
          <w:rFonts w:cs="Times New Roman"/>
          <w:b/>
          <w:color w:val="auto"/>
        </w:rPr>
      </w:pPr>
      <w:r w:rsidRPr="00C73325">
        <w:rPr>
          <w:b/>
          <w:color w:val="auto"/>
        </w:rPr>
        <w:lastRenderedPageBreak/>
        <w:t xml:space="preserve">4.6 </w:t>
      </w:r>
      <w:r w:rsidR="00AF1345" w:rsidRPr="00C73325">
        <w:rPr>
          <w:b/>
          <w:color w:val="auto"/>
        </w:rPr>
        <w:t xml:space="preserve">Audit </w:t>
      </w:r>
      <w:r w:rsidRPr="00C73325">
        <w:rPr>
          <w:b/>
          <w:color w:val="auto"/>
        </w:rPr>
        <w:t>c</w:t>
      </w:r>
      <w:r w:rsidR="00AF1345" w:rsidRPr="00C73325">
        <w:rPr>
          <w:b/>
          <w:color w:val="auto"/>
        </w:rPr>
        <w:t xml:space="preserve">ommittee </w:t>
      </w:r>
      <w:r w:rsidRPr="00C73325">
        <w:rPr>
          <w:b/>
          <w:color w:val="auto"/>
        </w:rPr>
        <w:t>s</w:t>
      </w:r>
      <w:r w:rsidR="00AF1345" w:rsidRPr="00C73325">
        <w:rPr>
          <w:b/>
          <w:color w:val="auto"/>
        </w:rPr>
        <w:t xml:space="preserve">ize </w:t>
      </w:r>
      <w:r w:rsidRPr="00C73325">
        <w:rPr>
          <w:b/>
          <w:color w:val="auto"/>
        </w:rPr>
        <w:t>and dividend policy</w:t>
      </w:r>
    </w:p>
    <w:p w14:paraId="3F2076E4" w14:textId="65186B41" w:rsidR="006E308A" w:rsidRPr="00464006" w:rsidRDefault="008E4C3F" w:rsidP="006E308A">
      <w:pPr>
        <w:spacing w:after="0" w:line="360" w:lineRule="auto"/>
        <w:ind w:firstLine="360"/>
        <w:rPr>
          <w:rFonts w:cs="Times New Roman"/>
          <w:szCs w:val="24"/>
        </w:rPr>
      </w:pPr>
      <w:r w:rsidRPr="00C73325">
        <w:rPr>
          <w:rFonts w:cs="Times New Roman"/>
          <w:szCs w:val="24"/>
        </w:rPr>
        <w:t xml:space="preserve">Firms are required to establish independent audit committees in order to monitor and improve the quality of financial reporting </w:t>
      </w:r>
      <w:r w:rsidR="00195293" w:rsidRPr="00C73325">
        <w:rPr>
          <w:rFonts w:cs="Times New Roman"/>
          <w:szCs w:val="24"/>
        </w:rPr>
        <w:t>that management provide to shareholders (</w:t>
      </w:r>
      <w:proofErr w:type="spellStart"/>
      <w:r w:rsidR="00195293" w:rsidRPr="00C73325">
        <w:rPr>
          <w:rFonts w:cs="Times New Roman"/>
          <w:szCs w:val="24"/>
        </w:rPr>
        <w:t>Rezaee</w:t>
      </w:r>
      <w:proofErr w:type="spellEnd"/>
      <w:r w:rsidR="00195293" w:rsidRPr="00C73325">
        <w:rPr>
          <w:rFonts w:cs="Times New Roman"/>
          <w:szCs w:val="24"/>
        </w:rPr>
        <w:t xml:space="preserve"> 2009). </w:t>
      </w:r>
      <w:r w:rsidR="006E308A" w:rsidRPr="00C73325">
        <w:rPr>
          <w:rFonts w:cs="Times New Roman"/>
          <w:szCs w:val="24"/>
        </w:rPr>
        <w:t xml:space="preserve">According to the outcome hypothesis </w:t>
      </w:r>
      <w:r w:rsidR="00D34F3A" w:rsidRPr="00C73325">
        <w:rPr>
          <w:rFonts w:cs="Times New Roman"/>
          <w:szCs w:val="24"/>
        </w:rPr>
        <w:t>(</w:t>
      </w:r>
      <w:proofErr w:type="spellStart"/>
      <w:r w:rsidR="00D34F3A" w:rsidRPr="00C73325">
        <w:rPr>
          <w:rFonts w:eastAsia="Times New Roman" w:cs="Times New Roman"/>
          <w:szCs w:val="24"/>
        </w:rPr>
        <w:t>Kyereboah</w:t>
      </w:r>
      <w:proofErr w:type="spellEnd"/>
      <w:r w:rsidR="00D34F3A" w:rsidRPr="00C73325">
        <w:rPr>
          <w:rFonts w:eastAsia="Times New Roman" w:cs="Times New Roman"/>
          <w:szCs w:val="24"/>
        </w:rPr>
        <w:t xml:space="preserve">-Coleman &amp; </w:t>
      </w:r>
      <w:proofErr w:type="spellStart"/>
      <w:r w:rsidR="00D34F3A" w:rsidRPr="00C73325">
        <w:rPr>
          <w:rFonts w:eastAsia="Times New Roman" w:cs="Times New Roman"/>
          <w:szCs w:val="24"/>
        </w:rPr>
        <w:t>Biekpe</w:t>
      </w:r>
      <w:proofErr w:type="spellEnd"/>
      <w:r w:rsidR="00D34F3A" w:rsidRPr="00C73325">
        <w:rPr>
          <w:rFonts w:eastAsia="Times New Roman" w:cs="Times New Roman"/>
          <w:szCs w:val="24"/>
        </w:rPr>
        <w:t xml:space="preserve"> 2006; </w:t>
      </w:r>
      <w:proofErr w:type="spellStart"/>
      <w:r w:rsidR="00D34F3A" w:rsidRPr="00C73325">
        <w:rPr>
          <w:rFonts w:cs="Times New Roman"/>
          <w:szCs w:val="24"/>
        </w:rPr>
        <w:t>Kajol</w:t>
      </w:r>
      <w:proofErr w:type="spellEnd"/>
      <w:r w:rsidR="00D34F3A" w:rsidRPr="00C73325">
        <w:rPr>
          <w:rFonts w:cs="Times New Roman"/>
          <w:szCs w:val="24"/>
        </w:rPr>
        <w:t xml:space="preserve"> &amp; Sunday 2008)</w:t>
      </w:r>
      <w:r w:rsidR="00A72295" w:rsidRPr="00C73325">
        <w:rPr>
          <w:rFonts w:cs="Times New Roman"/>
          <w:szCs w:val="24"/>
        </w:rPr>
        <w:t>,</w:t>
      </w:r>
      <w:r w:rsidR="00D34F3A" w:rsidRPr="00C73325">
        <w:rPr>
          <w:rFonts w:cs="Times New Roman"/>
          <w:szCs w:val="24"/>
        </w:rPr>
        <w:t xml:space="preserve"> </w:t>
      </w:r>
      <w:r w:rsidR="00EF1BDE" w:rsidRPr="00C73325">
        <w:rPr>
          <w:rFonts w:cs="Times New Roman"/>
          <w:szCs w:val="24"/>
        </w:rPr>
        <w:t xml:space="preserve">larger audit committees are suggested to be more effective in monitoring and controlling managerial opportunistic behaviours </w:t>
      </w:r>
      <w:r w:rsidR="00D34F3A" w:rsidRPr="00C73325">
        <w:rPr>
          <w:rFonts w:cs="Times New Roman"/>
          <w:szCs w:val="24"/>
        </w:rPr>
        <w:t>(paying no or low dividends to shareholders)</w:t>
      </w:r>
      <w:r w:rsidR="00966EF5" w:rsidRPr="00C73325">
        <w:rPr>
          <w:rFonts w:cs="Times New Roman"/>
          <w:szCs w:val="24"/>
        </w:rPr>
        <w:t>, because they are associated with more skills, experience and expertise</w:t>
      </w:r>
      <w:r w:rsidR="00D34F3A" w:rsidRPr="00C73325">
        <w:rPr>
          <w:rFonts w:cs="Times New Roman"/>
          <w:szCs w:val="24"/>
        </w:rPr>
        <w:t xml:space="preserve">. </w:t>
      </w:r>
      <w:r w:rsidR="006E308A" w:rsidRPr="00C73325">
        <w:rPr>
          <w:rFonts w:cs="Times New Roman"/>
          <w:szCs w:val="24"/>
        </w:rPr>
        <w:t xml:space="preserve">By contrast, the substitute hypothesis assumes that </w:t>
      </w:r>
      <w:r w:rsidR="006E308A" w:rsidRPr="00464006">
        <w:rPr>
          <w:rFonts w:cs="Times New Roman"/>
          <w:szCs w:val="24"/>
        </w:rPr>
        <w:t>dividends can play a significant role in mitigating agency problems in firms with poor governance practices</w:t>
      </w:r>
      <w:r w:rsidR="0040262F">
        <w:rPr>
          <w:rFonts w:cs="Times New Roman"/>
          <w:szCs w:val="24"/>
        </w:rPr>
        <w:t xml:space="preserve"> </w:t>
      </w:r>
      <w:r w:rsidR="006E308A" w:rsidRPr="00C73325">
        <w:rPr>
          <w:rFonts w:cs="Times New Roman"/>
          <w:szCs w:val="24"/>
        </w:rPr>
        <w:t>(Donaldson, 1991; Fox &amp; Hamilton,</w:t>
      </w:r>
      <w:r w:rsidR="006E308A" w:rsidRPr="00FF6091">
        <w:rPr>
          <w:rFonts w:cs="Times New Roman"/>
          <w:szCs w:val="24"/>
        </w:rPr>
        <w:t xml:space="preserve"> 1994; Davis et al., 1997</w:t>
      </w:r>
      <w:r w:rsidR="006E308A" w:rsidRPr="002E11E6">
        <w:rPr>
          <w:rFonts w:cs="Times New Roman"/>
          <w:szCs w:val="24"/>
        </w:rPr>
        <w:t xml:space="preserve">). </w:t>
      </w:r>
    </w:p>
    <w:p w14:paraId="3C044623" w14:textId="129D250D" w:rsidR="00431DA6" w:rsidRPr="00C73325" w:rsidRDefault="00E80FEC" w:rsidP="00325272">
      <w:pPr>
        <w:spacing w:after="0" w:line="360" w:lineRule="auto"/>
        <w:ind w:firstLine="360"/>
        <w:rPr>
          <w:rFonts w:cs="Times New Roman"/>
          <w:szCs w:val="24"/>
        </w:rPr>
      </w:pPr>
      <w:r w:rsidRPr="00C73325">
        <w:rPr>
          <w:rFonts w:cs="Times New Roman"/>
          <w:szCs w:val="24"/>
        </w:rPr>
        <w:t>T</w:t>
      </w:r>
      <w:r w:rsidR="00431DA6" w:rsidRPr="00C73325">
        <w:rPr>
          <w:rFonts w:cs="Times New Roman"/>
          <w:szCs w:val="24"/>
        </w:rPr>
        <w:t xml:space="preserve">here seems to be a lack of </w:t>
      </w:r>
      <w:r w:rsidRPr="00C73325">
        <w:rPr>
          <w:rFonts w:cs="Times New Roman"/>
          <w:szCs w:val="24"/>
        </w:rPr>
        <w:t xml:space="preserve">empirical </w:t>
      </w:r>
      <w:r w:rsidR="00431DA6" w:rsidRPr="00FF6091">
        <w:rPr>
          <w:rFonts w:cs="Times New Roman"/>
          <w:szCs w:val="24"/>
        </w:rPr>
        <w:t xml:space="preserve">evidence relating to the effect of audit committee size on dividend </w:t>
      </w:r>
      <w:r w:rsidR="00855D30" w:rsidRPr="00C73325">
        <w:rPr>
          <w:rFonts w:cs="Times New Roman"/>
          <w:szCs w:val="24"/>
        </w:rPr>
        <w:t>pay-out</w:t>
      </w:r>
      <w:r w:rsidR="00431DA6" w:rsidRPr="00C73325">
        <w:rPr>
          <w:rFonts w:cs="Times New Roman"/>
          <w:szCs w:val="24"/>
        </w:rPr>
        <w:t xml:space="preserve"> policy and therefore, a fertile area for further research. A number of past studies (</w:t>
      </w:r>
      <w:r w:rsidR="00431DA6" w:rsidRPr="00C73325">
        <w:rPr>
          <w:rFonts w:cs="Times New Roman"/>
          <w:noProof/>
          <w:szCs w:val="24"/>
        </w:rPr>
        <w:t>Al-</w:t>
      </w:r>
      <w:proofErr w:type="spellStart"/>
      <w:r w:rsidR="00431DA6" w:rsidRPr="00C73325">
        <w:rPr>
          <w:rFonts w:cs="Times New Roman"/>
          <w:noProof/>
          <w:szCs w:val="24"/>
        </w:rPr>
        <w:t>Swidi</w:t>
      </w:r>
      <w:proofErr w:type="spellEnd"/>
      <w:r w:rsidR="00431DA6" w:rsidRPr="00C73325">
        <w:rPr>
          <w:rFonts w:cs="Times New Roman"/>
          <w:noProof/>
          <w:szCs w:val="24"/>
        </w:rPr>
        <w:t xml:space="preserve"> et al., 2012; Kajol &amp; Sunday, 2008; Kyereboah-Coleman</w:t>
      </w:r>
      <w:r w:rsidR="002801FC" w:rsidRPr="00C73325">
        <w:rPr>
          <w:rFonts w:cs="Times New Roman"/>
          <w:noProof/>
          <w:szCs w:val="24"/>
        </w:rPr>
        <w:t xml:space="preserve">, 2008) report empirical evidence that audit committee size impacts positively on firm performance. Therefore, and to the extent that firms with larger audit committees generate higher performance than firms with smaller audit committees, this study predicts that firms with large audit committees will pay high </w:t>
      </w:r>
      <w:r w:rsidR="002801FC" w:rsidRPr="00C73325">
        <w:rPr>
          <w:rFonts w:cs="Times New Roman"/>
          <w:szCs w:val="24"/>
        </w:rPr>
        <w:t>dividends to shareholders</w:t>
      </w:r>
      <w:r w:rsidRPr="00C73325">
        <w:rPr>
          <w:rFonts w:cs="Times New Roman"/>
          <w:szCs w:val="24"/>
        </w:rPr>
        <w:t xml:space="preserve"> and, hence our final hypothesis to be tested is that: </w:t>
      </w:r>
    </w:p>
    <w:p w14:paraId="677F7575" w14:textId="6FE97E93" w:rsidR="00613D61" w:rsidRPr="00C73325" w:rsidRDefault="00613D61" w:rsidP="00D75850">
      <w:pPr>
        <w:spacing w:before="0" w:after="0"/>
        <w:ind w:left="720"/>
        <w:rPr>
          <w:rFonts w:cs="Times New Roman"/>
          <w:i/>
          <w:szCs w:val="24"/>
        </w:rPr>
      </w:pPr>
      <w:r w:rsidRPr="00C73325">
        <w:rPr>
          <w:rFonts w:cs="Times New Roman"/>
          <w:b/>
          <w:i/>
          <w:szCs w:val="24"/>
        </w:rPr>
        <w:t>H6</w:t>
      </w:r>
      <w:r w:rsidR="00D75850" w:rsidRPr="00C73325">
        <w:rPr>
          <w:rFonts w:cs="Times New Roman"/>
          <w:b/>
          <w:i/>
          <w:szCs w:val="24"/>
        </w:rPr>
        <w:t>:</w:t>
      </w:r>
      <w:r w:rsidR="00002815" w:rsidRPr="00C73325">
        <w:rPr>
          <w:rFonts w:cs="Times New Roman"/>
          <w:i/>
          <w:szCs w:val="24"/>
        </w:rPr>
        <w:t xml:space="preserve"> </w:t>
      </w:r>
      <w:r w:rsidRPr="00C73325">
        <w:rPr>
          <w:rFonts w:cs="Times New Roman"/>
          <w:i/>
          <w:szCs w:val="24"/>
        </w:rPr>
        <w:t xml:space="preserve">There is a positive relationship between </w:t>
      </w:r>
      <w:r w:rsidR="00CD3C60" w:rsidRPr="00C73325">
        <w:rPr>
          <w:rFonts w:cs="Times New Roman"/>
          <w:i/>
          <w:szCs w:val="24"/>
        </w:rPr>
        <w:t xml:space="preserve">audit committee </w:t>
      </w:r>
      <w:r w:rsidRPr="00C73325">
        <w:rPr>
          <w:rFonts w:cs="Times New Roman"/>
          <w:i/>
          <w:szCs w:val="24"/>
        </w:rPr>
        <w:t xml:space="preserve">size and </w:t>
      </w:r>
      <w:r w:rsidR="00482443" w:rsidRPr="00C73325">
        <w:rPr>
          <w:rFonts w:cs="Times New Roman"/>
          <w:i/>
          <w:szCs w:val="24"/>
        </w:rPr>
        <w:t xml:space="preserve">dividend </w:t>
      </w:r>
      <w:r w:rsidR="00CB4D86" w:rsidRPr="00C73325">
        <w:rPr>
          <w:rFonts w:cs="Times New Roman"/>
          <w:i/>
          <w:szCs w:val="24"/>
        </w:rPr>
        <w:t>pay-out</w:t>
      </w:r>
      <w:r w:rsidR="00482443" w:rsidRPr="00C73325">
        <w:rPr>
          <w:rFonts w:cs="Times New Roman"/>
          <w:i/>
          <w:szCs w:val="24"/>
        </w:rPr>
        <w:t xml:space="preserve"> rate</w:t>
      </w:r>
      <w:r w:rsidRPr="00C73325">
        <w:rPr>
          <w:rFonts w:cs="Times New Roman"/>
          <w:i/>
          <w:szCs w:val="24"/>
        </w:rPr>
        <w:t xml:space="preserve">. </w:t>
      </w:r>
    </w:p>
    <w:p w14:paraId="65FCC8A1" w14:textId="77777777" w:rsidR="00D75850" w:rsidRPr="00C73325" w:rsidRDefault="00D75850" w:rsidP="00D75850">
      <w:pPr>
        <w:spacing w:before="0" w:after="0"/>
        <w:ind w:left="720"/>
        <w:rPr>
          <w:rFonts w:cs="Times New Roman"/>
          <w:i/>
          <w:szCs w:val="24"/>
        </w:rPr>
      </w:pPr>
    </w:p>
    <w:p w14:paraId="1FCA0909" w14:textId="75E9124F" w:rsidR="00A837DF" w:rsidRPr="00C73325" w:rsidRDefault="00A837DF" w:rsidP="00C22CEE">
      <w:pPr>
        <w:pStyle w:val="Heading1"/>
        <w:numPr>
          <w:ilvl w:val="0"/>
          <w:numId w:val="6"/>
        </w:numPr>
        <w:spacing w:after="240"/>
        <w:rPr>
          <w:color w:val="auto"/>
        </w:rPr>
      </w:pPr>
      <w:r w:rsidRPr="00C73325">
        <w:rPr>
          <w:color w:val="auto"/>
        </w:rPr>
        <w:t xml:space="preserve">Research </w:t>
      </w:r>
      <w:r w:rsidR="00636671" w:rsidRPr="00C73325">
        <w:rPr>
          <w:color w:val="auto"/>
        </w:rPr>
        <w:t>D</w:t>
      </w:r>
      <w:r w:rsidRPr="00C73325">
        <w:rPr>
          <w:color w:val="auto"/>
        </w:rPr>
        <w:t>esign</w:t>
      </w:r>
    </w:p>
    <w:p w14:paraId="094A0263" w14:textId="5A6BDC36" w:rsidR="00C12929" w:rsidRPr="00C73325" w:rsidRDefault="00414CB6" w:rsidP="00825FD0">
      <w:pPr>
        <w:pStyle w:val="Heading2"/>
        <w:rPr>
          <w:b/>
          <w:color w:val="auto"/>
        </w:rPr>
      </w:pPr>
      <w:r w:rsidRPr="00C73325">
        <w:rPr>
          <w:b/>
          <w:color w:val="auto"/>
        </w:rPr>
        <w:t xml:space="preserve">5.1 </w:t>
      </w:r>
      <w:r w:rsidR="00825FD0" w:rsidRPr="00C73325">
        <w:rPr>
          <w:b/>
          <w:color w:val="auto"/>
        </w:rPr>
        <w:t xml:space="preserve">Data </w:t>
      </w:r>
      <w:r w:rsidRPr="00C73325">
        <w:rPr>
          <w:b/>
          <w:color w:val="auto"/>
        </w:rPr>
        <w:t>c</w:t>
      </w:r>
      <w:r w:rsidR="00825FD0" w:rsidRPr="00C73325">
        <w:rPr>
          <w:b/>
          <w:color w:val="auto"/>
        </w:rPr>
        <w:t>onsiderations</w:t>
      </w:r>
    </w:p>
    <w:p w14:paraId="7F623E6E" w14:textId="24CB1B48" w:rsidR="00F46058" w:rsidRPr="00C73325" w:rsidRDefault="00130B70" w:rsidP="00AD423D">
      <w:pPr>
        <w:spacing w:line="360" w:lineRule="auto"/>
        <w:ind w:firstLine="360"/>
      </w:pPr>
      <w:r w:rsidRPr="00C73325">
        <w:t xml:space="preserve">Our sample is drawn from all 1,096 Alternative Investment Market (AIM) listed firms on the </w:t>
      </w:r>
      <w:r w:rsidR="005919D4">
        <w:t>London Stock Exchange</w:t>
      </w:r>
      <w:r w:rsidR="004E754D">
        <w:t xml:space="preserve"> as at May 2013</w:t>
      </w:r>
      <w:r w:rsidRPr="00C73325">
        <w:t xml:space="preserve">. Firms included in our final sample need to meet </w:t>
      </w:r>
      <w:r w:rsidR="00EC318B" w:rsidRPr="00C73325">
        <w:t>three</w:t>
      </w:r>
      <w:r w:rsidRPr="00C73325">
        <w:t xml:space="preserve"> criteria: (</w:t>
      </w:r>
      <w:proofErr w:type="spellStart"/>
      <w:r w:rsidRPr="00C73325">
        <w:t>i</w:t>
      </w:r>
      <w:proofErr w:type="spellEnd"/>
      <w:r w:rsidRPr="00C73325">
        <w:t xml:space="preserve">) availability </w:t>
      </w:r>
      <w:r w:rsidR="00EC318B" w:rsidRPr="00C73325">
        <w:t xml:space="preserve">of a firm’s annual report throughout the period from 2010-2013; (ii) availability of a firm’s </w:t>
      </w:r>
      <w:r w:rsidR="0022681F">
        <w:t>corporate governance</w:t>
      </w:r>
      <w:r w:rsidR="0022681F" w:rsidRPr="00C73325">
        <w:t xml:space="preserve"> </w:t>
      </w:r>
      <w:r w:rsidR="00EC318B" w:rsidRPr="00C73325">
        <w:t xml:space="preserve">and financial data from 2010 to 2013; and (iii) availability of dividend </w:t>
      </w:r>
      <w:r w:rsidR="00855D30" w:rsidRPr="00C73325">
        <w:t>pay-out</w:t>
      </w:r>
      <w:r w:rsidR="00EC318B" w:rsidRPr="00C73325">
        <w:t xml:space="preserve"> data from 2010 to 2013</w:t>
      </w:r>
      <w:r w:rsidR="00041B09" w:rsidRPr="00C73325">
        <w:t xml:space="preserve">. </w:t>
      </w:r>
      <w:r w:rsidR="00081455" w:rsidRPr="00C73325">
        <w:t xml:space="preserve">These criteria were used for several reasons. First, and consistent with past studies </w:t>
      </w:r>
      <w:r w:rsidR="00870D5C">
        <w:t>(Al-</w:t>
      </w:r>
      <w:proofErr w:type="spellStart"/>
      <w:r w:rsidR="00870D5C">
        <w:t>Najjar</w:t>
      </w:r>
      <w:proofErr w:type="spellEnd"/>
      <w:r w:rsidR="00870D5C">
        <w:t xml:space="preserve"> &amp;</w:t>
      </w:r>
      <w:r w:rsidR="00B32EA9" w:rsidRPr="00C73325">
        <w:t xml:space="preserve"> </w:t>
      </w:r>
      <w:proofErr w:type="spellStart"/>
      <w:r w:rsidR="00B32EA9" w:rsidRPr="00C73325">
        <w:t>Hussainey</w:t>
      </w:r>
      <w:proofErr w:type="spellEnd"/>
      <w:r w:rsidR="00B32EA9" w:rsidRPr="00C73325">
        <w:t xml:space="preserve">, 2009; </w:t>
      </w:r>
      <w:proofErr w:type="spellStart"/>
      <w:r w:rsidR="00B32EA9" w:rsidRPr="00C73325">
        <w:t>Litai</w:t>
      </w:r>
      <w:proofErr w:type="spellEnd"/>
      <w:r w:rsidR="00B32EA9" w:rsidRPr="00C73325">
        <w:t xml:space="preserve"> et al., 2011; </w:t>
      </w:r>
      <w:proofErr w:type="spellStart"/>
      <w:r w:rsidR="00B32EA9" w:rsidRPr="00C73325">
        <w:t>Mansourinia</w:t>
      </w:r>
      <w:proofErr w:type="spellEnd"/>
      <w:r w:rsidR="00B32EA9" w:rsidRPr="00C73325">
        <w:t xml:space="preserve"> et al.</w:t>
      </w:r>
      <w:r w:rsidR="00CD1578">
        <w:t>,</w:t>
      </w:r>
      <w:r w:rsidR="00B32EA9" w:rsidRPr="00C73325">
        <w:t xml:space="preserve"> 2013), these criteria allowed</w:t>
      </w:r>
      <w:r w:rsidR="00B40444" w:rsidRPr="00C73325">
        <w:t xml:space="preserve"> us to</w:t>
      </w:r>
      <w:r w:rsidR="00B32EA9" w:rsidRPr="00C73325">
        <w:t xml:space="preserve"> meet the conditions for balanced panel data analysis. Second, using both cross-sectional and time series of a 4-year data may allow </w:t>
      </w:r>
      <w:r w:rsidR="00B40444" w:rsidRPr="00C73325">
        <w:t>us to detect</w:t>
      </w:r>
      <w:r w:rsidR="00B32EA9" w:rsidRPr="00C73325">
        <w:t xml:space="preserve"> whether the observed cross-sectional association </w:t>
      </w:r>
      <w:r w:rsidR="00B40444" w:rsidRPr="00C73325">
        <w:t>between</w:t>
      </w:r>
      <w:r w:rsidR="00B32EA9" w:rsidRPr="00C73325">
        <w:t xml:space="preserve"> board characteristics </w:t>
      </w:r>
      <w:r w:rsidR="001A0D08" w:rsidRPr="00C73325">
        <w:t xml:space="preserve">and dividend </w:t>
      </w:r>
      <w:r w:rsidR="00855D30" w:rsidRPr="00C73325">
        <w:t>pay-out</w:t>
      </w:r>
      <w:r w:rsidR="001A0D08" w:rsidRPr="00C73325">
        <w:t xml:space="preserve"> policy hold</w:t>
      </w:r>
      <w:r w:rsidR="00B40444" w:rsidRPr="00C73325">
        <w:t>s</w:t>
      </w:r>
      <w:r w:rsidR="001A0D08" w:rsidRPr="00C73325">
        <w:t xml:space="preserve"> over time. Third, due to the extensive nature of </w:t>
      </w:r>
      <w:r w:rsidR="0022681F">
        <w:t xml:space="preserve">corporate </w:t>
      </w:r>
      <w:r w:rsidR="0022681F">
        <w:lastRenderedPageBreak/>
        <w:t>governance</w:t>
      </w:r>
      <w:r w:rsidR="001A0D08" w:rsidRPr="00C73325">
        <w:t xml:space="preserve">, financial and dividend </w:t>
      </w:r>
      <w:r w:rsidR="00855D30" w:rsidRPr="00C73325">
        <w:t>pay-out</w:t>
      </w:r>
      <w:r w:rsidR="001A0D08" w:rsidRPr="00C73325">
        <w:t xml:space="preserve"> data coupled with the labour intensive nature of manual collection, we limited our final sample to </w:t>
      </w:r>
      <w:r w:rsidR="00B05548" w:rsidRPr="00C73325">
        <w:t>50</w:t>
      </w:r>
      <w:r w:rsidR="001A0D08" w:rsidRPr="00C73325">
        <w:t xml:space="preserve"> firms from 2010 to 2013 (i.e.</w:t>
      </w:r>
      <w:r w:rsidR="00B40444" w:rsidRPr="00C73325">
        <w:t>,</w:t>
      </w:r>
      <w:r w:rsidR="001A0D08" w:rsidRPr="00C73325">
        <w:t xml:space="preserve"> a total </w:t>
      </w:r>
      <w:r w:rsidR="00B40444" w:rsidRPr="00C73325">
        <w:t xml:space="preserve">of </w:t>
      </w:r>
      <w:r w:rsidR="00B05548" w:rsidRPr="00C73325">
        <w:t>2</w:t>
      </w:r>
      <w:r w:rsidR="007461CC" w:rsidRPr="00C73325">
        <w:t>00</w:t>
      </w:r>
      <w:r w:rsidR="001A0D08" w:rsidRPr="00C73325">
        <w:t xml:space="preserve"> firm year observations). Finally, the sample begins in 2010 </w:t>
      </w:r>
      <w:r w:rsidR="009F6F06" w:rsidRPr="00C73325">
        <w:t>in order to eliminate</w:t>
      </w:r>
      <w:r w:rsidR="00A730A8" w:rsidRPr="00C73325">
        <w:t xml:space="preserve"> the impact of 2007/08</w:t>
      </w:r>
      <w:r w:rsidR="009F6F06" w:rsidRPr="00C73325">
        <w:t xml:space="preserve"> global financial crisis on </w:t>
      </w:r>
      <w:r w:rsidR="0022681F">
        <w:t>corporate governance</w:t>
      </w:r>
      <w:r w:rsidR="009F6F06" w:rsidRPr="00C73325">
        <w:t xml:space="preserve"> structures and dividend </w:t>
      </w:r>
      <w:r w:rsidR="00855D30" w:rsidRPr="00C73325">
        <w:t>pay-out</w:t>
      </w:r>
      <w:r w:rsidR="009F6F06" w:rsidRPr="00C73325">
        <w:t xml:space="preserve"> policies. The sample ends in 2013 because it is the most recent year for which data was available at the time data collection begun.  We collected board characteristics data from firms’ annual reports, which were downloaded from the </w:t>
      </w:r>
      <w:r w:rsidR="009F6F06" w:rsidRPr="00C73325">
        <w:rPr>
          <w:i/>
          <w:iCs/>
        </w:rPr>
        <w:t xml:space="preserve">Perfect Information </w:t>
      </w:r>
      <w:r w:rsidR="009F6F06" w:rsidRPr="00C73325">
        <w:t xml:space="preserve">database and company websites. We also collected data on accounting and financial variables from </w:t>
      </w:r>
      <w:r w:rsidR="009F6F06" w:rsidRPr="00C73325">
        <w:rPr>
          <w:i/>
          <w:iCs/>
        </w:rPr>
        <w:t>DataStream</w:t>
      </w:r>
      <w:r w:rsidR="009F6F06" w:rsidRPr="00C73325">
        <w:t>.</w:t>
      </w:r>
    </w:p>
    <w:p w14:paraId="21CF45CE" w14:textId="1E1C315A" w:rsidR="00F46058" w:rsidRPr="00C73325" w:rsidRDefault="00414CB6" w:rsidP="0095228E">
      <w:pPr>
        <w:pStyle w:val="Heading2"/>
        <w:spacing w:after="240"/>
        <w:rPr>
          <w:b/>
          <w:bCs/>
          <w:color w:val="auto"/>
        </w:rPr>
      </w:pPr>
      <w:r w:rsidRPr="00C73325">
        <w:rPr>
          <w:b/>
          <w:bCs/>
          <w:color w:val="auto"/>
        </w:rPr>
        <w:t xml:space="preserve">5.2 </w:t>
      </w:r>
      <w:r w:rsidR="00F46058" w:rsidRPr="00C73325">
        <w:rPr>
          <w:b/>
          <w:bCs/>
          <w:color w:val="auto"/>
        </w:rPr>
        <w:t xml:space="preserve">Definition of </w:t>
      </w:r>
      <w:r w:rsidRPr="00C73325">
        <w:rPr>
          <w:b/>
          <w:bCs/>
          <w:color w:val="auto"/>
        </w:rPr>
        <w:t>variables and model specification</w:t>
      </w:r>
    </w:p>
    <w:p w14:paraId="59912B86" w14:textId="0FF2F4D9" w:rsidR="009647A3" w:rsidRPr="00C73325" w:rsidRDefault="009F6F06" w:rsidP="009647A3">
      <w:pPr>
        <w:spacing w:before="0" w:after="0" w:line="360" w:lineRule="auto"/>
        <w:ind w:firstLine="360"/>
        <w:rPr>
          <w:rFonts w:cs="Times New Roman"/>
          <w:szCs w:val="24"/>
          <w:lang w:val="en-US"/>
        </w:rPr>
      </w:pPr>
      <w:r w:rsidRPr="00C73325">
        <w:t xml:space="preserve">All the main types of variables used in conducting our empirical analyses are summarised in Table 1. To test </w:t>
      </w:r>
      <w:r w:rsidR="00FA55F8" w:rsidRPr="00C73325">
        <w:rPr>
          <w:i/>
          <w:iCs/>
        </w:rPr>
        <w:t>H1</w:t>
      </w:r>
      <w:r w:rsidR="00FA55F8" w:rsidRPr="00C73325">
        <w:t xml:space="preserve"> to </w:t>
      </w:r>
      <w:r w:rsidR="00FA55F8" w:rsidRPr="00C73325">
        <w:rPr>
          <w:i/>
          <w:iCs/>
        </w:rPr>
        <w:t>H6</w:t>
      </w:r>
      <w:r w:rsidR="00FA55F8" w:rsidRPr="00C73325">
        <w:t xml:space="preserve"> (i.e., answer study’s central research question: the effect of board characteristics on dividend </w:t>
      </w:r>
      <w:r w:rsidR="00CB4D86" w:rsidRPr="00C73325">
        <w:t>pay-out</w:t>
      </w:r>
      <w:r w:rsidR="00FA55F8" w:rsidRPr="00C73325">
        <w:t xml:space="preserve"> policy), we classify our variables into three main types. First, and following previous studies </w:t>
      </w:r>
      <w:r w:rsidR="009F3B0F" w:rsidRPr="00C73325">
        <w:t xml:space="preserve">(Gill &amp; </w:t>
      </w:r>
      <w:proofErr w:type="spellStart"/>
      <w:r w:rsidR="009F3B0F" w:rsidRPr="00C73325">
        <w:t>Obradovich</w:t>
      </w:r>
      <w:proofErr w:type="spellEnd"/>
      <w:r w:rsidR="009F3B0F" w:rsidRPr="00C73325">
        <w:t xml:space="preserve">, 2012; </w:t>
      </w:r>
      <w:proofErr w:type="spellStart"/>
      <w:r w:rsidR="009F3B0F" w:rsidRPr="00C73325">
        <w:t>Mansourinia</w:t>
      </w:r>
      <w:proofErr w:type="spellEnd"/>
      <w:r w:rsidR="009F3B0F" w:rsidRPr="00C73325">
        <w:t xml:space="preserve"> et al., 2013; Arshad et al., 2013)</w:t>
      </w:r>
      <w:r w:rsidR="00AF6A5A" w:rsidRPr="00C73325">
        <w:t>,</w:t>
      </w:r>
      <w:r w:rsidR="00490075" w:rsidRPr="00C73325">
        <w:t xml:space="preserve"> </w:t>
      </w:r>
      <w:r w:rsidR="00AF6A5A" w:rsidRPr="00C73325">
        <w:rPr>
          <w:rFonts w:cs="Times New Roman"/>
          <w:szCs w:val="24"/>
          <w:lang w:val="en-US"/>
        </w:rPr>
        <w:t>dividend</w:t>
      </w:r>
      <w:r w:rsidR="00504240" w:rsidRPr="00C73325">
        <w:rPr>
          <w:rFonts w:cs="Times New Roman"/>
          <w:szCs w:val="24"/>
          <w:lang w:val="en-US"/>
        </w:rPr>
        <w:t xml:space="preserve"> per share was used to represent the dividend behavio</w:t>
      </w:r>
      <w:r w:rsidR="00037C73">
        <w:rPr>
          <w:rFonts w:cs="Times New Roman"/>
          <w:szCs w:val="24"/>
          <w:lang w:val="en-US"/>
        </w:rPr>
        <w:t>u</w:t>
      </w:r>
      <w:r w:rsidR="00504240" w:rsidRPr="00C73325">
        <w:rPr>
          <w:rFonts w:cs="Times New Roman"/>
          <w:szCs w:val="24"/>
          <w:lang w:val="en-US"/>
        </w:rPr>
        <w:t>r by UK SMEs and it is defined as the aggregate declared dividends of a company paid out per year divided by the number of common shares issued</w:t>
      </w:r>
      <w:r w:rsidR="00AF6A5A" w:rsidRPr="00C73325">
        <w:rPr>
          <w:rFonts w:cs="Times New Roman"/>
          <w:szCs w:val="24"/>
          <w:lang w:val="en-US"/>
        </w:rPr>
        <w:t>. The current study used dividend per share because it is considered as a reliable measure of firms’ dividend payment policy (</w:t>
      </w:r>
      <w:proofErr w:type="spellStart"/>
      <w:r w:rsidR="00AF6A5A" w:rsidRPr="00C73325">
        <w:rPr>
          <w:rFonts w:cs="Times New Roman"/>
          <w:szCs w:val="24"/>
          <w:lang w:val="en-US"/>
        </w:rPr>
        <w:t>Charalambidis</w:t>
      </w:r>
      <w:proofErr w:type="spellEnd"/>
      <w:r w:rsidR="00AF6A5A" w:rsidRPr="00C73325">
        <w:rPr>
          <w:rFonts w:cs="Times New Roman"/>
          <w:szCs w:val="24"/>
          <w:lang w:val="en-US"/>
        </w:rPr>
        <w:t xml:space="preserve"> &amp; Papadopoulos, 2007).</w:t>
      </w:r>
      <w:r w:rsidR="00C22CEE" w:rsidRPr="00C73325">
        <w:rPr>
          <w:rFonts w:cs="Times New Roman"/>
          <w:szCs w:val="24"/>
          <w:lang w:val="en-US"/>
        </w:rPr>
        <w:t xml:space="preserve"> </w:t>
      </w:r>
      <w:r w:rsidR="009647A3" w:rsidRPr="00C73325">
        <w:rPr>
          <w:rFonts w:cs="Times New Roman"/>
          <w:szCs w:val="24"/>
          <w:lang w:val="en-US"/>
        </w:rPr>
        <w:t xml:space="preserve">Additionally, </w:t>
      </w:r>
      <w:r w:rsidR="009647A3" w:rsidRPr="00927EEB">
        <w:rPr>
          <w:rFonts w:cs="Times New Roman"/>
          <w:szCs w:val="24"/>
          <w:lang w:val="en-US"/>
        </w:rPr>
        <w:t xml:space="preserve">and consistent with previous studies (e.g., </w:t>
      </w:r>
      <w:proofErr w:type="spellStart"/>
      <w:r w:rsidR="009647A3" w:rsidRPr="00927EEB">
        <w:t>Esqueda</w:t>
      </w:r>
      <w:proofErr w:type="spellEnd"/>
      <w:r w:rsidR="009647A3" w:rsidRPr="00927EEB">
        <w:t xml:space="preserve">, 2016; </w:t>
      </w:r>
      <w:proofErr w:type="spellStart"/>
      <w:r w:rsidR="009647A3" w:rsidRPr="00927EEB">
        <w:t>Jiraporn</w:t>
      </w:r>
      <w:proofErr w:type="spellEnd"/>
      <w:r w:rsidR="009647A3" w:rsidRPr="00927EEB">
        <w:t xml:space="preserve"> et al., 2011; John &amp; </w:t>
      </w:r>
      <w:proofErr w:type="spellStart"/>
      <w:r w:rsidR="009647A3" w:rsidRPr="00927EEB">
        <w:t>Knyazeva</w:t>
      </w:r>
      <w:proofErr w:type="spellEnd"/>
      <w:r w:rsidR="009647A3" w:rsidRPr="00927EEB">
        <w:t>, 2006)</w:t>
      </w:r>
      <w:r w:rsidR="00927EEB">
        <w:t>,</w:t>
      </w:r>
      <w:r w:rsidR="009647A3" w:rsidRPr="00927EEB">
        <w:t xml:space="preserve"> </w:t>
      </w:r>
      <w:r w:rsidR="009647A3" w:rsidRPr="00927EEB">
        <w:rPr>
          <w:rFonts w:cs="Times New Roman"/>
          <w:szCs w:val="24"/>
          <w:lang w:val="en-US"/>
        </w:rPr>
        <w:t>this study employs the ratio of dividends to total assets as alternative proxy to check the robustness of our findings.</w:t>
      </w:r>
    </w:p>
    <w:p w14:paraId="7DFD7C2A" w14:textId="71036B0B" w:rsidR="000152CE" w:rsidRPr="00325F63" w:rsidRDefault="00AF6A5A" w:rsidP="00325272">
      <w:pPr>
        <w:spacing w:before="0" w:line="360" w:lineRule="auto"/>
        <w:ind w:firstLine="360"/>
      </w:pPr>
      <w:r w:rsidRPr="00C73325">
        <w:rPr>
          <w:rFonts w:cs="Times New Roman"/>
          <w:szCs w:val="24"/>
          <w:lang w:val="en-US"/>
        </w:rPr>
        <w:t xml:space="preserve">Second, our main independent variables are </w:t>
      </w:r>
      <w:proofErr w:type="spellStart"/>
      <w:r w:rsidRPr="00C73325">
        <w:rPr>
          <w:rFonts w:cs="Times New Roman"/>
          <w:szCs w:val="24"/>
          <w:lang w:val="en-US"/>
        </w:rPr>
        <w:t>board</w:t>
      </w:r>
      <w:proofErr w:type="spellEnd"/>
      <w:r w:rsidRPr="00C73325">
        <w:rPr>
          <w:rFonts w:cs="Times New Roman"/>
          <w:szCs w:val="24"/>
          <w:lang w:val="en-US"/>
        </w:rPr>
        <w:t xml:space="preserve"> size (</w:t>
      </w:r>
      <w:r w:rsidRPr="00C73325">
        <w:rPr>
          <w:rFonts w:cs="Times New Roman"/>
          <w:i/>
          <w:iCs/>
          <w:szCs w:val="24"/>
          <w:lang w:val="en-US"/>
        </w:rPr>
        <w:t>BS</w:t>
      </w:r>
      <w:r w:rsidRPr="00C73325">
        <w:rPr>
          <w:rFonts w:cs="Times New Roman"/>
          <w:szCs w:val="24"/>
          <w:lang w:val="en-US"/>
        </w:rPr>
        <w:t>), board independence (</w:t>
      </w:r>
      <w:r w:rsidRPr="00C73325">
        <w:rPr>
          <w:rFonts w:cs="Times New Roman"/>
          <w:i/>
          <w:iCs/>
          <w:szCs w:val="24"/>
          <w:lang w:val="en-US"/>
        </w:rPr>
        <w:t>BI</w:t>
      </w:r>
      <w:r w:rsidRPr="00C73325">
        <w:rPr>
          <w:rFonts w:cs="Times New Roman"/>
          <w:szCs w:val="24"/>
          <w:lang w:val="en-US"/>
        </w:rPr>
        <w:t>), CEO duality (</w:t>
      </w:r>
      <w:r w:rsidRPr="00C73325">
        <w:rPr>
          <w:rFonts w:cs="Times New Roman"/>
          <w:i/>
          <w:iCs/>
          <w:szCs w:val="24"/>
          <w:lang w:val="en-US"/>
        </w:rPr>
        <w:t>CEO</w:t>
      </w:r>
      <w:r w:rsidRPr="00C73325">
        <w:rPr>
          <w:rFonts w:cs="Times New Roman"/>
          <w:szCs w:val="24"/>
          <w:lang w:val="en-US"/>
        </w:rPr>
        <w:t>), frequency of board meetings (</w:t>
      </w:r>
      <w:r w:rsidRPr="00C73325">
        <w:rPr>
          <w:rFonts w:cs="Times New Roman"/>
          <w:i/>
          <w:iCs/>
          <w:szCs w:val="24"/>
          <w:lang w:val="en-US"/>
        </w:rPr>
        <w:t>BM</w:t>
      </w:r>
      <w:r w:rsidRPr="00C73325">
        <w:rPr>
          <w:rFonts w:cs="Times New Roman"/>
          <w:szCs w:val="24"/>
          <w:lang w:val="en-US"/>
        </w:rPr>
        <w:t>), board gender diversity (</w:t>
      </w:r>
      <w:r w:rsidRPr="00C73325">
        <w:rPr>
          <w:rFonts w:cs="Times New Roman"/>
          <w:i/>
          <w:iCs/>
          <w:szCs w:val="24"/>
          <w:lang w:val="en-US"/>
        </w:rPr>
        <w:t>BG</w:t>
      </w:r>
      <w:r w:rsidRPr="00C73325">
        <w:rPr>
          <w:rFonts w:cs="Times New Roman"/>
          <w:szCs w:val="24"/>
          <w:lang w:val="en-US"/>
        </w:rPr>
        <w:t>) and audit committee size (</w:t>
      </w:r>
      <w:r w:rsidRPr="00C73325">
        <w:rPr>
          <w:rFonts w:cs="Times New Roman"/>
          <w:i/>
          <w:iCs/>
          <w:szCs w:val="24"/>
          <w:lang w:val="en-US"/>
        </w:rPr>
        <w:t>AS</w:t>
      </w:r>
      <w:r w:rsidRPr="00C73325">
        <w:rPr>
          <w:rFonts w:cs="Times New Roman"/>
          <w:szCs w:val="24"/>
          <w:lang w:val="en-US"/>
        </w:rPr>
        <w:t xml:space="preserve">). </w:t>
      </w:r>
      <w:r w:rsidR="001151C9" w:rsidRPr="00C73325">
        <w:rPr>
          <w:rFonts w:cs="Times New Roman"/>
          <w:szCs w:val="24"/>
          <w:lang w:val="en-US"/>
        </w:rPr>
        <w:t>Finally, and in order to account for potential omitted variables bias (Gujarati 2003),</w:t>
      </w:r>
      <w:r w:rsidR="001151C9" w:rsidRPr="00C73325">
        <w:t xml:space="preserve"> </w:t>
      </w:r>
      <w:r w:rsidR="001151C9" w:rsidRPr="00C73325">
        <w:rPr>
          <w:rFonts w:cs="Times New Roman"/>
          <w:szCs w:val="24"/>
          <w:lang w:val="en-US"/>
        </w:rPr>
        <w:t>we added four variables that may impact on dividend pay</w:t>
      </w:r>
      <w:r w:rsidR="00855D30" w:rsidRPr="00C73325">
        <w:rPr>
          <w:rFonts w:cs="Times New Roman"/>
          <w:szCs w:val="24"/>
          <w:lang w:val="en-US"/>
        </w:rPr>
        <w:t>-</w:t>
      </w:r>
      <w:r w:rsidR="001151C9" w:rsidRPr="00C73325">
        <w:rPr>
          <w:rFonts w:cs="Times New Roman"/>
          <w:szCs w:val="24"/>
          <w:lang w:val="en-US"/>
        </w:rPr>
        <w:t xml:space="preserve">out policy, including </w:t>
      </w:r>
      <w:r w:rsidR="001151C9" w:rsidRPr="00C73325">
        <w:t>firm Size (</w:t>
      </w:r>
      <w:r w:rsidR="001151C9" w:rsidRPr="00C73325">
        <w:rPr>
          <w:i/>
        </w:rPr>
        <w:t>FS</w:t>
      </w:r>
      <w:r w:rsidR="001151C9" w:rsidRPr="00C73325">
        <w:t>), financial leverage (</w:t>
      </w:r>
      <w:r w:rsidR="001151C9" w:rsidRPr="00C73325">
        <w:rPr>
          <w:i/>
        </w:rPr>
        <w:t>LEV</w:t>
      </w:r>
      <w:r w:rsidR="001151C9" w:rsidRPr="00C73325">
        <w:t>), cash flow per share (</w:t>
      </w:r>
      <w:r w:rsidR="001151C9" w:rsidRPr="00C73325">
        <w:rPr>
          <w:i/>
        </w:rPr>
        <w:t>CFS</w:t>
      </w:r>
      <w:r w:rsidR="001151C9" w:rsidRPr="00C73325">
        <w:t>) and return on assets (</w:t>
      </w:r>
      <w:r w:rsidR="001151C9" w:rsidRPr="00C73325">
        <w:rPr>
          <w:i/>
        </w:rPr>
        <w:t>ROA</w:t>
      </w:r>
      <w:r w:rsidR="001151C9" w:rsidRPr="00C73325">
        <w:t xml:space="preserve">). For brevity purposes, we </w:t>
      </w:r>
      <w:r w:rsidR="00164A77" w:rsidRPr="00C73325">
        <w:t>have</w:t>
      </w:r>
      <w:r w:rsidR="001151C9" w:rsidRPr="00C73325">
        <w:t xml:space="preserve"> not develop</w:t>
      </w:r>
      <w:r w:rsidR="00164A77" w:rsidRPr="00C73325">
        <w:t>ed</w:t>
      </w:r>
      <w:r w:rsidR="001151C9" w:rsidRPr="00C73325">
        <w:t xml:space="preserve"> direct theoretical links between these control variables and dividend policy, but there is extensive </w:t>
      </w:r>
      <w:r w:rsidR="00164A77" w:rsidRPr="00C73325">
        <w:t>evidence which</w:t>
      </w:r>
      <w:r w:rsidR="001151C9" w:rsidRPr="00C73325">
        <w:t xml:space="preserve"> suggest that </w:t>
      </w:r>
      <w:r w:rsidR="00164A77" w:rsidRPr="00C73325">
        <w:t>these variables</w:t>
      </w:r>
      <w:r w:rsidR="00927EEB">
        <w:t xml:space="preserve"> can</w:t>
      </w:r>
      <w:r w:rsidR="001151C9" w:rsidRPr="00C73325">
        <w:t xml:space="preserve"> influence</w:t>
      </w:r>
      <w:r w:rsidR="00164A77" w:rsidRPr="00C73325">
        <w:t xml:space="preserve"> dividend </w:t>
      </w:r>
      <w:r w:rsidR="00855D30" w:rsidRPr="00C73325">
        <w:t>pay-out</w:t>
      </w:r>
      <w:r w:rsidR="00164A77" w:rsidRPr="00C73325">
        <w:t xml:space="preserve"> policy</w:t>
      </w:r>
      <w:r w:rsidR="001151C9" w:rsidRPr="00C73325">
        <w:t xml:space="preserve"> (</w:t>
      </w:r>
      <w:proofErr w:type="spellStart"/>
      <w:r w:rsidR="001151C9" w:rsidRPr="00C73325">
        <w:rPr>
          <w:rFonts w:cs="Times New Roman"/>
          <w:szCs w:val="24"/>
          <w:lang w:val="en-US"/>
        </w:rPr>
        <w:t>Travlos</w:t>
      </w:r>
      <w:proofErr w:type="spellEnd"/>
      <w:r w:rsidR="001151C9" w:rsidRPr="00C73325">
        <w:rPr>
          <w:rFonts w:cs="Times New Roman"/>
          <w:szCs w:val="24"/>
          <w:lang w:val="en-US"/>
        </w:rPr>
        <w:t xml:space="preserve"> et al</w:t>
      </w:r>
      <w:r w:rsidR="00CD1578">
        <w:rPr>
          <w:rFonts w:cs="Times New Roman"/>
          <w:szCs w:val="24"/>
          <w:lang w:val="en-US"/>
        </w:rPr>
        <w:t>.,</w:t>
      </w:r>
      <w:r w:rsidR="001151C9" w:rsidRPr="00C73325">
        <w:rPr>
          <w:rFonts w:cs="Times New Roman"/>
          <w:szCs w:val="24"/>
          <w:lang w:val="en-US"/>
        </w:rPr>
        <w:t xml:space="preserve"> 2001; </w:t>
      </w:r>
      <w:proofErr w:type="spellStart"/>
      <w:r w:rsidR="001151C9" w:rsidRPr="00C73325">
        <w:rPr>
          <w:rFonts w:cs="Times New Roman"/>
          <w:szCs w:val="24"/>
          <w:lang w:val="en-US"/>
        </w:rPr>
        <w:t>Fama</w:t>
      </w:r>
      <w:proofErr w:type="spellEnd"/>
      <w:r w:rsidR="001151C9" w:rsidRPr="00C73325">
        <w:rPr>
          <w:rFonts w:cs="Times New Roman"/>
          <w:szCs w:val="24"/>
          <w:lang w:val="en-US"/>
        </w:rPr>
        <w:t xml:space="preserve"> &amp; French 2001; </w:t>
      </w:r>
      <w:proofErr w:type="spellStart"/>
      <w:r w:rsidR="001151C9" w:rsidRPr="00C73325">
        <w:rPr>
          <w:rFonts w:cs="Times New Roman"/>
          <w:bCs/>
          <w:szCs w:val="24"/>
        </w:rPr>
        <w:t>Aivazian</w:t>
      </w:r>
      <w:proofErr w:type="spellEnd"/>
      <w:r w:rsidR="001151C9" w:rsidRPr="00C73325">
        <w:rPr>
          <w:rFonts w:cs="Times New Roman"/>
          <w:bCs/>
          <w:szCs w:val="24"/>
        </w:rPr>
        <w:t xml:space="preserve">, </w:t>
      </w:r>
      <w:r w:rsidR="001151C9" w:rsidRPr="00C73325">
        <w:rPr>
          <w:rFonts w:cs="Times New Roman"/>
          <w:szCs w:val="24"/>
        </w:rPr>
        <w:t>Booth &amp; Cleary</w:t>
      </w:r>
      <w:r w:rsidR="001151C9" w:rsidRPr="00C73325">
        <w:rPr>
          <w:rFonts w:cs="Times New Roman"/>
          <w:bCs/>
          <w:szCs w:val="24"/>
        </w:rPr>
        <w:t xml:space="preserve"> 2003</w:t>
      </w:r>
      <w:r w:rsidR="001151C9" w:rsidRPr="00C73325">
        <w:rPr>
          <w:rFonts w:cs="Times New Roman"/>
          <w:szCs w:val="24"/>
          <w:lang w:val="en-US"/>
        </w:rPr>
        <w:t>; Al-</w:t>
      </w:r>
      <w:proofErr w:type="spellStart"/>
      <w:r w:rsidR="001151C9" w:rsidRPr="00C73325">
        <w:rPr>
          <w:rFonts w:cs="Times New Roman"/>
          <w:szCs w:val="24"/>
          <w:lang w:val="en-US"/>
        </w:rPr>
        <w:t>Malkawi</w:t>
      </w:r>
      <w:proofErr w:type="spellEnd"/>
      <w:r w:rsidR="001151C9" w:rsidRPr="00C73325">
        <w:rPr>
          <w:rFonts w:cs="Times New Roman"/>
          <w:szCs w:val="24"/>
          <w:lang w:val="en-US"/>
        </w:rPr>
        <w:t xml:space="preserve"> 2007</w:t>
      </w:r>
      <w:r w:rsidR="004B413E" w:rsidRPr="00C73325">
        <w:rPr>
          <w:rFonts w:cs="Times New Roman"/>
          <w:szCs w:val="24"/>
          <w:lang w:val="en-US"/>
        </w:rPr>
        <w:t>, 2008</w:t>
      </w:r>
      <w:r w:rsidR="001151C9" w:rsidRPr="00C73325">
        <w:rPr>
          <w:rFonts w:cs="Times New Roman"/>
          <w:szCs w:val="24"/>
          <w:lang w:val="en-US"/>
        </w:rPr>
        <w:t xml:space="preserve">; </w:t>
      </w:r>
      <w:proofErr w:type="spellStart"/>
      <w:r w:rsidR="001151C9" w:rsidRPr="00C73325">
        <w:rPr>
          <w:rFonts w:cs="Times New Roman"/>
          <w:bCs/>
          <w:szCs w:val="24"/>
        </w:rPr>
        <w:t>Amidu</w:t>
      </w:r>
      <w:proofErr w:type="spellEnd"/>
      <w:r w:rsidR="001151C9" w:rsidRPr="00C73325">
        <w:rPr>
          <w:rFonts w:cs="Times New Roman"/>
          <w:bCs/>
          <w:szCs w:val="24"/>
        </w:rPr>
        <w:t xml:space="preserve"> 2007; </w:t>
      </w:r>
      <w:r w:rsidR="001151C9" w:rsidRPr="00C73325">
        <w:rPr>
          <w:rFonts w:cs="Times New Roman"/>
          <w:szCs w:val="24"/>
          <w:lang w:val="en-US"/>
        </w:rPr>
        <w:t>Al-</w:t>
      </w:r>
      <w:proofErr w:type="spellStart"/>
      <w:r w:rsidR="001151C9" w:rsidRPr="00C73325">
        <w:rPr>
          <w:rFonts w:cs="Times New Roman"/>
          <w:szCs w:val="24"/>
          <w:lang w:val="en-US"/>
        </w:rPr>
        <w:t>Kuwari</w:t>
      </w:r>
      <w:proofErr w:type="spellEnd"/>
      <w:r w:rsidR="001151C9" w:rsidRPr="00C73325">
        <w:rPr>
          <w:rFonts w:cs="Times New Roman"/>
          <w:szCs w:val="24"/>
          <w:lang w:val="en-US"/>
        </w:rPr>
        <w:t xml:space="preserve"> 2009;</w:t>
      </w:r>
      <w:r w:rsidR="001151C9" w:rsidRPr="00C73325">
        <w:rPr>
          <w:rFonts w:cs="Times New Roman"/>
          <w:bCs/>
          <w:szCs w:val="24"/>
        </w:rPr>
        <w:t xml:space="preserve"> </w:t>
      </w:r>
      <w:proofErr w:type="spellStart"/>
      <w:r w:rsidR="001151C9" w:rsidRPr="00C73325">
        <w:rPr>
          <w:rFonts w:cs="Times New Roman"/>
          <w:bCs/>
          <w:szCs w:val="24"/>
        </w:rPr>
        <w:t>Afza</w:t>
      </w:r>
      <w:proofErr w:type="spellEnd"/>
      <w:r w:rsidR="001151C9" w:rsidRPr="00C73325">
        <w:rPr>
          <w:rFonts w:cs="Times New Roman"/>
          <w:bCs/>
          <w:szCs w:val="24"/>
        </w:rPr>
        <w:t xml:space="preserve"> &amp; Mirza 2011; </w:t>
      </w:r>
      <w:proofErr w:type="spellStart"/>
      <w:r w:rsidR="001151C9" w:rsidRPr="00C73325">
        <w:rPr>
          <w:rFonts w:cs="Times New Roman"/>
          <w:bCs/>
          <w:szCs w:val="24"/>
        </w:rPr>
        <w:t>Jiraporn</w:t>
      </w:r>
      <w:proofErr w:type="spellEnd"/>
      <w:r w:rsidR="00490075" w:rsidRPr="00C73325">
        <w:rPr>
          <w:rFonts w:cs="Times New Roman"/>
          <w:bCs/>
          <w:szCs w:val="24"/>
        </w:rPr>
        <w:t xml:space="preserve"> et al.,</w:t>
      </w:r>
      <w:r w:rsidR="001151C9" w:rsidRPr="00C73325">
        <w:rPr>
          <w:rFonts w:cs="Times New Roman"/>
          <w:bCs/>
          <w:szCs w:val="24"/>
        </w:rPr>
        <w:t xml:space="preserve"> 2011; </w:t>
      </w:r>
      <w:proofErr w:type="spellStart"/>
      <w:r w:rsidR="001151C9" w:rsidRPr="00C73325">
        <w:rPr>
          <w:rFonts w:cs="Times New Roman"/>
          <w:bCs/>
          <w:szCs w:val="24"/>
        </w:rPr>
        <w:t>Consler</w:t>
      </w:r>
      <w:proofErr w:type="spellEnd"/>
      <w:r w:rsidR="001151C9" w:rsidRPr="00C73325">
        <w:rPr>
          <w:rFonts w:cs="Times New Roman"/>
          <w:bCs/>
          <w:szCs w:val="24"/>
        </w:rPr>
        <w:t xml:space="preserve"> &amp; </w:t>
      </w:r>
      <w:proofErr w:type="spellStart"/>
      <w:r w:rsidR="001151C9" w:rsidRPr="00C73325">
        <w:rPr>
          <w:rFonts w:cs="Times New Roman"/>
          <w:szCs w:val="24"/>
        </w:rPr>
        <w:t>Lepak</w:t>
      </w:r>
      <w:proofErr w:type="spellEnd"/>
      <w:r w:rsidR="001151C9" w:rsidRPr="00C73325">
        <w:rPr>
          <w:rFonts w:cs="Times New Roman"/>
          <w:bCs/>
          <w:szCs w:val="24"/>
        </w:rPr>
        <w:t xml:space="preserve"> 2011;</w:t>
      </w:r>
      <w:r w:rsidR="001151C9" w:rsidRPr="00C73325">
        <w:rPr>
          <w:rFonts w:cs="Times New Roman"/>
          <w:szCs w:val="24"/>
          <w:lang w:val="en-US"/>
        </w:rPr>
        <w:t xml:space="preserve"> </w:t>
      </w:r>
      <w:proofErr w:type="spellStart"/>
      <w:r w:rsidR="001151C9" w:rsidRPr="00C73325">
        <w:rPr>
          <w:rFonts w:cs="Times New Roman"/>
          <w:szCs w:val="24"/>
          <w:lang w:val="en-US"/>
        </w:rPr>
        <w:t>Rafique</w:t>
      </w:r>
      <w:proofErr w:type="spellEnd"/>
      <w:r w:rsidR="001151C9" w:rsidRPr="00C73325">
        <w:rPr>
          <w:rFonts w:cs="Times New Roman"/>
          <w:szCs w:val="24"/>
          <w:lang w:val="en-US"/>
        </w:rPr>
        <w:t xml:space="preserve"> 2012</w:t>
      </w:r>
      <w:r w:rsidR="001151C9" w:rsidRPr="00C73325">
        <w:rPr>
          <w:rFonts w:cs="Times New Roman"/>
          <w:szCs w:val="24"/>
        </w:rPr>
        <w:t>; Al-</w:t>
      </w:r>
      <w:proofErr w:type="spellStart"/>
      <w:r w:rsidR="001151C9" w:rsidRPr="00C73325">
        <w:rPr>
          <w:rFonts w:cs="Times New Roman"/>
          <w:szCs w:val="24"/>
        </w:rPr>
        <w:t>Taleb</w:t>
      </w:r>
      <w:proofErr w:type="spellEnd"/>
      <w:r w:rsidR="001151C9" w:rsidRPr="00C73325">
        <w:rPr>
          <w:rFonts w:cs="Times New Roman"/>
          <w:szCs w:val="24"/>
        </w:rPr>
        <w:t xml:space="preserve">, </w:t>
      </w:r>
      <w:r w:rsidR="001151C9" w:rsidRPr="00927EEB">
        <w:rPr>
          <w:rFonts w:eastAsia="Times New Roman" w:cs="Times New Roman"/>
          <w:szCs w:val="24"/>
        </w:rPr>
        <w:t>Al-</w:t>
      </w:r>
      <w:proofErr w:type="spellStart"/>
      <w:r w:rsidR="001151C9" w:rsidRPr="00927EEB">
        <w:rPr>
          <w:rFonts w:eastAsia="Times New Roman" w:cs="Times New Roman"/>
          <w:szCs w:val="24"/>
        </w:rPr>
        <w:t>Shubiri</w:t>
      </w:r>
      <w:proofErr w:type="spellEnd"/>
      <w:r w:rsidR="001151C9" w:rsidRPr="00927EEB">
        <w:rPr>
          <w:rFonts w:eastAsia="Times New Roman" w:cs="Times New Roman"/>
          <w:szCs w:val="24"/>
        </w:rPr>
        <w:t xml:space="preserve"> &amp; Al-</w:t>
      </w:r>
      <w:proofErr w:type="spellStart"/>
      <w:r w:rsidR="001151C9" w:rsidRPr="00927EEB">
        <w:rPr>
          <w:rFonts w:eastAsia="Times New Roman" w:cs="Times New Roman"/>
          <w:szCs w:val="24"/>
        </w:rPr>
        <w:t>Zoued</w:t>
      </w:r>
      <w:proofErr w:type="spellEnd"/>
      <w:r w:rsidR="001151C9" w:rsidRPr="00C73325">
        <w:rPr>
          <w:rFonts w:cs="Times New Roman"/>
          <w:szCs w:val="24"/>
        </w:rPr>
        <w:t xml:space="preserve"> 2012; </w:t>
      </w:r>
      <w:proofErr w:type="spellStart"/>
      <w:r w:rsidR="001151C9" w:rsidRPr="00C73325">
        <w:rPr>
          <w:rFonts w:cs="Times New Roman"/>
          <w:bCs/>
          <w:szCs w:val="24"/>
        </w:rPr>
        <w:t>Ouma</w:t>
      </w:r>
      <w:proofErr w:type="spellEnd"/>
      <w:r w:rsidR="001151C9" w:rsidRPr="00C73325">
        <w:rPr>
          <w:rFonts w:cs="Times New Roman"/>
          <w:bCs/>
          <w:szCs w:val="24"/>
        </w:rPr>
        <w:t xml:space="preserve"> </w:t>
      </w:r>
      <w:r w:rsidR="001151C9" w:rsidRPr="00FF6091">
        <w:rPr>
          <w:rFonts w:cs="Times New Roman"/>
          <w:bCs/>
          <w:szCs w:val="24"/>
        </w:rPr>
        <w:t xml:space="preserve">2012; </w:t>
      </w:r>
      <w:proofErr w:type="spellStart"/>
      <w:r w:rsidR="001151C9" w:rsidRPr="00FF6091">
        <w:rPr>
          <w:rFonts w:cs="Times New Roman"/>
          <w:bCs/>
          <w:szCs w:val="24"/>
        </w:rPr>
        <w:t>Eng</w:t>
      </w:r>
      <w:proofErr w:type="spellEnd"/>
      <w:r w:rsidR="001151C9" w:rsidRPr="00FF6091">
        <w:rPr>
          <w:rFonts w:cs="Times New Roman"/>
          <w:bCs/>
          <w:szCs w:val="24"/>
        </w:rPr>
        <w:t xml:space="preserve">, </w:t>
      </w:r>
      <w:proofErr w:type="spellStart"/>
      <w:r w:rsidR="001151C9" w:rsidRPr="00FF6091">
        <w:rPr>
          <w:rFonts w:cs="Times New Roman"/>
          <w:bCs/>
          <w:szCs w:val="24"/>
        </w:rPr>
        <w:t>Yahya</w:t>
      </w:r>
      <w:proofErr w:type="spellEnd"/>
      <w:r w:rsidR="001151C9" w:rsidRPr="00FF6091">
        <w:rPr>
          <w:rFonts w:cs="Times New Roman"/>
          <w:bCs/>
          <w:szCs w:val="24"/>
        </w:rPr>
        <w:t xml:space="preserve"> &amp; </w:t>
      </w:r>
      <w:proofErr w:type="spellStart"/>
      <w:r w:rsidR="001151C9" w:rsidRPr="00FF6091">
        <w:rPr>
          <w:rFonts w:cs="Times New Roman"/>
          <w:bCs/>
          <w:szCs w:val="24"/>
        </w:rPr>
        <w:t>Hadi</w:t>
      </w:r>
      <w:proofErr w:type="spellEnd"/>
      <w:r w:rsidR="001151C9" w:rsidRPr="00FF6091">
        <w:rPr>
          <w:rFonts w:cs="Times New Roman"/>
          <w:bCs/>
          <w:szCs w:val="24"/>
        </w:rPr>
        <w:t xml:space="preserve"> 2013</w:t>
      </w:r>
      <w:r w:rsidR="001151C9" w:rsidRPr="00FF6091">
        <w:rPr>
          <w:rFonts w:cs="Times New Roman"/>
          <w:szCs w:val="24"/>
          <w:lang w:val="en-US"/>
        </w:rPr>
        <w:t>).</w:t>
      </w:r>
      <w:r w:rsidR="001151C9" w:rsidRPr="002E11E6">
        <w:t xml:space="preserve"> </w:t>
      </w:r>
      <w:r w:rsidR="0095228E" w:rsidRPr="002E11E6">
        <w:t xml:space="preserve">Assuming that all the </w:t>
      </w:r>
      <w:r w:rsidR="0095228E" w:rsidRPr="002E11E6">
        <w:lastRenderedPageBreak/>
        <w:t>hypothesised relationships are linear, our ordinary least square (OLS)</w:t>
      </w:r>
      <w:r w:rsidR="0095228E" w:rsidRPr="00325F63">
        <w:t xml:space="preserve"> regression model to be estimated is specified as follows: </w:t>
      </w:r>
    </w:p>
    <w:p w14:paraId="04746854" w14:textId="0091524B" w:rsidR="00350EFE" w:rsidRPr="00C73325" w:rsidRDefault="00CD3C60" w:rsidP="00636671">
      <w:pPr>
        <w:spacing w:line="360" w:lineRule="auto"/>
        <w:rPr>
          <w:rFonts w:eastAsia="Times New Roman" w:cs="Times New Roman"/>
          <w:szCs w:val="24"/>
          <w:lang w:val="en-US" w:eastAsia="en-GB"/>
        </w:rPr>
      </w:pPr>
      <w:r w:rsidRPr="00325F63">
        <w:rPr>
          <w:sz w:val="22"/>
        </w:rPr>
        <w:t xml:space="preserve">                                    </w:t>
      </w:r>
      <w:r w:rsidR="003B2043" w:rsidRPr="00C73325">
        <w:rPr>
          <w:position w:val="-46"/>
          <w:sz w:val="22"/>
        </w:rPr>
        <w:object w:dxaOrig="4819" w:dyaOrig="1040" w14:anchorId="00D30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51.75pt" o:ole="">
            <v:imagedata r:id="rId9" o:title=""/>
          </v:shape>
          <o:OLEObject Type="Embed" ProgID="Equation.3" ShapeID="_x0000_i1025" DrawAspect="Content" ObjectID="_1551600908" r:id="rId10"/>
        </w:object>
      </w:r>
      <w:r w:rsidRPr="00C73325">
        <w:rPr>
          <w:sz w:val="22"/>
        </w:rPr>
        <w:t xml:space="preserve">                              (1)</w:t>
      </w:r>
    </w:p>
    <w:p w14:paraId="212C2CA0" w14:textId="6149A065" w:rsidR="00E571DA" w:rsidRPr="00C73325" w:rsidRDefault="00E571DA" w:rsidP="00325272">
      <w:pPr>
        <w:spacing w:before="0" w:line="360" w:lineRule="auto"/>
        <w:ind w:firstLine="360"/>
        <w:rPr>
          <w:rFonts w:eastAsia="Times New Roman" w:cs="Times New Roman"/>
          <w:szCs w:val="24"/>
          <w:lang w:val="en-US" w:eastAsia="en-GB"/>
        </w:rPr>
      </w:pPr>
      <w:r w:rsidRPr="00FF6091">
        <w:rPr>
          <w:rFonts w:eastAsia="Times New Roman" w:cs="Times New Roman"/>
          <w:szCs w:val="24"/>
          <w:lang w:val="en-US" w:eastAsia="en-GB"/>
        </w:rPr>
        <w:t xml:space="preserve">Where: </w:t>
      </w:r>
      <w:r w:rsidRPr="00FF6091">
        <w:rPr>
          <w:rFonts w:eastAsia="Times New Roman" w:cs="Times New Roman"/>
          <w:i/>
          <w:iCs/>
          <w:szCs w:val="24"/>
          <w:lang w:val="en-US" w:eastAsia="en-GB"/>
        </w:rPr>
        <w:t xml:space="preserve">DP </w:t>
      </w:r>
      <w:r w:rsidRPr="00FF6091">
        <w:rPr>
          <w:rFonts w:eastAsia="Times New Roman" w:cs="Times New Roman"/>
          <w:szCs w:val="24"/>
          <w:lang w:val="en-US" w:eastAsia="en-GB"/>
        </w:rPr>
        <w:t xml:space="preserve">is the main dependent variable; </w:t>
      </w:r>
      <w:r w:rsidRPr="002E11E6">
        <w:rPr>
          <w:rFonts w:eastAsia="Times New Roman" w:cs="Times New Roman"/>
          <w:i/>
          <w:iCs/>
          <w:szCs w:val="24"/>
          <w:lang w:val="en-US" w:eastAsia="en-GB"/>
        </w:rPr>
        <w:t xml:space="preserve">BS, BI, CEO, BM, BD and AS </w:t>
      </w:r>
      <w:r w:rsidRPr="002E11E6">
        <w:rPr>
          <w:rFonts w:eastAsia="Times New Roman" w:cs="Times New Roman"/>
          <w:szCs w:val="24"/>
          <w:lang w:val="en-US" w:eastAsia="en-GB"/>
        </w:rPr>
        <w:t xml:space="preserve">are our main independent board characteristics variables; and </w:t>
      </w:r>
      <w:r w:rsidRPr="00C73325">
        <w:rPr>
          <w:rFonts w:eastAsia="Times New Roman" w:cs="Times New Roman"/>
          <w:i/>
          <w:iCs/>
          <w:szCs w:val="24"/>
          <w:lang w:val="en-US" w:eastAsia="en-GB"/>
        </w:rPr>
        <w:t xml:space="preserve">CONTROLS </w:t>
      </w:r>
      <w:r w:rsidRPr="00C73325">
        <w:rPr>
          <w:rFonts w:eastAsia="Times New Roman" w:cs="Times New Roman"/>
          <w:szCs w:val="24"/>
          <w:lang w:val="en-US" w:eastAsia="en-GB"/>
        </w:rPr>
        <w:t xml:space="preserve">refers to control variables including </w:t>
      </w:r>
      <w:r w:rsidRPr="00C73325">
        <w:rPr>
          <w:i/>
        </w:rPr>
        <w:t>FS</w:t>
      </w:r>
      <w:r w:rsidRPr="00C73325">
        <w:rPr>
          <w:i/>
          <w:iCs/>
        </w:rPr>
        <w:t>,</w:t>
      </w:r>
      <w:r w:rsidRPr="00C73325">
        <w:t xml:space="preserve"> </w:t>
      </w:r>
      <w:r w:rsidRPr="00C73325">
        <w:rPr>
          <w:i/>
        </w:rPr>
        <w:t>LEV</w:t>
      </w:r>
      <w:r w:rsidRPr="00C73325">
        <w:rPr>
          <w:i/>
          <w:iCs/>
        </w:rPr>
        <w:t>,</w:t>
      </w:r>
      <w:r w:rsidRPr="00C73325">
        <w:t xml:space="preserve"> </w:t>
      </w:r>
      <w:r w:rsidRPr="00C73325">
        <w:rPr>
          <w:i/>
        </w:rPr>
        <w:t>CFS</w:t>
      </w:r>
      <w:r w:rsidRPr="00C73325">
        <w:t xml:space="preserve"> and </w:t>
      </w:r>
      <w:r w:rsidRPr="00C73325">
        <w:rPr>
          <w:i/>
        </w:rPr>
        <w:t>ROA</w:t>
      </w:r>
      <w:r w:rsidRPr="00C73325">
        <w:t>.</w:t>
      </w:r>
    </w:p>
    <w:p w14:paraId="24C95797" w14:textId="20060C69" w:rsidR="002516EC" w:rsidRPr="00C73325" w:rsidRDefault="00A837DF" w:rsidP="005C1439">
      <w:pPr>
        <w:pStyle w:val="Heading1"/>
        <w:numPr>
          <w:ilvl w:val="0"/>
          <w:numId w:val="6"/>
        </w:numPr>
        <w:spacing w:after="240"/>
        <w:rPr>
          <w:color w:val="auto"/>
        </w:rPr>
      </w:pPr>
      <w:r w:rsidRPr="00C73325">
        <w:rPr>
          <w:color w:val="auto"/>
        </w:rPr>
        <w:t xml:space="preserve">Empirical </w:t>
      </w:r>
      <w:r w:rsidR="00EC5AA8" w:rsidRPr="00C73325">
        <w:rPr>
          <w:color w:val="auto"/>
        </w:rPr>
        <w:t>results and discussion</w:t>
      </w:r>
    </w:p>
    <w:p w14:paraId="636C2BB7" w14:textId="68F8C595" w:rsidR="00300A4A" w:rsidRPr="00C73325" w:rsidRDefault="003B2043" w:rsidP="00356AE4">
      <w:pPr>
        <w:pStyle w:val="Heading2"/>
        <w:spacing w:after="240"/>
        <w:rPr>
          <w:b/>
          <w:color w:val="auto"/>
        </w:rPr>
      </w:pPr>
      <w:r w:rsidRPr="00C73325">
        <w:rPr>
          <w:b/>
          <w:color w:val="auto"/>
        </w:rPr>
        <w:t>6.1 Summary d</w:t>
      </w:r>
      <w:r w:rsidR="00300A4A" w:rsidRPr="00C73325">
        <w:rPr>
          <w:b/>
          <w:color w:val="auto"/>
        </w:rPr>
        <w:t xml:space="preserve">escriptive </w:t>
      </w:r>
      <w:r w:rsidRPr="00C73325">
        <w:rPr>
          <w:b/>
          <w:color w:val="auto"/>
        </w:rPr>
        <w:t>s</w:t>
      </w:r>
      <w:r w:rsidR="00300A4A" w:rsidRPr="00C73325">
        <w:rPr>
          <w:b/>
          <w:color w:val="auto"/>
        </w:rPr>
        <w:t>tatistics</w:t>
      </w:r>
      <w:r w:rsidRPr="00C73325">
        <w:rPr>
          <w:b/>
          <w:color w:val="auto"/>
        </w:rPr>
        <w:t xml:space="preserve"> and bivariate correlation analyses</w:t>
      </w:r>
    </w:p>
    <w:p w14:paraId="51425BB0" w14:textId="565460D0" w:rsidR="00356AE4" w:rsidRPr="00C73325" w:rsidRDefault="00FF369C" w:rsidP="009647A3">
      <w:pPr>
        <w:spacing w:before="0" w:line="360" w:lineRule="auto"/>
        <w:ind w:firstLine="360"/>
      </w:pPr>
      <w:r w:rsidRPr="00C73325">
        <w:t>Panel</w:t>
      </w:r>
      <w:r w:rsidR="00356AE4" w:rsidRPr="00C73325">
        <w:t>s</w:t>
      </w:r>
      <w:r w:rsidR="00E44301" w:rsidRPr="00C73325">
        <w:t xml:space="preserve"> ‘</w:t>
      </w:r>
      <w:r w:rsidR="00E44301" w:rsidRPr="00C73325">
        <w:rPr>
          <w:i/>
        </w:rPr>
        <w:t>A</w:t>
      </w:r>
      <w:r w:rsidR="00E44301" w:rsidRPr="00C73325">
        <w:t>’,</w:t>
      </w:r>
      <w:r w:rsidRPr="00C73325">
        <w:t xml:space="preserve"> ‘</w:t>
      </w:r>
      <w:r w:rsidR="00E44301" w:rsidRPr="00C73325">
        <w:rPr>
          <w:i/>
          <w:iCs/>
        </w:rPr>
        <w:t>B</w:t>
      </w:r>
      <w:r w:rsidRPr="00C73325">
        <w:t>’</w:t>
      </w:r>
      <w:r w:rsidR="00356AE4" w:rsidRPr="00C73325">
        <w:t xml:space="preserve"> and ‘</w:t>
      </w:r>
      <w:r w:rsidR="00E44301" w:rsidRPr="00C73325">
        <w:rPr>
          <w:i/>
          <w:iCs/>
        </w:rPr>
        <w:t>C</w:t>
      </w:r>
      <w:r w:rsidR="00356AE4" w:rsidRPr="00C73325">
        <w:t xml:space="preserve">’ of Table 2 presents the summary </w:t>
      </w:r>
      <w:r w:rsidR="00B40444" w:rsidRPr="00C73325">
        <w:t xml:space="preserve">descriptive statistics </w:t>
      </w:r>
      <w:r w:rsidR="00356AE4" w:rsidRPr="00C73325">
        <w:t xml:space="preserve">of our main </w:t>
      </w:r>
      <w:r w:rsidR="00B40444" w:rsidRPr="00C73325">
        <w:t xml:space="preserve">dependent, </w:t>
      </w:r>
      <w:r w:rsidR="00356AE4" w:rsidRPr="00C73325">
        <w:t>independent and control variables over the period investigated (2010-2013)</w:t>
      </w:r>
      <w:r w:rsidR="00E44301" w:rsidRPr="00C73325">
        <w:t>, respectively</w:t>
      </w:r>
      <w:r w:rsidR="00356AE4" w:rsidRPr="00C73325">
        <w:t xml:space="preserve">. Overall, the three panels show wide spread for all variables under examination. </w:t>
      </w:r>
      <w:r w:rsidR="009647A3" w:rsidRPr="00C73325">
        <w:t>For example,</w:t>
      </w:r>
      <w:r w:rsidR="009647A3" w:rsidRPr="00A46CBD">
        <w:t xml:space="preserve"> and similar to the findings of prior studies (</w:t>
      </w:r>
      <w:proofErr w:type="spellStart"/>
      <w:r w:rsidR="009647A3" w:rsidRPr="00A46CBD">
        <w:t>Esqueda</w:t>
      </w:r>
      <w:proofErr w:type="spellEnd"/>
      <w:r w:rsidR="009647A3" w:rsidRPr="00A46CBD">
        <w:t xml:space="preserve">, 2016; </w:t>
      </w:r>
      <w:proofErr w:type="spellStart"/>
      <w:r w:rsidR="009647A3" w:rsidRPr="00A46CBD">
        <w:t>Jiraporn</w:t>
      </w:r>
      <w:proofErr w:type="spellEnd"/>
      <w:r w:rsidR="009647A3" w:rsidRPr="00A46CBD">
        <w:t xml:space="preserve"> et al., 2011; John &amp; </w:t>
      </w:r>
      <w:proofErr w:type="spellStart"/>
      <w:r w:rsidR="009647A3" w:rsidRPr="00A46CBD">
        <w:t>Knyazeva</w:t>
      </w:r>
      <w:proofErr w:type="spellEnd"/>
      <w:r w:rsidR="009647A3" w:rsidRPr="00A46CBD">
        <w:t>, 2006)</w:t>
      </w:r>
      <w:r w:rsidR="00A46CBD">
        <w:t>,</w:t>
      </w:r>
      <w:r w:rsidR="009647A3" w:rsidRPr="00A46CBD">
        <w:t xml:space="preserve"> the ratio of dividends to total assets (</w:t>
      </w:r>
      <w:r w:rsidR="009647A3" w:rsidRPr="00A46CBD">
        <w:rPr>
          <w:i/>
          <w:iCs/>
        </w:rPr>
        <w:t>DP2</w:t>
      </w:r>
      <w:r w:rsidR="009647A3" w:rsidRPr="00A46CBD">
        <w:t xml:space="preserve">) ranges from 0.00 to 0.12 with a mean of 0.021. Additionally, </w:t>
      </w:r>
      <w:r w:rsidR="00356AE4" w:rsidRPr="00C73325">
        <w:t xml:space="preserve">and consistent with the suggestions of Lipton and </w:t>
      </w:r>
      <w:proofErr w:type="spellStart"/>
      <w:r w:rsidR="00356AE4" w:rsidRPr="00C73325">
        <w:t>Lorsch</w:t>
      </w:r>
      <w:proofErr w:type="spellEnd"/>
      <w:r w:rsidR="00356AE4" w:rsidRPr="00C73325">
        <w:t xml:space="preserve"> (1992) and Jensen (1993)</w:t>
      </w:r>
      <w:r w:rsidR="00133ABC">
        <w:t>,</w:t>
      </w:r>
      <w:r w:rsidR="00356AE4" w:rsidRPr="00C73325">
        <w:t xml:space="preserve"> </w:t>
      </w:r>
      <w:r w:rsidR="00356AE4" w:rsidRPr="00C73325">
        <w:rPr>
          <w:rFonts w:cs="Times New Roman"/>
          <w:szCs w:val="24"/>
        </w:rPr>
        <w:t>the mean value of board size (</w:t>
      </w:r>
      <w:r w:rsidR="00356AE4" w:rsidRPr="00C73325">
        <w:rPr>
          <w:rFonts w:cs="Times New Roman"/>
          <w:i/>
          <w:iCs/>
          <w:szCs w:val="24"/>
        </w:rPr>
        <w:t>BS</w:t>
      </w:r>
      <w:r w:rsidR="00356AE4" w:rsidRPr="00C73325">
        <w:rPr>
          <w:rFonts w:cs="Times New Roman"/>
          <w:szCs w:val="24"/>
        </w:rPr>
        <w:t>) is 8.</w:t>
      </w:r>
      <w:r w:rsidR="00113785" w:rsidRPr="00C73325">
        <w:rPr>
          <w:rFonts w:cs="Times New Roman"/>
          <w:szCs w:val="24"/>
        </w:rPr>
        <w:t>27</w:t>
      </w:r>
      <w:r w:rsidR="00356AE4" w:rsidRPr="00C73325">
        <w:rPr>
          <w:rFonts w:cs="Times New Roman"/>
          <w:szCs w:val="24"/>
        </w:rPr>
        <w:t xml:space="preserve"> members, ranging from 4 to 15 members. Board independence (</w:t>
      </w:r>
      <w:r w:rsidR="00356AE4" w:rsidRPr="00C73325">
        <w:rPr>
          <w:rFonts w:cs="Times New Roman"/>
          <w:i/>
          <w:iCs/>
          <w:szCs w:val="24"/>
        </w:rPr>
        <w:t>BI</w:t>
      </w:r>
      <w:r w:rsidR="00356AE4" w:rsidRPr="00C73325">
        <w:rPr>
          <w:rFonts w:cs="Times New Roman"/>
          <w:szCs w:val="24"/>
        </w:rPr>
        <w:t>) range</w:t>
      </w:r>
      <w:r w:rsidR="00E66535" w:rsidRPr="00C73325">
        <w:rPr>
          <w:rFonts w:cs="Times New Roman"/>
          <w:szCs w:val="24"/>
        </w:rPr>
        <w:t>s</w:t>
      </w:r>
      <w:r w:rsidR="00356AE4" w:rsidRPr="00C73325">
        <w:rPr>
          <w:rFonts w:cs="Times New Roman"/>
          <w:szCs w:val="24"/>
        </w:rPr>
        <w:t xml:space="preserve"> from 20% to 80% </w:t>
      </w:r>
      <w:r w:rsidR="00E66535" w:rsidRPr="00C73325">
        <w:rPr>
          <w:rFonts w:cs="Times New Roman"/>
          <w:szCs w:val="24"/>
        </w:rPr>
        <w:t>with an average of 53%. The percentage of companies with a CEO who also chairs (</w:t>
      </w:r>
      <w:r w:rsidR="00E66535" w:rsidRPr="00C73325">
        <w:rPr>
          <w:rFonts w:cs="Times New Roman"/>
          <w:i/>
          <w:iCs/>
          <w:szCs w:val="24"/>
        </w:rPr>
        <w:t>CEO</w:t>
      </w:r>
      <w:r w:rsidR="00E66535" w:rsidRPr="00C73325">
        <w:rPr>
          <w:rFonts w:cs="Times New Roman"/>
          <w:szCs w:val="24"/>
        </w:rPr>
        <w:t>) the board is significant (mean of 0.92), indicating that, on average, there is a trend among AIM companies to combine the CEO and board chair into one. Frequency of board meetings (</w:t>
      </w:r>
      <w:r w:rsidR="00E66535" w:rsidRPr="00C73325">
        <w:rPr>
          <w:rFonts w:cs="Times New Roman"/>
          <w:i/>
          <w:iCs/>
          <w:szCs w:val="24"/>
        </w:rPr>
        <w:t>FM</w:t>
      </w:r>
      <w:r w:rsidR="00E66535" w:rsidRPr="00C73325">
        <w:rPr>
          <w:rFonts w:cs="Times New Roman"/>
          <w:szCs w:val="24"/>
        </w:rPr>
        <w:t xml:space="preserve">) ranges between a minimum of 4 </w:t>
      </w:r>
      <w:r w:rsidR="00D91A4B" w:rsidRPr="00C73325">
        <w:rPr>
          <w:rFonts w:cs="Times New Roman"/>
          <w:szCs w:val="24"/>
        </w:rPr>
        <w:t xml:space="preserve">meetings </w:t>
      </w:r>
      <w:r w:rsidR="00E66535" w:rsidRPr="00C73325">
        <w:rPr>
          <w:rFonts w:cs="Times New Roman"/>
          <w:szCs w:val="24"/>
        </w:rPr>
        <w:t xml:space="preserve">to a maximum of 16 </w:t>
      </w:r>
      <w:r w:rsidR="00D91A4B" w:rsidRPr="00C73325">
        <w:rPr>
          <w:rFonts w:cs="Times New Roman"/>
          <w:szCs w:val="24"/>
        </w:rPr>
        <w:t xml:space="preserve">annual meetings, with a mean of </w:t>
      </w:r>
      <w:r w:rsidR="00113785" w:rsidRPr="00C73325">
        <w:rPr>
          <w:rFonts w:cs="Times New Roman"/>
          <w:szCs w:val="24"/>
        </w:rPr>
        <w:t>8.70</w:t>
      </w:r>
      <w:r w:rsidR="00D91A4B" w:rsidRPr="00C73325">
        <w:rPr>
          <w:rFonts w:cs="Times New Roman"/>
          <w:szCs w:val="24"/>
        </w:rPr>
        <w:t xml:space="preserve"> annual board meetings and is in line with the similar findings of Ntim and </w:t>
      </w:r>
      <w:proofErr w:type="spellStart"/>
      <w:r w:rsidR="00D91A4B" w:rsidRPr="00C73325">
        <w:rPr>
          <w:rFonts w:cs="Times New Roman"/>
          <w:szCs w:val="24"/>
        </w:rPr>
        <w:t>Osei</w:t>
      </w:r>
      <w:proofErr w:type="spellEnd"/>
      <w:r w:rsidR="00D91A4B" w:rsidRPr="00C73325">
        <w:rPr>
          <w:rFonts w:cs="Times New Roman"/>
          <w:szCs w:val="24"/>
        </w:rPr>
        <w:t xml:space="preserve"> (2011)</w:t>
      </w:r>
      <w:r w:rsidR="00B93646">
        <w:rPr>
          <w:rFonts w:cs="Times New Roman"/>
          <w:szCs w:val="24"/>
        </w:rPr>
        <w:t>,</w:t>
      </w:r>
      <w:r w:rsidR="00D91A4B" w:rsidRPr="00C73325">
        <w:rPr>
          <w:rFonts w:cs="Times New Roman"/>
          <w:szCs w:val="24"/>
        </w:rPr>
        <w:t xml:space="preserve"> and </w:t>
      </w:r>
      <w:proofErr w:type="spellStart"/>
      <w:r w:rsidR="00D91A4B" w:rsidRPr="00C73325">
        <w:rPr>
          <w:rFonts w:eastAsia="Times New Roman" w:cs="Times New Roman"/>
          <w:szCs w:val="24"/>
          <w:lang w:eastAsia="en-GB"/>
        </w:rPr>
        <w:t>Horváth</w:t>
      </w:r>
      <w:proofErr w:type="spellEnd"/>
      <w:r w:rsidR="00D91A4B" w:rsidRPr="00C73325">
        <w:rPr>
          <w:rFonts w:eastAsia="Times New Roman" w:cs="Times New Roman"/>
          <w:szCs w:val="24"/>
          <w:lang w:eastAsia="en-GB"/>
        </w:rPr>
        <w:t xml:space="preserve"> </w:t>
      </w:r>
      <w:r w:rsidR="00037C73">
        <w:rPr>
          <w:rFonts w:eastAsia="Times New Roman" w:cs="Times New Roman"/>
          <w:szCs w:val="24"/>
          <w:lang w:eastAsia="en-GB"/>
        </w:rPr>
        <w:t>and</w:t>
      </w:r>
      <w:r w:rsidR="00D91A4B" w:rsidRPr="00C73325">
        <w:rPr>
          <w:rFonts w:eastAsia="Times New Roman" w:cs="Times New Roman"/>
          <w:szCs w:val="24"/>
          <w:lang w:eastAsia="en-GB"/>
        </w:rPr>
        <w:t xml:space="preserve"> </w:t>
      </w:r>
      <w:proofErr w:type="spellStart"/>
      <w:r w:rsidR="00D91A4B" w:rsidRPr="00C73325">
        <w:rPr>
          <w:rFonts w:eastAsia="Times New Roman" w:cs="Times New Roman"/>
          <w:szCs w:val="24"/>
          <w:lang w:eastAsia="en-GB"/>
        </w:rPr>
        <w:t>Spirollari</w:t>
      </w:r>
      <w:proofErr w:type="spellEnd"/>
      <w:r w:rsidR="00D91A4B" w:rsidRPr="00C73325">
        <w:rPr>
          <w:rFonts w:eastAsia="Times New Roman" w:cs="Times New Roman"/>
          <w:szCs w:val="24"/>
          <w:lang w:eastAsia="en-GB"/>
        </w:rPr>
        <w:t xml:space="preserve"> (2012). Board gender diversity (</w:t>
      </w:r>
      <w:r w:rsidR="00D91A4B" w:rsidRPr="00C73325">
        <w:rPr>
          <w:rFonts w:eastAsia="Times New Roman" w:cs="Times New Roman"/>
          <w:i/>
          <w:iCs/>
          <w:szCs w:val="24"/>
          <w:lang w:eastAsia="en-GB"/>
        </w:rPr>
        <w:t>BG</w:t>
      </w:r>
      <w:r w:rsidR="00D91A4B" w:rsidRPr="00C73325">
        <w:rPr>
          <w:rFonts w:eastAsia="Times New Roman" w:cs="Times New Roman"/>
          <w:szCs w:val="24"/>
          <w:lang w:eastAsia="en-GB"/>
        </w:rPr>
        <w:t>) is, observably, lo</w:t>
      </w:r>
      <w:r w:rsidR="009D078D" w:rsidRPr="00C73325">
        <w:rPr>
          <w:rFonts w:eastAsia="Times New Roman" w:cs="Times New Roman"/>
          <w:szCs w:val="24"/>
          <w:lang w:eastAsia="en-GB"/>
        </w:rPr>
        <w:t>w ranging between 0.00 and 0.40</w:t>
      </w:r>
      <w:r w:rsidR="00D91A4B" w:rsidRPr="00C73325">
        <w:rPr>
          <w:rFonts w:eastAsia="Times New Roman" w:cs="Times New Roman"/>
          <w:szCs w:val="24"/>
          <w:lang w:eastAsia="en-GB"/>
        </w:rPr>
        <w:t xml:space="preserve">, with an average of 0.12, indicating that, on average, the boards of AIM companies are dominated by males. With respect to the other remaining variables, including </w:t>
      </w:r>
      <w:r w:rsidR="00E44301" w:rsidRPr="00C73325">
        <w:rPr>
          <w:rFonts w:eastAsia="Times New Roman" w:cs="Times New Roman"/>
          <w:i/>
          <w:szCs w:val="24"/>
          <w:lang w:eastAsia="en-GB"/>
        </w:rPr>
        <w:t>DP</w:t>
      </w:r>
      <w:r w:rsidR="00E44301" w:rsidRPr="00C73325">
        <w:rPr>
          <w:rFonts w:eastAsia="Times New Roman" w:cs="Times New Roman"/>
          <w:szCs w:val="24"/>
          <w:lang w:eastAsia="en-GB"/>
        </w:rPr>
        <w:t xml:space="preserve">, </w:t>
      </w:r>
      <w:r w:rsidR="00A02D2A" w:rsidRPr="00C73325">
        <w:rPr>
          <w:rFonts w:eastAsia="Times New Roman" w:cs="Times New Roman"/>
          <w:i/>
          <w:iCs/>
          <w:szCs w:val="24"/>
          <w:lang w:eastAsia="en-GB"/>
        </w:rPr>
        <w:t xml:space="preserve">AS, FS, LEV, CFS </w:t>
      </w:r>
      <w:r w:rsidR="00A02D2A" w:rsidRPr="00C73325">
        <w:rPr>
          <w:rFonts w:eastAsia="Times New Roman" w:cs="Times New Roman"/>
          <w:szCs w:val="24"/>
          <w:lang w:eastAsia="en-GB"/>
        </w:rPr>
        <w:t xml:space="preserve">and </w:t>
      </w:r>
      <w:r w:rsidR="00A02D2A" w:rsidRPr="00C73325">
        <w:rPr>
          <w:rFonts w:eastAsia="Times New Roman" w:cs="Times New Roman"/>
          <w:i/>
          <w:iCs/>
          <w:szCs w:val="24"/>
          <w:lang w:eastAsia="en-GB"/>
        </w:rPr>
        <w:t>ROA</w:t>
      </w:r>
      <w:r w:rsidR="00A02D2A" w:rsidRPr="00C73325">
        <w:rPr>
          <w:rFonts w:eastAsia="Times New Roman" w:cs="Times New Roman"/>
          <w:szCs w:val="24"/>
          <w:lang w:eastAsia="en-GB"/>
        </w:rPr>
        <w:t xml:space="preserve">, all show wide variation, indicating that there is adequate variation in our variables. </w:t>
      </w:r>
    </w:p>
    <w:p w14:paraId="488CE761" w14:textId="4ADABF3E" w:rsidR="00B402BD" w:rsidRPr="00C73325" w:rsidRDefault="005100ED" w:rsidP="00B402BD">
      <w:pPr>
        <w:spacing w:line="360" w:lineRule="auto"/>
        <w:jc w:val="center"/>
        <w:rPr>
          <w:rFonts w:cs="Times New Roman"/>
          <w:b/>
          <w:szCs w:val="24"/>
        </w:rPr>
      </w:pPr>
      <w:r w:rsidRPr="00C73325" w:rsidDel="005100ED">
        <w:rPr>
          <w:rFonts w:cs="Times New Roman"/>
          <w:szCs w:val="24"/>
        </w:rPr>
        <w:t xml:space="preserve"> </w:t>
      </w:r>
      <w:r w:rsidR="00B402BD" w:rsidRPr="00C73325">
        <w:rPr>
          <w:rFonts w:cs="Times New Roman"/>
          <w:b/>
          <w:szCs w:val="24"/>
        </w:rPr>
        <w:t>[Insert table 2 about here]</w:t>
      </w:r>
    </w:p>
    <w:p w14:paraId="5037A5BC" w14:textId="75410933" w:rsidR="00C903BC" w:rsidRPr="00C73325" w:rsidRDefault="00C63FA2" w:rsidP="00325272">
      <w:pPr>
        <w:spacing w:before="0" w:line="360" w:lineRule="auto"/>
        <w:ind w:firstLine="360"/>
        <w:rPr>
          <w:rFonts w:cs="Times New Roman"/>
          <w:szCs w:val="24"/>
        </w:rPr>
      </w:pPr>
      <w:r w:rsidRPr="00C73325">
        <w:rPr>
          <w:rFonts w:cs="Times New Roman"/>
          <w:szCs w:val="24"/>
        </w:rPr>
        <w:t xml:space="preserve">Table 3 presents the correlation matrix for </w:t>
      </w:r>
      <w:r w:rsidR="00227EDC" w:rsidRPr="00C73325">
        <w:rPr>
          <w:rFonts w:cs="Times New Roman"/>
          <w:szCs w:val="24"/>
        </w:rPr>
        <w:t xml:space="preserve">all </w:t>
      </w:r>
      <w:r w:rsidRPr="00C73325">
        <w:rPr>
          <w:rFonts w:cs="Times New Roman"/>
          <w:szCs w:val="24"/>
        </w:rPr>
        <w:t xml:space="preserve">variables </w:t>
      </w:r>
      <w:r w:rsidR="00227EDC" w:rsidRPr="00C73325">
        <w:rPr>
          <w:rFonts w:cs="Times New Roman"/>
          <w:szCs w:val="24"/>
        </w:rPr>
        <w:t xml:space="preserve">included </w:t>
      </w:r>
      <w:r w:rsidRPr="00C73325">
        <w:rPr>
          <w:rFonts w:cs="Times New Roman"/>
          <w:szCs w:val="24"/>
        </w:rPr>
        <w:t xml:space="preserve">in our regression analysis </w:t>
      </w:r>
      <w:r w:rsidR="00227EDC" w:rsidRPr="00C73325">
        <w:rPr>
          <w:rFonts w:cs="Times New Roman"/>
          <w:szCs w:val="24"/>
        </w:rPr>
        <w:t>in order to identify any potential multicollinearity problems</w:t>
      </w:r>
      <w:r w:rsidRPr="00C73325">
        <w:rPr>
          <w:rFonts w:cs="Times New Roman"/>
          <w:szCs w:val="24"/>
        </w:rPr>
        <w:t xml:space="preserve">. </w:t>
      </w:r>
      <w:r w:rsidR="006D25DB" w:rsidRPr="00C73325">
        <w:rPr>
          <w:rFonts w:cs="Times New Roman"/>
          <w:szCs w:val="24"/>
        </w:rPr>
        <w:t>As a robustness check</w:t>
      </w:r>
      <w:r w:rsidRPr="00C73325">
        <w:rPr>
          <w:rFonts w:cs="Times New Roman"/>
          <w:szCs w:val="24"/>
        </w:rPr>
        <w:t xml:space="preserve">, we report </w:t>
      </w:r>
      <w:r w:rsidRPr="00C73325">
        <w:rPr>
          <w:rFonts w:cs="Times New Roman"/>
          <w:szCs w:val="24"/>
        </w:rPr>
        <w:lastRenderedPageBreak/>
        <w:t xml:space="preserve">both the Pearson’s </w:t>
      </w:r>
      <w:r w:rsidR="006D25DB" w:rsidRPr="00C73325">
        <w:rPr>
          <w:rFonts w:cs="Times New Roman"/>
          <w:szCs w:val="24"/>
        </w:rPr>
        <w:t>parametric and</w:t>
      </w:r>
      <w:r w:rsidR="00227EDC" w:rsidRPr="00C73325">
        <w:rPr>
          <w:rFonts w:cs="Times New Roman"/>
          <w:szCs w:val="24"/>
        </w:rPr>
        <w:t xml:space="preserve"> Spearman’s non-parametric</w:t>
      </w:r>
      <w:r w:rsidRPr="00C73325">
        <w:rPr>
          <w:rFonts w:cs="Times New Roman"/>
          <w:szCs w:val="24"/>
        </w:rPr>
        <w:t xml:space="preserve"> </w:t>
      </w:r>
      <w:r w:rsidR="006D25DB" w:rsidRPr="00C73325">
        <w:rPr>
          <w:rFonts w:cs="Times New Roman"/>
          <w:szCs w:val="24"/>
        </w:rPr>
        <w:t>c</w:t>
      </w:r>
      <w:r w:rsidRPr="00C73325">
        <w:rPr>
          <w:rFonts w:cs="Times New Roman"/>
          <w:szCs w:val="24"/>
        </w:rPr>
        <w:t>oefficients</w:t>
      </w:r>
      <w:r w:rsidR="006D25DB" w:rsidRPr="00C73325">
        <w:rPr>
          <w:rFonts w:cs="Times New Roman"/>
          <w:szCs w:val="24"/>
        </w:rPr>
        <w:t>. It</w:t>
      </w:r>
      <w:r w:rsidRPr="00C73325">
        <w:rPr>
          <w:rFonts w:cs="Times New Roman"/>
          <w:szCs w:val="24"/>
        </w:rPr>
        <w:t xml:space="preserve"> is noticeable that magnitude and direction of both coefficients are generally similar; indicating that no serious non-normality problem exist.</w:t>
      </w:r>
      <w:r w:rsidR="006D25DB" w:rsidRPr="00C73325">
        <w:rPr>
          <w:rFonts w:cs="Times New Roman"/>
          <w:szCs w:val="24"/>
        </w:rPr>
        <w:t xml:space="preserve"> Additionally, both Pearson and Spearman coefficients indicate that the levels of correlation among all variables are somewhat low, suggesting that there are no serious multicollinearity problems among variables included in our study.</w:t>
      </w:r>
    </w:p>
    <w:p w14:paraId="2719D35F" w14:textId="5F18ABD1" w:rsidR="00636671" w:rsidRPr="00C73325" w:rsidRDefault="00636671" w:rsidP="00636671">
      <w:pPr>
        <w:spacing w:line="360" w:lineRule="auto"/>
        <w:jc w:val="center"/>
        <w:rPr>
          <w:rFonts w:cs="Times New Roman"/>
          <w:szCs w:val="24"/>
        </w:rPr>
      </w:pPr>
      <w:r w:rsidRPr="00C73325">
        <w:rPr>
          <w:rFonts w:cs="Times New Roman"/>
          <w:b/>
          <w:szCs w:val="24"/>
        </w:rPr>
        <w:t>[Insert table 3 about here]</w:t>
      </w:r>
    </w:p>
    <w:p w14:paraId="4494FAAC" w14:textId="27DD51CF" w:rsidR="00533483" w:rsidRPr="00C73325" w:rsidRDefault="00533483" w:rsidP="00325272">
      <w:pPr>
        <w:spacing w:before="0" w:line="360" w:lineRule="auto"/>
        <w:ind w:firstLine="360"/>
        <w:rPr>
          <w:rFonts w:cs="Times New Roman"/>
          <w:szCs w:val="24"/>
        </w:rPr>
      </w:pPr>
      <w:r w:rsidRPr="00C73325">
        <w:rPr>
          <w:rFonts w:cs="Times New Roman"/>
          <w:szCs w:val="24"/>
        </w:rPr>
        <w:t xml:space="preserve">Table 3 (focusing on Pearson’s parametric correlation coefficients) shows statistically </w:t>
      </w:r>
      <w:r w:rsidR="0000658C" w:rsidRPr="00C73325">
        <w:rPr>
          <w:rFonts w:cs="Times New Roman"/>
          <w:szCs w:val="24"/>
        </w:rPr>
        <w:t xml:space="preserve">strong links among </w:t>
      </w:r>
      <w:r w:rsidR="0000658C" w:rsidRPr="00C73325">
        <w:rPr>
          <w:rFonts w:cs="Times New Roman"/>
          <w:i/>
          <w:iCs/>
          <w:szCs w:val="24"/>
        </w:rPr>
        <w:t>DP</w:t>
      </w:r>
      <w:r w:rsidR="00611CD7" w:rsidRPr="00C73325">
        <w:rPr>
          <w:rFonts w:cs="Times New Roman"/>
          <w:i/>
          <w:iCs/>
          <w:szCs w:val="24"/>
        </w:rPr>
        <w:t>1</w:t>
      </w:r>
      <w:r w:rsidR="0080129E" w:rsidRPr="00C73325">
        <w:rPr>
          <w:rFonts w:cs="Times New Roman"/>
          <w:i/>
          <w:iCs/>
          <w:szCs w:val="24"/>
        </w:rPr>
        <w:t>/DP2</w:t>
      </w:r>
      <w:r w:rsidR="0000658C" w:rsidRPr="00C73325">
        <w:rPr>
          <w:rFonts w:cs="Times New Roman"/>
          <w:i/>
          <w:iCs/>
          <w:szCs w:val="24"/>
        </w:rPr>
        <w:t xml:space="preserve">, </w:t>
      </w:r>
      <w:r w:rsidR="0000658C" w:rsidRPr="00C73325">
        <w:rPr>
          <w:rFonts w:cs="Times New Roman"/>
          <w:szCs w:val="24"/>
        </w:rPr>
        <w:t>board characteristics and control variables. For example, and in line with our expectations, board size (</w:t>
      </w:r>
      <w:r w:rsidR="0000658C" w:rsidRPr="00C73325">
        <w:rPr>
          <w:rFonts w:cs="Times New Roman"/>
          <w:i/>
          <w:iCs/>
          <w:szCs w:val="24"/>
        </w:rPr>
        <w:t>BS</w:t>
      </w:r>
      <w:r w:rsidR="0000658C" w:rsidRPr="00C73325">
        <w:rPr>
          <w:rFonts w:cs="Times New Roman"/>
          <w:szCs w:val="24"/>
        </w:rPr>
        <w:t>) and audit committee size (</w:t>
      </w:r>
      <w:r w:rsidR="0000658C" w:rsidRPr="00C73325">
        <w:rPr>
          <w:rFonts w:cs="Times New Roman"/>
          <w:i/>
          <w:iCs/>
          <w:szCs w:val="24"/>
        </w:rPr>
        <w:t>AS</w:t>
      </w:r>
      <w:r w:rsidR="0000658C" w:rsidRPr="00C73325">
        <w:rPr>
          <w:rFonts w:cs="Times New Roman"/>
          <w:szCs w:val="24"/>
        </w:rPr>
        <w:t xml:space="preserve">) are positively associated with </w:t>
      </w:r>
      <w:r w:rsidR="0000658C" w:rsidRPr="00C73325">
        <w:rPr>
          <w:rFonts w:cs="Times New Roman"/>
          <w:i/>
          <w:iCs/>
          <w:szCs w:val="24"/>
        </w:rPr>
        <w:t>DP</w:t>
      </w:r>
      <w:r w:rsidR="00611CD7" w:rsidRPr="00C73325">
        <w:rPr>
          <w:rFonts w:cs="Times New Roman"/>
          <w:i/>
          <w:iCs/>
          <w:szCs w:val="24"/>
        </w:rPr>
        <w:t>1</w:t>
      </w:r>
      <w:r w:rsidR="0080129E" w:rsidRPr="00C73325">
        <w:rPr>
          <w:rFonts w:cs="Times New Roman"/>
          <w:i/>
          <w:iCs/>
          <w:szCs w:val="24"/>
        </w:rPr>
        <w:t>/DP2</w:t>
      </w:r>
      <w:r w:rsidR="0000658C" w:rsidRPr="00C73325">
        <w:rPr>
          <w:rFonts w:cs="Times New Roman"/>
          <w:szCs w:val="24"/>
        </w:rPr>
        <w:t xml:space="preserve">. The evidence that firms with dual leadership pay low dividends is also consistent with our predictions. </w:t>
      </w:r>
      <w:r w:rsidR="002F39E1" w:rsidRPr="00C73325">
        <w:rPr>
          <w:rFonts w:cs="Times New Roman"/>
          <w:szCs w:val="24"/>
        </w:rPr>
        <w:t>Evidence</w:t>
      </w:r>
      <w:r w:rsidR="0000658C" w:rsidRPr="00C73325">
        <w:rPr>
          <w:rFonts w:cs="Times New Roman"/>
          <w:szCs w:val="24"/>
        </w:rPr>
        <w:t xml:space="preserve"> that firms with boards that meet more frequently (</w:t>
      </w:r>
      <w:r w:rsidR="0000658C" w:rsidRPr="00C73325">
        <w:rPr>
          <w:rFonts w:cs="Times New Roman"/>
          <w:i/>
          <w:iCs/>
          <w:szCs w:val="24"/>
        </w:rPr>
        <w:t>BM</w:t>
      </w:r>
      <w:r w:rsidR="0000658C" w:rsidRPr="00C73325">
        <w:rPr>
          <w:rFonts w:cs="Times New Roman"/>
          <w:szCs w:val="24"/>
        </w:rPr>
        <w:t>) pay significantly low dividends is in line with our expectations.</w:t>
      </w:r>
      <w:r w:rsidR="00715955" w:rsidRPr="00C73325">
        <w:rPr>
          <w:rFonts w:cs="Times New Roman"/>
          <w:szCs w:val="24"/>
        </w:rPr>
        <w:t xml:space="preserve"> </w:t>
      </w:r>
      <w:r w:rsidR="008D04FE" w:rsidRPr="00C73325">
        <w:rPr>
          <w:rFonts w:cs="Times New Roman"/>
          <w:szCs w:val="24"/>
        </w:rPr>
        <w:t>However, evidence that board independence (</w:t>
      </w:r>
      <w:r w:rsidR="008D04FE" w:rsidRPr="00C73325">
        <w:rPr>
          <w:rFonts w:cs="Times New Roman"/>
          <w:i/>
          <w:iCs/>
          <w:szCs w:val="24"/>
        </w:rPr>
        <w:t>BI</w:t>
      </w:r>
      <w:r w:rsidR="008D04FE" w:rsidRPr="00C73325">
        <w:rPr>
          <w:rFonts w:cs="Times New Roman"/>
          <w:szCs w:val="24"/>
        </w:rPr>
        <w:t xml:space="preserve">) is positively associated with dividend </w:t>
      </w:r>
      <w:r w:rsidR="00855D30" w:rsidRPr="00C73325">
        <w:rPr>
          <w:rFonts w:cs="Times New Roman"/>
          <w:szCs w:val="24"/>
        </w:rPr>
        <w:t>pay-out</w:t>
      </w:r>
      <w:r w:rsidR="008D04FE" w:rsidRPr="00C73325">
        <w:rPr>
          <w:rFonts w:cs="Times New Roman"/>
          <w:szCs w:val="24"/>
        </w:rPr>
        <w:t xml:space="preserve"> policy is not consistent with our predictions. </w:t>
      </w:r>
      <w:r w:rsidR="00715955" w:rsidRPr="00C73325">
        <w:rPr>
          <w:rFonts w:cs="Times New Roman"/>
          <w:szCs w:val="24"/>
        </w:rPr>
        <w:t>With reference to the control variables, the positive coefficients on firm size (</w:t>
      </w:r>
      <w:r w:rsidR="00715955" w:rsidRPr="00C73325">
        <w:rPr>
          <w:rFonts w:cs="Times New Roman"/>
          <w:i/>
          <w:iCs/>
          <w:szCs w:val="24"/>
        </w:rPr>
        <w:t>FS</w:t>
      </w:r>
      <w:r w:rsidR="00715955" w:rsidRPr="00C73325">
        <w:rPr>
          <w:rFonts w:cs="Times New Roman"/>
          <w:szCs w:val="24"/>
        </w:rPr>
        <w:t>), leverage (</w:t>
      </w:r>
      <w:r w:rsidR="00715955" w:rsidRPr="00C73325">
        <w:rPr>
          <w:rFonts w:cs="Times New Roman"/>
          <w:i/>
          <w:iCs/>
          <w:szCs w:val="24"/>
        </w:rPr>
        <w:t>LEV</w:t>
      </w:r>
      <w:r w:rsidR="00715955" w:rsidRPr="00C73325">
        <w:rPr>
          <w:rFonts w:cs="Times New Roman"/>
          <w:szCs w:val="24"/>
        </w:rPr>
        <w:t>), cash flow per share (</w:t>
      </w:r>
      <w:r w:rsidR="00715955" w:rsidRPr="00C73325">
        <w:rPr>
          <w:rFonts w:cs="Times New Roman"/>
          <w:i/>
          <w:iCs/>
          <w:szCs w:val="24"/>
        </w:rPr>
        <w:t>CFS</w:t>
      </w:r>
      <w:r w:rsidR="00715955" w:rsidRPr="00C73325">
        <w:rPr>
          <w:rFonts w:cs="Times New Roman"/>
          <w:szCs w:val="24"/>
        </w:rPr>
        <w:t>) and return on assets (</w:t>
      </w:r>
      <w:r w:rsidR="00715955" w:rsidRPr="00C73325">
        <w:rPr>
          <w:rFonts w:cs="Times New Roman"/>
          <w:i/>
          <w:iCs/>
          <w:szCs w:val="24"/>
        </w:rPr>
        <w:t>ROA</w:t>
      </w:r>
      <w:r w:rsidR="00715955" w:rsidRPr="00C73325">
        <w:rPr>
          <w:rFonts w:cs="Times New Roman"/>
          <w:szCs w:val="24"/>
        </w:rPr>
        <w:t xml:space="preserve">) are consistent with our predictions that these control variables have positive links with dividends </w:t>
      </w:r>
      <w:r w:rsidR="00855D30" w:rsidRPr="00C73325">
        <w:rPr>
          <w:rFonts w:cs="Times New Roman"/>
          <w:szCs w:val="24"/>
        </w:rPr>
        <w:t>pay-out</w:t>
      </w:r>
      <w:r w:rsidR="00715955" w:rsidRPr="00C73325">
        <w:rPr>
          <w:rFonts w:cs="Times New Roman"/>
          <w:szCs w:val="24"/>
        </w:rPr>
        <w:t xml:space="preserve"> policy.</w:t>
      </w:r>
    </w:p>
    <w:p w14:paraId="0C79C8D3" w14:textId="73EFD239" w:rsidR="00C63FA2" w:rsidRPr="00C73325" w:rsidRDefault="003B2043" w:rsidP="000F386D">
      <w:pPr>
        <w:pStyle w:val="Heading2"/>
        <w:spacing w:after="240"/>
        <w:rPr>
          <w:b/>
          <w:color w:val="auto"/>
        </w:rPr>
      </w:pPr>
      <w:r w:rsidRPr="00C73325">
        <w:rPr>
          <w:b/>
          <w:color w:val="auto"/>
        </w:rPr>
        <w:t xml:space="preserve">6.2 </w:t>
      </w:r>
      <w:r w:rsidR="00C903BC" w:rsidRPr="00C73325">
        <w:rPr>
          <w:b/>
          <w:color w:val="auto"/>
        </w:rPr>
        <w:t xml:space="preserve">Multivariate </w:t>
      </w:r>
      <w:r w:rsidRPr="00C73325">
        <w:rPr>
          <w:b/>
          <w:color w:val="auto"/>
        </w:rPr>
        <w:t xml:space="preserve">regression analyses </w:t>
      </w:r>
    </w:p>
    <w:p w14:paraId="35F8AC6C" w14:textId="264EE864" w:rsidR="0072389D" w:rsidRPr="00C73325" w:rsidRDefault="00790AE5" w:rsidP="0072389D">
      <w:pPr>
        <w:spacing w:before="0" w:after="0" w:line="360" w:lineRule="auto"/>
        <w:ind w:firstLine="360"/>
        <w:rPr>
          <w:rFonts w:cs="Times New Roman"/>
          <w:szCs w:val="24"/>
        </w:rPr>
      </w:pPr>
      <w:r w:rsidRPr="00C73325">
        <w:rPr>
          <w:rFonts w:cs="Times New Roman"/>
          <w:szCs w:val="24"/>
        </w:rPr>
        <w:t xml:space="preserve">The empirical findings related to the effect of board characteristics on dividend </w:t>
      </w:r>
      <w:r w:rsidR="00855D30" w:rsidRPr="00C73325">
        <w:rPr>
          <w:rFonts w:cs="Times New Roman"/>
          <w:szCs w:val="24"/>
        </w:rPr>
        <w:t>pay-out</w:t>
      </w:r>
      <w:r w:rsidRPr="00C73325">
        <w:rPr>
          <w:rFonts w:cs="Times New Roman"/>
          <w:szCs w:val="24"/>
        </w:rPr>
        <w:t xml:space="preserve"> rate (</w:t>
      </w:r>
      <w:r w:rsidRPr="00C73325">
        <w:rPr>
          <w:rFonts w:cs="Times New Roman"/>
          <w:i/>
          <w:iCs/>
          <w:szCs w:val="24"/>
        </w:rPr>
        <w:t>DP</w:t>
      </w:r>
      <w:r w:rsidR="0073131C" w:rsidRPr="00C73325">
        <w:rPr>
          <w:rFonts w:cs="Times New Roman"/>
          <w:i/>
          <w:iCs/>
          <w:szCs w:val="24"/>
        </w:rPr>
        <w:t>1</w:t>
      </w:r>
      <w:r w:rsidRPr="00C73325">
        <w:rPr>
          <w:rFonts w:cs="Times New Roman"/>
          <w:szCs w:val="24"/>
        </w:rPr>
        <w:t xml:space="preserve">) are reported in Models 1 to 6 of Table 4. Specifically, and in order to examine the effect of each independent variable on our </w:t>
      </w:r>
      <w:r w:rsidR="00DC5896" w:rsidRPr="00C73325">
        <w:rPr>
          <w:rFonts w:cs="Times New Roman"/>
          <w:szCs w:val="24"/>
        </w:rPr>
        <w:t>results</w:t>
      </w:r>
      <w:r w:rsidRPr="00C73325">
        <w:rPr>
          <w:rFonts w:cs="Times New Roman"/>
          <w:szCs w:val="24"/>
        </w:rPr>
        <w:t xml:space="preserve">, we first regressed board size </w:t>
      </w:r>
      <w:r w:rsidR="0023204F" w:rsidRPr="00C73325">
        <w:rPr>
          <w:rFonts w:cs="Times New Roman"/>
          <w:szCs w:val="24"/>
        </w:rPr>
        <w:t>(</w:t>
      </w:r>
      <w:r w:rsidR="0023204F" w:rsidRPr="00C73325">
        <w:rPr>
          <w:rFonts w:cs="Times New Roman"/>
          <w:i/>
          <w:iCs/>
          <w:szCs w:val="24"/>
        </w:rPr>
        <w:t>BS</w:t>
      </w:r>
      <w:r w:rsidR="0023204F" w:rsidRPr="00C73325">
        <w:rPr>
          <w:rFonts w:cs="Times New Roman"/>
          <w:szCs w:val="24"/>
        </w:rPr>
        <w:t xml:space="preserve">) </w:t>
      </w:r>
      <w:r w:rsidRPr="00C73325">
        <w:rPr>
          <w:rFonts w:cs="Times New Roman"/>
          <w:szCs w:val="24"/>
        </w:rPr>
        <w:t xml:space="preserve">in addition to the control variables on </w:t>
      </w:r>
      <w:r w:rsidRPr="00C73325">
        <w:rPr>
          <w:rFonts w:cs="Times New Roman"/>
          <w:i/>
          <w:iCs/>
          <w:szCs w:val="24"/>
        </w:rPr>
        <w:t>DP</w:t>
      </w:r>
      <w:r w:rsidR="0073131C" w:rsidRPr="00C73325">
        <w:rPr>
          <w:rFonts w:cs="Times New Roman"/>
          <w:i/>
          <w:iCs/>
          <w:szCs w:val="24"/>
        </w:rPr>
        <w:t>1</w:t>
      </w:r>
      <w:r w:rsidRPr="00C73325">
        <w:rPr>
          <w:rFonts w:cs="Times New Roman"/>
          <w:szCs w:val="24"/>
        </w:rPr>
        <w:t xml:space="preserve"> (see Model 1 of Table 4). We </w:t>
      </w:r>
      <w:r w:rsidR="0023204F" w:rsidRPr="00C73325">
        <w:rPr>
          <w:rFonts w:cs="Times New Roman"/>
          <w:szCs w:val="24"/>
        </w:rPr>
        <w:t>then added board independence (</w:t>
      </w:r>
      <w:r w:rsidR="0023204F" w:rsidRPr="00C73325">
        <w:rPr>
          <w:rFonts w:cs="Times New Roman"/>
          <w:i/>
          <w:iCs/>
          <w:szCs w:val="24"/>
        </w:rPr>
        <w:t>BI</w:t>
      </w:r>
      <w:r w:rsidR="0023204F" w:rsidRPr="00C73325">
        <w:rPr>
          <w:rFonts w:cs="Times New Roman"/>
          <w:szCs w:val="24"/>
        </w:rPr>
        <w:t>), CEO role duality (</w:t>
      </w:r>
      <w:r w:rsidR="0023204F" w:rsidRPr="00C73325">
        <w:rPr>
          <w:rFonts w:cs="Times New Roman"/>
          <w:i/>
          <w:iCs/>
          <w:szCs w:val="24"/>
        </w:rPr>
        <w:t>CEO</w:t>
      </w:r>
      <w:r w:rsidR="0023204F" w:rsidRPr="00C73325">
        <w:rPr>
          <w:rFonts w:cs="Times New Roman"/>
          <w:szCs w:val="24"/>
        </w:rPr>
        <w:t>), board gender diversity (</w:t>
      </w:r>
      <w:r w:rsidR="0023204F" w:rsidRPr="00C73325">
        <w:rPr>
          <w:rFonts w:cs="Times New Roman"/>
          <w:i/>
          <w:iCs/>
          <w:szCs w:val="24"/>
        </w:rPr>
        <w:t>BG</w:t>
      </w:r>
      <w:r w:rsidR="0023204F" w:rsidRPr="00C73325">
        <w:rPr>
          <w:rFonts w:cs="Times New Roman"/>
          <w:szCs w:val="24"/>
        </w:rPr>
        <w:t xml:space="preserve">), </w:t>
      </w:r>
      <w:r w:rsidR="00F179F8" w:rsidRPr="00C73325">
        <w:rPr>
          <w:rFonts w:cs="Times New Roman"/>
          <w:szCs w:val="24"/>
        </w:rPr>
        <w:t>frequency of board meetings (</w:t>
      </w:r>
      <w:r w:rsidR="00F179F8" w:rsidRPr="00C73325">
        <w:rPr>
          <w:rFonts w:cs="Times New Roman"/>
          <w:i/>
          <w:iCs/>
          <w:szCs w:val="24"/>
        </w:rPr>
        <w:t>BM</w:t>
      </w:r>
      <w:r w:rsidR="00F179F8" w:rsidRPr="00C73325">
        <w:rPr>
          <w:rFonts w:cs="Times New Roman"/>
          <w:szCs w:val="24"/>
        </w:rPr>
        <w:t>) and audit committee size (</w:t>
      </w:r>
      <w:r w:rsidR="00F179F8" w:rsidRPr="00C73325">
        <w:rPr>
          <w:rFonts w:cs="Times New Roman"/>
          <w:i/>
          <w:iCs/>
          <w:szCs w:val="24"/>
        </w:rPr>
        <w:t>AS</w:t>
      </w:r>
      <w:r w:rsidR="00F179F8" w:rsidRPr="00C73325">
        <w:rPr>
          <w:rFonts w:cs="Times New Roman"/>
          <w:szCs w:val="24"/>
        </w:rPr>
        <w:t xml:space="preserve">) to the regression models 2, 3, 4, 5 and 6, respectively. Overall, and as shown in Model 6 of Table 4, the results indicate that board characteristics significantly impact </w:t>
      </w:r>
      <w:r w:rsidR="00F179F8" w:rsidRPr="00C73325">
        <w:rPr>
          <w:rFonts w:cs="Times New Roman"/>
          <w:i/>
          <w:iCs/>
          <w:szCs w:val="24"/>
        </w:rPr>
        <w:t>DP</w:t>
      </w:r>
      <w:r w:rsidR="0073131C" w:rsidRPr="00C73325">
        <w:rPr>
          <w:rFonts w:cs="Times New Roman"/>
          <w:i/>
          <w:iCs/>
          <w:szCs w:val="24"/>
        </w:rPr>
        <w:t>1</w:t>
      </w:r>
      <w:r w:rsidR="00F45EC6" w:rsidRPr="00C73325">
        <w:rPr>
          <w:rFonts w:cs="Times New Roman"/>
          <w:szCs w:val="24"/>
        </w:rPr>
        <w:t xml:space="preserve">. </w:t>
      </w:r>
      <w:r w:rsidR="000F386D" w:rsidRPr="00C73325">
        <w:rPr>
          <w:rFonts w:cs="Times New Roman"/>
          <w:szCs w:val="24"/>
        </w:rPr>
        <w:t xml:space="preserve">First, and with reference to </w:t>
      </w:r>
      <w:r w:rsidR="00F45EC6" w:rsidRPr="00C73325">
        <w:rPr>
          <w:rFonts w:cs="Times New Roman"/>
          <w:szCs w:val="24"/>
        </w:rPr>
        <w:t>board size</w:t>
      </w:r>
      <w:r w:rsidR="000F386D" w:rsidRPr="00C73325">
        <w:rPr>
          <w:rFonts w:cs="Times New Roman"/>
          <w:szCs w:val="24"/>
        </w:rPr>
        <w:t xml:space="preserve">, the positive and significant association between </w:t>
      </w:r>
      <w:r w:rsidR="000F386D" w:rsidRPr="00C73325">
        <w:rPr>
          <w:rFonts w:cs="Times New Roman"/>
          <w:i/>
          <w:iCs/>
          <w:szCs w:val="24"/>
        </w:rPr>
        <w:t xml:space="preserve">BS </w:t>
      </w:r>
      <w:r w:rsidR="000F386D" w:rsidRPr="00C73325">
        <w:rPr>
          <w:rFonts w:cs="Times New Roman"/>
          <w:szCs w:val="24"/>
        </w:rPr>
        <w:t xml:space="preserve">and </w:t>
      </w:r>
      <w:r w:rsidR="000F386D" w:rsidRPr="00C73325">
        <w:rPr>
          <w:rFonts w:cs="Times New Roman"/>
          <w:i/>
          <w:iCs/>
          <w:szCs w:val="24"/>
        </w:rPr>
        <w:t>DP</w:t>
      </w:r>
      <w:r w:rsidR="0073131C" w:rsidRPr="00C73325">
        <w:rPr>
          <w:rFonts w:cs="Times New Roman"/>
          <w:i/>
          <w:iCs/>
          <w:szCs w:val="24"/>
        </w:rPr>
        <w:t>1</w:t>
      </w:r>
      <w:r w:rsidR="000F386D" w:rsidRPr="00C73325">
        <w:rPr>
          <w:rFonts w:cs="Times New Roman"/>
          <w:szCs w:val="24"/>
        </w:rPr>
        <w:t xml:space="preserve"> </w:t>
      </w:r>
      <w:r w:rsidR="00296118" w:rsidRPr="00C73325">
        <w:rPr>
          <w:rFonts w:cs="Times New Roman"/>
          <w:szCs w:val="24"/>
        </w:rPr>
        <w:t xml:space="preserve">provides support for </w:t>
      </w:r>
      <w:r w:rsidR="00296118" w:rsidRPr="00C73325">
        <w:rPr>
          <w:rFonts w:cs="Times New Roman"/>
          <w:i/>
          <w:iCs/>
          <w:szCs w:val="24"/>
        </w:rPr>
        <w:t xml:space="preserve">H1 </w:t>
      </w:r>
      <w:r w:rsidR="00296118" w:rsidRPr="00C73325">
        <w:rPr>
          <w:rFonts w:cs="Times New Roman"/>
          <w:szCs w:val="24"/>
        </w:rPr>
        <w:t xml:space="preserve">(i.e., (There is a positive relationship between dividend payment policy and board size) and the findings of Gill and </w:t>
      </w:r>
      <w:proofErr w:type="spellStart"/>
      <w:r w:rsidR="00296118" w:rsidRPr="00C73325">
        <w:rPr>
          <w:rFonts w:cs="Times New Roman"/>
          <w:szCs w:val="24"/>
        </w:rPr>
        <w:t>Obradovich</w:t>
      </w:r>
      <w:proofErr w:type="spellEnd"/>
      <w:r w:rsidR="00296118" w:rsidRPr="00C73325">
        <w:rPr>
          <w:rFonts w:cs="Times New Roman"/>
          <w:szCs w:val="24"/>
        </w:rPr>
        <w:t xml:space="preserve"> (2012), </w:t>
      </w:r>
      <w:proofErr w:type="spellStart"/>
      <w:r w:rsidR="00296118" w:rsidRPr="00C73325">
        <w:rPr>
          <w:rFonts w:cs="Times New Roman"/>
          <w:szCs w:val="24"/>
        </w:rPr>
        <w:t>Mansourinia</w:t>
      </w:r>
      <w:proofErr w:type="spellEnd"/>
      <w:r w:rsidR="00296118" w:rsidRPr="00C73325">
        <w:rPr>
          <w:rFonts w:cs="Times New Roman"/>
          <w:szCs w:val="24"/>
        </w:rPr>
        <w:t xml:space="preserve"> et al. (2013) and </w:t>
      </w:r>
      <w:proofErr w:type="spellStart"/>
      <w:r w:rsidR="00296118" w:rsidRPr="00C73325">
        <w:rPr>
          <w:rFonts w:cs="Times New Roman"/>
          <w:szCs w:val="24"/>
        </w:rPr>
        <w:t>Litai</w:t>
      </w:r>
      <w:proofErr w:type="spellEnd"/>
      <w:r w:rsidR="00296118" w:rsidRPr="00C73325">
        <w:rPr>
          <w:rFonts w:cs="Times New Roman"/>
          <w:szCs w:val="24"/>
        </w:rPr>
        <w:t xml:space="preserve"> et al. (2011) who report a positive and statistically significant association between board size and dividend payment policy among US, Iranian and Chinese listed firms. </w:t>
      </w:r>
      <w:r w:rsidR="0072389D" w:rsidRPr="00C73325">
        <w:rPr>
          <w:rFonts w:cs="Times New Roman"/>
          <w:szCs w:val="24"/>
        </w:rPr>
        <w:t xml:space="preserve">Theoretically, </w:t>
      </w:r>
      <w:r w:rsidR="0072389D" w:rsidRPr="00D904C7">
        <w:rPr>
          <w:rFonts w:cs="Times New Roman"/>
          <w:szCs w:val="24"/>
        </w:rPr>
        <w:t xml:space="preserve">the positive and significant finding is consistent with </w:t>
      </w:r>
      <w:r w:rsidR="0072389D" w:rsidRPr="00D904C7">
        <w:rPr>
          <w:rFonts w:cs="Times New Roman"/>
          <w:szCs w:val="24"/>
        </w:rPr>
        <w:lastRenderedPageBreak/>
        <w:t xml:space="preserve">the prediction that dividends are an outcome of good corporate governance </w:t>
      </w:r>
      <w:r w:rsidR="0072389D" w:rsidRPr="00D904C7">
        <w:t>(</w:t>
      </w:r>
      <w:proofErr w:type="spellStart"/>
      <w:r w:rsidR="0072389D" w:rsidRPr="00D904C7">
        <w:t>Jiraporn</w:t>
      </w:r>
      <w:proofErr w:type="spellEnd"/>
      <w:r w:rsidR="0072389D" w:rsidRPr="00D904C7">
        <w:t xml:space="preserve"> et al., 2011; </w:t>
      </w:r>
      <w:proofErr w:type="spellStart"/>
      <w:r w:rsidR="0072389D" w:rsidRPr="00D904C7">
        <w:t>Sawicki</w:t>
      </w:r>
      <w:proofErr w:type="spellEnd"/>
      <w:r w:rsidR="0072389D" w:rsidRPr="00D904C7">
        <w:t>, 2009)</w:t>
      </w:r>
      <w:r w:rsidR="0072389D" w:rsidRPr="00D904C7">
        <w:rPr>
          <w:rFonts w:cs="Times New Roman"/>
          <w:szCs w:val="24"/>
        </w:rPr>
        <w:t>. As explained earlier</w:t>
      </w:r>
      <w:r w:rsidR="007D388D">
        <w:rPr>
          <w:rFonts w:cs="Times New Roman"/>
          <w:szCs w:val="24"/>
        </w:rPr>
        <w:t>,</w:t>
      </w:r>
      <w:r w:rsidR="0072389D" w:rsidRPr="00D904C7">
        <w:rPr>
          <w:rFonts w:cs="Times New Roman"/>
          <w:szCs w:val="24"/>
        </w:rPr>
        <w:t xml:space="preserve"> larger boards enjoy several advantages, such as having more experienced and talented directors (</w:t>
      </w:r>
      <w:r w:rsidR="0072389D" w:rsidRPr="00D904C7">
        <w:rPr>
          <w:rFonts w:cs="Times New Roman"/>
          <w:bCs/>
          <w:szCs w:val="24"/>
        </w:rPr>
        <w:t xml:space="preserve">Daniel &amp; Coles 2008; </w:t>
      </w:r>
      <w:r w:rsidR="0072389D" w:rsidRPr="00D904C7">
        <w:rPr>
          <w:rFonts w:cs="Times New Roman"/>
          <w:szCs w:val="24"/>
        </w:rPr>
        <w:t>Ntim, 2011; Ntim et al., 2015a, b</w:t>
      </w:r>
      <w:r w:rsidR="0072389D" w:rsidRPr="00D904C7">
        <w:rPr>
          <w:rFonts w:cs="Times New Roman"/>
          <w:bCs/>
          <w:szCs w:val="24"/>
        </w:rPr>
        <w:t>)</w:t>
      </w:r>
      <w:r w:rsidR="0072389D" w:rsidRPr="00D904C7">
        <w:rPr>
          <w:rFonts w:cs="Times New Roman"/>
          <w:szCs w:val="24"/>
        </w:rPr>
        <w:t xml:space="preserve">. This can result in enhancing governance practices by increasing managerial monitoring and encouraging managers to follow wealth maximising policies, including paying shareholders larger dividends. </w:t>
      </w:r>
    </w:p>
    <w:p w14:paraId="6A5A5089" w14:textId="016F1042" w:rsidR="00296118" w:rsidRPr="00C73325" w:rsidRDefault="0072389D" w:rsidP="00296118">
      <w:pPr>
        <w:spacing w:line="360" w:lineRule="auto"/>
        <w:jc w:val="center"/>
        <w:rPr>
          <w:rFonts w:cs="Times New Roman"/>
          <w:b/>
          <w:szCs w:val="24"/>
        </w:rPr>
      </w:pPr>
      <w:r w:rsidRPr="00D904C7" w:rsidDel="0072389D">
        <w:rPr>
          <w:rFonts w:cs="Times New Roman"/>
          <w:szCs w:val="24"/>
        </w:rPr>
        <w:t xml:space="preserve"> </w:t>
      </w:r>
      <w:r w:rsidR="00296118" w:rsidRPr="00C73325">
        <w:rPr>
          <w:rFonts w:cs="Times New Roman"/>
          <w:b/>
          <w:szCs w:val="24"/>
        </w:rPr>
        <w:t>[Insert table 4 about here]</w:t>
      </w:r>
    </w:p>
    <w:p w14:paraId="13AD9CF4" w14:textId="6E5A29B7" w:rsidR="0072389D" w:rsidRPr="00C73325" w:rsidRDefault="0038378D" w:rsidP="0072389D">
      <w:pPr>
        <w:spacing w:before="0" w:after="0" w:line="360" w:lineRule="auto"/>
        <w:ind w:firstLine="360"/>
        <w:rPr>
          <w:rFonts w:cs="Times New Roman"/>
          <w:szCs w:val="24"/>
        </w:rPr>
      </w:pPr>
      <w:r w:rsidRPr="00C73325">
        <w:rPr>
          <w:rFonts w:cs="Times New Roman"/>
          <w:szCs w:val="24"/>
        </w:rPr>
        <w:t xml:space="preserve">Second, </w:t>
      </w:r>
      <w:r w:rsidR="008D04FE" w:rsidRPr="00C73325">
        <w:rPr>
          <w:rFonts w:cs="Times New Roman"/>
          <w:szCs w:val="24"/>
        </w:rPr>
        <w:t xml:space="preserve">the negative coefficient on </w:t>
      </w:r>
      <w:r w:rsidRPr="00C73325">
        <w:rPr>
          <w:rFonts w:cs="Times New Roman"/>
          <w:szCs w:val="24"/>
        </w:rPr>
        <w:t>board independence (</w:t>
      </w:r>
      <w:r w:rsidRPr="00C73325">
        <w:rPr>
          <w:rFonts w:cs="Times New Roman"/>
          <w:i/>
          <w:iCs/>
          <w:szCs w:val="24"/>
        </w:rPr>
        <w:t>BI</w:t>
      </w:r>
      <w:r w:rsidRPr="00C73325">
        <w:rPr>
          <w:rFonts w:cs="Times New Roman"/>
          <w:szCs w:val="24"/>
        </w:rPr>
        <w:t xml:space="preserve">) </w:t>
      </w:r>
      <w:r w:rsidR="008D04FE" w:rsidRPr="00C73325">
        <w:rPr>
          <w:rFonts w:cs="Times New Roman"/>
          <w:szCs w:val="24"/>
        </w:rPr>
        <w:t>in Table 4, suggests that</w:t>
      </w:r>
      <w:r w:rsidRPr="00C73325">
        <w:rPr>
          <w:rFonts w:cs="Times New Roman"/>
          <w:szCs w:val="24"/>
        </w:rPr>
        <w:t xml:space="preserve"> </w:t>
      </w:r>
      <w:r w:rsidRPr="00C73325">
        <w:rPr>
          <w:rFonts w:cs="Times New Roman"/>
          <w:i/>
          <w:iCs/>
          <w:szCs w:val="24"/>
        </w:rPr>
        <w:t xml:space="preserve">H2 </w:t>
      </w:r>
      <w:r w:rsidR="008D04FE" w:rsidRPr="00C73325">
        <w:rPr>
          <w:rFonts w:cs="Times New Roman"/>
          <w:szCs w:val="24"/>
        </w:rPr>
        <w:t xml:space="preserve">(i.e., there is a negative link </w:t>
      </w:r>
      <w:r w:rsidR="007D388D">
        <w:rPr>
          <w:rFonts w:cs="Times New Roman"/>
          <w:szCs w:val="24"/>
        </w:rPr>
        <w:t>between</w:t>
      </w:r>
      <w:r w:rsidR="008D04FE" w:rsidRPr="00C73325">
        <w:rPr>
          <w:rFonts w:cs="Times New Roman"/>
          <w:szCs w:val="24"/>
        </w:rPr>
        <w:t xml:space="preserve"> board independence and dividend payment policy)</w:t>
      </w:r>
      <w:r w:rsidRPr="00C73325">
        <w:rPr>
          <w:rFonts w:cs="Times New Roman"/>
          <w:szCs w:val="24"/>
        </w:rPr>
        <w:t xml:space="preserve"> </w:t>
      </w:r>
      <w:r w:rsidR="008D04FE" w:rsidRPr="00C73325">
        <w:rPr>
          <w:rFonts w:cs="Times New Roman"/>
          <w:szCs w:val="24"/>
        </w:rPr>
        <w:t xml:space="preserve">is empirically supported. The evidence of a negative </w:t>
      </w:r>
      <w:r w:rsidR="008D04FE" w:rsidRPr="00C73325">
        <w:rPr>
          <w:rFonts w:cs="Times New Roman"/>
          <w:i/>
          <w:iCs/>
          <w:szCs w:val="24"/>
        </w:rPr>
        <w:t>BI-DP</w:t>
      </w:r>
      <w:r w:rsidR="0046026D" w:rsidRPr="00C73325">
        <w:rPr>
          <w:rFonts w:cs="Times New Roman"/>
          <w:i/>
          <w:iCs/>
          <w:szCs w:val="24"/>
        </w:rPr>
        <w:t>1</w:t>
      </w:r>
      <w:r w:rsidR="008D04FE" w:rsidRPr="00C73325">
        <w:rPr>
          <w:rFonts w:cs="Times New Roman"/>
          <w:i/>
          <w:iCs/>
          <w:szCs w:val="24"/>
        </w:rPr>
        <w:t xml:space="preserve"> </w:t>
      </w:r>
      <w:r w:rsidR="008D04FE" w:rsidRPr="00C73325">
        <w:rPr>
          <w:rFonts w:cs="Times New Roman"/>
          <w:szCs w:val="24"/>
        </w:rPr>
        <w:t xml:space="preserve">nexus provide support </w:t>
      </w:r>
      <w:r w:rsidR="007D388D">
        <w:rPr>
          <w:rFonts w:cs="Times New Roman"/>
          <w:szCs w:val="24"/>
        </w:rPr>
        <w:t>f</w:t>
      </w:r>
      <w:r w:rsidR="008D04FE" w:rsidRPr="00C73325">
        <w:rPr>
          <w:rFonts w:cs="Times New Roman"/>
          <w:szCs w:val="24"/>
        </w:rPr>
        <w:t>o</w:t>
      </w:r>
      <w:r w:rsidR="007D388D">
        <w:rPr>
          <w:rFonts w:cs="Times New Roman"/>
          <w:szCs w:val="24"/>
        </w:rPr>
        <w:t>r</w:t>
      </w:r>
      <w:r w:rsidR="008D04FE" w:rsidRPr="00C73325">
        <w:rPr>
          <w:rFonts w:cs="Times New Roman"/>
          <w:szCs w:val="24"/>
        </w:rPr>
        <w:t xml:space="preserve"> previous </w:t>
      </w:r>
      <w:r w:rsidR="0046026D" w:rsidRPr="00C73325">
        <w:rPr>
          <w:rFonts w:cs="Times New Roman"/>
          <w:szCs w:val="24"/>
        </w:rPr>
        <w:t>studies (</w:t>
      </w:r>
      <w:r w:rsidR="008D04FE" w:rsidRPr="00C73325">
        <w:rPr>
          <w:rFonts w:cs="Times New Roman"/>
          <w:szCs w:val="24"/>
        </w:rPr>
        <w:t xml:space="preserve">Abor &amp; </w:t>
      </w:r>
      <w:proofErr w:type="spellStart"/>
      <w:r w:rsidR="008D04FE" w:rsidRPr="00C73325">
        <w:rPr>
          <w:rFonts w:cs="Times New Roman"/>
          <w:szCs w:val="24"/>
        </w:rPr>
        <w:t>Fiador</w:t>
      </w:r>
      <w:proofErr w:type="spellEnd"/>
      <w:r w:rsidR="008D04FE" w:rsidRPr="00C73325">
        <w:rPr>
          <w:rFonts w:cs="Times New Roman"/>
          <w:szCs w:val="24"/>
        </w:rPr>
        <w:t>, 2013; Al-</w:t>
      </w:r>
      <w:proofErr w:type="spellStart"/>
      <w:r w:rsidR="008D04FE" w:rsidRPr="00C73325">
        <w:rPr>
          <w:rFonts w:cs="Times New Roman"/>
          <w:szCs w:val="24"/>
        </w:rPr>
        <w:t>Najjar</w:t>
      </w:r>
      <w:proofErr w:type="spellEnd"/>
      <w:r w:rsidR="008D04FE" w:rsidRPr="00C73325">
        <w:rPr>
          <w:rFonts w:cs="Times New Roman"/>
          <w:szCs w:val="24"/>
        </w:rPr>
        <w:t xml:space="preserve"> &amp; </w:t>
      </w:r>
      <w:proofErr w:type="spellStart"/>
      <w:r w:rsidR="008D04FE" w:rsidRPr="00C73325">
        <w:rPr>
          <w:rFonts w:cs="Times New Roman"/>
          <w:szCs w:val="24"/>
        </w:rPr>
        <w:t>Hussainey</w:t>
      </w:r>
      <w:proofErr w:type="spellEnd"/>
      <w:r w:rsidR="008D04FE" w:rsidRPr="00C73325">
        <w:rPr>
          <w:rFonts w:cs="Times New Roman"/>
          <w:szCs w:val="24"/>
        </w:rPr>
        <w:t xml:space="preserve">, 2009; </w:t>
      </w:r>
      <w:proofErr w:type="spellStart"/>
      <w:r w:rsidR="008D04FE" w:rsidRPr="00C73325">
        <w:rPr>
          <w:rFonts w:cs="Times New Roman"/>
          <w:szCs w:val="24"/>
        </w:rPr>
        <w:t>Borokhovich</w:t>
      </w:r>
      <w:proofErr w:type="spellEnd"/>
      <w:r w:rsidR="008D04FE" w:rsidRPr="00C73325">
        <w:rPr>
          <w:rFonts w:cs="Times New Roman"/>
          <w:szCs w:val="24"/>
        </w:rPr>
        <w:t xml:space="preserve"> et al., </w:t>
      </w:r>
      <w:r w:rsidR="0046026D" w:rsidRPr="00C73325">
        <w:rPr>
          <w:rFonts w:cs="Times New Roman"/>
          <w:szCs w:val="24"/>
        </w:rPr>
        <w:t>2005;</w:t>
      </w:r>
      <w:r w:rsidR="008D04FE" w:rsidRPr="00C73325">
        <w:rPr>
          <w:rFonts w:cs="Times New Roman"/>
          <w:szCs w:val="24"/>
        </w:rPr>
        <w:t xml:space="preserve"> Iqbal, 2013; </w:t>
      </w:r>
      <w:proofErr w:type="spellStart"/>
      <w:r w:rsidR="008D04FE" w:rsidRPr="00C73325">
        <w:rPr>
          <w:rFonts w:cs="Times New Roman"/>
          <w:szCs w:val="24"/>
        </w:rPr>
        <w:t>Mansourinia</w:t>
      </w:r>
      <w:proofErr w:type="spellEnd"/>
      <w:r w:rsidR="008D04FE" w:rsidRPr="00C73325">
        <w:rPr>
          <w:rFonts w:cs="Times New Roman"/>
          <w:szCs w:val="24"/>
        </w:rPr>
        <w:t xml:space="preserve"> et al. 2013; La-Porta et al, 2000), which report a negative relationship between the presence of outside directors and dividend </w:t>
      </w:r>
      <w:r w:rsidR="00855D30" w:rsidRPr="00C73325">
        <w:rPr>
          <w:rFonts w:cs="Times New Roman"/>
          <w:szCs w:val="24"/>
        </w:rPr>
        <w:t>pay-out</w:t>
      </w:r>
      <w:r w:rsidR="008D04FE" w:rsidRPr="00C73325">
        <w:rPr>
          <w:rFonts w:cs="Times New Roman"/>
          <w:szCs w:val="24"/>
        </w:rPr>
        <w:t xml:space="preserve"> policy. Theoretically, the evidence is in line with </w:t>
      </w:r>
      <w:r w:rsidR="007D388D">
        <w:rPr>
          <w:rFonts w:cs="Times New Roman"/>
          <w:szCs w:val="24"/>
        </w:rPr>
        <w:t xml:space="preserve">the </w:t>
      </w:r>
      <w:r w:rsidR="0046026D" w:rsidRPr="00C73325">
        <w:rPr>
          <w:rFonts w:cs="Times New Roman"/>
          <w:szCs w:val="24"/>
        </w:rPr>
        <w:t>prediction</w:t>
      </w:r>
      <w:r w:rsidR="007D388D">
        <w:rPr>
          <w:rFonts w:cs="Times New Roman"/>
          <w:szCs w:val="24"/>
        </w:rPr>
        <w:t>s</w:t>
      </w:r>
      <w:r w:rsidR="0046026D" w:rsidRPr="00C73325">
        <w:rPr>
          <w:rFonts w:cs="Times New Roman"/>
          <w:szCs w:val="24"/>
        </w:rPr>
        <w:t xml:space="preserve"> of the substitute hypothesis that </w:t>
      </w:r>
      <w:r w:rsidR="007D388D">
        <w:rPr>
          <w:rFonts w:cs="Times New Roman"/>
          <w:szCs w:val="24"/>
        </w:rPr>
        <w:t xml:space="preserve">indicate that </w:t>
      </w:r>
      <w:r w:rsidR="0072389D" w:rsidRPr="00C73325">
        <w:rPr>
          <w:rFonts w:cs="Times New Roman"/>
          <w:szCs w:val="24"/>
        </w:rPr>
        <w:t xml:space="preserve">firms </w:t>
      </w:r>
      <w:r w:rsidR="0072389D" w:rsidRPr="00D904C7">
        <w:rPr>
          <w:rFonts w:cs="Times New Roman"/>
          <w:szCs w:val="24"/>
        </w:rPr>
        <w:t>with good governance practices (higher proportion of independent outside directors) are less inclined to pay dividends (La-Porta et al., 2000), and this is because board independence and dividend pay-out are substitutes in mitiga</w:t>
      </w:r>
      <w:r w:rsidR="00870D5C">
        <w:rPr>
          <w:rFonts w:cs="Times New Roman"/>
          <w:szCs w:val="24"/>
        </w:rPr>
        <w:t>ting agency costs (Al-</w:t>
      </w:r>
      <w:proofErr w:type="spellStart"/>
      <w:r w:rsidR="00870D5C">
        <w:rPr>
          <w:rFonts w:cs="Times New Roman"/>
          <w:szCs w:val="24"/>
        </w:rPr>
        <w:t>Najjar</w:t>
      </w:r>
      <w:proofErr w:type="spellEnd"/>
      <w:r w:rsidR="00870D5C">
        <w:rPr>
          <w:rFonts w:cs="Times New Roman"/>
          <w:szCs w:val="24"/>
        </w:rPr>
        <w:t xml:space="preserve"> &amp;</w:t>
      </w:r>
      <w:r w:rsidR="0072389D" w:rsidRPr="00D904C7">
        <w:rPr>
          <w:rFonts w:cs="Times New Roman"/>
          <w:szCs w:val="24"/>
        </w:rPr>
        <w:t xml:space="preserve"> </w:t>
      </w:r>
      <w:proofErr w:type="spellStart"/>
      <w:r w:rsidR="0072389D" w:rsidRPr="00D904C7">
        <w:rPr>
          <w:rFonts w:cs="Times New Roman"/>
          <w:szCs w:val="24"/>
        </w:rPr>
        <w:t>Hussainey</w:t>
      </w:r>
      <w:proofErr w:type="spellEnd"/>
      <w:r w:rsidR="0072389D" w:rsidRPr="00D904C7">
        <w:rPr>
          <w:rFonts w:cs="Times New Roman"/>
          <w:szCs w:val="24"/>
        </w:rPr>
        <w:t>, 2009).</w:t>
      </w:r>
    </w:p>
    <w:p w14:paraId="48250DBD" w14:textId="572031A2" w:rsidR="00AD4192" w:rsidRPr="00D904C7" w:rsidRDefault="00AB6092" w:rsidP="0072389D">
      <w:pPr>
        <w:spacing w:before="0" w:after="0" w:line="360" w:lineRule="auto"/>
        <w:ind w:firstLine="360"/>
        <w:rPr>
          <w:rFonts w:asciiTheme="majorBidi" w:hAnsiTheme="majorBidi" w:cstheme="majorBidi"/>
          <w:szCs w:val="24"/>
        </w:rPr>
      </w:pPr>
      <w:r w:rsidRPr="00C73325">
        <w:rPr>
          <w:rFonts w:asciiTheme="majorBidi" w:hAnsiTheme="majorBidi" w:cstheme="majorBidi"/>
          <w:szCs w:val="24"/>
        </w:rPr>
        <w:t xml:space="preserve">Third, </w:t>
      </w:r>
      <w:r w:rsidR="00651C2B" w:rsidRPr="00C73325">
        <w:rPr>
          <w:rFonts w:asciiTheme="majorBidi" w:hAnsiTheme="majorBidi" w:cstheme="majorBidi"/>
          <w:szCs w:val="24"/>
        </w:rPr>
        <w:t>the results suggest that CEO role duality (</w:t>
      </w:r>
      <w:r w:rsidR="00651C2B" w:rsidRPr="00C73325">
        <w:rPr>
          <w:rFonts w:asciiTheme="majorBidi" w:hAnsiTheme="majorBidi" w:cstheme="majorBidi"/>
          <w:i/>
          <w:iCs/>
          <w:szCs w:val="24"/>
        </w:rPr>
        <w:t>CEO</w:t>
      </w:r>
      <w:r w:rsidR="00651C2B" w:rsidRPr="00C73325">
        <w:rPr>
          <w:rFonts w:asciiTheme="majorBidi" w:hAnsiTheme="majorBidi" w:cstheme="majorBidi"/>
          <w:szCs w:val="24"/>
        </w:rPr>
        <w:t>)</w:t>
      </w:r>
      <w:r w:rsidR="00651C2B" w:rsidRPr="00C73325">
        <w:rPr>
          <w:rFonts w:asciiTheme="majorBidi" w:hAnsiTheme="majorBidi" w:cstheme="majorBidi"/>
          <w:i/>
          <w:iCs/>
          <w:szCs w:val="24"/>
        </w:rPr>
        <w:t xml:space="preserve"> </w:t>
      </w:r>
      <w:r w:rsidR="00651C2B" w:rsidRPr="00C73325">
        <w:rPr>
          <w:rFonts w:asciiTheme="majorBidi" w:hAnsiTheme="majorBidi" w:cstheme="majorBidi"/>
          <w:szCs w:val="24"/>
        </w:rPr>
        <w:t xml:space="preserve">is negatively associated with </w:t>
      </w:r>
      <w:r w:rsidR="00651C2B" w:rsidRPr="00C73325">
        <w:rPr>
          <w:rFonts w:asciiTheme="majorBidi" w:hAnsiTheme="majorBidi" w:cstheme="majorBidi"/>
          <w:i/>
          <w:iCs/>
          <w:szCs w:val="24"/>
        </w:rPr>
        <w:t>DP</w:t>
      </w:r>
      <w:r w:rsidR="00022907" w:rsidRPr="00C73325">
        <w:rPr>
          <w:rFonts w:asciiTheme="majorBidi" w:hAnsiTheme="majorBidi" w:cstheme="majorBidi"/>
          <w:i/>
          <w:iCs/>
          <w:szCs w:val="24"/>
        </w:rPr>
        <w:t>1</w:t>
      </w:r>
      <w:r w:rsidR="00651C2B" w:rsidRPr="00C73325">
        <w:rPr>
          <w:rFonts w:asciiTheme="majorBidi" w:hAnsiTheme="majorBidi" w:cstheme="majorBidi"/>
          <w:szCs w:val="24"/>
        </w:rPr>
        <w:t xml:space="preserve">, implying that </w:t>
      </w:r>
      <w:r w:rsidR="00651C2B" w:rsidRPr="00C73325">
        <w:rPr>
          <w:rFonts w:asciiTheme="majorBidi" w:hAnsiTheme="majorBidi" w:cstheme="majorBidi"/>
          <w:i/>
          <w:iCs/>
          <w:szCs w:val="24"/>
        </w:rPr>
        <w:t xml:space="preserve">H3 </w:t>
      </w:r>
      <w:r w:rsidR="00651C2B" w:rsidRPr="00C73325">
        <w:rPr>
          <w:rFonts w:asciiTheme="majorBidi" w:hAnsiTheme="majorBidi" w:cstheme="majorBidi"/>
          <w:szCs w:val="24"/>
        </w:rPr>
        <w:t xml:space="preserve">(i.e., there is a negative association between CEO role duality and dividend payment policy) is empirically supported. The negative coefficient on </w:t>
      </w:r>
      <w:r w:rsidR="00651C2B" w:rsidRPr="00C73325">
        <w:rPr>
          <w:rFonts w:asciiTheme="majorBidi" w:hAnsiTheme="majorBidi" w:cstheme="majorBidi"/>
          <w:i/>
          <w:iCs/>
          <w:szCs w:val="24"/>
        </w:rPr>
        <w:t>CEO</w:t>
      </w:r>
      <w:r w:rsidR="00651C2B" w:rsidRPr="00C73325">
        <w:rPr>
          <w:rFonts w:asciiTheme="majorBidi" w:hAnsiTheme="majorBidi" w:cstheme="majorBidi"/>
          <w:szCs w:val="24"/>
        </w:rPr>
        <w:t xml:space="preserve"> also provide support to the findings of previous studies</w:t>
      </w:r>
      <w:r w:rsidR="00651C2B" w:rsidRPr="00C73325">
        <w:rPr>
          <w:rFonts w:cs="Times New Roman"/>
          <w:szCs w:val="24"/>
        </w:rPr>
        <w:t xml:space="preserve"> (</w:t>
      </w:r>
      <w:r w:rsidR="00651C2B" w:rsidRPr="00C73325">
        <w:rPr>
          <w:rStyle w:val="hps"/>
          <w:rFonts w:asciiTheme="majorBidi" w:hAnsiTheme="majorBidi"/>
          <w:noProof/>
          <w:szCs w:val="24"/>
        </w:rPr>
        <w:t xml:space="preserve">Abor &amp; Fiador, 2013; </w:t>
      </w:r>
      <w:r w:rsidR="00651C2B" w:rsidRPr="00C73325">
        <w:rPr>
          <w:rFonts w:cs="Times New Roman"/>
          <w:szCs w:val="24"/>
        </w:rPr>
        <w:t xml:space="preserve">Ghosh &amp; </w:t>
      </w:r>
      <w:proofErr w:type="spellStart"/>
      <w:r w:rsidR="00651C2B" w:rsidRPr="00C73325">
        <w:rPr>
          <w:rFonts w:cs="Times New Roman"/>
          <w:szCs w:val="24"/>
        </w:rPr>
        <w:t>Sirmans</w:t>
      </w:r>
      <w:proofErr w:type="spellEnd"/>
      <w:r w:rsidR="00651C2B" w:rsidRPr="00C73325">
        <w:rPr>
          <w:rFonts w:cs="Times New Roman"/>
          <w:szCs w:val="24"/>
        </w:rPr>
        <w:t xml:space="preserve">, 2006; </w:t>
      </w:r>
      <w:proofErr w:type="spellStart"/>
      <w:r w:rsidR="00651C2B" w:rsidRPr="00C73325">
        <w:rPr>
          <w:rFonts w:asciiTheme="majorBidi" w:hAnsiTheme="majorBidi" w:cstheme="majorBidi"/>
          <w:szCs w:val="24"/>
        </w:rPr>
        <w:t>Litai</w:t>
      </w:r>
      <w:proofErr w:type="spellEnd"/>
      <w:r w:rsidR="00651C2B" w:rsidRPr="00C73325">
        <w:rPr>
          <w:rFonts w:asciiTheme="majorBidi" w:hAnsiTheme="majorBidi" w:cstheme="majorBidi"/>
          <w:szCs w:val="24"/>
        </w:rPr>
        <w:t xml:space="preserve"> et al., 2011; </w:t>
      </w:r>
      <w:r w:rsidR="00651C2B" w:rsidRPr="00C73325">
        <w:rPr>
          <w:rFonts w:cs="Times New Roman"/>
          <w:szCs w:val="24"/>
        </w:rPr>
        <w:t xml:space="preserve">Sharma, 2011; </w:t>
      </w:r>
      <w:r w:rsidR="00651C2B" w:rsidRPr="00C73325">
        <w:rPr>
          <w:rFonts w:asciiTheme="majorBidi" w:hAnsiTheme="majorBidi" w:cstheme="majorBidi"/>
          <w:szCs w:val="24"/>
        </w:rPr>
        <w:t xml:space="preserve">Zhang, 2008), which report a negative association between CEO duality and dividend </w:t>
      </w:r>
      <w:r w:rsidR="00855D30" w:rsidRPr="00C73325">
        <w:rPr>
          <w:rFonts w:asciiTheme="majorBidi" w:hAnsiTheme="majorBidi" w:cstheme="majorBidi"/>
          <w:szCs w:val="24"/>
        </w:rPr>
        <w:t>pay-out</w:t>
      </w:r>
      <w:r w:rsidR="00651C2B" w:rsidRPr="00C73325">
        <w:rPr>
          <w:rFonts w:asciiTheme="majorBidi" w:hAnsiTheme="majorBidi" w:cstheme="majorBidi"/>
          <w:szCs w:val="24"/>
        </w:rPr>
        <w:t xml:space="preserve"> policy. </w:t>
      </w:r>
      <w:r w:rsidR="0072389D" w:rsidRPr="00C73325">
        <w:rPr>
          <w:rFonts w:asciiTheme="majorBidi" w:hAnsiTheme="majorBidi" w:cstheme="majorBidi"/>
          <w:szCs w:val="24"/>
        </w:rPr>
        <w:t xml:space="preserve">Theoretically, </w:t>
      </w:r>
      <w:r w:rsidR="0072389D" w:rsidRPr="00D904C7">
        <w:rPr>
          <w:rFonts w:asciiTheme="majorBidi" w:hAnsiTheme="majorBidi" w:cstheme="majorBidi"/>
          <w:szCs w:val="24"/>
        </w:rPr>
        <w:t xml:space="preserve">the negative finding offers support </w:t>
      </w:r>
      <w:r w:rsidR="007D388D">
        <w:rPr>
          <w:rFonts w:asciiTheme="majorBidi" w:hAnsiTheme="majorBidi" w:cstheme="majorBidi"/>
          <w:szCs w:val="24"/>
        </w:rPr>
        <w:t>for</w:t>
      </w:r>
      <w:r w:rsidR="0072389D" w:rsidRPr="00D904C7">
        <w:rPr>
          <w:rFonts w:asciiTheme="majorBidi" w:hAnsiTheme="majorBidi" w:cstheme="majorBidi"/>
          <w:szCs w:val="24"/>
        </w:rPr>
        <w:t xml:space="preserve"> the prediction of outcome hypothesis that </w:t>
      </w:r>
      <w:r w:rsidR="007D388D" w:rsidRPr="00D904C7">
        <w:rPr>
          <w:rFonts w:asciiTheme="majorBidi" w:hAnsiTheme="majorBidi" w:cstheme="majorBidi"/>
          <w:szCs w:val="24"/>
        </w:rPr>
        <w:t>poor gover</w:t>
      </w:r>
      <w:r w:rsidR="007D388D">
        <w:rPr>
          <w:rFonts w:asciiTheme="majorBidi" w:hAnsiTheme="majorBidi" w:cstheme="majorBidi"/>
          <w:szCs w:val="24"/>
        </w:rPr>
        <w:t>ned</w:t>
      </w:r>
      <w:r w:rsidR="0072389D" w:rsidRPr="00D904C7">
        <w:rPr>
          <w:rFonts w:asciiTheme="majorBidi" w:hAnsiTheme="majorBidi" w:cstheme="majorBidi"/>
          <w:szCs w:val="24"/>
        </w:rPr>
        <w:t xml:space="preserve"> firms (in the form of combining CEO and chairperson role) </w:t>
      </w:r>
      <w:r w:rsidR="007D388D">
        <w:rPr>
          <w:rFonts w:asciiTheme="majorBidi" w:hAnsiTheme="majorBidi" w:cstheme="majorBidi"/>
          <w:szCs w:val="24"/>
        </w:rPr>
        <w:t>tend to pay</w:t>
      </w:r>
      <w:r w:rsidR="0072389D" w:rsidRPr="00D904C7">
        <w:rPr>
          <w:rFonts w:asciiTheme="majorBidi" w:hAnsiTheme="majorBidi" w:cstheme="majorBidi"/>
          <w:szCs w:val="24"/>
        </w:rPr>
        <w:t xml:space="preserve"> lower dividends, and this is because dual leadership may allow opportunistic CEOs to make decisions and </w:t>
      </w:r>
      <w:r w:rsidR="007D388D">
        <w:rPr>
          <w:rFonts w:asciiTheme="majorBidi" w:hAnsiTheme="majorBidi" w:cstheme="majorBidi"/>
          <w:szCs w:val="24"/>
        </w:rPr>
        <w:t>pursue</w:t>
      </w:r>
      <w:r w:rsidR="0072389D" w:rsidRPr="00D904C7">
        <w:rPr>
          <w:rFonts w:asciiTheme="majorBidi" w:hAnsiTheme="majorBidi" w:cstheme="majorBidi"/>
          <w:szCs w:val="24"/>
        </w:rPr>
        <w:t xml:space="preserve"> strategies that </w:t>
      </w:r>
      <w:r w:rsidR="007D388D">
        <w:rPr>
          <w:rFonts w:asciiTheme="majorBidi" w:hAnsiTheme="majorBidi" w:cstheme="majorBidi"/>
          <w:szCs w:val="24"/>
        </w:rPr>
        <w:t xml:space="preserve">may </w:t>
      </w:r>
      <w:r w:rsidR="0072389D" w:rsidRPr="00D904C7">
        <w:rPr>
          <w:rFonts w:asciiTheme="majorBidi" w:hAnsiTheme="majorBidi" w:cstheme="majorBidi"/>
          <w:szCs w:val="24"/>
        </w:rPr>
        <w:t xml:space="preserve">improve their personal </w:t>
      </w:r>
      <w:r w:rsidR="007D388D">
        <w:rPr>
          <w:rFonts w:asciiTheme="majorBidi" w:hAnsiTheme="majorBidi" w:cstheme="majorBidi"/>
          <w:szCs w:val="24"/>
        </w:rPr>
        <w:t>wealth</w:t>
      </w:r>
      <w:r w:rsidR="0072389D" w:rsidRPr="00D904C7">
        <w:rPr>
          <w:rFonts w:asciiTheme="majorBidi" w:hAnsiTheme="majorBidi" w:cstheme="majorBidi"/>
          <w:szCs w:val="24"/>
        </w:rPr>
        <w:t xml:space="preserve"> at the expense of shareholders </w:t>
      </w:r>
      <w:r w:rsidR="0072389D" w:rsidRPr="00D904C7">
        <w:rPr>
          <w:rFonts w:cs="Times New Roman"/>
          <w:szCs w:val="24"/>
        </w:rPr>
        <w:t xml:space="preserve">(Dalton, 2014). </w:t>
      </w:r>
    </w:p>
    <w:p w14:paraId="542A4267" w14:textId="079FFC85" w:rsidR="0072389D" w:rsidRPr="00D904C7" w:rsidRDefault="00AB6092" w:rsidP="0072389D">
      <w:pPr>
        <w:spacing w:before="0" w:after="0" w:line="360" w:lineRule="auto"/>
        <w:ind w:firstLine="360"/>
        <w:rPr>
          <w:rFonts w:cs="Times New Roman"/>
          <w:szCs w:val="24"/>
        </w:rPr>
      </w:pPr>
      <w:r w:rsidRPr="00C73325">
        <w:rPr>
          <w:rFonts w:cs="Times New Roman"/>
          <w:noProof/>
        </w:rPr>
        <w:t>Fourth</w:t>
      </w:r>
      <w:r w:rsidR="00774569" w:rsidRPr="00C73325">
        <w:rPr>
          <w:rFonts w:cs="Times New Roman"/>
          <w:noProof/>
        </w:rPr>
        <w:t>, the frequency of board meeting</w:t>
      </w:r>
      <w:r w:rsidR="000D2928">
        <w:rPr>
          <w:rFonts w:cs="Times New Roman"/>
          <w:noProof/>
        </w:rPr>
        <w:t>s</w:t>
      </w:r>
      <w:r w:rsidR="00774569" w:rsidRPr="00C73325">
        <w:rPr>
          <w:rFonts w:cs="Times New Roman"/>
          <w:noProof/>
        </w:rPr>
        <w:t xml:space="preserve"> (FM) in Table 4 is negatively and</w:t>
      </w:r>
      <w:r w:rsidR="00774569" w:rsidRPr="00FF6091">
        <w:rPr>
          <w:rFonts w:cs="Times New Roman"/>
          <w:szCs w:val="24"/>
        </w:rPr>
        <w:t xml:space="preserve"> significantly associated with </w:t>
      </w:r>
      <w:r w:rsidR="00774569" w:rsidRPr="00C73325">
        <w:rPr>
          <w:rFonts w:cs="Times New Roman"/>
          <w:i/>
          <w:iCs/>
          <w:szCs w:val="24"/>
        </w:rPr>
        <w:t>DP</w:t>
      </w:r>
      <w:r w:rsidR="00E51A07" w:rsidRPr="00C73325">
        <w:rPr>
          <w:rFonts w:cs="Times New Roman"/>
          <w:i/>
          <w:iCs/>
          <w:szCs w:val="24"/>
        </w:rPr>
        <w:t>1</w:t>
      </w:r>
      <w:r w:rsidR="00774569" w:rsidRPr="00C73325">
        <w:rPr>
          <w:rFonts w:cs="Times New Roman"/>
          <w:szCs w:val="24"/>
        </w:rPr>
        <w:t xml:space="preserve">. This implies that </w:t>
      </w:r>
      <w:r w:rsidR="00774569" w:rsidRPr="00C73325">
        <w:rPr>
          <w:rFonts w:cs="Times New Roman"/>
          <w:i/>
          <w:iCs/>
          <w:szCs w:val="24"/>
        </w:rPr>
        <w:t xml:space="preserve">H4 </w:t>
      </w:r>
      <w:r w:rsidR="00774569" w:rsidRPr="00C73325">
        <w:rPr>
          <w:rFonts w:cs="Times New Roman"/>
          <w:szCs w:val="24"/>
        </w:rPr>
        <w:t xml:space="preserve">(i.e., </w:t>
      </w:r>
      <w:r w:rsidR="000D2928">
        <w:rPr>
          <w:rFonts w:cs="Times New Roman"/>
          <w:bCs/>
          <w:szCs w:val="24"/>
        </w:rPr>
        <w:t>t</w:t>
      </w:r>
      <w:r w:rsidR="00774569" w:rsidRPr="00C73325">
        <w:rPr>
          <w:rFonts w:cs="Times New Roman"/>
          <w:bCs/>
          <w:szCs w:val="24"/>
        </w:rPr>
        <w:t xml:space="preserve">here is a negative relationship between </w:t>
      </w:r>
      <w:r w:rsidR="000D2928">
        <w:rPr>
          <w:rFonts w:cs="Times New Roman"/>
          <w:bCs/>
          <w:szCs w:val="24"/>
        </w:rPr>
        <w:t>f</w:t>
      </w:r>
      <w:r w:rsidR="00774569" w:rsidRPr="00C73325">
        <w:rPr>
          <w:rFonts w:cs="Times New Roman"/>
          <w:bCs/>
          <w:szCs w:val="24"/>
        </w:rPr>
        <w:t xml:space="preserve">requency of </w:t>
      </w:r>
      <w:r w:rsidR="000D2928">
        <w:rPr>
          <w:rFonts w:cs="Times New Roman"/>
          <w:bCs/>
          <w:szCs w:val="24"/>
        </w:rPr>
        <w:t>b</w:t>
      </w:r>
      <w:r w:rsidR="00774569" w:rsidRPr="00C73325">
        <w:rPr>
          <w:rFonts w:cs="Times New Roman"/>
          <w:bCs/>
          <w:szCs w:val="24"/>
        </w:rPr>
        <w:t xml:space="preserve">oard </w:t>
      </w:r>
      <w:r w:rsidR="000D2928">
        <w:rPr>
          <w:rFonts w:cs="Times New Roman"/>
          <w:bCs/>
          <w:szCs w:val="24"/>
        </w:rPr>
        <w:t>m</w:t>
      </w:r>
      <w:r w:rsidR="00774569" w:rsidRPr="00C73325">
        <w:rPr>
          <w:rFonts w:cs="Times New Roman"/>
          <w:bCs/>
          <w:szCs w:val="24"/>
        </w:rPr>
        <w:t xml:space="preserve">eeting and </w:t>
      </w:r>
      <w:r w:rsidR="000D2928">
        <w:rPr>
          <w:rFonts w:cs="Times New Roman"/>
          <w:bCs/>
          <w:szCs w:val="24"/>
        </w:rPr>
        <w:t>d</w:t>
      </w:r>
      <w:r w:rsidR="00774569" w:rsidRPr="00C73325">
        <w:rPr>
          <w:rFonts w:cs="Times New Roman"/>
          <w:bCs/>
          <w:szCs w:val="24"/>
        </w:rPr>
        <w:t xml:space="preserve">ividend payment policy) is supported. As explained above, there is a lack of studies investigating the impact of </w:t>
      </w:r>
      <w:r w:rsidR="00774569" w:rsidRPr="00C73325">
        <w:rPr>
          <w:rFonts w:cs="Times New Roman"/>
          <w:bCs/>
          <w:i/>
          <w:iCs/>
          <w:szCs w:val="24"/>
        </w:rPr>
        <w:t xml:space="preserve">FM </w:t>
      </w:r>
      <w:r w:rsidR="00774569" w:rsidRPr="00C73325">
        <w:rPr>
          <w:rFonts w:cs="Times New Roman"/>
          <w:bCs/>
          <w:szCs w:val="24"/>
        </w:rPr>
        <w:t xml:space="preserve">on dividend payment policy and most previous studies have focused on examining whether </w:t>
      </w:r>
      <w:r w:rsidR="00774569" w:rsidRPr="00C73325">
        <w:rPr>
          <w:rFonts w:cs="Times New Roman"/>
          <w:bCs/>
          <w:i/>
          <w:iCs/>
          <w:szCs w:val="24"/>
        </w:rPr>
        <w:t xml:space="preserve">FM </w:t>
      </w:r>
      <w:r w:rsidR="00774569" w:rsidRPr="00C73325">
        <w:rPr>
          <w:rFonts w:cs="Times New Roman"/>
          <w:bCs/>
          <w:szCs w:val="24"/>
        </w:rPr>
        <w:t xml:space="preserve">influences firm performance </w:t>
      </w:r>
      <w:r w:rsidR="009F5D00" w:rsidRPr="00C73325">
        <w:rPr>
          <w:rFonts w:cs="Times New Roman"/>
          <w:noProof/>
        </w:rPr>
        <w:t>(</w:t>
      </w:r>
      <w:r w:rsidR="009F5D00" w:rsidRPr="00C73325">
        <w:rPr>
          <w:rFonts w:cs="Times New Roman"/>
          <w:noProof/>
          <w:szCs w:val="24"/>
        </w:rPr>
        <w:t xml:space="preserve">Chen </w:t>
      </w:r>
      <w:r w:rsidR="009F5D00" w:rsidRPr="00C73325">
        <w:rPr>
          <w:rFonts w:cs="Times New Roman"/>
          <w:noProof/>
          <w:szCs w:val="24"/>
        </w:rPr>
        <w:lastRenderedPageBreak/>
        <w:t>&amp; Chen, 2012; Hu</w:t>
      </w:r>
      <w:r w:rsidR="009F5D00" w:rsidRPr="00C73325">
        <w:rPr>
          <w:rFonts w:cs="Times New Roman"/>
          <w:i/>
          <w:noProof/>
          <w:szCs w:val="24"/>
        </w:rPr>
        <w:t xml:space="preserve"> </w:t>
      </w:r>
      <w:r w:rsidR="009F5D00" w:rsidRPr="00C73325">
        <w:rPr>
          <w:rFonts w:cs="Times New Roman"/>
          <w:iCs/>
          <w:noProof/>
          <w:szCs w:val="24"/>
        </w:rPr>
        <w:t>et al.,</w:t>
      </w:r>
      <w:r w:rsidR="009F5D00" w:rsidRPr="00C73325">
        <w:rPr>
          <w:rFonts w:cs="Times New Roman"/>
          <w:i/>
          <w:noProof/>
          <w:szCs w:val="24"/>
        </w:rPr>
        <w:t xml:space="preserve"> </w:t>
      </w:r>
      <w:r w:rsidR="009F5D00" w:rsidRPr="00C73325">
        <w:rPr>
          <w:rFonts w:cs="Times New Roman"/>
          <w:iCs/>
          <w:noProof/>
          <w:szCs w:val="24"/>
        </w:rPr>
        <w:t>2010;</w:t>
      </w:r>
      <w:r w:rsidR="009F5D00" w:rsidRPr="00C73325">
        <w:rPr>
          <w:rFonts w:cs="Times New Roman"/>
          <w:szCs w:val="24"/>
        </w:rPr>
        <w:t xml:space="preserve"> </w:t>
      </w:r>
      <w:r w:rsidR="009F5D00" w:rsidRPr="00C73325">
        <w:rPr>
          <w:rFonts w:cs="Times New Roman"/>
          <w:noProof/>
          <w:szCs w:val="24"/>
        </w:rPr>
        <w:t>Karamanou &amp; Vafeas</w:t>
      </w:r>
      <w:r w:rsidR="009F5D00" w:rsidRPr="00C73325">
        <w:rPr>
          <w:rFonts w:cs="Times New Roman"/>
          <w:noProof/>
        </w:rPr>
        <w:t>, 2005; Ntim &amp; Osei, 2011</w:t>
      </w:r>
      <w:r w:rsidR="009F5D00" w:rsidRPr="00C73325">
        <w:rPr>
          <w:rFonts w:cs="Times New Roman"/>
          <w:szCs w:val="24"/>
        </w:rPr>
        <w:t xml:space="preserve">). This offers opportunity to provide new evidence on </w:t>
      </w:r>
      <w:r w:rsidR="009F5D00" w:rsidRPr="00C73325">
        <w:rPr>
          <w:rFonts w:cs="Times New Roman"/>
          <w:i/>
          <w:iCs/>
          <w:szCs w:val="24"/>
        </w:rPr>
        <w:t xml:space="preserve">FM’s </w:t>
      </w:r>
      <w:r w:rsidR="009F5D00" w:rsidRPr="00C73325">
        <w:rPr>
          <w:rFonts w:cs="Times New Roman"/>
          <w:szCs w:val="24"/>
        </w:rPr>
        <w:t xml:space="preserve">impact on </w:t>
      </w:r>
      <w:r w:rsidR="009F5D00" w:rsidRPr="00C73325">
        <w:rPr>
          <w:rFonts w:cs="Times New Roman"/>
          <w:i/>
          <w:iCs/>
          <w:szCs w:val="24"/>
        </w:rPr>
        <w:t>DP</w:t>
      </w:r>
      <w:r w:rsidR="009F5D00" w:rsidRPr="00C73325">
        <w:rPr>
          <w:rFonts w:cs="Times New Roman"/>
          <w:szCs w:val="24"/>
        </w:rPr>
        <w:t xml:space="preserve">. </w:t>
      </w:r>
      <w:r w:rsidR="0072389D" w:rsidRPr="00C73325">
        <w:rPr>
          <w:rFonts w:cs="Times New Roman"/>
          <w:szCs w:val="24"/>
        </w:rPr>
        <w:t xml:space="preserve">Theoretically, </w:t>
      </w:r>
      <w:r w:rsidR="0072389D" w:rsidRPr="00D904C7">
        <w:rPr>
          <w:rFonts w:cs="Times New Roman"/>
          <w:szCs w:val="24"/>
        </w:rPr>
        <w:t xml:space="preserve">the result offers support </w:t>
      </w:r>
      <w:r w:rsidR="000D2928">
        <w:rPr>
          <w:rFonts w:cs="Times New Roman"/>
          <w:szCs w:val="24"/>
        </w:rPr>
        <w:t xml:space="preserve">for </w:t>
      </w:r>
      <w:r w:rsidR="0072389D" w:rsidRPr="00D904C7">
        <w:rPr>
          <w:rFonts w:cs="Times New Roman"/>
          <w:szCs w:val="24"/>
        </w:rPr>
        <w:t>the substitute hypothesis (La Porta et al., 2000), which suggest</w:t>
      </w:r>
      <w:r w:rsidR="000D2928">
        <w:rPr>
          <w:rFonts w:cs="Times New Roman"/>
          <w:szCs w:val="24"/>
        </w:rPr>
        <w:t>s</w:t>
      </w:r>
      <w:r w:rsidR="0072389D" w:rsidRPr="00D904C7">
        <w:rPr>
          <w:rFonts w:cs="Times New Roman"/>
          <w:szCs w:val="24"/>
        </w:rPr>
        <w:t xml:space="preserve"> that firms with poor governance</w:t>
      </w:r>
      <w:r w:rsidR="000D2928">
        <w:rPr>
          <w:rFonts w:cs="Times New Roman"/>
          <w:szCs w:val="24"/>
        </w:rPr>
        <w:t xml:space="preserve"> tend to</w:t>
      </w:r>
      <w:r w:rsidR="0072389D" w:rsidRPr="00D904C7">
        <w:rPr>
          <w:rFonts w:cs="Times New Roman"/>
          <w:szCs w:val="24"/>
        </w:rPr>
        <w:t xml:space="preserve"> use dividends to </w:t>
      </w:r>
      <w:r w:rsidR="000D2928">
        <w:rPr>
          <w:rFonts w:cs="Times New Roman"/>
          <w:szCs w:val="24"/>
        </w:rPr>
        <w:t>maintain</w:t>
      </w:r>
      <w:r w:rsidR="0072389D" w:rsidRPr="00D904C7">
        <w:rPr>
          <w:rFonts w:cs="Times New Roman"/>
          <w:szCs w:val="24"/>
        </w:rPr>
        <w:t xml:space="preserve"> a positive reputation with shareholders. This implies that the payment of dividends</w:t>
      </w:r>
      <w:r w:rsidR="000D2928">
        <w:rPr>
          <w:rFonts w:cs="Times New Roman"/>
          <w:szCs w:val="24"/>
        </w:rPr>
        <w:t xml:space="preserve"> can serve as</w:t>
      </w:r>
      <w:r w:rsidR="0072389D" w:rsidRPr="00D904C7">
        <w:rPr>
          <w:rFonts w:cs="Times New Roman"/>
          <w:szCs w:val="24"/>
        </w:rPr>
        <w:t xml:space="preserve"> substitute</w:t>
      </w:r>
      <w:r w:rsidR="000D2928">
        <w:rPr>
          <w:rFonts w:cs="Times New Roman"/>
          <w:szCs w:val="24"/>
        </w:rPr>
        <w:t xml:space="preserve"> for</w:t>
      </w:r>
      <w:r w:rsidR="0072389D" w:rsidRPr="00D904C7">
        <w:rPr>
          <w:rFonts w:cs="Times New Roman"/>
          <w:szCs w:val="24"/>
        </w:rPr>
        <w:t xml:space="preserve"> the need for </w:t>
      </w:r>
      <w:r w:rsidR="009D313C">
        <w:rPr>
          <w:rFonts w:cs="Times New Roman"/>
          <w:szCs w:val="24"/>
        </w:rPr>
        <w:t xml:space="preserve">greater managerial monitoring through </w:t>
      </w:r>
      <w:r w:rsidR="0072389D" w:rsidRPr="00D904C7">
        <w:rPr>
          <w:rFonts w:cs="Times New Roman"/>
          <w:szCs w:val="24"/>
        </w:rPr>
        <w:t xml:space="preserve">frequent board meetings. </w:t>
      </w:r>
    </w:p>
    <w:p w14:paraId="5DD90D4D" w14:textId="300DFE03" w:rsidR="0072389D" w:rsidRPr="00C73325" w:rsidRDefault="00127BE6" w:rsidP="0072389D">
      <w:pPr>
        <w:spacing w:before="0" w:after="0" w:line="360" w:lineRule="auto"/>
        <w:ind w:firstLine="360"/>
        <w:rPr>
          <w:rFonts w:cs="Times New Roman"/>
          <w:szCs w:val="24"/>
        </w:rPr>
      </w:pPr>
      <w:r w:rsidRPr="00C73325">
        <w:rPr>
          <w:rFonts w:cs="Times New Roman"/>
          <w:noProof/>
        </w:rPr>
        <w:t xml:space="preserve">Fifth, </w:t>
      </w:r>
      <w:r w:rsidR="00C36F44" w:rsidRPr="00C73325">
        <w:rPr>
          <w:rFonts w:cs="Times New Roman"/>
          <w:noProof/>
        </w:rPr>
        <w:t>board gender diversity (</w:t>
      </w:r>
      <w:r w:rsidR="00C36F44" w:rsidRPr="00C73325">
        <w:rPr>
          <w:rFonts w:cs="Times New Roman"/>
          <w:i/>
          <w:iCs/>
          <w:noProof/>
        </w:rPr>
        <w:t>BG</w:t>
      </w:r>
      <w:r w:rsidR="00C36F44" w:rsidRPr="00FF6091">
        <w:rPr>
          <w:rFonts w:cs="Times New Roman"/>
          <w:noProof/>
        </w:rPr>
        <w:t xml:space="preserve">) is negatively and significantly associated with </w:t>
      </w:r>
      <w:r w:rsidR="00C36F44" w:rsidRPr="00FF6091">
        <w:rPr>
          <w:rFonts w:cs="Times New Roman"/>
          <w:i/>
          <w:iCs/>
          <w:noProof/>
        </w:rPr>
        <w:t>DP</w:t>
      </w:r>
      <w:r w:rsidR="00081259" w:rsidRPr="00FF6091">
        <w:rPr>
          <w:rFonts w:cs="Times New Roman"/>
          <w:i/>
          <w:iCs/>
          <w:noProof/>
        </w:rPr>
        <w:t>1</w:t>
      </w:r>
      <w:r w:rsidR="00C36F44" w:rsidRPr="002E11E6">
        <w:rPr>
          <w:rFonts w:cs="Times New Roman"/>
          <w:noProof/>
        </w:rPr>
        <w:t xml:space="preserve">, suggesting that </w:t>
      </w:r>
      <w:r w:rsidR="00C36F44" w:rsidRPr="00C73325">
        <w:rPr>
          <w:rFonts w:cs="Times New Roman"/>
          <w:i/>
          <w:iCs/>
          <w:noProof/>
        </w:rPr>
        <w:t>H5</w:t>
      </w:r>
      <w:r w:rsidR="00C36F44" w:rsidRPr="00C73325">
        <w:rPr>
          <w:rFonts w:cs="Times New Roman"/>
          <w:noProof/>
        </w:rPr>
        <w:t xml:space="preserve"> (i.e., there is a</w:t>
      </w:r>
      <w:r w:rsidR="0072389D" w:rsidRPr="00C73325">
        <w:rPr>
          <w:rFonts w:cs="Times New Roman"/>
          <w:noProof/>
        </w:rPr>
        <w:t xml:space="preserve"> nagtive</w:t>
      </w:r>
      <w:r w:rsidR="00C36F44" w:rsidRPr="00C73325">
        <w:rPr>
          <w:rFonts w:cs="Times New Roman"/>
          <w:noProof/>
        </w:rPr>
        <w:t xml:space="preserve"> relationship between board gender diversity and dividend pay</w:t>
      </w:r>
      <w:r w:rsidR="00855D30" w:rsidRPr="00C73325">
        <w:rPr>
          <w:rFonts w:cs="Times New Roman"/>
          <w:noProof/>
        </w:rPr>
        <w:t>-</w:t>
      </w:r>
      <w:r w:rsidR="00C36F44" w:rsidRPr="00C73325">
        <w:rPr>
          <w:rFonts w:cs="Times New Roman"/>
          <w:noProof/>
        </w:rPr>
        <w:t xml:space="preserve">out rate) is empirically supported. The evidence of a negative </w:t>
      </w:r>
      <w:r w:rsidR="00C36F44" w:rsidRPr="00C73325">
        <w:rPr>
          <w:rFonts w:cs="Times New Roman"/>
          <w:i/>
          <w:iCs/>
          <w:noProof/>
        </w:rPr>
        <w:t>BG-DP</w:t>
      </w:r>
      <w:r w:rsidR="00081259" w:rsidRPr="00C73325">
        <w:rPr>
          <w:rFonts w:cs="Times New Roman"/>
          <w:i/>
          <w:iCs/>
          <w:noProof/>
        </w:rPr>
        <w:t>1</w:t>
      </w:r>
      <w:r w:rsidR="00C36F44" w:rsidRPr="00C73325">
        <w:rPr>
          <w:rFonts w:cs="Times New Roman"/>
          <w:i/>
          <w:iCs/>
          <w:noProof/>
        </w:rPr>
        <w:t xml:space="preserve"> </w:t>
      </w:r>
      <w:r w:rsidR="00C36F44" w:rsidRPr="00C73325">
        <w:rPr>
          <w:rFonts w:cs="Times New Roman"/>
          <w:noProof/>
        </w:rPr>
        <w:t>nexus offer</w:t>
      </w:r>
      <w:r w:rsidR="00ED7DDB" w:rsidRPr="00C73325">
        <w:rPr>
          <w:rFonts w:cs="Times New Roman"/>
          <w:noProof/>
        </w:rPr>
        <w:t>s</w:t>
      </w:r>
      <w:r w:rsidR="00C36F44" w:rsidRPr="00C73325">
        <w:rPr>
          <w:rFonts w:cs="Times New Roman"/>
          <w:noProof/>
        </w:rPr>
        <w:t xml:space="preserve"> support </w:t>
      </w:r>
      <w:r w:rsidR="009D313C">
        <w:rPr>
          <w:rFonts w:cs="Times New Roman"/>
          <w:noProof/>
        </w:rPr>
        <w:t>f</w:t>
      </w:r>
      <w:r w:rsidR="00C36F44" w:rsidRPr="00C73325">
        <w:rPr>
          <w:rFonts w:cs="Times New Roman"/>
          <w:noProof/>
        </w:rPr>
        <w:t>o</w:t>
      </w:r>
      <w:r w:rsidR="009D313C">
        <w:rPr>
          <w:rFonts w:cs="Times New Roman"/>
          <w:noProof/>
        </w:rPr>
        <w:t>r</w:t>
      </w:r>
      <w:r w:rsidR="00C36F44" w:rsidRPr="00C73325">
        <w:rPr>
          <w:rFonts w:cs="Times New Roman"/>
          <w:noProof/>
        </w:rPr>
        <w:t xml:space="preserve"> the findings </w:t>
      </w:r>
      <w:r w:rsidR="009D313C">
        <w:rPr>
          <w:rFonts w:cs="Times New Roman"/>
          <w:noProof/>
        </w:rPr>
        <w:t xml:space="preserve">of </w:t>
      </w:r>
      <w:r w:rsidR="00C36F44" w:rsidRPr="00C73325">
        <w:rPr>
          <w:rFonts w:cs="Times New Roman"/>
          <w:noProof/>
        </w:rPr>
        <w:t>past studies (</w:t>
      </w:r>
      <w:r w:rsidR="00C36F44" w:rsidRPr="00C73325">
        <w:rPr>
          <w:rFonts w:cs="Times New Roman"/>
          <w:szCs w:val="24"/>
        </w:rPr>
        <w:t xml:space="preserve">Smith et al., 2006; Nguyen &amp; Faff, 2007; </w:t>
      </w:r>
      <w:proofErr w:type="spellStart"/>
      <w:r w:rsidR="00C36F44" w:rsidRPr="00C73325">
        <w:rPr>
          <w:rFonts w:cs="Times New Roman"/>
          <w:szCs w:val="24"/>
        </w:rPr>
        <w:t>Julizaerma</w:t>
      </w:r>
      <w:proofErr w:type="spellEnd"/>
      <w:r w:rsidR="00C36F44" w:rsidRPr="00C73325">
        <w:rPr>
          <w:rFonts w:cs="Times New Roman"/>
          <w:szCs w:val="24"/>
        </w:rPr>
        <w:t xml:space="preserve"> &amp; </w:t>
      </w:r>
      <w:proofErr w:type="spellStart"/>
      <w:r w:rsidR="00C36F44" w:rsidRPr="00C73325">
        <w:rPr>
          <w:rFonts w:cs="Times New Roman"/>
          <w:szCs w:val="24"/>
        </w:rPr>
        <w:t>Sori</w:t>
      </w:r>
      <w:proofErr w:type="spellEnd"/>
      <w:r w:rsidR="00C36F44" w:rsidRPr="00C73325">
        <w:rPr>
          <w:rFonts w:cs="Times New Roman"/>
          <w:szCs w:val="24"/>
        </w:rPr>
        <w:t>, 2012; Ntim, 201</w:t>
      </w:r>
      <w:r w:rsidR="00321D50" w:rsidRPr="00C73325">
        <w:rPr>
          <w:rFonts w:cs="Times New Roman"/>
          <w:szCs w:val="24"/>
        </w:rPr>
        <w:t>5</w:t>
      </w:r>
      <w:r w:rsidR="00C36F44" w:rsidRPr="00C73325">
        <w:rPr>
          <w:rFonts w:cs="Times New Roman"/>
          <w:szCs w:val="24"/>
        </w:rPr>
        <w:t xml:space="preserve">), which suggest that gender-diverse boards provide better monitoring over managers </w:t>
      </w:r>
      <w:r w:rsidR="00CE151E" w:rsidRPr="00C73325">
        <w:rPr>
          <w:rFonts w:cs="Times New Roman"/>
          <w:szCs w:val="24"/>
        </w:rPr>
        <w:t xml:space="preserve">and improve firm performance. </w:t>
      </w:r>
      <w:r w:rsidR="00ED7DDB" w:rsidRPr="00C73325">
        <w:rPr>
          <w:rFonts w:cs="Times New Roman"/>
          <w:szCs w:val="24"/>
        </w:rPr>
        <w:t>Additionally</w:t>
      </w:r>
      <w:r w:rsidR="00CE151E" w:rsidRPr="00C73325">
        <w:rPr>
          <w:rFonts w:cs="Times New Roman"/>
          <w:szCs w:val="24"/>
        </w:rPr>
        <w:t xml:space="preserve">, evidence of negative influence of </w:t>
      </w:r>
      <w:r w:rsidR="00CE151E" w:rsidRPr="00C73325">
        <w:rPr>
          <w:rFonts w:cs="Times New Roman"/>
          <w:i/>
          <w:iCs/>
          <w:szCs w:val="24"/>
        </w:rPr>
        <w:t xml:space="preserve">BG </w:t>
      </w:r>
      <w:r w:rsidR="00CE151E" w:rsidRPr="00C73325">
        <w:rPr>
          <w:rFonts w:cs="Times New Roman"/>
          <w:szCs w:val="24"/>
        </w:rPr>
        <w:t>in UK boardrooms is largely consistent with their extremely low representation (0.12, see Table 2)</w:t>
      </w:r>
      <w:r w:rsidR="006A07D5" w:rsidRPr="00C73325">
        <w:rPr>
          <w:rFonts w:cs="Times New Roman"/>
          <w:szCs w:val="24"/>
        </w:rPr>
        <w:t xml:space="preserve">. </w:t>
      </w:r>
      <w:r w:rsidR="0072389D" w:rsidRPr="00C73325">
        <w:rPr>
          <w:rFonts w:cs="Times New Roman"/>
          <w:szCs w:val="24"/>
        </w:rPr>
        <w:t xml:space="preserve">The negative finding also </w:t>
      </w:r>
      <w:r w:rsidR="0072389D" w:rsidRPr="00D904C7">
        <w:rPr>
          <w:rFonts w:cs="Times New Roman"/>
          <w:szCs w:val="24"/>
        </w:rPr>
        <w:t>support</w:t>
      </w:r>
      <w:r w:rsidR="009D313C">
        <w:rPr>
          <w:rFonts w:cs="Times New Roman"/>
          <w:szCs w:val="24"/>
        </w:rPr>
        <w:t>s</w:t>
      </w:r>
      <w:r w:rsidR="0072389D" w:rsidRPr="00D904C7">
        <w:rPr>
          <w:rFonts w:cs="Times New Roman"/>
          <w:szCs w:val="24"/>
        </w:rPr>
        <w:t xml:space="preserve"> the suggestion of the substitute hypothesis (La Porta et al., 2000) that firms need to establish a positive reputation with shareholders either by pursuing good governance practices or by paying more dividends in order to raise external funds in the future. </w:t>
      </w:r>
    </w:p>
    <w:p w14:paraId="43D75F28" w14:textId="23D6848B" w:rsidR="00182C16" w:rsidRPr="00C73325" w:rsidRDefault="006A07D5" w:rsidP="00325272">
      <w:pPr>
        <w:spacing w:before="0" w:after="0" w:line="360" w:lineRule="auto"/>
        <w:ind w:firstLine="360"/>
        <w:rPr>
          <w:rFonts w:cs="Times New Roman"/>
          <w:szCs w:val="24"/>
        </w:rPr>
      </w:pPr>
      <w:r w:rsidRPr="00C73325">
        <w:rPr>
          <w:szCs w:val="24"/>
        </w:rPr>
        <w:t xml:space="preserve">Finally, </w:t>
      </w:r>
      <w:r w:rsidR="00AB6643" w:rsidRPr="00C73325">
        <w:rPr>
          <w:szCs w:val="24"/>
        </w:rPr>
        <w:t>audit committee size (</w:t>
      </w:r>
      <w:r w:rsidR="00AB6643" w:rsidRPr="00C73325">
        <w:rPr>
          <w:i/>
          <w:iCs/>
          <w:szCs w:val="24"/>
        </w:rPr>
        <w:t>AS</w:t>
      </w:r>
      <w:r w:rsidR="00AB6643" w:rsidRPr="00C73325">
        <w:rPr>
          <w:szCs w:val="24"/>
        </w:rPr>
        <w:t xml:space="preserve">) is statistically </w:t>
      </w:r>
      <w:r w:rsidR="00325272" w:rsidRPr="00C73325">
        <w:rPr>
          <w:szCs w:val="24"/>
        </w:rPr>
        <w:t xml:space="preserve">and </w:t>
      </w:r>
      <w:r w:rsidR="00AB6643" w:rsidRPr="00C73325">
        <w:rPr>
          <w:szCs w:val="24"/>
        </w:rPr>
        <w:t xml:space="preserve">positively associated with </w:t>
      </w:r>
      <w:r w:rsidR="00AB6643" w:rsidRPr="00C73325">
        <w:rPr>
          <w:i/>
          <w:iCs/>
          <w:szCs w:val="24"/>
        </w:rPr>
        <w:t>DP</w:t>
      </w:r>
      <w:r w:rsidR="00325272" w:rsidRPr="00C73325">
        <w:rPr>
          <w:i/>
          <w:iCs/>
          <w:szCs w:val="24"/>
        </w:rPr>
        <w:t>1</w:t>
      </w:r>
      <w:r w:rsidR="00AB6643" w:rsidRPr="00C73325">
        <w:rPr>
          <w:szCs w:val="24"/>
        </w:rPr>
        <w:t xml:space="preserve">, implying that </w:t>
      </w:r>
      <w:r w:rsidR="00AB6643" w:rsidRPr="00C73325">
        <w:rPr>
          <w:i/>
          <w:iCs/>
          <w:szCs w:val="24"/>
        </w:rPr>
        <w:t xml:space="preserve">H6 </w:t>
      </w:r>
      <w:r w:rsidR="00AB6643" w:rsidRPr="00C73325">
        <w:rPr>
          <w:szCs w:val="24"/>
        </w:rPr>
        <w:t xml:space="preserve">(i.e., there is a positive relationship between audit committee size and dividend </w:t>
      </w:r>
      <w:r w:rsidR="00855D30" w:rsidRPr="00C73325">
        <w:rPr>
          <w:szCs w:val="24"/>
        </w:rPr>
        <w:t>pay-out</w:t>
      </w:r>
      <w:r w:rsidR="00AB6643" w:rsidRPr="00C73325">
        <w:rPr>
          <w:szCs w:val="24"/>
        </w:rPr>
        <w:t xml:space="preserve"> rate) is supported. The positive finding </w:t>
      </w:r>
      <w:r w:rsidR="00325272" w:rsidRPr="00C73325">
        <w:rPr>
          <w:szCs w:val="24"/>
        </w:rPr>
        <w:t>supports</w:t>
      </w:r>
      <w:r w:rsidR="00AB6643" w:rsidRPr="00C73325">
        <w:rPr>
          <w:szCs w:val="24"/>
        </w:rPr>
        <w:t xml:space="preserve"> the prediction that </w:t>
      </w:r>
      <w:r w:rsidR="00182C16" w:rsidRPr="00C73325">
        <w:rPr>
          <w:szCs w:val="24"/>
        </w:rPr>
        <w:t xml:space="preserve">larger audit committees are associated with increased managerial monitoring </w:t>
      </w:r>
      <w:r w:rsidR="00182C16" w:rsidRPr="00C73325">
        <w:rPr>
          <w:rFonts w:cs="Times New Roman"/>
          <w:szCs w:val="24"/>
        </w:rPr>
        <w:t>(</w:t>
      </w:r>
      <w:r w:rsidR="00182C16" w:rsidRPr="00C73325">
        <w:rPr>
          <w:rFonts w:cs="Times New Roman"/>
          <w:noProof/>
          <w:szCs w:val="24"/>
        </w:rPr>
        <w:t>Al-</w:t>
      </w:r>
      <w:proofErr w:type="spellStart"/>
      <w:r w:rsidR="00182C16" w:rsidRPr="00C73325">
        <w:rPr>
          <w:rFonts w:cs="Times New Roman"/>
          <w:noProof/>
          <w:szCs w:val="24"/>
        </w:rPr>
        <w:t>damen</w:t>
      </w:r>
      <w:proofErr w:type="spellEnd"/>
      <w:r w:rsidR="00182C16" w:rsidRPr="00C73325">
        <w:rPr>
          <w:rFonts w:cs="Times New Roman"/>
          <w:noProof/>
          <w:szCs w:val="24"/>
        </w:rPr>
        <w:t xml:space="preserve"> et al., 2012; Al-Swidi et al., 2012)</w:t>
      </w:r>
      <w:r w:rsidR="00182C16" w:rsidRPr="00C73325">
        <w:rPr>
          <w:rFonts w:cs="Times New Roman"/>
          <w:szCs w:val="24"/>
        </w:rPr>
        <w:t xml:space="preserve">. This may help in reducing agency problems (investments in negative NPV projects) by encouraging managers to distribute free excess cash flows to shareholders in the form </w:t>
      </w:r>
      <w:r w:rsidR="009D313C">
        <w:rPr>
          <w:rFonts w:cs="Times New Roman"/>
          <w:szCs w:val="24"/>
        </w:rPr>
        <w:t xml:space="preserve">of </w:t>
      </w:r>
      <w:r w:rsidR="00182C16" w:rsidRPr="00C73325">
        <w:rPr>
          <w:rFonts w:cs="Times New Roman"/>
          <w:szCs w:val="24"/>
        </w:rPr>
        <w:t>dividends in the absence of positive NPV projects.</w:t>
      </w:r>
    </w:p>
    <w:p w14:paraId="101521D6" w14:textId="08076977" w:rsidR="00593A03" w:rsidRPr="00C73325" w:rsidRDefault="007B5796" w:rsidP="00325272">
      <w:pPr>
        <w:spacing w:before="0" w:line="360" w:lineRule="auto"/>
        <w:ind w:firstLine="360"/>
        <w:rPr>
          <w:rFonts w:cs="Times New Roman"/>
          <w:szCs w:val="24"/>
        </w:rPr>
      </w:pPr>
      <w:r w:rsidRPr="00C73325">
        <w:rPr>
          <w:rFonts w:cs="Times New Roman"/>
          <w:szCs w:val="24"/>
        </w:rPr>
        <w:t xml:space="preserve">In addition to board characteristics, we control for a number of variables </w:t>
      </w:r>
      <w:r w:rsidR="00B7665A" w:rsidRPr="00C73325">
        <w:rPr>
          <w:rFonts w:cs="Times New Roman"/>
          <w:szCs w:val="24"/>
        </w:rPr>
        <w:t xml:space="preserve">that have been identified by previous studies as factors affecting </w:t>
      </w:r>
      <w:r w:rsidR="00B7665A" w:rsidRPr="00C73325">
        <w:rPr>
          <w:rFonts w:cs="Times New Roman"/>
          <w:i/>
          <w:iCs/>
          <w:szCs w:val="24"/>
        </w:rPr>
        <w:t>DP</w:t>
      </w:r>
      <w:r w:rsidR="00325272" w:rsidRPr="00C73325">
        <w:rPr>
          <w:rFonts w:cs="Times New Roman"/>
          <w:i/>
          <w:iCs/>
          <w:szCs w:val="24"/>
        </w:rPr>
        <w:t>1</w:t>
      </w:r>
      <w:r w:rsidR="00B7665A" w:rsidRPr="00C73325">
        <w:rPr>
          <w:rFonts w:cs="Times New Roman"/>
          <w:szCs w:val="24"/>
        </w:rPr>
        <w:t xml:space="preserve"> </w:t>
      </w:r>
      <w:r w:rsidRPr="00C73325">
        <w:rPr>
          <w:rFonts w:cs="Times New Roman"/>
          <w:szCs w:val="24"/>
        </w:rPr>
        <w:t xml:space="preserve">in order to reduce potential omitted variables bias. As hypothesised and consistent with previous studies (Baker, 2009; </w:t>
      </w:r>
      <w:proofErr w:type="spellStart"/>
      <w:r w:rsidRPr="00C73325">
        <w:rPr>
          <w:rFonts w:cs="Times New Roman"/>
          <w:bCs/>
          <w:szCs w:val="24"/>
        </w:rPr>
        <w:t>Consler</w:t>
      </w:r>
      <w:proofErr w:type="spellEnd"/>
      <w:r w:rsidRPr="00C73325">
        <w:rPr>
          <w:rFonts w:cs="Times New Roman"/>
          <w:bCs/>
          <w:szCs w:val="24"/>
        </w:rPr>
        <w:t xml:space="preserve"> &amp; </w:t>
      </w:r>
      <w:proofErr w:type="spellStart"/>
      <w:r w:rsidRPr="00C73325">
        <w:rPr>
          <w:rFonts w:cs="Times New Roman"/>
          <w:szCs w:val="24"/>
        </w:rPr>
        <w:t>Lepak</w:t>
      </w:r>
      <w:proofErr w:type="spellEnd"/>
      <w:r w:rsidRPr="00C73325">
        <w:rPr>
          <w:rFonts w:cs="Times New Roman"/>
          <w:szCs w:val="24"/>
        </w:rPr>
        <w:t xml:space="preserve">, 2011; </w:t>
      </w:r>
      <w:proofErr w:type="spellStart"/>
      <w:r w:rsidRPr="00C73325">
        <w:rPr>
          <w:rFonts w:cs="Times New Roman"/>
          <w:szCs w:val="24"/>
        </w:rPr>
        <w:t>Denninger</w:t>
      </w:r>
      <w:proofErr w:type="spellEnd"/>
      <w:r w:rsidRPr="00C73325">
        <w:rPr>
          <w:rFonts w:cs="Times New Roman"/>
          <w:szCs w:val="24"/>
        </w:rPr>
        <w:t xml:space="preserve">, 2012; </w:t>
      </w:r>
      <w:proofErr w:type="spellStart"/>
      <w:r w:rsidRPr="00C73325">
        <w:rPr>
          <w:rFonts w:cs="Times New Roman"/>
          <w:szCs w:val="24"/>
        </w:rPr>
        <w:t>Jiraporn</w:t>
      </w:r>
      <w:proofErr w:type="spellEnd"/>
      <w:r w:rsidR="00490075" w:rsidRPr="00C73325">
        <w:rPr>
          <w:rFonts w:cs="Times New Roman"/>
          <w:szCs w:val="24"/>
        </w:rPr>
        <w:t xml:space="preserve"> et al.</w:t>
      </w:r>
      <w:r w:rsidRPr="00C73325">
        <w:rPr>
          <w:rFonts w:cs="Times New Roman"/>
          <w:szCs w:val="24"/>
        </w:rPr>
        <w:t xml:space="preserve">, 2011; Osman &amp; Mohamed, 2010; </w:t>
      </w:r>
      <w:proofErr w:type="spellStart"/>
      <w:r w:rsidR="00490075" w:rsidRPr="00C73325">
        <w:rPr>
          <w:rFonts w:cs="Times New Roman"/>
          <w:szCs w:val="24"/>
        </w:rPr>
        <w:t>Rafique</w:t>
      </w:r>
      <w:proofErr w:type="spellEnd"/>
      <w:r w:rsidR="00490075" w:rsidRPr="00C73325">
        <w:rPr>
          <w:rFonts w:cs="Times New Roman"/>
          <w:szCs w:val="24"/>
        </w:rPr>
        <w:t>, 2012</w:t>
      </w:r>
      <w:r w:rsidRPr="00C73325">
        <w:rPr>
          <w:rFonts w:cs="Times New Roman"/>
          <w:szCs w:val="24"/>
        </w:rPr>
        <w:t xml:space="preserve">; </w:t>
      </w:r>
      <w:proofErr w:type="spellStart"/>
      <w:r w:rsidRPr="00C73325">
        <w:rPr>
          <w:rFonts w:cs="Times New Roman"/>
          <w:szCs w:val="24"/>
        </w:rPr>
        <w:t>Thanatawee</w:t>
      </w:r>
      <w:proofErr w:type="spellEnd"/>
      <w:r w:rsidRPr="00C73325">
        <w:rPr>
          <w:rFonts w:cs="Times New Roman"/>
          <w:szCs w:val="24"/>
        </w:rPr>
        <w:t xml:space="preserve">, 2013), we find statistically </w:t>
      </w:r>
      <w:r w:rsidR="009D313C">
        <w:rPr>
          <w:rFonts w:cs="Times New Roman"/>
          <w:szCs w:val="24"/>
        </w:rPr>
        <w:t xml:space="preserve">significant and </w:t>
      </w:r>
      <w:r w:rsidRPr="00C73325">
        <w:rPr>
          <w:rFonts w:cs="Times New Roman"/>
          <w:szCs w:val="24"/>
        </w:rPr>
        <w:t xml:space="preserve">positive association among </w:t>
      </w:r>
      <w:r w:rsidR="009D313C">
        <w:rPr>
          <w:rFonts w:cs="Times New Roman"/>
          <w:szCs w:val="24"/>
        </w:rPr>
        <w:t>f</w:t>
      </w:r>
      <w:r w:rsidR="00B20370" w:rsidRPr="00C73325">
        <w:rPr>
          <w:rFonts w:cs="Times New Roman"/>
          <w:szCs w:val="24"/>
        </w:rPr>
        <w:t xml:space="preserve">irm size, </w:t>
      </w:r>
      <w:r w:rsidR="009D313C">
        <w:rPr>
          <w:rFonts w:cs="Times New Roman"/>
          <w:szCs w:val="24"/>
        </w:rPr>
        <w:t>l</w:t>
      </w:r>
      <w:r w:rsidR="00B20370" w:rsidRPr="00C73325">
        <w:rPr>
          <w:rFonts w:cs="Times New Roman"/>
          <w:szCs w:val="24"/>
        </w:rPr>
        <w:t xml:space="preserve">everage, </w:t>
      </w:r>
      <w:r w:rsidR="009D313C">
        <w:rPr>
          <w:rFonts w:cs="Times New Roman"/>
          <w:szCs w:val="24"/>
        </w:rPr>
        <w:t>c</w:t>
      </w:r>
      <w:r w:rsidR="00B20370" w:rsidRPr="00C73325">
        <w:rPr>
          <w:rFonts w:cs="Times New Roman"/>
          <w:szCs w:val="24"/>
        </w:rPr>
        <w:t xml:space="preserve">ash flow </w:t>
      </w:r>
      <w:r w:rsidR="009D313C">
        <w:rPr>
          <w:rFonts w:cs="Times New Roman"/>
          <w:szCs w:val="24"/>
        </w:rPr>
        <w:t>p</w:t>
      </w:r>
      <w:r w:rsidR="00B20370" w:rsidRPr="00C73325">
        <w:rPr>
          <w:rFonts w:cs="Times New Roman"/>
          <w:szCs w:val="24"/>
        </w:rPr>
        <w:t xml:space="preserve">er </w:t>
      </w:r>
      <w:r w:rsidR="009D313C">
        <w:rPr>
          <w:rFonts w:cs="Times New Roman"/>
          <w:szCs w:val="24"/>
        </w:rPr>
        <w:t>s</w:t>
      </w:r>
      <w:r w:rsidR="00B20370" w:rsidRPr="00C73325">
        <w:rPr>
          <w:rFonts w:cs="Times New Roman"/>
          <w:szCs w:val="24"/>
        </w:rPr>
        <w:t>hare</w:t>
      </w:r>
      <w:r w:rsidRPr="00C73325">
        <w:rPr>
          <w:rFonts w:cs="Times New Roman"/>
          <w:szCs w:val="24"/>
        </w:rPr>
        <w:t xml:space="preserve"> and dividend </w:t>
      </w:r>
      <w:r w:rsidR="00855D30" w:rsidRPr="00C73325">
        <w:rPr>
          <w:rFonts w:cs="Times New Roman"/>
          <w:szCs w:val="24"/>
        </w:rPr>
        <w:t>pay-out</w:t>
      </w:r>
      <w:r w:rsidRPr="00C73325">
        <w:rPr>
          <w:rFonts w:cs="Times New Roman"/>
          <w:szCs w:val="24"/>
        </w:rPr>
        <w:t xml:space="preserve"> rate. </w:t>
      </w:r>
      <w:r w:rsidR="0094757B" w:rsidRPr="00C73325">
        <w:rPr>
          <w:rFonts w:cs="Times New Roman"/>
          <w:szCs w:val="24"/>
        </w:rPr>
        <w:t>H</w:t>
      </w:r>
      <w:r w:rsidRPr="00C73325">
        <w:rPr>
          <w:rFonts w:cs="Times New Roman"/>
          <w:szCs w:val="24"/>
        </w:rPr>
        <w:t xml:space="preserve">owever, we </w:t>
      </w:r>
      <w:r w:rsidR="0094757B" w:rsidRPr="00C73325">
        <w:rPr>
          <w:rFonts w:cs="Times New Roman"/>
          <w:szCs w:val="24"/>
        </w:rPr>
        <w:t xml:space="preserve">find a positive, but insignificant, association between </w:t>
      </w:r>
      <w:r w:rsidR="0094757B" w:rsidRPr="00C73325">
        <w:rPr>
          <w:rFonts w:cs="Times New Roman"/>
          <w:i/>
          <w:iCs/>
          <w:szCs w:val="24"/>
        </w:rPr>
        <w:t xml:space="preserve">ROA </w:t>
      </w:r>
      <w:r w:rsidR="0094757B" w:rsidRPr="00C73325">
        <w:rPr>
          <w:rFonts w:cs="Times New Roman"/>
          <w:szCs w:val="24"/>
        </w:rPr>
        <w:t xml:space="preserve">and </w:t>
      </w:r>
      <w:r w:rsidR="0094757B" w:rsidRPr="00C73325">
        <w:rPr>
          <w:rFonts w:cs="Times New Roman"/>
          <w:i/>
          <w:iCs/>
          <w:szCs w:val="24"/>
        </w:rPr>
        <w:t>DP</w:t>
      </w:r>
      <w:r w:rsidR="00325272" w:rsidRPr="00C73325">
        <w:rPr>
          <w:rFonts w:cs="Times New Roman"/>
          <w:i/>
          <w:iCs/>
          <w:szCs w:val="24"/>
        </w:rPr>
        <w:t>1</w:t>
      </w:r>
      <w:r w:rsidR="0094757B" w:rsidRPr="00C73325">
        <w:rPr>
          <w:rFonts w:cs="Times New Roman"/>
          <w:szCs w:val="24"/>
        </w:rPr>
        <w:t xml:space="preserve">, which is not in line with our expectations. </w:t>
      </w:r>
    </w:p>
    <w:p w14:paraId="34EA399C" w14:textId="4ACEBC2C" w:rsidR="00F45EC6" w:rsidRPr="00C73325" w:rsidRDefault="00B05548" w:rsidP="00B05548">
      <w:pPr>
        <w:pStyle w:val="Heading2"/>
        <w:numPr>
          <w:ilvl w:val="1"/>
          <w:numId w:val="6"/>
        </w:numPr>
        <w:spacing w:after="240"/>
        <w:rPr>
          <w:b/>
          <w:color w:val="auto"/>
        </w:rPr>
      </w:pPr>
      <w:r w:rsidRPr="00C73325">
        <w:rPr>
          <w:b/>
          <w:color w:val="auto"/>
        </w:rPr>
        <w:lastRenderedPageBreak/>
        <w:t>Additional analyses</w:t>
      </w:r>
    </w:p>
    <w:p w14:paraId="5A861D8D" w14:textId="3D333AAE" w:rsidR="00764179" w:rsidRPr="00D904C7" w:rsidRDefault="00211D1C" w:rsidP="00D904C7">
      <w:pPr>
        <w:spacing w:before="0" w:after="0" w:line="360" w:lineRule="auto"/>
        <w:ind w:firstLine="360"/>
      </w:pPr>
      <w:r w:rsidRPr="00C73325">
        <w:rPr>
          <w:rFonts w:cs="Times New Roman"/>
          <w:szCs w:val="24"/>
        </w:rPr>
        <w:t>Four</w:t>
      </w:r>
      <w:r w:rsidR="00FD6473" w:rsidRPr="00C73325">
        <w:rPr>
          <w:rFonts w:cs="Times New Roman"/>
          <w:szCs w:val="24"/>
        </w:rPr>
        <w:t xml:space="preserve"> additional tests have been carried out </w:t>
      </w:r>
      <w:r w:rsidR="009D313C">
        <w:rPr>
          <w:rFonts w:cs="Times New Roman"/>
          <w:szCs w:val="24"/>
        </w:rPr>
        <w:t xml:space="preserve">in order </w:t>
      </w:r>
      <w:r w:rsidR="00FD6473" w:rsidRPr="00C73325">
        <w:rPr>
          <w:rFonts w:cs="Times New Roman"/>
          <w:szCs w:val="24"/>
        </w:rPr>
        <w:t xml:space="preserve">to address some concerns associated with </w:t>
      </w:r>
      <w:r w:rsidRPr="00C73325">
        <w:rPr>
          <w:rFonts w:cs="Times New Roman"/>
          <w:szCs w:val="24"/>
        </w:rPr>
        <w:t xml:space="preserve">alternative dividend </w:t>
      </w:r>
      <w:r w:rsidR="00855D30" w:rsidRPr="00C73325">
        <w:rPr>
          <w:rFonts w:cs="Times New Roman"/>
          <w:szCs w:val="24"/>
        </w:rPr>
        <w:t>pay-out</w:t>
      </w:r>
      <w:r w:rsidRPr="00C73325">
        <w:rPr>
          <w:rFonts w:cs="Times New Roman"/>
          <w:szCs w:val="24"/>
        </w:rPr>
        <w:t xml:space="preserve"> proxy and different </w:t>
      </w:r>
      <w:r w:rsidR="00FD6473" w:rsidRPr="00C73325">
        <w:rPr>
          <w:rFonts w:cs="Times New Roman"/>
          <w:szCs w:val="24"/>
        </w:rPr>
        <w:t>endogeneity</w:t>
      </w:r>
      <w:r w:rsidRPr="00C73325">
        <w:rPr>
          <w:rFonts w:cs="Times New Roman"/>
          <w:szCs w:val="24"/>
        </w:rPr>
        <w:t xml:space="preserve"> problems. These tests include </w:t>
      </w:r>
      <w:r w:rsidR="0072389D" w:rsidRPr="00C73325">
        <w:rPr>
          <w:rFonts w:cs="Times New Roman"/>
          <w:szCs w:val="24"/>
        </w:rPr>
        <w:t>the use of ratio of dividends to total assets as alternative proxy,</w:t>
      </w:r>
      <w:r w:rsidRPr="00C73325">
        <w:rPr>
          <w:rFonts w:cs="Times New Roman"/>
          <w:szCs w:val="24"/>
        </w:rPr>
        <w:t xml:space="preserve"> </w:t>
      </w:r>
      <w:r w:rsidR="009D313C">
        <w:rPr>
          <w:rFonts w:cs="Times New Roman"/>
          <w:szCs w:val="24"/>
        </w:rPr>
        <w:t>t</w:t>
      </w:r>
      <w:r w:rsidR="00AB62E0" w:rsidRPr="00C73325">
        <w:rPr>
          <w:rFonts w:cs="Times New Roman"/>
          <w:szCs w:val="24"/>
        </w:rPr>
        <w:t>wo</w:t>
      </w:r>
      <w:r w:rsidRPr="00C73325">
        <w:rPr>
          <w:rFonts w:cs="Times New Roman"/>
        </w:rPr>
        <w:t>-</w:t>
      </w:r>
      <w:r w:rsidR="009D313C">
        <w:rPr>
          <w:rFonts w:cs="Times New Roman"/>
        </w:rPr>
        <w:t>s</w:t>
      </w:r>
      <w:r w:rsidRPr="00C73325">
        <w:rPr>
          <w:rFonts w:cs="Times New Roman"/>
        </w:rPr>
        <w:t xml:space="preserve">tage </w:t>
      </w:r>
      <w:r w:rsidR="009D313C">
        <w:rPr>
          <w:rFonts w:cs="Times New Roman"/>
        </w:rPr>
        <w:t>l</w:t>
      </w:r>
      <w:r w:rsidRPr="00C73325">
        <w:rPr>
          <w:rFonts w:cs="Times New Roman"/>
        </w:rPr>
        <w:t xml:space="preserve">east </w:t>
      </w:r>
      <w:r w:rsidR="009D313C">
        <w:rPr>
          <w:rFonts w:cs="Times New Roman"/>
        </w:rPr>
        <w:t>s</w:t>
      </w:r>
      <w:r w:rsidRPr="00C73325">
        <w:rPr>
          <w:rFonts w:cs="Times New Roman"/>
        </w:rPr>
        <w:t>quares (2SLS)</w:t>
      </w:r>
      <w:r w:rsidR="00AB62E0" w:rsidRPr="00C73325">
        <w:rPr>
          <w:rFonts w:cs="Times New Roman"/>
        </w:rPr>
        <w:t>, fixed-effects and lagged-effects models</w:t>
      </w:r>
      <w:r w:rsidR="00FD6473" w:rsidRPr="00C73325">
        <w:rPr>
          <w:rFonts w:cs="Times New Roman"/>
          <w:szCs w:val="24"/>
        </w:rPr>
        <w:t xml:space="preserve">. </w:t>
      </w:r>
      <w:r w:rsidR="0072389D" w:rsidRPr="00C73325">
        <w:rPr>
          <w:rFonts w:cs="Times New Roman"/>
          <w:szCs w:val="24"/>
        </w:rPr>
        <w:t xml:space="preserve">First, </w:t>
      </w:r>
      <w:r w:rsidR="0072389D" w:rsidRPr="00D904C7">
        <w:rPr>
          <w:rFonts w:cs="Times New Roman"/>
          <w:szCs w:val="24"/>
        </w:rPr>
        <w:t xml:space="preserve">to check the extent to which our main findings are robust to alternative dividend pay-out proxy, we use the ratio of dividends to total assets. This alternative dividend proxy has been employed in the current study because it is considered to be appropriate and also because it has widely been used in prior studies </w:t>
      </w:r>
      <w:r w:rsidR="0072389D" w:rsidRPr="00D904C7">
        <w:rPr>
          <w:rFonts w:cs="Times New Roman"/>
          <w:szCs w:val="24"/>
          <w:lang w:val="en-US"/>
        </w:rPr>
        <w:t xml:space="preserve">(e.g., </w:t>
      </w:r>
      <w:proofErr w:type="spellStart"/>
      <w:r w:rsidR="0072389D" w:rsidRPr="00D904C7">
        <w:t>Esqueda</w:t>
      </w:r>
      <w:proofErr w:type="spellEnd"/>
      <w:r w:rsidR="0072389D" w:rsidRPr="00D904C7">
        <w:t xml:space="preserve">, 2016; </w:t>
      </w:r>
      <w:proofErr w:type="spellStart"/>
      <w:r w:rsidR="0072389D" w:rsidRPr="00D904C7">
        <w:t>Jiraporn</w:t>
      </w:r>
      <w:proofErr w:type="spellEnd"/>
      <w:r w:rsidR="0072389D" w:rsidRPr="00D904C7">
        <w:t xml:space="preserve"> et al., 2011; John &amp; </w:t>
      </w:r>
      <w:proofErr w:type="spellStart"/>
      <w:r w:rsidR="0072389D" w:rsidRPr="00D904C7">
        <w:t>Knyazeva</w:t>
      </w:r>
      <w:proofErr w:type="spellEnd"/>
      <w:r w:rsidR="0072389D" w:rsidRPr="00D904C7">
        <w:t xml:space="preserve">, 2006). </w:t>
      </w:r>
      <w:r w:rsidR="0072389D" w:rsidRPr="00D904C7">
        <w:rPr>
          <w:rFonts w:cs="Times New Roman"/>
          <w:szCs w:val="24"/>
        </w:rPr>
        <w:t xml:space="preserve">Overall, after comparing the results reported in model 1 of Table 5 with the main OLS results, the findings remain relatively the same, and thereby indicating that the results of the current study are largely unaffected by potential problems </w:t>
      </w:r>
      <w:r w:rsidR="00CB44BA">
        <w:rPr>
          <w:rFonts w:cs="Times New Roman"/>
          <w:szCs w:val="24"/>
        </w:rPr>
        <w:t xml:space="preserve">that may be </w:t>
      </w:r>
      <w:r w:rsidR="0072389D" w:rsidRPr="00D904C7">
        <w:rPr>
          <w:rFonts w:cs="Times New Roman"/>
          <w:szCs w:val="24"/>
        </w:rPr>
        <w:t xml:space="preserve">associated with the use of alternative dividend pay-out proxy. </w:t>
      </w:r>
      <w:r w:rsidR="0072389D" w:rsidRPr="00C73325">
        <w:rPr>
          <w:rFonts w:cs="Times New Roman"/>
          <w:szCs w:val="24"/>
        </w:rPr>
        <w:t xml:space="preserve"> </w:t>
      </w:r>
    </w:p>
    <w:p w14:paraId="092C9E23" w14:textId="613BC634" w:rsidR="0072389D" w:rsidRPr="00D904C7" w:rsidRDefault="00BC44A5" w:rsidP="0072389D">
      <w:pPr>
        <w:spacing w:before="0" w:after="0" w:line="360" w:lineRule="auto"/>
        <w:ind w:firstLine="360"/>
        <w:rPr>
          <w:rFonts w:cs="Times New Roman"/>
        </w:rPr>
      </w:pPr>
      <w:r w:rsidRPr="00C73325">
        <w:rPr>
          <w:rFonts w:cs="Times New Roman"/>
        </w:rPr>
        <w:t xml:space="preserve">Second, </w:t>
      </w:r>
      <w:r w:rsidR="000A562C" w:rsidRPr="00FF6091">
        <w:rPr>
          <w:rFonts w:cs="Times New Roman"/>
        </w:rPr>
        <w:t>to address</w:t>
      </w:r>
      <w:r w:rsidR="000A562C" w:rsidRPr="002E11E6">
        <w:rPr>
          <w:rFonts w:cs="Times New Roman"/>
        </w:rPr>
        <w:t xml:space="preserve"> the potential endogeneity problems that may arise from omitted variable bias, </w:t>
      </w:r>
      <w:r w:rsidR="000A562C" w:rsidRPr="009D313C">
        <w:rPr>
          <w:rFonts w:cs="Times New Roman"/>
          <w:i/>
        </w:rPr>
        <w:t xml:space="preserve">2SLS </w:t>
      </w:r>
      <w:r w:rsidR="000A562C" w:rsidRPr="002E11E6">
        <w:rPr>
          <w:rFonts w:cs="Times New Roman"/>
        </w:rPr>
        <w:t xml:space="preserve">model has been estimated. Following </w:t>
      </w:r>
      <w:proofErr w:type="spellStart"/>
      <w:r w:rsidR="000A562C" w:rsidRPr="002E11E6">
        <w:rPr>
          <w:rFonts w:cs="Times New Roman"/>
        </w:rPr>
        <w:t>Beiner</w:t>
      </w:r>
      <w:proofErr w:type="spellEnd"/>
      <w:r w:rsidR="000A562C" w:rsidRPr="002E11E6">
        <w:rPr>
          <w:rFonts w:cs="Times New Roman"/>
        </w:rPr>
        <w:t xml:space="preserve"> et al. (2006)</w:t>
      </w:r>
      <w:r w:rsidR="000A562C" w:rsidRPr="00D904C7">
        <w:rPr>
          <w:rFonts w:cs="Times New Roman"/>
        </w:rPr>
        <w:fldChar w:fldCharType="begin"/>
      </w:r>
      <w:r w:rsidR="000A562C" w:rsidRPr="00C73325">
        <w:rPr>
          <w:rFonts w:cs="Times New Roman"/>
        </w:rPr>
        <w:instrText xml:space="preserve"> ADDIN EN.CITE &lt;EndNote&gt;&lt;Cite Hidden="1"&gt;&lt;Author&gt;Beiner&lt;/Author&gt;&lt;Year&gt;2006&lt;/Year&gt;&lt;RecNum&gt;126&lt;/RecNum&gt;&lt;record&gt;&lt;rec-number&gt;126&lt;/rec-number&gt;&lt;foreign-keys&gt;&lt;key app="EN" db-id="wxrfdwpsyvz9vfesftmxdep95s0x5xvp9t5p"&gt;126&lt;/key&gt;&lt;/foreign-keys&gt;&lt;ref-type name="Journal Article"&gt;17&lt;/ref-type&gt;&lt;contributors&gt;&lt;authors&gt;&lt;author&gt;Beiner, S&lt;/author&gt;&lt;author&gt;Drobetz, W&lt;/author&gt;&lt;author&gt;Schmid, M. M&lt;/author&gt;&lt;author&gt;Zimmermann, H&lt;/author&gt;&lt;/authors&gt;&lt;/contributors&gt;&lt;titles&gt;&lt;title&gt;An integrated framework of corporate governance and firm valuation&lt;/title&gt;&lt;secondary-title&gt;European Financial Management&lt;/secondary-title&gt;&lt;/titles&gt;&lt;periodical&gt;&lt;full-title&gt;European Financial Management&lt;/full-title&gt;&lt;/periodical&gt;&lt;pages&gt;249-283&lt;/pages&gt;&lt;volume&gt;12&lt;/volume&gt;&lt;number&gt;2&lt;/number&gt;&lt;dates&gt;&lt;year&gt;2006&lt;/year&gt;&lt;/dates&gt;&lt;isbn&gt;1468-036X&lt;/isbn&gt;&lt;urls&gt;&lt;/urls&gt;&lt;/record&gt;&lt;/Cite&gt;&lt;/EndNote&gt;</w:instrText>
      </w:r>
      <w:r w:rsidR="000A562C" w:rsidRPr="00D904C7">
        <w:rPr>
          <w:rFonts w:cs="Times New Roman"/>
        </w:rPr>
        <w:fldChar w:fldCharType="end"/>
      </w:r>
      <w:r w:rsidR="000A562C" w:rsidRPr="00C73325">
        <w:rPr>
          <w:rFonts w:cs="Times New Roman"/>
        </w:rPr>
        <w:t>, a Durbin-Wu-</w:t>
      </w:r>
      <w:proofErr w:type="spellStart"/>
      <w:r w:rsidR="000A562C" w:rsidRPr="00C73325">
        <w:rPr>
          <w:rFonts w:cs="Times New Roman"/>
        </w:rPr>
        <w:t>Hausman</w:t>
      </w:r>
      <w:proofErr w:type="spellEnd"/>
      <w:r w:rsidR="000A562C" w:rsidRPr="00C73325">
        <w:rPr>
          <w:rFonts w:cs="Times New Roman"/>
        </w:rPr>
        <w:t xml:space="preserve"> </w:t>
      </w:r>
      <w:r w:rsidR="000A562C" w:rsidRPr="00FF6091">
        <w:rPr>
          <w:rFonts w:cs="Times New Roman"/>
        </w:rPr>
        <w:t>test (</w:t>
      </w:r>
      <w:r w:rsidR="000A562C" w:rsidRPr="00FF6091">
        <w:rPr>
          <w:rFonts w:cs="Times New Roman"/>
          <w:i/>
          <w:iCs/>
        </w:rPr>
        <w:t>DWH</w:t>
      </w:r>
      <w:r w:rsidR="000A562C" w:rsidRPr="002E11E6">
        <w:rPr>
          <w:rFonts w:cs="Times New Roman"/>
        </w:rPr>
        <w:t xml:space="preserve">) has been conducted to examine whether an endogenous relationship between the </w:t>
      </w:r>
      <w:r w:rsidR="00DD3140" w:rsidRPr="002E11E6">
        <w:rPr>
          <w:rFonts w:cs="Times New Roman"/>
        </w:rPr>
        <w:t xml:space="preserve">dividend </w:t>
      </w:r>
      <w:r w:rsidR="00855D30" w:rsidRPr="002E11E6">
        <w:rPr>
          <w:rFonts w:cs="Times New Roman"/>
        </w:rPr>
        <w:t>pay-out</w:t>
      </w:r>
      <w:r w:rsidR="00DD3140" w:rsidRPr="002E11E6">
        <w:rPr>
          <w:rFonts w:cs="Times New Roman"/>
          <w:i/>
          <w:iCs/>
        </w:rPr>
        <w:t xml:space="preserve"> </w:t>
      </w:r>
      <w:r w:rsidR="000A7C3E" w:rsidRPr="002E11E6">
        <w:rPr>
          <w:rFonts w:cs="Times New Roman"/>
        </w:rPr>
        <w:t>and board mechanisms exists</w:t>
      </w:r>
      <w:r w:rsidR="0072389D" w:rsidRPr="00D904C7">
        <w:rPr>
          <w:rFonts w:cs="Times New Roman"/>
        </w:rPr>
        <w:t>. To conduct Durbin-Wu test, we regressed our six board mechanisms on the four control variables and the resulting residuals from this regression are saved. We then regressed dividend pay-out ratio (</w:t>
      </w:r>
      <w:r w:rsidR="0072389D" w:rsidRPr="00D904C7">
        <w:rPr>
          <w:rFonts w:cs="Times New Roman"/>
          <w:i/>
          <w:iCs/>
        </w:rPr>
        <w:t>DP1</w:t>
      </w:r>
      <w:r w:rsidR="0072389D" w:rsidRPr="00D904C7">
        <w:rPr>
          <w:rFonts w:cs="Times New Roman"/>
        </w:rPr>
        <w:t xml:space="preserve">) on the saved residuals and the same control variables as shown in Model 2 of Table 5. The results indicate the existence of endogeneity problems, because the coefficients on the saved residuals are significant. This implies that </w:t>
      </w:r>
      <w:r w:rsidR="0072389D" w:rsidRPr="00870D5C">
        <w:rPr>
          <w:rFonts w:cs="Times New Roman"/>
          <w:i/>
        </w:rPr>
        <w:t xml:space="preserve">2SLS </w:t>
      </w:r>
      <w:r w:rsidR="0072389D" w:rsidRPr="00D904C7">
        <w:rPr>
          <w:rFonts w:cs="Times New Roman"/>
        </w:rPr>
        <w:t xml:space="preserve">regression analysis may be more suitable compared to the OLS approach. Therefore, and in line with prior literature (e.g., </w:t>
      </w:r>
      <w:proofErr w:type="spellStart"/>
      <w:r w:rsidR="0072389D" w:rsidRPr="00D904C7">
        <w:rPr>
          <w:rFonts w:cs="Times New Roman"/>
        </w:rPr>
        <w:t>Beiner</w:t>
      </w:r>
      <w:proofErr w:type="spellEnd"/>
      <w:r w:rsidR="0072389D" w:rsidRPr="00D904C7">
        <w:rPr>
          <w:rFonts w:cs="Times New Roman"/>
        </w:rPr>
        <w:t xml:space="preserve"> et al., 2006), in the first stage, we conjectured that </w:t>
      </w:r>
      <w:r w:rsidR="00CB44BA">
        <w:rPr>
          <w:rFonts w:cs="Times New Roman"/>
        </w:rPr>
        <w:t xml:space="preserve">the </w:t>
      </w:r>
      <w:r w:rsidR="0072389D" w:rsidRPr="00D904C7">
        <w:rPr>
          <w:rFonts w:cs="Times New Roman"/>
        </w:rPr>
        <w:t xml:space="preserve">board mechanisms </w:t>
      </w:r>
      <w:r w:rsidR="00CB44BA">
        <w:rPr>
          <w:rFonts w:cs="Times New Roman"/>
        </w:rPr>
        <w:t>will be</w:t>
      </w:r>
      <w:r w:rsidR="0072389D" w:rsidRPr="00D904C7">
        <w:rPr>
          <w:rFonts w:cs="Times New Roman"/>
        </w:rPr>
        <w:t xml:space="preserve"> influenced by the four control variables, and thus we regressed </w:t>
      </w:r>
      <w:r w:rsidR="00CB44BA">
        <w:rPr>
          <w:rFonts w:cs="Times New Roman"/>
        </w:rPr>
        <w:t xml:space="preserve">the </w:t>
      </w:r>
      <w:r w:rsidR="0072389D" w:rsidRPr="00D904C7">
        <w:rPr>
          <w:rFonts w:cs="Times New Roman"/>
        </w:rPr>
        <w:t>board mechanisms on the four control variables and the predicted values of board mechanisms are saved. In the second stage, the predicted values of the board mechanisms are employed as instruments and</w:t>
      </w:r>
      <w:r w:rsidR="00CB44BA">
        <w:rPr>
          <w:rFonts w:cs="Times New Roman"/>
        </w:rPr>
        <w:t xml:space="preserve"> used in</w:t>
      </w:r>
      <w:r w:rsidR="0072389D" w:rsidRPr="00D904C7">
        <w:rPr>
          <w:rFonts w:cs="Times New Roman"/>
        </w:rPr>
        <w:t xml:space="preserve"> re-estimat</w:t>
      </w:r>
      <w:r w:rsidR="00CB44BA">
        <w:rPr>
          <w:rFonts w:cs="Times New Roman"/>
        </w:rPr>
        <w:t>ing</w:t>
      </w:r>
      <w:r w:rsidR="0072389D" w:rsidRPr="00D904C7">
        <w:rPr>
          <w:rFonts w:cs="Times New Roman"/>
        </w:rPr>
        <w:t xml:space="preserve"> Model 6 of Table 4. However, before replacing the actual value</w:t>
      </w:r>
      <w:r w:rsidR="00CB44BA">
        <w:rPr>
          <w:rFonts w:cs="Times New Roman"/>
        </w:rPr>
        <w:t>s</w:t>
      </w:r>
      <w:r w:rsidR="0072389D" w:rsidRPr="00D904C7">
        <w:rPr>
          <w:rFonts w:cs="Times New Roman"/>
        </w:rPr>
        <w:t xml:space="preserve"> of board mechanisms with their predicted values, it is essential to ensure that the instruments (predicted values) are </w:t>
      </w:r>
      <w:r w:rsidR="00EB6359">
        <w:rPr>
          <w:rFonts w:cs="Times New Roman"/>
        </w:rPr>
        <w:t xml:space="preserve">valid and </w:t>
      </w:r>
      <w:r w:rsidR="0072389D" w:rsidRPr="00D904C7">
        <w:rPr>
          <w:rFonts w:cs="Times New Roman"/>
        </w:rPr>
        <w:t xml:space="preserve">appropriate to replace the actual values of board mechanisms. </w:t>
      </w:r>
      <w:r w:rsidR="009E250D" w:rsidRPr="00D904C7">
        <w:rPr>
          <w:rFonts w:cs="Times New Roman"/>
        </w:rPr>
        <w:t>F</w:t>
      </w:r>
      <w:r w:rsidR="0072389D" w:rsidRPr="00D904C7">
        <w:rPr>
          <w:rFonts w:cs="Times New Roman"/>
        </w:rPr>
        <w:t xml:space="preserve">ollowing </w:t>
      </w:r>
      <w:proofErr w:type="spellStart"/>
      <w:r w:rsidR="0072389D" w:rsidRPr="00D904C7">
        <w:rPr>
          <w:rFonts w:cs="Times New Roman"/>
        </w:rPr>
        <w:t>Beiner</w:t>
      </w:r>
      <w:proofErr w:type="spellEnd"/>
      <w:r w:rsidR="0072389D" w:rsidRPr="00D904C7">
        <w:rPr>
          <w:rFonts w:cs="Times New Roman"/>
        </w:rPr>
        <w:t xml:space="preserve"> et al (2006)</w:t>
      </w:r>
      <w:r w:rsidR="00CB44BA">
        <w:rPr>
          <w:rFonts w:cs="Times New Roman"/>
        </w:rPr>
        <w:t>,</w:t>
      </w:r>
      <w:r w:rsidR="0072389D" w:rsidRPr="00D904C7">
        <w:rPr>
          <w:rFonts w:cs="Times New Roman"/>
        </w:rPr>
        <w:t xml:space="preserve"> we used </w:t>
      </w:r>
      <w:r w:rsidR="0072389D" w:rsidRPr="00D904C7">
        <w:rPr>
          <w:rFonts w:cs="Times New Roman"/>
          <w:noProof/>
          <w:szCs w:val="24"/>
        </w:rPr>
        <w:t>both Pearson and Spearman correlation matrices and we found that the predicted values of board mechanisms are highly correlated with their actual value</w:t>
      </w:r>
      <w:r w:rsidR="006F185F">
        <w:rPr>
          <w:rFonts w:cs="Times New Roman"/>
          <w:noProof/>
          <w:szCs w:val="24"/>
        </w:rPr>
        <w:t>s</w:t>
      </w:r>
      <w:r w:rsidR="0072389D" w:rsidRPr="00D904C7">
        <w:rPr>
          <w:rFonts w:cs="Times New Roman"/>
          <w:noProof/>
          <w:szCs w:val="24"/>
        </w:rPr>
        <w:t>. Additionally, the predicted value</w:t>
      </w:r>
      <w:r w:rsidR="006F185F">
        <w:rPr>
          <w:rFonts w:cs="Times New Roman"/>
          <w:noProof/>
          <w:szCs w:val="24"/>
        </w:rPr>
        <w:t>s</w:t>
      </w:r>
      <w:r w:rsidR="0072389D" w:rsidRPr="00D904C7">
        <w:rPr>
          <w:rFonts w:cs="Times New Roman"/>
          <w:noProof/>
          <w:szCs w:val="24"/>
        </w:rPr>
        <w:t xml:space="preserve"> of </w:t>
      </w:r>
      <w:r w:rsidR="006F185F">
        <w:rPr>
          <w:rFonts w:cs="Times New Roman"/>
          <w:noProof/>
          <w:szCs w:val="24"/>
        </w:rPr>
        <w:t xml:space="preserve">the </w:t>
      </w:r>
      <w:r w:rsidR="0072389D" w:rsidRPr="00D904C7">
        <w:rPr>
          <w:rFonts w:cs="Times New Roman"/>
          <w:noProof/>
          <w:szCs w:val="24"/>
        </w:rPr>
        <w:t xml:space="preserve">board mechanisms have no correlation with their residual values. This suggests that </w:t>
      </w:r>
      <w:r w:rsidR="006F185F">
        <w:rPr>
          <w:rFonts w:cs="Times New Roman"/>
          <w:noProof/>
          <w:szCs w:val="24"/>
        </w:rPr>
        <w:t>it is appropriate to</w:t>
      </w:r>
      <w:r w:rsidR="0072389D" w:rsidRPr="00D904C7">
        <w:rPr>
          <w:rFonts w:cs="Times New Roman"/>
          <w:noProof/>
          <w:szCs w:val="24"/>
        </w:rPr>
        <w:t xml:space="preserve"> use the predicted values of</w:t>
      </w:r>
      <w:r w:rsidR="006F185F">
        <w:rPr>
          <w:rFonts w:cs="Times New Roman"/>
          <w:noProof/>
          <w:szCs w:val="24"/>
        </w:rPr>
        <w:t xml:space="preserve"> the</w:t>
      </w:r>
      <w:r w:rsidR="0072389D" w:rsidRPr="00D904C7">
        <w:rPr>
          <w:rFonts w:cs="Times New Roman"/>
          <w:noProof/>
          <w:szCs w:val="24"/>
        </w:rPr>
        <w:t xml:space="preserve"> board mechanisms as instruments to replace their </w:t>
      </w:r>
      <w:r w:rsidR="0072389D" w:rsidRPr="00D904C7">
        <w:rPr>
          <w:rFonts w:cs="Times New Roman"/>
          <w:noProof/>
          <w:szCs w:val="24"/>
        </w:rPr>
        <w:lastRenderedPageBreak/>
        <w:t>actual values (</w:t>
      </w:r>
      <w:proofErr w:type="spellStart"/>
      <w:r w:rsidR="0072389D" w:rsidRPr="00D904C7">
        <w:rPr>
          <w:rFonts w:cs="Times New Roman"/>
        </w:rPr>
        <w:t>Beiner</w:t>
      </w:r>
      <w:proofErr w:type="spellEnd"/>
      <w:r w:rsidR="0072389D" w:rsidRPr="00D904C7">
        <w:rPr>
          <w:rFonts w:cs="Times New Roman"/>
        </w:rPr>
        <w:t xml:space="preserve"> et al., 2006). Overall, the findings reported in </w:t>
      </w:r>
      <w:r w:rsidR="006F185F">
        <w:rPr>
          <w:rFonts w:cs="Times New Roman"/>
        </w:rPr>
        <w:t>M</w:t>
      </w:r>
      <w:r w:rsidR="0072389D" w:rsidRPr="00D904C7">
        <w:rPr>
          <w:rFonts w:cs="Times New Roman"/>
        </w:rPr>
        <w:t xml:space="preserve">odel 3 of Table 5 remain essentially the same as those contained in </w:t>
      </w:r>
      <w:r w:rsidR="006F185F">
        <w:rPr>
          <w:rFonts w:cs="Times New Roman"/>
        </w:rPr>
        <w:t>M</w:t>
      </w:r>
      <w:r w:rsidR="0072389D" w:rsidRPr="00D904C7">
        <w:rPr>
          <w:rFonts w:cs="Times New Roman"/>
        </w:rPr>
        <w:t>odel 6 of Table 4, and thus indicating that the findings appear to be robust to possible endogeneity issues that might arise from omitted variable</w:t>
      </w:r>
      <w:r w:rsidR="006F185F">
        <w:rPr>
          <w:rFonts w:cs="Times New Roman"/>
        </w:rPr>
        <w:t>s</w:t>
      </w:r>
      <w:r w:rsidR="0072389D" w:rsidRPr="00D904C7">
        <w:rPr>
          <w:rFonts w:cs="Times New Roman"/>
        </w:rPr>
        <w:t xml:space="preserve"> bias.</w:t>
      </w:r>
    </w:p>
    <w:p w14:paraId="220AD9C0" w14:textId="7C83B837" w:rsidR="00FD6473" w:rsidRPr="00C73325" w:rsidRDefault="0094596C" w:rsidP="00FE7EC5">
      <w:pPr>
        <w:spacing w:before="0" w:after="0" w:line="360" w:lineRule="auto"/>
        <w:ind w:firstLine="360"/>
        <w:rPr>
          <w:rFonts w:cs="Times New Roman"/>
        </w:rPr>
      </w:pPr>
      <w:r w:rsidRPr="00C73325">
        <w:rPr>
          <w:rFonts w:cs="Times New Roman"/>
          <w:szCs w:val="24"/>
        </w:rPr>
        <w:t>Third</w:t>
      </w:r>
      <w:r w:rsidR="00FD6473" w:rsidRPr="00FF6091">
        <w:rPr>
          <w:rFonts w:cs="Times New Roman"/>
          <w:szCs w:val="24"/>
        </w:rPr>
        <w:t xml:space="preserve">, </w:t>
      </w:r>
      <w:r w:rsidR="00FD6473" w:rsidRPr="00FF6091">
        <w:rPr>
          <w:rFonts w:cs="Times New Roman"/>
        </w:rPr>
        <w:t xml:space="preserve">to </w:t>
      </w:r>
      <w:r w:rsidR="00FD6473" w:rsidRPr="002E11E6">
        <w:rPr>
          <w:rFonts w:cs="Times New Roman"/>
        </w:rPr>
        <w:t xml:space="preserve">address potential endogeneity concerns that might emerge from simultaneous relationship </w:t>
      </w:r>
      <w:r w:rsidR="00FD6473" w:rsidRPr="00C73325">
        <w:rPr>
          <w:rFonts w:cs="Times New Roman"/>
        </w:rPr>
        <w:t xml:space="preserve">between board characteristics and dividend </w:t>
      </w:r>
      <w:r w:rsidR="00CB4D86" w:rsidRPr="00C73325">
        <w:rPr>
          <w:rFonts w:cs="Times New Roman"/>
        </w:rPr>
        <w:t>pay-out</w:t>
      </w:r>
      <w:r w:rsidR="00FD6473" w:rsidRPr="00C73325">
        <w:rPr>
          <w:rFonts w:cs="Times New Roman"/>
        </w:rPr>
        <w:t xml:space="preserve"> rate, a lagged structure model has been estimated, whereby the current year dividend </w:t>
      </w:r>
      <w:r w:rsidR="00CB4D86" w:rsidRPr="00C73325">
        <w:rPr>
          <w:rFonts w:cs="Times New Roman"/>
        </w:rPr>
        <w:t>pay-out</w:t>
      </w:r>
      <w:r w:rsidR="00FD6473" w:rsidRPr="00C73325">
        <w:rPr>
          <w:rFonts w:cs="Times New Roman"/>
        </w:rPr>
        <w:t xml:space="preserve"> policy depends on the previous year’s board mechanisms. The results reported in </w:t>
      </w:r>
      <w:r w:rsidR="006F185F">
        <w:rPr>
          <w:rFonts w:cs="Times New Roman"/>
        </w:rPr>
        <w:t>M</w:t>
      </w:r>
      <w:r w:rsidR="00FD6473" w:rsidRPr="00C73325">
        <w:rPr>
          <w:rFonts w:cs="Times New Roman"/>
        </w:rPr>
        <w:t xml:space="preserve">odel </w:t>
      </w:r>
      <w:r w:rsidR="00FE7EC5" w:rsidRPr="00C73325">
        <w:rPr>
          <w:rFonts w:cs="Times New Roman"/>
        </w:rPr>
        <w:t>4</w:t>
      </w:r>
      <w:r w:rsidR="00FD6473" w:rsidRPr="00C73325">
        <w:rPr>
          <w:rFonts w:cs="Times New Roman"/>
        </w:rPr>
        <w:t xml:space="preserve"> of Table 5 show some </w:t>
      </w:r>
      <w:r w:rsidR="00863712" w:rsidRPr="00C73325">
        <w:rPr>
          <w:rFonts w:cs="Times New Roman"/>
        </w:rPr>
        <w:t>sensitivity</w:t>
      </w:r>
      <w:r w:rsidR="00FD6473" w:rsidRPr="00C73325">
        <w:rPr>
          <w:rFonts w:cs="Times New Roman"/>
        </w:rPr>
        <w:t>. For example, board size and audit committee size</w:t>
      </w:r>
      <w:r w:rsidR="00863712" w:rsidRPr="00C73325">
        <w:rPr>
          <w:rFonts w:cs="Times New Roman"/>
        </w:rPr>
        <w:t xml:space="preserve">, which were significantly positive in Model 6 of Table 4, are now insignificant. Frequency of board meetings, which was significantly negative in Model 6 of Table 4, is now insignificant. However, the direction and the statistical significance level of </w:t>
      </w:r>
      <w:r w:rsidR="006F185F">
        <w:rPr>
          <w:rFonts w:cs="Times New Roman"/>
        </w:rPr>
        <w:t xml:space="preserve">the </w:t>
      </w:r>
      <w:r w:rsidR="00863712" w:rsidRPr="00C73325">
        <w:rPr>
          <w:rFonts w:cs="Times New Roman"/>
        </w:rPr>
        <w:t xml:space="preserve">coefficients on board independence, CEO role duality and board gender diversity have not changed. Overall, Model </w:t>
      </w:r>
      <w:r w:rsidR="00FE7EC5" w:rsidRPr="00C73325">
        <w:rPr>
          <w:rFonts w:cs="Times New Roman"/>
        </w:rPr>
        <w:t>4</w:t>
      </w:r>
      <w:r w:rsidR="00863712" w:rsidRPr="00C73325">
        <w:rPr>
          <w:rFonts w:cs="Times New Roman"/>
        </w:rPr>
        <w:t xml:space="preserve"> of Table 5 </w:t>
      </w:r>
      <w:r w:rsidR="000A562C" w:rsidRPr="00C73325">
        <w:rPr>
          <w:rFonts w:cs="Times New Roman"/>
        </w:rPr>
        <w:t>suggests</w:t>
      </w:r>
      <w:r w:rsidR="00863712" w:rsidRPr="00C73325">
        <w:rPr>
          <w:rFonts w:cs="Times New Roman"/>
        </w:rPr>
        <w:t xml:space="preserve"> that the findings are fairly robust to possible endogeneity issues that might emerge from simultaneous relations</w:t>
      </w:r>
      <w:r w:rsidR="00810424" w:rsidRPr="00C73325">
        <w:rPr>
          <w:rFonts w:cs="Times New Roman"/>
        </w:rPr>
        <w:t xml:space="preserve">hip among board characteristics and dividend </w:t>
      </w:r>
      <w:r w:rsidR="00CB4D86" w:rsidRPr="00C73325">
        <w:rPr>
          <w:rFonts w:cs="Times New Roman"/>
        </w:rPr>
        <w:t>pay-out</w:t>
      </w:r>
      <w:r w:rsidR="00810424" w:rsidRPr="00C73325">
        <w:rPr>
          <w:rFonts w:cs="Times New Roman"/>
        </w:rPr>
        <w:t xml:space="preserve"> policy.</w:t>
      </w:r>
    </w:p>
    <w:p w14:paraId="39DFCD1A" w14:textId="0FF5BB16" w:rsidR="005D37BD" w:rsidRPr="00C73325" w:rsidRDefault="00EC0ED4" w:rsidP="00FE7EC5">
      <w:pPr>
        <w:spacing w:before="0" w:after="0" w:line="360" w:lineRule="auto"/>
        <w:ind w:firstLine="360"/>
        <w:rPr>
          <w:rFonts w:cs="Times New Roman"/>
        </w:rPr>
      </w:pPr>
      <w:r w:rsidRPr="00C73325">
        <w:rPr>
          <w:rFonts w:cs="Times New Roman"/>
        </w:rPr>
        <w:t xml:space="preserve">Finally, </w:t>
      </w:r>
      <w:r w:rsidR="005D37BD" w:rsidRPr="00C73325">
        <w:rPr>
          <w:rFonts w:cs="Times New Roman"/>
        </w:rPr>
        <w:t xml:space="preserve">fixed-effect model has been estimated </w:t>
      </w:r>
      <w:r w:rsidR="006F185F">
        <w:rPr>
          <w:rFonts w:cs="Times New Roman"/>
        </w:rPr>
        <w:t xml:space="preserve">in order to </w:t>
      </w:r>
      <w:r w:rsidR="005D37BD" w:rsidRPr="00C73325">
        <w:rPr>
          <w:rFonts w:cs="Times New Roman"/>
        </w:rPr>
        <w:t xml:space="preserve">address possible </w:t>
      </w:r>
      <w:r w:rsidR="006F185F">
        <w:rPr>
          <w:rFonts w:cs="Times New Roman"/>
        </w:rPr>
        <w:t xml:space="preserve">endogeneity problems that may arise from the presence of </w:t>
      </w:r>
      <w:r w:rsidR="005D37BD" w:rsidRPr="00C73325">
        <w:rPr>
          <w:rFonts w:cs="Times New Roman"/>
        </w:rPr>
        <w:t>firm-level heterogeneit</w:t>
      </w:r>
      <w:r w:rsidR="006F185F">
        <w:rPr>
          <w:rFonts w:cs="Times New Roman"/>
        </w:rPr>
        <w:t>ies</w:t>
      </w:r>
      <w:r w:rsidR="005D37BD" w:rsidRPr="00C73325">
        <w:rPr>
          <w:rFonts w:cs="Times New Roman"/>
        </w:rPr>
        <w:t>. This model has been estimated because it has been suggested that there may be other unobserved firm-specific factors</w:t>
      </w:r>
      <w:r w:rsidR="006F185F">
        <w:rPr>
          <w:rFonts w:cs="Times New Roman"/>
        </w:rPr>
        <w:t xml:space="preserve"> (e.g., managerial talent and organisational culture)</w:t>
      </w:r>
      <w:r w:rsidR="005D37BD" w:rsidRPr="00C73325">
        <w:rPr>
          <w:rFonts w:cs="Times New Roman"/>
        </w:rPr>
        <w:t xml:space="preserve">, which can impact on </w:t>
      </w:r>
      <w:r w:rsidR="005D37BD" w:rsidRPr="00C73325">
        <w:rPr>
          <w:rFonts w:cs="Times New Roman"/>
          <w:i/>
          <w:iCs/>
        </w:rPr>
        <w:t>DP</w:t>
      </w:r>
      <w:r w:rsidR="00FE7EC5" w:rsidRPr="00C73325">
        <w:rPr>
          <w:rFonts w:cs="Times New Roman"/>
          <w:i/>
          <w:iCs/>
        </w:rPr>
        <w:t>1</w:t>
      </w:r>
      <w:r w:rsidR="005D37BD" w:rsidRPr="00C73325">
        <w:rPr>
          <w:rFonts w:cs="Times New Roman"/>
        </w:rPr>
        <w:t xml:space="preserve"> that our OLS approach may be unable to determine (Ntim, 2012</w:t>
      </w:r>
      <w:r w:rsidR="00097C99">
        <w:rPr>
          <w:rFonts w:cs="Times New Roman"/>
        </w:rPr>
        <w:t>a, b</w:t>
      </w:r>
      <w:r w:rsidR="005D37BD" w:rsidRPr="00C73325">
        <w:rPr>
          <w:rFonts w:cs="Times New Roman"/>
        </w:rPr>
        <w:t xml:space="preserve">, 2015). </w:t>
      </w:r>
      <w:r w:rsidR="00022744">
        <w:rPr>
          <w:rFonts w:cs="Times New Roman"/>
        </w:rPr>
        <w:t>Therefore and t</w:t>
      </w:r>
      <w:r w:rsidR="005D37BD" w:rsidRPr="00C73325">
        <w:rPr>
          <w:rFonts w:cs="Times New Roman"/>
        </w:rPr>
        <w:t xml:space="preserve">o control for unobserved firm-level </w:t>
      </w:r>
      <w:r w:rsidR="007E5C27">
        <w:rPr>
          <w:rFonts w:cs="Times New Roman"/>
        </w:rPr>
        <w:t>heterogeneities</w:t>
      </w:r>
      <w:r w:rsidR="005D37BD" w:rsidRPr="00C73325">
        <w:rPr>
          <w:rFonts w:cs="Times New Roman"/>
        </w:rPr>
        <w:t xml:space="preserve">, Model 6 of Table 4 has been re-estimated by including 49 dummies to represent 50 sampled firms. The findings shown in Model </w:t>
      </w:r>
      <w:r w:rsidR="00FE7EC5" w:rsidRPr="00C73325">
        <w:rPr>
          <w:rFonts w:cs="Times New Roman"/>
        </w:rPr>
        <w:t>5</w:t>
      </w:r>
      <w:r w:rsidR="005D37BD" w:rsidRPr="00C73325">
        <w:rPr>
          <w:rFonts w:cs="Times New Roman"/>
        </w:rPr>
        <w:t xml:space="preserve"> of Table 5 remain generally the same, indicating that the findings of the study are fairly robust to the presence of any possible endogeneity </w:t>
      </w:r>
      <w:r w:rsidR="00022744">
        <w:rPr>
          <w:rFonts w:cs="Times New Roman"/>
        </w:rPr>
        <w:t>problems</w:t>
      </w:r>
      <w:r w:rsidR="00022744" w:rsidRPr="00C73325">
        <w:rPr>
          <w:rFonts w:cs="Times New Roman"/>
        </w:rPr>
        <w:t xml:space="preserve"> </w:t>
      </w:r>
      <w:r w:rsidR="005D37BD" w:rsidRPr="00C73325">
        <w:rPr>
          <w:rFonts w:cs="Times New Roman"/>
        </w:rPr>
        <w:t xml:space="preserve">that may emerge </w:t>
      </w:r>
      <w:r w:rsidR="00022744">
        <w:rPr>
          <w:rFonts w:cs="Times New Roman"/>
        </w:rPr>
        <w:t xml:space="preserve">from the presence of </w:t>
      </w:r>
      <w:r w:rsidR="005D37BD" w:rsidRPr="00C73325">
        <w:rPr>
          <w:rFonts w:cs="Times New Roman"/>
        </w:rPr>
        <w:t>firm-specific heterogeneit</w:t>
      </w:r>
      <w:r w:rsidR="00022744">
        <w:rPr>
          <w:rFonts w:cs="Times New Roman"/>
        </w:rPr>
        <w:t>ies</w:t>
      </w:r>
      <w:r w:rsidR="005D37BD" w:rsidRPr="00C73325">
        <w:rPr>
          <w:rFonts w:cs="Times New Roman"/>
        </w:rPr>
        <w:t>.</w:t>
      </w:r>
    </w:p>
    <w:p w14:paraId="5B3213F8" w14:textId="38D5465A" w:rsidR="00FC4342" w:rsidRPr="00C73325" w:rsidRDefault="00A837DF" w:rsidP="00D947C9">
      <w:pPr>
        <w:pStyle w:val="Heading1"/>
        <w:numPr>
          <w:ilvl w:val="0"/>
          <w:numId w:val="6"/>
        </w:numPr>
        <w:spacing w:after="240"/>
        <w:rPr>
          <w:color w:val="auto"/>
        </w:rPr>
      </w:pPr>
      <w:r w:rsidRPr="00C73325">
        <w:rPr>
          <w:color w:val="auto"/>
        </w:rPr>
        <w:t xml:space="preserve">Summary and </w:t>
      </w:r>
      <w:r w:rsidR="003B2043" w:rsidRPr="00C73325">
        <w:rPr>
          <w:color w:val="auto"/>
        </w:rPr>
        <w:t>c</w:t>
      </w:r>
      <w:r w:rsidRPr="00C73325">
        <w:rPr>
          <w:color w:val="auto"/>
        </w:rPr>
        <w:t>onclusion</w:t>
      </w:r>
    </w:p>
    <w:p w14:paraId="3239BB58" w14:textId="498557B5" w:rsidR="0010371D" w:rsidRPr="00D904C7" w:rsidRDefault="00A730A8" w:rsidP="009E250D">
      <w:pPr>
        <w:widowControl w:val="0"/>
        <w:autoSpaceDE w:val="0"/>
        <w:autoSpaceDN w:val="0"/>
        <w:adjustRightInd w:val="0"/>
        <w:spacing w:after="0" w:line="360" w:lineRule="auto"/>
        <w:ind w:firstLine="360"/>
        <w:rPr>
          <w:szCs w:val="24"/>
        </w:rPr>
      </w:pPr>
      <w:r w:rsidRPr="00C73325">
        <w:t xml:space="preserve">This paper investigates </w:t>
      </w:r>
      <w:r w:rsidR="002008D4" w:rsidRPr="00C73325">
        <w:t xml:space="preserve">the effect of corporate governance </w:t>
      </w:r>
      <w:r w:rsidR="0010371D" w:rsidRPr="00C73325">
        <w:t>on dividend policy</w:t>
      </w:r>
      <w:r w:rsidR="0012356E" w:rsidRPr="00C73325">
        <w:t xml:space="preserve"> (DP)</w:t>
      </w:r>
      <w:r w:rsidR="0010371D" w:rsidRPr="00C73325">
        <w:t xml:space="preserve"> using a sample of UK small and medium</w:t>
      </w:r>
      <w:r w:rsidR="00133ABC">
        <w:t>-</w:t>
      </w:r>
      <w:r w:rsidR="0010371D" w:rsidRPr="00C73325">
        <w:t>size</w:t>
      </w:r>
      <w:r w:rsidR="00133ABC">
        <w:t>d</w:t>
      </w:r>
      <w:r w:rsidR="0010371D" w:rsidRPr="00C73325">
        <w:t xml:space="preserve"> enterprises (SMEs)</w:t>
      </w:r>
      <w:r w:rsidR="00022744">
        <w:t xml:space="preserve"> listed on the London Stock Exchange’s Alternative Investment Market (AIM) from 2010 to 2013</w:t>
      </w:r>
      <w:r w:rsidR="0010371D" w:rsidRPr="00C73325">
        <w:t>. Our study extends, as well as contributes to the extant literature in a number of ways. First, despite</w:t>
      </w:r>
      <w:r w:rsidR="0010371D" w:rsidRPr="00C73325">
        <w:rPr>
          <w:szCs w:val="24"/>
        </w:rPr>
        <w:t xml:space="preserve"> the importance of good </w:t>
      </w:r>
      <w:r w:rsidR="005D5BAA">
        <w:rPr>
          <w:szCs w:val="24"/>
        </w:rPr>
        <w:t>corporate governance</w:t>
      </w:r>
      <w:r w:rsidR="0010371D" w:rsidRPr="00C73325">
        <w:rPr>
          <w:szCs w:val="24"/>
        </w:rPr>
        <w:t xml:space="preserve"> practices and the considerable amount of </w:t>
      </w:r>
      <w:r w:rsidR="0022681F">
        <w:rPr>
          <w:szCs w:val="24"/>
        </w:rPr>
        <w:t>corporate governance</w:t>
      </w:r>
      <w:r w:rsidR="0010371D" w:rsidRPr="00C73325">
        <w:rPr>
          <w:szCs w:val="24"/>
        </w:rPr>
        <w:t xml:space="preserve"> reforms </w:t>
      </w:r>
      <w:r w:rsidR="00A371C5" w:rsidRPr="00C73325">
        <w:rPr>
          <w:szCs w:val="24"/>
        </w:rPr>
        <w:t>which</w:t>
      </w:r>
      <w:r w:rsidR="0010371D" w:rsidRPr="00C73325">
        <w:rPr>
          <w:szCs w:val="24"/>
        </w:rPr>
        <w:t xml:space="preserve"> have been pursued around the world, previous studies </w:t>
      </w:r>
      <w:r w:rsidR="00A371C5" w:rsidRPr="00C73325">
        <w:rPr>
          <w:szCs w:val="24"/>
        </w:rPr>
        <w:t xml:space="preserve">have examined only the impact of general firm characteristics (e.g., firm size, cash flow, </w:t>
      </w:r>
      <w:r w:rsidR="0012356E" w:rsidRPr="00C73325">
        <w:rPr>
          <w:szCs w:val="24"/>
        </w:rPr>
        <w:t xml:space="preserve">and </w:t>
      </w:r>
      <w:r w:rsidR="00A371C5" w:rsidRPr="00C73325">
        <w:rPr>
          <w:szCs w:val="24"/>
        </w:rPr>
        <w:t xml:space="preserve">gearing) on dividend </w:t>
      </w:r>
      <w:r w:rsidR="00A371C5" w:rsidRPr="00C73325">
        <w:rPr>
          <w:szCs w:val="24"/>
        </w:rPr>
        <w:lastRenderedPageBreak/>
        <w:t>policy among large publicly listed firms</w:t>
      </w:r>
      <w:r w:rsidR="005D5BAA">
        <w:rPr>
          <w:szCs w:val="24"/>
        </w:rPr>
        <w:t xml:space="preserve"> to the neglect of SMEs</w:t>
      </w:r>
      <w:r w:rsidR="00A371C5" w:rsidRPr="00C73325">
        <w:rPr>
          <w:szCs w:val="24"/>
        </w:rPr>
        <w:t xml:space="preserve">. </w:t>
      </w:r>
      <w:r w:rsidR="005D5BAA">
        <w:rPr>
          <w:szCs w:val="24"/>
        </w:rPr>
        <w:t xml:space="preserve">This arguably limits current understanding of why and how corporate governance practices may affect dividend pay-out policies of SMEs. </w:t>
      </w:r>
      <w:r w:rsidR="00A371C5" w:rsidRPr="00C73325">
        <w:rPr>
          <w:szCs w:val="24"/>
        </w:rPr>
        <w:t xml:space="preserve">Therefore, this study contributes to the extant literature by examining the link between board characteristics (board size, board independence, CEO role duality, frequency of board meetings, board gender diversity and audit committee size) on </w:t>
      </w:r>
      <w:r w:rsidR="00A371C5" w:rsidRPr="00C73325">
        <w:rPr>
          <w:i/>
          <w:iCs/>
          <w:szCs w:val="24"/>
        </w:rPr>
        <w:t>DP</w:t>
      </w:r>
      <w:r w:rsidR="0057411F">
        <w:rPr>
          <w:i/>
          <w:iCs/>
          <w:szCs w:val="24"/>
        </w:rPr>
        <w:t xml:space="preserve"> </w:t>
      </w:r>
      <w:r w:rsidR="0057411F">
        <w:rPr>
          <w:iCs/>
          <w:szCs w:val="24"/>
        </w:rPr>
        <w:t>in a major European country</w:t>
      </w:r>
      <w:r w:rsidR="00A371C5" w:rsidRPr="00C73325">
        <w:rPr>
          <w:szCs w:val="24"/>
        </w:rPr>
        <w:t xml:space="preserve">. Overall, the results indicate that board characteristics have a significant impact on </w:t>
      </w:r>
      <w:r w:rsidR="00A371C5" w:rsidRPr="00C73325">
        <w:rPr>
          <w:i/>
          <w:iCs/>
          <w:szCs w:val="24"/>
        </w:rPr>
        <w:t xml:space="preserve">DP </w:t>
      </w:r>
      <w:r w:rsidR="00A371C5" w:rsidRPr="00C73325">
        <w:rPr>
          <w:szCs w:val="24"/>
        </w:rPr>
        <w:t xml:space="preserve">among </w:t>
      </w:r>
      <w:r w:rsidR="00022744">
        <w:rPr>
          <w:szCs w:val="24"/>
        </w:rPr>
        <w:t>publicly listed</w:t>
      </w:r>
      <w:r w:rsidR="00A371C5" w:rsidRPr="00C73325">
        <w:rPr>
          <w:szCs w:val="24"/>
        </w:rPr>
        <w:t xml:space="preserve"> UK </w:t>
      </w:r>
      <w:r w:rsidR="00022744">
        <w:rPr>
          <w:szCs w:val="24"/>
        </w:rPr>
        <w:t>SMEs</w:t>
      </w:r>
      <w:r w:rsidR="00A371C5" w:rsidRPr="00C73325">
        <w:rPr>
          <w:szCs w:val="24"/>
        </w:rPr>
        <w:t xml:space="preserve">. </w:t>
      </w:r>
      <w:r w:rsidR="009E250D" w:rsidRPr="00C73325">
        <w:rPr>
          <w:szCs w:val="24"/>
        </w:rPr>
        <w:t xml:space="preserve">Additionally, </w:t>
      </w:r>
      <w:r w:rsidR="009E250D" w:rsidRPr="00D904C7">
        <w:rPr>
          <w:szCs w:val="24"/>
        </w:rPr>
        <w:t xml:space="preserve">our findings support the view that dividends </w:t>
      </w:r>
      <w:r w:rsidR="00022744">
        <w:rPr>
          <w:szCs w:val="24"/>
        </w:rPr>
        <w:t xml:space="preserve">can act as </w:t>
      </w:r>
      <w:r w:rsidR="009E250D" w:rsidRPr="00D904C7">
        <w:rPr>
          <w:szCs w:val="24"/>
        </w:rPr>
        <w:t xml:space="preserve">substitute </w:t>
      </w:r>
      <w:r w:rsidR="00022744">
        <w:rPr>
          <w:szCs w:val="24"/>
        </w:rPr>
        <w:t>for</w:t>
      </w:r>
      <w:r w:rsidR="009E250D" w:rsidRPr="00D904C7">
        <w:rPr>
          <w:szCs w:val="24"/>
        </w:rPr>
        <w:t xml:space="preserve"> corporate governance mechanisms (such as board characteristics) in poorly governed firms</w:t>
      </w:r>
      <w:r w:rsidR="00022744">
        <w:rPr>
          <w:szCs w:val="24"/>
        </w:rPr>
        <w:t>.</w:t>
      </w:r>
      <w:r w:rsidR="009E250D" w:rsidRPr="00D904C7">
        <w:rPr>
          <w:szCs w:val="24"/>
        </w:rPr>
        <w:t xml:space="preserve"> </w:t>
      </w:r>
    </w:p>
    <w:p w14:paraId="0D68708C" w14:textId="49E9C0A5" w:rsidR="00DF14CA" w:rsidRPr="004102EC" w:rsidRDefault="00A371C5" w:rsidP="007154F9">
      <w:pPr>
        <w:widowControl w:val="0"/>
        <w:autoSpaceDE w:val="0"/>
        <w:autoSpaceDN w:val="0"/>
        <w:adjustRightInd w:val="0"/>
        <w:spacing w:before="0" w:after="0" w:line="360" w:lineRule="auto"/>
        <w:ind w:firstLine="360"/>
        <w:rPr>
          <w:szCs w:val="24"/>
        </w:rPr>
      </w:pPr>
      <w:r w:rsidRPr="00C73325">
        <w:rPr>
          <w:szCs w:val="24"/>
        </w:rPr>
        <w:t xml:space="preserve">Second, </w:t>
      </w:r>
      <w:r w:rsidR="00D26487" w:rsidRPr="00FF6091">
        <w:rPr>
          <w:szCs w:val="24"/>
        </w:rPr>
        <w:t xml:space="preserve">we offer a timely new empirical insights relating to board characteristics and dividend policy following the recent global financial crisis. </w:t>
      </w:r>
      <w:r w:rsidR="009E250D" w:rsidRPr="00FF6091">
        <w:rPr>
          <w:szCs w:val="24"/>
        </w:rPr>
        <w:t>Third,</w:t>
      </w:r>
      <w:r w:rsidR="009E250D" w:rsidRPr="002E11E6">
        <w:rPr>
          <w:szCs w:val="24"/>
        </w:rPr>
        <w:t xml:space="preserve"> </w:t>
      </w:r>
      <w:r w:rsidR="009E250D" w:rsidRPr="00D904C7">
        <w:rPr>
          <w:szCs w:val="24"/>
        </w:rPr>
        <w:t xml:space="preserve">our findings have a number of implications </w:t>
      </w:r>
      <w:r w:rsidR="0022681F">
        <w:rPr>
          <w:szCs w:val="24"/>
        </w:rPr>
        <w:t>f</w:t>
      </w:r>
      <w:r w:rsidR="009E250D" w:rsidRPr="00D904C7">
        <w:rPr>
          <w:szCs w:val="24"/>
        </w:rPr>
        <w:t>o</w:t>
      </w:r>
      <w:r w:rsidR="0022681F">
        <w:rPr>
          <w:szCs w:val="24"/>
        </w:rPr>
        <w:t>r</w:t>
      </w:r>
      <w:r w:rsidR="009E250D" w:rsidRPr="00D904C7">
        <w:rPr>
          <w:szCs w:val="24"/>
        </w:rPr>
        <w:t xml:space="preserve"> companies and shareholders, policymakers, regulatory authorities and other countries. The evidence implies that managers in poorly-governed SMEs </w:t>
      </w:r>
      <w:r w:rsidR="006F5075">
        <w:rPr>
          <w:szCs w:val="24"/>
        </w:rPr>
        <w:t>may be compelled to</w:t>
      </w:r>
      <w:r w:rsidR="009E250D" w:rsidRPr="00D904C7">
        <w:rPr>
          <w:szCs w:val="24"/>
        </w:rPr>
        <w:t xml:space="preserve"> pay larger dividends </w:t>
      </w:r>
      <w:r w:rsidR="006F5075">
        <w:rPr>
          <w:szCs w:val="24"/>
        </w:rPr>
        <w:t>if they are to maintain a</w:t>
      </w:r>
      <w:r w:rsidR="009E250D" w:rsidRPr="00D904C7">
        <w:rPr>
          <w:szCs w:val="24"/>
        </w:rPr>
        <w:t xml:space="preserve"> positive </w:t>
      </w:r>
      <w:r w:rsidR="006F5075">
        <w:rPr>
          <w:szCs w:val="24"/>
        </w:rPr>
        <w:t>relationship</w:t>
      </w:r>
      <w:r w:rsidR="009E250D" w:rsidRPr="00D904C7">
        <w:rPr>
          <w:szCs w:val="24"/>
        </w:rPr>
        <w:t xml:space="preserve"> with shareholders. </w:t>
      </w:r>
      <w:r w:rsidR="006F5075">
        <w:rPr>
          <w:szCs w:val="24"/>
        </w:rPr>
        <w:t>In contrast</w:t>
      </w:r>
      <w:r w:rsidR="009E250D" w:rsidRPr="00D904C7">
        <w:rPr>
          <w:szCs w:val="24"/>
        </w:rPr>
        <w:t xml:space="preserve">, managers in </w:t>
      </w:r>
      <w:r w:rsidR="0022681F">
        <w:rPr>
          <w:szCs w:val="24"/>
        </w:rPr>
        <w:t>better</w:t>
      </w:r>
      <w:r w:rsidR="009E250D" w:rsidRPr="00D904C7">
        <w:rPr>
          <w:szCs w:val="24"/>
        </w:rPr>
        <w:t xml:space="preserve">-governed SMEs may be </w:t>
      </w:r>
      <w:r w:rsidR="003A1E7F">
        <w:rPr>
          <w:szCs w:val="24"/>
        </w:rPr>
        <w:t>able</w:t>
      </w:r>
      <w:r w:rsidR="009E250D" w:rsidRPr="00D904C7">
        <w:rPr>
          <w:szCs w:val="24"/>
        </w:rPr>
        <w:t xml:space="preserve"> to raise funds in future at low</w:t>
      </w:r>
      <w:r w:rsidR="00E1399E">
        <w:rPr>
          <w:szCs w:val="24"/>
        </w:rPr>
        <w:t>er</w:t>
      </w:r>
      <w:r w:rsidR="009E250D" w:rsidRPr="00D904C7">
        <w:rPr>
          <w:szCs w:val="24"/>
        </w:rPr>
        <w:t xml:space="preserve"> costs by building positive reputation with shareholders </w:t>
      </w:r>
      <w:r w:rsidR="003A1E7F">
        <w:rPr>
          <w:szCs w:val="24"/>
        </w:rPr>
        <w:t>via the</w:t>
      </w:r>
      <w:r w:rsidR="00E1399E">
        <w:rPr>
          <w:szCs w:val="24"/>
        </w:rPr>
        <w:t xml:space="preserve"> maint</w:t>
      </w:r>
      <w:r w:rsidR="003A1E7F">
        <w:rPr>
          <w:szCs w:val="24"/>
        </w:rPr>
        <w:t>enance of</w:t>
      </w:r>
      <w:r w:rsidR="00E1399E">
        <w:rPr>
          <w:szCs w:val="24"/>
        </w:rPr>
        <w:t xml:space="preserve"> good</w:t>
      </w:r>
      <w:r w:rsidR="00022744">
        <w:rPr>
          <w:szCs w:val="24"/>
        </w:rPr>
        <w:t xml:space="preserve"> </w:t>
      </w:r>
      <w:r w:rsidR="009E250D" w:rsidRPr="00D904C7">
        <w:rPr>
          <w:szCs w:val="24"/>
        </w:rPr>
        <w:t xml:space="preserve">governance mechanisms. In doing so, well-governed SMEs may be </w:t>
      </w:r>
      <w:r w:rsidR="001A7433">
        <w:rPr>
          <w:szCs w:val="24"/>
        </w:rPr>
        <w:t>able</w:t>
      </w:r>
      <w:r w:rsidR="009E250D" w:rsidRPr="00D904C7">
        <w:rPr>
          <w:szCs w:val="24"/>
        </w:rPr>
        <w:t xml:space="preserve"> </w:t>
      </w:r>
      <w:r w:rsidR="003A1E7F">
        <w:rPr>
          <w:szCs w:val="24"/>
        </w:rPr>
        <w:t>to</w:t>
      </w:r>
      <w:r w:rsidR="009E250D" w:rsidRPr="00D904C7">
        <w:rPr>
          <w:szCs w:val="24"/>
        </w:rPr>
        <w:t xml:space="preserve"> pay </w:t>
      </w:r>
      <w:r w:rsidR="001A7433">
        <w:rPr>
          <w:szCs w:val="24"/>
        </w:rPr>
        <w:t xml:space="preserve">relatively </w:t>
      </w:r>
      <w:r w:rsidR="009E250D" w:rsidRPr="00D904C7">
        <w:rPr>
          <w:szCs w:val="24"/>
        </w:rPr>
        <w:t xml:space="preserve">less dividends in order to </w:t>
      </w:r>
      <w:r w:rsidR="00E1399E">
        <w:rPr>
          <w:szCs w:val="24"/>
        </w:rPr>
        <w:t>retain profits</w:t>
      </w:r>
      <w:r w:rsidR="009E250D" w:rsidRPr="00D904C7">
        <w:rPr>
          <w:szCs w:val="24"/>
        </w:rPr>
        <w:t xml:space="preserve"> for future expansion and growth without the need to raise funds from external sources at high</w:t>
      </w:r>
      <w:r w:rsidR="00E1399E">
        <w:rPr>
          <w:szCs w:val="24"/>
        </w:rPr>
        <w:t>er</w:t>
      </w:r>
      <w:r w:rsidR="009E250D" w:rsidRPr="00D904C7">
        <w:rPr>
          <w:szCs w:val="24"/>
        </w:rPr>
        <w:t xml:space="preserve"> costs.</w:t>
      </w:r>
      <w:r w:rsidR="00857438" w:rsidRPr="00D904C7">
        <w:rPr>
          <w:szCs w:val="24"/>
        </w:rPr>
        <w:t xml:space="preserve"> </w:t>
      </w:r>
      <w:r w:rsidR="00E1399E" w:rsidRPr="00325F63">
        <w:rPr>
          <w:szCs w:val="24"/>
        </w:rPr>
        <w:t>F</w:t>
      </w:r>
      <w:r w:rsidR="00E1399E">
        <w:rPr>
          <w:szCs w:val="24"/>
        </w:rPr>
        <w:t>ourth</w:t>
      </w:r>
      <w:r w:rsidR="00A1222B" w:rsidRPr="00325F63">
        <w:rPr>
          <w:szCs w:val="24"/>
        </w:rPr>
        <w:t xml:space="preserve">, the evidence provided in this paper offers potential theoretical and empirical insight for future studies. In terms of theoretical expansions, the evidence suggests that future studies may improve their theoretical grounds by using other theories, such as </w:t>
      </w:r>
      <w:r w:rsidR="009E250D" w:rsidRPr="00D16F88">
        <w:rPr>
          <w:szCs w:val="24"/>
        </w:rPr>
        <w:t xml:space="preserve">stakeholder and </w:t>
      </w:r>
      <w:r w:rsidR="00A1222B" w:rsidRPr="00D16F88">
        <w:rPr>
          <w:szCs w:val="24"/>
        </w:rPr>
        <w:t>resource dependence theor</w:t>
      </w:r>
      <w:r w:rsidR="009E250D" w:rsidRPr="00D16F88">
        <w:rPr>
          <w:szCs w:val="24"/>
        </w:rPr>
        <w:t>ies</w:t>
      </w:r>
      <w:r w:rsidR="00A1222B" w:rsidRPr="00D16F88">
        <w:rPr>
          <w:szCs w:val="24"/>
        </w:rPr>
        <w:t xml:space="preserve">, when examining </w:t>
      </w:r>
      <w:r w:rsidR="00DF14CA" w:rsidRPr="00D16F88">
        <w:rPr>
          <w:szCs w:val="24"/>
        </w:rPr>
        <w:t xml:space="preserve">factors influencing dividend </w:t>
      </w:r>
      <w:r w:rsidR="00855D30" w:rsidRPr="00D16F88">
        <w:rPr>
          <w:szCs w:val="24"/>
        </w:rPr>
        <w:t>pay-out</w:t>
      </w:r>
      <w:r w:rsidR="00DF14CA" w:rsidRPr="00D16F88">
        <w:rPr>
          <w:szCs w:val="24"/>
        </w:rPr>
        <w:t xml:space="preserve"> policy. With respect to the empirical expansions, this</w:t>
      </w:r>
      <w:r w:rsidR="00DF14CA" w:rsidRPr="004102EC">
        <w:rPr>
          <w:szCs w:val="24"/>
        </w:rPr>
        <w:t xml:space="preserve"> paper focuses only on </w:t>
      </w:r>
      <w:r w:rsidR="00A64D65">
        <w:rPr>
          <w:szCs w:val="24"/>
        </w:rPr>
        <w:t>listed SMEs in the</w:t>
      </w:r>
      <w:r w:rsidR="00DF14CA" w:rsidRPr="004102EC">
        <w:rPr>
          <w:szCs w:val="24"/>
        </w:rPr>
        <w:t xml:space="preserve"> UK; however, future studies can extend </w:t>
      </w:r>
      <w:r w:rsidR="00E1399E">
        <w:rPr>
          <w:szCs w:val="24"/>
        </w:rPr>
        <w:t>the current</w:t>
      </w:r>
      <w:r w:rsidR="00DF14CA" w:rsidRPr="004102EC">
        <w:rPr>
          <w:szCs w:val="24"/>
        </w:rPr>
        <w:t xml:space="preserve"> study by examining the impact of </w:t>
      </w:r>
      <w:r w:rsidR="0022681F">
        <w:rPr>
          <w:szCs w:val="24"/>
        </w:rPr>
        <w:t>corporate governance</w:t>
      </w:r>
      <w:r w:rsidR="00DF14CA" w:rsidRPr="004102EC">
        <w:rPr>
          <w:szCs w:val="24"/>
        </w:rPr>
        <w:t xml:space="preserve"> mechanisms on dividend policy in different international governance environments (i.e., developed or developing countries). </w:t>
      </w:r>
    </w:p>
    <w:p w14:paraId="79C220CD" w14:textId="46BBEF4B" w:rsidR="003C70CD" w:rsidRPr="00C73325" w:rsidRDefault="00DF14CA" w:rsidP="008848CA">
      <w:pPr>
        <w:widowControl w:val="0"/>
        <w:autoSpaceDE w:val="0"/>
        <w:autoSpaceDN w:val="0"/>
        <w:adjustRightInd w:val="0"/>
        <w:spacing w:before="0" w:after="240" w:line="360" w:lineRule="auto"/>
        <w:ind w:firstLine="360"/>
        <w:rPr>
          <w:szCs w:val="24"/>
        </w:rPr>
      </w:pPr>
      <w:r w:rsidRPr="001E2270">
        <w:rPr>
          <w:szCs w:val="24"/>
        </w:rPr>
        <w:t xml:space="preserve">Finally, our study has a number of </w:t>
      </w:r>
      <w:r w:rsidR="000B22BE" w:rsidRPr="001E2270">
        <w:rPr>
          <w:szCs w:val="24"/>
        </w:rPr>
        <w:t>limitations</w:t>
      </w:r>
      <w:r w:rsidR="00D139E3" w:rsidRPr="001E2270">
        <w:rPr>
          <w:szCs w:val="24"/>
        </w:rPr>
        <w:t xml:space="preserve">, including </w:t>
      </w:r>
      <w:r w:rsidR="000B22BE" w:rsidRPr="001E2270">
        <w:rPr>
          <w:szCs w:val="24"/>
        </w:rPr>
        <w:t>restrict</w:t>
      </w:r>
      <w:r w:rsidR="00D139E3" w:rsidRPr="001E2270">
        <w:rPr>
          <w:szCs w:val="24"/>
        </w:rPr>
        <w:t>ing</w:t>
      </w:r>
      <w:r w:rsidRPr="001E2270">
        <w:rPr>
          <w:szCs w:val="24"/>
        </w:rPr>
        <w:t xml:space="preserve"> our analysis to only</w:t>
      </w:r>
      <w:r w:rsidR="000B22BE" w:rsidRPr="001E2270">
        <w:rPr>
          <w:szCs w:val="24"/>
        </w:rPr>
        <w:t xml:space="preserve"> board characteristics</w:t>
      </w:r>
      <w:r w:rsidR="00A64D65">
        <w:rPr>
          <w:szCs w:val="24"/>
        </w:rPr>
        <w:t xml:space="preserve"> in listed SMEs</w:t>
      </w:r>
      <w:r w:rsidR="000B22BE" w:rsidRPr="001E2270">
        <w:rPr>
          <w:szCs w:val="24"/>
        </w:rPr>
        <w:t>. Future studies may consider the impact of other</w:t>
      </w:r>
      <w:r w:rsidR="0022681F">
        <w:rPr>
          <w:szCs w:val="24"/>
        </w:rPr>
        <w:t xml:space="preserve"> corporate governance</w:t>
      </w:r>
      <w:r w:rsidR="000B22BE" w:rsidRPr="001E2270">
        <w:rPr>
          <w:szCs w:val="24"/>
        </w:rPr>
        <w:t xml:space="preserve"> and ownership mechanisms on dividend </w:t>
      </w:r>
      <w:r w:rsidR="00855D30" w:rsidRPr="00C73325">
        <w:rPr>
          <w:szCs w:val="24"/>
        </w:rPr>
        <w:t>pay-out</w:t>
      </w:r>
      <w:r w:rsidR="000B22BE" w:rsidRPr="00C73325">
        <w:rPr>
          <w:szCs w:val="24"/>
        </w:rPr>
        <w:t xml:space="preserve"> policy</w:t>
      </w:r>
      <w:r w:rsidR="00A64D65">
        <w:rPr>
          <w:szCs w:val="24"/>
        </w:rPr>
        <w:t xml:space="preserve"> in listed and non-listed SMEs</w:t>
      </w:r>
      <w:r w:rsidR="000B22BE" w:rsidRPr="00C73325">
        <w:rPr>
          <w:szCs w:val="24"/>
        </w:rPr>
        <w:t xml:space="preserve">. </w:t>
      </w:r>
      <w:r w:rsidR="00D139E3" w:rsidRPr="00C73325">
        <w:rPr>
          <w:szCs w:val="24"/>
        </w:rPr>
        <w:t>In addition</w:t>
      </w:r>
      <w:r w:rsidR="000B22BE" w:rsidRPr="00C73325">
        <w:rPr>
          <w:szCs w:val="24"/>
        </w:rPr>
        <w:t>, and as data become</w:t>
      </w:r>
      <w:r w:rsidR="0012356E" w:rsidRPr="00C73325">
        <w:rPr>
          <w:szCs w:val="24"/>
        </w:rPr>
        <w:t>s</w:t>
      </w:r>
      <w:r w:rsidR="000B22BE" w:rsidRPr="00C73325">
        <w:rPr>
          <w:szCs w:val="24"/>
        </w:rPr>
        <w:t xml:space="preserve"> available in the future, future studies may consider other factors (e.g., </w:t>
      </w:r>
      <w:r w:rsidR="000B22BE" w:rsidRPr="00C73325">
        <w:rPr>
          <w:rFonts w:cs="Times New Roman"/>
          <w:szCs w:val="24"/>
        </w:rPr>
        <w:t>capital structure, tax policy, macro-economic conditions, inflation rate, and political situation</w:t>
      </w:r>
      <w:r w:rsidR="00C163FA">
        <w:rPr>
          <w:rFonts w:cs="Times New Roman"/>
          <w:szCs w:val="24"/>
        </w:rPr>
        <w:t xml:space="preserve"> or </w:t>
      </w:r>
      <w:r w:rsidR="008848CA">
        <w:rPr>
          <w:rFonts w:cs="Times New Roman"/>
          <w:szCs w:val="24"/>
        </w:rPr>
        <w:t>corporate political connections (</w:t>
      </w:r>
      <w:r w:rsidR="007E5C27">
        <w:rPr>
          <w:rFonts w:cs="Times New Roman"/>
          <w:szCs w:val="24"/>
        </w:rPr>
        <w:t xml:space="preserve">e.g. </w:t>
      </w:r>
      <w:r w:rsidR="008848CA" w:rsidRPr="0013556B">
        <w:rPr>
          <w:rFonts w:cs="Times New Roman"/>
          <w:noProof/>
          <w:szCs w:val="24"/>
        </w:rPr>
        <w:t xml:space="preserve">Khan, </w:t>
      </w:r>
      <w:proofErr w:type="spellStart"/>
      <w:r w:rsidR="00097C99">
        <w:rPr>
          <w:rFonts w:cs="Times New Roman"/>
          <w:szCs w:val="24"/>
        </w:rPr>
        <w:t>Mihret</w:t>
      </w:r>
      <w:proofErr w:type="spellEnd"/>
      <w:r w:rsidR="00097C99">
        <w:rPr>
          <w:rFonts w:cs="Times New Roman"/>
          <w:szCs w:val="24"/>
        </w:rPr>
        <w:t xml:space="preserve"> &amp;</w:t>
      </w:r>
      <w:r w:rsidR="008848CA" w:rsidRPr="0013556B">
        <w:rPr>
          <w:rFonts w:cs="Times New Roman"/>
          <w:szCs w:val="24"/>
        </w:rPr>
        <w:t xml:space="preserve"> </w:t>
      </w:r>
      <w:proofErr w:type="spellStart"/>
      <w:r w:rsidR="008848CA" w:rsidRPr="0013556B">
        <w:rPr>
          <w:rFonts w:cs="Times New Roman"/>
          <w:szCs w:val="24"/>
        </w:rPr>
        <w:t>Muttakin</w:t>
      </w:r>
      <w:proofErr w:type="spellEnd"/>
      <w:r w:rsidR="008848CA">
        <w:rPr>
          <w:rFonts w:cs="Times New Roman"/>
          <w:szCs w:val="24"/>
        </w:rPr>
        <w:t xml:space="preserve">, </w:t>
      </w:r>
      <w:r w:rsidR="008848CA" w:rsidRPr="0013556B">
        <w:rPr>
          <w:rFonts w:cs="Times New Roman"/>
          <w:szCs w:val="24"/>
        </w:rPr>
        <w:t>2016)</w:t>
      </w:r>
      <w:r w:rsidR="000B22BE" w:rsidRPr="00C73325">
        <w:rPr>
          <w:rFonts w:cs="Times New Roman"/>
          <w:szCs w:val="24"/>
        </w:rPr>
        <w:t>) that can influence dividend policy</w:t>
      </w:r>
      <w:r w:rsidR="00A64D65">
        <w:rPr>
          <w:rFonts w:cs="Times New Roman"/>
          <w:szCs w:val="24"/>
        </w:rPr>
        <w:t xml:space="preserve"> in SMEs</w:t>
      </w:r>
      <w:r w:rsidR="00C163FA">
        <w:rPr>
          <w:rFonts w:cs="Times New Roman"/>
          <w:szCs w:val="24"/>
        </w:rPr>
        <w:t xml:space="preserve"> </w:t>
      </w:r>
      <w:r w:rsidR="000B22BE" w:rsidRPr="00C73325">
        <w:rPr>
          <w:rFonts w:cs="Times New Roman"/>
          <w:szCs w:val="24"/>
        </w:rPr>
        <w:t xml:space="preserve">. </w:t>
      </w:r>
      <w:r w:rsidR="00D139E3" w:rsidRPr="00C73325">
        <w:rPr>
          <w:rFonts w:cs="Times New Roman"/>
          <w:szCs w:val="24"/>
        </w:rPr>
        <w:t>Similarly</w:t>
      </w:r>
      <w:r w:rsidR="000B22BE" w:rsidRPr="00C73325">
        <w:rPr>
          <w:rFonts w:cs="Times New Roman"/>
          <w:szCs w:val="24"/>
        </w:rPr>
        <w:t>,</w:t>
      </w:r>
      <w:r w:rsidR="00D139E3" w:rsidRPr="00C73325">
        <w:rPr>
          <w:rFonts w:cs="Times New Roman"/>
          <w:szCs w:val="24"/>
        </w:rPr>
        <w:t xml:space="preserve"> and due to labour intensive nature of </w:t>
      </w:r>
      <w:r w:rsidR="00D139E3" w:rsidRPr="00C73325">
        <w:rPr>
          <w:rFonts w:cs="Times New Roman"/>
          <w:szCs w:val="24"/>
        </w:rPr>
        <w:lastRenderedPageBreak/>
        <w:t>manually collect</w:t>
      </w:r>
      <w:r w:rsidR="0012356E" w:rsidRPr="00C73325">
        <w:rPr>
          <w:rFonts w:cs="Times New Roman"/>
          <w:szCs w:val="24"/>
        </w:rPr>
        <w:t>ing the required</w:t>
      </w:r>
      <w:r w:rsidR="00D139E3" w:rsidRPr="00C73325">
        <w:rPr>
          <w:rFonts w:cs="Times New Roman"/>
          <w:szCs w:val="24"/>
        </w:rPr>
        <w:t xml:space="preserve"> data,</w:t>
      </w:r>
      <w:r w:rsidR="000B22BE" w:rsidRPr="00C73325">
        <w:rPr>
          <w:rFonts w:cs="Times New Roman"/>
          <w:szCs w:val="24"/>
        </w:rPr>
        <w:t xml:space="preserve"> we restricted our final sample to </w:t>
      </w:r>
      <w:r w:rsidR="00B05548" w:rsidRPr="00C73325">
        <w:rPr>
          <w:rFonts w:cs="Times New Roman"/>
          <w:szCs w:val="24"/>
        </w:rPr>
        <w:t>50</w:t>
      </w:r>
      <w:r w:rsidR="000B22BE" w:rsidRPr="00C73325">
        <w:rPr>
          <w:rFonts w:cs="Times New Roman"/>
          <w:szCs w:val="24"/>
        </w:rPr>
        <w:t xml:space="preserve"> firms over the period from 2010-2013 (i.e., resulting in a total of </w:t>
      </w:r>
      <w:r w:rsidR="00B05548" w:rsidRPr="00C73325">
        <w:rPr>
          <w:rFonts w:cs="Times New Roman"/>
          <w:szCs w:val="24"/>
        </w:rPr>
        <w:t>200</w:t>
      </w:r>
      <w:r w:rsidR="000B22BE" w:rsidRPr="00C73325">
        <w:rPr>
          <w:rFonts w:cs="Times New Roman"/>
          <w:szCs w:val="24"/>
        </w:rPr>
        <w:t xml:space="preserve"> firm-year observations)</w:t>
      </w:r>
      <w:r w:rsidR="00D139E3" w:rsidRPr="00C73325">
        <w:rPr>
          <w:rFonts w:cs="Times New Roman"/>
          <w:szCs w:val="24"/>
        </w:rPr>
        <w:t xml:space="preserve">. </w:t>
      </w:r>
      <w:r w:rsidR="00E1399E">
        <w:rPr>
          <w:rFonts w:cs="Times New Roman"/>
          <w:szCs w:val="24"/>
        </w:rPr>
        <w:t>Thus</w:t>
      </w:r>
      <w:r w:rsidR="00D139E3" w:rsidRPr="00C73325">
        <w:rPr>
          <w:rFonts w:cs="Times New Roman"/>
          <w:szCs w:val="24"/>
        </w:rPr>
        <w:t xml:space="preserve">, future studies can extend our study by increasing the sample size and covering longer period of time (i.e., before and after 2007/08 global financial crisis). Additionally, data used in this study is primarily collected from </w:t>
      </w:r>
      <w:r w:rsidR="00A64D65">
        <w:rPr>
          <w:rFonts w:cs="Times New Roman"/>
          <w:szCs w:val="24"/>
        </w:rPr>
        <w:t>secondary archival databases</w:t>
      </w:r>
      <w:r w:rsidR="00D139E3" w:rsidRPr="00C73325">
        <w:rPr>
          <w:rFonts w:cs="Times New Roman"/>
          <w:szCs w:val="24"/>
        </w:rPr>
        <w:t xml:space="preserve">, </w:t>
      </w:r>
      <w:r w:rsidR="0012356E" w:rsidRPr="00C73325">
        <w:rPr>
          <w:rFonts w:cs="Times New Roman"/>
          <w:szCs w:val="24"/>
        </w:rPr>
        <w:t xml:space="preserve">and </w:t>
      </w:r>
      <w:r w:rsidR="00D139E3" w:rsidRPr="00C73325">
        <w:rPr>
          <w:rFonts w:cs="Times New Roman"/>
          <w:szCs w:val="24"/>
        </w:rPr>
        <w:t xml:space="preserve">thus future studies can improve our understanding by conducting </w:t>
      </w:r>
      <w:r w:rsidR="00015486">
        <w:rPr>
          <w:rFonts w:cs="Times New Roman"/>
          <w:szCs w:val="24"/>
        </w:rPr>
        <w:t xml:space="preserve">in-depth </w:t>
      </w:r>
      <w:r w:rsidR="00D139E3" w:rsidRPr="00C73325">
        <w:rPr>
          <w:rFonts w:cs="Times New Roman"/>
          <w:szCs w:val="24"/>
        </w:rPr>
        <w:t>face-to-face interviews and qualitative analysis</w:t>
      </w:r>
      <w:r w:rsidR="00CD1578">
        <w:rPr>
          <w:rFonts w:cs="Times New Roman"/>
          <w:szCs w:val="24"/>
        </w:rPr>
        <w:t xml:space="preserve"> of primary data</w:t>
      </w:r>
      <w:r w:rsidR="00D139E3" w:rsidRPr="00C73325">
        <w:rPr>
          <w:rFonts w:cs="Times New Roman"/>
          <w:szCs w:val="24"/>
        </w:rPr>
        <w:t xml:space="preserve"> to gain further insights relating to the drivers of dividend </w:t>
      </w:r>
      <w:r w:rsidR="00855D30" w:rsidRPr="00C73325">
        <w:rPr>
          <w:rFonts w:cs="Times New Roman"/>
          <w:szCs w:val="24"/>
        </w:rPr>
        <w:t>pay-out</w:t>
      </w:r>
      <w:r w:rsidR="00D139E3" w:rsidRPr="00C73325">
        <w:rPr>
          <w:rFonts w:cs="Times New Roman"/>
          <w:szCs w:val="24"/>
        </w:rPr>
        <w:t xml:space="preserve"> policy</w:t>
      </w:r>
      <w:r w:rsidR="00015486">
        <w:rPr>
          <w:rFonts w:cs="Times New Roman"/>
          <w:szCs w:val="24"/>
        </w:rPr>
        <w:t xml:space="preserve"> in SMEs</w:t>
      </w:r>
      <w:r w:rsidR="00D139E3" w:rsidRPr="00C73325">
        <w:rPr>
          <w:rFonts w:cs="Times New Roman"/>
          <w:szCs w:val="24"/>
        </w:rPr>
        <w:t>.</w:t>
      </w:r>
    </w:p>
    <w:p w14:paraId="317B85FC" w14:textId="4E22B512" w:rsidR="003374EB" w:rsidRDefault="003374EB" w:rsidP="003E0E40">
      <w:pPr>
        <w:spacing w:before="0" w:after="160" w:line="259" w:lineRule="auto"/>
        <w:jc w:val="left"/>
        <w:rPr>
          <w:lang w:val="en-US"/>
        </w:rPr>
      </w:pPr>
    </w:p>
    <w:p w14:paraId="24896223" w14:textId="45869016" w:rsidR="003374EB" w:rsidRDefault="003374EB" w:rsidP="003E0E40">
      <w:pPr>
        <w:spacing w:before="0" w:after="160" w:line="259" w:lineRule="auto"/>
        <w:jc w:val="left"/>
        <w:rPr>
          <w:lang w:val="en-US"/>
        </w:rPr>
      </w:pPr>
    </w:p>
    <w:p w14:paraId="14E038E4" w14:textId="298A9110" w:rsidR="003374EB" w:rsidRPr="004E754D" w:rsidRDefault="003374EB" w:rsidP="003374EB">
      <w:pPr>
        <w:spacing w:before="0" w:after="160" w:line="259" w:lineRule="auto"/>
        <w:jc w:val="left"/>
        <w:rPr>
          <w:b/>
          <w:sz w:val="20"/>
          <w:szCs w:val="20"/>
          <w:lang w:val="en-US"/>
        </w:rPr>
      </w:pPr>
      <w:r w:rsidRPr="004E754D">
        <w:rPr>
          <w:b/>
          <w:sz w:val="20"/>
          <w:szCs w:val="20"/>
          <w:lang w:val="en-US"/>
        </w:rPr>
        <w:t>Note</w:t>
      </w:r>
    </w:p>
    <w:p w14:paraId="53378B1A" w14:textId="05104046" w:rsidR="003374EB" w:rsidRPr="004E754D" w:rsidRDefault="003374EB" w:rsidP="003374EB">
      <w:pPr>
        <w:pStyle w:val="ListParagraph"/>
        <w:numPr>
          <w:ilvl w:val="0"/>
          <w:numId w:val="9"/>
        </w:numPr>
        <w:spacing w:before="0" w:after="160" w:line="259" w:lineRule="auto"/>
        <w:rPr>
          <w:sz w:val="20"/>
          <w:szCs w:val="20"/>
          <w:lang w:val="en-US"/>
        </w:rPr>
      </w:pPr>
      <w:r w:rsidRPr="004E754D">
        <w:rPr>
          <w:sz w:val="20"/>
          <w:szCs w:val="20"/>
          <w:lang w:val="en-US"/>
        </w:rPr>
        <w:t xml:space="preserve">There were </w:t>
      </w:r>
      <w:r w:rsidRPr="004E754D">
        <w:rPr>
          <w:sz w:val="20"/>
          <w:szCs w:val="20"/>
        </w:rPr>
        <w:t xml:space="preserve">1,096 Alternative Investment Market (AIM) listed firms on the London Stock Exchange as at May 2013. Approximately 430 </w:t>
      </w:r>
      <w:r w:rsidR="004E754D" w:rsidRPr="004E754D">
        <w:rPr>
          <w:sz w:val="20"/>
          <w:szCs w:val="20"/>
        </w:rPr>
        <w:t xml:space="preserve">of the firms </w:t>
      </w:r>
      <w:r w:rsidRPr="004E754D">
        <w:rPr>
          <w:sz w:val="20"/>
          <w:szCs w:val="20"/>
        </w:rPr>
        <w:t>met our sample selection criteria. However, due to the extensive nature of corporate governance, financial and dividend pay-out data coupled with the labour intensive nature of manual collection, we limited our final sample to 50 firms from 2010 to 2013 (i.e., a total of 200 firm year observations)</w:t>
      </w:r>
      <w:r w:rsidR="004E754D" w:rsidRPr="004E754D">
        <w:rPr>
          <w:sz w:val="20"/>
          <w:szCs w:val="20"/>
        </w:rPr>
        <w:t>, consisting of the top 25 (largest) and bottom 25 (smallest) firms</w:t>
      </w:r>
      <w:r w:rsidR="007156BD">
        <w:rPr>
          <w:sz w:val="20"/>
          <w:szCs w:val="20"/>
        </w:rPr>
        <w:t>,</w:t>
      </w:r>
      <w:r w:rsidR="004E754D" w:rsidRPr="004E754D">
        <w:rPr>
          <w:sz w:val="20"/>
          <w:szCs w:val="20"/>
        </w:rPr>
        <w:t xml:space="preserve"> ranked by market capitalisation</w:t>
      </w:r>
      <w:r w:rsidRPr="004E754D">
        <w:rPr>
          <w:sz w:val="20"/>
          <w:szCs w:val="20"/>
        </w:rPr>
        <w:t>.</w:t>
      </w:r>
    </w:p>
    <w:p w14:paraId="2414C57F" w14:textId="77777777" w:rsidR="00361278" w:rsidRPr="003E0E40" w:rsidRDefault="00D3307A" w:rsidP="003E0E40">
      <w:pPr>
        <w:spacing w:before="0" w:after="160" w:line="259" w:lineRule="auto"/>
        <w:jc w:val="left"/>
        <w:rPr>
          <w:rFonts w:cs="Times New Roman"/>
          <w:b/>
          <w:sz w:val="22"/>
        </w:rPr>
      </w:pPr>
      <w:r w:rsidRPr="003374EB">
        <w:rPr>
          <w:lang w:val="en-US"/>
        </w:rPr>
        <w:br w:type="page"/>
      </w:r>
      <w:r w:rsidR="00361278" w:rsidRPr="003E0E40">
        <w:rPr>
          <w:rFonts w:cs="Times New Roman"/>
          <w:b/>
          <w:sz w:val="22"/>
        </w:rPr>
        <w:lastRenderedPageBreak/>
        <w:t>Reference</w:t>
      </w:r>
    </w:p>
    <w:p w14:paraId="21BCF6CB" w14:textId="15536B50" w:rsidR="008F51C8" w:rsidRPr="00C73325" w:rsidRDefault="008F51C8" w:rsidP="00FB1414">
      <w:pPr>
        <w:shd w:val="clear" w:color="auto" w:fill="FFFFFF"/>
        <w:spacing w:before="0" w:after="0"/>
        <w:ind w:left="284" w:hanging="284"/>
        <w:rPr>
          <w:rFonts w:eastAsia="Times New Roman" w:cs="Times New Roman"/>
          <w:sz w:val="22"/>
        </w:rPr>
      </w:pPr>
      <w:r w:rsidRPr="00C73325">
        <w:rPr>
          <w:rFonts w:cs="Times New Roman"/>
          <w:sz w:val="22"/>
        </w:rPr>
        <w:t xml:space="preserve">Abor, J., &amp; </w:t>
      </w:r>
      <w:proofErr w:type="spellStart"/>
      <w:r w:rsidRPr="00C73325">
        <w:rPr>
          <w:rFonts w:cs="Times New Roman"/>
          <w:sz w:val="22"/>
        </w:rPr>
        <w:t>Fiador</w:t>
      </w:r>
      <w:proofErr w:type="spellEnd"/>
      <w:r w:rsidRPr="00C73325">
        <w:rPr>
          <w:rFonts w:cs="Times New Roman"/>
          <w:sz w:val="22"/>
        </w:rPr>
        <w:t xml:space="preserve">, V. (2013). Does corporate governance explain dividend policy in sub-Saharan Africa? </w:t>
      </w:r>
      <w:r w:rsidRPr="00C73325">
        <w:rPr>
          <w:rFonts w:cs="Times New Roman"/>
          <w:i/>
          <w:sz w:val="22"/>
        </w:rPr>
        <w:t>International Journal of Law and Management, 55</w:t>
      </w:r>
      <w:r w:rsidRPr="00C73325">
        <w:rPr>
          <w:rFonts w:cs="Times New Roman"/>
          <w:sz w:val="22"/>
        </w:rPr>
        <w:t>(3), 201-225.</w:t>
      </w:r>
    </w:p>
    <w:p w14:paraId="69548A42" w14:textId="2D619D02" w:rsidR="008F51C8" w:rsidRPr="00C73325" w:rsidRDefault="008F51C8" w:rsidP="00FB1414">
      <w:pPr>
        <w:spacing w:before="0" w:after="0"/>
        <w:ind w:left="284" w:hanging="284"/>
        <w:rPr>
          <w:rFonts w:cs="Times New Roman"/>
          <w:bCs/>
          <w:sz w:val="22"/>
        </w:rPr>
      </w:pPr>
      <w:proofErr w:type="spellStart"/>
      <w:r w:rsidRPr="00AD70E6">
        <w:rPr>
          <w:rFonts w:cs="Times New Roman"/>
          <w:bCs/>
          <w:sz w:val="22"/>
        </w:rPr>
        <w:t>Adil</w:t>
      </w:r>
      <w:proofErr w:type="spellEnd"/>
      <w:r w:rsidRPr="00AD70E6">
        <w:rPr>
          <w:rFonts w:cs="Times New Roman"/>
          <w:bCs/>
          <w:sz w:val="22"/>
        </w:rPr>
        <w:t xml:space="preserve">, C., Zafar, N., &amp; </w:t>
      </w:r>
      <w:proofErr w:type="spellStart"/>
      <w:r w:rsidRPr="00AD70E6">
        <w:rPr>
          <w:rFonts w:cs="Times New Roman"/>
          <w:bCs/>
          <w:sz w:val="22"/>
        </w:rPr>
        <w:t>Yaseen</w:t>
      </w:r>
      <w:proofErr w:type="spellEnd"/>
      <w:r w:rsidRPr="00AD70E6">
        <w:rPr>
          <w:rFonts w:cs="Times New Roman"/>
          <w:bCs/>
          <w:sz w:val="22"/>
        </w:rPr>
        <w:t xml:space="preserve">, N. (2011). </w:t>
      </w:r>
      <w:r w:rsidRPr="00C73325">
        <w:rPr>
          <w:rFonts w:cs="Times New Roman"/>
          <w:bCs/>
          <w:sz w:val="22"/>
        </w:rPr>
        <w:t xml:space="preserve">Empirical </w:t>
      </w:r>
      <w:r w:rsidR="003B2043" w:rsidRPr="00C73325">
        <w:rPr>
          <w:rFonts w:cs="Times New Roman"/>
          <w:bCs/>
          <w:sz w:val="22"/>
        </w:rPr>
        <w:t xml:space="preserve">analysis of determinants of dividend </w:t>
      </w:r>
      <w:r w:rsidR="009966D6" w:rsidRPr="00C73325">
        <w:rPr>
          <w:rFonts w:cs="Times New Roman"/>
          <w:bCs/>
          <w:sz w:val="22"/>
        </w:rPr>
        <w:t>pay-out</w:t>
      </w:r>
      <w:r w:rsidRPr="00C73325">
        <w:rPr>
          <w:rFonts w:cs="Times New Roman"/>
          <w:bCs/>
          <w:sz w:val="22"/>
        </w:rPr>
        <w:t xml:space="preserve">: Profitability and </w:t>
      </w:r>
      <w:r w:rsidR="003B2043" w:rsidRPr="00C73325">
        <w:rPr>
          <w:rFonts w:cs="Times New Roman"/>
          <w:bCs/>
          <w:sz w:val="22"/>
        </w:rPr>
        <w:t>liquidi</w:t>
      </w:r>
      <w:r w:rsidRPr="00C73325">
        <w:rPr>
          <w:rFonts w:cs="Times New Roman"/>
          <w:bCs/>
          <w:sz w:val="22"/>
        </w:rPr>
        <w:t xml:space="preserve">ty. </w:t>
      </w:r>
      <w:r w:rsidRPr="00C73325">
        <w:rPr>
          <w:rFonts w:cs="Times New Roman"/>
          <w:bCs/>
          <w:i/>
          <w:sz w:val="22"/>
        </w:rPr>
        <w:t>Interdisciplinary Journal of Contemporary Research in Business</w:t>
      </w:r>
      <w:r w:rsidRPr="00C73325">
        <w:rPr>
          <w:rFonts w:cs="Times New Roman"/>
          <w:bCs/>
          <w:sz w:val="22"/>
        </w:rPr>
        <w:t xml:space="preserve">, </w:t>
      </w:r>
      <w:r w:rsidRPr="00C73325">
        <w:rPr>
          <w:rFonts w:cs="Times New Roman"/>
          <w:bCs/>
          <w:i/>
          <w:sz w:val="22"/>
        </w:rPr>
        <w:t>3</w:t>
      </w:r>
      <w:r w:rsidRPr="00C73325">
        <w:rPr>
          <w:rFonts w:cs="Times New Roman"/>
          <w:bCs/>
          <w:sz w:val="22"/>
        </w:rPr>
        <w:t>(1), 289-300.</w:t>
      </w:r>
    </w:p>
    <w:p w14:paraId="6B48EEE0" w14:textId="0B26C555" w:rsidR="008F51C8" w:rsidRPr="00C73325" w:rsidRDefault="008F51C8" w:rsidP="00FB1414">
      <w:pPr>
        <w:spacing w:before="0" w:after="0"/>
        <w:ind w:left="284" w:hanging="284"/>
        <w:rPr>
          <w:rFonts w:cs="Times New Roman"/>
          <w:sz w:val="22"/>
        </w:rPr>
      </w:pPr>
      <w:proofErr w:type="spellStart"/>
      <w:r w:rsidRPr="00C73325">
        <w:rPr>
          <w:rFonts w:cs="Times New Roman"/>
          <w:sz w:val="22"/>
        </w:rPr>
        <w:t>Afza</w:t>
      </w:r>
      <w:proofErr w:type="spellEnd"/>
      <w:r w:rsidRPr="00C73325">
        <w:rPr>
          <w:rFonts w:cs="Times New Roman"/>
          <w:sz w:val="22"/>
        </w:rPr>
        <w:t xml:space="preserve">, T., &amp; Mirza, H.H. (2011). Do mature companies pay more dividends? Evidence from Pakistani stock market. </w:t>
      </w:r>
      <w:r w:rsidRPr="00C73325">
        <w:rPr>
          <w:rFonts w:cs="Times New Roman"/>
          <w:i/>
          <w:sz w:val="22"/>
        </w:rPr>
        <w:t>Mediterranean Journal of Social Sciences, 2</w:t>
      </w:r>
      <w:r w:rsidRPr="00C73325">
        <w:rPr>
          <w:rFonts w:cs="Times New Roman"/>
          <w:sz w:val="22"/>
        </w:rPr>
        <w:t>(2)</w:t>
      </w:r>
      <w:r w:rsidR="002E1256" w:rsidRPr="00C73325">
        <w:rPr>
          <w:rFonts w:cs="Times New Roman"/>
          <w:sz w:val="22"/>
        </w:rPr>
        <w:t>,</w:t>
      </w:r>
      <w:r w:rsidRPr="00C73325">
        <w:rPr>
          <w:rFonts w:cs="Times New Roman"/>
          <w:sz w:val="22"/>
        </w:rPr>
        <w:t xml:space="preserve"> 152-161.</w:t>
      </w:r>
    </w:p>
    <w:p w14:paraId="6800EC9A" w14:textId="77777777" w:rsidR="008F51C8" w:rsidRPr="00C73325" w:rsidRDefault="008F51C8" w:rsidP="00FB1414">
      <w:pPr>
        <w:shd w:val="clear" w:color="auto" w:fill="FFFFFF"/>
        <w:spacing w:before="0" w:after="0"/>
        <w:ind w:left="284" w:hanging="284"/>
        <w:rPr>
          <w:rFonts w:cs="Times New Roman"/>
          <w:sz w:val="22"/>
        </w:rPr>
      </w:pPr>
      <w:proofErr w:type="spellStart"/>
      <w:r w:rsidRPr="00C73325">
        <w:rPr>
          <w:rFonts w:cs="Times New Roman"/>
          <w:sz w:val="22"/>
        </w:rPr>
        <w:t>Aivazian</w:t>
      </w:r>
      <w:proofErr w:type="spellEnd"/>
      <w:r w:rsidRPr="00C73325">
        <w:rPr>
          <w:rFonts w:cs="Times New Roman"/>
          <w:sz w:val="22"/>
        </w:rPr>
        <w:t xml:space="preserve">, V., Booth, L., &amp; Cleary, S. (2003). Do emerging market firms follow different dividend policies from U.S. firms? </w:t>
      </w:r>
      <w:r w:rsidRPr="00C73325">
        <w:rPr>
          <w:rFonts w:cs="Times New Roman"/>
          <w:i/>
          <w:sz w:val="22"/>
        </w:rPr>
        <w:t>Journal of Financial Research</w:t>
      </w:r>
      <w:r w:rsidRPr="00C73325">
        <w:rPr>
          <w:rFonts w:cs="Times New Roman"/>
          <w:sz w:val="22"/>
        </w:rPr>
        <w:t xml:space="preserve">, </w:t>
      </w:r>
      <w:r w:rsidRPr="00C73325">
        <w:rPr>
          <w:rFonts w:cs="Times New Roman"/>
          <w:i/>
          <w:sz w:val="22"/>
        </w:rPr>
        <w:t>26</w:t>
      </w:r>
      <w:r w:rsidRPr="00C73325">
        <w:rPr>
          <w:rFonts w:cs="Times New Roman"/>
          <w:sz w:val="22"/>
        </w:rPr>
        <w:t>(3), 371-387.</w:t>
      </w:r>
    </w:p>
    <w:p w14:paraId="6AFEBD53" w14:textId="4FBD32A7" w:rsidR="00C91778" w:rsidRPr="00C73325" w:rsidRDefault="00C91778" w:rsidP="00C91778">
      <w:pPr>
        <w:spacing w:before="0" w:after="0"/>
        <w:ind w:left="284" w:hanging="284"/>
        <w:rPr>
          <w:rFonts w:cs="Times New Roman"/>
          <w:sz w:val="22"/>
        </w:rPr>
      </w:pPr>
      <w:r w:rsidRPr="00C73325">
        <w:rPr>
          <w:rFonts w:cs="Times New Roman"/>
          <w:sz w:val="22"/>
        </w:rPr>
        <w:t xml:space="preserve">Al-Bassam, W.M., Ntim, C.G., </w:t>
      </w:r>
      <w:proofErr w:type="spellStart"/>
      <w:r w:rsidRPr="00C73325">
        <w:rPr>
          <w:rFonts w:cs="Times New Roman"/>
          <w:sz w:val="22"/>
        </w:rPr>
        <w:t>Opong</w:t>
      </w:r>
      <w:proofErr w:type="spellEnd"/>
      <w:r w:rsidRPr="00C73325">
        <w:rPr>
          <w:rFonts w:cs="Times New Roman"/>
          <w:sz w:val="22"/>
        </w:rPr>
        <w:t xml:space="preserve">, K.K., &amp; Downs, Y. (2015). Corporate boards and ownership structure as antecedents of corporate governance disclosure in Saudi Arabian publicly listed corporations. </w:t>
      </w:r>
      <w:r w:rsidRPr="00C73325">
        <w:rPr>
          <w:rFonts w:cs="Times New Roman"/>
          <w:i/>
          <w:sz w:val="22"/>
        </w:rPr>
        <w:t>Business &amp; Society</w:t>
      </w:r>
      <w:r w:rsidRPr="00C73325">
        <w:rPr>
          <w:rFonts w:cs="Times New Roman"/>
          <w:sz w:val="22"/>
        </w:rPr>
        <w:t>, Forthcoming.</w:t>
      </w:r>
    </w:p>
    <w:p w14:paraId="0681B913" w14:textId="59C958BA" w:rsidR="008F51C8" w:rsidRPr="00C73325" w:rsidRDefault="008F51C8" w:rsidP="00FB1414">
      <w:pPr>
        <w:spacing w:before="0" w:after="0"/>
        <w:ind w:left="284" w:hanging="284"/>
        <w:rPr>
          <w:rFonts w:cs="Times New Roman"/>
          <w:sz w:val="22"/>
        </w:rPr>
      </w:pPr>
      <w:r w:rsidRPr="00C73325">
        <w:rPr>
          <w:rFonts w:cs="Times New Roman"/>
          <w:sz w:val="22"/>
        </w:rPr>
        <w:t>Al-</w:t>
      </w:r>
      <w:proofErr w:type="spellStart"/>
      <w:r w:rsidRPr="00C73325">
        <w:rPr>
          <w:rFonts w:cs="Times New Roman"/>
          <w:sz w:val="22"/>
        </w:rPr>
        <w:t>Kuwari</w:t>
      </w:r>
      <w:proofErr w:type="spellEnd"/>
      <w:r w:rsidRPr="00C73325">
        <w:rPr>
          <w:rFonts w:cs="Times New Roman"/>
          <w:sz w:val="22"/>
        </w:rPr>
        <w:t xml:space="preserve">, D. (2009). Determinants of the </w:t>
      </w:r>
      <w:r w:rsidR="003B2043" w:rsidRPr="00C73325">
        <w:rPr>
          <w:rFonts w:cs="Times New Roman"/>
          <w:sz w:val="22"/>
        </w:rPr>
        <w:t>dividend policy in emerging stock exchanges</w:t>
      </w:r>
      <w:r w:rsidRPr="00C73325">
        <w:rPr>
          <w:rFonts w:cs="Times New Roman"/>
          <w:sz w:val="22"/>
        </w:rPr>
        <w:t xml:space="preserve">: The </w:t>
      </w:r>
      <w:r w:rsidR="003B2043" w:rsidRPr="00C73325">
        <w:rPr>
          <w:rFonts w:cs="Times New Roman"/>
          <w:sz w:val="22"/>
        </w:rPr>
        <w:t>case</w:t>
      </w:r>
      <w:r w:rsidRPr="00C73325">
        <w:rPr>
          <w:rFonts w:cs="Times New Roman"/>
          <w:sz w:val="22"/>
        </w:rPr>
        <w:t xml:space="preserve"> of GCC </w:t>
      </w:r>
      <w:r w:rsidR="003B2043" w:rsidRPr="00C73325">
        <w:rPr>
          <w:rFonts w:cs="Times New Roman"/>
          <w:sz w:val="22"/>
        </w:rPr>
        <w:t>coun</w:t>
      </w:r>
      <w:r w:rsidRPr="00C73325">
        <w:rPr>
          <w:rFonts w:cs="Times New Roman"/>
          <w:sz w:val="22"/>
        </w:rPr>
        <w:t xml:space="preserve">tries. </w:t>
      </w:r>
      <w:r w:rsidRPr="00C73325">
        <w:rPr>
          <w:rFonts w:cs="Times New Roman"/>
          <w:i/>
          <w:sz w:val="22"/>
        </w:rPr>
        <w:t>Global Economy &amp; Finance Journal,</w:t>
      </w:r>
      <w:r w:rsidRPr="00C73325">
        <w:rPr>
          <w:rFonts w:cs="Times New Roman"/>
          <w:sz w:val="22"/>
        </w:rPr>
        <w:t xml:space="preserve"> </w:t>
      </w:r>
      <w:r w:rsidRPr="00C73325">
        <w:rPr>
          <w:rFonts w:cs="Times New Roman"/>
          <w:i/>
          <w:sz w:val="22"/>
        </w:rPr>
        <w:t>2</w:t>
      </w:r>
      <w:r w:rsidRPr="00C73325">
        <w:rPr>
          <w:rFonts w:cs="Times New Roman"/>
          <w:sz w:val="22"/>
        </w:rPr>
        <w:t>(2), 38-63.</w:t>
      </w:r>
    </w:p>
    <w:p w14:paraId="39A5BB4F" w14:textId="00283796" w:rsidR="008F51C8" w:rsidRPr="00C73325" w:rsidRDefault="008F51C8" w:rsidP="00FB1414">
      <w:pPr>
        <w:spacing w:before="0" w:after="0"/>
        <w:ind w:left="284" w:hanging="284"/>
        <w:rPr>
          <w:rFonts w:cs="Times New Roman"/>
          <w:bCs/>
          <w:sz w:val="22"/>
        </w:rPr>
      </w:pPr>
      <w:r w:rsidRPr="00C73325">
        <w:rPr>
          <w:rFonts w:eastAsia="Times New Roman" w:cs="Times New Roman"/>
          <w:sz w:val="22"/>
        </w:rPr>
        <w:t>Al-</w:t>
      </w:r>
      <w:proofErr w:type="spellStart"/>
      <w:r w:rsidRPr="00C73325">
        <w:rPr>
          <w:rFonts w:eastAsia="Times New Roman" w:cs="Times New Roman"/>
          <w:sz w:val="22"/>
        </w:rPr>
        <w:t>Kuwari</w:t>
      </w:r>
      <w:proofErr w:type="spellEnd"/>
      <w:r w:rsidRPr="00C73325">
        <w:rPr>
          <w:rFonts w:eastAsia="Times New Roman" w:cs="Times New Roman"/>
          <w:sz w:val="22"/>
        </w:rPr>
        <w:t xml:space="preserve">, D. (2010). To pay or not to pay: Using emerging panel data to identify factors influencing corporate dividend policy pay out decisions. </w:t>
      </w:r>
      <w:r w:rsidRPr="00C73325">
        <w:rPr>
          <w:rFonts w:eastAsia="Times New Roman" w:cs="Times New Roman"/>
          <w:i/>
          <w:sz w:val="22"/>
        </w:rPr>
        <w:t>International Research Journal of Finance and Economics</w:t>
      </w:r>
      <w:r w:rsidRPr="00C73325">
        <w:rPr>
          <w:rFonts w:eastAsia="Times New Roman" w:cs="Times New Roman"/>
          <w:sz w:val="22"/>
        </w:rPr>
        <w:t>,</w:t>
      </w:r>
      <w:r w:rsidR="00957C15" w:rsidRPr="00C73325">
        <w:rPr>
          <w:rFonts w:eastAsia="Times New Roman" w:cs="Times New Roman"/>
          <w:sz w:val="22"/>
        </w:rPr>
        <w:t xml:space="preserve"> </w:t>
      </w:r>
      <w:r w:rsidRPr="00C73325">
        <w:rPr>
          <w:rFonts w:eastAsia="Times New Roman" w:cs="Times New Roman"/>
          <w:i/>
          <w:sz w:val="22"/>
        </w:rPr>
        <w:t>42</w:t>
      </w:r>
      <w:r w:rsidR="00957C15" w:rsidRPr="00C73325">
        <w:rPr>
          <w:rFonts w:eastAsia="Times New Roman" w:cs="Times New Roman"/>
          <w:sz w:val="22"/>
        </w:rPr>
        <w:t>,</w:t>
      </w:r>
      <w:r w:rsidRPr="00C73325">
        <w:rPr>
          <w:rFonts w:eastAsia="Times New Roman" w:cs="Times New Roman"/>
          <w:sz w:val="22"/>
        </w:rPr>
        <w:t xml:space="preserve"> 19-36.</w:t>
      </w:r>
    </w:p>
    <w:p w14:paraId="260FA263" w14:textId="18A2B1A9" w:rsidR="008F51C8" w:rsidRPr="00C73325" w:rsidRDefault="008F51C8" w:rsidP="00FB1414">
      <w:pPr>
        <w:spacing w:before="0" w:after="0"/>
        <w:ind w:left="284" w:hanging="284"/>
        <w:rPr>
          <w:rFonts w:eastAsia="Times New Roman" w:cs="Times New Roman"/>
          <w:sz w:val="22"/>
          <w:shd w:val="clear" w:color="auto" w:fill="FFFFFF"/>
        </w:rPr>
      </w:pPr>
      <w:r w:rsidRPr="00C73325">
        <w:rPr>
          <w:rFonts w:cs="Times New Roman"/>
          <w:sz w:val="22"/>
          <w:lang w:val="en-US"/>
        </w:rPr>
        <w:t>Al-</w:t>
      </w:r>
      <w:proofErr w:type="spellStart"/>
      <w:r w:rsidRPr="00C73325">
        <w:rPr>
          <w:rFonts w:cs="Times New Roman"/>
          <w:sz w:val="22"/>
          <w:lang w:val="en-US"/>
        </w:rPr>
        <w:t>Malkawi</w:t>
      </w:r>
      <w:proofErr w:type="spellEnd"/>
      <w:r w:rsidRPr="00C73325">
        <w:rPr>
          <w:rFonts w:cs="Times New Roman"/>
          <w:sz w:val="22"/>
          <w:lang w:val="en-US"/>
        </w:rPr>
        <w:t>, H</w:t>
      </w:r>
      <w:r w:rsidR="006F28CC" w:rsidRPr="00C73325">
        <w:rPr>
          <w:rFonts w:cs="Times New Roman"/>
          <w:sz w:val="22"/>
          <w:lang w:val="en-US"/>
        </w:rPr>
        <w:t>.</w:t>
      </w:r>
      <w:r w:rsidRPr="00C73325">
        <w:rPr>
          <w:rFonts w:cs="Times New Roman"/>
          <w:sz w:val="22"/>
          <w:lang w:val="en-US"/>
        </w:rPr>
        <w:t xml:space="preserve"> (2007). Determinants of </w:t>
      </w:r>
      <w:r w:rsidR="00957C15" w:rsidRPr="00C73325">
        <w:rPr>
          <w:rFonts w:cs="Times New Roman"/>
          <w:sz w:val="22"/>
          <w:lang w:val="en-US"/>
        </w:rPr>
        <w:t>corporate dividend policy in Jordan: An application</w:t>
      </w:r>
      <w:r w:rsidRPr="00C73325">
        <w:rPr>
          <w:rFonts w:cs="Times New Roman"/>
          <w:sz w:val="22"/>
          <w:lang w:val="en-US"/>
        </w:rPr>
        <w:t xml:space="preserve"> of the Tobit </w:t>
      </w:r>
      <w:r w:rsidR="00957C15" w:rsidRPr="00C73325">
        <w:rPr>
          <w:rFonts w:cs="Times New Roman"/>
          <w:sz w:val="22"/>
          <w:lang w:val="en-US"/>
        </w:rPr>
        <w:t>model</w:t>
      </w:r>
      <w:r w:rsidR="006F28CC" w:rsidRPr="00C73325">
        <w:rPr>
          <w:rFonts w:cs="Times New Roman"/>
          <w:sz w:val="22"/>
          <w:lang w:val="en-US"/>
        </w:rPr>
        <w:t>.</w:t>
      </w:r>
      <w:r w:rsidRPr="00C73325">
        <w:rPr>
          <w:rFonts w:cs="Times New Roman"/>
          <w:sz w:val="22"/>
          <w:lang w:val="en-US"/>
        </w:rPr>
        <w:t xml:space="preserve"> </w:t>
      </w:r>
      <w:r w:rsidRPr="00C73325">
        <w:rPr>
          <w:rFonts w:cs="Times New Roman"/>
          <w:i/>
          <w:sz w:val="22"/>
          <w:lang w:val="en-US"/>
        </w:rPr>
        <w:t>Journal of Economic &amp; Administrative Sciences,</w:t>
      </w:r>
      <w:r w:rsidR="002E1256" w:rsidRPr="00C73325">
        <w:rPr>
          <w:rFonts w:cs="Times New Roman"/>
          <w:sz w:val="22"/>
          <w:lang w:val="en-US"/>
        </w:rPr>
        <w:t xml:space="preserve"> </w:t>
      </w:r>
      <w:r w:rsidR="002E1256" w:rsidRPr="00C73325">
        <w:rPr>
          <w:rFonts w:cs="Times New Roman"/>
          <w:i/>
          <w:sz w:val="22"/>
          <w:lang w:val="en-US"/>
        </w:rPr>
        <w:t>23</w:t>
      </w:r>
      <w:r w:rsidRPr="00C73325">
        <w:rPr>
          <w:rFonts w:cs="Times New Roman"/>
          <w:sz w:val="22"/>
          <w:lang w:val="en-US"/>
        </w:rPr>
        <w:t>(2), 44-70.</w:t>
      </w:r>
    </w:p>
    <w:p w14:paraId="40D57DE4" w14:textId="148FBF09" w:rsidR="008F51C8" w:rsidRPr="00C73325" w:rsidRDefault="008F51C8" w:rsidP="00FB1414">
      <w:pPr>
        <w:spacing w:before="0" w:after="0"/>
        <w:ind w:left="284" w:hanging="284"/>
        <w:rPr>
          <w:rFonts w:eastAsia="Times New Roman" w:cs="Times New Roman"/>
          <w:sz w:val="22"/>
          <w:shd w:val="clear" w:color="auto" w:fill="FFFFFF"/>
        </w:rPr>
      </w:pPr>
      <w:r w:rsidRPr="00C73325">
        <w:rPr>
          <w:rFonts w:eastAsia="Times New Roman" w:cs="Times New Roman"/>
          <w:sz w:val="22"/>
          <w:shd w:val="clear" w:color="auto" w:fill="FFFFFF"/>
        </w:rPr>
        <w:t>Al-</w:t>
      </w:r>
      <w:proofErr w:type="spellStart"/>
      <w:r w:rsidRPr="00C73325">
        <w:rPr>
          <w:rFonts w:eastAsia="Times New Roman" w:cs="Times New Roman"/>
          <w:sz w:val="22"/>
          <w:shd w:val="clear" w:color="auto" w:fill="FFFFFF"/>
        </w:rPr>
        <w:t>Malkawi</w:t>
      </w:r>
      <w:proofErr w:type="spellEnd"/>
      <w:r w:rsidRPr="00C73325">
        <w:rPr>
          <w:rFonts w:eastAsia="Times New Roman" w:cs="Times New Roman"/>
          <w:sz w:val="22"/>
          <w:shd w:val="clear" w:color="auto" w:fill="FFFFFF"/>
        </w:rPr>
        <w:t xml:space="preserve">, H. (2008). Factors influencing corporate dividend decision: </w:t>
      </w:r>
      <w:r w:rsidR="00957C15" w:rsidRPr="00C73325">
        <w:rPr>
          <w:rFonts w:eastAsia="Times New Roman" w:cs="Times New Roman"/>
          <w:sz w:val="22"/>
          <w:shd w:val="clear" w:color="auto" w:fill="FFFFFF"/>
        </w:rPr>
        <w:t>E</w:t>
      </w:r>
      <w:r w:rsidRPr="00C73325">
        <w:rPr>
          <w:rFonts w:eastAsia="Times New Roman" w:cs="Times New Roman"/>
          <w:sz w:val="22"/>
          <w:shd w:val="clear" w:color="auto" w:fill="FFFFFF"/>
        </w:rPr>
        <w:t>vidence from Jordanian panel data. </w:t>
      </w:r>
      <w:r w:rsidRPr="00C73325">
        <w:rPr>
          <w:rFonts w:eastAsia="Times New Roman" w:cs="Times New Roman"/>
          <w:i/>
          <w:iCs/>
          <w:sz w:val="22"/>
          <w:shd w:val="clear" w:color="auto" w:fill="FFFFFF"/>
        </w:rPr>
        <w:t>International Journal of Business,</w:t>
      </w:r>
      <w:r w:rsidRPr="00C73325">
        <w:rPr>
          <w:rFonts w:eastAsia="Times New Roman" w:cs="Times New Roman"/>
          <w:sz w:val="22"/>
          <w:shd w:val="clear" w:color="auto" w:fill="FFFFFF"/>
        </w:rPr>
        <w:t> </w:t>
      </w:r>
      <w:r w:rsidRPr="00C73325">
        <w:rPr>
          <w:rFonts w:eastAsia="Times New Roman" w:cs="Times New Roman"/>
          <w:iCs/>
          <w:sz w:val="22"/>
          <w:shd w:val="clear" w:color="auto" w:fill="FFFFFF"/>
        </w:rPr>
        <w:t>13</w:t>
      </w:r>
      <w:r w:rsidRPr="00C73325">
        <w:rPr>
          <w:rFonts w:eastAsia="Times New Roman" w:cs="Times New Roman"/>
          <w:sz w:val="22"/>
          <w:shd w:val="clear" w:color="auto" w:fill="FFFFFF"/>
        </w:rPr>
        <w:t>(2), 176</w:t>
      </w:r>
      <w:r w:rsidR="008047C4" w:rsidRPr="00C73325">
        <w:rPr>
          <w:rFonts w:eastAsia="Times New Roman" w:cs="Times New Roman"/>
          <w:sz w:val="22"/>
          <w:shd w:val="clear" w:color="auto" w:fill="FFFFFF"/>
        </w:rPr>
        <w:t>-</w:t>
      </w:r>
      <w:r w:rsidRPr="00C73325">
        <w:rPr>
          <w:rFonts w:eastAsia="Times New Roman" w:cs="Times New Roman"/>
          <w:sz w:val="22"/>
          <w:shd w:val="clear" w:color="auto" w:fill="FFFFFF"/>
        </w:rPr>
        <w:t>195.</w:t>
      </w:r>
    </w:p>
    <w:p w14:paraId="3D311100" w14:textId="4C674FF5" w:rsidR="008F51C8" w:rsidRPr="00C73325" w:rsidRDefault="008F51C8" w:rsidP="00FB1414">
      <w:pPr>
        <w:spacing w:before="0" w:after="0"/>
        <w:ind w:left="284" w:hanging="284"/>
        <w:rPr>
          <w:rFonts w:cs="Times New Roman"/>
          <w:sz w:val="22"/>
        </w:rPr>
      </w:pPr>
      <w:r w:rsidRPr="00AD70E6">
        <w:rPr>
          <w:rFonts w:cs="Times New Roman"/>
          <w:sz w:val="22"/>
        </w:rPr>
        <w:t>Al-</w:t>
      </w:r>
      <w:proofErr w:type="spellStart"/>
      <w:r w:rsidRPr="00AD70E6">
        <w:rPr>
          <w:rFonts w:cs="Times New Roman"/>
          <w:sz w:val="22"/>
        </w:rPr>
        <w:t>Matari</w:t>
      </w:r>
      <w:proofErr w:type="spellEnd"/>
      <w:r w:rsidRPr="00AD70E6">
        <w:rPr>
          <w:rFonts w:cs="Times New Roman"/>
          <w:sz w:val="22"/>
        </w:rPr>
        <w:t>, Y.A., Al-</w:t>
      </w:r>
      <w:proofErr w:type="spellStart"/>
      <w:r w:rsidRPr="00AD70E6">
        <w:rPr>
          <w:rFonts w:cs="Times New Roman"/>
          <w:sz w:val="22"/>
        </w:rPr>
        <w:t>swidi</w:t>
      </w:r>
      <w:proofErr w:type="spellEnd"/>
      <w:r w:rsidRPr="00AD70E6">
        <w:rPr>
          <w:rFonts w:cs="Times New Roman"/>
          <w:sz w:val="22"/>
        </w:rPr>
        <w:t xml:space="preserve">, A. K., &amp; </w:t>
      </w:r>
      <w:proofErr w:type="spellStart"/>
      <w:r w:rsidRPr="00AD70E6">
        <w:rPr>
          <w:rFonts w:cs="Times New Roman"/>
          <w:sz w:val="22"/>
        </w:rPr>
        <w:t>Fadzil</w:t>
      </w:r>
      <w:proofErr w:type="spellEnd"/>
      <w:r w:rsidRPr="00AD70E6">
        <w:rPr>
          <w:rFonts w:cs="Times New Roman"/>
          <w:sz w:val="22"/>
        </w:rPr>
        <w:t xml:space="preserve">, F.H.M. (2012). </w:t>
      </w:r>
      <w:r w:rsidRPr="00C73325">
        <w:rPr>
          <w:rFonts w:cs="Times New Roman"/>
          <w:sz w:val="22"/>
        </w:rPr>
        <w:t xml:space="preserve">Board of </w:t>
      </w:r>
      <w:r w:rsidR="00957C15" w:rsidRPr="00C73325">
        <w:rPr>
          <w:rFonts w:cs="Times New Roman"/>
          <w:sz w:val="22"/>
        </w:rPr>
        <w:t>directors, audit committee characteristics and performance of Saudi Arabia listed companies</w:t>
      </w:r>
      <w:r w:rsidRPr="00C73325">
        <w:rPr>
          <w:rFonts w:cs="Times New Roman"/>
          <w:sz w:val="22"/>
        </w:rPr>
        <w:t xml:space="preserve">. </w:t>
      </w:r>
      <w:r w:rsidRPr="00C73325">
        <w:rPr>
          <w:rFonts w:cs="Times New Roman"/>
          <w:i/>
          <w:sz w:val="22"/>
        </w:rPr>
        <w:t>International Review of Management and Marketing</w:t>
      </w:r>
      <w:r w:rsidRPr="00C73325">
        <w:rPr>
          <w:rFonts w:cs="Times New Roman"/>
          <w:sz w:val="22"/>
        </w:rPr>
        <w:t xml:space="preserve">, </w:t>
      </w:r>
      <w:r w:rsidRPr="00C73325">
        <w:rPr>
          <w:rFonts w:cs="Times New Roman"/>
          <w:i/>
          <w:sz w:val="22"/>
        </w:rPr>
        <w:t>24</w:t>
      </w:r>
      <w:r w:rsidR="00957C15" w:rsidRPr="00C73325">
        <w:rPr>
          <w:rFonts w:cs="Times New Roman"/>
          <w:sz w:val="22"/>
        </w:rPr>
        <w:t xml:space="preserve">, </w:t>
      </w:r>
      <w:r w:rsidRPr="00C73325">
        <w:rPr>
          <w:rFonts w:cs="Times New Roman"/>
          <w:sz w:val="22"/>
        </w:rPr>
        <w:t>12</w:t>
      </w:r>
      <w:r w:rsidR="00957C15" w:rsidRPr="00C73325">
        <w:rPr>
          <w:rFonts w:cs="Times New Roman"/>
          <w:sz w:val="22"/>
        </w:rPr>
        <w:t>-</w:t>
      </w:r>
      <w:r w:rsidRPr="00C73325">
        <w:rPr>
          <w:rFonts w:cs="Times New Roman"/>
          <w:sz w:val="22"/>
        </w:rPr>
        <w:t>51.</w:t>
      </w:r>
    </w:p>
    <w:p w14:paraId="1E660C63" w14:textId="77777777" w:rsidR="008F51C8" w:rsidRPr="00C73325" w:rsidRDefault="008F51C8" w:rsidP="00FB1414">
      <w:pPr>
        <w:spacing w:before="0" w:after="0"/>
        <w:ind w:left="284" w:hanging="284"/>
        <w:rPr>
          <w:rFonts w:eastAsia="Times New Roman" w:cs="Times New Roman"/>
          <w:sz w:val="22"/>
          <w:shd w:val="clear" w:color="auto" w:fill="FFFFFF"/>
        </w:rPr>
      </w:pPr>
      <w:r w:rsidRPr="00AD70E6">
        <w:rPr>
          <w:rFonts w:eastAsia="Times New Roman" w:cs="Times New Roman"/>
          <w:sz w:val="22"/>
          <w:shd w:val="clear" w:color="auto" w:fill="FFFFFF"/>
        </w:rPr>
        <w:t>Al-</w:t>
      </w:r>
      <w:proofErr w:type="spellStart"/>
      <w:r w:rsidRPr="00AD70E6">
        <w:rPr>
          <w:rFonts w:eastAsia="Times New Roman" w:cs="Times New Roman"/>
          <w:sz w:val="22"/>
          <w:shd w:val="clear" w:color="auto" w:fill="FFFFFF"/>
        </w:rPr>
        <w:t>Najjar</w:t>
      </w:r>
      <w:proofErr w:type="spellEnd"/>
      <w:r w:rsidRPr="00AD70E6">
        <w:rPr>
          <w:rFonts w:eastAsia="Times New Roman" w:cs="Times New Roman"/>
          <w:sz w:val="22"/>
          <w:shd w:val="clear" w:color="auto" w:fill="FFFFFF"/>
        </w:rPr>
        <w:t xml:space="preserve">, B., &amp; </w:t>
      </w:r>
      <w:proofErr w:type="spellStart"/>
      <w:r w:rsidRPr="00AD70E6">
        <w:rPr>
          <w:rFonts w:eastAsia="Times New Roman" w:cs="Times New Roman"/>
          <w:sz w:val="22"/>
          <w:shd w:val="clear" w:color="auto" w:fill="FFFFFF"/>
        </w:rPr>
        <w:t>Hussainey</w:t>
      </w:r>
      <w:proofErr w:type="spellEnd"/>
      <w:r w:rsidRPr="00AD70E6">
        <w:rPr>
          <w:rFonts w:eastAsia="Times New Roman" w:cs="Times New Roman"/>
          <w:sz w:val="22"/>
          <w:shd w:val="clear" w:color="auto" w:fill="FFFFFF"/>
        </w:rPr>
        <w:t xml:space="preserve">, K. (2009). </w:t>
      </w:r>
      <w:r w:rsidRPr="00C73325">
        <w:rPr>
          <w:rFonts w:eastAsia="Times New Roman" w:cs="Times New Roman"/>
          <w:sz w:val="22"/>
          <w:shd w:val="clear" w:color="auto" w:fill="FFFFFF"/>
        </w:rPr>
        <w:t>The association between dividend pay-out and outside directorships. </w:t>
      </w:r>
      <w:r w:rsidRPr="00C73325">
        <w:rPr>
          <w:rFonts w:eastAsia="Times New Roman" w:cs="Times New Roman"/>
          <w:i/>
          <w:iCs/>
          <w:sz w:val="22"/>
          <w:shd w:val="clear" w:color="auto" w:fill="FFFFFF"/>
        </w:rPr>
        <w:t>Journal of Applied Accounting Research</w:t>
      </w:r>
      <w:r w:rsidRPr="00C73325">
        <w:rPr>
          <w:rFonts w:eastAsia="Times New Roman" w:cs="Times New Roman"/>
          <w:sz w:val="22"/>
          <w:shd w:val="clear" w:color="auto" w:fill="FFFFFF"/>
        </w:rPr>
        <w:t>, </w:t>
      </w:r>
      <w:r w:rsidRPr="00C73325">
        <w:rPr>
          <w:rFonts w:eastAsia="Times New Roman" w:cs="Times New Roman"/>
          <w:i/>
          <w:iCs/>
          <w:sz w:val="22"/>
          <w:shd w:val="clear" w:color="auto" w:fill="FFFFFF"/>
        </w:rPr>
        <w:t>10</w:t>
      </w:r>
      <w:r w:rsidRPr="00C73325">
        <w:rPr>
          <w:rFonts w:eastAsia="Times New Roman" w:cs="Times New Roman"/>
          <w:sz w:val="22"/>
          <w:shd w:val="clear" w:color="auto" w:fill="FFFFFF"/>
        </w:rPr>
        <w:t>(1), 4-19.</w:t>
      </w:r>
    </w:p>
    <w:p w14:paraId="4BF5EE35" w14:textId="5C37FAAD" w:rsidR="008F51C8" w:rsidRPr="00C73325" w:rsidRDefault="008F51C8" w:rsidP="00FB1414">
      <w:pPr>
        <w:spacing w:before="0" w:after="0"/>
        <w:ind w:left="284" w:hanging="284"/>
        <w:rPr>
          <w:rFonts w:cs="Times New Roman"/>
          <w:bCs/>
          <w:sz w:val="22"/>
        </w:rPr>
      </w:pPr>
      <w:r w:rsidRPr="00C73325">
        <w:rPr>
          <w:rFonts w:cs="Times New Roman"/>
          <w:bCs/>
          <w:sz w:val="22"/>
        </w:rPr>
        <w:t>Al-</w:t>
      </w:r>
      <w:proofErr w:type="spellStart"/>
      <w:r w:rsidRPr="00C73325">
        <w:rPr>
          <w:rFonts w:cs="Times New Roman"/>
          <w:bCs/>
          <w:sz w:val="22"/>
        </w:rPr>
        <w:t>Shubiri</w:t>
      </w:r>
      <w:proofErr w:type="spellEnd"/>
      <w:r w:rsidRPr="00C73325">
        <w:rPr>
          <w:rFonts w:cs="Times New Roman"/>
          <w:bCs/>
          <w:sz w:val="22"/>
        </w:rPr>
        <w:t xml:space="preserve">, F.N. (2011). Determinants of </w:t>
      </w:r>
      <w:r w:rsidR="00957C15" w:rsidRPr="00C73325">
        <w:rPr>
          <w:rFonts w:cs="Times New Roman"/>
          <w:bCs/>
          <w:sz w:val="22"/>
        </w:rPr>
        <w:t xml:space="preserve">changes dividend </w:t>
      </w:r>
      <w:proofErr w:type="spellStart"/>
      <w:r w:rsidR="00957C15" w:rsidRPr="00C73325">
        <w:rPr>
          <w:rFonts w:cs="Times New Roman"/>
          <w:bCs/>
          <w:sz w:val="22"/>
        </w:rPr>
        <w:t>behavior</w:t>
      </w:r>
      <w:proofErr w:type="spellEnd"/>
      <w:r w:rsidR="00957C15" w:rsidRPr="00C73325">
        <w:rPr>
          <w:rFonts w:cs="Times New Roman"/>
          <w:bCs/>
          <w:sz w:val="22"/>
        </w:rPr>
        <w:t xml:space="preserve"> policy</w:t>
      </w:r>
      <w:r w:rsidRPr="00C73325">
        <w:rPr>
          <w:rFonts w:cs="Times New Roman"/>
          <w:bCs/>
          <w:sz w:val="22"/>
        </w:rPr>
        <w:t xml:space="preserve">: Evidence from the Amman </w:t>
      </w:r>
      <w:r w:rsidR="00957C15" w:rsidRPr="00C73325">
        <w:rPr>
          <w:rFonts w:cs="Times New Roman"/>
          <w:bCs/>
          <w:sz w:val="22"/>
        </w:rPr>
        <w:t>stock exchange</w:t>
      </w:r>
      <w:r w:rsidRPr="00C73325">
        <w:rPr>
          <w:rFonts w:cs="Times New Roman"/>
          <w:bCs/>
          <w:sz w:val="22"/>
        </w:rPr>
        <w:t xml:space="preserve">. </w:t>
      </w:r>
      <w:r w:rsidRPr="00C73325">
        <w:rPr>
          <w:rFonts w:cs="Times New Roman"/>
          <w:bCs/>
          <w:i/>
          <w:sz w:val="22"/>
        </w:rPr>
        <w:t>Far East Journal of Psychology and Business, 4</w:t>
      </w:r>
      <w:r w:rsidRPr="00C73325">
        <w:rPr>
          <w:rFonts w:cs="Times New Roman"/>
          <w:bCs/>
          <w:sz w:val="22"/>
        </w:rPr>
        <w:t>(2), 1</w:t>
      </w:r>
      <w:r w:rsidR="008047C4" w:rsidRPr="00C73325">
        <w:rPr>
          <w:rFonts w:cs="Times New Roman"/>
          <w:bCs/>
          <w:sz w:val="22"/>
        </w:rPr>
        <w:t>-</w:t>
      </w:r>
      <w:r w:rsidRPr="00C73325">
        <w:rPr>
          <w:rFonts w:cs="Times New Roman"/>
          <w:bCs/>
          <w:sz w:val="22"/>
        </w:rPr>
        <w:t xml:space="preserve">15. </w:t>
      </w:r>
    </w:p>
    <w:p w14:paraId="34C04298" w14:textId="28C9AE7F" w:rsidR="008F51C8" w:rsidRPr="00C73325" w:rsidRDefault="008F51C8" w:rsidP="00FB1414">
      <w:pPr>
        <w:spacing w:before="0" w:after="0"/>
        <w:ind w:left="284" w:hanging="284"/>
        <w:rPr>
          <w:rFonts w:cs="Times New Roman"/>
          <w:sz w:val="22"/>
        </w:rPr>
      </w:pPr>
      <w:r w:rsidRPr="00AD70E6">
        <w:rPr>
          <w:rFonts w:cs="Times New Roman"/>
          <w:sz w:val="22"/>
        </w:rPr>
        <w:t>Al-</w:t>
      </w:r>
      <w:proofErr w:type="spellStart"/>
      <w:r w:rsidRPr="00AD70E6">
        <w:rPr>
          <w:rFonts w:cs="Times New Roman"/>
          <w:sz w:val="22"/>
        </w:rPr>
        <w:t>Swidi</w:t>
      </w:r>
      <w:proofErr w:type="spellEnd"/>
      <w:r w:rsidRPr="00AD70E6">
        <w:rPr>
          <w:rFonts w:cs="Times New Roman"/>
          <w:sz w:val="22"/>
        </w:rPr>
        <w:t xml:space="preserve">, A.K., </w:t>
      </w:r>
      <w:proofErr w:type="spellStart"/>
      <w:r w:rsidRPr="00AD70E6">
        <w:rPr>
          <w:rFonts w:cs="Times New Roman"/>
          <w:sz w:val="22"/>
        </w:rPr>
        <w:t>Fadzil</w:t>
      </w:r>
      <w:proofErr w:type="spellEnd"/>
      <w:r w:rsidRPr="00AD70E6">
        <w:rPr>
          <w:rFonts w:cs="Times New Roman"/>
          <w:sz w:val="22"/>
        </w:rPr>
        <w:t>, F.H., &amp; Al-</w:t>
      </w:r>
      <w:proofErr w:type="spellStart"/>
      <w:r w:rsidRPr="00AD70E6">
        <w:rPr>
          <w:rFonts w:cs="Times New Roman"/>
          <w:sz w:val="22"/>
        </w:rPr>
        <w:t>Matari</w:t>
      </w:r>
      <w:proofErr w:type="spellEnd"/>
      <w:r w:rsidRPr="00AD70E6">
        <w:rPr>
          <w:rFonts w:cs="Times New Roman"/>
          <w:sz w:val="22"/>
        </w:rPr>
        <w:t xml:space="preserve">, Y.A. (2012). </w:t>
      </w:r>
      <w:r w:rsidRPr="00C73325">
        <w:rPr>
          <w:rFonts w:cs="Times New Roman"/>
          <w:sz w:val="22"/>
        </w:rPr>
        <w:t xml:space="preserve">The </w:t>
      </w:r>
      <w:r w:rsidR="00957C15" w:rsidRPr="00C73325">
        <w:rPr>
          <w:rFonts w:cs="Times New Roman"/>
          <w:sz w:val="22"/>
        </w:rPr>
        <w:t>impact of board characteristics on firm perfo</w:t>
      </w:r>
      <w:r w:rsidRPr="00C73325">
        <w:rPr>
          <w:rFonts w:cs="Times New Roman"/>
          <w:sz w:val="22"/>
        </w:rPr>
        <w:t xml:space="preserve">rmance: Evidence from </w:t>
      </w:r>
      <w:r w:rsidR="00957C15" w:rsidRPr="00C73325">
        <w:rPr>
          <w:rFonts w:cs="Times New Roman"/>
          <w:sz w:val="22"/>
        </w:rPr>
        <w:t>nonfinancial listed compani</w:t>
      </w:r>
      <w:r w:rsidRPr="00C73325">
        <w:rPr>
          <w:rFonts w:cs="Times New Roman"/>
          <w:sz w:val="22"/>
        </w:rPr>
        <w:t xml:space="preserve">es in Kuwaiti </w:t>
      </w:r>
      <w:r w:rsidR="00957C15" w:rsidRPr="00C73325">
        <w:rPr>
          <w:rFonts w:cs="Times New Roman"/>
          <w:sz w:val="22"/>
        </w:rPr>
        <w:t>stock exchange</w:t>
      </w:r>
      <w:r w:rsidRPr="00C73325">
        <w:rPr>
          <w:rFonts w:cs="Times New Roman"/>
          <w:sz w:val="22"/>
        </w:rPr>
        <w:t xml:space="preserve">. </w:t>
      </w:r>
      <w:r w:rsidRPr="00C73325">
        <w:rPr>
          <w:rFonts w:cs="Times New Roman"/>
          <w:i/>
          <w:sz w:val="22"/>
        </w:rPr>
        <w:t>International Journal of Accounting and Financial Reporting</w:t>
      </w:r>
      <w:r w:rsidRPr="00C73325">
        <w:rPr>
          <w:rFonts w:cs="Times New Roman"/>
          <w:sz w:val="22"/>
        </w:rPr>
        <w:t xml:space="preserve">, </w:t>
      </w:r>
      <w:r w:rsidR="00D377A6" w:rsidRPr="00C73325">
        <w:rPr>
          <w:rFonts w:cs="Times New Roman"/>
          <w:i/>
          <w:sz w:val="22"/>
        </w:rPr>
        <w:t>2</w:t>
      </w:r>
      <w:r w:rsidR="00D377A6" w:rsidRPr="00C73325">
        <w:rPr>
          <w:rFonts w:cs="Times New Roman"/>
          <w:sz w:val="22"/>
        </w:rPr>
        <w:t xml:space="preserve">(2), </w:t>
      </w:r>
      <w:r w:rsidRPr="00C73325">
        <w:rPr>
          <w:rFonts w:cs="Times New Roman"/>
          <w:sz w:val="22"/>
        </w:rPr>
        <w:t>310-332.</w:t>
      </w:r>
    </w:p>
    <w:p w14:paraId="4EC784CE" w14:textId="0031069C" w:rsidR="008F51C8" w:rsidRPr="00C73325" w:rsidRDefault="008F51C8" w:rsidP="00FB1414">
      <w:pPr>
        <w:spacing w:before="0" w:after="0"/>
        <w:ind w:left="284" w:hanging="284"/>
        <w:rPr>
          <w:rFonts w:cs="Times New Roman"/>
          <w:bCs/>
          <w:sz w:val="22"/>
          <w:lang w:val="en-US"/>
        </w:rPr>
      </w:pPr>
      <w:r w:rsidRPr="00C73325">
        <w:rPr>
          <w:rFonts w:cs="Times New Roman"/>
          <w:bCs/>
          <w:sz w:val="22"/>
        </w:rPr>
        <w:t>Al-</w:t>
      </w:r>
      <w:proofErr w:type="spellStart"/>
      <w:r w:rsidRPr="00C73325">
        <w:rPr>
          <w:rFonts w:cs="Times New Roman"/>
          <w:bCs/>
          <w:sz w:val="22"/>
        </w:rPr>
        <w:t>Taleb</w:t>
      </w:r>
      <w:proofErr w:type="spellEnd"/>
      <w:r w:rsidRPr="00C73325">
        <w:rPr>
          <w:rFonts w:cs="Times New Roman"/>
          <w:bCs/>
          <w:sz w:val="22"/>
        </w:rPr>
        <w:t xml:space="preserve">, G. (2012). Measurement of </w:t>
      </w:r>
      <w:r w:rsidR="000A5F3F" w:rsidRPr="00C73325">
        <w:rPr>
          <w:rFonts w:cs="Times New Roman"/>
          <w:bCs/>
          <w:sz w:val="22"/>
        </w:rPr>
        <w:t>impact agency costs level of firms on dividend and leverage p</w:t>
      </w:r>
      <w:r w:rsidRPr="00C73325">
        <w:rPr>
          <w:rFonts w:cs="Times New Roman"/>
          <w:bCs/>
          <w:sz w:val="22"/>
        </w:rPr>
        <w:t xml:space="preserve">olicy: An </w:t>
      </w:r>
      <w:r w:rsidR="000A5F3F" w:rsidRPr="00C73325">
        <w:rPr>
          <w:rFonts w:cs="Times New Roman"/>
          <w:bCs/>
          <w:sz w:val="22"/>
        </w:rPr>
        <w:t>empirical study</w:t>
      </w:r>
      <w:r w:rsidRPr="00C73325">
        <w:rPr>
          <w:rFonts w:cs="Times New Roman"/>
          <w:bCs/>
          <w:sz w:val="22"/>
        </w:rPr>
        <w:t xml:space="preserve">. </w:t>
      </w:r>
      <w:r w:rsidRPr="00C73325">
        <w:rPr>
          <w:rFonts w:cs="Times New Roman"/>
          <w:bCs/>
          <w:i/>
          <w:sz w:val="22"/>
          <w:lang w:val="en-US"/>
        </w:rPr>
        <w:t>Interdisciplinary journal of contemporary research in business, 3</w:t>
      </w:r>
      <w:r w:rsidRPr="00C73325">
        <w:rPr>
          <w:rFonts w:cs="Times New Roman"/>
          <w:bCs/>
          <w:sz w:val="22"/>
          <w:lang w:val="en-US"/>
        </w:rPr>
        <w:t>(10), 234</w:t>
      </w:r>
      <w:r w:rsidR="008047C4" w:rsidRPr="00C73325">
        <w:rPr>
          <w:rFonts w:cs="Times New Roman"/>
          <w:bCs/>
          <w:sz w:val="22"/>
          <w:lang w:val="en-US"/>
        </w:rPr>
        <w:t>-</w:t>
      </w:r>
      <w:r w:rsidRPr="00C73325">
        <w:rPr>
          <w:rFonts w:cs="Times New Roman"/>
          <w:bCs/>
          <w:sz w:val="22"/>
          <w:lang w:val="en-US"/>
        </w:rPr>
        <w:t>243.</w:t>
      </w:r>
    </w:p>
    <w:p w14:paraId="573EA688" w14:textId="0B9041DA" w:rsidR="008F51C8" w:rsidRPr="00C73325" w:rsidRDefault="008F51C8" w:rsidP="00FB1414">
      <w:pPr>
        <w:shd w:val="clear" w:color="auto" w:fill="FFFFFF"/>
        <w:spacing w:before="0" w:after="0"/>
        <w:ind w:left="284" w:hanging="284"/>
        <w:rPr>
          <w:rFonts w:eastAsia="Times New Roman" w:cs="Times New Roman"/>
          <w:sz w:val="22"/>
        </w:rPr>
      </w:pPr>
      <w:r w:rsidRPr="00AD70E6">
        <w:rPr>
          <w:rFonts w:eastAsia="Times New Roman" w:cs="Times New Roman"/>
          <w:sz w:val="22"/>
          <w:lang w:val="it-IT"/>
        </w:rPr>
        <w:t>Al-</w:t>
      </w:r>
      <w:proofErr w:type="spellStart"/>
      <w:r w:rsidRPr="00AD70E6">
        <w:rPr>
          <w:rFonts w:eastAsia="Times New Roman" w:cs="Times New Roman"/>
          <w:sz w:val="22"/>
          <w:lang w:val="it-IT"/>
        </w:rPr>
        <w:t>Taleb</w:t>
      </w:r>
      <w:proofErr w:type="spellEnd"/>
      <w:r w:rsidRPr="00AD70E6">
        <w:rPr>
          <w:rFonts w:eastAsia="Times New Roman" w:cs="Times New Roman"/>
          <w:sz w:val="22"/>
          <w:lang w:val="it-IT"/>
        </w:rPr>
        <w:t>, G., Al-</w:t>
      </w:r>
      <w:proofErr w:type="spellStart"/>
      <w:r w:rsidRPr="00AD70E6">
        <w:rPr>
          <w:rFonts w:eastAsia="Times New Roman" w:cs="Times New Roman"/>
          <w:sz w:val="22"/>
          <w:lang w:val="it-IT"/>
        </w:rPr>
        <w:t>Shubiri</w:t>
      </w:r>
      <w:proofErr w:type="spellEnd"/>
      <w:r w:rsidRPr="00AD70E6">
        <w:rPr>
          <w:rFonts w:eastAsia="Times New Roman" w:cs="Times New Roman"/>
          <w:sz w:val="22"/>
          <w:lang w:val="it-IT"/>
        </w:rPr>
        <w:t>, F.N., &amp; Al-</w:t>
      </w:r>
      <w:proofErr w:type="spellStart"/>
      <w:r w:rsidRPr="00AD70E6">
        <w:rPr>
          <w:rFonts w:eastAsia="Times New Roman" w:cs="Times New Roman"/>
          <w:sz w:val="22"/>
          <w:lang w:val="it-IT"/>
        </w:rPr>
        <w:t>Zoued</w:t>
      </w:r>
      <w:proofErr w:type="spellEnd"/>
      <w:r w:rsidRPr="00AD70E6">
        <w:rPr>
          <w:rFonts w:eastAsia="Times New Roman" w:cs="Times New Roman"/>
          <w:sz w:val="22"/>
          <w:lang w:val="it-IT"/>
        </w:rPr>
        <w:t xml:space="preserve">. </w:t>
      </w:r>
      <w:r w:rsidRPr="00C73325">
        <w:rPr>
          <w:rFonts w:eastAsia="Times New Roman" w:cs="Times New Roman"/>
          <w:sz w:val="22"/>
        </w:rPr>
        <w:t xml:space="preserve">(2012). </w:t>
      </w:r>
      <w:proofErr w:type="gramStart"/>
      <w:r w:rsidRPr="00C73325">
        <w:rPr>
          <w:rFonts w:eastAsia="Times New Roman" w:cs="Times New Roman"/>
          <w:sz w:val="22"/>
        </w:rPr>
        <w:t>The</w:t>
      </w:r>
      <w:proofErr w:type="gramEnd"/>
      <w:r w:rsidRPr="00C73325">
        <w:rPr>
          <w:rFonts w:eastAsia="Times New Roman" w:cs="Times New Roman"/>
          <w:sz w:val="22"/>
        </w:rPr>
        <w:t xml:space="preserve"> </w:t>
      </w:r>
      <w:r w:rsidR="000A5F3F" w:rsidRPr="00C73325">
        <w:rPr>
          <w:rFonts w:eastAsia="Times New Roman" w:cs="Times New Roman"/>
          <w:sz w:val="22"/>
        </w:rPr>
        <w:t>relationship between ownership structure and dividend policy</w:t>
      </w:r>
      <w:r w:rsidRPr="00C73325">
        <w:rPr>
          <w:rFonts w:eastAsia="Times New Roman" w:cs="Times New Roman"/>
          <w:sz w:val="22"/>
        </w:rPr>
        <w:t xml:space="preserve">: An </w:t>
      </w:r>
      <w:r w:rsidR="000A5F3F" w:rsidRPr="00C73325">
        <w:rPr>
          <w:rFonts w:eastAsia="Times New Roman" w:cs="Times New Roman"/>
          <w:sz w:val="22"/>
        </w:rPr>
        <w:t>empirical investigation</w:t>
      </w:r>
      <w:r w:rsidRPr="00C73325">
        <w:rPr>
          <w:rFonts w:eastAsia="Times New Roman" w:cs="Times New Roman"/>
          <w:sz w:val="22"/>
        </w:rPr>
        <w:t xml:space="preserve">. </w:t>
      </w:r>
      <w:r w:rsidRPr="00C73325">
        <w:rPr>
          <w:rFonts w:eastAsia="Times New Roman" w:cs="Times New Roman"/>
          <w:i/>
          <w:sz w:val="22"/>
        </w:rPr>
        <w:t xml:space="preserve">Review of International Comparative Management, </w:t>
      </w:r>
      <w:r w:rsidR="000A5F3F" w:rsidRPr="00C73325">
        <w:rPr>
          <w:rFonts w:eastAsia="Times New Roman" w:cs="Times New Roman"/>
          <w:i/>
          <w:sz w:val="22"/>
        </w:rPr>
        <w:t>13</w:t>
      </w:r>
      <w:r w:rsidRPr="00C73325">
        <w:rPr>
          <w:rFonts w:eastAsia="Times New Roman" w:cs="Times New Roman"/>
          <w:sz w:val="22"/>
        </w:rPr>
        <w:t>(4), 644- 657.</w:t>
      </w:r>
    </w:p>
    <w:p w14:paraId="19878520" w14:textId="77777777" w:rsidR="008F51C8" w:rsidRPr="00C73325" w:rsidRDefault="008F51C8" w:rsidP="00FB1414">
      <w:pPr>
        <w:spacing w:before="0" w:after="0"/>
        <w:ind w:left="284" w:hanging="284"/>
        <w:rPr>
          <w:rFonts w:cs="Times New Roman"/>
          <w:sz w:val="22"/>
        </w:rPr>
      </w:pPr>
      <w:proofErr w:type="spellStart"/>
      <w:r w:rsidRPr="00C73325">
        <w:rPr>
          <w:rFonts w:cs="Times New Roman"/>
          <w:sz w:val="22"/>
        </w:rPr>
        <w:t>Amidu</w:t>
      </w:r>
      <w:proofErr w:type="spellEnd"/>
      <w:r w:rsidRPr="00C73325">
        <w:rPr>
          <w:rFonts w:cs="Times New Roman"/>
          <w:sz w:val="22"/>
        </w:rPr>
        <w:t xml:space="preserve">, M. (2007). How does dividend policy affect performance of the firm on Ghana Stock Exchange? </w:t>
      </w:r>
      <w:r w:rsidRPr="00C73325">
        <w:rPr>
          <w:rFonts w:cs="Times New Roman"/>
          <w:i/>
          <w:sz w:val="22"/>
        </w:rPr>
        <w:t>Investment Management and Financial Innovations, 4</w:t>
      </w:r>
      <w:r w:rsidRPr="00C73325">
        <w:rPr>
          <w:rFonts w:cs="Times New Roman"/>
          <w:sz w:val="22"/>
        </w:rPr>
        <w:t>(2), 103-112.</w:t>
      </w:r>
    </w:p>
    <w:p w14:paraId="7F0AEEAB" w14:textId="5060FBE4" w:rsidR="008F51C8" w:rsidRPr="00C73325" w:rsidRDefault="008F51C8" w:rsidP="00FB1414">
      <w:pPr>
        <w:shd w:val="clear" w:color="auto" w:fill="FFFFFF"/>
        <w:spacing w:before="0" w:after="0"/>
        <w:ind w:left="284" w:hanging="284"/>
        <w:rPr>
          <w:rFonts w:eastAsia="Times New Roman" w:cs="Times New Roman"/>
          <w:sz w:val="22"/>
        </w:rPr>
      </w:pPr>
      <w:r w:rsidRPr="00C73325">
        <w:rPr>
          <w:rFonts w:eastAsia="Times New Roman" w:cs="Times New Roman"/>
          <w:sz w:val="22"/>
        </w:rPr>
        <w:t xml:space="preserve">Arshad, Z., </w:t>
      </w:r>
      <w:proofErr w:type="spellStart"/>
      <w:r w:rsidRPr="00C73325">
        <w:rPr>
          <w:rFonts w:eastAsia="Times New Roman" w:cs="Times New Roman"/>
          <w:sz w:val="22"/>
        </w:rPr>
        <w:t>Akram</w:t>
      </w:r>
      <w:proofErr w:type="spellEnd"/>
      <w:r w:rsidRPr="00C73325">
        <w:rPr>
          <w:rFonts w:eastAsia="Times New Roman" w:cs="Times New Roman"/>
          <w:sz w:val="22"/>
        </w:rPr>
        <w:t xml:space="preserve">, Y., </w:t>
      </w:r>
      <w:proofErr w:type="spellStart"/>
      <w:r w:rsidRPr="00C73325">
        <w:rPr>
          <w:rFonts w:eastAsia="Times New Roman" w:cs="Times New Roman"/>
          <w:sz w:val="22"/>
        </w:rPr>
        <w:t>Amjad</w:t>
      </w:r>
      <w:proofErr w:type="spellEnd"/>
      <w:r w:rsidRPr="00C73325">
        <w:rPr>
          <w:rFonts w:eastAsia="Times New Roman" w:cs="Times New Roman"/>
          <w:sz w:val="22"/>
        </w:rPr>
        <w:t xml:space="preserve">, M., &amp; Usman, M. (2013). Ownership structure and dividend policy. </w:t>
      </w:r>
      <w:r w:rsidRPr="00C73325">
        <w:rPr>
          <w:rFonts w:eastAsia="Times New Roman" w:cs="Times New Roman"/>
          <w:i/>
          <w:sz w:val="22"/>
        </w:rPr>
        <w:t>Institute of Interdisciplinary Business Research, 5</w:t>
      </w:r>
      <w:r w:rsidRPr="00C73325">
        <w:rPr>
          <w:rFonts w:eastAsia="Times New Roman" w:cs="Times New Roman"/>
          <w:sz w:val="22"/>
        </w:rPr>
        <w:t>(3), 378</w:t>
      </w:r>
      <w:r w:rsidR="008047C4" w:rsidRPr="00C73325">
        <w:rPr>
          <w:rFonts w:eastAsia="Times New Roman" w:cs="Times New Roman"/>
          <w:sz w:val="22"/>
        </w:rPr>
        <w:t>-</w:t>
      </w:r>
      <w:r w:rsidRPr="00C73325">
        <w:rPr>
          <w:rFonts w:eastAsia="Times New Roman" w:cs="Times New Roman"/>
          <w:sz w:val="22"/>
        </w:rPr>
        <w:t>401.</w:t>
      </w:r>
    </w:p>
    <w:p w14:paraId="6173125A" w14:textId="5DC28C61" w:rsidR="008F51C8" w:rsidRPr="00C73325" w:rsidRDefault="008F51C8" w:rsidP="00FB1414">
      <w:pPr>
        <w:spacing w:before="0" w:after="0"/>
        <w:ind w:left="284" w:hanging="284"/>
        <w:rPr>
          <w:rFonts w:cs="Times New Roman"/>
          <w:sz w:val="22"/>
          <w:lang w:val="en-US"/>
        </w:rPr>
      </w:pPr>
      <w:r w:rsidRPr="00C73325">
        <w:rPr>
          <w:rFonts w:cs="Times New Roman"/>
          <w:sz w:val="22"/>
          <w:lang w:val="en-US"/>
        </w:rPr>
        <w:t xml:space="preserve">Asher, C.C., Mahoney, J.M., &amp; Mahoney, J.T. (2005). Towards a property rights foundation for a stakeholder theory of the firm. </w:t>
      </w:r>
      <w:r w:rsidRPr="00C73325">
        <w:rPr>
          <w:rFonts w:cs="Times New Roman"/>
          <w:i/>
          <w:sz w:val="22"/>
          <w:lang w:val="en-US"/>
        </w:rPr>
        <w:t>Journal of Management &amp; Governance, 9</w:t>
      </w:r>
      <w:r w:rsidRPr="00C73325">
        <w:rPr>
          <w:rFonts w:cs="Times New Roman"/>
          <w:sz w:val="22"/>
          <w:lang w:val="en-US"/>
        </w:rPr>
        <w:t>(1), 5-32.</w:t>
      </w:r>
    </w:p>
    <w:p w14:paraId="430B2E94" w14:textId="6A8F56D6" w:rsidR="008F51C8" w:rsidRPr="00C73325" w:rsidRDefault="008F51C8" w:rsidP="00FB1414">
      <w:pPr>
        <w:spacing w:before="0" w:after="0"/>
        <w:ind w:left="284" w:hanging="284"/>
        <w:rPr>
          <w:rFonts w:cs="Times New Roman"/>
          <w:sz w:val="22"/>
        </w:rPr>
      </w:pPr>
      <w:proofErr w:type="spellStart"/>
      <w:r w:rsidRPr="00C73325">
        <w:rPr>
          <w:rFonts w:cs="Times New Roman"/>
          <w:sz w:val="22"/>
        </w:rPr>
        <w:t>Banga</w:t>
      </w:r>
      <w:proofErr w:type="spellEnd"/>
      <w:r w:rsidRPr="00C73325">
        <w:rPr>
          <w:rFonts w:cs="Times New Roman"/>
          <w:sz w:val="22"/>
        </w:rPr>
        <w:t xml:space="preserve">, C., &amp; Gupta, A. (2010). The determinants of corporate dividend policy. </w:t>
      </w:r>
      <w:r w:rsidRPr="00C73325">
        <w:rPr>
          <w:rFonts w:cs="Times New Roman"/>
          <w:i/>
          <w:sz w:val="22"/>
        </w:rPr>
        <w:t>Decision</w:t>
      </w:r>
      <w:r w:rsidRPr="00C73325">
        <w:rPr>
          <w:rFonts w:cs="Times New Roman"/>
          <w:sz w:val="22"/>
        </w:rPr>
        <w:t xml:space="preserve">, </w:t>
      </w:r>
      <w:r w:rsidRPr="00C73325">
        <w:rPr>
          <w:rFonts w:cs="Times New Roman"/>
          <w:i/>
          <w:sz w:val="22"/>
        </w:rPr>
        <w:t>37</w:t>
      </w:r>
      <w:r w:rsidRPr="00C73325">
        <w:rPr>
          <w:rFonts w:cs="Times New Roman"/>
          <w:sz w:val="22"/>
        </w:rPr>
        <w:t>(2), 63-77.</w:t>
      </w:r>
    </w:p>
    <w:p w14:paraId="0E525E46" w14:textId="77777777" w:rsidR="006F62E8" w:rsidRPr="00C73325" w:rsidRDefault="006F62E8" w:rsidP="006F62E8">
      <w:pPr>
        <w:spacing w:before="0" w:after="0"/>
        <w:ind w:left="284" w:hanging="284"/>
        <w:rPr>
          <w:rFonts w:cs="Times New Roman"/>
          <w:sz w:val="22"/>
        </w:rPr>
      </w:pPr>
      <w:proofErr w:type="spellStart"/>
      <w:r w:rsidRPr="00C73325">
        <w:rPr>
          <w:rFonts w:cs="Times New Roman"/>
          <w:sz w:val="22"/>
        </w:rPr>
        <w:t>Baranchuk</w:t>
      </w:r>
      <w:proofErr w:type="spellEnd"/>
      <w:r w:rsidRPr="00C73325">
        <w:rPr>
          <w:rFonts w:cs="Times New Roman"/>
          <w:sz w:val="22"/>
        </w:rPr>
        <w:t xml:space="preserve">, N., &amp; </w:t>
      </w:r>
      <w:proofErr w:type="spellStart"/>
      <w:r w:rsidRPr="00C73325">
        <w:rPr>
          <w:rFonts w:cs="Times New Roman"/>
          <w:sz w:val="22"/>
        </w:rPr>
        <w:t>Dybvig</w:t>
      </w:r>
      <w:proofErr w:type="spellEnd"/>
      <w:r w:rsidRPr="00C73325">
        <w:rPr>
          <w:rFonts w:cs="Times New Roman"/>
          <w:sz w:val="22"/>
        </w:rPr>
        <w:t xml:space="preserve">, P. H. (2009). Consensus in diverse corporate boards. </w:t>
      </w:r>
      <w:r w:rsidRPr="00C73325">
        <w:rPr>
          <w:rFonts w:cs="Times New Roman"/>
          <w:i/>
          <w:iCs/>
          <w:sz w:val="22"/>
        </w:rPr>
        <w:t>Review of Financial Studies, 22</w:t>
      </w:r>
      <w:r w:rsidRPr="00C73325">
        <w:rPr>
          <w:rFonts w:cs="Times New Roman"/>
          <w:sz w:val="22"/>
        </w:rPr>
        <w:t>(2), 715-747.</w:t>
      </w:r>
    </w:p>
    <w:p w14:paraId="3EE0EBE6" w14:textId="77777777" w:rsidR="00CB4D86" w:rsidRPr="00C73325" w:rsidRDefault="00CB4D86" w:rsidP="00CB4D86">
      <w:pPr>
        <w:spacing w:before="0" w:after="0"/>
        <w:ind w:left="284" w:hanging="284"/>
        <w:rPr>
          <w:rFonts w:cs="Times New Roman"/>
          <w:sz w:val="22"/>
        </w:rPr>
      </w:pPr>
      <w:proofErr w:type="spellStart"/>
      <w:r w:rsidRPr="00C73325">
        <w:rPr>
          <w:rFonts w:cs="Times New Roman"/>
          <w:sz w:val="22"/>
        </w:rPr>
        <w:t>Belghitar</w:t>
      </w:r>
      <w:proofErr w:type="spellEnd"/>
      <w:r w:rsidRPr="00C73325">
        <w:rPr>
          <w:rFonts w:cs="Times New Roman"/>
          <w:sz w:val="22"/>
        </w:rPr>
        <w:t xml:space="preserve">, Y., &amp; Khan, J. (2013). Governance mechanisms, investment opportunity set and SMEs cash holdings. </w:t>
      </w:r>
      <w:r w:rsidRPr="00C73325">
        <w:rPr>
          <w:rFonts w:cs="Times New Roman"/>
          <w:i/>
          <w:iCs/>
          <w:sz w:val="22"/>
        </w:rPr>
        <w:t>Small Business Economics, 40</w:t>
      </w:r>
      <w:r w:rsidRPr="00C73325">
        <w:rPr>
          <w:rFonts w:cs="Times New Roman"/>
          <w:sz w:val="22"/>
        </w:rPr>
        <w:t>(1), 59-72.</w:t>
      </w:r>
    </w:p>
    <w:p w14:paraId="545C9B56" w14:textId="77777777" w:rsidR="000A562C" w:rsidRPr="00C73325" w:rsidRDefault="000A562C" w:rsidP="000A562C">
      <w:pPr>
        <w:spacing w:before="0" w:after="0"/>
        <w:ind w:left="284" w:hanging="284"/>
        <w:rPr>
          <w:rFonts w:cs="Times New Roman"/>
          <w:sz w:val="22"/>
        </w:rPr>
      </w:pPr>
      <w:bookmarkStart w:id="1" w:name="_ENREF_20"/>
      <w:proofErr w:type="spellStart"/>
      <w:r w:rsidRPr="00AD70E6">
        <w:rPr>
          <w:rFonts w:cs="Times New Roman"/>
          <w:sz w:val="22"/>
        </w:rPr>
        <w:t>Beiner</w:t>
      </w:r>
      <w:proofErr w:type="spellEnd"/>
      <w:r w:rsidRPr="00AD70E6">
        <w:rPr>
          <w:rFonts w:cs="Times New Roman"/>
          <w:sz w:val="22"/>
        </w:rPr>
        <w:t xml:space="preserve">, S., </w:t>
      </w:r>
      <w:proofErr w:type="spellStart"/>
      <w:r w:rsidRPr="00AD70E6">
        <w:rPr>
          <w:rFonts w:cs="Times New Roman"/>
          <w:sz w:val="22"/>
        </w:rPr>
        <w:t>Drobetz</w:t>
      </w:r>
      <w:proofErr w:type="spellEnd"/>
      <w:r w:rsidRPr="00AD70E6">
        <w:rPr>
          <w:rFonts w:cs="Times New Roman"/>
          <w:sz w:val="22"/>
        </w:rPr>
        <w:t xml:space="preserve">, W., </w:t>
      </w:r>
      <w:proofErr w:type="spellStart"/>
      <w:r w:rsidRPr="00AD70E6">
        <w:rPr>
          <w:rFonts w:cs="Times New Roman"/>
          <w:sz w:val="22"/>
        </w:rPr>
        <w:t>Schmid</w:t>
      </w:r>
      <w:proofErr w:type="spellEnd"/>
      <w:r w:rsidRPr="00AD70E6">
        <w:rPr>
          <w:rFonts w:cs="Times New Roman"/>
          <w:sz w:val="22"/>
        </w:rPr>
        <w:t xml:space="preserve">, M.M., &amp; Zimmermann, H. (2006). </w:t>
      </w:r>
      <w:r w:rsidRPr="00C73325">
        <w:rPr>
          <w:rFonts w:cs="Times New Roman"/>
          <w:sz w:val="22"/>
        </w:rPr>
        <w:t xml:space="preserve">An integrated framework of corporate governance and firm valuation. </w:t>
      </w:r>
      <w:r w:rsidRPr="00C73325">
        <w:rPr>
          <w:rFonts w:cs="Times New Roman"/>
          <w:i/>
          <w:iCs/>
          <w:sz w:val="22"/>
        </w:rPr>
        <w:t>European Financial Management, 12</w:t>
      </w:r>
      <w:r w:rsidRPr="00C73325">
        <w:rPr>
          <w:rFonts w:cs="Times New Roman"/>
          <w:sz w:val="22"/>
        </w:rPr>
        <w:t xml:space="preserve">(2), 249-283. </w:t>
      </w:r>
      <w:bookmarkEnd w:id="1"/>
    </w:p>
    <w:p w14:paraId="68CC688A" w14:textId="5C57DC89" w:rsidR="008F51C8" w:rsidRPr="00C73325" w:rsidRDefault="008F51C8" w:rsidP="00FB1414">
      <w:pPr>
        <w:spacing w:before="0" w:after="0"/>
        <w:ind w:left="284" w:hanging="284"/>
        <w:rPr>
          <w:rFonts w:eastAsia="Times New Roman" w:cs="Times New Roman"/>
          <w:sz w:val="22"/>
          <w:shd w:val="clear" w:color="auto" w:fill="FFFFFF"/>
        </w:rPr>
      </w:pPr>
      <w:proofErr w:type="spellStart"/>
      <w:r w:rsidRPr="00C73325">
        <w:rPr>
          <w:rFonts w:cs="Times New Roman"/>
          <w:sz w:val="22"/>
          <w:lang w:val="en-US"/>
        </w:rPr>
        <w:t>Borokhovich</w:t>
      </w:r>
      <w:proofErr w:type="spellEnd"/>
      <w:r w:rsidRPr="00C73325">
        <w:rPr>
          <w:rFonts w:cs="Times New Roman"/>
          <w:sz w:val="22"/>
          <w:lang w:val="en-US"/>
        </w:rPr>
        <w:t xml:space="preserve">, K.A., </w:t>
      </w:r>
      <w:proofErr w:type="spellStart"/>
      <w:r w:rsidRPr="00C73325">
        <w:rPr>
          <w:rFonts w:cs="Times New Roman"/>
          <w:sz w:val="22"/>
          <w:lang w:val="en-US"/>
        </w:rPr>
        <w:t>Brunarski</w:t>
      </w:r>
      <w:proofErr w:type="spellEnd"/>
      <w:r w:rsidRPr="00C73325">
        <w:rPr>
          <w:rFonts w:cs="Times New Roman"/>
          <w:sz w:val="22"/>
          <w:lang w:val="en-US"/>
        </w:rPr>
        <w:t xml:space="preserve">, K.R., Harman, Y., &amp; </w:t>
      </w:r>
      <w:proofErr w:type="spellStart"/>
      <w:r w:rsidRPr="00C73325">
        <w:rPr>
          <w:rFonts w:cs="Times New Roman"/>
          <w:sz w:val="22"/>
          <w:lang w:val="en-US"/>
        </w:rPr>
        <w:t>Kehr</w:t>
      </w:r>
      <w:proofErr w:type="spellEnd"/>
      <w:r w:rsidRPr="00C73325">
        <w:rPr>
          <w:rFonts w:cs="Times New Roman"/>
          <w:sz w:val="22"/>
          <w:lang w:val="en-US"/>
        </w:rPr>
        <w:t xml:space="preserve">, J.B. (2005). Dividends, corporate monitors and agency costs. </w:t>
      </w:r>
      <w:r w:rsidRPr="00C73325">
        <w:rPr>
          <w:rFonts w:cs="Times New Roman"/>
          <w:i/>
          <w:sz w:val="22"/>
          <w:lang w:val="en-US"/>
        </w:rPr>
        <w:t>Financial Review</w:t>
      </w:r>
      <w:r w:rsidRPr="00C73325">
        <w:rPr>
          <w:rFonts w:cs="Times New Roman"/>
          <w:sz w:val="22"/>
          <w:lang w:val="en-US"/>
        </w:rPr>
        <w:t xml:space="preserve">, </w:t>
      </w:r>
      <w:r w:rsidRPr="00C73325">
        <w:rPr>
          <w:rFonts w:cs="Times New Roman"/>
          <w:i/>
          <w:sz w:val="22"/>
          <w:lang w:val="en-US"/>
        </w:rPr>
        <w:t>40</w:t>
      </w:r>
      <w:r w:rsidRPr="00C73325">
        <w:rPr>
          <w:rFonts w:cs="Times New Roman"/>
          <w:sz w:val="22"/>
          <w:lang w:val="en-US"/>
        </w:rPr>
        <w:t>(1), 37-65.</w:t>
      </w:r>
    </w:p>
    <w:p w14:paraId="2D009D30" w14:textId="611C7230" w:rsidR="008F51C8" w:rsidRPr="00C73325" w:rsidRDefault="008F51C8" w:rsidP="00FB1414">
      <w:pPr>
        <w:shd w:val="clear" w:color="auto" w:fill="FFFFFF"/>
        <w:spacing w:before="0" w:after="0"/>
        <w:ind w:left="284" w:hanging="284"/>
        <w:rPr>
          <w:rFonts w:eastAsia="Times New Roman" w:cs="Times New Roman"/>
          <w:sz w:val="22"/>
        </w:rPr>
      </w:pPr>
      <w:r w:rsidRPr="00C73325">
        <w:rPr>
          <w:rFonts w:eastAsia="Times New Roman" w:cs="Times New Roman"/>
          <w:sz w:val="22"/>
        </w:rPr>
        <w:lastRenderedPageBreak/>
        <w:t xml:space="preserve">Brown, L. D., &amp; </w:t>
      </w:r>
      <w:proofErr w:type="spellStart"/>
      <w:r w:rsidRPr="00C73325">
        <w:rPr>
          <w:rFonts w:eastAsia="Times New Roman" w:cs="Times New Roman"/>
          <w:sz w:val="22"/>
        </w:rPr>
        <w:t>Caylor</w:t>
      </w:r>
      <w:proofErr w:type="spellEnd"/>
      <w:r w:rsidRPr="00C73325">
        <w:rPr>
          <w:rFonts w:eastAsia="Times New Roman" w:cs="Times New Roman"/>
          <w:sz w:val="22"/>
        </w:rPr>
        <w:t xml:space="preserve">, M. L. (2006). Corporate governance and firm valuation. </w:t>
      </w:r>
      <w:r w:rsidRPr="00C73325">
        <w:rPr>
          <w:rFonts w:eastAsia="Times New Roman" w:cs="Times New Roman"/>
          <w:i/>
          <w:sz w:val="22"/>
        </w:rPr>
        <w:t>Journal of Accounting and Public Policy</w:t>
      </w:r>
      <w:r w:rsidRPr="00C73325">
        <w:rPr>
          <w:rFonts w:eastAsia="Times New Roman" w:cs="Times New Roman"/>
          <w:sz w:val="22"/>
        </w:rPr>
        <w:t>, 409</w:t>
      </w:r>
      <w:r w:rsidR="00D377A6" w:rsidRPr="00C73325">
        <w:rPr>
          <w:rFonts w:eastAsia="Times New Roman" w:cs="Times New Roman"/>
          <w:sz w:val="22"/>
        </w:rPr>
        <w:t>-</w:t>
      </w:r>
      <w:r w:rsidRPr="00C73325">
        <w:rPr>
          <w:rFonts w:eastAsia="Times New Roman" w:cs="Times New Roman"/>
          <w:sz w:val="22"/>
        </w:rPr>
        <w:t>434.</w:t>
      </w:r>
    </w:p>
    <w:p w14:paraId="0B9AF99B" w14:textId="62D53617" w:rsidR="008F51C8" w:rsidRPr="00C73325" w:rsidRDefault="008F51C8" w:rsidP="00FB1414">
      <w:pPr>
        <w:spacing w:before="0" w:after="0"/>
        <w:ind w:left="284" w:hanging="284"/>
        <w:rPr>
          <w:rFonts w:cs="Times New Roman"/>
          <w:sz w:val="22"/>
        </w:rPr>
      </w:pPr>
      <w:proofErr w:type="spellStart"/>
      <w:r w:rsidRPr="00AD70E6">
        <w:rPr>
          <w:rFonts w:cs="Times New Roman"/>
          <w:sz w:val="22"/>
        </w:rPr>
        <w:t>Brunzell</w:t>
      </w:r>
      <w:proofErr w:type="spellEnd"/>
      <w:r w:rsidRPr="00AD70E6">
        <w:rPr>
          <w:rFonts w:cs="Times New Roman"/>
          <w:sz w:val="22"/>
        </w:rPr>
        <w:t xml:space="preserve">, T., </w:t>
      </w:r>
      <w:proofErr w:type="spellStart"/>
      <w:r w:rsidRPr="00AD70E6">
        <w:rPr>
          <w:rFonts w:cs="Times New Roman"/>
          <w:sz w:val="22"/>
        </w:rPr>
        <w:t>Liljeblom</w:t>
      </w:r>
      <w:proofErr w:type="spellEnd"/>
      <w:r w:rsidRPr="00AD70E6">
        <w:rPr>
          <w:rFonts w:cs="Times New Roman"/>
          <w:sz w:val="22"/>
        </w:rPr>
        <w:t xml:space="preserve">, E., </w:t>
      </w:r>
      <w:proofErr w:type="spellStart"/>
      <w:r w:rsidRPr="00AD70E6">
        <w:rPr>
          <w:rFonts w:cs="Times New Roman"/>
          <w:sz w:val="22"/>
        </w:rPr>
        <w:t>Löflund</w:t>
      </w:r>
      <w:proofErr w:type="spellEnd"/>
      <w:r w:rsidRPr="00AD70E6">
        <w:rPr>
          <w:rFonts w:cs="Times New Roman"/>
          <w:sz w:val="22"/>
        </w:rPr>
        <w:t>, A.</w:t>
      </w:r>
      <w:r w:rsidR="008047C4" w:rsidRPr="00AD70E6">
        <w:rPr>
          <w:rFonts w:cs="Times New Roman"/>
          <w:sz w:val="22"/>
        </w:rPr>
        <w:t>,</w:t>
      </w:r>
      <w:r w:rsidRPr="00AD70E6">
        <w:rPr>
          <w:rFonts w:cs="Times New Roman"/>
          <w:sz w:val="22"/>
        </w:rPr>
        <w:t xml:space="preserve"> </w:t>
      </w:r>
      <w:r w:rsidR="008522F5" w:rsidRPr="00AD70E6">
        <w:rPr>
          <w:rFonts w:cs="Times New Roman"/>
          <w:sz w:val="22"/>
        </w:rPr>
        <w:t>&amp;</w:t>
      </w:r>
      <w:r w:rsidRPr="00AD70E6">
        <w:rPr>
          <w:rFonts w:cs="Times New Roman"/>
          <w:sz w:val="22"/>
        </w:rPr>
        <w:t xml:space="preserve"> </w:t>
      </w:r>
      <w:proofErr w:type="spellStart"/>
      <w:r w:rsidRPr="00AD70E6">
        <w:rPr>
          <w:rFonts w:cs="Times New Roman"/>
          <w:sz w:val="22"/>
        </w:rPr>
        <w:t>Vaihekoski</w:t>
      </w:r>
      <w:proofErr w:type="spellEnd"/>
      <w:r w:rsidRPr="00AD70E6">
        <w:rPr>
          <w:rFonts w:cs="Times New Roman"/>
          <w:sz w:val="22"/>
        </w:rPr>
        <w:t xml:space="preserve">, M. (2014). </w:t>
      </w:r>
      <w:r w:rsidRPr="00C73325">
        <w:rPr>
          <w:rFonts w:cs="Times New Roman"/>
          <w:sz w:val="22"/>
        </w:rPr>
        <w:t xml:space="preserve">Dividend policy in Nordic listed firms. </w:t>
      </w:r>
      <w:r w:rsidRPr="00C73325">
        <w:rPr>
          <w:rFonts w:cs="Times New Roman"/>
          <w:i/>
          <w:sz w:val="22"/>
        </w:rPr>
        <w:t>Global Finance Journal</w:t>
      </w:r>
      <w:r w:rsidRPr="00C73325">
        <w:rPr>
          <w:rFonts w:cs="Times New Roman"/>
          <w:sz w:val="22"/>
        </w:rPr>
        <w:t xml:space="preserve">, </w:t>
      </w:r>
      <w:r w:rsidRPr="00C73325">
        <w:rPr>
          <w:rFonts w:cs="Times New Roman"/>
          <w:i/>
          <w:sz w:val="22"/>
        </w:rPr>
        <w:t>25</w:t>
      </w:r>
      <w:r w:rsidRPr="00C73325">
        <w:rPr>
          <w:rFonts w:cs="Times New Roman"/>
          <w:sz w:val="22"/>
        </w:rPr>
        <w:t>(2),</w:t>
      </w:r>
      <w:r w:rsidR="002E1256" w:rsidRPr="00C73325">
        <w:rPr>
          <w:rFonts w:cs="Times New Roman"/>
          <w:sz w:val="22"/>
        </w:rPr>
        <w:t xml:space="preserve"> </w:t>
      </w:r>
      <w:r w:rsidRPr="00C73325">
        <w:rPr>
          <w:rFonts w:cs="Times New Roman"/>
          <w:sz w:val="22"/>
        </w:rPr>
        <w:t>124-135.</w:t>
      </w:r>
    </w:p>
    <w:p w14:paraId="53666781" w14:textId="2E2FDB0D" w:rsidR="008F51C8" w:rsidRPr="00C73325" w:rsidRDefault="008F51C8" w:rsidP="0086406C">
      <w:pPr>
        <w:pStyle w:val="Bibliography"/>
        <w:spacing w:after="0" w:line="240" w:lineRule="auto"/>
        <w:jc w:val="both"/>
        <w:rPr>
          <w:rFonts w:ascii="Times New Roman" w:hAnsi="Times New Roman" w:cs="Times New Roman"/>
          <w:noProof/>
          <w:lang w:val="en-US"/>
        </w:rPr>
      </w:pPr>
      <w:r w:rsidRPr="00C73325">
        <w:rPr>
          <w:rFonts w:ascii="Times New Roman" w:hAnsi="Times New Roman" w:cs="Times New Roman"/>
          <w:noProof/>
          <w:lang w:val="en-US"/>
        </w:rPr>
        <w:t xml:space="preserve">Cadbury. (1992). </w:t>
      </w:r>
      <w:r w:rsidRPr="00C73325">
        <w:rPr>
          <w:rFonts w:ascii="Times New Roman" w:hAnsi="Times New Roman" w:cs="Times New Roman"/>
          <w:i/>
          <w:iCs/>
          <w:noProof/>
          <w:lang w:val="en-US"/>
        </w:rPr>
        <w:t xml:space="preserve">The Financial </w:t>
      </w:r>
      <w:r w:rsidR="0085224B" w:rsidRPr="00C73325">
        <w:rPr>
          <w:rFonts w:ascii="Times New Roman" w:hAnsi="Times New Roman" w:cs="Times New Roman"/>
          <w:i/>
          <w:iCs/>
          <w:noProof/>
          <w:lang w:val="en-US"/>
        </w:rPr>
        <w:t>A</w:t>
      </w:r>
      <w:r w:rsidRPr="00C73325">
        <w:rPr>
          <w:rFonts w:ascii="Times New Roman" w:hAnsi="Times New Roman" w:cs="Times New Roman"/>
          <w:i/>
          <w:iCs/>
          <w:noProof/>
          <w:lang w:val="en-US"/>
        </w:rPr>
        <w:t>spect of Corporate Governance.</w:t>
      </w:r>
      <w:r w:rsidRPr="00C73325">
        <w:rPr>
          <w:rFonts w:ascii="Times New Roman" w:hAnsi="Times New Roman" w:cs="Times New Roman"/>
          <w:noProof/>
          <w:lang w:val="en-US"/>
        </w:rPr>
        <w:t xml:space="preserve"> London: Gee.</w:t>
      </w:r>
    </w:p>
    <w:p w14:paraId="7A148825" w14:textId="77777777" w:rsidR="0086406C" w:rsidRPr="00C73325" w:rsidRDefault="0086406C" w:rsidP="0086406C">
      <w:pPr>
        <w:spacing w:before="0" w:after="0"/>
        <w:ind w:left="284" w:hanging="284"/>
        <w:rPr>
          <w:rFonts w:cs="Times New Roman"/>
          <w:sz w:val="22"/>
        </w:rPr>
      </w:pPr>
      <w:r w:rsidRPr="00C73325">
        <w:rPr>
          <w:rFonts w:cs="Times New Roman"/>
          <w:sz w:val="22"/>
        </w:rPr>
        <w:t xml:space="preserve">Chapple, L., &amp; Humphrey, J. E. (2014). Does board gender diversity have a financial impact? Evidence using stock portfolio performance. </w:t>
      </w:r>
      <w:r w:rsidRPr="00C73325">
        <w:rPr>
          <w:rFonts w:cs="Times New Roman"/>
          <w:i/>
          <w:iCs/>
          <w:sz w:val="22"/>
        </w:rPr>
        <w:t>Journal of Business Ethics, 122</w:t>
      </w:r>
      <w:r w:rsidRPr="00C73325">
        <w:rPr>
          <w:rFonts w:cs="Times New Roman"/>
          <w:sz w:val="22"/>
        </w:rPr>
        <w:t>(4), 709-723.</w:t>
      </w:r>
    </w:p>
    <w:p w14:paraId="1A9DA28C" w14:textId="0F748C4D" w:rsidR="008F51C8" w:rsidRPr="00C73325" w:rsidRDefault="008F51C8" w:rsidP="00FB1414">
      <w:pPr>
        <w:shd w:val="clear" w:color="auto" w:fill="FFFFFF"/>
        <w:spacing w:before="0" w:after="0"/>
        <w:ind w:left="284" w:hanging="284"/>
        <w:rPr>
          <w:rFonts w:cs="Times New Roman"/>
          <w:sz w:val="22"/>
          <w:lang w:val="en-US"/>
        </w:rPr>
      </w:pPr>
      <w:proofErr w:type="spellStart"/>
      <w:r w:rsidRPr="00AD70E6">
        <w:rPr>
          <w:rFonts w:cs="Times New Roman"/>
          <w:sz w:val="22"/>
        </w:rPr>
        <w:t>Charalambidis</w:t>
      </w:r>
      <w:proofErr w:type="spellEnd"/>
      <w:r w:rsidRPr="00AD70E6">
        <w:rPr>
          <w:rFonts w:cs="Times New Roman"/>
          <w:sz w:val="22"/>
        </w:rPr>
        <w:t xml:space="preserve">, D.P., &amp; Papadopoulos, D.L. (2007). </w:t>
      </w:r>
      <w:r w:rsidRPr="00C73325">
        <w:rPr>
          <w:rFonts w:cs="Times New Roman"/>
          <w:sz w:val="22"/>
          <w:lang w:val="en-US"/>
        </w:rPr>
        <w:t>Focus on present status and determinants of dividend pay</w:t>
      </w:r>
      <w:r w:rsidR="009966D6" w:rsidRPr="00C73325">
        <w:rPr>
          <w:rFonts w:cs="Times New Roman"/>
          <w:sz w:val="22"/>
          <w:lang w:val="en-US"/>
        </w:rPr>
        <w:t>-</w:t>
      </w:r>
      <w:r w:rsidRPr="00C73325">
        <w:rPr>
          <w:rFonts w:cs="Times New Roman"/>
          <w:sz w:val="22"/>
          <w:lang w:val="en-US"/>
        </w:rPr>
        <w:t xml:space="preserve">out policy: Athens stock exchange in perspective. </w:t>
      </w:r>
      <w:r w:rsidRPr="00C73325">
        <w:rPr>
          <w:rFonts w:cs="Times New Roman"/>
          <w:i/>
          <w:sz w:val="22"/>
          <w:lang w:val="en-US"/>
        </w:rPr>
        <w:t>Journal of Financial Management and Analysis</w:t>
      </w:r>
      <w:r w:rsidRPr="00C73325">
        <w:rPr>
          <w:rFonts w:cs="Times New Roman"/>
          <w:sz w:val="22"/>
          <w:lang w:val="en-US"/>
        </w:rPr>
        <w:t xml:space="preserve">, </w:t>
      </w:r>
      <w:r w:rsidRPr="00C73325">
        <w:rPr>
          <w:rFonts w:cs="Times New Roman"/>
          <w:i/>
          <w:sz w:val="22"/>
          <w:lang w:val="en-US"/>
        </w:rPr>
        <w:t>20</w:t>
      </w:r>
      <w:r w:rsidRPr="00C73325">
        <w:rPr>
          <w:rFonts w:cs="Times New Roman"/>
          <w:sz w:val="22"/>
          <w:lang w:val="en-US"/>
        </w:rPr>
        <w:t>(2), 24-37.</w:t>
      </w:r>
    </w:p>
    <w:p w14:paraId="446B57E6" w14:textId="4461B9A7" w:rsidR="0086406C" w:rsidRPr="00C73325" w:rsidRDefault="0086406C" w:rsidP="0086406C">
      <w:pPr>
        <w:shd w:val="clear" w:color="auto" w:fill="FFFFFF"/>
        <w:spacing w:before="0" w:after="0"/>
        <w:ind w:left="284" w:hanging="284"/>
        <w:rPr>
          <w:rFonts w:cs="Times New Roman"/>
          <w:sz w:val="22"/>
          <w:lang w:val="en-US"/>
        </w:rPr>
      </w:pPr>
      <w:r w:rsidRPr="00AD70E6">
        <w:rPr>
          <w:rFonts w:cs="Times New Roman"/>
          <w:sz w:val="22"/>
        </w:rPr>
        <w:t xml:space="preserve">Carter, D. A., </w:t>
      </w:r>
      <w:proofErr w:type="spellStart"/>
      <w:r w:rsidRPr="00AD70E6">
        <w:rPr>
          <w:rFonts w:cs="Times New Roman"/>
          <w:sz w:val="22"/>
        </w:rPr>
        <w:t>Simkins</w:t>
      </w:r>
      <w:proofErr w:type="spellEnd"/>
      <w:r w:rsidRPr="00AD70E6">
        <w:rPr>
          <w:rFonts w:cs="Times New Roman"/>
          <w:sz w:val="22"/>
        </w:rPr>
        <w:t xml:space="preserve">, B. J., &amp; Simpson, W. G. (2003). </w:t>
      </w:r>
      <w:r w:rsidRPr="00C73325">
        <w:rPr>
          <w:rFonts w:cs="Times New Roman"/>
          <w:sz w:val="22"/>
          <w:lang w:val="en-US"/>
        </w:rPr>
        <w:t xml:space="preserve">Corporate governance, board diversity, and firm value. </w:t>
      </w:r>
      <w:r w:rsidRPr="00C73325">
        <w:rPr>
          <w:rFonts w:cs="Times New Roman"/>
          <w:i/>
          <w:iCs/>
          <w:sz w:val="22"/>
          <w:lang w:val="en-US"/>
        </w:rPr>
        <w:t>Financial review, 38</w:t>
      </w:r>
      <w:r w:rsidRPr="00C73325">
        <w:rPr>
          <w:rFonts w:cs="Times New Roman"/>
          <w:sz w:val="22"/>
          <w:lang w:val="en-US"/>
        </w:rPr>
        <w:t xml:space="preserve">(1), 33-53. </w:t>
      </w:r>
    </w:p>
    <w:p w14:paraId="670CFF3D" w14:textId="6E66479C" w:rsidR="006F62E8" w:rsidRPr="00C73325" w:rsidRDefault="006F62E8" w:rsidP="006F62E8">
      <w:pPr>
        <w:shd w:val="clear" w:color="auto" w:fill="FFFFFF"/>
        <w:spacing w:before="0" w:after="0"/>
        <w:ind w:left="284" w:hanging="284"/>
        <w:rPr>
          <w:rFonts w:cs="Times New Roman"/>
          <w:sz w:val="22"/>
          <w:lang w:val="en-US"/>
        </w:rPr>
      </w:pPr>
      <w:r w:rsidRPr="00C73325">
        <w:rPr>
          <w:rFonts w:cs="Times New Roman"/>
          <w:sz w:val="22"/>
          <w:lang w:val="en-US"/>
        </w:rPr>
        <w:t xml:space="preserve">Chen, J., Leung, W. S., &amp; </w:t>
      </w:r>
      <w:proofErr w:type="spellStart"/>
      <w:r w:rsidRPr="00C73325">
        <w:rPr>
          <w:rFonts w:cs="Times New Roman"/>
          <w:sz w:val="22"/>
          <w:lang w:val="en-US"/>
        </w:rPr>
        <w:t>Goergen</w:t>
      </w:r>
      <w:proofErr w:type="spellEnd"/>
      <w:r w:rsidRPr="00C73325">
        <w:rPr>
          <w:rFonts w:cs="Times New Roman"/>
          <w:sz w:val="22"/>
          <w:lang w:val="en-US"/>
        </w:rPr>
        <w:t>, M. (2016). The Impact of Board Gender Composition on Dividend Pay</w:t>
      </w:r>
      <w:r w:rsidR="009966D6" w:rsidRPr="00C73325">
        <w:rPr>
          <w:rFonts w:cs="Times New Roman"/>
          <w:sz w:val="22"/>
          <w:lang w:val="en-US"/>
        </w:rPr>
        <w:t>-</w:t>
      </w:r>
      <w:r w:rsidRPr="00C73325">
        <w:rPr>
          <w:rFonts w:cs="Times New Roman"/>
          <w:sz w:val="22"/>
          <w:lang w:val="en-US"/>
        </w:rPr>
        <w:t xml:space="preserve">outs. </w:t>
      </w:r>
      <w:r w:rsidRPr="00C73325">
        <w:rPr>
          <w:rFonts w:cs="Times New Roman"/>
          <w:i/>
          <w:iCs/>
          <w:sz w:val="22"/>
          <w:lang w:val="en-US"/>
        </w:rPr>
        <w:t>Working Paper No. 488/2016</w:t>
      </w:r>
      <w:r w:rsidRPr="00C73325">
        <w:rPr>
          <w:rFonts w:cs="Times New Roman"/>
          <w:sz w:val="22"/>
          <w:lang w:val="en-US"/>
        </w:rPr>
        <w:t>.</w:t>
      </w:r>
    </w:p>
    <w:p w14:paraId="09620418" w14:textId="77777777" w:rsidR="00BA39B9" w:rsidRPr="00C73325" w:rsidRDefault="00BA39B9" w:rsidP="00BA39B9">
      <w:pPr>
        <w:shd w:val="clear" w:color="auto" w:fill="FFFFFF"/>
        <w:spacing w:before="0" w:after="0"/>
        <w:ind w:left="284" w:hanging="284"/>
        <w:rPr>
          <w:rFonts w:cs="Times New Roman"/>
          <w:sz w:val="22"/>
          <w:lang w:val="en-US"/>
        </w:rPr>
      </w:pPr>
      <w:r w:rsidRPr="00C73325">
        <w:rPr>
          <w:rFonts w:cs="Times New Roman"/>
          <w:sz w:val="22"/>
          <w:lang w:val="en-US"/>
        </w:rPr>
        <w:t xml:space="preserve">Chen, S.-S., &amp; Chen, I.-J. (2012). Corporate governance and capital allocations of diversified firms. </w:t>
      </w:r>
      <w:r w:rsidRPr="00C73325">
        <w:rPr>
          <w:rFonts w:cs="Times New Roman"/>
          <w:i/>
          <w:iCs/>
          <w:sz w:val="22"/>
          <w:lang w:val="en-US"/>
        </w:rPr>
        <w:t>Journal of Banking &amp; Finance, 36</w:t>
      </w:r>
      <w:r w:rsidRPr="00C73325">
        <w:rPr>
          <w:rFonts w:cs="Times New Roman"/>
          <w:sz w:val="22"/>
          <w:lang w:val="en-US"/>
        </w:rPr>
        <w:t xml:space="preserve">(2), 395-409. </w:t>
      </w:r>
    </w:p>
    <w:p w14:paraId="2C7190CE" w14:textId="19C47905" w:rsidR="008F51C8" w:rsidRPr="00C73325" w:rsidRDefault="008F51C8" w:rsidP="00FB1414">
      <w:pPr>
        <w:spacing w:before="0" w:after="0"/>
        <w:ind w:left="284" w:hanging="284"/>
        <w:rPr>
          <w:rFonts w:cs="Times New Roman"/>
          <w:sz w:val="22"/>
        </w:rPr>
      </w:pPr>
      <w:r w:rsidRPr="00AD70E6">
        <w:rPr>
          <w:rFonts w:cs="Times New Roman"/>
          <w:sz w:val="22"/>
        </w:rPr>
        <w:t xml:space="preserve">Chen, C.R., &amp; Steiner, T.L. (1999). </w:t>
      </w:r>
      <w:r w:rsidRPr="00C73325">
        <w:rPr>
          <w:rFonts w:cs="Times New Roman"/>
          <w:sz w:val="22"/>
        </w:rPr>
        <w:t xml:space="preserve">Managerial ownership and agency conflicts: A nonlinear simultaneous equation analysis of managerial ownership, risk taking, debt policy, and dividend policy. </w:t>
      </w:r>
      <w:r w:rsidRPr="00C73325">
        <w:rPr>
          <w:rFonts w:cs="Times New Roman"/>
          <w:i/>
          <w:sz w:val="22"/>
        </w:rPr>
        <w:t>Financial Review</w:t>
      </w:r>
      <w:r w:rsidRPr="00C73325">
        <w:rPr>
          <w:rFonts w:cs="Times New Roman"/>
          <w:sz w:val="22"/>
        </w:rPr>
        <w:t xml:space="preserve">, </w:t>
      </w:r>
      <w:r w:rsidRPr="00C73325">
        <w:rPr>
          <w:rFonts w:cs="Times New Roman"/>
          <w:i/>
          <w:sz w:val="22"/>
        </w:rPr>
        <w:t>34</w:t>
      </w:r>
      <w:r w:rsidRPr="00C73325">
        <w:rPr>
          <w:rFonts w:cs="Times New Roman"/>
          <w:sz w:val="22"/>
        </w:rPr>
        <w:t>(1), 119-136.</w:t>
      </w:r>
    </w:p>
    <w:p w14:paraId="1BCCEE4E" w14:textId="4782DB2F" w:rsidR="008F51C8" w:rsidRPr="00C73325" w:rsidRDefault="008F51C8" w:rsidP="00FB1414">
      <w:pPr>
        <w:shd w:val="clear" w:color="auto" w:fill="FFFFFF"/>
        <w:spacing w:before="0" w:after="0"/>
        <w:ind w:left="284" w:hanging="284"/>
        <w:rPr>
          <w:rFonts w:cs="Times New Roman"/>
          <w:bCs/>
          <w:sz w:val="22"/>
        </w:rPr>
      </w:pPr>
      <w:r w:rsidRPr="00C73325">
        <w:rPr>
          <w:rFonts w:cs="Times New Roman"/>
          <w:bCs/>
          <w:sz w:val="22"/>
        </w:rPr>
        <w:t xml:space="preserve">Conger, J.A., </w:t>
      </w:r>
      <w:proofErr w:type="spellStart"/>
      <w:r w:rsidRPr="00C73325">
        <w:rPr>
          <w:rFonts w:cs="Times New Roman"/>
          <w:bCs/>
          <w:sz w:val="22"/>
        </w:rPr>
        <w:t>Finegold</w:t>
      </w:r>
      <w:proofErr w:type="spellEnd"/>
      <w:r w:rsidRPr="00C73325">
        <w:rPr>
          <w:rFonts w:cs="Times New Roman"/>
          <w:bCs/>
          <w:sz w:val="22"/>
        </w:rPr>
        <w:t>, D., &amp; Lawler, E</w:t>
      </w:r>
      <w:r w:rsidR="002E1256" w:rsidRPr="00C73325">
        <w:rPr>
          <w:rFonts w:cs="Times New Roman"/>
          <w:bCs/>
          <w:sz w:val="22"/>
        </w:rPr>
        <w:t>.</w:t>
      </w:r>
      <w:r w:rsidRPr="00C73325">
        <w:rPr>
          <w:rFonts w:cs="Times New Roman"/>
          <w:bCs/>
          <w:sz w:val="22"/>
        </w:rPr>
        <w:t xml:space="preserve">E. (1998). Appraising boardroom performance. </w:t>
      </w:r>
      <w:r w:rsidRPr="00C73325">
        <w:rPr>
          <w:rFonts w:cs="Times New Roman"/>
          <w:bCs/>
          <w:i/>
          <w:sz w:val="22"/>
        </w:rPr>
        <w:t>Harvard Business Review</w:t>
      </w:r>
      <w:r w:rsidR="008522F5" w:rsidRPr="00C73325">
        <w:rPr>
          <w:rFonts w:cs="Times New Roman"/>
          <w:bCs/>
          <w:sz w:val="22"/>
        </w:rPr>
        <w:t xml:space="preserve">, </w:t>
      </w:r>
      <w:r w:rsidR="008522F5" w:rsidRPr="00C73325">
        <w:rPr>
          <w:rFonts w:cs="Times New Roman"/>
          <w:bCs/>
          <w:i/>
          <w:sz w:val="22"/>
        </w:rPr>
        <w:t>76</w:t>
      </w:r>
      <w:r w:rsidR="008522F5" w:rsidRPr="00C73325">
        <w:rPr>
          <w:rFonts w:cs="Times New Roman"/>
          <w:bCs/>
          <w:sz w:val="22"/>
        </w:rPr>
        <w:t>(1), 136-148</w:t>
      </w:r>
      <w:r w:rsidRPr="00C73325">
        <w:rPr>
          <w:rFonts w:cs="Times New Roman"/>
          <w:bCs/>
          <w:sz w:val="22"/>
        </w:rPr>
        <w:t>.</w:t>
      </w:r>
    </w:p>
    <w:p w14:paraId="1FDED40B" w14:textId="021F70EC" w:rsidR="008F51C8" w:rsidRPr="00C73325" w:rsidRDefault="008F51C8" w:rsidP="00FB1414">
      <w:pPr>
        <w:shd w:val="clear" w:color="auto" w:fill="FFFFFF"/>
        <w:spacing w:before="0" w:after="0"/>
        <w:ind w:left="284" w:hanging="284"/>
        <w:rPr>
          <w:rFonts w:eastAsia="Times New Roman" w:cs="Times New Roman"/>
          <w:sz w:val="22"/>
        </w:rPr>
      </w:pPr>
      <w:proofErr w:type="spellStart"/>
      <w:r w:rsidRPr="00C73325">
        <w:rPr>
          <w:rFonts w:cs="Times New Roman"/>
          <w:sz w:val="22"/>
        </w:rPr>
        <w:t>Consler</w:t>
      </w:r>
      <w:proofErr w:type="spellEnd"/>
      <w:r w:rsidRPr="00C73325">
        <w:rPr>
          <w:rFonts w:cs="Times New Roman"/>
          <w:sz w:val="22"/>
        </w:rPr>
        <w:t xml:space="preserve">, J., &amp; </w:t>
      </w:r>
      <w:proofErr w:type="spellStart"/>
      <w:r w:rsidRPr="00C73325">
        <w:rPr>
          <w:rFonts w:cs="Times New Roman"/>
          <w:sz w:val="22"/>
        </w:rPr>
        <w:t>Lepak</w:t>
      </w:r>
      <w:proofErr w:type="spellEnd"/>
      <w:r w:rsidRPr="00C73325">
        <w:rPr>
          <w:rFonts w:cs="Times New Roman"/>
          <w:sz w:val="22"/>
        </w:rPr>
        <w:t xml:space="preserve">, G.M. (2011). Earnings per share versus cash flow per share as predictor of dividends per share. </w:t>
      </w:r>
      <w:r w:rsidRPr="00C73325">
        <w:rPr>
          <w:rFonts w:cs="Times New Roman"/>
          <w:i/>
          <w:sz w:val="22"/>
        </w:rPr>
        <w:t>Managerial Finance</w:t>
      </w:r>
      <w:r w:rsidRPr="00C73325">
        <w:rPr>
          <w:rFonts w:cs="Times New Roman"/>
          <w:sz w:val="22"/>
        </w:rPr>
        <w:t xml:space="preserve">, </w:t>
      </w:r>
      <w:r w:rsidRPr="00C73325">
        <w:rPr>
          <w:rFonts w:cs="Times New Roman"/>
          <w:i/>
          <w:sz w:val="22"/>
        </w:rPr>
        <w:t>37</w:t>
      </w:r>
      <w:r w:rsidRPr="00C73325">
        <w:rPr>
          <w:rFonts w:cs="Times New Roman"/>
          <w:sz w:val="22"/>
        </w:rPr>
        <w:t>(5), 482-488.</w:t>
      </w:r>
    </w:p>
    <w:p w14:paraId="42797C31" w14:textId="0190E6D7" w:rsidR="008F51C8" w:rsidRPr="00C73325" w:rsidRDefault="008F51C8" w:rsidP="00FB1414">
      <w:pPr>
        <w:spacing w:before="0" w:after="0"/>
        <w:ind w:left="284" w:hanging="284"/>
        <w:rPr>
          <w:rFonts w:eastAsia="Times New Roman" w:cs="Times New Roman"/>
          <w:sz w:val="22"/>
          <w:shd w:val="clear" w:color="auto" w:fill="FFFFFF"/>
        </w:rPr>
      </w:pPr>
      <w:r w:rsidRPr="00C73325">
        <w:rPr>
          <w:rFonts w:eastAsia="Times New Roman" w:cs="Times New Roman"/>
          <w:sz w:val="22"/>
          <w:shd w:val="clear" w:color="auto" w:fill="FFFFFF"/>
        </w:rPr>
        <w:t xml:space="preserve">Dalton, K. (2014). </w:t>
      </w:r>
      <w:r w:rsidRPr="00C73325">
        <w:rPr>
          <w:rFonts w:eastAsia="Times New Roman" w:cs="Times New Roman"/>
          <w:i/>
          <w:sz w:val="22"/>
          <w:shd w:val="clear" w:color="auto" w:fill="FFFFFF"/>
        </w:rPr>
        <w:t xml:space="preserve">Book </w:t>
      </w:r>
      <w:r w:rsidR="008047C4" w:rsidRPr="00C73325">
        <w:rPr>
          <w:rFonts w:eastAsia="Times New Roman" w:cs="Times New Roman"/>
          <w:i/>
          <w:sz w:val="22"/>
          <w:shd w:val="clear" w:color="auto" w:fill="FFFFFF"/>
        </w:rPr>
        <w:t xml:space="preserve">Review: </w:t>
      </w:r>
      <w:r w:rsidRPr="00C73325">
        <w:rPr>
          <w:rFonts w:eastAsia="Times New Roman" w:cs="Times New Roman"/>
          <w:i/>
          <w:sz w:val="22"/>
          <w:shd w:val="clear" w:color="auto" w:fill="FFFFFF"/>
        </w:rPr>
        <w:t xml:space="preserve">Key </w:t>
      </w:r>
      <w:r w:rsidR="008047C4" w:rsidRPr="00C73325">
        <w:rPr>
          <w:rFonts w:eastAsia="Times New Roman" w:cs="Times New Roman"/>
          <w:i/>
          <w:sz w:val="22"/>
          <w:shd w:val="clear" w:color="auto" w:fill="FFFFFF"/>
        </w:rPr>
        <w:t>Concepts in Organisation Theory</w:t>
      </w:r>
      <w:r w:rsidRPr="00C73325">
        <w:rPr>
          <w:rFonts w:eastAsia="Times New Roman" w:cs="Times New Roman"/>
          <w:sz w:val="22"/>
          <w:shd w:val="clear" w:color="auto" w:fill="FFFFFF"/>
        </w:rPr>
        <w:t>. London: SAGE Publications.</w:t>
      </w:r>
    </w:p>
    <w:p w14:paraId="499E479B" w14:textId="5431369C" w:rsidR="008F51C8" w:rsidRPr="00C73325" w:rsidRDefault="008F51C8" w:rsidP="00FB1414">
      <w:pPr>
        <w:shd w:val="clear" w:color="auto" w:fill="FFFFFF"/>
        <w:spacing w:before="0" w:after="0"/>
        <w:ind w:left="284" w:hanging="284"/>
        <w:rPr>
          <w:rFonts w:cs="Times New Roman"/>
          <w:bCs/>
          <w:sz w:val="22"/>
        </w:rPr>
      </w:pPr>
      <w:r w:rsidRPr="00AD70E6">
        <w:rPr>
          <w:rFonts w:cs="Times New Roman"/>
          <w:bCs/>
          <w:sz w:val="22"/>
        </w:rPr>
        <w:t xml:space="preserve">Daniel, N.D., &amp; Coles, J.L. (2008). </w:t>
      </w:r>
      <w:r w:rsidRPr="00C73325">
        <w:rPr>
          <w:rFonts w:cs="Times New Roman"/>
          <w:bCs/>
          <w:sz w:val="22"/>
        </w:rPr>
        <w:t xml:space="preserve">Boards: Does one size fit all? </w:t>
      </w:r>
      <w:r w:rsidRPr="00C73325">
        <w:rPr>
          <w:rFonts w:cs="Times New Roman"/>
          <w:bCs/>
          <w:i/>
          <w:sz w:val="22"/>
        </w:rPr>
        <w:t>Journal of Financial Economics,</w:t>
      </w:r>
      <w:r w:rsidRPr="00C73325">
        <w:rPr>
          <w:rFonts w:cs="Times New Roman"/>
          <w:bCs/>
          <w:sz w:val="22"/>
        </w:rPr>
        <w:t xml:space="preserve"> </w:t>
      </w:r>
      <w:r w:rsidRPr="00C73325">
        <w:rPr>
          <w:rFonts w:cs="Times New Roman"/>
          <w:bCs/>
          <w:i/>
          <w:sz w:val="22"/>
        </w:rPr>
        <w:t>87</w:t>
      </w:r>
      <w:r w:rsidRPr="00C73325">
        <w:rPr>
          <w:rFonts w:cs="Times New Roman"/>
          <w:bCs/>
          <w:sz w:val="22"/>
        </w:rPr>
        <w:t>(2), 329-356.</w:t>
      </w:r>
    </w:p>
    <w:p w14:paraId="582DDD0C" w14:textId="714ADE0D" w:rsidR="008F51C8" w:rsidRPr="00C73325" w:rsidRDefault="008F51C8" w:rsidP="00FB1414">
      <w:pPr>
        <w:shd w:val="clear" w:color="auto" w:fill="FFFFFF"/>
        <w:spacing w:before="0" w:after="0"/>
        <w:ind w:left="284" w:hanging="284"/>
        <w:rPr>
          <w:rFonts w:eastAsia="Times New Roman" w:cs="Times New Roman"/>
          <w:sz w:val="22"/>
        </w:rPr>
      </w:pPr>
      <w:r w:rsidRPr="00C73325">
        <w:rPr>
          <w:rFonts w:eastAsia="Times New Roman" w:cs="Times New Roman"/>
          <w:sz w:val="22"/>
        </w:rPr>
        <w:t xml:space="preserve">Davis, J.H., </w:t>
      </w:r>
      <w:proofErr w:type="spellStart"/>
      <w:r w:rsidRPr="00C73325">
        <w:rPr>
          <w:rFonts w:eastAsia="Times New Roman" w:cs="Times New Roman"/>
          <w:sz w:val="22"/>
        </w:rPr>
        <w:t>Schoorman</w:t>
      </w:r>
      <w:proofErr w:type="spellEnd"/>
      <w:r w:rsidRPr="00C73325">
        <w:rPr>
          <w:rFonts w:eastAsia="Times New Roman" w:cs="Times New Roman"/>
          <w:sz w:val="22"/>
        </w:rPr>
        <w:t xml:space="preserve">, F.D., &amp; Donaldson, L. (1997). Toward a stewardship theory of management. </w:t>
      </w:r>
      <w:r w:rsidRPr="00C73325">
        <w:rPr>
          <w:rFonts w:eastAsia="Times New Roman" w:cs="Times New Roman"/>
          <w:i/>
          <w:sz w:val="22"/>
        </w:rPr>
        <w:t>Academy of Management Review</w:t>
      </w:r>
      <w:r w:rsidRPr="00C73325">
        <w:rPr>
          <w:rFonts w:eastAsia="Times New Roman" w:cs="Times New Roman"/>
          <w:sz w:val="22"/>
        </w:rPr>
        <w:t>, 22(1), 20-47.</w:t>
      </w:r>
    </w:p>
    <w:p w14:paraId="3D6128D2" w14:textId="77777777" w:rsidR="00CF563E" w:rsidRPr="00022744" w:rsidRDefault="00CF563E" w:rsidP="00022744">
      <w:pPr>
        <w:shd w:val="clear" w:color="auto" w:fill="FFFFFF"/>
        <w:spacing w:before="0" w:after="0"/>
        <w:ind w:left="284" w:hanging="284"/>
        <w:rPr>
          <w:rFonts w:eastAsia="Times New Roman" w:cs="Times New Roman"/>
          <w:sz w:val="22"/>
        </w:rPr>
      </w:pPr>
      <w:proofErr w:type="spellStart"/>
      <w:r w:rsidRPr="00AD70E6">
        <w:rPr>
          <w:rFonts w:eastAsia="Times New Roman" w:cs="Times New Roman"/>
          <w:sz w:val="22"/>
        </w:rPr>
        <w:t>DeAngelo</w:t>
      </w:r>
      <w:proofErr w:type="spellEnd"/>
      <w:r w:rsidRPr="00AD70E6">
        <w:rPr>
          <w:rFonts w:eastAsia="Times New Roman" w:cs="Times New Roman"/>
          <w:sz w:val="22"/>
        </w:rPr>
        <w:t xml:space="preserve">, H., </w:t>
      </w:r>
      <w:proofErr w:type="spellStart"/>
      <w:r w:rsidRPr="00AD70E6">
        <w:rPr>
          <w:rFonts w:eastAsia="Times New Roman" w:cs="Times New Roman"/>
          <w:sz w:val="22"/>
        </w:rPr>
        <w:t>DeAngelo</w:t>
      </w:r>
      <w:proofErr w:type="spellEnd"/>
      <w:r w:rsidRPr="00AD70E6">
        <w:rPr>
          <w:rFonts w:eastAsia="Times New Roman" w:cs="Times New Roman"/>
          <w:sz w:val="22"/>
        </w:rPr>
        <w:t xml:space="preserve">, L., &amp; </w:t>
      </w:r>
      <w:proofErr w:type="spellStart"/>
      <w:r w:rsidRPr="00AD70E6">
        <w:rPr>
          <w:rFonts w:eastAsia="Times New Roman" w:cs="Times New Roman"/>
          <w:sz w:val="22"/>
        </w:rPr>
        <w:t>Stulz</w:t>
      </w:r>
      <w:proofErr w:type="spellEnd"/>
      <w:r w:rsidRPr="00AD70E6">
        <w:rPr>
          <w:rFonts w:eastAsia="Times New Roman" w:cs="Times New Roman"/>
          <w:sz w:val="22"/>
        </w:rPr>
        <w:t xml:space="preserve">, R. M. (2006). </w:t>
      </w:r>
      <w:r w:rsidRPr="00022744">
        <w:rPr>
          <w:rFonts w:eastAsia="Times New Roman" w:cs="Times New Roman"/>
          <w:sz w:val="22"/>
        </w:rPr>
        <w:t xml:space="preserve">Dividend policy and the earned/contributed capital mix: a test of the life-cycle theory. </w:t>
      </w:r>
      <w:r w:rsidRPr="00022744">
        <w:rPr>
          <w:rFonts w:eastAsia="Times New Roman" w:cs="Times New Roman"/>
          <w:i/>
          <w:iCs/>
          <w:sz w:val="22"/>
        </w:rPr>
        <w:t>Journal of Financial economics, 81</w:t>
      </w:r>
      <w:r w:rsidRPr="00022744">
        <w:rPr>
          <w:rFonts w:eastAsia="Times New Roman" w:cs="Times New Roman"/>
          <w:sz w:val="22"/>
        </w:rPr>
        <w:t>(2), 227-254.</w:t>
      </w:r>
    </w:p>
    <w:p w14:paraId="1B3E3AC6" w14:textId="77777777" w:rsidR="008F51C8" w:rsidRPr="00FF6091" w:rsidRDefault="008F51C8" w:rsidP="00FB1414">
      <w:pPr>
        <w:shd w:val="clear" w:color="auto" w:fill="FFFFFF"/>
        <w:spacing w:before="0" w:after="0"/>
        <w:ind w:left="284" w:hanging="284"/>
        <w:rPr>
          <w:rFonts w:eastAsia="Times New Roman" w:cs="Times New Roman"/>
          <w:sz w:val="22"/>
        </w:rPr>
      </w:pPr>
      <w:proofErr w:type="spellStart"/>
      <w:r w:rsidRPr="00C73325">
        <w:rPr>
          <w:rFonts w:eastAsia="Times New Roman" w:cs="Times New Roman"/>
          <w:sz w:val="22"/>
        </w:rPr>
        <w:t>Denninger</w:t>
      </w:r>
      <w:proofErr w:type="spellEnd"/>
      <w:r w:rsidRPr="00C73325">
        <w:rPr>
          <w:rFonts w:eastAsia="Times New Roman" w:cs="Times New Roman"/>
          <w:sz w:val="22"/>
        </w:rPr>
        <w:t xml:space="preserve">, K. (2012). </w:t>
      </w:r>
      <w:r w:rsidRPr="00FF6091">
        <w:rPr>
          <w:rFonts w:eastAsia="Times New Roman" w:cs="Times New Roman"/>
          <w:i/>
          <w:sz w:val="22"/>
        </w:rPr>
        <w:t>Leverage</w:t>
      </w:r>
      <w:r w:rsidRPr="00FF6091">
        <w:rPr>
          <w:rFonts w:eastAsia="Times New Roman" w:cs="Times New Roman"/>
          <w:sz w:val="22"/>
        </w:rPr>
        <w:t>. US: John Wiley &amp; Sons Inc.</w:t>
      </w:r>
    </w:p>
    <w:p w14:paraId="049E8BB3" w14:textId="77777777" w:rsidR="008F51C8" w:rsidRPr="00C73325" w:rsidRDefault="008F51C8" w:rsidP="00FB1414">
      <w:pPr>
        <w:shd w:val="clear" w:color="auto" w:fill="FFFFFF"/>
        <w:spacing w:before="0" w:after="0"/>
        <w:ind w:left="284" w:hanging="284"/>
        <w:rPr>
          <w:rFonts w:eastAsia="Times New Roman" w:cs="Times New Roman"/>
          <w:sz w:val="22"/>
        </w:rPr>
      </w:pPr>
      <w:r w:rsidRPr="00C73325">
        <w:rPr>
          <w:rFonts w:eastAsia="Times New Roman" w:cs="Times New Roman"/>
          <w:sz w:val="22"/>
        </w:rPr>
        <w:t xml:space="preserve">Donaldson, L. (1991). Stewardship theory or agency theory: CEO governance and shareholder returns. </w:t>
      </w:r>
      <w:r w:rsidRPr="00C73325">
        <w:rPr>
          <w:rFonts w:eastAsia="Times New Roman" w:cs="Times New Roman"/>
          <w:i/>
          <w:sz w:val="22"/>
        </w:rPr>
        <w:t>Australian Journal of Management</w:t>
      </w:r>
      <w:r w:rsidRPr="00C73325">
        <w:rPr>
          <w:rFonts w:eastAsia="Times New Roman" w:cs="Times New Roman"/>
          <w:sz w:val="22"/>
        </w:rPr>
        <w:t xml:space="preserve">, </w:t>
      </w:r>
      <w:r w:rsidRPr="00C73325">
        <w:rPr>
          <w:rFonts w:eastAsia="Times New Roman" w:cs="Times New Roman"/>
          <w:i/>
          <w:sz w:val="22"/>
        </w:rPr>
        <w:t>16</w:t>
      </w:r>
      <w:r w:rsidRPr="00C73325">
        <w:rPr>
          <w:rFonts w:eastAsia="Times New Roman" w:cs="Times New Roman"/>
          <w:sz w:val="22"/>
        </w:rPr>
        <w:t>(1), 49-64.</w:t>
      </w:r>
    </w:p>
    <w:p w14:paraId="21766978" w14:textId="7BAEE90B" w:rsidR="006F62E8" w:rsidRPr="00C73325" w:rsidRDefault="006F62E8" w:rsidP="006F62E8">
      <w:pPr>
        <w:spacing w:before="0" w:after="0"/>
        <w:ind w:left="284" w:hanging="284"/>
        <w:rPr>
          <w:rFonts w:eastAsia="Times New Roman" w:cs="Times New Roman"/>
          <w:sz w:val="22"/>
        </w:rPr>
      </w:pPr>
      <w:r w:rsidRPr="00C73325">
        <w:rPr>
          <w:rFonts w:eastAsia="Times New Roman" w:cs="Times New Roman"/>
          <w:sz w:val="22"/>
        </w:rPr>
        <w:t xml:space="preserve">Easterbrook, F. H. (1984). Two agency-cost explanations of dividends. </w:t>
      </w:r>
      <w:r w:rsidRPr="00C73325">
        <w:rPr>
          <w:rFonts w:eastAsia="Times New Roman" w:cs="Times New Roman"/>
          <w:i/>
          <w:iCs/>
          <w:sz w:val="22"/>
        </w:rPr>
        <w:t>American Economic Review, 74</w:t>
      </w:r>
      <w:r w:rsidRPr="00C73325">
        <w:rPr>
          <w:rFonts w:eastAsia="Times New Roman" w:cs="Times New Roman"/>
          <w:sz w:val="22"/>
        </w:rPr>
        <w:t>(4), 650-659.</w:t>
      </w:r>
    </w:p>
    <w:p w14:paraId="377A230C" w14:textId="6E455F8D" w:rsidR="008F51C8" w:rsidRPr="00C73325" w:rsidRDefault="008F51C8" w:rsidP="00FB1414">
      <w:pPr>
        <w:spacing w:before="0" w:after="0"/>
        <w:ind w:left="284" w:hanging="284"/>
        <w:rPr>
          <w:rFonts w:cs="Times New Roman"/>
          <w:sz w:val="22"/>
        </w:rPr>
      </w:pPr>
      <w:proofErr w:type="spellStart"/>
      <w:r w:rsidRPr="00C73325">
        <w:rPr>
          <w:rFonts w:eastAsia="Times New Roman" w:cs="Times New Roman"/>
          <w:sz w:val="22"/>
        </w:rPr>
        <w:t>Emamalizadeh</w:t>
      </w:r>
      <w:proofErr w:type="spellEnd"/>
      <w:r w:rsidRPr="00C73325">
        <w:rPr>
          <w:rFonts w:eastAsia="Times New Roman" w:cs="Times New Roman"/>
          <w:sz w:val="22"/>
        </w:rPr>
        <w:t xml:space="preserve">, M., Ahmadi, M., &amp; </w:t>
      </w:r>
      <w:proofErr w:type="spellStart"/>
      <w:r w:rsidRPr="00C73325">
        <w:rPr>
          <w:rFonts w:eastAsia="Times New Roman" w:cs="Times New Roman"/>
          <w:sz w:val="22"/>
        </w:rPr>
        <w:t>Pouyamanesh</w:t>
      </w:r>
      <w:proofErr w:type="spellEnd"/>
      <w:r w:rsidRPr="00C73325">
        <w:rPr>
          <w:rFonts w:eastAsia="Times New Roman" w:cs="Times New Roman"/>
          <w:sz w:val="22"/>
        </w:rPr>
        <w:t xml:space="preserve">, J. (2013). Impact of financial leverage on dividend policy at Tehran Stock Exchange: A case study of food industry. </w:t>
      </w:r>
      <w:r w:rsidRPr="00C73325">
        <w:rPr>
          <w:rFonts w:eastAsia="Times New Roman" w:cs="Times New Roman"/>
          <w:i/>
          <w:sz w:val="22"/>
        </w:rPr>
        <w:t>African Journal of Business Management</w:t>
      </w:r>
      <w:r w:rsidRPr="00C73325">
        <w:rPr>
          <w:rFonts w:eastAsia="Times New Roman" w:cs="Times New Roman"/>
          <w:sz w:val="22"/>
        </w:rPr>
        <w:t xml:space="preserve">, </w:t>
      </w:r>
      <w:r w:rsidRPr="00C73325">
        <w:rPr>
          <w:rFonts w:eastAsia="Times New Roman" w:cs="Times New Roman"/>
          <w:i/>
          <w:sz w:val="22"/>
        </w:rPr>
        <w:t>7</w:t>
      </w:r>
      <w:r w:rsidRPr="00C73325">
        <w:rPr>
          <w:rFonts w:eastAsia="Times New Roman" w:cs="Times New Roman"/>
          <w:sz w:val="22"/>
        </w:rPr>
        <w:t>(34) 3287</w:t>
      </w:r>
      <w:r w:rsidR="008047C4" w:rsidRPr="00C73325">
        <w:rPr>
          <w:rFonts w:eastAsia="Times New Roman" w:cs="Times New Roman"/>
          <w:sz w:val="22"/>
        </w:rPr>
        <w:t>-</w:t>
      </w:r>
      <w:r w:rsidRPr="00C73325">
        <w:rPr>
          <w:rFonts w:eastAsia="Times New Roman" w:cs="Times New Roman"/>
          <w:sz w:val="22"/>
        </w:rPr>
        <w:t>3296.</w:t>
      </w:r>
    </w:p>
    <w:p w14:paraId="639F4BE3" w14:textId="6B5F6BF5" w:rsidR="008F51C8" w:rsidRPr="00C73325" w:rsidRDefault="008F51C8" w:rsidP="00FB1414">
      <w:pPr>
        <w:shd w:val="clear" w:color="auto" w:fill="FFFFFF"/>
        <w:spacing w:before="0" w:after="0"/>
        <w:ind w:left="284" w:hanging="284"/>
        <w:rPr>
          <w:rFonts w:eastAsia="Times New Roman" w:cs="Times New Roman"/>
          <w:sz w:val="22"/>
        </w:rPr>
      </w:pPr>
      <w:proofErr w:type="spellStart"/>
      <w:r w:rsidRPr="00C73325">
        <w:rPr>
          <w:rFonts w:eastAsia="Times New Roman" w:cs="Times New Roman"/>
          <w:sz w:val="22"/>
        </w:rPr>
        <w:t>Eng</w:t>
      </w:r>
      <w:proofErr w:type="spellEnd"/>
      <w:r w:rsidRPr="00C73325">
        <w:rPr>
          <w:rFonts w:eastAsia="Times New Roman" w:cs="Times New Roman"/>
          <w:sz w:val="22"/>
        </w:rPr>
        <w:t xml:space="preserve">, S.H., </w:t>
      </w:r>
      <w:proofErr w:type="spellStart"/>
      <w:r w:rsidRPr="00C73325">
        <w:rPr>
          <w:rFonts w:eastAsia="Times New Roman" w:cs="Times New Roman"/>
          <w:sz w:val="22"/>
        </w:rPr>
        <w:t>Yahya</w:t>
      </w:r>
      <w:proofErr w:type="spellEnd"/>
      <w:r w:rsidRPr="00C73325">
        <w:rPr>
          <w:rFonts w:eastAsia="Times New Roman" w:cs="Times New Roman"/>
          <w:sz w:val="22"/>
        </w:rPr>
        <w:t xml:space="preserve">, M.H., &amp; </w:t>
      </w:r>
      <w:proofErr w:type="spellStart"/>
      <w:r w:rsidRPr="00C73325">
        <w:rPr>
          <w:rFonts w:eastAsia="Times New Roman" w:cs="Times New Roman"/>
          <w:sz w:val="22"/>
        </w:rPr>
        <w:t>Hadi</w:t>
      </w:r>
      <w:proofErr w:type="spellEnd"/>
      <w:r w:rsidRPr="00C73325">
        <w:rPr>
          <w:rFonts w:eastAsia="Times New Roman" w:cs="Times New Roman"/>
          <w:sz w:val="22"/>
        </w:rPr>
        <w:t xml:space="preserve">, A.R.A. (2013). The dividend </w:t>
      </w:r>
      <w:r w:rsidR="009966D6" w:rsidRPr="00C73325">
        <w:rPr>
          <w:rFonts w:eastAsia="Times New Roman" w:cs="Times New Roman"/>
          <w:sz w:val="22"/>
        </w:rPr>
        <w:t>pay-out</w:t>
      </w:r>
      <w:r w:rsidRPr="00C73325">
        <w:rPr>
          <w:rFonts w:eastAsia="Times New Roman" w:cs="Times New Roman"/>
          <w:sz w:val="22"/>
        </w:rPr>
        <w:t xml:space="preserve"> policy – </w:t>
      </w:r>
      <w:r w:rsidR="00DE0B48" w:rsidRPr="00C73325">
        <w:rPr>
          <w:rFonts w:eastAsia="Times New Roman" w:cs="Times New Roman"/>
          <w:sz w:val="22"/>
        </w:rPr>
        <w:t>A</w:t>
      </w:r>
      <w:r w:rsidRPr="00C73325">
        <w:rPr>
          <w:rFonts w:eastAsia="Times New Roman" w:cs="Times New Roman"/>
          <w:sz w:val="22"/>
        </w:rPr>
        <w:t xml:space="preserve"> comparison on Malaysian Islamic and conventional financial institutions. </w:t>
      </w:r>
      <w:r w:rsidRPr="00C73325">
        <w:rPr>
          <w:rFonts w:eastAsia="Times New Roman" w:cs="Times New Roman"/>
          <w:i/>
          <w:sz w:val="22"/>
        </w:rPr>
        <w:t>In The 2013 WEI International Academic Conference Proceedings Istanbul, Turkey. Retrieved from</w:t>
      </w:r>
      <w:r w:rsidRPr="00C73325">
        <w:rPr>
          <w:rFonts w:eastAsia="Times New Roman" w:cs="Times New Roman"/>
          <w:sz w:val="22"/>
        </w:rPr>
        <w:t>: http://www.westeastinstitute.com/wp-content/uploads/2013/.</w:t>
      </w:r>
    </w:p>
    <w:p w14:paraId="712F3D12" w14:textId="490B5E65" w:rsidR="008F51C8" w:rsidRPr="00C73325" w:rsidRDefault="008F51C8" w:rsidP="00FB1414">
      <w:pPr>
        <w:spacing w:before="0" w:after="0"/>
        <w:ind w:left="284" w:hanging="284"/>
        <w:rPr>
          <w:rFonts w:cs="Times New Roman"/>
          <w:sz w:val="22"/>
        </w:rPr>
      </w:pPr>
      <w:proofErr w:type="spellStart"/>
      <w:r w:rsidRPr="00C73325">
        <w:rPr>
          <w:rFonts w:cs="Times New Roman"/>
          <w:sz w:val="22"/>
        </w:rPr>
        <w:t>Ergungor</w:t>
      </w:r>
      <w:proofErr w:type="spellEnd"/>
      <w:r w:rsidRPr="00C73325">
        <w:rPr>
          <w:rFonts w:cs="Times New Roman"/>
          <w:sz w:val="22"/>
        </w:rPr>
        <w:t xml:space="preserve">, O.E. (2004). </w:t>
      </w:r>
      <w:r w:rsidRPr="00C73325">
        <w:rPr>
          <w:rFonts w:cs="Times New Roman"/>
          <w:i/>
          <w:sz w:val="22"/>
        </w:rPr>
        <w:t>Dividends.</w:t>
      </w:r>
      <w:r w:rsidRPr="00C73325">
        <w:rPr>
          <w:rFonts w:cs="Times New Roman"/>
          <w:sz w:val="22"/>
        </w:rPr>
        <w:t xml:space="preserve"> </w:t>
      </w:r>
      <w:r w:rsidRPr="00C73325">
        <w:rPr>
          <w:rFonts w:cs="Times New Roman"/>
          <w:i/>
          <w:sz w:val="22"/>
        </w:rPr>
        <w:t>Retrieved from</w:t>
      </w:r>
      <w:r w:rsidR="002E1256" w:rsidRPr="00C73325">
        <w:rPr>
          <w:rFonts w:cs="Times New Roman"/>
          <w:i/>
          <w:sz w:val="22"/>
        </w:rPr>
        <w:t>:</w:t>
      </w:r>
      <w:r w:rsidRPr="00C73325">
        <w:rPr>
          <w:rFonts w:cs="Times New Roman"/>
          <w:sz w:val="22"/>
        </w:rPr>
        <w:t xml:space="preserve"> </w:t>
      </w:r>
      <w:hyperlink r:id="rId11" w:history="1">
        <w:r w:rsidRPr="00FF6091">
          <w:rPr>
            <w:rStyle w:val="Hyperlink"/>
            <w:rFonts w:cs="Times New Roman"/>
            <w:color w:val="auto"/>
            <w:sz w:val="22"/>
            <w:u w:val="none"/>
          </w:rPr>
          <w:t>http://www.highbeam.com/doc/1P3-637841331.html</w:t>
        </w:r>
      </w:hyperlink>
      <w:r w:rsidRPr="00C73325">
        <w:rPr>
          <w:rFonts w:cs="Times New Roman"/>
          <w:sz w:val="22"/>
        </w:rPr>
        <w:t>.</w:t>
      </w:r>
    </w:p>
    <w:p w14:paraId="3C46D42D" w14:textId="1181E1C5" w:rsidR="008F51C8" w:rsidRPr="00C73325" w:rsidRDefault="008F51C8" w:rsidP="00FB1414">
      <w:pPr>
        <w:shd w:val="clear" w:color="auto" w:fill="FFFFFF"/>
        <w:spacing w:before="0" w:after="0"/>
        <w:ind w:left="284" w:hanging="284"/>
        <w:rPr>
          <w:rFonts w:eastAsia="Times New Roman" w:cs="Times New Roman"/>
          <w:sz w:val="22"/>
        </w:rPr>
      </w:pPr>
      <w:r w:rsidRPr="00022744">
        <w:rPr>
          <w:rFonts w:eastAsia="Times New Roman" w:cs="Times New Roman"/>
          <w:sz w:val="22"/>
          <w:lang w:val="de-DE"/>
        </w:rPr>
        <w:t xml:space="preserve">Erhardt, N.L., </w:t>
      </w:r>
      <w:proofErr w:type="spellStart"/>
      <w:r w:rsidRPr="00022744">
        <w:rPr>
          <w:rFonts w:eastAsia="Times New Roman" w:cs="Times New Roman"/>
          <w:sz w:val="22"/>
          <w:lang w:val="de-DE"/>
        </w:rPr>
        <w:t>Werbel</w:t>
      </w:r>
      <w:proofErr w:type="spellEnd"/>
      <w:r w:rsidRPr="00022744">
        <w:rPr>
          <w:rFonts w:eastAsia="Times New Roman" w:cs="Times New Roman"/>
          <w:sz w:val="22"/>
          <w:lang w:val="de-DE"/>
        </w:rPr>
        <w:t xml:space="preserve">, J.D., &amp; Schrader, </w:t>
      </w:r>
      <w:r w:rsidR="004E7B4F" w:rsidRPr="00022744">
        <w:rPr>
          <w:rFonts w:eastAsia="Times New Roman" w:cs="Times New Roman"/>
          <w:sz w:val="22"/>
          <w:lang w:val="de-DE"/>
        </w:rPr>
        <w:t xml:space="preserve">C.B. (2003). </w:t>
      </w:r>
      <w:r w:rsidR="004E7B4F" w:rsidRPr="00C73325">
        <w:rPr>
          <w:rFonts w:eastAsia="Times New Roman" w:cs="Times New Roman"/>
          <w:sz w:val="22"/>
        </w:rPr>
        <w:t>Board of director</w:t>
      </w:r>
      <w:r w:rsidRPr="00C73325">
        <w:rPr>
          <w:rFonts w:eastAsia="Times New Roman" w:cs="Times New Roman"/>
          <w:sz w:val="22"/>
        </w:rPr>
        <w:t xml:space="preserve"> diversity and firm financial performance. </w:t>
      </w:r>
      <w:r w:rsidRPr="00C73325">
        <w:rPr>
          <w:rFonts w:eastAsia="Times New Roman" w:cs="Times New Roman"/>
          <w:i/>
          <w:sz w:val="22"/>
        </w:rPr>
        <w:t>Corporate Governance,</w:t>
      </w:r>
      <w:r w:rsidRPr="00C73325">
        <w:rPr>
          <w:rFonts w:eastAsia="Times New Roman" w:cs="Times New Roman"/>
          <w:sz w:val="22"/>
        </w:rPr>
        <w:t xml:space="preserve"> </w:t>
      </w:r>
      <w:r w:rsidRPr="00C73325">
        <w:rPr>
          <w:rFonts w:eastAsia="Times New Roman" w:cs="Times New Roman"/>
          <w:i/>
          <w:sz w:val="22"/>
        </w:rPr>
        <w:t>11</w:t>
      </w:r>
      <w:r w:rsidRPr="00C73325">
        <w:rPr>
          <w:rFonts w:eastAsia="Times New Roman" w:cs="Times New Roman"/>
          <w:sz w:val="22"/>
        </w:rPr>
        <w:t>, 102</w:t>
      </w:r>
      <w:r w:rsidR="008047C4" w:rsidRPr="00C73325">
        <w:rPr>
          <w:rFonts w:eastAsia="Times New Roman" w:cs="Times New Roman"/>
          <w:sz w:val="22"/>
        </w:rPr>
        <w:t>-</w:t>
      </w:r>
      <w:r w:rsidRPr="00C73325">
        <w:rPr>
          <w:rFonts w:eastAsia="Times New Roman" w:cs="Times New Roman"/>
          <w:sz w:val="22"/>
        </w:rPr>
        <w:t>111.</w:t>
      </w:r>
    </w:p>
    <w:p w14:paraId="6DEE1823" w14:textId="3AB88E9A" w:rsidR="006F62E8" w:rsidRPr="00C73325" w:rsidRDefault="006F62E8" w:rsidP="006F62E8">
      <w:pPr>
        <w:spacing w:before="0" w:after="0"/>
        <w:ind w:left="284" w:hanging="284"/>
        <w:rPr>
          <w:rFonts w:cs="Times New Roman"/>
          <w:sz w:val="22"/>
          <w:lang w:val="en-US"/>
        </w:rPr>
      </w:pPr>
      <w:proofErr w:type="spellStart"/>
      <w:r w:rsidRPr="00C73325">
        <w:rPr>
          <w:rFonts w:cs="Times New Roman"/>
          <w:sz w:val="22"/>
          <w:lang w:val="en-US"/>
        </w:rPr>
        <w:t>Esqueda</w:t>
      </w:r>
      <w:proofErr w:type="spellEnd"/>
      <w:r w:rsidRPr="00C73325">
        <w:rPr>
          <w:rFonts w:cs="Times New Roman"/>
          <w:sz w:val="22"/>
          <w:lang w:val="en-US"/>
        </w:rPr>
        <w:t xml:space="preserve">, O. A. (2016). Signaling, corporate governance, and the equilibrium dividend policy. </w:t>
      </w:r>
      <w:r w:rsidRPr="00C73325">
        <w:rPr>
          <w:rFonts w:cs="Times New Roman"/>
          <w:i/>
          <w:iCs/>
          <w:sz w:val="22"/>
          <w:lang w:val="en-US"/>
        </w:rPr>
        <w:t>Quarterly Review of Economics and Finance, 59</w:t>
      </w:r>
      <w:r w:rsidRPr="00C73325">
        <w:rPr>
          <w:rFonts w:cs="Times New Roman"/>
          <w:sz w:val="22"/>
          <w:lang w:val="en-US"/>
        </w:rPr>
        <w:t>, 186-199.</w:t>
      </w:r>
    </w:p>
    <w:p w14:paraId="044686E9" w14:textId="04223AD4" w:rsidR="008F51C8" w:rsidRPr="00C73325" w:rsidRDefault="008F51C8" w:rsidP="00FB1414">
      <w:pPr>
        <w:spacing w:before="0" w:after="0"/>
        <w:ind w:left="284" w:hanging="284"/>
        <w:rPr>
          <w:rFonts w:cs="Times New Roman"/>
          <w:sz w:val="22"/>
          <w:lang w:val="en-US"/>
        </w:rPr>
      </w:pPr>
      <w:proofErr w:type="spellStart"/>
      <w:r w:rsidRPr="00C73325">
        <w:rPr>
          <w:rFonts w:cs="Times New Roman"/>
          <w:sz w:val="22"/>
          <w:lang w:val="en-US"/>
        </w:rPr>
        <w:t>Fama</w:t>
      </w:r>
      <w:proofErr w:type="spellEnd"/>
      <w:r w:rsidRPr="00C73325">
        <w:rPr>
          <w:rFonts w:cs="Times New Roman"/>
          <w:sz w:val="22"/>
          <w:lang w:val="en-US"/>
        </w:rPr>
        <w:t xml:space="preserve">, E.F., &amp; French, K.R. (2001). Disappearing dividends: Changing firm characteristics or lower propensity to pay? </w:t>
      </w:r>
      <w:r w:rsidRPr="00C73325">
        <w:rPr>
          <w:rFonts w:cs="Times New Roman"/>
          <w:i/>
          <w:sz w:val="22"/>
          <w:lang w:val="en-US"/>
        </w:rPr>
        <w:t>Journal of Financial Economics,</w:t>
      </w:r>
      <w:r w:rsidRPr="00C73325">
        <w:rPr>
          <w:rFonts w:cs="Times New Roman"/>
          <w:sz w:val="22"/>
          <w:lang w:val="en-US"/>
        </w:rPr>
        <w:t xml:space="preserve"> </w:t>
      </w:r>
      <w:r w:rsidRPr="00C73325">
        <w:rPr>
          <w:rFonts w:cs="Times New Roman"/>
          <w:i/>
          <w:sz w:val="22"/>
          <w:lang w:val="en-US"/>
        </w:rPr>
        <w:t>60</w:t>
      </w:r>
      <w:r w:rsidRPr="00C73325">
        <w:rPr>
          <w:rFonts w:cs="Times New Roman"/>
          <w:sz w:val="22"/>
          <w:lang w:val="en-US"/>
        </w:rPr>
        <w:t>(1), 3-43.</w:t>
      </w:r>
    </w:p>
    <w:p w14:paraId="1916D71E" w14:textId="77777777" w:rsidR="00892143" w:rsidRPr="00C73325" w:rsidRDefault="00892143" w:rsidP="00892143">
      <w:pPr>
        <w:shd w:val="clear" w:color="auto" w:fill="FFFFFF"/>
        <w:spacing w:before="0" w:after="0"/>
        <w:ind w:left="284" w:hanging="284"/>
        <w:rPr>
          <w:rFonts w:eastAsia="Times New Roman" w:cs="Times New Roman"/>
          <w:i/>
          <w:iCs/>
          <w:sz w:val="22"/>
        </w:rPr>
      </w:pPr>
      <w:proofErr w:type="spellStart"/>
      <w:r w:rsidRPr="00C73325">
        <w:rPr>
          <w:rFonts w:eastAsia="Times New Roman" w:cs="Times New Roman"/>
          <w:sz w:val="22"/>
        </w:rPr>
        <w:t>Fama</w:t>
      </w:r>
      <w:proofErr w:type="spellEnd"/>
      <w:r w:rsidRPr="00C73325">
        <w:rPr>
          <w:rFonts w:eastAsia="Times New Roman" w:cs="Times New Roman"/>
          <w:sz w:val="22"/>
        </w:rPr>
        <w:t xml:space="preserve">, E.F., and Jensen, M.C. (1983). Separation of ownership and control. </w:t>
      </w:r>
      <w:r w:rsidRPr="00C73325">
        <w:rPr>
          <w:rFonts w:eastAsia="Times New Roman" w:cs="Times New Roman"/>
          <w:i/>
          <w:iCs/>
          <w:sz w:val="22"/>
        </w:rPr>
        <w:t>Journal of law and</w:t>
      </w:r>
    </w:p>
    <w:p w14:paraId="25A683FC" w14:textId="286F88BA" w:rsidR="00892143" w:rsidRPr="00C73325" w:rsidRDefault="00892143" w:rsidP="00892143">
      <w:pPr>
        <w:shd w:val="clear" w:color="auto" w:fill="FFFFFF"/>
        <w:spacing w:before="0" w:after="0"/>
        <w:ind w:left="284" w:hanging="284"/>
        <w:rPr>
          <w:rFonts w:eastAsia="Times New Roman" w:cs="Times New Roman"/>
          <w:sz w:val="22"/>
        </w:rPr>
      </w:pPr>
      <w:r w:rsidRPr="00C73325">
        <w:rPr>
          <w:rFonts w:eastAsia="Times New Roman" w:cs="Times New Roman"/>
          <w:i/>
          <w:iCs/>
          <w:sz w:val="22"/>
        </w:rPr>
        <w:t xml:space="preserve">     </w:t>
      </w:r>
      <w:proofErr w:type="gramStart"/>
      <w:r w:rsidRPr="00C73325">
        <w:rPr>
          <w:rFonts w:eastAsia="Times New Roman" w:cs="Times New Roman"/>
          <w:i/>
          <w:iCs/>
          <w:sz w:val="22"/>
        </w:rPr>
        <w:t>economics,</w:t>
      </w:r>
      <w:proofErr w:type="gramEnd"/>
      <w:r w:rsidRPr="00C73325">
        <w:rPr>
          <w:rFonts w:eastAsia="Times New Roman" w:cs="Times New Roman"/>
          <w:i/>
          <w:iCs/>
          <w:sz w:val="22"/>
        </w:rPr>
        <w:t>26</w:t>
      </w:r>
      <w:r w:rsidRPr="00C73325">
        <w:rPr>
          <w:rFonts w:eastAsia="Times New Roman" w:cs="Times New Roman"/>
          <w:sz w:val="22"/>
        </w:rPr>
        <w:t>, 301-325.</w:t>
      </w:r>
    </w:p>
    <w:p w14:paraId="7447259C" w14:textId="6D6B50E5" w:rsidR="008F51C8" w:rsidRPr="00C73325" w:rsidRDefault="008F51C8" w:rsidP="00FB1414">
      <w:pPr>
        <w:shd w:val="clear" w:color="auto" w:fill="FFFFFF"/>
        <w:spacing w:before="0" w:after="0"/>
        <w:ind w:left="284" w:hanging="284"/>
        <w:rPr>
          <w:rFonts w:eastAsia="Times New Roman" w:cs="Times New Roman"/>
          <w:sz w:val="22"/>
        </w:rPr>
      </w:pPr>
      <w:r w:rsidRPr="00C73325">
        <w:rPr>
          <w:rFonts w:eastAsia="Times New Roman" w:cs="Times New Roman"/>
          <w:sz w:val="22"/>
        </w:rPr>
        <w:t xml:space="preserve">Fox, M.A., &amp; Hamilton, R.T. (1994). Ownership and </w:t>
      </w:r>
      <w:r w:rsidR="00D377A6" w:rsidRPr="00C73325">
        <w:rPr>
          <w:rFonts w:eastAsia="Times New Roman" w:cs="Times New Roman"/>
          <w:sz w:val="22"/>
        </w:rPr>
        <w:t>diver</w:t>
      </w:r>
      <w:r w:rsidRPr="00C73325">
        <w:rPr>
          <w:rFonts w:eastAsia="Times New Roman" w:cs="Times New Roman"/>
          <w:sz w:val="22"/>
        </w:rPr>
        <w:t xml:space="preserve">sification: Agency </w:t>
      </w:r>
      <w:r w:rsidR="00D377A6" w:rsidRPr="00C73325">
        <w:rPr>
          <w:rFonts w:eastAsia="Times New Roman" w:cs="Times New Roman"/>
          <w:sz w:val="22"/>
        </w:rPr>
        <w:t>theory or stewardship theory</w:t>
      </w:r>
      <w:r w:rsidRPr="00C73325">
        <w:rPr>
          <w:rFonts w:eastAsia="Times New Roman" w:cs="Times New Roman"/>
          <w:sz w:val="22"/>
        </w:rPr>
        <w:t xml:space="preserve">. </w:t>
      </w:r>
      <w:r w:rsidRPr="00C73325">
        <w:rPr>
          <w:rFonts w:eastAsia="Times New Roman" w:cs="Times New Roman"/>
          <w:i/>
          <w:sz w:val="22"/>
        </w:rPr>
        <w:t>Journal of Management Studies</w:t>
      </w:r>
      <w:r w:rsidRPr="00C73325">
        <w:rPr>
          <w:rFonts w:eastAsia="Times New Roman" w:cs="Times New Roman"/>
          <w:sz w:val="22"/>
        </w:rPr>
        <w:t xml:space="preserve">, </w:t>
      </w:r>
      <w:r w:rsidRPr="00C73325">
        <w:rPr>
          <w:rFonts w:eastAsia="Times New Roman" w:cs="Times New Roman"/>
          <w:i/>
          <w:sz w:val="22"/>
        </w:rPr>
        <w:t>31</w:t>
      </w:r>
      <w:r w:rsidRPr="00C73325">
        <w:rPr>
          <w:rFonts w:eastAsia="Times New Roman" w:cs="Times New Roman"/>
          <w:sz w:val="22"/>
        </w:rPr>
        <w:t>(1), 69-81.</w:t>
      </w:r>
    </w:p>
    <w:p w14:paraId="4A623517" w14:textId="6100E7B0" w:rsidR="008F51C8" w:rsidRPr="00C73325" w:rsidRDefault="008F51C8" w:rsidP="00FB1414">
      <w:pPr>
        <w:spacing w:before="0" w:after="0"/>
        <w:ind w:left="284" w:hanging="284"/>
        <w:rPr>
          <w:rFonts w:cs="Times New Roman"/>
          <w:bCs/>
          <w:sz w:val="22"/>
        </w:rPr>
      </w:pPr>
      <w:r w:rsidRPr="00C73325">
        <w:rPr>
          <w:rFonts w:cs="Times New Roman"/>
          <w:bCs/>
          <w:sz w:val="22"/>
        </w:rPr>
        <w:lastRenderedPageBreak/>
        <w:t xml:space="preserve">FRC. (2010). </w:t>
      </w:r>
      <w:proofErr w:type="gramStart"/>
      <w:r w:rsidRPr="00C73325">
        <w:rPr>
          <w:rFonts w:cs="Times New Roman"/>
          <w:bCs/>
          <w:i/>
          <w:sz w:val="22"/>
        </w:rPr>
        <w:t>The</w:t>
      </w:r>
      <w:proofErr w:type="gramEnd"/>
      <w:r w:rsidRPr="00C73325">
        <w:rPr>
          <w:rFonts w:cs="Times New Roman"/>
          <w:bCs/>
          <w:i/>
          <w:sz w:val="22"/>
        </w:rPr>
        <w:t xml:space="preserve"> UK </w:t>
      </w:r>
      <w:r w:rsidR="00D377A6" w:rsidRPr="00C73325">
        <w:rPr>
          <w:rFonts w:cs="Times New Roman"/>
          <w:bCs/>
          <w:i/>
          <w:sz w:val="22"/>
        </w:rPr>
        <w:t>A</w:t>
      </w:r>
      <w:r w:rsidRPr="00C73325">
        <w:rPr>
          <w:rFonts w:cs="Times New Roman"/>
          <w:bCs/>
          <w:i/>
          <w:sz w:val="22"/>
        </w:rPr>
        <w:t>pproach to Corporate Governance</w:t>
      </w:r>
      <w:r w:rsidRPr="00C73325">
        <w:rPr>
          <w:rFonts w:cs="Times New Roman"/>
          <w:bCs/>
          <w:sz w:val="22"/>
        </w:rPr>
        <w:t>. London: Financial Reporting Council.</w:t>
      </w:r>
    </w:p>
    <w:p w14:paraId="349B9404" w14:textId="42231A5A" w:rsidR="008F51C8" w:rsidRPr="00C73325" w:rsidRDefault="008F51C8" w:rsidP="00FB1414">
      <w:pPr>
        <w:spacing w:before="0" w:after="0"/>
        <w:ind w:left="284" w:hanging="284"/>
        <w:rPr>
          <w:rFonts w:cs="Times New Roman"/>
          <w:bCs/>
          <w:sz w:val="22"/>
        </w:rPr>
      </w:pPr>
      <w:r w:rsidRPr="00C73325">
        <w:rPr>
          <w:rFonts w:cs="Times New Roman"/>
          <w:bCs/>
          <w:sz w:val="22"/>
        </w:rPr>
        <w:t xml:space="preserve">FRC. (2012). </w:t>
      </w:r>
      <w:proofErr w:type="gramStart"/>
      <w:r w:rsidR="004E7B4F" w:rsidRPr="00C73325">
        <w:rPr>
          <w:rFonts w:cs="Times New Roman"/>
          <w:bCs/>
          <w:i/>
          <w:sz w:val="22"/>
        </w:rPr>
        <w:t>The</w:t>
      </w:r>
      <w:proofErr w:type="gramEnd"/>
      <w:r w:rsidRPr="00C73325">
        <w:rPr>
          <w:rFonts w:cs="Times New Roman"/>
          <w:bCs/>
          <w:i/>
          <w:sz w:val="22"/>
        </w:rPr>
        <w:t xml:space="preserve"> UK Corporate Governance Code</w:t>
      </w:r>
      <w:r w:rsidRPr="00C73325">
        <w:rPr>
          <w:rFonts w:cs="Times New Roman"/>
          <w:bCs/>
          <w:sz w:val="22"/>
        </w:rPr>
        <w:t>. London: Financial Reporting Council.</w:t>
      </w:r>
    </w:p>
    <w:p w14:paraId="47DC9007" w14:textId="26300B6D" w:rsidR="008F51C8" w:rsidRPr="00C73325" w:rsidRDefault="008F51C8" w:rsidP="00FB1414">
      <w:pPr>
        <w:spacing w:before="0" w:after="0"/>
        <w:ind w:left="284" w:hanging="284"/>
        <w:rPr>
          <w:rFonts w:eastAsia="Times New Roman" w:cs="Times New Roman"/>
          <w:sz w:val="22"/>
        </w:rPr>
      </w:pPr>
      <w:proofErr w:type="spellStart"/>
      <w:r w:rsidRPr="00C73325">
        <w:rPr>
          <w:rFonts w:eastAsia="Times New Roman" w:cs="Times New Roman"/>
          <w:sz w:val="22"/>
        </w:rPr>
        <w:t>Ghasemi</w:t>
      </w:r>
      <w:proofErr w:type="spellEnd"/>
      <w:r w:rsidRPr="00C73325">
        <w:rPr>
          <w:rFonts w:eastAsia="Times New Roman" w:cs="Times New Roman"/>
          <w:sz w:val="22"/>
        </w:rPr>
        <w:t xml:space="preserve">, R.S., </w:t>
      </w:r>
      <w:proofErr w:type="spellStart"/>
      <w:r w:rsidRPr="00C73325">
        <w:rPr>
          <w:rFonts w:eastAsia="Times New Roman" w:cs="Times New Roman"/>
          <w:sz w:val="22"/>
        </w:rPr>
        <w:t>Madrakian</w:t>
      </w:r>
      <w:proofErr w:type="spellEnd"/>
      <w:r w:rsidRPr="00C73325">
        <w:rPr>
          <w:rFonts w:eastAsia="Times New Roman" w:cs="Times New Roman"/>
          <w:sz w:val="22"/>
        </w:rPr>
        <w:t xml:space="preserve">, H., &amp; </w:t>
      </w:r>
      <w:proofErr w:type="spellStart"/>
      <w:r w:rsidRPr="00C73325">
        <w:rPr>
          <w:rFonts w:eastAsia="Times New Roman" w:cs="Times New Roman"/>
          <w:sz w:val="22"/>
        </w:rPr>
        <w:t>Keivani</w:t>
      </w:r>
      <w:proofErr w:type="spellEnd"/>
      <w:r w:rsidRPr="00C73325">
        <w:rPr>
          <w:rFonts w:eastAsia="Times New Roman" w:cs="Times New Roman"/>
          <w:sz w:val="22"/>
        </w:rPr>
        <w:t xml:space="preserve">, F.S. (2013).  The Relationship between the </w:t>
      </w:r>
      <w:r w:rsidR="00FC4D75" w:rsidRPr="00C73325">
        <w:rPr>
          <w:rFonts w:eastAsia="Times New Roman" w:cs="Times New Roman"/>
          <w:sz w:val="22"/>
        </w:rPr>
        <w:t xml:space="preserve">corporate governance and the stock institutional ownership with the dividend </w:t>
      </w:r>
      <w:r w:rsidRPr="00C73325">
        <w:rPr>
          <w:rFonts w:eastAsia="Times New Roman" w:cs="Times New Roman"/>
          <w:sz w:val="22"/>
        </w:rPr>
        <w:t xml:space="preserve">- </w:t>
      </w:r>
      <w:r w:rsidR="00FC4D75" w:rsidRPr="00C73325">
        <w:rPr>
          <w:rFonts w:eastAsia="Times New Roman" w:cs="Times New Roman"/>
          <w:sz w:val="22"/>
        </w:rPr>
        <w:t>A</w:t>
      </w:r>
      <w:r w:rsidRPr="00C73325">
        <w:rPr>
          <w:rFonts w:eastAsia="Times New Roman" w:cs="Times New Roman"/>
          <w:sz w:val="22"/>
        </w:rPr>
        <w:t xml:space="preserve"> </w:t>
      </w:r>
      <w:r w:rsidR="00FC4D75" w:rsidRPr="00C73325">
        <w:rPr>
          <w:rFonts w:eastAsia="Times New Roman" w:cs="Times New Roman"/>
          <w:sz w:val="22"/>
        </w:rPr>
        <w:t>c</w:t>
      </w:r>
      <w:r w:rsidRPr="00C73325">
        <w:rPr>
          <w:rFonts w:eastAsia="Times New Roman" w:cs="Times New Roman"/>
          <w:sz w:val="22"/>
        </w:rPr>
        <w:t xml:space="preserve">ase </w:t>
      </w:r>
      <w:r w:rsidR="00FC4D75" w:rsidRPr="00C73325">
        <w:rPr>
          <w:rFonts w:eastAsia="Times New Roman" w:cs="Times New Roman"/>
          <w:sz w:val="22"/>
        </w:rPr>
        <w:t>s</w:t>
      </w:r>
      <w:r w:rsidRPr="00C73325">
        <w:rPr>
          <w:rFonts w:eastAsia="Times New Roman" w:cs="Times New Roman"/>
          <w:sz w:val="22"/>
        </w:rPr>
        <w:t xml:space="preserve">tudy of Tehran. </w:t>
      </w:r>
      <w:r w:rsidRPr="00C73325">
        <w:rPr>
          <w:rFonts w:eastAsia="Times New Roman" w:cs="Times New Roman"/>
          <w:i/>
          <w:sz w:val="22"/>
        </w:rPr>
        <w:t>Journal of Business and Management, 15</w:t>
      </w:r>
      <w:r w:rsidRPr="00C73325">
        <w:rPr>
          <w:rFonts w:eastAsia="Times New Roman" w:cs="Times New Roman"/>
          <w:sz w:val="22"/>
        </w:rPr>
        <w:t>(2), 65</w:t>
      </w:r>
      <w:r w:rsidR="008047C4" w:rsidRPr="00C73325">
        <w:rPr>
          <w:rFonts w:eastAsia="Times New Roman" w:cs="Times New Roman"/>
          <w:sz w:val="22"/>
        </w:rPr>
        <w:t>-</w:t>
      </w:r>
      <w:r w:rsidRPr="00C73325">
        <w:rPr>
          <w:rFonts w:eastAsia="Times New Roman" w:cs="Times New Roman"/>
          <w:sz w:val="22"/>
        </w:rPr>
        <w:t>69.</w:t>
      </w:r>
    </w:p>
    <w:p w14:paraId="738E4118" w14:textId="77777777" w:rsidR="008F51C8" w:rsidRPr="00C73325" w:rsidRDefault="008F51C8" w:rsidP="00FB1414">
      <w:pPr>
        <w:spacing w:before="0" w:after="0"/>
        <w:ind w:left="284" w:hanging="284"/>
        <w:rPr>
          <w:rFonts w:eastAsia="Times New Roman" w:cs="Times New Roman"/>
          <w:sz w:val="22"/>
        </w:rPr>
      </w:pPr>
      <w:proofErr w:type="spellStart"/>
      <w:r w:rsidRPr="00C73325">
        <w:rPr>
          <w:rFonts w:eastAsia="Times New Roman" w:cs="Times New Roman"/>
          <w:sz w:val="22"/>
        </w:rPr>
        <w:t>Ghauri</w:t>
      </w:r>
      <w:proofErr w:type="spellEnd"/>
      <w:r w:rsidRPr="00C73325">
        <w:rPr>
          <w:rFonts w:eastAsia="Times New Roman" w:cs="Times New Roman"/>
          <w:sz w:val="22"/>
        </w:rPr>
        <w:t xml:space="preserve">, P., &amp; </w:t>
      </w:r>
      <w:proofErr w:type="spellStart"/>
      <w:r w:rsidRPr="00C73325">
        <w:rPr>
          <w:rFonts w:eastAsia="Times New Roman" w:cs="Times New Roman"/>
          <w:sz w:val="22"/>
        </w:rPr>
        <w:t>Gronhaug</w:t>
      </w:r>
      <w:proofErr w:type="spellEnd"/>
      <w:r w:rsidRPr="00C73325">
        <w:rPr>
          <w:rFonts w:eastAsia="Times New Roman" w:cs="Times New Roman"/>
          <w:sz w:val="22"/>
        </w:rPr>
        <w:t xml:space="preserve">, K. (2002). </w:t>
      </w:r>
      <w:r w:rsidRPr="00C73325">
        <w:rPr>
          <w:rFonts w:eastAsia="Times New Roman" w:cs="Times New Roman"/>
          <w:i/>
          <w:sz w:val="22"/>
        </w:rPr>
        <w:t>Research Methods in Business Studies</w:t>
      </w:r>
      <w:r w:rsidRPr="00C73325">
        <w:rPr>
          <w:rFonts w:eastAsia="Times New Roman" w:cs="Times New Roman"/>
          <w:sz w:val="22"/>
        </w:rPr>
        <w:t>. Essex: Financial Times.</w:t>
      </w:r>
    </w:p>
    <w:p w14:paraId="3364383F" w14:textId="377BFF41" w:rsidR="008F51C8" w:rsidRPr="00C73325" w:rsidRDefault="008F51C8" w:rsidP="00FB1414">
      <w:pPr>
        <w:spacing w:before="0" w:after="0"/>
        <w:ind w:left="284" w:hanging="284"/>
        <w:rPr>
          <w:rFonts w:cs="Times New Roman"/>
          <w:sz w:val="22"/>
        </w:rPr>
      </w:pPr>
      <w:r w:rsidRPr="00C73325">
        <w:rPr>
          <w:rFonts w:cs="Times New Roman"/>
          <w:bCs/>
          <w:sz w:val="22"/>
        </w:rPr>
        <w:t xml:space="preserve">Ghosh, C., &amp; </w:t>
      </w:r>
      <w:proofErr w:type="spellStart"/>
      <w:r w:rsidRPr="00C73325">
        <w:rPr>
          <w:rFonts w:cs="Times New Roman"/>
          <w:bCs/>
          <w:sz w:val="22"/>
        </w:rPr>
        <w:t>Sirmans</w:t>
      </w:r>
      <w:proofErr w:type="spellEnd"/>
      <w:r w:rsidRPr="00C73325">
        <w:rPr>
          <w:rFonts w:cs="Times New Roman"/>
          <w:bCs/>
          <w:sz w:val="22"/>
        </w:rPr>
        <w:t xml:space="preserve">, C.F. (2006). Do managerial motives impact dividend decisions in REITs? </w:t>
      </w:r>
      <w:r w:rsidRPr="00C73325">
        <w:rPr>
          <w:rFonts w:cs="Times New Roman"/>
          <w:bCs/>
          <w:i/>
          <w:sz w:val="22"/>
        </w:rPr>
        <w:t>Journal of Real Estate Finance and Economics</w:t>
      </w:r>
      <w:r w:rsidRPr="00C73325">
        <w:rPr>
          <w:rFonts w:cs="Times New Roman"/>
          <w:bCs/>
          <w:sz w:val="22"/>
        </w:rPr>
        <w:t xml:space="preserve">, </w:t>
      </w:r>
      <w:r w:rsidRPr="00C73325">
        <w:rPr>
          <w:rFonts w:cs="Times New Roman"/>
          <w:bCs/>
          <w:i/>
          <w:sz w:val="22"/>
        </w:rPr>
        <w:t>32</w:t>
      </w:r>
      <w:r w:rsidRPr="00C73325">
        <w:rPr>
          <w:rFonts w:cs="Times New Roman"/>
          <w:bCs/>
          <w:sz w:val="22"/>
        </w:rPr>
        <w:t>(3), 327-355.</w:t>
      </w:r>
    </w:p>
    <w:p w14:paraId="26CE8C8D" w14:textId="5342817B" w:rsidR="008F51C8" w:rsidRPr="00C73325" w:rsidRDefault="008F51C8" w:rsidP="00FB1414">
      <w:pPr>
        <w:spacing w:before="0" w:after="0"/>
        <w:ind w:left="284" w:hanging="284"/>
        <w:rPr>
          <w:rFonts w:cs="Times New Roman"/>
          <w:sz w:val="22"/>
        </w:rPr>
      </w:pPr>
      <w:r w:rsidRPr="00C73325">
        <w:rPr>
          <w:rFonts w:eastAsia="Times New Roman" w:cs="Times New Roman"/>
          <w:sz w:val="22"/>
        </w:rPr>
        <w:t xml:space="preserve">Gill, A., &amp; </w:t>
      </w:r>
      <w:proofErr w:type="spellStart"/>
      <w:r w:rsidRPr="00C73325">
        <w:rPr>
          <w:rFonts w:eastAsia="Times New Roman" w:cs="Times New Roman"/>
          <w:sz w:val="22"/>
        </w:rPr>
        <w:t>Obradovich</w:t>
      </w:r>
      <w:proofErr w:type="spellEnd"/>
      <w:r w:rsidRPr="00C73325">
        <w:rPr>
          <w:rFonts w:eastAsia="Times New Roman" w:cs="Times New Roman"/>
          <w:sz w:val="22"/>
        </w:rPr>
        <w:t>, J. (2012). Co</w:t>
      </w:r>
      <w:r w:rsidR="00D377A6" w:rsidRPr="00C73325">
        <w:rPr>
          <w:rFonts w:eastAsia="Times New Roman" w:cs="Times New Roman"/>
          <w:sz w:val="22"/>
        </w:rPr>
        <w:t>r</w:t>
      </w:r>
      <w:r w:rsidRPr="00C73325">
        <w:rPr>
          <w:rFonts w:eastAsia="Times New Roman" w:cs="Times New Roman"/>
          <w:sz w:val="22"/>
        </w:rPr>
        <w:t xml:space="preserve">porate </w:t>
      </w:r>
      <w:r w:rsidR="00D377A6" w:rsidRPr="00C73325">
        <w:rPr>
          <w:rFonts w:eastAsia="Times New Roman" w:cs="Times New Roman"/>
          <w:sz w:val="22"/>
        </w:rPr>
        <w:t>governance, institutional ownership, and the decision to pay the amount of dividen</w:t>
      </w:r>
      <w:r w:rsidRPr="00C73325">
        <w:rPr>
          <w:rFonts w:eastAsia="Times New Roman" w:cs="Times New Roman"/>
          <w:sz w:val="22"/>
        </w:rPr>
        <w:t xml:space="preserve">ds: Evidence from USA. </w:t>
      </w:r>
      <w:r w:rsidRPr="00C73325">
        <w:rPr>
          <w:rFonts w:eastAsia="Times New Roman" w:cs="Times New Roman"/>
          <w:i/>
          <w:sz w:val="22"/>
        </w:rPr>
        <w:t>International Research Journal of Finance and Economics, 97</w:t>
      </w:r>
      <w:r w:rsidRPr="00C73325">
        <w:rPr>
          <w:rFonts w:eastAsia="Times New Roman" w:cs="Times New Roman"/>
          <w:sz w:val="22"/>
        </w:rPr>
        <w:t>, 60</w:t>
      </w:r>
      <w:r w:rsidR="003918D6" w:rsidRPr="00C73325">
        <w:rPr>
          <w:rFonts w:eastAsia="Times New Roman" w:cs="Times New Roman"/>
          <w:sz w:val="22"/>
        </w:rPr>
        <w:t>-</w:t>
      </w:r>
      <w:r w:rsidRPr="00C73325">
        <w:rPr>
          <w:rFonts w:eastAsia="Times New Roman" w:cs="Times New Roman"/>
          <w:sz w:val="22"/>
        </w:rPr>
        <w:t>71.</w:t>
      </w:r>
    </w:p>
    <w:p w14:paraId="5CF2B185" w14:textId="77777777" w:rsidR="008F51C8" w:rsidRPr="00C73325" w:rsidRDefault="008F51C8" w:rsidP="00FB1414">
      <w:pPr>
        <w:shd w:val="clear" w:color="auto" w:fill="FFFFFF"/>
        <w:spacing w:before="0" w:after="0"/>
        <w:ind w:left="284" w:hanging="284"/>
        <w:rPr>
          <w:rFonts w:eastAsia="Times New Roman" w:cs="Times New Roman"/>
          <w:sz w:val="22"/>
        </w:rPr>
      </w:pPr>
      <w:r w:rsidRPr="00C73325">
        <w:rPr>
          <w:rFonts w:eastAsia="Times New Roman" w:cs="Times New Roman"/>
          <w:sz w:val="22"/>
        </w:rPr>
        <w:t xml:space="preserve">Greco, G. (2011). Determinants of board and audit committee meeting frequency: Evidence from Italian companies. </w:t>
      </w:r>
      <w:r w:rsidRPr="00C73325">
        <w:rPr>
          <w:rFonts w:eastAsia="Times New Roman" w:cs="Times New Roman"/>
          <w:i/>
          <w:sz w:val="22"/>
        </w:rPr>
        <w:t>Managerial Auditing Journal, 26</w:t>
      </w:r>
      <w:r w:rsidRPr="00C73325">
        <w:rPr>
          <w:rFonts w:eastAsia="Times New Roman" w:cs="Times New Roman"/>
          <w:sz w:val="22"/>
        </w:rPr>
        <w:t>(3), 208-229.</w:t>
      </w:r>
    </w:p>
    <w:p w14:paraId="65913346" w14:textId="788F2BF4" w:rsidR="008F51C8" w:rsidRPr="000D152A" w:rsidRDefault="008F51C8" w:rsidP="00FB1414">
      <w:pPr>
        <w:spacing w:before="0" w:after="0"/>
        <w:ind w:left="284" w:hanging="284"/>
        <w:rPr>
          <w:rFonts w:cs="Times New Roman"/>
          <w:bCs/>
          <w:sz w:val="22"/>
        </w:rPr>
      </w:pPr>
      <w:proofErr w:type="spellStart"/>
      <w:r w:rsidRPr="00C73325">
        <w:rPr>
          <w:rFonts w:cs="Times New Roman"/>
          <w:bCs/>
          <w:sz w:val="22"/>
        </w:rPr>
        <w:t>Greenbury</w:t>
      </w:r>
      <w:proofErr w:type="spellEnd"/>
      <w:r w:rsidRPr="00C73325">
        <w:rPr>
          <w:rFonts w:cs="Times New Roman"/>
          <w:bCs/>
          <w:sz w:val="22"/>
        </w:rPr>
        <w:t xml:space="preserve">. (1995). Director's remuneration. </w:t>
      </w:r>
      <w:r w:rsidRPr="000D152A">
        <w:rPr>
          <w:rFonts w:cs="Times New Roman"/>
          <w:bCs/>
          <w:sz w:val="22"/>
        </w:rPr>
        <w:t>GEE</w:t>
      </w:r>
      <w:r w:rsidR="00D377A6" w:rsidRPr="000D152A">
        <w:rPr>
          <w:rFonts w:cs="Times New Roman"/>
          <w:bCs/>
          <w:sz w:val="22"/>
        </w:rPr>
        <w:t>: London, UK</w:t>
      </w:r>
      <w:r w:rsidRPr="000D152A">
        <w:rPr>
          <w:rFonts w:cs="Times New Roman"/>
          <w:bCs/>
          <w:sz w:val="22"/>
        </w:rPr>
        <w:t>.</w:t>
      </w:r>
    </w:p>
    <w:p w14:paraId="2C0BC9A7" w14:textId="77777777" w:rsidR="00DF2C79" w:rsidRDefault="00CD5A5E" w:rsidP="00DF2C79">
      <w:pPr>
        <w:spacing w:before="0" w:after="0"/>
        <w:ind w:left="284" w:hanging="284"/>
        <w:rPr>
          <w:rFonts w:cs="Times New Roman"/>
          <w:bCs/>
          <w:sz w:val="22"/>
        </w:rPr>
      </w:pPr>
      <w:r w:rsidRPr="00AD70E6">
        <w:rPr>
          <w:rFonts w:cs="Times New Roman"/>
          <w:bCs/>
          <w:sz w:val="22"/>
        </w:rPr>
        <w:t xml:space="preserve">Gujarati, D.N. 2003. </w:t>
      </w:r>
      <w:r w:rsidRPr="00AD70E6">
        <w:rPr>
          <w:rFonts w:cs="Times New Roman"/>
          <w:bCs/>
          <w:i/>
          <w:iCs/>
          <w:sz w:val="22"/>
        </w:rPr>
        <w:t>Basic econometrics</w:t>
      </w:r>
      <w:r w:rsidRPr="00AD70E6">
        <w:rPr>
          <w:rFonts w:cs="Times New Roman"/>
          <w:bCs/>
          <w:sz w:val="22"/>
        </w:rPr>
        <w:t xml:space="preserve">. </w:t>
      </w:r>
      <w:r w:rsidRPr="00C73325">
        <w:rPr>
          <w:rFonts w:cs="Times New Roman"/>
          <w:bCs/>
          <w:sz w:val="22"/>
        </w:rPr>
        <w:t xml:space="preserve">4th Edition: New York: </w:t>
      </w:r>
      <w:proofErr w:type="spellStart"/>
      <w:r w:rsidRPr="00C73325">
        <w:rPr>
          <w:rFonts w:cs="Times New Roman"/>
          <w:bCs/>
          <w:sz w:val="22"/>
        </w:rPr>
        <w:t>M</w:t>
      </w:r>
      <w:r w:rsidR="0022681F">
        <w:rPr>
          <w:rFonts w:cs="Times New Roman"/>
          <w:bCs/>
          <w:sz w:val="22"/>
        </w:rPr>
        <w:t>corporate</w:t>
      </w:r>
      <w:proofErr w:type="spellEnd"/>
      <w:r w:rsidR="0022681F">
        <w:rPr>
          <w:rFonts w:cs="Times New Roman"/>
          <w:bCs/>
          <w:sz w:val="22"/>
        </w:rPr>
        <w:t xml:space="preserve"> </w:t>
      </w:r>
      <w:proofErr w:type="spellStart"/>
      <w:r w:rsidR="0022681F">
        <w:rPr>
          <w:rFonts w:cs="Times New Roman"/>
          <w:bCs/>
          <w:sz w:val="22"/>
        </w:rPr>
        <w:t>governance</w:t>
      </w:r>
      <w:r w:rsidR="00DF2C79">
        <w:rPr>
          <w:rFonts w:cs="Times New Roman"/>
          <w:bCs/>
          <w:sz w:val="22"/>
        </w:rPr>
        <w:t>raw</w:t>
      </w:r>
      <w:proofErr w:type="spellEnd"/>
      <w:r w:rsidR="00DF2C79">
        <w:rPr>
          <w:rFonts w:cs="Times New Roman"/>
          <w:bCs/>
          <w:sz w:val="22"/>
        </w:rPr>
        <w:t>-Hill.</w:t>
      </w:r>
    </w:p>
    <w:p w14:paraId="71915120" w14:textId="5B43C789" w:rsidR="00DF2C79" w:rsidRPr="000D152A" w:rsidRDefault="00DF2C79" w:rsidP="00DF2C79">
      <w:pPr>
        <w:spacing w:before="0" w:after="0"/>
        <w:ind w:left="284" w:hanging="284"/>
        <w:rPr>
          <w:rFonts w:cs="Times New Roman"/>
          <w:bCs/>
          <w:sz w:val="22"/>
        </w:rPr>
      </w:pPr>
      <w:r w:rsidRPr="000D152A">
        <w:rPr>
          <w:rFonts w:cs="Times New Roman"/>
          <w:noProof/>
          <w:sz w:val="22"/>
        </w:rPr>
        <w:t xml:space="preserve">Hao, Q., Hu, N., Liu, L. and Yao, L.J. (2014) Board interlock networks and the use of relative performance evaluation. </w:t>
      </w:r>
      <w:r w:rsidRPr="000D152A">
        <w:rPr>
          <w:rFonts w:cs="Times New Roman"/>
          <w:i/>
          <w:noProof/>
          <w:sz w:val="22"/>
        </w:rPr>
        <w:t>International Journal of Accounting &amp; Information Management,</w:t>
      </w:r>
      <w:r w:rsidRPr="000D152A">
        <w:rPr>
          <w:rFonts w:cs="Times New Roman"/>
          <w:noProof/>
          <w:sz w:val="22"/>
        </w:rPr>
        <w:t xml:space="preserve"> 22 (3), 237-251</w:t>
      </w:r>
    </w:p>
    <w:p w14:paraId="0E68FD38" w14:textId="77777777" w:rsidR="008F51C8" w:rsidRPr="00C73325" w:rsidRDefault="008F51C8" w:rsidP="00FB1414">
      <w:pPr>
        <w:spacing w:before="0" w:after="0"/>
        <w:ind w:left="284" w:hanging="284"/>
        <w:rPr>
          <w:rFonts w:eastAsia="Times New Roman" w:cs="Times New Roman"/>
          <w:sz w:val="22"/>
          <w:shd w:val="clear" w:color="auto" w:fill="FFFFFF"/>
        </w:rPr>
      </w:pPr>
      <w:r w:rsidRPr="00C73325">
        <w:rPr>
          <w:rFonts w:eastAsia="Times New Roman" w:cs="Times New Roman"/>
          <w:sz w:val="22"/>
          <w:shd w:val="clear" w:color="auto" w:fill="FFFFFF"/>
        </w:rPr>
        <w:t>Harada, K. &amp; Nguyen, P. (2011). Ownership concentration and dividend policy in Japan</w:t>
      </w:r>
      <w:r w:rsidRPr="00C73325">
        <w:rPr>
          <w:rFonts w:eastAsia="Times New Roman" w:cs="Times New Roman"/>
          <w:i/>
          <w:sz w:val="22"/>
          <w:shd w:val="clear" w:color="auto" w:fill="FFFFFF"/>
        </w:rPr>
        <w:t>. Managerial Finance, 37</w:t>
      </w:r>
      <w:r w:rsidRPr="00C73325">
        <w:rPr>
          <w:rFonts w:eastAsia="Times New Roman" w:cs="Times New Roman"/>
          <w:sz w:val="22"/>
          <w:shd w:val="clear" w:color="auto" w:fill="FFFFFF"/>
        </w:rPr>
        <w:t>(4), 362-379.</w:t>
      </w:r>
    </w:p>
    <w:p w14:paraId="377C51CD" w14:textId="77777777" w:rsidR="006F62E8" w:rsidRPr="00C73325" w:rsidRDefault="006F62E8" w:rsidP="006F62E8">
      <w:pPr>
        <w:spacing w:before="0" w:after="0"/>
        <w:ind w:left="284" w:hanging="284"/>
        <w:rPr>
          <w:rFonts w:eastAsia="Times New Roman" w:cs="Times New Roman"/>
          <w:sz w:val="22"/>
        </w:rPr>
      </w:pPr>
      <w:proofErr w:type="spellStart"/>
      <w:r w:rsidRPr="00C73325">
        <w:rPr>
          <w:rFonts w:eastAsia="Times New Roman" w:cs="Times New Roman"/>
          <w:sz w:val="22"/>
        </w:rPr>
        <w:t>Herbane</w:t>
      </w:r>
      <w:proofErr w:type="spellEnd"/>
      <w:r w:rsidRPr="00C73325">
        <w:rPr>
          <w:rFonts w:eastAsia="Times New Roman" w:cs="Times New Roman"/>
          <w:sz w:val="22"/>
        </w:rPr>
        <w:t>, B. (2013). Exploring Crisis Management in UK Small</w:t>
      </w:r>
      <w:r w:rsidRPr="00C73325">
        <w:rPr>
          <w:rFonts w:ascii="Cambria Math" w:eastAsia="Times New Roman" w:hAnsi="Cambria Math" w:cs="Cambria Math"/>
          <w:sz w:val="22"/>
        </w:rPr>
        <w:t>‐</w:t>
      </w:r>
      <w:r w:rsidRPr="00C73325">
        <w:rPr>
          <w:rFonts w:eastAsia="Times New Roman" w:cs="Times New Roman"/>
          <w:sz w:val="22"/>
        </w:rPr>
        <w:t>and Medium</w:t>
      </w:r>
      <w:r w:rsidRPr="00C73325">
        <w:rPr>
          <w:rFonts w:ascii="Cambria Math" w:eastAsia="Times New Roman" w:hAnsi="Cambria Math" w:cs="Cambria Math"/>
          <w:sz w:val="22"/>
        </w:rPr>
        <w:t>‐</w:t>
      </w:r>
      <w:r w:rsidRPr="00C73325">
        <w:rPr>
          <w:rFonts w:eastAsia="Times New Roman" w:cs="Times New Roman"/>
          <w:sz w:val="22"/>
        </w:rPr>
        <w:t xml:space="preserve">Sized Enterprises. </w:t>
      </w:r>
      <w:r w:rsidRPr="00C73325">
        <w:rPr>
          <w:rFonts w:eastAsia="Times New Roman" w:cs="Times New Roman"/>
          <w:i/>
          <w:iCs/>
          <w:sz w:val="22"/>
        </w:rPr>
        <w:t>Journal of Contingencies and Crisis Management, 21</w:t>
      </w:r>
      <w:r w:rsidRPr="00C73325">
        <w:rPr>
          <w:rFonts w:eastAsia="Times New Roman" w:cs="Times New Roman"/>
          <w:sz w:val="22"/>
        </w:rPr>
        <w:t>(2), 82-95.</w:t>
      </w:r>
    </w:p>
    <w:p w14:paraId="4CDBDED7" w14:textId="6C73F49C" w:rsidR="008F51C8" w:rsidRPr="00C73325" w:rsidRDefault="008F51C8" w:rsidP="00FB1414">
      <w:pPr>
        <w:spacing w:before="0" w:after="0"/>
        <w:ind w:left="284" w:hanging="284"/>
        <w:rPr>
          <w:rFonts w:cs="Times New Roman"/>
          <w:sz w:val="22"/>
          <w:lang w:val="en-US"/>
        </w:rPr>
      </w:pPr>
      <w:r w:rsidRPr="00AD70E6">
        <w:rPr>
          <w:rFonts w:cs="Times New Roman"/>
          <w:sz w:val="22"/>
        </w:rPr>
        <w:t xml:space="preserve">Holder, M.E., </w:t>
      </w:r>
      <w:proofErr w:type="spellStart"/>
      <w:r w:rsidRPr="00AD70E6">
        <w:rPr>
          <w:rFonts w:cs="Times New Roman"/>
          <w:sz w:val="22"/>
        </w:rPr>
        <w:t>Langrehr</w:t>
      </w:r>
      <w:proofErr w:type="spellEnd"/>
      <w:r w:rsidRPr="00AD70E6">
        <w:rPr>
          <w:rFonts w:cs="Times New Roman"/>
          <w:sz w:val="22"/>
        </w:rPr>
        <w:t xml:space="preserve">, F.W., &amp; </w:t>
      </w:r>
      <w:proofErr w:type="spellStart"/>
      <w:r w:rsidRPr="00AD70E6">
        <w:rPr>
          <w:rFonts w:cs="Times New Roman"/>
          <w:sz w:val="22"/>
        </w:rPr>
        <w:t>Hexter</w:t>
      </w:r>
      <w:proofErr w:type="spellEnd"/>
      <w:r w:rsidRPr="00AD70E6">
        <w:rPr>
          <w:rFonts w:cs="Times New Roman"/>
          <w:sz w:val="22"/>
        </w:rPr>
        <w:t xml:space="preserve">, J.L. (1998). </w:t>
      </w:r>
      <w:r w:rsidRPr="00C73325">
        <w:rPr>
          <w:rFonts w:cs="Times New Roman"/>
          <w:sz w:val="22"/>
          <w:lang w:val="en-US"/>
        </w:rPr>
        <w:t xml:space="preserve">Dividend policy determinants: An investigation of the influences of stakeholder theory. </w:t>
      </w:r>
      <w:r w:rsidRPr="00C73325">
        <w:rPr>
          <w:rFonts w:cs="Times New Roman"/>
          <w:i/>
          <w:sz w:val="22"/>
          <w:lang w:val="en-US"/>
        </w:rPr>
        <w:t>Financial Management,</w:t>
      </w:r>
      <w:r w:rsidRPr="00C73325">
        <w:rPr>
          <w:rFonts w:cs="Times New Roman"/>
          <w:sz w:val="22"/>
          <w:lang w:val="en-US"/>
        </w:rPr>
        <w:t xml:space="preserve"> </w:t>
      </w:r>
      <w:r w:rsidRPr="00C73325">
        <w:rPr>
          <w:rFonts w:cs="Times New Roman"/>
          <w:i/>
          <w:sz w:val="22"/>
          <w:lang w:val="en-US"/>
        </w:rPr>
        <w:t>27</w:t>
      </w:r>
      <w:r w:rsidRPr="00C73325">
        <w:rPr>
          <w:rFonts w:cs="Times New Roman"/>
          <w:sz w:val="22"/>
          <w:lang w:val="en-US"/>
        </w:rPr>
        <w:t>(3), 73-82.</w:t>
      </w:r>
    </w:p>
    <w:p w14:paraId="2A00BB2B" w14:textId="4F618D3B" w:rsidR="008F51C8" w:rsidRPr="00C73325" w:rsidRDefault="008F51C8" w:rsidP="00FB1414">
      <w:pPr>
        <w:shd w:val="clear" w:color="auto" w:fill="FFFFFF"/>
        <w:spacing w:before="0" w:after="0"/>
        <w:ind w:left="284" w:hanging="284"/>
        <w:rPr>
          <w:rFonts w:cs="Times New Roman"/>
          <w:sz w:val="22"/>
          <w:lang w:val="en-US"/>
        </w:rPr>
      </w:pPr>
      <w:r w:rsidRPr="00C73325">
        <w:rPr>
          <w:rFonts w:cs="Times New Roman"/>
          <w:sz w:val="22"/>
          <w:lang w:val="en-US"/>
        </w:rPr>
        <w:t>Horne, J.C., &amp; McDonald, J.G. (1971). Dividend policy and new equity financing.</w:t>
      </w:r>
      <w:r w:rsidRPr="00C73325">
        <w:rPr>
          <w:rFonts w:cs="Times New Roman"/>
          <w:i/>
          <w:sz w:val="22"/>
          <w:lang w:val="en-US"/>
        </w:rPr>
        <w:t xml:space="preserve"> Journal of Finance</w:t>
      </w:r>
      <w:r w:rsidRPr="00C73325">
        <w:rPr>
          <w:rFonts w:cs="Times New Roman"/>
          <w:sz w:val="22"/>
          <w:lang w:val="en-US"/>
        </w:rPr>
        <w:t xml:space="preserve">, </w:t>
      </w:r>
      <w:r w:rsidRPr="00C73325">
        <w:rPr>
          <w:rFonts w:cs="Times New Roman"/>
          <w:i/>
          <w:sz w:val="22"/>
          <w:lang w:val="en-US"/>
        </w:rPr>
        <w:t>26</w:t>
      </w:r>
      <w:r w:rsidRPr="00C73325">
        <w:rPr>
          <w:rFonts w:cs="Times New Roman"/>
          <w:sz w:val="22"/>
          <w:lang w:val="en-US"/>
        </w:rPr>
        <w:t>(2), 507-519.</w:t>
      </w:r>
    </w:p>
    <w:p w14:paraId="79192B06" w14:textId="2027F757" w:rsidR="008F51C8" w:rsidRPr="00C73325" w:rsidRDefault="008F51C8" w:rsidP="00FB1414">
      <w:pPr>
        <w:shd w:val="clear" w:color="auto" w:fill="FFFFFF"/>
        <w:spacing w:before="0" w:after="0"/>
        <w:ind w:left="284" w:hanging="284"/>
        <w:rPr>
          <w:rFonts w:eastAsia="Times New Roman" w:cs="Times New Roman"/>
          <w:sz w:val="22"/>
        </w:rPr>
      </w:pPr>
      <w:proofErr w:type="spellStart"/>
      <w:r w:rsidRPr="00C73325">
        <w:rPr>
          <w:rFonts w:eastAsia="Times New Roman" w:cs="Times New Roman"/>
          <w:sz w:val="22"/>
          <w:shd w:val="clear" w:color="auto" w:fill="FFFFFF"/>
        </w:rPr>
        <w:t>Horváth</w:t>
      </w:r>
      <w:proofErr w:type="spellEnd"/>
      <w:r w:rsidRPr="00C73325">
        <w:rPr>
          <w:rFonts w:eastAsia="Times New Roman" w:cs="Times New Roman"/>
          <w:sz w:val="22"/>
          <w:shd w:val="clear" w:color="auto" w:fill="FFFFFF"/>
        </w:rPr>
        <w:t xml:space="preserve">, R., &amp; </w:t>
      </w:r>
      <w:proofErr w:type="spellStart"/>
      <w:r w:rsidRPr="00C73325">
        <w:rPr>
          <w:rFonts w:eastAsia="Times New Roman" w:cs="Times New Roman"/>
          <w:sz w:val="22"/>
          <w:shd w:val="clear" w:color="auto" w:fill="FFFFFF"/>
        </w:rPr>
        <w:t>Spirollari</w:t>
      </w:r>
      <w:proofErr w:type="spellEnd"/>
      <w:r w:rsidRPr="00C73325">
        <w:rPr>
          <w:rFonts w:eastAsia="Times New Roman" w:cs="Times New Roman"/>
          <w:sz w:val="22"/>
          <w:shd w:val="clear" w:color="auto" w:fill="FFFFFF"/>
        </w:rPr>
        <w:t xml:space="preserve">, P. (2012). Do the </w:t>
      </w:r>
      <w:r w:rsidR="00FC4D75" w:rsidRPr="00C73325">
        <w:rPr>
          <w:rFonts w:eastAsia="Times New Roman" w:cs="Times New Roman"/>
          <w:sz w:val="22"/>
          <w:shd w:val="clear" w:color="auto" w:fill="FFFFFF"/>
        </w:rPr>
        <w:t>board of directors</w:t>
      </w:r>
      <w:r w:rsidR="00CE3E7D" w:rsidRPr="00C73325">
        <w:rPr>
          <w:rFonts w:eastAsia="Times New Roman" w:cs="Times New Roman"/>
          <w:sz w:val="22"/>
          <w:shd w:val="clear" w:color="auto" w:fill="FFFFFF"/>
        </w:rPr>
        <w:t>’</w:t>
      </w:r>
      <w:r w:rsidR="00FC4D75" w:rsidRPr="00C73325">
        <w:rPr>
          <w:rFonts w:eastAsia="Times New Roman" w:cs="Times New Roman"/>
          <w:sz w:val="22"/>
          <w:shd w:val="clear" w:color="auto" w:fill="FFFFFF"/>
        </w:rPr>
        <w:t xml:space="preserve"> characteristics influence firm</w:t>
      </w:r>
      <w:r w:rsidR="00CE3E7D" w:rsidRPr="00C73325">
        <w:rPr>
          <w:rFonts w:eastAsia="Times New Roman" w:cs="Times New Roman"/>
          <w:sz w:val="22"/>
          <w:shd w:val="clear" w:color="auto" w:fill="FFFFFF"/>
        </w:rPr>
        <w:t>’</w:t>
      </w:r>
      <w:r w:rsidR="00FC4D75" w:rsidRPr="00C73325">
        <w:rPr>
          <w:rFonts w:eastAsia="Times New Roman" w:cs="Times New Roman"/>
          <w:sz w:val="22"/>
          <w:shd w:val="clear" w:color="auto" w:fill="FFFFFF"/>
        </w:rPr>
        <w:t>s performanc</w:t>
      </w:r>
      <w:r w:rsidRPr="00C73325">
        <w:rPr>
          <w:rFonts w:eastAsia="Times New Roman" w:cs="Times New Roman"/>
          <w:sz w:val="22"/>
          <w:shd w:val="clear" w:color="auto" w:fill="FFFFFF"/>
        </w:rPr>
        <w:t xml:space="preserve">e? The U.S. </w:t>
      </w:r>
      <w:r w:rsidR="00FC4D75" w:rsidRPr="00C73325">
        <w:rPr>
          <w:rFonts w:eastAsia="Times New Roman" w:cs="Times New Roman"/>
          <w:sz w:val="22"/>
          <w:shd w:val="clear" w:color="auto" w:fill="FFFFFF"/>
        </w:rPr>
        <w:t>e</w:t>
      </w:r>
      <w:r w:rsidRPr="00C73325">
        <w:rPr>
          <w:rFonts w:eastAsia="Times New Roman" w:cs="Times New Roman"/>
          <w:sz w:val="22"/>
          <w:shd w:val="clear" w:color="auto" w:fill="FFFFFF"/>
        </w:rPr>
        <w:t xml:space="preserve">vidence. </w:t>
      </w:r>
      <w:r w:rsidRPr="00C73325">
        <w:rPr>
          <w:rFonts w:eastAsia="Times New Roman" w:cs="Times New Roman"/>
          <w:i/>
          <w:sz w:val="22"/>
          <w:shd w:val="clear" w:color="auto" w:fill="FFFFFF"/>
        </w:rPr>
        <w:t>Prague Economic Papers, 4</w:t>
      </w:r>
      <w:r w:rsidRPr="00C73325">
        <w:rPr>
          <w:rFonts w:eastAsia="Times New Roman" w:cs="Times New Roman"/>
          <w:sz w:val="22"/>
          <w:shd w:val="clear" w:color="auto" w:fill="FFFFFF"/>
        </w:rPr>
        <w:t>,</w:t>
      </w:r>
      <w:r w:rsidRPr="00C73325">
        <w:rPr>
          <w:rFonts w:eastAsia="Times New Roman" w:cs="Times New Roman"/>
          <w:i/>
          <w:sz w:val="22"/>
          <w:shd w:val="clear" w:color="auto" w:fill="FFFFFF"/>
        </w:rPr>
        <w:t xml:space="preserve"> </w:t>
      </w:r>
      <w:r w:rsidRPr="00C73325">
        <w:rPr>
          <w:rFonts w:eastAsia="Times New Roman" w:cs="Times New Roman"/>
          <w:sz w:val="22"/>
          <w:shd w:val="clear" w:color="auto" w:fill="FFFFFF"/>
        </w:rPr>
        <w:t>470- 486.</w:t>
      </w:r>
    </w:p>
    <w:p w14:paraId="55946D2E" w14:textId="4C3B0105" w:rsidR="008F51C8" w:rsidRPr="00C73325" w:rsidRDefault="008F51C8" w:rsidP="00FB1414">
      <w:pPr>
        <w:spacing w:before="0" w:after="0"/>
        <w:ind w:left="284" w:hanging="284"/>
        <w:rPr>
          <w:rFonts w:eastAsia="Times New Roman" w:cs="Times New Roman"/>
          <w:sz w:val="22"/>
          <w:shd w:val="clear" w:color="auto" w:fill="FFFFFF"/>
        </w:rPr>
      </w:pPr>
      <w:r w:rsidRPr="00C73325">
        <w:rPr>
          <w:rFonts w:eastAsia="Times New Roman" w:cs="Times New Roman"/>
          <w:sz w:val="22"/>
          <w:shd w:val="clear" w:color="auto" w:fill="FFFFFF"/>
        </w:rPr>
        <w:t xml:space="preserve">How, J.C.Y., </w:t>
      </w:r>
      <w:proofErr w:type="spellStart"/>
      <w:r w:rsidRPr="00C73325">
        <w:rPr>
          <w:rFonts w:eastAsia="Times New Roman" w:cs="Times New Roman"/>
          <w:sz w:val="22"/>
          <w:shd w:val="clear" w:color="auto" w:fill="FFFFFF"/>
        </w:rPr>
        <w:t>Verehoeven</w:t>
      </w:r>
      <w:proofErr w:type="spellEnd"/>
      <w:r w:rsidRPr="00C73325">
        <w:rPr>
          <w:rFonts w:eastAsia="Times New Roman" w:cs="Times New Roman"/>
          <w:sz w:val="22"/>
          <w:shd w:val="clear" w:color="auto" w:fill="FFFFFF"/>
        </w:rPr>
        <w:t>, P., &amp; Wu, C.L. (2008). Dividends and expropriation in Hong Kong.</w:t>
      </w:r>
      <w:r w:rsidRPr="00C73325">
        <w:rPr>
          <w:rFonts w:eastAsia="Times New Roman" w:cs="Times New Roman"/>
          <w:i/>
          <w:iCs/>
          <w:sz w:val="22"/>
          <w:shd w:val="clear" w:color="auto" w:fill="FFFFFF"/>
        </w:rPr>
        <w:t xml:space="preserve"> Asian academy of management journal of accounting and finance</w:t>
      </w:r>
      <w:r w:rsidRPr="00C73325">
        <w:rPr>
          <w:rFonts w:eastAsia="Times New Roman" w:cs="Times New Roman"/>
          <w:sz w:val="22"/>
          <w:shd w:val="clear" w:color="auto" w:fill="FFFFFF"/>
        </w:rPr>
        <w:t xml:space="preserve">, </w:t>
      </w:r>
      <w:r w:rsidRPr="00C73325">
        <w:rPr>
          <w:rFonts w:eastAsia="Times New Roman" w:cs="Times New Roman"/>
          <w:i/>
          <w:sz w:val="22"/>
          <w:shd w:val="clear" w:color="auto" w:fill="FFFFFF"/>
        </w:rPr>
        <w:t>4</w:t>
      </w:r>
      <w:r w:rsidRPr="00C73325">
        <w:rPr>
          <w:rFonts w:eastAsia="Times New Roman" w:cs="Times New Roman"/>
          <w:sz w:val="22"/>
          <w:shd w:val="clear" w:color="auto" w:fill="FFFFFF"/>
        </w:rPr>
        <w:t>(1), 71-85.</w:t>
      </w:r>
    </w:p>
    <w:p w14:paraId="3A2D5C0C" w14:textId="61DC363E" w:rsidR="008F51C8" w:rsidRPr="00C73325" w:rsidRDefault="008F51C8" w:rsidP="00FB1414">
      <w:pPr>
        <w:spacing w:before="0" w:after="0"/>
        <w:ind w:left="284" w:hanging="284"/>
        <w:rPr>
          <w:rFonts w:eastAsia="Times New Roman" w:cs="Times New Roman"/>
          <w:sz w:val="22"/>
          <w:shd w:val="clear" w:color="auto" w:fill="FFFFFF"/>
        </w:rPr>
      </w:pPr>
      <w:r w:rsidRPr="00C73325">
        <w:rPr>
          <w:rFonts w:eastAsia="Times New Roman" w:cs="Times New Roman"/>
          <w:sz w:val="22"/>
          <w:shd w:val="clear" w:color="auto" w:fill="FFFFFF"/>
        </w:rPr>
        <w:t xml:space="preserve">Hu, A., &amp; Kumar, P. (2004). Managerial entrenchment and </w:t>
      </w:r>
      <w:r w:rsidR="004E7B4F" w:rsidRPr="00C73325">
        <w:rPr>
          <w:rFonts w:eastAsia="Times New Roman" w:cs="Times New Roman"/>
          <w:sz w:val="22"/>
          <w:shd w:val="clear" w:color="auto" w:fill="FFFFFF"/>
        </w:rPr>
        <w:t>pay-out</w:t>
      </w:r>
      <w:r w:rsidRPr="00C73325">
        <w:rPr>
          <w:rFonts w:eastAsia="Times New Roman" w:cs="Times New Roman"/>
          <w:sz w:val="22"/>
          <w:shd w:val="clear" w:color="auto" w:fill="FFFFFF"/>
        </w:rPr>
        <w:t xml:space="preserve"> policy. </w:t>
      </w:r>
      <w:r w:rsidRPr="00C73325">
        <w:rPr>
          <w:rFonts w:eastAsia="Times New Roman" w:cs="Times New Roman"/>
          <w:i/>
          <w:sz w:val="22"/>
          <w:shd w:val="clear" w:color="auto" w:fill="FFFFFF"/>
        </w:rPr>
        <w:t>Journal of Financial and Quantitative Analysis, 39</w:t>
      </w:r>
      <w:r w:rsidRPr="00C73325">
        <w:rPr>
          <w:rFonts w:eastAsia="Times New Roman" w:cs="Times New Roman"/>
          <w:sz w:val="22"/>
          <w:shd w:val="clear" w:color="auto" w:fill="FFFFFF"/>
        </w:rPr>
        <w:t>(4), 759-790.</w:t>
      </w:r>
    </w:p>
    <w:p w14:paraId="31F56271" w14:textId="6208ED51" w:rsidR="00BA39B9" w:rsidRPr="00C73325" w:rsidRDefault="00BA39B9" w:rsidP="00BA39B9">
      <w:pPr>
        <w:spacing w:before="0" w:after="0"/>
        <w:ind w:left="284" w:hanging="284"/>
        <w:rPr>
          <w:rFonts w:eastAsia="Times New Roman" w:cs="Times New Roman"/>
          <w:sz w:val="22"/>
          <w:shd w:val="clear" w:color="auto" w:fill="FFFFFF"/>
        </w:rPr>
      </w:pPr>
      <w:r w:rsidRPr="00AD70E6">
        <w:rPr>
          <w:rFonts w:eastAsia="Times New Roman" w:cs="Times New Roman"/>
          <w:sz w:val="22"/>
          <w:shd w:val="clear" w:color="auto" w:fill="FFFFFF"/>
        </w:rPr>
        <w:t xml:space="preserve">Hu, H. W., Tam, O. K., &amp; Tan, M. G.-S. (2010). </w:t>
      </w:r>
      <w:r w:rsidRPr="00C73325">
        <w:rPr>
          <w:rFonts w:eastAsia="Times New Roman" w:cs="Times New Roman"/>
          <w:sz w:val="22"/>
          <w:shd w:val="clear" w:color="auto" w:fill="FFFFFF"/>
        </w:rPr>
        <w:t xml:space="preserve">Internal governance mechanisms and firm performance in China. </w:t>
      </w:r>
      <w:r w:rsidRPr="00C73325">
        <w:rPr>
          <w:rFonts w:eastAsia="Times New Roman" w:cs="Times New Roman"/>
          <w:i/>
          <w:iCs/>
          <w:sz w:val="22"/>
          <w:shd w:val="clear" w:color="auto" w:fill="FFFFFF"/>
        </w:rPr>
        <w:t>Asia Pacific Journal of Management, 27</w:t>
      </w:r>
      <w:r w:rsidRPr="00C73325">
        <w:rPr>
          <w:rFonts w:eastAsia="Times New Roman" w:cs="Times New Roman"/>
          <w:sz w:val="22"/>
          <w:shd w:val="clear" w:color="auto" w:fill="FFFFFF"/>
        </w:rPr>
        <w:t xml:space="preserve">(4), 727-749. </w:t>
      </w:r>
    </w:p>
    <w:p w14:paraId="79310622" w14:textId="799F7A46" w:rsidR="008F51C8" w:rsidRPr="00C73325" w:rsidRDefault="008F51C8" w:rsidP="00FB1414">
      <w:pPr>
        <w:spacing w:before="0" w:after="0"/>
        <w:ind w:left="284" w:hanging="284"/>
        <w:rPr>
          <w:rFonts w:cs="Times New Roman"/>
          <w:sz w:val="22"/>
        </w:rPr>
      </w:pPr>
      <w:proofErr w:type="spellStart"/>
      <w:r w:rsidRPr="00C73325">
        <w:rPr>
          <w:rFonts w:cs="Times New Roman"/>
          <w:sz w:val="22"/>
        </w:rPr>
        <w:t>Hunjra</w:t>
      </w:r>
      <w:proofErr w:type="spellEnd"/>
      <w:r w:rsidRPr="00C73325">
        <w:rPr>
          <w:rFonts w:cs="Times New Roman"/>
          <w:sz w:val="22"/>
        </w:rPr>
        <w:t xml:space="preserve">, A. I. (2011). Patterns of capital structure and dividend policy in Pakistani corporate sector and their impact on organization performance. </w:t>
      </w:r>
      <w:r w:rsidR="004E7B4F" w:rsidRPr="00C73325">
        <w:rPr>
          <w:rFonts w:cs="Times New Roman"/>
          <w:i/>
          <w:sz w:val="22"/>
        </w:rPr>
        <w:t>Africa</w:t>
      </w:r>
      <w:r w:rsidRPr="00C73325">
        <w:rPr>
          <w:rFonts w:cs="Times New Roman"/>
          <w:sz w:val="22"/>
        </w:rPr>
        <w:t xml:space="preserve"> </w:t>
      </w:r>
      <w:r w:rsidR="004E7B4F" w:rsidRPr="00C73325">
        <w:rPr>
          <w:rFonts w:cs="Times New Roman"/>
          <w:i/>
          <w:sz w:val="22"/>
        </w:rPr>
        <w:t>journal</w:t>
      </w:r>
      <w:r w:rsidRPr="00C73325">
        <w:rPr>
          <w:rFonts w:cs="Times New Roman"/>
          <w:sz w:val="22"/>
        </w:rPr>
        <w:t xml:space="preserve"> </w:t>
      </w:r>
      <w:r w:rsidR="004E7B4F" w:rsidRPr="00C73325">
        <w:rPr>
          <w:rFonts w:cs="Times New Roman"/>
          <w:i/>
          <w:sz w:val="22"/>
        </w:rPr>
        <w:t>of business management</w:t>
      </w:r>
      <w:r w:rsidRPr="00C73325">
        <w:rPr>
          <w:rFonts w:cs="Times New Roman"/>
          <w:sz w:val="22"/>
        </w:rPr>
        <w:t xml:space="preserve">, </w:t>
      </w:r>
      <w:r w:rsidRPr="00C73325">
        <w:rPr>
          <w:rFonts w:cs="Times New Roman"/>
          <w:i/>
          <w:sz w:val="22"/>
        </w:rPr>
        <w:t>5</w:t>
      </w:r>
      <w:r w:rsidRPr="00C73325">
        <w:rPr>
          <w:rFonts w:cs="Times New Roman"/>
          <w:sz w:val="22"/>
        </w:rPr>
        <w:t>(27)</w:t>
      </w:r>
      <w:r w:rsidR="008047C4" w:rsidRPr="00C73325">
        <w:rPr>
          <w:rFonts w:cs="Times New Roman"/>
          <w:sz w:val="22"/>
        </w:rPr>
        <w:t>, 77-85</w:t>
      </w:r>
      <w:r w:rsidRPr="00C73325">
        <w:rPr>
          <w:rFonts w:cs="Times New Roman"/>
          <w:sz w:val="22"/>
        </w:rPr>
        <w:t>.</w:t>
      </w:r>
    </w:p>
    <w:p w14:paraId="68C53505" w14:textId="6AB695D8" w:rsidR="008F51C8" w:rsidRPr="00C73325" w:rsidRDefault="008F51C8" w:rsidP="00FB1414">
      <w:pPr>
        <w:shd w:val="clear" w:color="auto" w:fill="FFFFFF"/>
        <w:spacing w:before="0" w:after="0"/>
        <w:ind w:left="284" w:hanging="284"/>
        <w:rPr>
          <w:rFonts w:eastAsia="Times New Roman" w:cs="Times New Roman"/>
          <w:sz w:val="22"/>
        </w:rPr>
      </w:pPr>
      <w:r w:rsidRPr="00C73325">
        <w:rPr>
          <w:rFonts w:cs="Times New Roman"/>
          <w:noProof/>
          <w:sz w:val="22"/>
          <w:lang w:val="en-US"/>
        </w:rPr>
        <w:t xml:space="preserve">Hussin, N., &amp; Othman, R. (2012). Code of </w:t>
      </w:r>
      <w:r w:rsidR="00FC4D75" w:rsidRPr="00C73325">
        <w:rPr>
          <w:rFonts w:cs="Times New Roman"/>
          <w:noProof/>
          <w:sz w:val="22"/>
          <w:lang w:val="en-US"/>
        </w:rPr>
        <w:t>corporate governance and firm perfo</w:t>
      </w:r>
      <w:r w:rsidRPr="00C73325">
        <w:rPr>
          <w:rFonts w:cs="Times New Roman"/>
          <w:noProof/>
          <w:sz w:val="22"/>
          <w:lang w:val="en-US"/>
        </w:rPr>
        <w:t xml:space="preserve">rmance. </w:t>
      </w:r>
      <w:r w:rsidRPr="00C73325">
        <w:rPr>
          <w:rFonts w:cs="Times New Roman"/>
          <w:i/>
          <w:iCs/>
          <w:noProof/>
          <w:sz w:val="22"/>
          <w:lang w:val="en-US"/>
        </w:rPr>
        <w:t>British Journal of Economics, Finance and Management Sciences</w:t>
      </w:r>
      <w:r w:rsidRPr="00C73325">
        <w:rPr>
          <w:rFonts w:cs="Times New Roman"/>
          <w:noProof/>
          <w:sz w:val="22"/>
          <w:lang w:val="en-US"/>
        </w:rPr>
        <w:t xml:space="preserve">, </w:t>
      </w:r>
      <w:r w:rsidR="008047C4" w:rsidRPr="00C73325">
        <w:rPr>
          <w:rFonts w:cs="Times New Roman"/>
          <w:i/>
          <w:noProof/>
          <w:sz w:val="22"/>
          <w:lang w:val="en-US"/>
        </w:rPr>
        <w:t>4</w:t>
      </w:r>
      <w:r w:rsidR="008047C4" w:rsidRPr="00C73325">
        <w:rPr>
          <w:rFonts w:cs="Times New Roman"/>
          <w:noProof/>
          <w:sz w:val="22"/>
          <w:lang w:val="en-US"/>
        </w:rPr>
        <w:t xml:space="preserve">(2), </w:t>
      </w:r>
      <w:r w:rsidRPr="00C73325">
        <w:rPr>
          <w:rFonts w:cs="Times New Roman"/>
          <w:noProof/>
          <w:sz w:val="22"/>
          <w:lang w:val="en-US"/>
        </w:rPr>
        <w:t>1-22.</w:t>
      </w:r>
    </w:p>
    <w:p w14:paraId="708FE598" w14:textId="77777777" w:rsidR="008F51C8" w:rsidRPr="00C73325" w:rsidRDefault="008F51C8" w:rsidP="00FB1414">
      <w:pPr>
        <w:shd w:val="clear" w:color="auto" w:fill="FFFFFF"/>
        <w:spacing w:before="0" w:after="0"/>
        <w:ind w:left="284" w:hanging="284"/>
        <w:rPr>
          <w:rFonts w:eastAsia="Times New Roman" w:cs="Times New Roman"/>
          <w:sz w:val="22"/>
        </w:rPr>
      </w:pPr>
      <w:r w:rsidRPr="00C73325">
        <w:rPr>
          <w:rFonts w:eastAsia="Times New Roman" w:cs="Times New Roman"/>
          <w:sz w:val="22"/>
          <w:shd w:val="clear" w:color="auto" w:fill="FFFFFF"/>
        </w:rPr>
        <w:t>Iqbal, S. (2013). The impact of corporate governance on dividend decision of firms: Evidence from Pakistan. </w:t>
      </w:r>
      <w:r w:rsidRPr="00C73325">
        <w:rPr>
          <w:rFonts w:eastAsia="Times New Roman" w:cs="Times New Roman"/>
          <w:i/>
          <w:iCs/>
          <w:sz w:val="22"/>
          <w:shd w:val="clear" w:color="auto" w:fill="FFFFFF"/>
        </w:rPr>
        <w:t>African Journal of Business Management</w:t>
      </w:r>
      <w:r w:rsidRPr="00C73325">
        <w:rPr>
          <w:rFonts w:eastAsia="Times New Roman" w:cs="Times New Roman"/>
          <w:sz w:val="22"/>
          <w:shd w:val="clear" w:color="auto" w:fill="FFFFFF"/>
        </w:rPr>
        <w:t xml:space="preserve">, </w:t>
      </w:r>
      <w:r w:rsidRPr="00C73325">
        <w:rPr>
          <w:rFonts w:eastAsia="Times New Roman" w:cs="Times New Roman"/>
          <w:i/>
          <w:iCs/>
          <w:sz w:val="22"/>
          <w:shd w:val="clear" w:color="auto" w:fill="FFFFFF"/>
        </w:rPr>
        <w:t>7</w:t>
      </w:r>
      <w:r w:rsidRPr="00C73325">
        <w:rPr>
          <w:rFonts w:eastAsia="Times New Roman" w:cs="Times New Roman"/>
          <w:sz w:val="22"/>
          <w:shd w:val="clear" w:color="auto" w:fill="FFFFFF"/>
        </w:rPr>
        <w:t>(11), 811-817.</w:t>
      </w:r>
    </w:p>
    <w:p w14:paraId="5B67DDD2" w14:textId="60EB1F0C" w:rsidR="008F51C8" w:rsidRPr="00C73325" w:rsidRDefault="008F51C8" w:rsidP="00FB1414">
      <w:pPr>
        <w:spacing w:before="0" w:after="0"/>
        <w:ind w:left="284" w:hanging="284"/>
        <w:rPr>
          <w:rFonts w:cs="Times New Roman"/>
          <w:sz w:val="22"/>
        </w:rPr>
      </w:pPr>
      <w:proofErr w:type="spellStart"/>
      <w:r w:rsidRPr="00C73325">
        <w:rPr>
          <w:rFonts w:cs="Times New Roman"/>
          <w:sz w:val="22"/>
        </w:rPr>
        <w:t>Jagannathan</w:t>
      </w:r>
      <w:proofErr w:type="spellEnd"/>
      <w:r w:rsidRPr="00C73325">
        <w:rPr>
          <w:rFonts w:cs="Times New Roman"/>
          <w:sz w:val="22"/>
        </w:rPr>
        <w:t xml:space="preserve">, R. and </w:t>
      </w:r>
      <w:proofErr w:type="spellStart"/>
      <w:r w:rsidRPr="00C73325">
        <w:rPr>
          <w:rFonts w:cs="Times New Roman"/>
          <w:sz w:val="22"/>
        </w:rPr>
        <w:t>Marakani</w:t>
      </w:r>
      <w:proofErr w:type="spellEnd"/>
      <w:r w:rsidRPr="00C73325">
        <w:rPr>
          <w:rFonts w:cs="Times New Roman"/>
          <w:sz w:val="22"/>
        </w:rPr>
        <w:t xml:space="preserve">, S. (2011). </w:t>
      </w:r>
      <w:r w:rsidRPr="00C73325">
        <w:rPr>
          <w:rFonts w:cs="Times New Roman"/>
          <w:i/>
          <w:sz w:val="22"/>
        </w:rPr>
        <w:t xml:space="preserve">Long </w:t>
      </w:r>
      <w:r w:rsidR="00FC4D75" w:rsidRPr="00C73325">
        <w:rPr>
          <w:rFonts w:cs="Times New Roman"/>
          <w:i/>
          <w:sz w:val="22"/>
        </w:rPr>
        <w:t>Run Risks &amp; Price/Dividend Ratio Factors</w:t>
      </w:r>
      <w:r w:rsidRPr="00C73325">
        <w:rPr>
          <w:rFonts w:cs="Times New Roman"/>
          <w:sz w:val="22"/>
        </w:rPr>
        <w:t>. Cambridge, Mass.: National Bureau of Economic Research.</w:t>
      </w:r>
    </w:p>
    <w:p w14:paraId="2081A548" w14:textId="7A4B2FF3" w:rsidR="00CF563E" w:rsidRPr="00C73325" w:rsidRDefault="00CF563E" w:rsidP="00CF563E">
      <w:pPr>
        <w:shd w:val="clear" w:color="auto" w:fill="FFFFFF"/>
        <w:spacing w:before="0" w:after="0"/>
        <w:ind w:left="284" w:hanging="284"/>
        <w:rPr>
          <w:rFonts w:eastAsia="Times New Roman" w:cs="Times New Roman"/>
          <w:sz w:val="22"/>
        </w:rPr>
      </w:pPr>
      <w:r w:rsidRPr="00C73325">
        <w:rPr>
          <w:rFonts w:eastAsia="Times New Roman" w:cs="Times New Roman"/>
          <w:sz w:val="22"/>
        </w:rPr>
        <w:t xml:space="preserve">Jensen, M. C. (1986). Agency cost of free cash flow, corporate finance, and takeovers. Corporate Finance, and Takeovers. </w:t>
      </w:r>
      <w:r w:rsidRPr="00C73325">
        <w:rPr>
          <w:rFonts w:eastAsia="Times New Roman" w:cs="Times New Roman"/>
          <w:i/>
          <w:iCs/>
          <w:sz w:val="22"/>
        </w:rPr>
        <w:t>American Economic Review, 76</w:t>
      </w:r>
      <w:r w:rsidRPr="00C73325">
        <w:rPr>
          <w:rFonts w:eastAsia="Times New Roman" w:cs="Times New Roman"/>
          <w:sz w:val="22"/>
        </w:rPr>
        <w:t>(2), 323-339.</w:t>
      </w:r>
    </w:p>
    <w:p w14:paraId="3AB5A6D1" w14:textId="7CE69549" w:rsidR="008F51C8" w:rsidRPr="00C73325" w:rsidRDefault="008F51C8" w:rsidP="00FB1414">
      <w:pPr>
        <w:shd w:val="clear" w:color="auto" w:fill="FFFFFF"/>
        <w:spacing w:before="0" w:after="0"/>
        <w:ind w:left="284" w:hanging="284"/>
        <w:rPr>
          <w:rFonts w:eastAsia="Times New Roman" w:cs="Times New Roman"/>
          <w:sz w:val="22"/>
        </w:rPr>
      </w:pPr>
      <w:r w:rsidRPr="00C73325">
        <w:rPr>
          <w:rFonts w:eastAsia="Times New Roman" w:cs="Times New Roman"/>
          <w:sz w:val="22"/>
        </w:rPr>
        <w:t xml:space="preserve">Jensen, M.C. (1993). The modern industrial revolution, exit, and the failure of internal control systems. </w:t>
      </w:r>
      <w:r w:rsidRPr="00C73325">
        <w:rPr>
          <w:rFonts w:eastAsia="Times New Roman" w:cs="Times New Roman"/>
          <w:i/>
          <w:sz w:val="22"/>
        </w:rPr>
        <w:t>Journal of Finance, 48</w:t>
      </w:r>
      <w:r w:rsidRPr="00C73325">
        <w:rPr>
          <w:rFonts w:eastAsia="Times New Roman" w:cs="Times New Roman"/>
          <w:sz w:val="22"/>
        </w:rPr>
        <w:t>(3), 831-880.</w:t>
      </w:r>
    </w:p>
    <w:p w14:paraId="65CD7E7C" w14:textId="24609CD3" w:rsidR="008F51C8" w:rsidRPr="00C73325" w:rsidRDefault="008F51C8" w:rsidP="00FB1414">
      <w:pPr>
        <w:spacing w:before="0" w:after="0"/>
        <w:ind w:left="284" w:hanging="284"/>
        <w:rPr>
          <w:rFonts w:eastAsia="Times New Roman" w:cs="Times New Roman"/>
          <w:sz w:val="22"/>
        </w:rPr>
      </w:pPr>
      <w:proofErr w:type="spellStart"/>
      <w:r w:rsidRPr="00C73325">
        <w:rPr>
          <w:rFonts w:eastAsia="Times New Roman" w:cs="Times New Roman"/>
          <w:sz w:val="22"/>
        </w:rPr>
        <w:t>Jermann</w:t>
      </w:r>
      <w:proofErr w:type="spellEnd"/>
      <w:r w:rsidRPr="00C73325">
        <w:rPr>
          <w:rFonts w:eastAsia="Times New Roman" w:cs="Times New Roman"/>
          <w:sz w:val="22"/>
        </w:rPr>
        <w:t xml:space="preserve">, U., &amp; </w:t>
      </w:r>
      <w:proofErr w:type="spellStart"/>
      <w:r w:rsidRPr="00C73325">
        <w:rPr>
          <w:rFonts w:eastAsia="Times New Roman" w:cs="Times New Roman"/>
          <w:sz w:val="22"/>
        </w:rPr>
        <w:t>Quadrini</w:t>
      </w:r>
      <w:proofErr w:type="spellEnd"/>
      <w:r w:rsidRPr="00C73325">
        <w:rPr>
          <w:rFonts w:eastAsia="Times New Roman" w:cs="Times New Roman"/>
          <w:sz w:val="22"/>
        </w:rPr>
        <w:t xml:space="preserve">, V. (2012). Macroeconomic effects of financial shocks. </w:t>
      </w:r>
      <w:r w:rsidRPr="00C73325">
        <w:rPr>
          <w:rFonts w:eastAsia="Times New Roman" w:cs="Times New Roman"/>
          <w:i/>
          <w:sz w:val="22"/>
        </w:rPr>
        <w:t>American Economic Review</w:t>
      </w:r>
      <w:r w:rsidRPr="00C73325">
        <w:rPr>
          <w:rFonts w:eastAsia="Times New Roman" w:cs="Times New Roman"/>
          <w:sz w:val="22"/>
        </w:rPr>
        <w:t xml:space="preserve">, </w:t>
      </w:r>
      <w:r w:rsidRPr="00C73325">
        <w:rPr>
          <w:rFonts w:eastAsia="Times New Roman" w:cs="Times New Roman"/>
          <w:i/>
          <w:sz w:val="22"/>
        </w:rPr>
        <w:t>102</w:t>
      </w:r>
      <w:r w:rsidRPr="00C73325">
        <w:rPr>
          <w:rFonts w:eastAsia="Times New Roman" w:cs="Times New Roman"/>
          <w:sz w:val="22"/>
        </w:rPr>
        <w:t>(1), 238-271.</w:t>
      </w:r>
    </w:p>
    <w:p w14:paraId="0CB1CDD0" w14:textId="085B0FDF" w:rsidR="006F62E8" w:rsidRPr="00C73325" w:rsidRDefault="006F62E8" w:rsidP="006F62E8">
      <w:pPr>
        <w:shd w:val="clear" w:color="auto" w:fill="FFFFFF"/>
        <w:spacing w:before="0" w:after="0"/>
        <w:ind w:left="284" w:hanging="284"/>
        <w:rPr>
          <w:rFonts w:eastAsia="Times New Roman" w:cs="Times New Roman"/>
          <w:sz w:val="22"/>
        </w:rPr>
      </w:pPr>
      <w:r w:rsidRPr="00C73325">
        <w:rPr>
          <w:rFonts w:eastAsia="Times New Roman" w:cs="Times New Roman"/>
          <w:sz w:val="22"/>
        </w:rPr>
        <w:t xml:space="preserve">John, K., &amp; </w:t>
      </w:r>
      <w:proofErr w:type="spellStart"/>
      <w:r w:rsidRPr="00C73325">
        <w:rPr>
          <w:rFonts w:eastAsia="Times New Roman" w:cs="Times New Roman"/>
          <w:sz w:val="22"/>
        </w:rPr>
        <w:t>Knyazeva</w:t>
      </w:r>
      <w:proofErr w:type="spellEnd"/>
      <w:r w:rsidRPr="00C73325">
        <w:rPr>
          <w:rFonts w:eastAsia="Times New Roman" w:cs="Times New Roman"/>
          <w:sz w:val="22"/>
        </w:rPr>
        <w:t xml:space="preserve">, A. (2006). </w:t>
      </w:r>
      <w:r w:rsidR="009966D6" w:rsidRPr="00C73325">
        <w:rPr>
          <w:rFonts w:eastAsia="Times New Roman" w:cs="Times New Roman"/>
          <w:sz w:val="22"/>
        </w:rPr>
        <w:t>Pay-out</w:t>
      </w:r>
      <w:r w:rsidRPr="00C73325">
        <w:rPr>
          <w:rFonts w:eastAsia="Times New Roman" w:cs="Times New Roman"/>
          <w:sz w:val="22"/>
        </w:rPr>
        <w:t xml:space="preserve"> policy, agency conflicts, and corporate governance. </w:t>
      </w:r>
      <w:r w:rsidRPr="00C73325">
        <w:rPr>
          <w:rFonts w:eastAsia="Times New Roman" w:cs="Times New Roman"/>
          <w:i/>
          <w:iCs/>
          <w:sz w:val="22"/>
        </w:rPr>
        <w:t>Working Paper, May 2006</w:t>
      </w:r>
      <w:r w:rsidRPr="00C73325">
        <w:rPr>
          <w:rFonts w:eastAsia="Times New Roman" w:cs="Times New Roman"/>
          <w:sz w:val="22"/>
        </w:rPr>
        <w:t>.</w:t>
      </w:r>
    </w:p>
    <w:p w14:paraId="177A3DBB" w14:textId="7F7D16F4" w:rsidR="008F51C8" w:rsidRPr="00C73325" w:rsidRDefault="008F51C8" w:rsidP="00FB1414">
      <w:pPr>
        <w:shd w:val="clear" w:color="auto" w:fill="FFFFFF"/>
        <w:spacing w:before="0" w:after="0"/>
        <w:ind w:left="284" w:hanging="284"/>
        <w:rPr>
          <w:rFonts w:eastAsia="Times New Roman" w:cs="Times New Roman"/>
          <w:sz w:val="22"/>
        </w:rPr>
      </w:pPr>
      <w:proofErr w:type="spellStart"/>
      <w:r w:rsidRPr="00C73325">
        <w:rPr>
          <w:rFonts w:eastAsia="Times New Roman" w:cs="Times New Roman"/>
          <w:sz w:val="22"/>
        </w:rPr>
        <w:t>Julizaerma</w:t>
      </w:r>
      <w:proofErr w:type="spellEnd"/>
      <w:r w:rsidRPr="00C73325">
        <w:rPr>
          <w:rFonts w:eastAsia="Times New Roman" w:cs="Times New Roman"/>
          <w:sz w:val="22"/>
        </w:rPr>
        <w:t xml:space="preserve">, M.K., &amp; </w:t>
      </w:r>
      <w:proofErr w:type="spellStart"/>
      <w:r w:rsidRPr="00C73325">
        <w:rPr>
          <w:rFonts w:eastAsia="Times New Roman" w:cs="Times New Roman"/>
          <w:sz w:val="22"/>
        </w:rPr>
        <w:t>Sori</w:t>
      </w:r>
      <w:proofErr w:type="spellEnd"/>
      <w:r w:rsidRPr="00C73325">
        <w:rPr>
          <w:rFonts w:eastAsia="Times New Roman" w:cs="Times New Roman"/>
          <w:sz w:val="22"/>
        </w:rPr>
        <w:t xml:space="preserve">, Z. (2012). Gender diversity in the boardroom and firm performance of Malaysian public listed companies. </w:t>
      </w:r>
      <w:r w:rsidRPr="00C73325">
        <w:rPr>
          <w:rFonts w:eastAsia="Times New Roman" w:cs="Times New Roman"/>
          <w:i/>
          <w:sz w:val="22"/>
        </w:rPr>
        <w:t>Procedia</w:t>
      </w:r>
      <w:r w:rsidR="003918D6" w:rsidRPr="00C73325">
        <w:rPr>
          <w:rFonts w:eastAsia="Times New Roman" w:cs="Times New Roman"/>
          <w:i/>
          <w:sz w:val="22"/>
        </w:rPr>
        <w:t xml:space="preserve"> - </w:t>
      </w:r>
      <w:r w:rsidRPr="00C73325">
        <w:rPr>
          <w:rFonts w:eastAsia="Times New Roman" w:cs="Times New Roman"/>
          <w:i/>
          <w:sz w:val="22"/>
        </w:rPr>
        <w:t>Social and Behavioural Sciences, 65</w:t>
      </w:r>
      <w:r w:rsidRPr="00C73325">
        <w:rPr>
          <w:rFonts w:eastAsia="Times New Roman" w:cs="Times New Roman"/>
          <w:sz w:val="22"/>
        </w:rPr>
        <w:t>, 107</w:t>
      </w:r>
      <w:r w:rsidR="008047C4" w:rsidRPr="00C73325">
        <w:rPr>
          <w:rFonts w:eastAsia="Times New Roman" w:cs="Times New Roman"/>
          <w:sz w:val="22"/>
        </w:rPr>
        <w:t>7-</w:t>
      </w:r>
      <w:r w:rsidRPr="00C73325">
        <w:rPr>
          <w:rFonts w:eastAsia="Times New Roman" w:cs="Times New Roman"/>
          <w:sz w:val="22"/>
        </w:rPr>
        <w:t>1085.</w:t>
      </w:r>
    </w:p>
    <w:p w14:paraId="479EEAE0" w14:textId="2904098A" w:rsidR="008F51C8" w:rsidRPr="00C73325" w:rsidRDefault="008F51C8" w:rsidP="00FB1414">
      <w:pPr>
        <w:spacing w:before="0" w:after="0"/>
        <w:ind w:left="284" w:hanging="284"/>
        <w:rPr>
          <w:rFonts w:eastAsia="Times New Roman" w:cs="Times New Roman"/>
          <w:sz w:val="22"/>
          <w:shd w:val="clear" w:color="auto" w:fill="FFFFFF"/>
        </w:rPr>
      </w:pPr>
      <w:proofErr w:type="spellStart"/>
      <w:r w:rsidRPr="00C73325">
        <w:rPr>
          <w:rFonts w:eastAsia="Times New Roman" w:cs="Times New Roman"/>
          <w:sz w:val="22"/>
          <w:shd w:val="clear" w:color="auto" w:fill="FFFFFF"/>
        </w:rPr>
        <w:t>Juma</w:t>
      </w:r>
      <w:r w:rsidR="0085224B" w:rsidRPr="00C73325">
        <w:rPr>
          <w:rFonts w:eastAsia="Times New Roman" w:cs="Times New Roman"/>
          <w:sz w:val="22"/>
          <w:shd w:val="clear" w:color="auto" w:fill="FFFFFF"/>
        </w:rPr>
        <w:t>’</w:t>
      </w:r>
      <w:r w:rsidRPr="00C73325">
        <w:rPr>
          <w:rFonts w:eastAsia="Times New Roman" w:cs="Times New Roman"/>
          <w:sz w:val="22"/>
          <w:shd w:val="clear" w:color="auto" w:fill="FFFFFF"/>
        </w:rPr>
        <w:t>h</w:t>
      </w:r>
      <w:proofErr w:type="spellEnd"/>
      <w:r w:rsidRPr="00C73325">
        <w:rPr>
          <w:rFonts w:eastAsia="Times New Roman" w:cs="Times New Roman"/>
          <w:sz w:val="22"/>
          <w:shd w:val="clear" w:color="auto" w:fill="FFFFFF"/>
        </w:rPr>
        <w:t>, A.H., &amp; Pacheco, C.J. (2008). The financial factors influencing cash dividend policy: A sample of US manufacturing companies. </w:t>
      </w:r>
      <w:r w:rsidRPr="00C73325">
        <w:rPr>
          <w:rFonts w:eastAsia="Times New Roman" w:cs="Times New Roman"/>
          <w:i/>
          <w:iCs/>
          <w:sz w:val="22"/>
          <w:shd w:val="clear" w:color="auto" w:fill="FFFFFF"/>
        </w:rPr>
        <w:t>International Metro Business Journal</w:t>
      </w:r>
      <w:r w:rsidRPr="00C73325">
        <w:rPr>
          <w:rFonts w:eastAsia="Times New Roman" w:cs="Times New Roman"/>
          <w:sz w:val="22"/>
          <w:shd w:val="clear" w:color="auto" w:fill="FFFFFF"/>
        </w:rPr>
        <w:t xml:space="preserve">, </w:t>
      </w:r>
      <w:r w:rsidRPr="00C73325">
        <w:rPr>
          <w:rFonts w:eastAsia="Times New Roman" w:cs="Times New Roman"/>
          <w:i/>
          <w:iCs/>
          <w:sz w:val="22"/>
          <w:shd w:val="clear" w:color="auto" w:fill="FFFFFF"/>
        </w:rPr>
        <w:t>4</w:t>
      </w:r>
      <w:r w:rsidRPr="00C73325">
        <w:rPr>
          <w:rFonts w:eastAsia="Times New Roman" w:cs="Times New Roman"/>
          <w:sz w:val="22"/>
          <w:shd w:val="clear" w:color="auto" w:fill="FFFFFF"/>
        </w:rPr>
        <w:t>(2), 23</w:t>
      </w:r>
      <w:r w:rsidR="0085224B" w:rsidRPr="00C73325">
        <w:rPr>
          <w:rFonts w:eastAsia="Times New Roman" w:cs="Times New Roman"/>
          <w:sz w:val="22"/>
          <w:shd w:val="clear" w:color="auto" w:fill="FFFFFF"/>
        </w:rPr>
        <w:t>-</w:t>
      </w:r>
      <w:r w:rsidRPr="00C73325">
        <w:rPr>
          <w:rFonts w:eastAsia="Times New Roman" w:cs="Times New Roman"/>
          <w:sz w:val="22"/>
          <w:shd w:val="clear" w:color="auto" w:fill="FFFFFF"/>
        </w:rPr>
        <w:t>43.</w:t>
      </w:r>
    </w:p>
    <w:p w14:paraId="36A57934" w14:textId="3D907A74" w:rsidR="008F51C8" w:rsidRPr="00C73325" w:rsidRDefault="008F51C8" w:rsidP="00FB1414">
      <w:pPr>
        <w:shd w:val="clear" w:color="auto" w:fill="FFFFFF"/>
        <w:spacing w:before="0" w:after="0"/>
        <w:ind w:left="284" w:hanging="284"/>
        <w:rPr>
          <w:rFonts w:eastAsia="Times New Roman" w:cs="Times New Roman"/>
          <w:sz w:val="22"/>
        </w:rPr>
      </w:pPr>
      <w:proofErr w:type="spellStart"/>
      <w:r w:rsidRPr="00C73325">
        <w:rPr>
          <w:rFonts w:eastAsia="Times New Roman" w:cs="Times New Roman"/>
          <w:sz w:val="22"/>
        </w:rPr>
        <w:lastRenderedPageBreak/>
        <w:t>Kajol</w:t>
      </w:r>
      <w:proofErr w:type="spellEnd"/>
      <w:r w:rsidRPr="00C73325">
        <w:rPr>
          <w:rFonts w:eastAsia="Times New Roman" w:cs="Times New Roman"/>
          <w:sz w:val="22"/>
        </w:rPr>
        <w:t xml:space="preserve">, &amp; Sunday. (2008). </w:t>
      </w:r>
      <w:proofErr w:type="gramStart"/>
      <w:r w:rsidRPr="00C73325">
        <w:rPr>
          <w:rFonts w:eastAsia="Times New Roman" w:cs="Times New Roman"/>
          <w:sz w:val="22"/>
        </w:rPr>
        <w:t>Corporate</w:t>
      </w:r>
      <w:proofErr w:type="gramEnd"/>
      <w:r w:rsidRPr="00C73325">
        <w:rPr>
          <w:rFonts w:eastAsia="Times New Roman" w:cs="Times New Roman"/>
          <w:sz w:val="22"/>
        </w:rPr>
        <w:t xml:space="preserve"> </w:t>
      </w:r>
      <w:r w:rsidR="00FC4D75" w:rsidRPr="00C73325">
        <w:rPr>
          <w:rFonts w:eastAsia="Times New Roman" w:cs="Times New Roman"/>
          <w:sz w:val="22"/>
        </w:rPr>
        <w:t>governance and firm performance</w:t>
      </w:r>
      <w:r w:rsidRPr="00C73325">
        <w:rPr>
          <w:rFonts w:eastAsia="Times New Roman" w:cs="Times New Roman"/>
          <w:sz w:val="22"/>
        </w:rPr>
        <w:t xml:space="preserve">: The case of Nigerian </w:t>
      </w:r>
      <w:r w:rsidR="00FC4D75" w:rsidRPr="00C73325">
        <w:rPr>
          <w:rFonts w:eastAsia="Times New Roman" w:cs="Times New Roman"/>
          <w:sz w:val="22"/>
        </w:rPr>
        <w:t>listed firm</w:t>
      </w:r>
      <w:r w:rsidRPr="00C73325">
        <w:rPr>
          <w:rFonts w:eastAsia="Times New Roman" w:cs="Times New Roman"/>
          <w:sz w:val="22"/>
        </w:rPr>
        <w:t xml:space="preserve">. </w:t>
      </w:r>
      <w:r w:rsidRPr="00C73325">
        <w:rPr>
          <w:rFonts w:eastAsia="Times New Roman" w:cs="Times New Roman"/>
          <w:i/>
          <w:sz w:val="22"/>
        </w:rPr>
        <w:t>European Journal of Economics</w:t>
      </w:r>
      <w:r w:rsidRPr="00C73325">
        <w:rPr>
          <w:rFonts w:eastAsia="Times New Roman" w:cs="Times New Roman"/>
          <w:sz w:val="22"/>
        </w:rPr>
        <w:t xml:space="preserve">, </w:t>
      </w:r>
      <w:r w:rsidR="008047C4" w:rsidRPr="00C73325">
        <w:rPr>
          <w:rFonts w:eastAsia="Times New Roman" w:cs="Times New Roman"/>
          <w:i/>
          <w:sz w:val="22"/>
        </w:rPr>
        <w:t>6</w:t>
      </w:r>
      <w:r w:rsidR="008047C4" w:rsidRPr="00C73325">
        <w:rPr>
          <w:rFonts w:eastAsia="Times New Roman" w:cs="Times New Roman"/>
          <w:sz w:val="22"/>
        </w:rPr>
        <w:t xml:space="preserve">(3), </w:t>
      </w:r>
      <w:r w:rsidRPr="00C73325">
        <w:rPr>
          <w:rFonts w:eastAsia="Times New Roman" w:cs="Times New Roman"/>
          <w:sz w:val="22"/>
        </w:rPr>
        <w:t>1-13.</w:t>
      </w:r>
    </w:p>
    <w:p w14:paraId="49C1E6C2" w14:textId="77777777" w:rsidR="00EA44FF" w:rsidRPr="00C73325" w:rsidRDefault="00EA44FF" w:rsidP="00EA44FF">
      <w:pPr>
        <w:shd w:val="clear" w:color="auto" w:fill="FFFFFF"/>
        <w:spacing w:before="0" w:after="0"/>
        <w:ind w:left="284" w:hanging="284"/>
        <w:rPr>
          <w:rFonts w:eastAsia="Times New Roman" w:cs="Times New Roman"/>
          <w:sz w:val="22"/>
        </w:rPr>
      </w:pPr>
      <w:proofErr w:type="spellStart"/>
      <w:r w:rsidRPr="00C73325">
        <w:rPr>
          <w:rFonts w:eastAsia="Times New Roman" w:cs="Times New Roman"/>
          <w:sz w:val="22"/>
        </w:rPr>
        <w:t>Karamanou</w:t>
      </w:r>
      <w:proofErr w:type="spellEnd"/>
      <w:r w:rsidRPr="00C73325">
        <w:rPr>
          <w:rFonts w:eastAsia="Times New Roman" w:cs="Times New Roman"/>
          <w:sz w:val="22"/>
        </w:rPr>
        <w:t xml:space="preserve">, I., &amp; </w:t>
      </w:r>
      <w:proofErr w:type="spellStart"/>
      <w:r w:rsidRPr="00C73325">
        <w:rPr>
          <w:rFonts w:eastAsia="Times New Roman" w:cs="Times New Roman"/>
          <w:sz w:val="22"/>
        </w:rPr>
        <w:t>Vafeas</w:t>
      </w:r>
      <w:proofErr w:type="spellEnd"/>
      <w:r w:rsidRPr="00C73325">
        <w:rPr>
          <w:rFonts w:eastAsia="Times New Roman" w:cs="Times New Roman"/>
          <w:sz w:val="22"/>
        </w:rPr>
        <w:t xml:space="preserve">, N. (2005). The association between corporate boards, audit committees, and management earnings forecasts: An empirical analysis. </w:t>
      </w:r>
      <w:r w:rsidRPr="00C73325">
        <w:rPr>
          <w:rFonts w:eastAsia="Times New Roman" w:cs="Times New Roman"/>
          <w:i/>
          <w:iCs/>
          <w:sz w:val="22"/>
        </w:rPr>
        <w:t xml:space="preserve">Journal of </w:t>
      </w:r>
      <w:proofErr w:type="gramStart"/>
      <w:r w:rsidRPr="00C73325">
        <w:rPr>
          <w:rFonts w:eastAsia="Times New Roman" w:cs="Times New Roman"/>
          <w:i/>
          <w:iCs/>
          <w:sz w:val="22"/>
        </w:rPr>
        <w:t>Accounting</w:t>
      </w:r>
      <w:proofErr w:type="gramEnd"/>
      <w:r w:rsidRPr="00C73325">
        <w:rPr>
          <w:rFonts w:eastAsia="Times New Roman" w:cs="Times New Roman"/>
          <w:i/>
          <w:iCs/>
          <w:sz w:val="22"/>
        </w:rPr>
        <w:t xml:space="preserve"> research, 43</w:t>
      </w:r>
      <w:r w:rsidRPr="00C73325">
        <w:rPr>
          <w:rFonts w:eastAsia="Times New Roman" w:cs="Times New Roman"/>
          <w:sz w:val="22"/>
        </w:rPr>
        <w:t xml:space="preserve">(3), 453-486. </w:t>
      </w:r>
    </w:p>
    <w:p w14:paraId="4F38AA77" w14:textId="7A45042F" w:rsidR="00355C4B" w:rsidRPr="000D152A" w:rsidRDefault="00355C4B" w:rsidP="00FB1414">
      <w:pPr>
        <w:spacing w:before="0" w:after="0"/>
        <w:ind w:left="284" w:hanging="284"/>
        <w:rPr>
          <w:rFonts w:cs="Times New Roman"/>
          <w:sz w:val="22"/>
          <w:lang w:val="en-US"/>
        </w:rPr>
      </w:pPr>
      <w:r w:rsidRPr="000D152A">
        <w:rPr>
          <w:rFonts w:cs="Times New Roman"/>
          <w:noProof/>
          <w:sz w:val="22"/>
        </w:rPr>
        <w:t xml:space="preserve">Karim, A.K.M.W., Zijl, T.V. and Mollah, S. (2013) Impact of board ownership, CEO-Chair duality and foreign equity participation on auditor quality choice of IPO companies: evidence from an emerging market. </w:t>
      </w:r>
      <w:r w:rsidRPr="000D152A">
        <w:rPr>
          <w:rFonts w:cs="Times New Roman"/>
          <w:i/>
          <w:noProof/>
          <w:sz w:val="22"/>
        </w:rPr>
        <w:t>International Journal of Accounting &amp; Information Management,</w:t>
      </w:r>
      <w:r w:rsidRPr="000D152A">
        <w:rPr>
          <w:rFonts w:cs="Times New Roman"/>
          <w:noProof/>
          <w:sz w:val="22"/>
        </w:rPr>
        <w:t xml:space="preserve"> 21 (2), 148-169</w:t>
      </w:r>
    </w:p>
    <w:p w14:paraId="5BBCD7CF" w14:textId="77777777" w:rsidR="00411F0E" w:rsidRDefault="008F51C8" w:rsidP="004E754D">
      <w:pPr>
        <w:spacing w:before="0" w:after="0"/>
        <w:ind w:left="284" w:hanging="284"/>
        <w:rPr>
          <w:sz w:val="22"/>
        </w:rPr>
      </w:pPr>
      <w:r w:rsidRPr="00C73325">
        <w:rPr>
          <w:rFonts w:cs="Times New Roman"/>
          <w:sz w:val="22"/>
          <w:lang w:val="en-US"/>
        </w:rPr>
        <w:t>Kester, G., &amp; Robbin, G. (2011). Dividend policy</w:t>
      </w:r>
      <w:r w:rsidRPr="00C73325">
        <w:rPr>
          <w:rFonts w:cs="Times New Roman"/>
          <w:i/>
          <w:sz w:val="22"/>
          <w:lang w:val="en-US"/>
        </w:rPr>
        <w:t>. Accountancy Ireland, 43</w:t>
      </w:r>
      <w:r w:rsidRPr="00C73325">
        <w:rPr>
          <w:rFonts w:cs="Times New Roman"/>
          <w:sz w:val="22"/>
          <w:lang w:val="en-US"/>
        </w:rPr>
        <w:t>(2) 42</w:t>
      </w:r>
      <w:r w:rsidR="008047C4" w:rsidRPr="00C73325">
        <w:rPr>
          <w:rFonts w:cs="Times New Roman"/>
          <w:sz w:val="22"/>
          <w:lang w:val="en-US"/>
        </w:rPr>
        <w:t>-</w:t>
      </w:r>
      <w:r w:rsidR="00411F0E">
        <w:rPr>
          <w:rFonts w:cs="Times New Roman"/>
          <w:sz w:val="22"/>
          <w:lang w:val="en-US"/>
        </w:rPr>
        <w:t xml:space="preserve">44.  </w:t>
      </w:r>
    </w:p>
    <w:p w14:paraId="1C6DF634" w14:textId="585D2033" w:rsidR="00411F0E" w:rsidRPr="000D152A" w:rsidRDefault="00411F0E" w:rsidP="00411F0E">
      <w:pPr>
        <w:spacing w:before="0" w:after="0"/>
        <w:ind w:left="284" w:hanging="284"/>
        <w:rPr>
          <w:rFonts w:cs="Times New Roman"/>
          <w:sz w:val="22"/>
          <w:lang w:val="en-US"/>
        </w:rPr>
      </w:pPr>
      <w:r w:rsidRPr="000D152A">
        <w:rPr>
          <w:rFonts w:cs="Times New Roman"/>
          <w:noProof/>
          <w:sz w:val="22"/>
        </w:rPr>
        <w:t xml:space="preserve">Khan, A., Mihret, D.G. and Muttakin, M.B. (2016) Corporate political connections, agency costs and audit quality. </w:t>
      </w:r>
      <w:r w:rsidRPr="000D152A">
        <w:rPr>
          <w:rFonts w:cs="Times New Roman"/>
          <w:i/>
          <w:noProof/>
          <w:sz w:val="22"/>
        </w:rPr>
        <w:t>International Journal of Accounting &amp; Information Management,</w:t>
      </w:r>
      <w:r w:rsidRPr="000D152A">
        <w:rPr>
          <w:rFonts w:cs="Times New Roman"/>
          <w:noProof/>
          <w:sz w:val="22"/>
        </w:rPr>
        <w:t xml:space="preserve"> 24 (4), 357-374.</w:t>
      </w:r>
    </w:p>
    <w:p w14:paraId="4CC2761E" w14:textId="09357D6A" w:rsidR="008F51C8" w:rsidRPr="00C73325" w:rsidRDefault="008F51C8" w:rsidP="00FB1414">
      <w:pPr>
        <w:shd w:val="clear" w:color="auto" w:fill="FFFFFF"/>
        <w:spacing w:before="0" w:after="0"/>
        <w:ind w:left="284" w:hanging="284"/>
        <w:rPr>
          <w:rFonts w:eastAsia="Times New Roman" w:cs="Times New Roman"/>
          <w:sz w:val="22"/>
        </w:rPr>
      </w:pPr>
      <w:r w:rsidRPr="000D152A">
        <w:rPr>
          <w:rFonts w:cs="Times New Roman"/>
          <w:bCs/>
          <w:noProof/>
          <w:sz w:val="22"/>
        </w:rPr>
        <w:t xml:space="preserve">Kiel, G.C., &amp; Nicholson, G. J. (2003). </w:t>
      </w:r>
      <w:r w:rsidRPr="00C73325">
        <w:rPr>
          <w:rFonts w:cs="Times New Roman"/>
          <w:bCs/>
          <w:noProof/>
          <w:sz w:val="22"/>
        </w:rPr>
        <w:t xml:space="preserve">Board composition and corporate performance: How the australian experience informs contrasting theories of corporate governance. </w:t>
      </w:r>
      <w:r w:rsidRPr="00C73325">
        <w:rPr>
          <w:rFonts w:cs="Times New Roman"/>
          <w:bCs/>
          <w:i/>
          <w:noProof/>
          <w:sz w:val="22"/>
        </w:rPr>
        <w:t>Corporate Governance:</w:t>
      </w:r>
      <w:r w:rsidRPr="00C73325">
        <w:rPr>
          <w:rFonts w:cs="Times New Roman"/>
          <w:bCs/>
          <w:noProof/>
          <w:sz w:val="22"/>
        </w:rPr>
        <w:t xml:space="preserve"> </w:t>
      </w:r>
      <w:r w:rsidRPr="00C73325">
        <w:rPr>
          <w:rFonts w:cs="Times New Roman"/>
          <w:bCs/>
          <w:i/>
          <w:noProof/>
          <w:sz w:val="22"/>
        </w:rPr>
        <w:t>An International Review,</w:t>
      </w:r>
      <w:r w:rsidRPr="00C73325">
        <w:rPr>
          <w:rFonts w:cs="Times New Roman"/>
          <w:bCs/>
          <w:noProof/>
          <w:sz w:val="22"/>
        </w:rPr>
        <w:t xml:space="preserve"> </w:t>
      </w:r>
      <w:r w:rsidRPr="00C73325">
        <w:rPr>
          <w:rFonts w:cs="Times New Roman"/>
          <w:bCs/>
          <w:i/>
          <w:noProof/>
          <w:sz w:val="22"/>
        </w:rPr>
        <w:t>11</w:t>
      </w:r>
      <w:r w:rsidRPr="00C73325">
        <w:rPr>
          <w:rFonts w:cs="Times New Roman"/>
          <w:bCs/>
          <w:noProof/>
          <w:sz w:val="22"/>
        </w:rPr>
        <w:t>(3), 189-205.</w:t>
      </w:r>
    </w:p>
    <w:p w14:paraId="5B3A34A3" w14:textId="042BBC98" w:rsidR="008F51C8" w:rsidRPr="00C73325" w:rsidRDefault="00490075" w:rsidP="00490075">
      <w:pPr>
        <w:spacing w:before="0" w:after="0"/>
        <w:ind w:left="284" w:hanging="284"/>
        <w:rPr>
          <w:rFonts w:cs="Times New Roman"/>
          <w:sz w:val="22"/>
        </w:rPr>
      </w:pPr>
      <w:proofErr w:type="spellStart"/>
      <w:r w:rsidRPr="00AD70E6">
        <w:rPr>
          <w:rFonts w:cs="Times New Roman"/>
          <w:sz w:val="22"/>
        </w:rPr>
        <w:t>Jiraporn</w:t>
      </w:r>
      <w:proofErr w:type="spellEnd"/>
      <w:r w:rsidRPr="00AD70E6">
        <w:rPr>
          <w:rFonts w:cs="Times New Roman"/>
          <w:sz w:val="22"/>
        </w:rPr>
        <w:t xml:space="preserve">, P., </w:t>
      </w:r>
      <w:r w:rsidRPr="00AD70E6">
        <w:t>Kim, J. C., &amp; Kim, Y. S.</w:t>
      </w:r>
      <w:r w:rsidRPr="00AD70E6">
        <w:rPr>
          <w:rFonts w:cs="Times New Roman"/>
          <w:sz w:val="22"/>
        </w:rPr>
        <w:t xml:space="preserve"> </w:t>
      </w:r>
      <w:r w:rsidR="008F51C8" w:rsidRPr="00AD70E6">
        <w:rPr>
          <w:rFonts w:cs="Times New Roman"/>
          <w:sz w:val="22"/>
        </w:rPr>
        <w:t xml:space="preserve">(2011). </w:t>
      </w:r>
      <w:r w:rsidR="008F51C8" w:rsidRPr="00C73325">
        <w:rPr>
          <w:rFonts w:cs="Times New Roman"/>
          <w:sz w:val="22"/>
        </w:rPr>
        <w:t xml:space="preserve">Dividend </w:t>
      </w:r>
      <w:r w:rsidR="004E7B4F" w:rsidRPr="00C73325">
        <w:rPr>
          <w:rFonts w:cs="Times New Roman"/>
          <w:sz w:val="22"/>
        </w:rPr>
        <w:t>pay-outs</w:t>
      </w:r>
      <w:r w:rsidR="008F51C8" w:rsidRPr="00C73325">
        <w:rPr>
          <w:rFonts w:cs="Times New Roman"/>
          <w:sz w:val="22"/>
        </w:rPr>
        <w:t xml:space="preserve"> and corporate governance quality: An empirical investigation. </w:t>
      </w:r>
      <w:r w:rsidR="008F51C8" w:rsidRPr="00C73325">
        <w:rPr>
          <w:rFonts w:cs="Times New Roman"/>
          <w:i/>
          <w:sz w:val="22"/>
        </w:rPr>
        <w:t>Financial Review, 46</w:t>
      </w:r>
      <w:r w:rsidR="008F51C8" w:rsidRPr="00C73325">
        <w:rPr>
          <w:rFonts w:cs="Times New Roman"/>
          <w:sz w:val="22"/>
        </w:rPr>
        <w:t>(2), 251-279.</w:t>
      </w:r>
    </w:p>
    <w:p w14:paraId="630245F4" w14:textId="1A1BC509" w:rsidR="008F51C8" w:rsidRPr="00C73325" w:rsidRDefault="008F51C8" w:rsidP="00FB1414">
      <w:pPr>
        <w:shd w:val="clear" w:color="auto" w:fill="FFFFFF"/>
        <w:spacing w:before="0" w:after="0"/>
        <w:ind w:left="284" w:hanging="284"/>
        <w:rPr>
          <w:rFonts w:eastAsia="Times New Roman" w:cs="Times New Roman"/>
          <w:sz w:val="22"/>
        </w:rPr>
      </w:pPr>
      <w:proofErr w:type="spellStart"/>
      <w:r w:rsidRPr="00C73325">
        <w:rPr>
          <w:rFonts w:eastAsia="Times New Roman" w:cs="Times New Roman"/>
          <w:sz w:val="22"/>
        </w:rPr>
        <w:t>Kyereboah</w:t>
      </w:r>
      <w:proofErr w:type="spellEnd"/>
      <w:r w:rsidRPr="00C73325">
        <w:rPr>
          <w:rFonts w:eastAsia="Times New Roman" w:cs="Times New Roman"/>
          <w:sz w:val="22"/>
        </w:rPr>
        <w:t xml:space="preserve">-Coleman, A. (2008). Corporate governance and firm performance in Africa: </w:t>
      </w:r>
      <w:r w:rsidR="00FC4D75" w:rsidRPr="00C73325">
        <w:rPr>
          <w:rFonts w:eastAsia="Times New Roman" w:cs="Times New Roman"/>
          <w:sz w:val="22"/>
        </w:rPr>
        <w:t>A</w:t>
      </w:r>
      <w:r w:rsidRPr="00C73325">
        <w:rPr>
          <w:rFonts w:eastAsia="Times New Roman" w:cs="Times New Roman"/>
          <w:sz w:val="22"/>
        </w:rPr>
        <w:t xml:space="preserve"> dynamic panel data analysis. </w:t>
      </w:r>
      <w:r w:rsidRPr="00C73325">
        <w:rPr>
          <w:rFonts w:eastAsia="Times New Roman" w:cs="Times New Roman"/>
          <w:i/>
          <w:sz w:val="22"/>
        </w:rPr>
        <w:t>Journal for Studies in Economics and Econometrics</w:t>
      </w:r>
      <w:r w:rsidRPr="00C73325">
        <w:rPr>
          <w:rFonts w:eastAsia="Times New Roman" w:cs="Times New Roman"/>
          <w:sz w:val="22"/>
        </w:rPr>
        <w:t xml:space="preserve">, </w:t>
      </w:r>
      <w:r w:rsidR="008047C4" w:rsidRPr="00C73325">
        <w:rPr>
          <w:rFonts w:eastAsia="Times New Roman" w:cs="Times New Roman"/>
          <w:i/>
          <w:sz w:val="22"/>
        </w:rPr>
        <w:t>32</w:t>
      </w:r>
      <w:r w:rsidR="008047C4" w:rsidRPr="00C73325">
        <w:rPr>
          <w:rFonts w:eastAsia="Times New Roman" w:cs="Times New Roman"/>
          <w:sz w:val="22"/>
        </w:rPr>
        <w:t xml:space="preserve">(2), </w:t>
      </w:r>
      <w:r w:rsidRPr="00C73325">
        <w:rPr>
          <w:rFonts w:eastAsia="Times New Roman" w:cs="Times New Roman"/>
          <w:sz w:val="22"/>
        </w:rPr>
        <w:t>1-24.</w:t>
      </w:r>
    </w:p>
    <w:p w14:paraId="69427B54" w14:textId="519A9957" w:rsidR="008F51C8" w:rsidRPr="00C73325" w:rsidRDefault="008F51C8" w:rsidP="00FB1414">
      <w:pPr>
        <w:shd w:val="clear" w:color="auto" w:fill="FFFFFF"/>
        <w:spacing w:before="0" w:after="0"/>
        <w:ind w:left="284" w:hanging="284"/>
        <w:rPr>
          <w:rFonts w:eastAsia="Times New Roman" w:cs="Times New Roman"/>
          <w:sz w:val="22"/>
        </w:rPr>
      </w:pPr>
      <w:proofErr w:type="spellStart"/>
      <w:r w:rsidRPr="00C73325">
        <w:rPr>
          <w:rFonts w:eastAsia="Times New Roman" w:cs="Times New Roman"/>
          <w:sz w:val="22"/>
        </w:rPr>
        <w:t>Kyereboah</w:t>
      </w:r>
      <w:proofErr w:type="spellEnd"/>
      <w:r w:rsidRPr="00C73325">
        <w:rPr>
          <w:rFonts w:eastAsia="Times New Roman" w:cs="Times New Roman"/>
          <w:sz w:val="22"/>
        </w:rPr>
        <w:t xml:space="preserve">-Coleman, A., &amp; </w:t>
      </w:r>
      <w:proofErr w:type="spellStart"/>
      <w:r w:rsidRPr="00C73325">
        <w:rPr>
          <w:rFonts w:eastAsia="Times New Roman" w:cs="Times New Roman"/>
          <w:sz w:val="22"/>
        </w:rPr>
        <w:t>Biekpe</w:t>
      </w:r>
      <w:proofErr w:type="spellEnd"/>
      <w:r w:rsidRPr="00C73325">
        <w:rPr>
          <w:rFonts w:eastAsia="Times New Roman" w:cs="Times New Roman"/>
          <w:sz w:val="22"/>
        </w:rPr>
        <w:t xml:space="preserve">, N. (2006). The link between corporate governance and performance of the non-traditional export sector: </w:t>
      </w:r>
      <w:r w:rsidR="00E74CA5" w:rsidRPr="00C73325">
        <w:rPr>
          <w:rFonts w:eastAsia="Times New Roman" w:cs="Times New Roman"/>
          <w:sz w:val="22"/>
        </w:rPr>
        <w:t>E</w:t>
      </w:r>
      <w:r w:rsidRPr="00C73325">
        <w:rPr>
          <w:rFonts w:eastAsia="Times New Roman" w:cs="Times New Roman"/>
          <w:sz w:val="22"/>
        </w:rPr>
        <w:t xml:space="preserve">vidence from Ghana. </w:t>
      </w:r>
      <w:r w:rsidR="008047C4" w:rsidRPr="00C73325">
        <w:rPr>
          <w:rFonts w:cs="Times New Roman"/>
          <w:i/>
          <w:sz w:val="22"/>
        </w:rPr>
        <w:t>Corporate Governance: The International Journal of Business in Society</w:t>
      </w:r>
      <w:r w:rsidRPr="00C73325">
        <w:rPr>
          <w:rFonts w:eastAsia="Times New Roman" w:cs="Times New Roman"/>
          <w:sz w:val="22"/>
        </w:rPr>
        <w:t xml:space="preserve">, </w:t>
      </w:r>
      <w:r w:rsidR="008047C4" w:rsidRPr="00C73325">
        <w:rPr>
          <w:rFonts w:eastAsia="Times New Roman" w:cs="Times New Roman"/>
          <w:i/>
          <w:sz w:val="22"/>
        </w:rPr>
        <w:t>5</w:t>
      </w:r>
      <w:r w:rsidR="008047C4" w:rsidRPr="00C73325">
        <w:rPr>
          <w:rFonts w:eastAsia="Times New Roman" w:cs="Times New Roman"/>
          <w:sz w:val="22"/>
        </w:rPr>
        <w:t xml:space="preserve">(6), </w:t>
      </w:r>
      <w:r w:rsidRPr="00C73325">
        <w:rPr>
          <w:rFonts w:eastAsia="Times New Roman" w:cs="Times New Roman"/>
          <w:sz w:val="22"/>
        </w:rPr>
        <w:t>609-623.</w:t>
      </w:r>
    </w:p>
    <w:p w14:paraId="36822F9D" w14:textId="44468A91" w:rsidR="008F51C8" w:rsidRPr="00C73325" w:rsidRDefault="008F51C8" w:rsidP="00390005">
      <w:pPr>
        <w:shd w:val="clear" w:color="auto" w:fill="FFFFFF"/>
        <w:spacing w:before="0" w:after="0"/>
        <w:ind w:left="284" w:hanging="284"/>
        <w:rPr>
          <w:rFonts w:eastAsia="Times New Roman" w:cs="Times New Roman"/>
          <w:sz w:val="22"/>
        </w:rPr>
      </w:pPr>
      <w:r w:rsidRPr="00C73325">
        <w:rPr>
          <w:rFonts w:eastAsia="Times New Roman" w:cs="Times New Roman"/>
          <w:sz w:val="22"/>
        </w:rPr>
        <w:t>La-Porta, R., Lopez</w:t>
      </w:r>
      <w:r w:rsidR="00390005" w:rsidRPr="00C73325">
        <w:rPr>
          <w:rFonts w:eastAsia="Times New Roman" w:cs="Times New Roman"/>
          <w:sz w:val="22"/>
        </w:rPr>
        <w:t>-</w:t>
      </w:r>
      <w:r w:rsidRPr="00C73325">
        <w:rPr>
          <w:rFonts w:eastAsia="Times New Roman" w:cs="Times New Roman"/>
          <w:sz w:val="22"/>
        </w:rPr>
        <w:t>de</w:t>
      </w:r>
      <w:r w:rsidR="00390005" w:rsidRPr="00C73325">
        <w:rPr>
          <w:rFonts w:eastAsia="Times New Roman" w:cs="Times New Roman"/>
          <w:sz w:val="22"/>
        </w:rPr>
        <w:t>-</w:t>
      </w:r>
      <w:proofErr w:type="spellStart"/>
      <w:r w:rsidRPr="00C73325">
        <w:rPr>
          <w:rFonts w:eastAsia="Times New Roman" w:cs="Times New Roman"/>
          <w:sz w:val="22"/>
        </w:rPr>
        <w:t>Silanes</w:t>
      </w:r>
      <w:proofErr w:type="spellEnd"/>
      <w:r w:rsidRPr="00C73325">
        <w:rPr>
          <w:rFonts w:eastAsia="Times New Roman" w:cs="Times New Roman"/>
          <w:sz w:val="22"/>
        </w:rPr>
        <w:t xml:space="preserve">, F., Shleifer, A., &amp; </w:t>
      </w:r>
      <w:proofErr w:type="spellStart"/>
      <w:r w:rsidRPr="00C73325">
        <w:rPr>
          <w:rFonts w:eastAsia="Times New Roman" w:cs="Times New Roman"/>
          <w:sz w:val="22"/>
        </w:rPr>
        <w:t>Vishny</w:t>
      </w:r>
      <w:proofErr w:type="spellEnd"/>
      <w:r w:rsidRPr="00C73325">
        <w:rPr>
          <w:rFonts w:eastAsia="Times New Roman" w:cs="Times New Roman"/>
          <w:sz w:val="22"/>
        </w:rPr>
        <w:t xml:space="preserve">, R.W. (2000). Agency problems and dividend policies around the world. </w:t>
      </w:r>
      <w:r w:rsidRPr="00C73325">
        <w:rPr>
          <w:rFonts w:eastAsia="Times New Roman" w:cs="Times New Roman"/>
          <w:i/>
          <w:iCs/>
          <w:sz w:val="22"/>
        </w:rPr>
        <w:t>Journal of Finance, 55</w:t>
      </w:r>
      <w:r w:rsidRPr="00C73325">
        <w:rPr>
          <w:rFonts w:eastAsia="Times New Roman" w:cs="Times New Roman"/>
          <w:sz w:val="22"/>
        </w:rPr>
        <w:t>(1), 1-33.</w:t>
      </w:r>
    </w:p>
    <w:p w14:paraId="76E7EC60" w14:textId="61C18E98" w:rsidR="008F51C8" w:rsidRPr="00C73325" w:rsidRDefault="008F51C8" w:rsidP="00FB1414">
      <w:pPr>
        <w:shd w:val="clear" w:color="auto" w:fill="FFFFFF"/>
        <w:spacing w:before="0" w:after="0"/>
        <w:ind w:left="284" w:hanging="284"/>
        <w:rPr>
          <w:rFonts w:eastAsia="Times New Roman" w:cs="Times New Roman"/>
          <w:sz w:val="22"/>
        </w:rPr>
      </w:pPr>
      <w:r w:rsidRPr="00022744">
        <w:rPr>
          <w:rFonts w:eastAsia="Times New Roman" w:cs="Times New Roman"/>
          <w:sz w:val="22"/>
          <w:lang w:val="de-DE"/>
        </w:rPr>
        <w:t>Lipton, M.</w:t>
      </w:r>
      <w:r w:rsidR="00E74CA5" w:rsidRPr="00022744">
        <w:rPr>
          <w:rFonts w:eastAsia="Times New Roman" w:cs="Times New Roman"/>
          <w:sz w:val="22"/>
          <w:lang w:val="de-DE"/>
        </w:rPr>
        <w:t>,</w:t>
      </w:r>
      <w:r w:rsidRPr="00022744">
        <w:rPr>
          <w:rFonts w:eastAsia="Times New Roman" w:cs="Times New Roman"/>
          <w:sz w:val="22"/>
          <w:lang w:val="de-DE"/>
        </w:rPr>
        <w:t xml:space="preserve"> </w:t>
      </w:r>
      <w:r w:rsidR="00E74CA5" w:rsidRPr="00022744">
        <w:rPr>
          <w:rFonts w:eastAsia="Times New Roman" w:cs="Times New Roman"/>
          <w:sz w:val="22"/>
          <w:lang w:val="de-DE"/>
        </w:rPr>
        <w:t>&amp;</w:t>
      </w:r>
      <w:r w:rsidRPr="00022744">
        <w:rPr>
          <w:rFonts w:eastAsia="Times New Roman" w:cs="Times New Roman"/>
          <w:sz w:val="22"/>
          <w:lang w:val="de-DE"/>
        </w:rPr>
        <w:t xml:space="preserve"> Lorsch, J.W. (1992)</w:t>
      </w:r>
      <w:r w:rsidR="00E74CA5" w:rsidRPr="00022744">
        <w:rPr>
          <w:rFonts w:eastAsia="Times New Roman" w:cs="Times New Roman"/>
          <w:sz w:val="22"/>
          <w:lang w:val="de-DE"/>
        </w:rPr>
        <w:t>.</w:t>
      </w:r>
      <w:r w:rsidRPr="00022744">
        <w:rPr>
          <w:rFonts w:eastAsia="Times New Roman" w:cs="Times New Roman"/>
          <w:sz w:val="22"/>
          <w:lang w:val="de-DE"/>
        </w:rPr>
        <w:t xml:space="preserve"> </w:t>
      </w:r>
      <w:r w:rsidRPr="00C73325">
        <w:rPr>
          <w:rFonts w:eastAsia="Times New Roman" w:cs="Times New Roman"/>
          <w:sz w:val="22"/>
        </w:rPr>
        <w:t xml:space="preserve">A modest proposal for improved corporate governance, </w:t>
      </w:r>
      <w:r w:rsidRPr="00C73325">
        <w:rPr>
          <w:rFonts w:eastAsia="Times New Roman" w:cs="Times New Roman"/>
          <w:i/>
          <w:sz w:val="22"/>
        </w:rPr>
        <w:t>Business Lawyer, 48</w:t>
      </w:r>
      <w:r w:rsidRPr="00C73325">
        <w:rPr>
          <w:rFonts w:eastAsia="Times New Roman" w:cs="Times New Roman"/>
          <w:sz w:val="22"/>
        </w:rPr>
        <w:t>, 59</w:t>
      </w:r>
      <w:r w:rsidR="008047C4" w:rsidRPr="00C73325">
        <w:rPr>
          <w:rFonts w:eastAsia="Times New Roman" w:cs="Times New Roman"/>
          <w:sz w:val="22"/>
        </w:rPr>
        <w:t>-</w:t>
      </w:r>
      <w:r w:rsidRPr="00C73325">
        <w:rPr>
          <w:rFonts w:eastAsia="Times New Roman" w:cs="Times New Roman"/>
          <w:sz w:val="22"/>
        </w:rPr>
        <w:t>77.</w:t>
      </w:r>
    </w:p>
    <w:p w14:paraId="3A641410" w14:textId="49430868" w:rsidR="008F51C8" w:rsidRPr="00C73325" w:rsidRDefault="008F51C8" w:rsidP="00FB1414">
      <w:pPr>
        <w:spacing w:before="0" w:after="0"/>
        <w:ind w:left="284" w:hanging="284"/>
        <w:rPr>
          <w:rFonts w:eastAsia="Times New Roman" w:cs="Times New Roman"/>
          <w:sz w:val="22"/>
        </w:rPr>
      </w:pPr>
      <w:proofErr w:type="spellStart"/>
      <w:r w:rsidRPr="00C73325">
        <w:rPr>
          <w:rFonts w:eastAsia="Times New Roman" w:cs="Times New Roman"/>
          <w:sz w:val="22"/>
        </w:rPr>
        <w:t>Litai</w:t>
      </w:r>
      <w:proofErr w:type="spellEnd"/>
      <w:r w:rsidRPr="00C73325">
        <w:rPr>
          <w:rFonts w:eastAsia="Times New Roman" w:cs="Times New Roman"/>
          <w:sz w:val="22"/>
        </w:rPr>
        <w:t xml:space="preserve">, C., </w:t>
      </w:r>
      <w:proofErr w:type="spellStart"/>
      <w:r w:rsidRPr="00C73325">
        <w:rPr>
          <w:rFonts w:eastAsia="Times New Roman" w:cs="Times New Roman"/>
          <w:sz w:val="22"/>
        </w:rPr>
        <w:t>Chuan</w:t>
      </w:r>
      <w:proofErr w:type="spellEnd"/>
      <w:r w:rsidRPr="00C73325">
        <w:rPr>
          <w:rFonts w:eastAsia="Times New Roman" w:cs="Times New Roman"/>
          <w:sz w:val="22"/>
        </w:rPr>
        <w:t xml:space="preserve">, L., &amp; Kim, Y. (2011). Financial </w:t>
      </w:r>
      <w:r w:rsidR="0085224B" w:rsidRPr="00C73325">
        <w:rPr>
          <w:rFonts w:eastAsia="Times New Roman" w:cs="Times New Roman"/>
          <w:sz w:val="22"/>
        </w:rPr>
        <w:t xml:space="preserve">characteristics, corporate governance and the propensity to pay cash dividends of </w:t>
      </w:r>
      <w:proofErr w:type="spellStart"/>
      <w:proofErr w:type="gramStart"/>
      <w:r w:rsidR="0085224B" w:rsidRPr="00C73325">
        <w:rPr>
          <w:rFonts w:eastAsia="Times New Roman" w:cs="Times New Roman"/>
          <w:sz w:val="22"/>
        </w:rPr>
        <w:t>chinese</w:t>
      </w:r>
      <w:proofErr w:type="spellEnd"/>
      <w:proofErr w:type="gramEnd"/>
      <w:r w:rsidR="0085224B" w:rsidRPr="00C73325">
        <w:rPr>
          <w:rFonts w:eastAsia="Times New Roman" w:cs="Times New Roman"/>
          <w:sz w:val="22"/>
        </w:rPr>
        <w:t xml:space="preserve"> listed companies</w:t>
      </w:r>
      <w:r w:rsidRPr="00C73325">
        <w:rPr>
          <w:rFonts w:eastAsia="Times New Roman" w:cs="Times New Roman"/>
          <w:sz w:val="22"/>
        </w:rPr>
        <w:t xml:space="preserve">. </w:t>
      </w:r>
      <w:r w:rsidRPr="00C73325">
        <w:rPr>
          <w:rFonts w:eastAsia="Times New Roman" w:cs="Times New Roman"/>
          <w:i/>
          <w:sz w:val="22"/>
        </w:rPr>
        <w:t>International Business and Management, 3</w:t>
      </w:r>
      <w:r w:rsidRPr="00C73325">
        <w:rPr>
          <w:rFonts w:eastAsia="Times New Roman" w:cs="Times New Roman"/>
          <w:sz w:val="22"/>
        </w:rPr>
        <w:t>(1), 176</w:t>
      </w:r>
      <w:r w:rsidR="008047C4" w:rsidRPr="00C73325">
        <w:rPr>
          <w:rFonts w:eastAsia="Times New Roman" w:cs="Times New Roman"/>
          <w:sz w:val="22"/>
        </w:rPr>
        <w:t>-</w:t>
      </w:r>
      <w:r w:rsidRPr="00C73325">
        <w:rPr>
          <w:rFonts w:eastAsia="Times New Roman" w:cs="Times New Roman"/>
          <w:sz w:val="22"/>
        </w:rPr>
        <w:t>188.</w:t>
      </w:r>
    </w:p>
    <w:p w14:paraId="7F33EB6F" w14:textId="77777777" w:rsidR="002E11E6" w:rsidRPr="00022744" w:rsidRDefault="002E11E6" w:rsidP="00022744">
      <w:pPr>
        <w:spacing w:before="0" w:after="0"/>
        <w:ind w:left="284" w:hanging="284"/>
        <w:rPr>
          <w:rFonts w:eastAsia="Times New Roman" w:cs="Times New Roman"/>
          <w:sz w:val="22"/>
        </w:rPr>
      </w:pPr>
      <w:r w:rsidRPr="00022744">
        <w:rPr>
          <w:rFonts w:eastAsia="Times New Roman" w:cs="Times New Roman"/>
          <w:sz w:val="22"/>
        </w:rPr>
        <w:t xml:space="preserve">Luo, Y. (2015). CEO power, ownership structure and pay performance in Chinese banking. </w:t>
      </w:r>
      <w:r w:rsidRPr="00022744">
        <w:rPr>
          <w:rFonts w:eastAsia="Times New Roman" w:cs="Times New Roman"/>
          <w:i/>
          <w:iCs/>
          <w:sz w:val="22"/>
        </w:rPr>
        <w:t>Journal of Economics and Business, 82</w:t>
      </w:r>
      <w:r w:rsidRPr="00022744">
        <w:rPr>
          <w:rFonts w:eastAsia="Times New Roman" w:cs="Times New Roman"/>
          <w:sz w:val="22"/>
        </w:rPr>
        <w:t>, 3-16.</w:t>
      </w:r>
    </w:p>
    <w:p w14:paraId="5ADFE9A6" w14:textId="25D76FF9" w:rsidR="008F51C8" w:rsidRPr="00C73325" w:rsidRDefault="008F51C8" w:rsidP="00FB1414">
      <w:pPr>
        <w:spacing w:before="0" w:after="0"/>
        <w:ind w:left="284" w:hanging="284"/>
        <w:rPr>
          <w:rFonts w:cs="Times New Roman"/>
          <w:sz w:val="22"/>
        </w:rPr>
      </w:pPr>
      <w:proofErr w:type="spellStart"/>
      <w:r w:rsidRPr="00AD70E6">
        <w:rPr>
          <w:rFonts w:cs="Times New Roman"/>
          <w:sz w:val="22"/>
        </w:rPr>
        <w:t>Maldajian</w:t>
      </w:r>
      <w:proofErr w:type="spellEnd"/>
      <w:r w:rsidRPr="00AD70E6">
        <w:rPr>
          <w:rFonts w:cs="Times New Roman"/>
          <w:sz w:val="22"/>
        </w:rPr>
        <w:t xml:space="preserve">, C. </w:t>
      </w:r>
      <w:r w:rsidR="008522F5" w:rsidRPr="00AD70E6">
        <w:rPr>
          <w:rFonts w:cs="Times New Roman"/>
          <w:sz w:val="22"/>
        </w:rPr>
        <w:t>&amp;</w:t>
      </w:r>
      <w:r w:rsidRPr="00AD70E6">
        <w:rPr>
          <w:rFonts w:cs="Times New Roman"/>
          <w:sz w:val="22"/>
        </w:rPr>
        <w:t xml:space="preserve"> El </w:t>
      </w:r>
      <w:proofErr w:type="spellStart"/>
      <w:r w:rsidRPr="00AD70E6">
        <w:rPr>
          <w:rFonts w:cs="Times New Roman"/>
          <w:sz w:val="22"/>
        </w:rPr>
        <w:t>Khoury</w:t>
      </w:r>
      <w:proofErr w:type="spellEnd"/>
      <w:r w:rsidRPr="00AD70E6">
        <w:rPr>
          <w:rFonts w:cs="Times New Roman"/>
          <w:sz w:val="22"/>
        </w:rPr>
        <w:t xml:space="preserve">, R. (2014). </w:t>
      </w:r>
      <w:r w:rsidRPr="002E11E6">
        <w:rPr>
          <w:rFonts w:cs="Times New Roman"/>
          <w:sz w:val="22"/>
        </w:rPr>
        <w:t xml:space="preserve">Determinants of the </w:t>
      </w:r>
      <w:r w:rsidR="003918D6" w:rsidRPr="002E11E6">
        <w:rPr>
          <w:rFonts w:cs="Times New Roman"/>
          <w:sz w:val="22"/>
        </w:rPr>
        <w:t>dividend p</w:t>
      </w:r>
      <w:r w:rsidRPr="002E11E6">
        <w:rPr>
          <w:rFonts w:cs="Times New Roman"/>
          <w:sz w:val="22"/>
        </w:rPr>
        <w:t xml:space="preserve">olicy: An </w:t>
      </w:r>
      <w:r w:rsidR="003918D6" w:rsidRPr="002E11E6">
        <w:rPr>
          <w:rFonts w:cs="Times New Roman"/>
          <w:sz w:val="22"/>
        </w:rPr>
        <w:t>empirical study</w:t>
      </w:r>
      <w:r w:rsidRPr="002E11E6">
        <w:rPr>
          <w:rFonts w:cs="Times New Roman"/>
          <w:sz w:val="22"/>
        </w:rPr>
        <w:t xml:space="preserve"> on the Lebanese </w:t>
      </w:r>
      <w:r w:rsidR="003918D6" w:rsidRPr="00C73325">
        <w:rPr>
          <w:rFonts w:cs="Times New Roman"/>
          <w:sz w:val="22"/>
        </w:rPr>
        <w:t>listed b</w:t>
      </w:r>
      <w:r w:rsidRPr="00C73325">
        <w:rPr>
          <w:rFonts w:cs="Times New Roman"/>
          <w:sz w:val="22"/>
        </w:rPr>
        <w:t xml:space="preserve">anks. </w:t>
      </w:r>
      <w:r w:rsidRPr="00C73325">
        <w:rPr>
          <w:rFonts w:cs="Times New Roman"/>
          <w:i/>
          <w:sz w:val="22"/>
        </w:rPr>
        <w:t>International Journal of Economics and Finance</w:t>
      </w:r>
      <w:r w:rsidRPr="00C73325">
        <w:rPr>
          <w:rFonts w:cs="Times New Roman"/>
          <w:sz w:val="22"/>
        </w:rPr>
        <w:t xml:space="preserve">, </w:t>
      </w:r>
      <w:r w:rsidRPr="00C73325">
        <w:rPr>
          <w:rFonts w:cs="Times New Roman"/>
          <w:i/>
          <w:sz w:val="22"/>
        </w:rPr>
        <w:t>6</w:t>
      </w:r>
      <w:r w:rsidRPr="00C73325">
        <w:rPr>
          <w:rFonts w:cs="Times New Roman"/>
          <w:sz w:val="22"/>
        </w:rPr>
        <w:t>(4)</w:t>
      </w:r>
      <w:r w:rsidR="008522F5" w:rsidRPr="00C73325">
        <w:rPr>
          <w:rFonts w:cs="Times New Roman"/>
          <w:sz w:val="22"/>
        </w:rPr>
        <w:t>, 240-256</w:t>
      </w:r>
      <w:r w:rsidRPr="00C73325">
        <w:rPr>
          <w:rFonts w:cs="Times New Roman"/>
          <w:sz w:val="22"/>
        </w:rPr>
        <w:t>.</w:t>
      </w:r>
    </w:p>
    <w:p w14:paraId="5B13692F" w14:textId="0BB7E1B8" w:rsidR="008F51C8" w:rsidRPr="00C73325" w:rsidRDefault="008F51C8" w:rsidP="00FB1414">
      <w:pPr>
        <w:spacing w:before="0" w:after="0"/>
        <w:ind w:left="284" w:hanging="284"/>
        <w:rPr>
          <w:rFonts w:cs="Times New Roman"/>
          <w:sz w:val="22"/>
        </w:rPr>
      </w:pPr>
      <w:proofErr w:type="spellStart"/>
      <w:r w:rsidRPr="00C73325">
        <w:rPr>
          <w:rFonts w:cs="Times New Roman"/>
          <w:sz w:val="22"/>
        </w:rPr>
        <w:t>Mansourinia</w:t>
      </w:r>
      <w:proofErr w:type="spellEnd"/>
      <w:r w:rsidRPr="00C73325">
        <w:rPr>
          <w:rFonts w:cs="Times New Roman"/>
          <w:sz w:val="22"/>
        </w:rPr>
        <w:t xml:space="preserve">, E., </w:t>
      </w:r>
      <w:proofErr w:type="spellStart"/>
      <w:r w:rsidRPr="00C73325">
        <w:rPr>
          <w:rFonts w:cs="Times New Roman"/>
          <w:sz w:val="22"/>
        </w:rPr>
        <w:t>Emamgholipour</w:t>
      </w:r>
      <w:proofErr w:type="spellEnd"/>
      <w:r w:rsidRPr="00C73325">
        <w:rPr>
          <w:rFonts w:cs="Times New Roman"/>
          <w:sz w:val="22"/>
        </w:rPr>
        <w:t xml:space="preserve">, M., </w:t>
      </w:r>
      <w:proofErr w:type="spellStart"/>
      <w:r w:rsidRPr="00C73325">
        <w:rPr>
          <w:rFonts w:cs="Times New Roman"/>
          <w:sz w:val="22"/>
        </w:rPr>
        <w:t>Rekabdarkolaei</w:t>
      </w:r>
      <w:proofErr w:type="spellEnd"/>
      <w:r w:rsidRPr="00C73325">
        <w:rPr>
          <w:rFonts w:cs="Times New Roman"/>
          <w:sz w:val="22"/>
        </w:rPr>
        <w:t xml:space="preserve">, E.A., </w:t>
      </w:r>
      <w:r w:rsidR="0085224B" w:rsidRPr="00C73325">
        <w:rPr>
          <w:rFonts w:cs="Times New Roman"/>
          <w:sz w:val="22"/>
        </w:rPr>
        <w:t xml:space="preserve">&amp; </w:t>
      </w:r>
      <w:proofErr w:type="spellStart"/>
      <w:r w:rsidRPr="00C73325">
        <w:rPr>
          <w:rFonts w:cs="Times New Roman"/>
          <w:sz w:val="22"/>
        </w:rPr>
        <w:t>Hozoori</w:t>
      </w:r>
      <w:proofErr w:type="spellEnd"/>
      <w:r w:rsidRPr="00C73325">
        <w:rPr>
          <w:rFonts w:cs="Times New Roman"/>
          <w:sz w:val="22"/>
        </w:rPr>
        <w:t xml:space="preserve">, M. (2013). The </w:t>
      </w:r>
      <w:r w:rsidR="003918D6" w:rsidRPr="00C73325">
        <w:rPr>
          <w:rFonts w:cs="Times New Roman"/>
          <w:sz w:val="22"/>
        </w:rPr>
        <w:t xml:space="preserve">effect of board size, board independence </w:t>
      </w:r>
      <w:r w:rsidRPr="00C73325">
        <w:rPr>
          <w:rFonts w:cs="Times New Roman"/>
          <w:sz w:val="22"/>
        </w:rPr>
        <w:t xml:space="preserve">and CEO </w:t>
      </w:r>
      <w:r w:rsidR="003918D6" w:rsidRPr="00C73325">
        <w:rPr>
          <w:rFonts w:cs="Times New Roman"/>
          <w:sz w:val="22"/>
        </w:rPr>
        <w:t>duality on dividend policy of companies</w:t>
      </w:r>
      <w:r w:rsidRPr="00C73325">
        <w:rPr>
          <w:rFonts w:cs="Times New Roman"/>
          <w:sz w:val="22"/>
        </w:rPr>
        <w:t xml:space="preserve">: Evidence from Tehran </w:t>
      </w:r>
      <w:r w:rsidR="003918D6" w:rsidRPr="00C73325">
        <w:rPr>
          <w:rFonts w:cs="Times New Roman"/>
          <w:sz w:val="22"/>
        </w:rPr>
        <w:t>stock exchange</w:t>
      </w:r>
      <w:r w:rsidRPr="00C73325">
        <w:rPr>
          <w:rFonts w:cs="Times New Roman"/>
          <w:sz w:val="22"/>
        </w:rPr>
        <w:t xml:space="preserve">. </w:t>
      </w:r>
      <w:r w:rsidRPr="00C73325">
        <w:rPr>
          <w:rFonts w:cs="Times New Roman"/>
          <w:i/>
          <w:sz w:val="22"/>
        </w:rPr>
        <w:t>International Journal of Economy, Management and Social Sciences</w:t>
      </w:r>
      <w:r w:rsidRPr="00C73325">
        <w:rPr>
          <w:rFonts w:cs="Times New Roman"/>
          <w:sz w:val="22"/>
        </w:rPr>
        <w:t xml:space="preserve">, </w:t>
      </w:r>
      <w:r w:rsidRPr="00C73325">
        <w:rPr>
          <w:rFonts w:cs="Times New Roman"/>
          <w:i/>
          <w:sz w:val="22"/>
        </w:rPr>
        <w:t>2</w:t>
      </w:r>
      <w:r w:rsidRPr="00C73325">
        <w:rPr>
          <w:rFonts w:cs="Times New Roman"/>
          <w:sz w:val="22"/>
        </w:rPr>
        <w:t>(6), 237</w:t>
      </w:r>
      <w:r w:rsidR="008047C4" w:rsidRPr="00C73325">
        <w:rPr>
          <w:rFonts w:cs="Times New Roman"/>
          <w:sz w:val="22"/>
        </w:rPr>
        <w:t>-</w:t>
      </w:r>
      <w:r w:rsidRPr="00C73325">
        <w:rPr>
          <w:rFonts w:cs="Times New Roman"/>
          <w:sz w:val="22"/>
        </w:rPr>
        <w:t>241.</w:t>
      </w:r>
    </w:p>
    <w:p w14:paraId="12B70EC9" w14:textId="285AF6E2" w:rsidR="008F51C8" w:rsidRPr="00C73325" w:rsidRDefault="008F51C8" w:rsidP="00FB1414">
      <w:pPr>
        <w:spacing w:before="0" w:after="0"/>
        <w:ind w:left="284" w:hanging="284"/>
        <w:rPr>
          <w:rFonts w:cs="Times New Roman"/>
          <w:sz w:val="22"/>
        </w:rPr>
      </w:pPr>
      <w:proofErr w:type="spellStart"/>
      <w:r w:rsidRPr="00C73325">
        <w:rPr>
          <w:rFonts w:cs="Times New Roman"/>
          <w:sz w:val="22"/>
        </w:rPr>
        <w:t>Mirbagherijam</w:t>
      </w:r>
      <w:proofErr w:type="spellEnd"/>
      <w:r w:rsidRPr="00C73325">
        <w:rPr>
          <w:rFonts w:cs="Times New Roman"/>
          <w:sz w:val="22"/>
        </w:rPr>
        <w:t xml:space="preserve">, M. (2014). Asymmetric </w:t>
      </w:r>
      <w:r w:rsidR="003918D6" w:rsidRPr="00C73325">
        <w:rPr>
          <w:rFonts w:cs="Times New Roman"/>
          <w:sz w:val="22"/>
        </w:rPr>
        <w:t>effect of inflation on dividend policy of Iran’s stocks market</w:t>
      </w:r>
      <w:r w:rsidRPr="00C73325">
        <w:rPr>
          <w:rFonts w:cs="Times New Roman"/>
          <w:sz w:val="22"/>
        </w:rPr>
        <w:t xml:space="preserve">. </w:t>
      </w:r>
      <w:r w:rsidR="007E031B" w:rsidRPr="00C73325">
        <w:rPr>
          <w:rFonts w:cs="Times New Roman"/>
          <w:i/>
          <w:sz w:val="22"/>
        </w:rPr>
        <w:t>International Journal of Academic Research in Business and Social Sciences</w:t>
      </w:r>
      <w:r w:rsidRPr="00C73325">
        <w:rPr>
          <w:rFonts w:cs="Times New Roman"/>
          <w:sz w:val="22"/>
        </w:rPr>
        <w:t>, 4(2)</w:t>
      </w:r>
      <w:r w:rsidR="0085224B" w:rsidRPr="00C73325">
        <w:rPr>
          <w:rFonts w:cs="Times New Roman"/>
          <w:sz w:val="22"/>
        </w:rPr>
        <w:t>, 21-32</w:t>
      </w:r>
      <w:r w:rsidRPr="00C73325">
        <w:rPr>
          <w:rFonts w:cs="Times New Roman"/>
          <w:sz w:val="22"/>
        </w:rPr>
        <w:t>.</w:t>
      </w:r>
    </w:p>
    <w:p w14:paraId="13BEFF47" w14:textId="77777777" w:rsidR="008F51C8" w:rsidRPr="00C73325" w:rsidRDefault="008F51C8" w:rsidP="00FB1414">
      <w:pPr>
        <w:shd w:val="clear" w:color="auto" w:fill="FFFFFF"/>
        <w:spacing w:before="0" w:after="0"/>
        <w:ind w:left="284" w:hanging="284"/>
        <w:rPr>
          <w:rFonts w:eastAsia="Times New Roman" w:cs="Times New Roman"/>
          <w:sz w:val="22"/>
        </w:rPr>
      </w:pPr>
      <w:r w:rsidRPr="00C73325">
        <w:rPr>
          <w:rFonts w:cs="Times New Roman"/>
          <w:sz w:val="22"/>
          <w:lang w:val="en-US"/>
        </w:rPr>
        <w:t xml:space="preserve">Mitton, T. (2004). Corporate governance and dividend policy in emerging markets. </w:t>
      </w:r>
      <w:r w:rsidRPr="00C73325">
        <w:rPr>
          <w:rFonts w:cs="Times New Roman"/>
          <w:i/>
          <w:sz w:val="22"/>
          <w:lang w:val="en-US"/>
        </w:rPr>
        <w:t>Emerging Markets Review</w:t>
      </w:r>
      <w:r w:rsidRPr="00C73325">
        <w:rPr>
          <w:rFonts w:cs="Times New Roman"/>
          <w:sz w:val="22"/>
          <w:lang w:val="en-US"/>
        </w:rPr>
        <w:t xml:space="preserve">, </w:t>
      </w:r>
      <w:r w:rsidRPr="00C73325">
        <w:rPr>
          <w:rFonts w:cs="Times New Roman"/>
          <w:i/>
          <w:sz w:val="22"/>
          <w:lang w:val="en-US"/>
        </w:rPr>
        <w:t>5</w:t>
      </w:r>
      <w:r w:rsidRPr="00C73325">
        <w:rPr>
          <w:rFonts w:cs="Times New Roman"/>
          <w:sz w:val="22"/>
          <w:lang w:val="en-US"/>
        </w:rPr>
        <w:t>(4), 409-426.</w:t>
      </w:r>
    </w:p>
    <w:p w14:paraId="2153FA7F" w14:textId="77777777" w:rsidR="008F51C8" w:rsidRPr="00C73325" w:rsidRDefault="008F51C8" w:rsidP="00FB1414">
      <w:pPr>
        <w:shd w:val="clear" w:color="auto" w:fill="FFFFFF"/>
        <w:spacing w:before="0" w:after="0"/>
        <w:ind w:left="284" w:hanging="284"/>
        <w:rPr>
          <w:rFonts w:eastAsia="Times New Roman" w:cs="Times New Roman"/>
          <w:sz w:val="22"/>
        </w:rPr>
      </w:pPr>
      <w:r w:rsidRPr="00C73325">
        <w:rPr>
          <w:rFonts w:eastAsia="Times New Roman" w:cs="Times New Roman"/>
          <w:sz w:val="22"/>
        </w:rPr>
        <w:t xml:space="preserve">Nguyen, H., &amp; Faff, R. (2007). Impact of board size and board diversity on firm value: Australian evidence. </w:t>
      </w:r>
      <w:r w:rsidRPr="00C73325">
        <w:rPr>
          <w:rFonts w:eastAsia="Times New Roman" w:cs="Times New Roman"/>
          <w:i/>
          <w:sz w:val="22"/>
        </w:rPr>
        <w:t>Corporate ownership and control, 4</w:t>
      </w:r>
      <w:r w:rsidRPr="00C73325">
        <w:rPr>
          <w:rFonts w:eastAsia="Times New Roman" w:cs="Times New Roman"/>
          <w:sz w:val="22"/>
        </w:rPr>
        <w:t>(2), 24-32.</w:t>
      </w:r>
    </w:p>
    <w:p w14:paraId="2DBD9A5A" w14:textId="3104442B" w:rsidR="008F51C8" w:rsidRDefault="008F51C8" w:rsidP="00FB1414">
      <w:pPr>
        <w:spacing w:before="0" w:after="0"/>
        <w:ind w:left="284" w:hanging="284"/>
        <w:rPr>
          <w:rFonts w:cs="Times New Roman"/>
          <w:sz w:val="22"/>
        </w:rPr>
      </w:pPr>
      <w:proofErr w:type="spellStart"/>
      <w:r w:rsidRPr="00C73325">
        <w:rPr>
          <w:rFonts w:cs="Times New Roman"/>
          <w:sz w:val="22"/>
        </w:rPr>
        <w:t>Nnadi</w:t>
      </w:r>
      <w:proofErr w:type="spellEnd"/>
      <w:r w:rsidRPr="00C73325">
        <w:rPr>
          <w:rFonts w:cs="Times New Roman"/>
          <w:sz w:val="22"/>
        </w:rPr>
        <w:t xml:space="preserve">, M., </w:t>
      </w:r>
      <w:proofErr w:type="spellStart"/>
      <w:r w:rsidRPr="00C73325">
        <w:rPr>
          <w:rFonts w:cs="Times New Roman"/>
          <w:sz w:val="22"/>
        </w:rPr>
        <w:t>Wogboroma</w:t>
      </w:r>
      <w:proofErr w:type="spellEnd"/>
      <w:r w:rsidRPr="00C73325">
        <w:rPr>
          <w:rFonts w:cs="Times New Roman"/>
          <w:sz w:val="22"/>
        </w:rPr>
        <w:t>, N.</w:t>
      </w:r>
      <w:r w:rsidR="0085224B" w:rsidRPr="00C73325">
        <w:rPr>
          <w:rFonts w:cs="Times New Roman"/>
          <w:sz w:val="22"/>
        </w:rPr>
        <w:t>,</w:t>
      </w:r>
      <w:r w:rsidRPr="00C73325">
        <w:rPr>
          <w:rFonts w:cs="Times New Roman"/>
          <w:sz w:val="22"/>
        </w:rPr>
        <w:t xml:space="preserve"> </w:t>
      </w:r>
      <w:r w:rsidR="0085224B" w:rsidRPr="00C73325">
        <w:rPr>
          <w:rFonts w:cs="Times New Roman"/>
          <w:sz w:val="22"/>
        </w:rPr>
        <w:t>&amp;</w:t>
      </w:r>
      <w:r w:rsidRPr="00C73325">
        <w:rPr>
          <w:rFonts w:cs="Times New Roman"/>
          <w:sz w:val="22"/>
        </w:rPr>
        <w:t xml:space="preserve"> </w:t>
      </w:r>
      <w:proofErr w:type="spellStart"/>
      <w:r w:rsidRPr="00C73325">
        <w:rPr>
          <w:rFonts w:cs="Times New Roman"/>
          <w:sz w:val="22"/>
        </w:rPr>
        <w:t>Kabel</w:t>
      </w:r>
      <w:proofErr w:type="spellEnd"/>
      <w:r w:rsidRPr="00C73325">
        <w:rPr>
          <w:rFonts w:cs="Times New Roman"/>
          <w:sz w:val="22"/>
        </w:rPr>
        <w:t xml:space="preserve">, B. (2013). Determinants of dividend policy: Evidence from listed firms in the African stock exchanges. </w:t>
      </w:r>
      <w:proofErr w:type="spellStart"/>
      <w:r w:rsidRPr="00C73325">
        <w:rPr>
          <w:rFonts w:cs="Times New Roman"/>
          <w:i/>
          <w:sz w:val="22"/>
        </w:rPr>
        <w:t>Panoeconomicus</w:t>
      </w:r>
      <w:proofErr w:type="spellEnd"/>
      <w:r w:rsidRPr="00C73325">
        <w:rPr>
          <w:rFonts w:cs="Times New Roman"/>
          <w:sz w:val="22"/>
        </w:rPr>
        <w:t xml:space="preserve">, </w:t>
      </w:r>
      <w:r w:rsidRPr="00C73325">
        <w:rPr>
          <w:rFonts w:cs="Times New Roman"/>
          <w:i/>
          <w:sz w:val="22"/>
        </w:rPr>
        <w:t>60</w:t>
      </w:r>
      <w:r w:rsidRPr="00C73325">
        <w:rPr>
          <w:rFonts w:cs="Times New Roman"/>
          <w:sz w:val="22"/>
        </w:rPr>
        <w:t>(6),</w:t>
      </w:r>
      <w:r w:rsidR="007E031B" w:rsidRPr="00C73325">
        <w:rPr>
          <w:rFonts w:cs="Times New Roman"/>
          <w:sz w:val="22"/>
        </w:rPr>
        <w:t xml:space="preserve"> </w:t>
      </w:r>
      <w:r w:rsidRPr="00C73325">
        <w:rPr>
          <w:rFonts w:cs="Times New Roman"/>
          <w:sz w:val="22"/>
        </w:rPr>
        <w:t>725-741.</w:t>
      </w:r>
    </w:p>
    <w:p w14:paraId="1A2E9732" w14:textId="0434B0C9" w:rsidR="00870D5C" w:rsidRDefault="00870D5C" w:rsidP="00FB1414">
      <w:pPr>
        <w:spacing w:before="0" w:after="0"/>
        <w:ind w:left="284" w:hanging="284"/>
        <w:rPr>
          <w:rFonts w:cs="Times New Roman"/>
          <w:sz w:val="22"/>
        </w:rPr>
      </w:pPr>
      <w:r w:rsidRPr="004E62F7">
        <w:rPr>
          <w:color w:val="000000"/>
          <w:sz w:val="22"/>
        </w:rPr>
        <w:t xml:space="preserve">Ntim, C.G., </w:t>
      </w:r>
      <w:proofErr w:type="spellStart"/>
      <w:r w:rsidRPr="004E62F7">
        <w:rPr>
          <w:color w:val="000000"/>
          <w:sz w:val="22"/>
        </w:rPr>
        <w:t>Lindop</w:t>
      </w:r>
      <w:proofErr w:type="spellEnd"/>
      <w:r w:rsidRPr="004E62F7">
        <w:rPr>
          <w:color w:val="000000"/>
          <w:sz w:val="22"/>
        </w:rPr>
        <w:t xml:space="preserve">, S., </w:t>
      </w:r>
      <w:proofErr w:type="spellStart"/>
      <w:r w:rsidRPr="004E62F7">
        <w:rPr>
          <w:color w:val="000000"/>
          <w:sz w:val="22"/>
        </w:rPr>
        <w:t>Osei</w:t>
      </w:r>
      <w:proofErr w:type="spellEnd"/>
      <w:r w:rsidRPr="004E62F7">
        <w:rPr>
          <w:color w:val="000000"/>
          <w:sz w:val="22"/>
        </w:rPr>
        <w:t>, K.A.</w:t>
      </w:r>
      <w:r>
        <w:rPr>
          <w:color w:val="000000"/>
          <w:sz w:val="22"/>
        </w:rPr>
        <w:t>, Thomas, D.A.,</w:t>
      </w:r>
      <w:r w:rsidRPr="004E62F7">
        <w:rPr>
          <w:color w:val="000000"/>
          <w:sz w:val="22"/>
        </w:rPr>
        <w:t xml:space="preserve"> </w:t>
      </w:r>
      <w:proofErr w:type="spellStart"/>
      <w:r w:rsidRPr="004E62F7">
        <w:rPr>
          <w:color w:val="000000"/>
          <w:sz w:val="22"/>
        </w:rPr>
        <w:t>Abdou</w:t>
      </w:r>
      <w:proofErr w:type="spellEnd"/>
      <w:r w:rsidRPr="004E62F7">
        <w:rPr>
          <w:color w:val="000000"/>
          <w:sz w:val="22"/>
        </w:rPr>
        <w:t>, H.</w:t>
      </w:r>
      <w:r>
        <w:rPr>
          <w:color w:val="000000"/>
          <w:sz w:val="22"/>
        </w:rPr>
        <w:t xml:space="preserve">, and </w:t>
      </w:r>
      <w:proofErr w:type="spellStart"/>
      <w:r>
        <w:rPr>
          <w:color w:val="000000"/>
          <w:sz w:val="22"/>
        </w:rPr>
        <w:t>Opong</w:t>
      </w:r>
      <w:proofErr w:type="spellEnd"/>
      <w:r>
        <w:rPr>
          <w:color w:val="000000"/>
          <w:sz w:val="22"/>
        </w:rPr>
        <w:t>, K.K</w:t>
      </w:r>
      <w:r w:rsidRPr="004E62F7">
        <w:rPr>
          <w:color w:val="000000"/>
          <w:sz w:val="22"/>
        </w:rPr>
        <w:t xml:space="preserve"> </w:t>
      </w:r>
      <w:r>
        <w:rPr>
          <w:color w:val="000000"/>
          <w:sz w:val="22"/>
        </w:rPr>
        <w:t xml:space="preserve">(2017). </w:t>
      </w:r>
      <w:r w:rsidRPr="004E62F7">
        <w:rPr>
          <w:color w:val="000000"/>
          <w:sz w:val="22"/>
        </w:rPr>
        <w:t>‘Executive Pa</w:t>
      </w:r>
      <w:r>
        <w:rPr>
          <w:color w:val="000000"/>
          <w:sz w:val="22"/>
        </w:rPr>
        <w:t>y and Performance</w:t>
      </w:r>
      <w:r w:rsidRPr="004E62F7">
        <w:rPr>
          <w:color w:val="000000"/>
          <w:sz w:val="22"/>
        </w:rPr>
        <w:t xml:space="preserve">: The Moderating Effect of CEO </w:t>
      </w:r>
      <w:r>
        <w:rPr>
          <w:color w:val="000000"/>
          <w:sz w:val="22"/>
        </w:rPr>
        <w:t>Power and Governance Structure</w:t>
      </w:r>
      <w:r w:rsidRPr="004E62F7">
        <w:rPr>
          <w:color w:val="000000"/>
          <w:sz w:val="22"/>
        </w:rPr>
        <w:t xml:space="preserve">’, </w:t>
      </w:r>
      <w:r w:rsidRPr="004E62F7">
        <w:rPr>
          <w:i/>
          <w:iCs/>
          <w:color w:val="000000"/>
          <w:sz w:val="22"/>
        </w:rPr>
        <w:t>International Journal of Human Resource Management</w:t>
      </w:r>
      <w:r>
        <w:rPr>
          <w:bCs/>
          <w:color w:val="000000"/>
          <w:sz w:val="22"/>
        </w:rPr>
        <w:t>, Forthcoming.</w:t>
      </w:r>
    </w:p>
    <w:p w14:paraId="5B519A90" w14:textId="02961B79" w:rsidR="00870D5C" w:rsidRDefault="00870D5C" w:rsidP="00FB1414">
      <w:pPr>
        <w:spacing w:before="0" w:after="0"/>
        <w:ind w:left="284" w:hanging="284"/>
        <w:rPr>
          <w:bCs/>
          <w:sz w:val="22"/>
        </w:rPr>
      </w:pPr>
      <w:r w:rsidRPr="004E62F7">
        <w:rPr>
          <w:bCs/>
          <w:sz w:val="22"/>
        </w:rPr>
        <w:t>Ntim, C.G. (2013</w:t>
      </w:r>
      <w:r>
        <w:rPr>
          <w:bCs/>
          <w:sz w:val="22"/>
        </w:rPr>
        <w:t>a</w:t>
      </w:r>
      <w:r w:rsidRPr="004E62F7">
        <w:rPr>
          <w:bCs/>
          <w:sz w:val="22"/>
        </w:rPr>
        <w:t>).</w:t>
      </w:r>
      <w:r>
        <w:rPr>
          <w:bCs/>
          <w:sz w:val="22"/>
        </w:rPr>
        <w:t xml:space="preserve"> Monitoring board committee structure and market valuation in large publicly listed South African corporations.</w:t>
      </w:r>
      <w:r w:rsidRPr="004E62F7">
        <w:rPr>
          <w:bCs/>
          <w:sz w:val="22"/>
        </w:rPr>
        <w:t xml:space="preserve"> </w:t>
      </w:r>
      <w:r w:rsidRPr="004E62F7">
        <w:rPr>
          <w:bCs/>
          <w:i/>
          <w:sz w:val="22"/>
        </w:rPr>
        <w:t>International Journal of Managerial and Financial Accounting</w:t>
      </w:r>
      <w:r w:rsidRPr="004E62F7">
        <w:rPr>
          <w:bCs/>
          <w:sz w:val="22"/>
        </w:rPr>
        <w:t>, 5(3), 310-325.</w:t>
      </w:r>
    </w:p>
    <w:p w14:paraId="5B76F0DC" w14:textId="1E395428" w:rsidR="00870D5C" w:rsidRPr="00C73325" w:rsidRDefault="00870D5C" w:rsidP="00FB1414">
      <w:pPr>
        <w:spacing w:before="0" w:after="0"/>
        <w:ind w:left="284" w:hanging="284"/>
        <w:rPr>
          <w:rFonts w:cs="Times New Roman"/>
          <w:sz w:val="22"/>
        </w:rPr>
      </w:pPr>
      <w:r w:rsidRPr="004E62F7">
        <w:rPr>
          <w:bCs/>
          <w:sz w:val="22"/>
        </w:rPr>
        <w:t>Ntim, C.G. (2013</w:t>
      </w:r>
      <w:r>
        <w:rPr>
          <w:bCs/>
          <w:sz w:val="22"/>
        </w:rPr>
        <w:t xml:space="preserve">b). </w:t>
      </w:r>
      <w:r>
        <w:rPr>
          <w:sz w:val="22"/>
        </w:rPr>
        <w:t>Corporate governance, affirmative action and firm value in post-Apartheid South Africa: A s</w:t>
      </w:r>
      <w:r w:rsidRPr="004E62F7">
        <w:rPr>
          <w:sz w:val="22"/>
        </w:rPr>
        <w:t>imultane</w:t>
      </w:r>
      <w:r>
        <w:rPr>
          <w:sz w:val="22"/>
        </w:rPr>
        <w:t>ous equation approach.</w:t>
      </w:r>
      <w:r w:rsidRPr="004E62F7">
        <w:rPr>
          <w:sz w:val="22"/>
        </w:rPr>
        <w:t xml:space="preserve"> </w:t>
      </w:r>
      <w:r w:rsidRPr="004E62F7">
        <w:rPr>
          <w:i/>
          <w:sz w:val="22"/>
        </w:rPr>
        <w:t>African Development Review</w:t>
      </w:r>
      <w:r w:rsidRPr="004E62F7">
        <w:rPr>
          <w:sz w:val="22"/>
        </w:rPr>
        <w:t>, 25(2), 148-172.</w:t>
      </w:r>
    </w:p>
    <w:p w14:paraId="3392D799" w14:textId="232976B1" w:rsidR="00C91778" w:rsidRDefault="00BE6161" w:rsidP="00FB1414">
      <w:pPr>
        <w:spacing w:before="0" w:after="0"/>
        <w:ind w:left="284" w:hanging="284"/>
        <w:rPr>
          <w:rFonts w:cs="Times New Roman"/>
          <w:sz w:val="22"/>
        </w:rPr>
      </w:pPr>
      <w:r w:rsidRPr="00C73325">
        <w:rPr>
          <w:rFonts w:cs="Times New Roman"/>
          <w:sz w:val="22"/>
        </w:rPr>
        <w:t>Ntim, C.G. (2012</w:t>
      </w:r>
      <w:r w:rsidR="00097C99">
        <w:rPr>
          <w:rFonts w:cs="Times New Roman"/>
          <w:sz w:val="22"/>
        </w:rPr>
        <w:t>a</w:t>
      </w:r>
      <w:r w:rsidR="00C91778" w:rsidRPr="00C73325">
        <w:rPr>
          <w:rFonts w:cs="Times New Roman"/>
          <w:sz w:val="22"/>
        </w:rPr>
        <w:t xml:space="preserve">). Does the South African stock market values independent board dual leadership structure? </w:t>
      </w:r>
      <w:r w:rsidR="00C91778" w:rsidRPr="00C73325">
        <w:rPr>
          <w:rFonts w:cs="Times New Roman"/>
          <w:i/>
          <w:sz w:val="22"/>
        </w:rPr>
        <w:t>Economics and Business Letters</w:t>
      </w:r>
      <w:r w:rsidR="00C91778" w:rsidRPr="00C73325">
        <w:rPr>
          <w:rFonts w:cs="Times New Roman"/>
          <w:sz w:val="22"/>
        </w:rPr>
        <w:t xml:space="preserve">, </w:t>
      </w:r>
      <w:r w:rsidR="00C91778" w:rsidRPr="00C73325">
        <w:rPr>
          <w:rFonts w:cs="Times New Roman"/>
          <w:i/>
          <w:sz w:val="22"/>
        </w:rPr>
        <w:t>1</w:t>
      </w:r>
      <w:r w:rsidR="00C91778" w:rsidRPr="00C73325">
        <w:rPr>
          <w:rFonts w:cs="Times New Roman"/>
          <w:sz w:val="22"/>
        </w:rPr>
        <w:t xml:space="preserve">(1), 35-45. </w:t>
      </w:r>
    </w:p>
    <w:p w14:paraId="16E66CBE" w14:textId="5CC5F5AF" w:rsidR="00097C99" w:rsidRPr="00C73325" w:rsidRDefault="00097C99" w:rsidP="00FB1414">
      <w:pPr>
        <w:spacing w:before="0" w:after="0"/>
        <w:ind w:left="284" w:hanging="284"/>
        <w:rPr>
          <w:rFonts w:cs="Times New Roman"/>
          <w:sz w:val="22"/>
        </w:rPr>
      </w:pPr>
      <w:r w:rsidRPr="004E62F7">
        <w:rPr>
          <w:sz w:val="22"/>
        </w:rPr>
        <w:lastRenderedPageBreak/>
        <w:t>Ntim, C.G. (2012</w:t>
      </w:r>
      <w:r>
        <w:rPr>
          <w:sz w:val="22"/>
        </w:rPr>
        <w:t xml:space="preserve">b). </w:t>
      </w:r>
      <w:r>
        <w:rPr>
          <w:bCs/>
          <w:sz w:val="22"/>
        </w:rPr>
        <w:t xml:space="preserve">Director </w:t>
      </w:r>
      <w:proofErr w:type="spellStart"/>
      <w:r>
        <w:rPr>
          <w:bCs/>
          <w:sz w:val="22"/>
        </w:rPr>
        <w:t>shareownership</w:t>
      </w:r>
      <w:proofErr w:type="spellEnd"/>
      <w:r>
        <w:rPr>
          <w:bCs/>
          <w:sz w:val="22"/>
        </w:rPr>
        <w:t xml:space="preserve"> and corporate performance in South Africa.</w:t>
      </w:r>
      <w:r w:rsidRPr="004E62F7">
        <w:rPr>
          <w:b/>
          <w:bCs/>
          <w:sz w:val="22"/>
        </w:rPr>
        <w:t xml:space="preserve"> </w:t>
      </w:r>
      <w:r w:rsidRPr="004E62F7">
        <w:rPr>
          <w:bCs/>
          <w:i/>
          <w:sz w:val="22"/>
        </w:rPr>
        <w:t>African Journal of Accounting, Auditing and Finance</w:t>
      </w:r>
      <w:r w:rsidRPr="004E62F7">
        <w:rPr>
          <w:bCs/>
          <w:sz w:val="22"/>
        </w:rPr>
        <w:t>,</w:t>
      </w:r>
      <w:r w:rsidRPr="004E62F7">
        <w:rPr>
          <w:b/>
          <w:bCs/>
          <w:sz w:val="22"/>
        </w:rPr>
        <w:t xml:space="preserve"> </w:t>
      </w:r>
      <w:r w:rsidRPr="004E62F7">
        <w:rPr>
          <w:bCs/>
          <w:sz w:val="22"/>
        </w:rPr>
        <w:t>1(4), 359-373.</w:t>
      </w:r>
    </w:p>
    <w:p w14:paraId="49EDEB88" w14:textId="77777777" w:rsidR="00C91778" w:rsidRPr="00C73325" w:rsidRDefault="00C91778" w:rsidP="00FB1414">
      <w:pPr>
        <w:spacing w:before="0" w:after="0"/>
        <w:ind w:left="284" w:hanging="284"/>
        <w:rPr>
          <w:rFonts w:cs="Times New Roman"/>
          <w:sz w:val="22"/>
          <w:u w:val="single"/>
        </w:rPr>
      </w:pPr>
      <w:r w:rsidRPr="00C73325">
        <w:rPr>
          <w:rFonts w:cs="Times New Roman"/>
          <w:sz w:val="22"/>
        </w:rPr>
        <w:t xml:space="preserve">Ntim, C.G. (2015). </w:t>
      </w:r>
      <w:r w:rsidRPr="00C73325">
        <w:rPr>
          <w:rFonts w:cs="Times New Roman"/>
          <w:bCs/>
          <w:sz w:val="22"/>
        </w:rPr>
        <w:t>Board diversity and organizational valuation: Unravelling the effects of ethnicity and gender.</w:t>
      </w:r>
      <w:r w:rsidRPr="00C73325">
        <w:rPr>
          <w:rFonts w:cs="Times New Roman"/>
          <w:b/>
          <w:bCs/>
          <w:sz w:val="22"/>
        </w:rPr>
        <w:t xml:space="preserve"> </w:t>
      </w:r>
      <w:r w:rsidRPr="00C73325">
        <w:rPr>
          <w:rFonts w:cs="Times New Roman"/>
          <w:bCs/>
          <w:i/>
          <w:sz w:val="22"/>
        </w:rPr>
        <w:t>Journal of Management and Governance</w:t>
      </w:r>
      <w:r w:rsidRPr="00C73325">
        <w:rPr>
          <w:rFonts w:cs="Times New Roman"/>
          <w:bCs/>
          <w:sz w:val="22"/>
        </w:rPr>
        <w:t xml:space="preserve">, </w:t>
      </w:r>
      <w:r w:rsidRPr="00C73325">
        <w:rPr>
          <w:rFonts w:cs="Times New Roman"/>
          <w:bCs/>
          <w:i/>
          <w:sz w:val="22"/>
        </w:rPr>
        <w:t>19</w:t>
      </w:r>
      <w:r w:rsidRPr="00C73325">
        <w:rPr>
          <w:rFonts w:cs="Times New Roman"/>
          <w:bCs/>
          <w:sz w:val="22"/>
        </w:rPr>
        <w:t>(1), 167-195.</w:t>
      </w:r>
    </w:p>
    <w:p w14:paraId="4771AF86" w14:textId="77777777" w:rsidR="00C91778" w:rsidRDefault="00C91778" w:rsidP="00FB1414">
      <w:pPr>
        <w:spacing w:before="0" w:after="0"/>
        <w:ind w:left="284" w:hanging="284"/>
        <w:rPr>
          <w:rFonts w:cs="Times New Roman"/>
          <w:bCs/>
          <w:sz w:val="22"/>
        </w:rPr>
      </w:pPr>
      <w:r w:rsidRPr="00C73325">
        <w:rPr>
          <w:rFonts w:cs="Times New Roman"/>
          <w:sz w:val="22"/>
        </w:rPr>
        <w:t xml:space="preserve">Ntim, C.G., &amp; </w:t>
      </w:r>
      <w:proofErr w:type="spellStart"/>
      <w:r w:rsidRPr="00C73325">
        <w:rPr>
          <w:rFonts w:cs="Times New Roman"/>
          <w:sz w:val="22"/>
        </w:rPr>
        <w:t>Osei</w:t>
      </w:r>
      <w:proofErr w:type="spellEnd"/>
      <w:r w:rsidRPr="00C73325">
        <w:rPr>
          <w:rFonts w:cs="Times New Roman"/>
          <w:sz w:val="22"/>
        </w:rPr>
        <w:t xml:space="preserve">, K.A. (2011). </w:t>
      </w:r>
      <w:r w:rsidRPr="00C73325">
        <w:rPr>
          <w:rFonts w:cs="Times New Roman"/>
          <w:bCs/>
          <w:sz w:val="22"/>
        </w:rPr>
        <w:t xml:space="preserve">The impact of corporate board meetings on corporate performance in South Africa. </w:t>
      </w:r>
      <w:r w:rsidRPr="00C73325">
        <w:rPr>
          <w:rFonts w:cs="Times New Roman"/>
          <w:bCs/>
          <w:i/>
          <w:sz w:val="22"/>
        </w:rPr>
        <w:t>African Review of Economics and Finance</w:t>
      </w:r>
      <w:r w:rsidRPr="00C73325">
        <w:rPr>
          <w:rFonts w:cs="Times New Roman"/>
          <w:bCs/>
          <w:sz w:val="22"/>
        </w:rPr>
        <w:t xml:space="preserve">, </w:t>
      </w:r>
      <w:r w:rsidRPr="00C73325">
        <w:rPr>
          <w:rFonts w:cs="Times New Roman"/>
          <w:bCs/>
          <w:i/>
          <w:sz w:val="22"/>
        </w:rPr>
        <w:t>2</w:t>
      </w:r>
      <w:r w:rsidRPr="00C73325">
        <w:rPr>
          <w:rFonts w:cs="Times New Roman"/>
          <w:bCs/>
          <w:sz w:val="22"/>
        </w:rPr>
        <w:t>(2), 83-103.</w:t>
      </w:r>
    </w:p>
    <w:p w14:paraId="3F661C01" w14:textId="6A1A94E7" w:rsidR="00870D5C" w:rsidRPr="00C73325" w:rsidRDefault="00870D5C" w:rsidP="00FB1414">
      <w:pPr>
        <w:spacing w:before="0" w:after="0"/>
        <w:ind w:left="284" w:hanging="284"/>
        <w:rPr>
          <w:rFonts w:cs="Times New Roman"/>
          <w:bCs/>
          <w:sz w:val="22"/>
        </w:rPr>
      </w:pPr>
      <w:r w:rsidRPr="004E62F7">
        <w:rPr>
          <w:sz w:val="22"/>
        </w:rPr>
        <w:t xml:space="preserve">Ntim, C.G. (2011). </w:t>
      </w:r>
      <w:r>
        <w:rPr>
          <w:sz w:val="22"/>
        </w:rPr>
        <w:t>The King Reports, independent non-executive directors and firm v</w:t>
      </w:r>
      <w:r w:rsidRPr="004E62F7">
        <w:rPr>
          <w:sz w:val="22"/>
        </w:rPr>
        <w:t>aluation on the Johannesburg Stock Exchange</w:t>
      </w:r>
      <w:r>
        <w:rPr>
          <w:sz w:val="22"/>
        </w:rPr>
        <w:t>.</w:t>
      </w:r>
      <w:r w:rsidRPr="004E62F7">
        <w:rPr>
          <w:sz w:val="22"/>
        </w:rPr>
        <w:t xml:space="preserve"> </w:t>
      </w:r>
      <w:r w:rsidRPr="004E62F7">
        <w:rPr>
          <w:i/>
          <w:sz w:val="22"/>
        </w:rPr>
        <w:t>Corporate Ownership and Control</w:t>
      </w:r>
      <w:r w:rsidRPr="004E62F7">
        <w:rPr>
          <w:sz w:val="22"/>
        </w:rPr>
        <w:t>, 9(1), 428-440.</w:t>
      </w:r>
    </w:p>
    <w:p w14:paraId="7305A449" w14:textId="77777777" w:rsidR="00C91778" w:rsidRPr="00C73325" w:rsidRDefault="00C91778" w:rsidP="00FB1414">
      <w:pPr>
        <w:spacing w:before="0" w:after="0"/>
        <w:ind w:left="284" w:hanging="284"/>
        <w:rPr>
          <w:rFonts w:cs="Times New Roman"/>
          <w:sz w:val="22"/>
        </w:rPr>
      </w:pPr>
      <w:r w:rsidRPr="00022744">
        <w:rPr>
          <w:rFonts w:cs="Times New Roman"/>
          <w:sz w:val="22"/>
        </w:rPr>
        <w:t xml:space="preserve">Ntim, C.G., </w:t>
      </w:r>
      <w:proofErr w:type="spellStart"/>
      <w:r w:rsidRPr="00022744">
        <w:rPr>
          <w:rFonts w:cs="Times New Roman"/>
          <w:sz w:val="22"/>
        </w:rPr>
        <w:t>Lindop</w:t>
      </w:r>
      <w:proofErr w:type="spellEnd"/>
      <w:r w:rsidRPr="00022744">
        <w:rPr>
          <w:rFonts w:cs="Times New Roman"/>
          <w:sz w:val="22"/>
        </w:rPr>
        <w:t xml:space="preserve">, S., </w:t>
      </w:r>
      <w:proofErr w:type="spellStart"/>
      <w:r w:rsidRPr="00022744">
        <w:rPr>
          <w:rFonts w:cs="Times New Roman"/>
          <w:sz w:val="22"/>
        </w:rPr>
        <w:t>Osei</w:t>
      </w:r>
      <w:proofErr w:type="spellEnd"/>
      <w:r w:rsidRPr="00022744">
        <w:rPr>
          <w:rFonts w:cs="Times New Roman"/>
          <w:sz w:val="22"/>
        </w:rPr>
        <w:t xml:space="preserve">, K.A., &amp; Thomas, D.A. (2015b). </w:t>
      </w:r>
      <w:r w:rsidRPr="00C73325">
        <w:rPr>
          <w:rFonts w:cs="Times New Roman"/>
          <w:sz w:val="22"/>
        </w:rPr>
        <w:t xml:space="preserve">Executive director pay, corporate governance and performance: A simultaneous equation approach. </w:t>
      </w:r>
      <w:r w:rsidRPr="00FF6091">
        <w:rPr>
          <w:rFonts w:cs="Times New Roman"/>
          <w:i/>
          <w:sz w:val="22"/>
        </w:rPr>
        <w:t>Managerial and Decision Economics</w:t>
      </w:r>
      <w:r w:rsidRPr="00C73325">
        <w:rPr>
          <w:rFonts w:cs="Times New Roman"/>
          <w:sz w:val="22"/>
        </w:rPr>
        <w:t xml:space="preserve">, </w:t>
      </w:r>
      <w:r w:rsidRPr="00C73325">
        <w:rPr>
          <w:rFonts w:cs="Times New Roman"/>
          <w:i/>
          <w:sz w:val="22"/>
        </w:rPr>
        <w:t>36</w:t>
      </w:r>
      <w:r w:rsidRPr="00C73325">
        <w:rPr>
          <w:rFonts w:cs="Times New Roman"/>
          <w:sz w:val="22"/>
        </w:rPr>
        <w:t xml:space="preserve">(2), 67-96. </w:t>
      </w:r>
    </w:p>
    <w:p w14:paraId="52F461DF" w14:textId="77777777" w:rsidR="00C91778" w:rsidRPr="00C73325" w:rsidRDefault="00C91778" w:rsidP="00FB1414">
      <w:pPr>
        <w:spacing w:before="0" w:after="0"/>
        <w:ind w:left="284" w:hanging="284"/>
        <w:rPr>
          <w:rFonts w:cs="Times New Roman"/>
          <w:bCs/>
          <w:sz w:val="22"/>
        </w:rPr>
      </w:pPr>
      <w:r w:rsidRPr="00C73325">
        <w:rPr>
          <w:rFonts w:cs="Times New Roman"/>
          <w:sz w:val="22"/>
        </w:rPr>
        <w:t xml:space="preserve">Ntim, C.G., </w:t>
      </w:r>
      <w:proofErr w:type="spellStart"/>
      <w:r w:rsidRPr="00C73325">
        <w:rPr>
          <w:rFonts w:cs="Times New Roman"/>
          <w:sz w:val="22"/>
        </w:rPr>
        <w:t>Opong</w:t>
      </w:r>
      <w:proofErr w:type="spellEnd"/>
      <w:r w:rsidRPr="00C73325">
        <w:rPr>
          <w:rFonts w:cs="Times New Roman"/>
          <w:sz w:val="22"/>
        </w:rPr>
        <w:t xml:space="preserve">, K.K., &amp; </w:t>
      </w:r>
      <w:proofErr w:type="spellStart"/>
      <w:r w:rsidRPr="00C73325">
        <w:rPr>
          <w:rFonts w:cs="Times New Roman"/>
          <w:sz w:val="22"/>
        </w:rPr>
        <w:t>Danbolt</w:t>
      </w:r>
      <w:proofErr w:type="spellEnd"/>
      <w:r w:rsidRPr="00C73325">
        <w:rPr>
          <w:rFonts w:cs="Times New Roman"/>
          <w:sz w:val="22"/>
        </w:rPr>
        <w:t>, J. (2015a). Board size, corporate regulations and firm valuation in an emerging market: A simultaneous equation approach.</w:t>
      </w:r>
      <w:r w:rsidRPr="00C73325">
        <w:rPr>
          <w:rFonts w:cs="Times New Roman"/>
          <w:bCs/>
          <w:sz w:val="22"/>
        </w:rPr>
        <w:t xml:space="preserve"> </w:t>
      </w:r>
      <w:r w:rsidRPr="00C73325">
        <w:rPr>
          <w:rFonts w:cs="Times New Roman"/>
          <w:bCs/>
          <w:i/>
          <w:sz w:val="22"/>
        </w:rPr>
        <w:t>International Review of Applied Economics</w:t>
      </w:r>
      <w:r w:rsidRPr="00C73325">
        <w:rPr>
          <w:rFonts w:cs="Times New Roman"/>
          <w:bCs/>
          <w:sz w:val="22"/>
        </w:rPr>
        <w:t>,</w:t>
      </w:r>
      <w:r w:rsidRPr="00C73325">
        <w:rPr>
          <w:rFonts w:cs="Times New Roman"/>
          <w:bCs/>
          <w:i/>
          <w:sz w:val="22"/>
        </w:rPr>
        <w:t xml:space="preserve"> 29</w:t>
      </w:r>
      <w:r w:rsidRPr="00C73325">
        <w:rPr>
          <w:rFonts w:cs="Times New Roman"/>
          <w:bCs/>
          <w:sz w:val="22"/>
        </w:rPr>
        <w:t>(2), 194-220.</w:t>
      </w:r>
    </w:p>
    <w:p w14:paraId="1B75C973" w14:textId="3B084C3A" w:rsidR="008F51C8" w:rsidRPr="00C73325" w:rsidRDefault="008F51C8" w:rsidP="00FB1414">
      <w:pPr>
        <w:spacing w:before="0" w:after="0"/>
        <w:ind w:left="284" w:hanging="284"/>
        <w:rPr>
          <w:rFonts w:cs="Times New Roman"/>
          <w:sz w:val="22"/>
        </w:rPr>
      </w:pPr>
      <w:proofErr w:type="spellStart"/>
      <w:r w:rsidRPr="00C73325">
        <w:rPr>
          <w:rFonts w:cs="Times New Roman"/>
          <w:sz w:val="22"/>
        </w:rPr>
        <w:t>Okpara</w:t>
      </w:r>
      <w:proofErr w:type="spellEnd"/>
      <w:r w:rsidRPr="00C73325">
        <w:rPr>
          <w:rFonts w:cs="Times New Roman"/>
          <w:sz w:val="22"/>
        </w:rPr>
        <w:t xml:space="preserve">, G. (2010). Asymmetric </w:t>
      </w:r>
      <w:r w:rsidR="00CC7F7F" w:rsidRPr="00C73325">
        <w:rPr>
          <w:rFonts w:cs="Times New Roman"/>
          <w:sz w:val="22"/>
        </w:rPr>
        <w:t>information and dividend policy in emerging markets</w:t>
      </w:r>
      <w:r w:rsidRPr="00C73325">
        <w:rPr>
          <w:rFonts w:cs="Times New Roman"/>
          <w:sz w:val="22"/>
        </w:rPr>
        <w:t xml:space="preserve">: </w:t>
      </w:r>
      <w:r w:rsidR="00CC7F7F" w:rsidRPr="00C73325">
        <w:rPr>
          <w:rFonts w:cs="Times New Roman"/>
          <w:sz w:val="22"/>
        </w:rPr>
        <w:t xml:space="preserve">empirical evidence </w:t>
      </w:r>
      <w:r w:rsidRPr="00C73325">
        <w:rPr>
          <w:rFonts w:cs="Times New Roman"/>
          <w:sz w:val="22"/>
        </w:rPr>
        <w:t xml:space="preserve">from Nigeria. </w:t>
      </w:r>
      <w:r w:rsidRPr="00C73325">
        <w:rPr>
          <w:rFonts w:cs="Times New Roman"/>
          <w:i/>
          <w:sz w:val="22"/>
        </w:rPr>
        <w:t>International Journal of Economics and Finance</w:t>
      </w:r>
      <w:r w:rsidRPr="00C73325">
        <w:rPr>
          <w:rFonts w:cs="Times New Roman"/>
          <w:sz w:val="22"/>
        </w:rPr>
        <w:t xml:space="preserve">, </w:t>
      </w:r>
      <w:r w:rsidRPr="00C73325">
        <w:rPr>
          <w:rFonts w:cs="Times New Roman"/>
          <w:i/>
          <w:sz w:val="22"/>
        </w:rPr>
        <w:t>2</w:t>
      </w:r>
      <w:r w:rsidRPr="00C73325">
        <w:rPr>
          <w:rFonts w:cs="Times New Roman"/>
          <w:sz w:val="22"/>
        </w:rPr>
        <w:t>(4)</w:t>
      </w:r>
      <w:r w:rsidR="00CC7F7F" w:rsidRPr="00C73325">
        <w:rPr>
          <w:rFonts w:cs="Times New Roman"/>
          <w:sz w:val="22"/>
        </w:rPr>
        <w:t>, 32-43</w:t>
      </w:r>
      <w:r w:rsidRPr="00C73325">
        <w:rPr>
          <w:rFonts w:cs="Times New Roman"/>
          <w:sz w:val="22"/>
        </w:rPr>
        <w:t>.</w:t>
      </w:r>
    </w:p>
    <w:p w14:paraId="10BE06D7" w14:textId="55814C36" w:rsidR="008F51C8" w:rsidRPr="00C73325" w:rsidRDefault="008F51C8" w:rsidP="00FB1414">
      <w:pPr>
        <w:spacing w:before="0" w:after="0"/>
        <w:ind w:left="284" w:hanging="284"/>
        <w:rPr>
          <w:rFonts w:cs="Times New Roman"/>
          <w:sz w:val="22"/>
        </w:rPr>
      </w:pPr>
      <w:proofErr w:type="spellStart"/>
      <w:r w:rsidRPr="00C73325">
        <w:rPr>
          <w:rFonts w:cs="Times New Roman"/>
          <w:sz w:val="22"/>
        </w:rPr>
        <w:t>Oladipupo</w:t>
      </w:r>
      <w:proofErr w:type="spellEnd"/>
      <w:r w:rsidRPr="00C73325">
        <w:rPr>
          <w:rFonts w:cs="Times New Roman"/>
          <w:sz w:val="22"/>
        </w:rPr>
        <w:t>, A.</w:t>
      </w:r>
      <w:r w:rsidR="0085224B" w:rsidRPr="00C73325">
        <w:rPr>
          <w:rFonts w:cs="Times New Roman"/>
          <w:sz w:val="22"/>
        </w:rPr>
        <w:t>,</w:t>
      </w:r>
      <w:r w:rsidRPr="00C73325">
        <w:rPr>
          <w:rFonts w:cs="Times New Roman"/>
          <w:sz w:val="22"/>
        </w:rPr>
        <w:t xml:space="preserve"> </w:t>
      </w:r>
      <w:r w:rsidR="0085224B" w:rsidRPr="00C73325">
        <w:rPr>
          <w:rFonts w:cs="Times New Roman"/>
          <w:sz w:val="22"/>
        </w:rPr>
        <w:t>&amp;</w:t>
      </w:r>
      <w:r w:rsidRPr="00C73325">
        <w:rPr>
          <w:rFonts w:cs="Times New Roman"/>
          <w:sz w:val="22"/>
        </w:rPr>
        <w:t xml:space="preserve"> </w:t>
      </w:r>
      <w:proofErr w:type="spellStart"/>
      <w:r w:rsidRPr="00C73325">
        <w:rPr>
          <w:rFonts w:cs="Times New Roman"/>
          <w:sz w:val="22"/>
        </w:rPr>
        <w:t>Ibadin</w:t>
      </w:r>
      <w:proofErr w:type="spellEnd"/>
      <w:r w:rsidRPr="00C73325">
        <w:rPr>
          <w:rFonts w:cs="Times New Roman"/>
          <w:sz w:val="22"/>
        </w:rPr>
        <w:t xml:space="preserve">, P. (2013). Does </w:t>
      </w:r>
      <w:r w:rsidR="00CC7F7F" w:rsidRPr="00C73325">
        <w:rPr>
          <w:rFonts w:cs="Times New Roman"/>
          <w:sz w:val="22"/>
        </w:rPr>
        <w:t>working capital management matter in dividend policy decision</w:t>
      </w:r>
      <w:r w:rsidRPr="00C73325">
        <w:rPr>
          <w:rFonts w:cs="Times New Roman"/>
          <w:sz w:val="22"/>
        </w:rPr>
        <w:t xml:space="preserve">? Empirical </w:t>
      </w:r>
      <w:r w:rsidR="00CC7F7F" w:rsidRPr="00C73325">
        <w:rPr>
          <w:rFonts w:cs="Times New Roman"/>
          <w:sz w:val="22"/>
        </w:rPr>
        <w:t xml:space="preserve">evidence from </w:t>
      </w:r>
      <w:r w:rsidRPr="00C73325">
        <w:rPr>
          <w:rFonts w:cs="Times New Roman"/>
          <w:sz w:val="22"/>
        </w:rPr>
        <w:t xml:space="preserve">Nigeria. </w:t>
      </w:r>
      <w:r w:rsidRPr="00C73325">
        <w:rPr>
          <w:rFonts w:cs="Times New Roman"/>
          <w:i/>
          <w:sz w:val="22"/>
        </w:rPr>
        <w:t>International Journal of Financial Research</w:t>
      </w:r>
      <w:r w:rsidRPr="00C73325">
        <w:rPr>
          <w:rFonts w:cs="Times New Roman"/>
          <w:sz w:val="22"/>
        </w:rPr>
        <w:t xml:space="preserve">, </w:t>
      </w:r>
      <w:r w:rsidRPr="00C73325">
        <w:rPr>
          <w:rFonts w:cs="Times New Roman"/>
          <w:i/>
          <w:sz w:val="22"/>
        </w:rPr>
        <w:t>4</w:t>
      </w:r>
      <w:r w:rsidRPr="00C73325">
        <w:rPr>
          <w:rFonts w:cs="Times New Roman"/>
          <w:sz w:val="22"/>
        </w:rPr>
        <w:t>(4)</w:t>
      </w:r>
      <w:r w:rsidR="00057708" w:rsidRPr="00C73325">
        <w:rPr>
          <w:rFonts w:cs="Times New Roman"/>
          <w:sz w:val="22"/>
        </w:rPr>
        <w:t>, 140-145</w:t>
      </w:r>
      <w:r w:rsidRPr="00C73325">
        <w:rPr>
          <w:rFonts w:cs="Times New Roman"/>
          <w:sz w:val="22"/>
        </w:rPr>
        <w:t>.</w:t>
      </w:r>
    </w:p>
    <w:p w14:paraId="65191336" w14:textId="60EBAD67" w:rsidR="008F51C8" w:rsidRPr="00C73325" w:rsidRDefault="008F51C8" w:rsidP="00FB1414">
      <w:pPr>
        <w:spacing w:before="0" w:after="0"/>
        <w:ind w:left="284" w:hanging="284"/>
        <w:rPr>
          <w:rFonts w:eastAsia="Times New Roman" w:cs="Times New Roman"/>
          <w:sz w:val="22"/>
          <w:shd w:val="clear" w:color="auto" w:fill="FFFFFF"/>
        </w:rPr>
      </w:pPr>
      <w:proofErr w:type="spellStart"/>
      <w:r w:rsidRPr="00C73325">
        <w:rPr>
          <w:rFonts w:eastAsia="Times New Roman" w:cs="Times New Roman"/>
          <w:sz w:val="22"/>
          <w:shd w:val="clear" w:color="auto" w:fill="FFFFFF"/>
        </w:rPr>
        <w:t>Olshansky</w:t>
      </w:r>
      <w:proofErr w:type="spellEnd"/>
      <w:r w:rsidRPr="00C73325">
        <w:rPr>
          <w:rFonts w:eastAsia="Times New Roman" w:cs="Times New Roman"/>
          <w:sz w:val="22"/>
          <w:shd w:val="clear" w:color="auto" w:fill="FFFFFF"/>
        </w:rPr>
        <w:t xml:space="preserve">, S.J., Perry, D., Miller, R.A., &amp; Butler, R.N. (2007). Pursuing the longevity dividend. </w:t>
      </w:r>
      <w:r w:rsidRPr="00C73325">
        <w:rPr>
          <w:rFonts w:eastAsia="Times New Roman" w:cs="Times New Roman"/>
          <w:i/>
          <w:sz w:val="22"/>
          <w:shd w:val="clear" w:color="auto" w:fill="FFFFFF"/>
        </w:rPr>
        <w:t>Annals of the New York Academy of Sciences</w:t>
      </w:r>
      <w:r w:rsidRPr="00C73325">
        <w:rPr>
          <w:rFonts w:eastAsia="Times New Roman" w:cs="Times New Roman"/>
          <w:sz w:val="22"/>
          <w:shd w:val="clear" w:color="auto" w:fill="FFFFFF"/>
        </w:rPr>
        <w:t xml:space="preserve">, </w:t>
      </w:r>
      <w:r w:rsidRPr="00C73325">
        <w:rPr>
          <w:rFonts w:eastAsia="Times New Roman" w:cs="Times New Roman"/>
          <w:i/>
          <w:sz w:val="22"/>
          <w:shd w:val="clear" w:color="auto" w:fill="FFFFFF"/>
        </w:rPr>
        <w:t>1114</w:t>
      </w:r>
      <w:r w:rsidRPr="00C73325">
        <w:rPr>
          <w:rFonts w:eastAsia="Times New Roman" w:cs="Times New Roman"/>
          <w:sz w:val="22"/>
          <w:shd w:val="clear" w:color="auto" w:fill="FFFFFF"/>
        </w:rPr>
        <w:t>(1), 11-13.</w:t>
      </w:r>
    </w:p>
    <w:p w14:paraId="0E02E5CC" w14:textId="77777777" w:rsidR="008F51C8" w:rsidRPr="00C73325" w:rsidRDefault="008F51C8" w:rsidP="00FB1414">
      <w:pPr>
        <w:spacing w:before="0" w:after="0"/>
        <w:ind w:left="284" w:hanging="284"/>
        <w:rPr>
          <w:rFonts w:cs="Times New Roman"/>
          <w:sz w:val="22"/>
        </w:rPr>
      </w:pPr>
      <w:proofErr w:type="spellStart"/>
      <w:r w:rsidRPr="00C73325">
        <w:rPr>
          <w:rFonts w:cs="Times New Roman"/>
          <w:sz w:val="22"/>
        </w:rPr>
        <w:t>Osobov</w:t>
      </w:r>
      <w:proofErr w:type="spellEnd"/>
      <w:r w:rsidRPr="00C73325">
        <w:rPr>
          <w:rFonts w:cs="Times New Roman"/>
          <w:sz w:val="22"/>
        </w:rPr>
        <w:t xml:space="preserve">, I., &amp; Denis, D. J. (2008). Why do firms pay dividends? International evidence on the determinants of dividend policy. </w:t>
      </w:r>
      <w:r w:rsidRPr="00C73325">
        <w:rPr>
          <w:rFonts w:cs="Times New Roman"/>
          <w:i/>
          <w:sz w:val="22"/>
        </w:rPr>
        <w:t>Journal of Financial Economics</w:t>
      </w:r>
      <w:r w:rsidRPr="00C73325">
        <w:rPr>
          <w:rFonts w:cs="Times New Roman"/>
          <w:sz w:val="22"/>
        </w:rPr>
        <w:t xml:space="preserve">, </w:t>
      </w:r>
      <w:r w:rsidRPr="00C73325">
        <w:rPr>
          <w:rFonts w:cs="Times New Roman"/>
          <w:i/>
          <w:sz w:val="22"/>
        </w:rPr>
        <w:t>89</w:t>
      </w:r>
      <w:r w:rsidRPr="00C73325">
        <w:rPr>
          <w:rFonts w:cs="Times New Roman"/>
          <w:sz w:val="22"/>
        </w:rPr>
        <w:t>(1), 62-82.</w:t>
      </w:r>
    </w:p>
    <w:p w14:paraId="20367B28" w14:textId="2D583761" w:rsidR="008F51C8" w:rsidRPr="00C73325" w:rsidRDefault="008F51C8" w:rsidP="00FB1414">
      <w:pPr>
        <w:spacing w:before="0" w:after="0"/>
        <w:ind w:left="284" w:hanging="284"/>
        <w:rPr>
          <w:rFonts w:cs="Times New Roman"/>
          <w:sz w:val="22"/>
        </w:rPr>
      </w:pPr>
      <w:proofErr w:type="spellStart"/>
      <w:r w:rsidRPr="00C73325">
        <w:rPr>
          <w:rFonts w:cs="Times New Roman"/>
          <w:sz w:val="22"/>
        </w:rPr>
        <w:t>Ouma</w:t>
      </w:r>
      <w:proofErr w:type="spellEnd"/>
      <w:r w:rsidRPr="00C73325">
        <w:rPr>
          <w:rFonts w:cs="Times New Roman"/>
          <w:sz w:val="22"/>
        </w:rPr>
        <w:t xml:space="preserve">, O.P. (2012). The </w:t>
      </w:r>
      <w:r w:rsidR="00CC7F7F" w:rsidRPr="00C73325">
        <w:rPr>
          <w:rFonts w:cs="Times New Roman"/>
          <w:sz w:val="22"/>
        </w:rPr>
        <w:t>relationship between dividend pay-out and firm p</w:t>
      </w:r>
      <w:r w:rsidRPr="00C73325">
        <w:rPr>
          <w:rFonts w:cs="Times New Roman"/>
          <w:sz w:val="22"/>
        </w:rPr>
        <w:t xml:space="preserve">erformance: A </w:t>
      </w:r>
      <w:r w:rsidR="00CC7F7F" w:rsidRPr="00C73325">
        <w:rPr>
          <w:rFonts w:cs="Times New Roman"/>
          <w:sz w:val="22"/>
        </w:rPr>
        <w:t xml:space="preserve">study of listed companies </w:t>
      </w:r>
      <w:r w:rsidRPr="00C73325">
        <w:rPr>
          <w:rFonts w:cs="Times New Roman"/>
          <w:sz w:val="22"/>
        </w:rPr>
        <w:t xml:space="preserve">in Kenya. </w:t>
      </w:r>
      <w:r w:rsidRPr="00C73325">
        <w:rPr>
          <w:rFonts w:cs="Times New Roman"/>
          <w:i/>
          <w:sz w:val="22"/>
        </w:rPr>
        <w:t>European Scientific Journal, 8</w:t>
      </w:r>
      <w:r w:rsidRPr="00C73325">
        <w:rPr>
          <w:rFonts w:cs="Times New Roman"/>
          <w:sz w:val="22"/>
        </w:rPr>
        <w:t>(9), 199-215.</w:t>
      </w:r>
    </w:p>
    <w:p w14:paraId="651F8246" w14:textId="23B4E5D9" w:rsidR="008F51C8" w:rsidRPr="00C73325" w:rsidRDefault="008F51C8" w:rsidP="00FB1414">
      <w:pPr>
        <w:spacing w:before="0" w:after="0"/>
        <w:ind w:left="284" w:hanging="284"/>
        <w:rPr>
          <w:rFonts w:cs="Times New Roman"/>
          <w:sz w:val="22"/>
        </w:rPr>
      </w:pPr>
      <w:proofErr w:type="spellStart"/>
      <w:r w:rsidRPr="00C73325">
        <w:rPr>
          <w:rFonts w:cs="Times New Roman"/>
          <w:sz w:val="22"/>
        </w:rPr>
        <w:t>Ozkan</w:t>
      </w:r>
      <w:proofErr w:type="spellEnd"/>
      <w:r w:rsidRPr="00C73325">
        <w:rPr>
          <w:rFonts w:cs="Times New Roman"/>
          <w:sz w:val="22"/>
        </w:rPr>
        <w:t xml:space="preserve">, A., &amp; </w:t>
      </w:r>
      <w:proofErr w:type="spellStart"/>
      <w:r w:rsidRPr="00C73325">
        <w:rPr>
          <w:rFonts w:cs="Times New Roman"/>
          <w:sz w:val="22"/>
        </w:rPr>
        <w:t>Mancinelli</w:t>
      </w:r>
      <w:proofErr w:type="spellEnd"/>
      <w:r w:rsidRPr="00C73325">
        <w:rPr>
          <w:rFonts w:cs="Times New Roman"/>
          <w:sz w:val="22"/>
        </w:rPr>
        <w:t xml:space="preserve">, L. (2006). Ownership structure and dividend policy: Evidence from </w:t>
      </w:r>
      <w:r w:rsidR="00CC7F7F" w:rsidRPr="00C73325">
        <w:rPr>
          <w:rFonts w:cs="Times New Roman"/>
          <w:sz w:val="22"/>
        </w:rPr>
        <w:t>I</w:t>
      </w:r>
      <w:r w:rsidRPr="00C73325">
        <w:rPr>
          <w:rFonts w:cs="Times New Roman"/>
          <w:sz w:val="22"/>
        </w:rPr>
        <w:t xml:space="preserve">talian firms. </w:t>
      </w:r>
      <w:r w:rsidRPr="00C73325">
        <w:rPr>
          <w:rFonts w:cs="Times New Roman"/>
          <w:i/>
          <w:sz w:val="22"/>
        </w:rPr>
        <w:t>European Journal of Finance,</w:t>
      </w:r>
      <w:r w:rsidRPr="00C73325">
        <w:rPr>
          <w:rFonts w:cs="Times New Roman"/>
          <w:sz w:val="22"/>
        </w:rPr>
        <w:t xml:space="preserve"> </w:t>
      </w:r>
      <w:r w:rsidRPr="00C73325">
        <w:rPr>
          <w:rFonts w:cs="Times New Roman"/>
          <w:i/>
          <w:sz w:val="22"/>
        </w:rPr>
        <w:t>12</w:t>
      </w:r>
      <w:r w:rsidRPr="00C73325">
        <w:rPr>
          <w:rFonts w:cs="Times New Roman"/>
          <w:sz w:val="22"/>
        </w:rPr>
        <w:t>(3), 265-282.</w:t>
      </w:r>
    </w:p>
    <w:p w14:paraId="12B3D8E7" w14:textId="43A7EF95" w:rsidR="008F51C8" w:rsidRPr="00C73325" w:rsidRDefault="008F51C8" w:rsidP="00FB1414">
      <w:pPr>
        <w:spacing w:before="0" w:after="0"/>
        <w:ind w:left="284" w:hanging="284"/>
        <w:rPr>
          <w:rFonts w:cs="Times New Roman"/>
          <w:bCs/>
          <w:sz w:val="22"/>
        </w:rPr>
      </w:pPr>
      <w:r w:rsidRPr="00C73325">
        <w:rPr>
          <w:rFonts w:eastAsia="Times New Roman" w:cs="Times New Roman"/>
          <w:sz w:val="22"/>
        </w:rPr>
        <w:t xml:space="preserve">Powell, G.E., &amp; Baker, H.K. (1999). How corporate managers view dividend policy. </w:t>
      </w:r>
      <w:r w:rsidRPr="00C73325">
        <w:rPr>
          <w:rFonts w:eastAsia="Times New Roman" w:cs="Times New Roman"/>
          <w:i/>
          <w:sz w:val="22"/>
        </w:rPr>
        <w:t>Quarterly Journal of Business and Economics</w:t>
      </w:r>
      <w:r w:rsidRPr="00C73325">
        <w:rPr>
          <w:rFonts w:eastAsia="Times New Roman" w:cs="Times New Roman"/>
          <w:sz w:val="22"/>
        </w:rPr>
        <w:t xml:space="preserve">, </w:t>
      </w:r>
      <w:r w:rsidRPr="00C73325">
        <w:rPr>
          <w:rFonts w:eastAsia="Times New Roman" w:cs="Times New Roman"/>
          <w:i/>
          <w:sz w:val="22"/>
        </w:rPr>
        <w:t>38</w:t>
      </w:r>
      <w:r w:rsidRPr="00C73325">
        <w:rPr>
          <w:rFonts w:eastAsia="Times New Roman" w:cs="Times New Roman"/>
          <w:sz w:val="22"/>
        </w:rPr>
        <w:t>(2), 17-35.</w:t>
      </w:r>
    </w:p>
    <w:p w14:paraId="1894CAAC" w14:textId="70012FD1" w:rsidR="008F51C8" w:rsidRPr="00022744" w:rsidRDefault="008F51C8" w:rsidP="00FB1414">
      <w:pPr>
        <w:spacing w:before="0" w:after="0"/>
        <w:ind w:left="284" w:hanging="284"/>
        <w:rPr>
          <w:rFonts w:cs="Times New Roman"/>
          <w:sz w:val="22"/>
          <w:shd w:val="clear" w:color="auto" w:fill="FFFFFF"/>
          <w:lang w:val="de-DE"/>
        </w:rPr>
      </w:pPr>
      <w:proofErr w:type="spellStart"/>
      <w:r w:rsidRPr="00C73325">
        <w:rPr>
          <w:rFonts w:cs="Times New Roman"/>
          <w:sz w:val="22"/>
          <w:shd w:val="clear" w:color="auto" w:fill="FFFFFF"/>
        </w:rPr>
        <w:t>Rafique</w:t>
      </w:r>
      <w:proofErr w:type="spellEnd"/>
      <w:r w:rsidRPr="00C73325">
        <w:rPr>
          <w:rFonts w:cs="Times New Roman"/>
          <w:sz w:val="22"/>
          <w:shd w:val="clear" w:color="auto" w:fill="FFFFFF"/>
        </w:rPr>
        <w:t xml:space="preserve">, M. (2012). Factors </w:t>
      </w:r>
      <w:r w:rsidR="00B9458B" w:rsidRPr="00C73325">
        <w:rPr>
          <w:rFonts w:cs="Times New Roman"/>
          <w:sz w:val="22"/>
          <w:shd w:val="clear" w:color="auto" w:fill="FFFFFF"/>
        </w:rPr>
        <w:t>affecting dividend pay-</w:t>
      </w:r>
      <w:r w:rsidRPr="00C73325">
        <w:rPr>
          <w:rFonts w:cs="Times New Roman"/>
          <w:sz w:val="22"/>
          <w:shd w:val="clear" w:color="auto" w:fill="FFFFFF"/>
        </w:rPr>
        <w:t xml:space="preserve">out: Evidence from </w:t>
      </w:r>
      <w:r w:rsidR="00B9458B" w:rsidRPr="00C73325">
        <w:rPr>
          <w:rFonts w:cs="Times New Roman"/>
          <w:sz w:val="22"/>
          <w:shd w:val="clear" w:color="auto" w:fill="FFFFFF"/>
        </w:rPr>
        <w:t>listed non-financial firms of</w:t>
      </w:r>
      <w:r w:rsidRPr="00C73325">
        <w:rPr>
          <w:rFonts w:cs="Times New Roman"/>
          <w:sz w:val="22"/>
          <w:shd w:val="clear" w:color="auto" w:fill="FFFFFF"/>
        </w:rPr>
        <w:t xml:space="preserve"> Karachi </w:t>
      </w:r>
      <w:r w:rsidR="00B9458B" w:rsidRPr="00C73325">
        <w:rPr>
          <w:rFonts w:cs="Times New Roman"/>
          <w:sz w:val="22"/>
          <w:shd w:val="clear" w:color="auto" w:fill="FFFFFF"/>
        </w:rPr>
        <w:t>stock exchange</w:t>
      </w:r>
      <w:r w:rsidRPr="00C73325">
        <w:rPr>
          <w:rFonts w:cs="Times New Roman"/>
          <w:sz w:val="22"/>
          <w:shd w:val="clear" w:color="auto" w:fill="FFFFFF"/>
        </w:rPr>
        <w:t>.</w:t>
      </w:r>
      <w:r w:rsidRPr="00C73325">
        <w:rPr>
          <w:rStyle w:val="apple-converted-space"/>
          <w:rFonts w:cs="Times New Roman"/>
          <w:sz w:val="22"/>
          <w:shd w:val="clear" w:color="auto" w:fill="FFFFFF"/>
        </w:rPr>
        <w:t> </w:t>
      </w:r>
      <w:r w:rsidRPr="00022744">
        <w:rPr>
          <w:rStyle w:val="Emphasis"/>
          <w:rFonts w:cs="Times New Roman"/>
          <w:sz w:val="22"/>
          <w:shd w:val="clear" w:color="auto" w:fill="FFFFFF"/>
          <w:lang w:val="de-DE"/>
        </w:rPr>
        <w:t>Business Management Dynamics,</w:t>
      </w:r>
      <w:r w:rsidRPr="00022744">
        <w:rPr>
          <w:rStyle w:val="apple-converted-space"/>
          <w:rFonts w:cs="Times New Roman"/>
          <w:sz w:val="22"/>
          <w:shd w:val="clear" w:color="auto" w:fill="FFFFFF"/>
          <w:lang w:val="de-DE"/>
        </w:rPr>
        <w:t> </w:t>
      </w:r>
      <w:r w:rsidRPr="00022744">
        <w:rPr>
          <w:rStyle w:val="Emphasis"/>
          <w:rFonts w:cs="Times New Roman"/>
          <w:sz w:val="22"/>
          <w:shd w:val="clear" w:color="auto" w:fill="FFFFFF"/>
          <w:lang w:val="de-DE"/>
        </w:rPr>
        <w:t>1</w:t>
      </w:r>
      <w:r w:rsidRPr="00022744">
        <w:rPr>
          <w:rFonts w:cs="Times New Roman"/>
          <w:i/>
          <w:sz w:val="22"/>
          <w:shd w:val="clear" w:color="auto" w:fill="FFFFFF"/>
          <w:lang w:val="de-DE"/>
        </w:rPr>
        <w:t>(</w:t>
      </w:r>
      <w:r w:rsidRPr="00022744">
        <w:rPr>
          <w:rFonts w:cs="Times New Roman"/>
          <w:sz w:val="22"/>
          <w:shd w:val="clear" w:color="auto" w:fill="FFFFFF"/>
          <w:lang w:val="de-DE"/>
        </w:rPr>
        <w:t xml:space="preserve">11), 76-92. </w:t>
      </w:r>
    </w:p>
    <w:p w14:paraId="1F2FD72B" w14:textId="5F56C116" w:rsidR="008F51C8" w:rsidRPr="00C73325" w:rsidRDefault="008F51C8" w:rsidP="00FB1414">
      <w:pPr>
        <w:spacing w:before="0" w:after="0"/>
        <w:ind w:left="284" w:hanging="284"/>
        <w:rPr>
          <w:rFonts w:cs="Times New Roman"/>
          <w:sz w:val="22"/>
        </w:rPr>
      </w:pPr>
      <w:proofErr w:type="spellStart"/>
      <w:r w:rsidRPr="00022744">
        <w:rPr>
          <w:rFonts w:cs="Times New Roman"/>
          <w:sz w:val="22"/>
          <w:lang w:val="de-DE"/>
        </w:rPr>
        <w:t>Reddemann</w:t>
      </w:r>
      <w:proofErr w:type="spellEnd"/>
      <w:r w:rsidRPr="00022744">
        <w:rPr>
          <w:rFonts w:cs="Times New Roman"/>
          <w:sz w:val="22"/>
          <w:lang w:val="de-DE"/>
        </w:rPr>
        <w:t xml:space="preserve">, S., Basse, T., &amp; Von Der Schulenburg, J.G. (2010). </w:t>
      </w:r>
      <w:r w:rsidRPr="00C73325">
        <w:rPr>
          <w:rFonts w:cs="Times New Roman"/>
          <w:sz w:val="22"/>
        </w:rPr>
        <w:t xml:space="preserve">On the impact of the financial crisis on the dividend policy of the European insurance industry. </w:t>
      </w:r>
      <w:r w:rsidRPr="00C73325">
        <w:rPr>
          <w:rFonts w:cs="Times New Roman"/>
          <w:i/>
          <w:sz w:val="22"/>
        </w:rPr>
        <w:t>Geneva Papers on Risk and Insurance Issues and Practice</w:t>
      </w:r>
      <w:r w:rsidRPr="00C73325">
        <w:rPr>
          <w:rFonts w:cs="Times New Roman"/>
          <w:sz w:val="22"/>
        </w:rPr>
        <w:t xml:space="preserve">, </w:t>
      </w:r>
      <w:r w:rsidRPr="00C73325">
        <w:rPr>
          <w:rFonts w:cs="Times New Roman"/>
          <w:i/>
          <w:sz w:val="22"/>
        </w:rPr>
        <w:t>35</w:t>
      </w:r>
      <w:r w:rsidRPr="00C73325">
        <w:rPr>
          <w:rFonts w:cs="Times New Roman"/>
          <w:sz w:val="22"/>
        </w:rPr>
        <w:t>(1), 53-62.</w:t>
      </w:r>
    </w:p>
    <w:p w14:paraId="095E4652" w14:textId="77777777" w:rsidR="008F51C8" w:rsidRPr="00C73325" w:rsidRDefault="008F51C8" w:rsidP="00FB1414">
      <w:pPr>
        <w:shd w:val="clear" w:color="auto" w:fill="FFFFFF"/>
        <w:spacing w:before="0" w:after="0"/>
        <w:ind w:left="284" w:hanging="284"/>
        <w:rPr>
          <w:rFonts w:eastAsia="Times New Roman" w:cs="Times New Roman"/>
          <w:sz w:val="22"/>
        </w:rPr>
      </w:pPr>
      <w:proofErr w:type="spellStart"/>
      <w:r w:rsidRPr="00C73325">
        <w:rPr>
          <w:rFonts w:eastAsia="Times New Roman" w:cs="Times New Roman"/>
          <w:sz w:val="22"/>
        </w:rPr>
        <w:t>Rezaee</w:t>
      </w:r>
      <w:proofErr w:type="spellEnd"/>
      <w:r w:rsidRPr="00C73325">
        <w:rPr>
          <w:rFonts w:eastAsia="Times New Roman" w:cs="Times New Roman"/>
          <w:sz w:val="22"/>
        </w:rPr>
        <w:t xml:space="preserve">, Z. (2009). </w:t>
      </w:r>
      <w:r w:rsidRPr="00C73325">
        <w:rPr>
          <w:rFonts w:eastAsia="Times New Roman" w:cs="Times New Roman"/>
          <w:i/>
          <w:sz w:val="22"/>
        </w:rPr>
        <w:t>Corporate Governance and Ethics</w:t>
      </w:r>
      <w:r w:rsidRPr="00C73325">
        <w:rPr>
          <w:rFonts w:eastAsia="Times New Roman" w:cs="Times New Roman"/>
          <w:sz w:val="22"/>
        </w:rPr>
        <w:t>. Hoboken: John Willey &amp; Sons.</w:t>
      </w:r>
    </w:p>
    <w:p w14:paraId="00BC6606" w14:textId="6F822CCF" w:rsidR="008F51C8" w:rsidRPr="00C73325" w:rsidRDefault="008F51C8" w:rsidP="00FB1414">
      <w:pPr>
        <w:spacing w:before="0" w:after="0"/>
        <w:ind w:left="284" w:hanging="284"/>
        <w:rPr>
          <w:rFonts w:eastAsia="Times New Roman" w:cs="Times New Roman"/>
          <w:sz w:val="22"/>
        </w:rPr>
      </w:pPr>
      <w:proofErr w:type="spellStart"/>
      <w:r w:rsidRPr="00C73325">
        <w:rPr>
          <w:rFonts w:eastAsia="Times New Roman" w:cs="Times New Roman"/>
          <w:sz w:val="22"/>
        </w:rPr>
        <w:t>Sekaran</w:t>
      </w:r>
      <w:proofErr w:type="spellEnd"/>
      <w:r w:rsidRPr="00C73325">
        <w:rPr>
          <w:rFonts w:eastAsia="Times New Roman" w:cs="Times New Roman"/>
          <w:sz w:val="22"/>
        </w:rPr>
        <w:t xml:space="preserve">, U., &amp; </w:t>
      </w:r>
      <w:proofErr w:type="spellStart"/>
      <w:r w:rsidRPr="00C73325">
        <w:rPr>
          <w:rFonts w:eastAsia="Times New Roman" w:cs="Times New Roman"/>
          <w:sz w:val="22"/>
        </w:rPr>
        <w:t>Bougie</w:t>
      </w:r>
      <w:proofErr w:type="spellEnd"/>
      <w:r w:rsidRPr="00C73325">
        <w:rPr>
          <w:rFonts w:eastAsia="Times New Roman" w:cs="Times New Roman"/>
          <w:sz w:val="22"/>
        </w:rPr>
        <w:t xml:space="preserve">, R. (2010). </w:t>
      </w:r>
      <w:r w:rsidRPr="00C73325">
        <w:rPr>
          <w:rFonts w:eastAsia="Times New Roman" w:cs="Times New Roman"/>
          <w:i/>
          <w:sz w:val="22"/>
        </w:rPr>
        <w:t xml:space="preserve">Research </w:t>
      </w:r>
      <w:r w:rsidR="00CC7F7F" w:rsidRPr="00C73325">
        <w:rPr>
          <w:rFonts w:eastAsia="Times New Roman" w:cs="Times New Roman"/>
          <w:i/>
          <w:sz w:val="22"/>
        </w:rPr>
        <w:t>Methods for Business: A Skill-Building Approach</w:t>
      </w:r>
      <w:r w:rsidRPr="00C73325">
        <w:rPr>
          <w:rFonts w:eastAsia="Times New Roman" w:cs="Times New Roman"/>
          <w:sz w:val="22"/>
        </w:rPr>
        <w:t>. Chichester: Wiley.</w:t>
      </w:r>
    </w:p>
    <w:p w14:paraId="26CDB384" w14:textId="65D998C5" w:rsidR="006F62E8" w:rsidRPr="00C73325" w:rsidRDefault="006F62E8" w:rsidP="006F62E8">
      <w:pPr>
        <w:spacing w:before="0" w:after="0"/>
        <w:ind w:left="284" w:hanging="284"/>
        <w:rPr>
          <w:rFonts w:cs="Times New Roman"/>
          <w:sz w:val="22"/>
          <w:lang w:val="en-US"/>
        </w:rPr>
      </w:pPr>
      <w:proofErr w:type="spellStart"/>
      <w:r w:rsidRPr="00C73325">
        <w:rPr>
          <w:rFonts w:cs="Times New Roman"/>
          <w:sz w:val="22"/>
          <w:lang w:val="en-US"/>
        </w:rPr>
        <w:t>Sawicki</w:t>
      </w:r>
      <w:proofErr w:type="spellEnd"/>
      <w:r w:rsidRPr="00C73325">
        <w:rPr>
          <w:rFonts w:cs="Times New Roman"/>
          <w:sz w:val="22"/>
          <w:lang w:val="en-US"/>
        </w:rPr>
        <w:t xml:space="preserve">, J. (2009). Corporate governance and dividend policy in Southeast Asia pre-and post-crisis. </w:t>
      </w:r>
      <w:r w:rsidRPr="00C73325">
        <w:rPr>
          <w:rFonts w:cs="Times New Roman"/>
          <w:i/>
          <w:iCs/>
          <w:sz w:val="22"/>
          <w:lang w:val="en-US"/>
        </w:rPr>
        <w:t>European Journal of Finance, 15</w:t>
      </w:r>
      <w:r w:rsidRPr="00C73325">
        <w:rPr>
          <w:rFonts w:cs="Times New Roman"/>
          <w:sz w:val="22"/>
          <w:lang w:val="en-US"/>
        </w:rPr>
        <w:t>(2), 211-230.</w:t>
      </w:r>
    </w:p>
    <w:p w14:paraId="56A2AA6D" w14:textId="77777777" w:rsidR="008F51C8" w:rsidRPr="00C73325" w:rsidRDefault="008F51C8" w:rsidP="00FB1414">
      <w:pPr>
        <w:spacing w:before="0" w:after="0"/>
        <w:ind w:left="284" w:hanging="284"/>
        <w:rPr>
          <w:rFonts w:cs="Times New Roman"/>
          <w:sz w:val="22"/>
          <w:lang w:val="en-US"/>
        </w:rPr>
      </w:pPr>
      <w:r w:rsidRPr="00C73325">
        <w:rPr>
          <w:rFonts w:cs="Times New Roman"/>
          <w:sz w:val="22"/>
          <w:lang w:val="en-US"/>
        </w:rPr>
        <w:t xml:space="preserve">Shapiro, S. P. (2005). Agency theory. </w:t>
      </w:r>
      <w:r w:rsidRPr="00C73325">
        <w:rPr>
          <w:rFonts w:cs="Times New Roman"/>
          <w:i/>
          <w:sz w:val="22"/>
          <w:lang w:val="en-US"/>
        </w:rPr>
        <w:t>Annual Review of Sociology</w:t>
      </w:r>
      <w:r w:rsidRPr="00C73325">
        <w:rPr>
          <w:rFonts w:cs="Times New Roman"/>
          <w:sz w:val="22"/>
          <w:lang w:val="en-US"/>
        </w:rPr>
        <w:t xml:space="preserve">, </w:t>
      </w:r>
      <w:r w:rsidRPr="00C73325">
        <w:rPr>
          <w:rFonts w:cs="Times New Roman"/>
          <w:i/>
          <w:sz w:val="22"/>
          <w:lang w:val="en-US"/>
        </w:rPr>
        <w:t>31</w:t>
      </w:r>
      <w:r w:rsidRPr="00C73325">
        <w:rPr>
          <w:rFonts w:cs="Times New Roman"/>
          <w:sz w:val="22"/>
          <w:lang w:val="en-US"/>
        </w:rPr>
        <w:t>(1), 263-284.</w:t>
      </w:r>
    </w:p>
    <w:p w14:paraId="397104EC" w14:textId="77777777" w:rsidR="008F51C8" w:rsidRPr="00C73325" w:rsidRDefault="008F51C8" w:rsidP="00FB1414">
      <w:pPr>
        <w:shd w:val="clear" w:color="auto" w:fill="FFFFFF"/>
        <w:spacing w:before="0" w:after="0"/>
        <w:ind w:left="284" w:hanging="284"/>
        <w:rPr>
          <w:rFonts w:cs="Times New Roman"/>
          <w:sz w:val="22"/>
          <w:lang w:val="en-US"/>
        </w:rPr>
      </w:pPr>
      <w:r w:rsidRPr="00C73325">
        <w:rPr>
          <w:rFonts w:cs="Times New Roman"/>
          <w:sz w:val="22"/>
          <w:lang w:val="en-US"/>
        </w:rPr>
        <w:t xml:space="preserve">Sharma, V. (2011). Independent directors and the propensity to pay dividends. </w:t>
      </w:r>
      <w:r w:rsidRPr="00C73325">
        <w:rPr>
          <w:rFonts w:cs="Times New Roman"/>
          <w:i/>
          <w:sz w:val="22"/>
          <w:lang w:val="en-US"/>
        </w:rPr>
        <w:t>Journal of Corporate Finance, 17</w:t>
      </w:r>
      <w:r w:rsidRPr="00C73325">
        <w:rPr>
          <w:rFonts w:cs="Times New Roman"/>
          <w:sz w:val="22"/>
          <w:lang w:val="en-US"/>
        </w:rPr>
        <w:t>(4), 1001-1015.</w:t>
      </w:r>
    </w:p>
    <w:p w14:paraId="258D2599" w14:textId="64DC7775" w:rsidR="008F51C8" w:rsidRPr="00C73325" w:rsidRDefault="008F51C8" w:rsidP="00FB1414">
      <w:pPr>
        <w:shd w:val="clear" w:color="auto" w:fill="FFFFFF"/>
        <w:spacing w:before="0" w:after="0"/>
        <w:ind w:left="284" w:hanging="284"/>
        <w:rPr>
          <w:rFonts w:eastAsia="Times New Roman" w:cs="Times New Roman"/>
          <w:sz w:val="22"/>
        </w:rPr>
      </w:pPr>
      <w:proofErr w:type="spellStart"/>
      <w:r w:rsidRPr="00C73325">
        <w:rPr>
          <w:rFonts w:cs="Times New Roman"/>
          <w:sz w:val="22"/>
          <w:lang w:val="en-US"/>
        </w:rPr>
        <w:t>Singhania</w:t>
      </w:r>
      <w:proofErr w:type="spellEnd"/>
      <w:r w:rsidRPr="00C73325">
        <w:rPr>
          <w:rFonts w:cs="Times New Roman"/>
          <w:sz w:val="22"/>
          <w:lang w:val="en-US"/>
        </w:rPr>
        <w:t xml:space="preserve">, M., &amp; Gupta, A. (2012). Determinants of corporate dividend policy: A </w:t>
      </w:r>
      <w:r w:rsidR="00CC7F7F" w:rsidRPr="00C73325">
        <w:rPr>
          <w:rFonts w:cs="Times New Roman"/>
          <w:sz w:val="22"/>
          <w:lang w:val="en-US"/>
        </w:rPr>
        <w:t>T</w:t>
      </w:r>
      <w:r w:rsidRPr="00C73325">
        <w:rPr>
          <w:rFonts w:cs="Times New Roman"/>
          <w:sz w:val="22"/>
          <w:lang w:val="en-US"/>
        </w:rPr>
        <w:t xml:space="preserve">obit model approach. </w:t>
      </w:r>
      <w:r w:rsidRPr="00C73325">
        <w:rPr>
          <w:rFonts w:cs="Times New Roman"/>
          <w:i/>
          <w:sz w:val="22"/>
          <w:lang w:val="en-US"/>
        </w:rPr>
        <w:t>Journal of Business Perspective, 16</w:t>
      </w:r>
      <w:r w:rsidRPr="00C73325">
        <w:rPr>
          <w:rFonts w:cs="Times New Roman"/>
          <w:sz w:val="22"/>
          <w:lang w:val="en-US"/>
        </w:rPr>
        <w:t>(3), 153-162.</w:t>
      </w:r>
    </w:p>
    <w:p w14:paraId="10A4261A" w14:textId="554403F2" w:rsidR="008F51C8" w:rsidRPr="00C73325" w:rsidRDefault="008F51C8" w:rsidP="00FB1414">
      <w:pPr>
        <w:shd w:val="clear" w:color="auto" w:fill="FFFFFF"/>
        <w:spacing w:before="0" w:after="0"/>
        <w:ind w:left="284" w:hanging="284"/>
        <w:rPr>
          <w:rFonts w:eastAsia="Times New Roman" w:cs="Times New Roman"/>
          <w:sz w:val="22"/>
        </w:rPr>
      </w:pPr>
      <w:proofErr w:type="spellStart"/>
      <w:r w:rsidRPr="00AD70E6">
        <w:rPr>
          <w:rFonts w:eastAsia="Times New Roman" w:cs="Times New Roman"/>
          <w:sz w:val="22"/>
        </w:rPr>
        <w:t>Subramaniam</w:t>
      </w:r>
      <w:proofErr w:type="spellEnd"/>
      <w:r w:rsidRPr="00AD70E6">
        <w:rPr>
          <w:rFonts w:eastAsia="Times New Roman" w:cs="Times New Roman"/>
          <w:sz w:val="22"/>
        </w:rPr>
        <w:t xml:space="preserve">, R., &amp; Devi, S.S. (2011). </w:t>
      </w:r>
      <w:r w:rsidRPr="00C73325">
        <w:rPr>
          <w:rFonts w:eastAsia="Times New Roman" w:cs="Times New Roman"/>
          <w:sz w:val="22"/>
        </w:rPr>
        <w:t xml:space="preserve">Corporate governance and dividend policy in Malaysia. In </w:t>
      </w:r>
      <w:r w:rsidRPr="00C73325">
        <w:rPr>
          <w:rFonts w:eastAsia="Times New Roman" w:cs="Times New Roman"/>
          <w:i/>
          <w:sz w:val="22"/>
        </w:rPr>
        <w:t>International Conference on Business Economics Research, Kuala Lumpur, Malaysia.</w:t>
      </w:r>
      <w:r w:rsidRPr="00C73325">
        <w:rPr>
          <w:rFonts w:eastAsia="Times New Roman" w:cs="Times New Roman"/>
          <w:sz w:val="22"/>
        </w:rPr>
        <w:t xml:space="preserve"> </w:t>
      </w:r>
      <w:r w:rsidRPr="00C73325">
        <w:rPr>
          <w:rFonts w:eastAsia="Times New Roman" w:cs="Times New Roman"/>
          <w:i/>
          <w:sz w:val="22"/>
        </w:rPr>
        <w:t>Retrieved from</w:t>
      </w:r>
      <w:r w:rsidRPr="00C73325">
        <w:rPr>
          <w:rFonts w:eastAsia="Times New Roman" w:cs="Times New Roman"/>
          <w:sz w:val="22"/>
        </w:rPr>
        <w:t xml:space="preserve">: </w:t>
      </w:r>
      <w:hyperlink r:id="rId12" w:history="1">
        <w:r w:rsidRPr="00FF6091">
          <w:rPr>
            <w:rStyle w:val="Hyperlink"/>
            <w:rFonts w:eastAsia="Times New Roman" w:cs="Times New Roman"/>
            <w:color w:val="auto"/>
            <w:sz w:val="22"/>
            <w:u w:val="none"/>
          </w:rPr>
          <w:t>http://www.ipedr.com/vol1/44-B10051.pdf</w:t>
        </w:r>
      </w:hyperlink>
      <w:r w:rsidRPr="00C73325">
        <w:rPr>
          <w:rFonts w:eastAsia="Times New Roman" w:cs="Times New Roman"/>
          <w:sz w:val="22"/>
        </w:rPr>
        <w:t>.</w:t>
      </w:r>
    </w:p>
    <w:p w14:paraId="0365A291" w14:textId="7E3DCBBD" w:rsidR="00350EFE" w:rsidRPr="00C73325" w:rsidRDefault="008F51C8" w:rsidP="00FB1414">
      <w:pPr>
        <w:shd w:val="clear" w:color="auto" w:fill="FFFFFF"/>
        <w:spacing w:before="0" w:after="0"/>
        <w:ind w:left="284" w:hanging="284"/>
        <w:rPr>
          <w:rFonts w:eastAsia="Times New Roman" w:cs="Times New Roman"/>
          <w:sz w:val="22"/>
        </w:rPr>
      </w:pPr>
      <w:proofErr w:type="spellStart"/>
      <w:r w:rsidRPr="00C73325">
        <w:rPr>
          <w:rFonts w:eastAsia="Times New Roman" w:cs="Times New Roman"/>
          <w:sz w:val="22"/>
        </w:rPr>
        <w:t>Taghizadeh</w:t>
      </w:r>
      <w:proofErr w:type="spellEnd"/>
      <w:r w:rsidRPr="00C73325">
        <w:rPr>
          <w:rFonts w:eastAsia="Times New Roman" w:cs="Times New Roman"/>
          <w:sz w:val="22"/>
        </w:rPr>
        <w:t xml:space="preserve">, M., &amp; </w:t>
      </w:r>
      <w:proofErr w:type="spellStart"/>
      <w:r w:rsidRPr="00C73325">
        <w:rPr>
          <w:rFonts w:eastAsia="Times New Roman" w:cs="Times New Roman"/>
          <w:sz w:val="22"/>
        </w:rPr>
        <w:t>Saremi</w:t>
      </w:r>
      <w:proofErr w:type="spellEnd"/>
      <w:r w:rsidRPr="00C73325">
        <w:rPr>
          <w:rFonts w:eastAsia="Times New Roman" w:cs="Times New Roman"/>
          <w:sz w:val="22"/>
        </w:rPr>
        <w:t xml:space="preserve">, S. (2013). Board of directors and </w:t>
      </w:r>
      <w:r w:rsidR="00CB4D86" w:rsidRPr="00C73325">
        <w:rPr>
          <w:rFonts w:eastAsia="Times New Roman" w:cs="Times New Roman"/>
          <w:sz w:val="22"/>
        </w:rPr>
        <w:t>firms’</w:t>
      </w:r>
      <w:r w:rsidRPr="00C73325">
        <w:rPr>
          <w:rFonts w:eastAsia="Times New Roman" w:cs="Times New Roman"/>
          <w:sz w:val="22"/>
        </w:rPr>
        <w:t xml:space="preserve"> performance: Evidence from Malaysian public listed firm. </w:t>
      </w:r>
      <w:r w:rsidR="007E031B" w:rsidRPr="00C73325">
        <w:rPr>
          <w:rFonts w:eastAsia="Times New Roman" w:cs="Times New Roman"/>
          <w:i/>
          <w:sz w:val="22"/>
        </w:rPr>
        <w:t>International Proceedings of Economics Development and Research</w:t>
      </w:r>
      <w:r w:rsidRPr="00C73325">
        <w:rPr>
          <w:rFonts w:eastAsia="Times New Roman" w:cs="Times New Roman"/>
          <w:i/>
          <w:sz w:val="22"/>
        </w:rPr>
        <w:t>, 59</w:t>
      </w:r>
      <w:r w:rsidRPr="00C73325">
        <w:rPr>
          <w:rFonts w:eastAsia="Times New Roman" w:cs="Times New Roman"/>
          <w:sz w:val="22"/>
        </w:rPr>
        <w:t>(37), 178–182.</w:t>
      </w:r>
    </w:p>
    <w:p w14:paraId="0166C108" w14:textId="74669E9C" w:rsidR="008F51C8" w:rsidRPr="00C73325" w:rsidRDefault="008F51C8" w:rsidP="00FB1414">
      <w:pPr>
        <w:shd w:val="clear" w:color="auto" w:fill="FFFFFF"/>
        <w:spacing w:before="0" w:after="0"/>
        <w:ind w:left="284" w:hanging="284"/>
        <w:rPr>
          <w:rFonts w:eastAsia="Times New Roman" w:cs="Times New Roman"/>
          <w:sz w:val="22"/>
        </w:rPr>
      </w:pPr>
      <w:proofErr w:type="spellStart"/>
      <w:r w:rsidRPr="00C73325">
        <w:rPr>
          <w:rFonts w:cs="Times New Roman"/>
          <w:sz w:val="22"/>
        </w:rPr>
        <w:t>Thanatawee</w:t>
      </w:r>
      <w:proofErr w:type="spellEnd"/>
      <w:r w:rsidRPr="00C73325">
        <w:rPr>
          <w:rFonts w:cs="Times New Roman"/>
          <w:sz w:val="22"/>
        </w:rPr>
        <w:t xml:space="preserve">, Y. (2012). Ownership structure and dividend policy: Evidence from Thailand. </w:t>
      </w:r>
      <w:r w:rsidRPr="00C73325">
        <w:rPr>
          <w:rFonts w:cs="Times New Roman"/>
          <w:i/>
          <w:sz w:val="22"/>
        </w:rPr>
        <w:t xml:space="preserve">International Journal </w:t>
      </w:r>
      <w:r w:rsidR="007E031B" w:rsidRPr="00C73325">
        <w:rPr>
          <w:rFonts w:cs="Times New Roman"/>
          <w:i/>
          <w:sz w:val="22"/>
        </w:rPr>
        <w:t>of</w:t>
      </w:r>
      <w:r w:rsidRPr="00C73325">
        <w:rPr>
          <w:rFonts w:cs="Times New Roman"/>
          <w:i/>
          <w:sz w:val="22"/>
        </w:rPr>
        <w:t xml:space="preserve"> Economics </w:t>
      </w:r>
      <w:r w:rsidR="007E031B" w:rsidRPr="00C73325">
        <w:rPr>
          <w:rFonts w:cs="Times New Roman"/>
          <w:i/>
          <w:sz w:val="22"/>
        </w:rPr>
        <w:t>and</w:t>
      </w:r>
      <w:r w:rsidRPr="00C73325">
        <w:rPr>
          <w:rFonts w:cs="Times New Roman"/>
          <w:i/>
          <w:sz w:val="22"/>
        </w:rPr>
        <w:t xml:space="preserve"> Finance,</w:t>
      </w:r>
      <w:r w:rsidRPr="00C73325">
        <w:rPr>
          <w:rFonts w:cs="Times New Roman"/>
          <w:sz w:val="22"/>
        </w:rPr>
        <w:t xml:space="preserve"> </w:t>
      </w:r>
      <w:r w:rsidRPr="00C73325">
        <w:rPr>
          <w:rFonts w:cs="Times New Roman"/>
          <w:i/>
          <w:sz w:val="22"/>
        </w:rPr>
        <w:t>5</w:t>
      </w:r>
      <w:r w:rsidRPr="00C73325">
        <w:rPr>
          <w:rFonts w:cs="Times New Roman"/>
          <w:sz w:val="22"/>
        </w:rPr>
        <w:t>(1), 121</w:t>
      </w:r>
      <w:r w:rsidR="00057708" w:rsidRPr="00C73325">
        <w:rPr>
          <w:rFonts w:cs="Times New Roman"/>
          <w:sz w:val="22"/>
        </w:rPr>
        <w:t>-132</w:t>
      </w:r>
      <w:r w:rsidRPr="00C73325">
        <w:rPr>
          <w:rFonts w:cs="Times New Roman"/>
          <w:sz w:val="22"/>
        </w:rPr>
        <w:t>.</w:t>
      </w:r>
    </w:p>
    <w:p w14:paraId="5E08033B" w14:textId="16ACA337" w:rsidR="008F51C8" w:rsidRPr="00C73325" w:rsidRDefault="008F51C8" w:rsidP="00FB1414">
      <w:pPr>
        <w:shd w:val="clear" w:color="auto" w:fill="FFFFFF"/>
        <w:spacing w:before="0" w:after="0"/>
        <w:ind w:left="284" w:hanging="284"/>
        <w:rPr>
          <w:rFonts w:eastAsia="Times New Roman" w:cs="Times New Roman"/>
          <w:sz w:val="22"/>
        </w:rPr>
      </w:pPr>
      <w:r w:rsidRPr="00C73325">
        <w:rPr>
          <w:rFonts w:eastAsia="Times New Roman" w:cs="Times New Roman"/>
          <w:sz w:val="22"/>
        </w:rPr>
        <w:t xml:space="preserve">Tong, S., </w:t>
      </w:r>
      <w:proofErr w:type="spellStart"/>
      <w:r w:rsidRPr="00C73325">
        <w:rPr>
          <w:rFonts w:eastAsia="Times New Roman" w:cs="Times New Roman"/>
          <w:sz w:val="22"/>
        </w:rPr>
        <w:t>Junarsin</w:t>
      </w:r>
      <w:proofErr w:type="spellEnd"/>
      <w:r w:rsidRPr="00C73325">
        <w:rPr>
          <w:rFonts w:eastAsia="Times New Roman" w:cs="Times New Roman"/>
          <w:sz w:val="22"/>
        </w:rPr>
        <w:t xml:space="preserve">, E., &amp; Davidson, W. (2013). A comparison of Chinese state-owned enterprise firm’s boards and private firm’s boards. </w:t>
      </w:r>
      <w:r w:rsidRPr="00C73325">
        <w:rPr>
          <w:rFonts w:eastAsia="Times New Roman" w:cs="Times New Roman"/>
          <w:i/>
          <w:sz w:val="22"/>
        </w:rPr>
        <w:t xml:space="preserve">In Proceedings of 23rd International Business Research </w:t>
      </w:r>
      <w:r w:rsidRPr="00C73325">
        <w:rPr>
          <w:rFonts w:eastAsia="Times New Roman" w:cs="Times New Roman"/>
          <w:i/>
          <w:sz w:val="22"/>
        </w:rPr>
        <w:lastRenderedPageBreak/>
        <w:t>Conference 18 - 20 November, 2013 Melbourne, Australia. Retrieved from</w:t>
      </w:r>
      <w:r w:rsidRPr="00C73325">
        <w:rPr>
          <w:rFonts w:eastAsia="Times New Roman" w:cs="Times New Roman"/>
          <w:sz w:val="22"/>
        </w:rPr>
        <w:t>: http://www.wbiworldconpro.com/uploads/melbourne-conference-2013</w:t>
      </w:r>
      <w:r w:rsidR="00CC7F7F" w:rsidRPr="00C73325">
        <w:rPr>
          <w:rFonts w:eastAsia="Times New Roman" w:cs="Times New Roman"/>
          <w:sz w:val="22"/>
        </w:rPr>
        <w:t>.</w:t>
      </w:r>
    </w:p>
    <w:p w14:paraId="7470D888" w14:textId="0AA20432" w:rsidR="008F51C8" w:rsidRPr="00C73325" w:rsidRDefault="008F51C8" w:rsidP="00FB1414">
      <w:pPr>
        <w:spacing w:before="0" w:after="0"/>
        <w:ind w:left="284" w:hanging="284"/>
        <w:rPr>
          <w:rFonts w:eastAsia="Times New Roman" w:cs="Times New Roman"/>
          <w:sz w:val="22"/>
          <w:shd w:val="clear" w:color="auto" w:fill="FFFFFF"/>
        </w:rPr>
      </w:pPr>
      <w:proofErr w:type="spellStart"/>
      <w:r w:rsidRPr="00C73325">
        <w:rPr>
          <w:rFonts w:cs="Times New Roman"/>
          <w:sz w:val="22"/>
          <w:lang w:val="en-US"/>
        </w:rPr>
        <w:t>Travlos</w:t>
      </w:r>
      <w:proofErr w:type="spellEnd"/>
      <w:r w:rsidRPr="00C73325">
        <w:rPr>
          <w:rFonts w:cs="Times New Roman"/>
          <w:sz w:val="22"/>
          <w:lang w:val="en-US"/>
        </w:rPr>
        <w:t xml:space="preserve">, N., </w:t>
      </w:r>
      <w:proofErr w:type="spellStart"/>
      <w:r w:rsidRPr="00C73325">
        <w:rPr>
          <w:rFonts w:cs="Times New Roman"/>
          <w:sz w:val="22"/>
          <w:lang w:val="en-US"/>
        </w:rPr>
        <w:t>Trigeorgis</w:t>
      </w:r>
      <w:proofErr w:type="spellEnd"/>
      <w:r w:rsidRPr="00C73325">
        <w:rPr>
          <w:rFonts w:cs="Times New Roman"/>
          <w:sz w:val="22"/>
          <w:lang w:val="en-US"/>
        </w:rPr>
        <w:t>, L.</w:t>
      </w:r>
      <w:r w:rsidR="00CC7F7F" w:rsidRPr="00C73325">
        <w:rPr>
          <w:rFonts w:cs="Times New Roman"/>
          <w:sz w:val="22"/>
          <w:lang w:val="en-US"/>
        </w:rPr>
        <w:t>,</w:t>
      </w:r>
      <w:r w:rsidRPr="00C73325">
        <w:rPr>
          <w:rFonts w:cs="Times New Roman"/>
          <w:sz w:val="22"/>
          <w:lang w:val="en-US"/>
        </w:rPr>
        <w:t xml:space="preserve"> &amp; </w:t>
      </w:r>
      <w:proofErr w:type="spellStart"/>
      <w:r w:rsidRPr="00C73325">
        <w:rPr>
          <w:rFonts w:cs="Times New Roman"/>
          <w:sz w:val="22"/>
          <w:lang w:val="en-US"/>
        </w:rPr>
        <w:t>Vafeas</w:t>
      </w:r>
      <w:proofErr w:type="spellEnd"/>
      <w:r w:rsidRPr="00C73325">
        <w:rPr>
          <w:rFonts w:cs="Times New Roman"/>
          <w:sz w:val="22"/>
          <w:lang w:val="en-US"/>
        </w:rPr>
        <w:t>, N. (2001) Shareholders wealth effect on dividend policy changes in a</w:t>
      </w:r>
      <w:r w:rsidR="00CC7F7F" w:rsidRPr="00C73325">
        <w:rPr>
          <w:rFonts w:cs="Times New Roman"/>
          <w:sz w:val="22"/>
          <w:lang w:val="en-US"/>
        </w:rPr>
        <w:t>n</w:t>
      </w:r>
      <w:r w:rsidRPr="00C73325">
        <w:rPr>
          <w:rFonts w:cs="Times New Roman"/>
          <w:sz w:val="22"/>
          <w:lang w:val="en-US"/>
        </w:rPr>
        <w:t xml:space="preserve"> emerging stock market: </w:t>
      </w:r>
      <w:r w:rsidR="00CC7F7F" w:rsidRPr="00C73325">
        <w:rPr>
          <w:rFonts w:cs="Times New Roman"/>
          <w:sz w:val="22"/>
          <w:lang w:val="en-US"/>
        </w:rPr>
        <w:t>T</w:t>
      </w:r>
      <w:r w:rsidRPr="00C73325">
        <w:rPr>
          <w:rFonts w:cs="Times New Roman"/>
          <w:sz w:val="22"/>
          <w:lang w:val="en-US"/>
        </w:rPr>
        <w:t xml:space="preserve">he case of Cyprus. </w:t>
      </w:r>
      <w:r w:rsidRPr="00C73325">
        <w:rPr>
          <w:rFonts w:cs="Times New Roman"/>
          <w:i/>
          <w:sz w:val="22"/>
          <w:lang w:val="en-US"/>
        </w:rPr>
        <w:t>Multinational Finance Journal,</w:t>
      </w:r>
      <w:r w:rsidRPr="00C73325">
        <w:rPr>
          <w:rFonts w:cs="Times New Roman"/>
          <w:sz w:val="22"/>
          <w:lang w:val="en-US"/>
        </w:rPr>
        <w:t xml:space="preserve"> </w:t>
      </w:r>
      <w:r w:rsidRPr="00C73325">
        <w:rPr>
          <w:rFonts w:cs="Times New Roman"/>
          <w:i/>
          <w:sz w:val="22"/>
          <w:lang w:val="en-US"/>
        </w:rPr>
        <w:t>5</w:t>
      </w:r>
      <w:r w:rsidRPr="00C73325">
        <w:rPr>
          <w:rFonts w:cs="Times New Roman"/>
          <w:sz w:val="22"/>
          <w:lang w:val="en-US"/>
        </w:rPr>
        <w:t>(2), 87-112.</w:t>
      </w:r>
    </w:p>
    <w:p w14:paraId="282FC681" w14:textId="77777777" w:rsidR="008F51C8" w:rsidRPr="00C73325" w:rsidRDefault="008F51C8" w:rsidP="00FB1414">
      <w:pPr>
        <w:spacing w:before="0" w:after="0"/>
        <w:ind w:left="284" w:hanging="284"/>
        <w:rPr>
          <w:rFonts w:eastAsia="Times New Roman" w:cs="Times New Roman"/>
          <w:sz w:val="22"/>
        </w:rPr>
      </w:pPr>
      <w:r w:rsidRPr="00C73325">
        <w:rPr>
          <w:rFonts w:eastAsia="Times New Roman" w:cs="Times New Roman"/>
          <w:sz w:val="22"/>
        </w:rPr>
        <w:t xml:space="preserve">Tsuji, C. (2012). A discussion on the signalling hypothesis of dividend policy. </w:t>
      </w:r>
      <w:r w:rsidRPr="00C73325">
        <w:rPr>
          <w:rFonts w:eastAsia="Times New Roman" w:cs="Times New Roman"/>
          <w:i/>
          <w:sz w:val="22"/>
        </w:rPr>
        <w:t>Open Business Journal</w:t>
      </w:r>
      <w:r w:rsidRPr="00C73325">
        <w:rPr>
          <w:rFonts w:eastAsia="Times New Roman" w:cs="Times New Roman"/>
          <w:sz w:val="22"/>
        </w:rPr>
        <w:t>,</w:t>
      </w:r>
      <w:r w:rsidRPr="00C73325">
        <w:rPr>
          <w:rFonts w:eastAsia="Times New Roman" w:cs="Times New Roman"/>
          <w:i/>
          <w:sz w:val="22"/>
        </w:rPr>
        <w:t xml:space="preserve"> 5</w:t>
      </w:r>
      <w:r w:rsidRPr="00C73325">
        <w:rPr>
          <w:rFonts w:eastAsia="Times New Roman" w:cs="Times New Roman"/>
          <w:sz w:val="22"/>
        </w:rPr>
        <w:t>(1), 1-7.</w:t>
      </w:r>
    </w:p>
    <w:p w14:paraId="4BDF0852" w14:textId="77777777" w:rsidR="008F51C8" w:rsidRPr="00C73325" w:rsidRDefault="008F51C8" w:rsidP="00FB1414">
      <w:pPr>
        <w:shd w:val="clear" w:color="auto" w:fill="FFFFFF"/>
        <w:spacing w:before="0" w:after="0"/>
        <w:ind w:left="284" w:hanging="284"/>
        <w:rPr>
          <w:rFonts w:cs="Times New Roman"/>
          <w:bCs/>
          <w:sz w:val="22"/>
        </w:rPr>
      </w:pPr>
      <w:proofErr w:type="spellStart"/>
      <w:r w:rsidRPr="00C73325">
        <w:rPr>
          <w:rFonts w:cs="Times New Roman"/>
          <w:bCs/>
          <w:sz w:val="22"/>
        </w:rPr>
        <w:t>Vafeas</w:t>
      </w:r>
      <w:proofErr w:type="spellEnd"/>
      <w:r w:rsidRPr="00C73325">
        <w:rPr>
          <w:rFonts w:cs="Times New Roman"/>
          <w:bCs/>
          <w:sz w:val="22"/>
        </w:rPr>
        <w:t xml:space="preserve">, N. (1999). Board meeting frequency and firm performance. </w:t>
      </w:r>
      <w:r w:rsidRPr="00C73325">
        <w:rPr>
          <w:rFonts w:cs="Times New Roman"/>
          <w:bCs/>
          <w:i/>
          <w:sz w:val="22"/>
        </w:rPr>
        <w:t>Journal of Financial Economics</w:t>
      </w:r>
      <w:r w:rsidRPr="00C73325">
        <w:rPr>
          <w:rFonts w:cs="Times New Roman"/>
          <w:bCs/>
          <w:sz w:val="22"/>
        </w:rPr>
        <w:t xml:space="preserve">, </w:t>
      </w:r>
      <w:r w:rsidRPr="00C73325">
        <w:rPr>
          <w:rFonts w:cs="Times New Roman"/>
          <w:bCs/>
          <w:i/>
          <w:sz w:val="22"/>
        </w:rPr>
        <w:t>53</w:t>
      </w:r>
      <w:r w:rsidRPr="00C73325">
        <w:rPr>
          <w:rFonts w:cs="Times New Roman"/>
          <w:bCs/>
          <w:sz w:val="22"/>
        </w:rPr>
        <w:t>(1), 113-142.</w:t>
      </w:r>
    </w:p>
    <w:p w14:paraId="464F1A3D" w14:textId="59E0E047" w:rsidR="008F51C8" w:rsidRPr="00C73325" w:rsidRDefault="008F51C8" w:rsidP="00FB1414">
      <w:pPr>
        <w:spacing w:before="0" w:after="0"/>
        <w:ind w:left="284" w:hanging="284"/>
        <w:rPr>
          <w:rFonts w:cs="Times New Roman"/>
          <w:sz w:val="22"/>
        </w:rPr>
      </w:pPr>
      <w:proofErr w:type="spellStart"/>
      <w:r w:rsidRPr="00C73325">
        <w:rPr>
          <w:rFonts w:cs="Times New Roman"/>
          <w:sz w:val="22"/>
        </w:rPr>
        <w:t>Valipour</w:t>
      </w:r>
      <w:proofErr w:type="spellEnd"/>
      <w:r w:rsidRPr="00C73325">
        <w:rPr>
          <w:rFonts w:cs="Times New Roman"/>
          <w:sz w:val="22"/>
        </w:rPr>
        <w:t xml:space="preserve">, H., </w:t>
      </w:r>
      <w:proofErr w:type="spellStart"/>
      <w:r w:rsidRPr="00C73325">
        <w:rPr>
          <w:rFonts w:cs="Times New Roman"/>
          <w:sz w:val="22"/>
        </w:rPr>
        <w:t>Rostami</w:t>
      </w:r>
      <w:proofErr w:type="spellEnd"/>
      <w:r w:rsidRPr="00C73325">
        <w:rPr>
          <w:rFonts w:cs="Times New Roman"/>
          <w:sz w:val="22"/>
        </w:rPr>
        <w:t>, V.</w:t>
      </w:r>
      <w:r w:rsidR="0085224B" w:rsidRPr="00C73325">
        <w:rPr>
          <w:rFonts w:cs="Times New Roman"/>
          <w:sz w:val="22"/>
        </w:rPr>
        <w:t>,</w:t>
      </w:r>
      <w:r w:rsidRPr="00C73325">
        <w:rPr>
          <w:rFonts w:cs="Times New Roman"/>
          <w:sz w:val="22"/>
        </w:rPr>
        <w:t xml:space="preserve"> </w:t>
      </w:r>
      <w:r w:rsidR="0085224B" w:rsidRPr="00C73325">
        <w:rPr>
          <w:rFonts w:cs="Times New Roman"/>
          <w:sz w:val="22"/>
        </w:rPr>
        <w:t>&amp;</w:t>
      </w:r>
      <w:r w:rsidRPr="00C73325">
        <w:rPr>
          <w:rFonts w:cs="Times New Roman"/>
          <w:sz w:val="22"/>
        </w:rPr>
        <w:t xml:space="preserve"> </w:t>
      </w:r>
      <w:proofErr w:type="spellStart"/>
      <w:r w:rsidRPr="00C73325">
        <w:rPr>
          <w:rFonts w:cs="Times New Roman"/>
          <w:sz w:val="22"/>
        </w:rPr>
        <w:t>Salehi</w:t>
      </w:r>
      <w:proofErr w:type="spellEnd"/>
      <w:r w:rsidRPr="00C73325">
        <w:rPr>
          <w:rFonts w:cs="Times New Roman"/>
          <w:sz w:val="22"/>
        </w:rPr>
        <w:t xml:space="preserve">, M. (2009). </w:t>
      </w:r>
      <w:r w:rsidR="00CC7F7F" w:rsidRPr="00C73325">
        <w:rPr>
          <w:rFonts w:cs="Times New Roman"/>
          <w:sz w:val="22"/>
        </w:rPr>
        <w:t>Asymmetric information and dividend policy in emerging m</w:t>
      </w:r>
      <w:r w:rsidRPr="00C73325">
        <w:rPr>
          <w:rFonts w:cs="Times New Roman"/>
          <w:sz w:val="22"/>
        </w:rPr>
        <w:t xml:space="preserve">arkets: Empirical </w:t>
      </w:r>
      <w:r w:rsidR="00CC7F7F" w:rsidRPr="00C73325">
        <w:rPr>
          <w:rFonts w:cs="Times New Roman"/>
          <w:sz w:val="22"/>
        </w:rPr>
        <w:t>ev</w:t>
      </w:r>
      <w:r w:rsidRPr="00C73325">
        <w:rPr>
          <w:rFonts w:cs="Times New Roman"/>
          <w:sz w:val="22"/>
        </w:rPr>
        <w:t xml:space="preserve">idences from Iran. </w:t>
      </w:r>
      <w:r w:rsidRPr="00C73325">
        <w:rPr>
          <w:rFonts w:cs="Times New Roman"/>
          <w:i/>
          <w:sz w:val="22"/>
        </w:rPr>
        <w:t>International Journal of Economics and Finance</w:t>
      </w:r>
      <w:r w:rsidRPr="00C73325">
        <w:rPr>
          <w:rFonts w:cs="Times New Roman"/>
          <w:sz w:val="22"/>
        </w:rPr>
        <w:t xml:space="preserve">, </w:t>
      </w:r>
      <w:r w:rsidRPr="00C73325">
        <w:rPr>
          <w:rFonts w:cs="Times New Roman"/>
          <w:i/>
          <w:sz w:val="22"/>
        </w:rPr>
        <w:t>1</w:t>
      </w:r>
      <w:r w:rsidRPr="00C73325">
        <w:rPr>
          <w:rFonts w:cs="Times New Roman"/>
          <w:sz w:val="22"/>
        </w:rPr>
        <w:t>(1)</w:t>
      </w:r>
      <w:r w:rsidR="00DE0B48" w:rsidRPr="00C73325">
        <w:rPr>
          <w:rFonts w:cs="Times New Roman"/>
          <w:sz w:val="22"/>
        </w:rPr>
        <w:t>, 203-211</w:t>
      </w:r>
      <w:r w:rsidRPr="00C73325">
        <w:rPr>
          <w:rFonts w:cs="Times New Roman"/>
          <w:sz w:val="22"/>
        </w:rPr>
        <w:t>.</w:t>
      </w:r>
    </w:p>
    <w:p w14:paraId="2308E13B" w14:textId="66E54AF5" w:rsidR="00CB4D86" w:rsidRPr="00C73325" w:rsidRDefault="00CB4D86" w:rsidP="00FB1414">
      <w:pPr>
        <w:spacing w:before="0" w:after="0"/>
        <w:ind w:left="284" w:hanging="284"/>
        <w:rPr>
          <w:rFonts w:cs="Times New Roman"/>
          <w:sz w:val="22"/>
        </w:rPr>
      </w:pPr>
      <w:r w:rsidRPr="00C73325">
        <w:rPr>
          <w:rFonts w:cs="Times New Roman"/>
          <w:sz w:val="22"/>
        </w:rPr>
        <w:t xml:space="preserve">White, S. (2016). </w:t>
      </w:r>
      <w:r w:rsidRPr="00C73325">
        <w:rPr>
          <w:rFonts w:cs="Times New Roman"/>
          <w:i/>
          <w:iCs/>
          <w:sz w:val="22"/>
        </w:rPr>
        <w:t>Business population estimates for the UK and regions 2016</w:t>
      </w:r>
      <w:r w:rsidRPr="00C73325">
        <w:rPr>
          <w:rFonts w:cs="Times New Roman"/>
          <w:sz w:val="22"/>
        </w:rPr>
        <w:t>. Department for Business, Energy &amp; Industrial Strategy. UK, Sheffield.</w:t>
      </w:r>
    </w:p>
    <w:p w14:paraId="63AE77F1" w14:textId="77777777" w:rsidR="008F51C8" w:rsidRPr="00C73325" w:rsidRDefault="008F51C8" w:rsidP="00FB1414">
      <w:pPr>
        <w:shd w:val="clear" w:color="auto" w:fill="FFFFFF"/>
        <w:spacing w:before="0" w:after="0"/>
        <w:ind w:left="284" w:hanging="284"/>
        <w:rPr>
          <w:rFonts w:eastAsia="Times New Roman" w:cs="Times New Roman"/>
          <w:sz w:val="22"/>
        </w:rPr>
      </w:pPr>
      <w:r w:rsidRPr="00C73325">
        <w:rPr>
          <w:rFonts w:cs="Times New Roman"/>
          <w:sz w:val="22"/>
        </w:rPr>
        <w:t xml:space="preserve">Zhang, H. (2008). Corporate governance and dividend policy: A comparison of Chinese firms listed in Hong Kong and in the mainland. </w:t>
      </w:r>
      <w:r w:rsidRPr="00C73325">
        <w:rPr>
          <w:rFonts w:cs="Times New Roman"/>
          <w:i/>
          <w:sz w:val="22"/>
        </w:rPr>
        <w:t>China Economic Review, 19</w:t>
      </w:r>
      <w:r w:rsidRPr="00C73325">
        <w:rPr>
          <w:rFonts w:cs="Times New Roman"/>
          <w:sz w:val="22"/>
        </w:rPr>
        <w:t>(3), 437-459.</w:t>
      </w:r>
    </w:p>
    <w:p w14:paraId="3F24B31E" w14:textId="6F8C457A" w:rsidR="00350EFE" w:rsidRPr="00C73325" w:rsidRDefault="00350EFE">
      <w:pPr>
        <w:spacing w:before="0" w:after="160" w:line="259" w:lineRule="auto"/>
        <w:jc w:val="left"/>
      </w:pPr>
      <w:r w:rsidRPr="00C73325">
        <w:br w:type="page"/>
      </w:r>
    </w:p>
    <w:tbl>
      <w:tblPr>
        <w:tblW w:w="4527" w:type="pct"/>
        <w:tblInd w:w="534" w:type="dxa"/>
        <w:tblLook w:val="04A0" w:firstRow="1" w:lastRow="0" w:firstColumn="1" w:lastColumn="0" w:noHBand="0" w:noVBand="1"/>
      </w:tblPr>
      <w:tblGrid>
        <w:gridCol w:w="1245"/>
        <w:gridCol w:w="6927"/>
      </w:tblGrid>
      <w:tr w:rsidR="00532585" w:rsidRPr="00C73325" w14:paraId="516969E3" w14:textId="77777777" w:rsidTr="00A86D2D">
        <w:trPr>
          <w:trHeight w:val="315"/>
        </w:trPr>
        <w:tc>
          <w:tcPr>
            <w:tcW w:w="4999" w:type="pct"/>
            <w:gridSpan w:val="2"/>
            <w:tcBorders>
              <w:top w:val="nil"/>
              <w:left w:val="nil"/>
              <w:bottom w:val="single" w:sz="12" w:space="0" w:color="auto"/>
              <w:right w:val="nil"/>
            </w:tcBorders>
            <w:shd w:val="clear" w:color="auto" w:fill="auto"/>
            <w:noWrap/>
            <w:vAlign w:val="center"/>
            <w:hideMark/>
          </w:tcPr>
          <w:p w14:paraId="30A8ED15" w14:textId="42087DC2" w:rsidR="00122BC1" w:rsidRPr="00215905" w:rsidRDefault="00122BC1" w:rsidP="000A5F3F">
            <w:pPr>
              <w:spacing w:before="0" w:after="0"/>
              <w:jc w:val="left"/>
              <w:rPr>
                <w:rFonts w:eastAsia="Times New Roman" w:cs="Times New Roman"/>
                <w:b/>
                <w:bCs/>
                <w:szCs w:val="24"/>
                <w:lang w:val="en-US" w:eastAsia="en-GB"/>
              </w:rPr>
            </w:pPr>
            <w:r w:rsidRPr="00215905">
              <w:rPr>
                <w:rFonts w:eastAsia="Times New Roman" w:cs="Times New Roman"/>
                <w:b/>
                <w:bCs/>
                <w:szCs w:val="24"/>
                <w:lang w:val="en-US" w:eastAsia="en-GB"/>
              </w:rPr>
              <w:lastRenderedPageBreak/>
              <w:t>Table 1</w:t>
            </w:r>
            <w:r w:rsidR="00874BCA" w:rsidRPr="00215905">
              <w:rPr>
                <w:rFonts w:eastAsia="Times New Roman" w:cs="Times New Roman"/>
                <w:b/>
                <w:bCs/>
                <w:szCs w:val="24"/>
                <w:lang w:val="en-US" w:eastAsia="en-GB"/>
              </w:rPr>
              <w:t>.</w:t>
            </w:r>
          </w:p>
          <w:p w14:paraId="0D92BD00" w14:textId="1ADA02B9" w:rsidR="00532585" w:rsidRPr="00215905" w:rsidRDefault="00122BC1" w:rsidP="000A5F3F">
            <w:pPr>
              <w:spacing w:before="0" w:after="0"/>
              <w:jc w:val="left"/>
              <w:rPr>
                <w:rFonts w:eastAsia="Times New Roman" w:cs="Times New Roman"/>
                <w:b/>
                <w:szCs w:val="24"/>
                <w:lang w:eastAsia="en-GB"/>
              </w:rPr>
            </w:pPr>
            <w:r w:rsidRPr="00C73325">
              <w:rPr>
                <w:rFonts w:eastAsia="SimSun" w:cs="Times New Roman"/>
                <w:szCs w:val="24"/>
                <w:lang w:val="en-US" w:eastAsia="zh-CN"/>
              </w:rPr>
              <w:t>Variables Definition and Measurement.</w:t>
            </w:r>
          </w:p>
        </w:tc>
      </w:tr>
      <w:tr w:rsidR="00122BC1" w:rsidRPr="00C73325" w14:paraId="6A102BCA" w14:textId="77777777" w:rsidTr="00A86D2D">
        <w:trPr>
          <w:trHeight w:val="251"/>
        </w:trPr>
        <w:tc>
          <w:tcPr>
            <w:tcW w:w="4999" w:type="pct"/>
            <w:gridSpan w:val="2"/>
            <w:tcBorders>
              <w:top w:val="single" w:sz="12" w:space="0" w:color="auto"/>
              <w:left w:val="nil"/>
              <w:right w:val="nil"/>
            </w:tcBorders>
            <w:shd w:val="clear" w:color="auto" w:fill="auto"/>
            <w:noWrap/>
            <w:vAlign w:val="center"/>
          </w:tcPr>
          <w:p w14:paraId="725CB81D" w14:textId="57355E43" w:rsidR="00122BC1" w:rsidRPr="00215905" w:rsidRDefault="00122BC1" w:rsidP="00C054CA">
            <w:pPr>
              <w:spacing w:before="0" w:after="0"/>
              <w:jc w:val="left"/>
              <w:rPr>
                <w:rFonts w:eastAsia="Times New Roman" w:cs="Times New Roman"/>
                <w:szCs w:val="24"/>
                <w:lang w:eastAsia="en-GB"/>
              </w:rPr>
            </w:pPr>
            <w:r w:rsidRPr="00215905">
              <w:rPr>
                <w:rFonts w:eastAsia="Times New Roman" w:cs="Times New Roman"/>
                <w:i/>
                <w:iCs/>
                <w:szCs w:val="24"/>
                <w:lang w:eastAsia="en-GB"/>
              </w:rPr>
              <w:t xml:space="preserve">Dividend </w:t>
            </w:r>
            <w:r w:rsidR="009966D6" w:rsidRPr="00215905">
              <w:rPr>
                <w:rFonts w:eastAsia="Times New Roman" w:cs="Times New Roman"/>
                <w:i/>
                <w:iCs/>
                <w:szCs w:val="24"/>
                <w:lang w:eastAsia="en-GB"/>
              </w:rPr>
              <w:t>pay-out</w:t>
            </w:r>
            <w:r w:rsidRPr="00215905">
              <w:rPr>
                <w:rFonts w:eastAsia="Times New Roman" w:cs="Times New Roman"/>
                <w:i/>
                <w:iCs/>
                <w:szCs w:val="24"/>
                <w:lang w:eastAsia="en-GB"/>
              </w:rPr>
              <w:t xml:space="preserve"> rate</w:t>
            </w:r>
          </w:p>
        </w:tc>
      </w:tr>
      <w:tr w:rsidR="00532585" w:rsidRPr="00C73325" w14:paraId="103CF25B" w14:textId="77777777" w:rsidTr="00A86D2D">
        <w:trPr>
          <w:trHeight w:val="693"/>
        </w:trPr>
        <w:tc>
          <w:tcPr>
            <w:tcW w:w="762" w:type="pct"/>
            <w:tcBorders>
              <w:left w:val="nil"/>
              <w:right w:val="nil"/>
            </w:tcBorders>
            <w:shd w:val="clear" w:color="auto" w:fill="auto"/>
            <w:noWrap/>
            <w:hideMark/>
          </w:tcPr>
          <w:p w14:paraId="7C656E46" w14:textId="61344A26" w:rsidR="00532585" w:rsidRPr="00215905" w:rsidRDefault="0046606C" w:rsidP="0046606C">
            <w:pPr>
              <w:spacing w:before="0" w:after="0"/>
              <w:jc w:val="left"/>
              <w:rPr>
                <w:rFonts w:eastAsia="Times New Roman" w:cs="Times New Roman"/>
                <w:szCs w:val="24"/>
                <w:lang w:eastAsia="en-GB"/>
              </w:rPr>
            </w:pPr>
            <w:r w:rsidRPr="00215905">
              <w:rPr>
                <w:rFonts w:eastAsia="Times New Roman" w:cs="Times New Roman"/>
                <w:szCs w:val="24"/>
                <w:lang w:eastAsia="en-GB"/>
              </w:rPr>
              <w:t xml:space="preserve">  </w:t>
            </w:r>
            <w:r w:rsidR="00532585" w:rsidRPr="00215905">
              <w:rPr>
                <w:rFonts w:eastAsia="Times New Roman" w:cs="Times New Roman"/>
                <w:szCs w:val="24"/>
                <w:lang w:eastAsia="en-GB"/>
              </w:rPr>
              <w:t>DP</w:t>
            </w:r>
            <w:r w:rsidR="00A86D2D" w:rsidRPr="00215905">
              <w:rPr>
                <w:rFonts w:eastAsia="Times New Roman" w:cs="Times New Roman"/>
                <w:szCs w:val="24"/>
                <w:lang w:eastAsia="en-GB"/>
              </w:rPr>
              <w:t>1</w:t>
            </w:r>
          </w:p>
        </w:tc>
        <w:tc>
          <w:tcPr>
            <w:tcW w:w="4238" w:type="pct"/>
            <w:tcBorders>
              <w:left w:val="nil"/>
              <w:right w:val="nil"/>
            </w:tcBorders>
            <w:shd w:val="clear" w:color="auto" w:fill="auto"/>
            <w:hideMark/>
          </w:tcPr>
          <w:p w14:paraId="5A447B59" w14:textId="3E393FD5" w:rsidR="00532585" w:rsidRPr="00215905" w:rsidRDefault="00C054CA" w:rsidP="0046606C">
            <w:pPr>
              <w:spacing w:before="0" w:after="0"/>
              <w:jc w:val="left"/>
              <w:rPr>
                <w:rFonts w:eastAsia="Times New Roman" w:cs="Times New Roman"/>
                <w:szCs w:val="24"/>
                <w:lang w:eastAsia="en-GB"/>
              </w:rPr>
            </w:pPr>
            <w:r w:rsidRPr="00215905">
              <w:rPr>
                <w:rFonts w:eastAsia="Times New Roman" w:cs="Times New Roman"/>
                <w:szCs w:val="24"/>
                <w:lang w:eastAsia="en-GB"/>
              </w:rPr>
              <w:t>T</w:t>
            </w:r>
            <w:r w:rsidR="00532585" w:rsidRPr="00215905">
              <w:rPr>
                <w:rFonts w:eastAsia="Times New Roman" w:cs="Times New Roman"/>
                <w:szCs w:val="24"/>
                <w:lang w:eastAsia="en-GB"/>
              </w:rPr>
              <w:t>he aggregate declared dividends of a company paid out per year divided by the number of common shares issued</w:t>
            </w:r>
            <w:r w:rsidR="00AE70E9" w:rsidRPr="00215905">
              <w:rPr>
                <w:rFonts w:eastAsia="Times New Roman" w:cs="Times New Roman"/>
                <w:szCs w:val="24"/>
                <w:lang w:eastAsia="en-GB"/>
              </w:rPr>
              <w:t>.</w:t>
            </w:r>
          </w:p>
        </w:tc>
      </w:tr>
      <w:tr w:rsidR="00A86D2D" w:rsidRPr="00C73325" w14:paraId="05E76233" w14:textId="77777777" w:rsidTr="00A86D2D">
        <w:trPr>
          <w:trHeight w:val="397"/>
        </w:trPr>
        <w:tc>
          <w:tcPr>
            <w:tcW w:w="762" w:type="pct"/>
            <w:tcBorders>
              <w:left w:val="nil"/>
              <w:right w:val="nil"/>
            </w:tcBorders>
            <w:shd w:val="clear" w:color="auto" w:fill="auto"/>
            <w:noWrap/>
          </w:tcPr>
          <w:p w14:paraId="7B002AFB" w14:textId="474A9103" w:rsidR="00A86D2D" w:rsidRPr="00215905" w:rsidRDefault="00A86D2D" w:rsidP="0046606C">
            <w:pPr>
              <w:spacing w:before="0" w:after="0"/>
              <w:jc w:val="left"/>
              <w:rPr>
                <w:rFonts w:eastAsia="Times New Roman" w:cs="Times New Roman"/>
                <w:szCs w:val="24"/>
                <w:lang w:eastAsia="en-GB"/>
              </w:rPr>
            </w:pPr>
            <w:r w:rsidRPr="00215905">
              <w:rPr>
                <w:rFonts w:eastAsia="Times New Roman" w:cs="Times New Roman"/>
                <w:szCs w:val="24"/>
                <w:lang w:eastAsia="en-GB"/>
              </w:rPr>
              <w:t xml:space="preserve">   DP2</w:t>
            </w:r>
          </w:p>
        </w:tc>
        <w:tc>
          <w:tcPr>
            <w:tcW w:w="4238" w:type="pct"/>
            <w:tcBorders>
              <w:left w:val="nil"/>
              <w:right w:val="nil"/>
            </w:tcBorders>
            <w:shd w:val="clear" w:color="auto" w:fill="auto"/>
          </w:tcPr>
          <w:p w14:paraId="507DD1D3" w14:textId="25673CDB" w:rsidR="00A86D2D" w:rsidRPr="00215905" w:rsidRDefault="00A86D2D" w:rsidP="0046606C">
            <w:pPr>
              <w:spacing w:before="0" w:after="0"/>
              <w:jc w:val="left"/>
              <w:rPr>
                <w:rFonts w:eastAsia="Times New Roman" w:cs="Times New Roman"/>
                <w:szCs w:val="24"/>
                <w:lang w:eastAsia="en-GB"/>
              </w:rPr>
            </w:pPr>
            <w:r w:rsidRPr="00215905">
              <w:rPr>
                <w:rFonts w:eastAsia="Times New Roman" w:cs="Times New Roman"/>
                <w:szCs w:val="24"/>
                <w:lang w:eastAsia="en-GB"/>
              </w:rPr>
              <w:t xml:space="preserve">Ratio of </w:t>
            </w:r>
            <w:r w:rsidR="003A1E7F">
              <w:rPr>
                <w:rFonts w:eastAsia="Times New Roman" w:cs="Times New Roman"/>
                <w:szCs w:val="24"/>
                <w:lang w:eastAsia="en-GB"/>
              </w:rPr>
              <w:t xml:space="preserve">aggregate </w:t>
            </w:r>
            <w:r w:rsidRPr="00215905">
              <w:rPr>
                <w:rFonts w:eastAsia="Times New Roman" w:cs="Times New Roman"/>
                <w:szCs w:val="24"/>
                <w:lang w:eastAsia="en-GB"/>
              </w:rPr>
              <w:t xml:space="preserve">dividends </w:t>
            </w:r>
            <w:r w:rsidR="003A1E7F">
              <w:rPr>
                <w:rFonts w:eastAsia="Times New Roman" w:cs="Times New Roman"/>
                <w:szCs w:val="24"/>
                <w:lang w:eastAsia="en-GB"/>
              </w:rPr>
              <w:t xml:space="preserve">declared </w:t>
            </w:r>
            <w:r w:rsidRPr="00215905">
              <w:rPr>
                <w:rFonts w:eastAsia="Times New Roman" w:cs="Times New Roman"/>
                <w:szCs w:val="24"/>
                <w:lang w:eastAsia="en-GB"/>
              </w:rPr>
              <w:t>to total assets</w:t>
            </w:r>
          </w:p>
        </w:tc>
      </w:tr>
      <w:tr w:rsidR="00532585" w:rsidRPr="00C73325" w14:paraId="2AA1266F" w14:textId="77777777" w:rsidTr="00A86D2D">
        <w:trPr>
          <w:trHeight w:val="330"/>
        </w:trPr>
        <w:tc>
          <w:tcPr>
            <w:tcW w:w="4999" w:type="pct"/>
            <w:gridSpan w:val="2"/>
            <w:tcBorders>
              <w:left w:val="nil"/>
              <w:right w:val="nil"/>
            </w:tcBorders>
            <w:shd w:val="clear" w:color="auto" w:fill="auto"/>
            <w:noWrap/>
            <w:vAlign w:val="center"/>
            <w:hideMark/>
          </w:tcPr>
          <w:p w14:paraId="0D2A4B8D" w14:textId="3E819CB8" w:rsidR="00532585" w:rsidRPr="00215905" w:rsidRDefault="00122BC1" w:rsidP="00532585">
            <w:pPr>
              <w:spacing w:before="0" w:after="0"/>
              <w:jc w:val="left"/>
              <w:rPr>
                <w:rFonts w:eastAsia="Times New Roman" w:cs="Times New Roman"/>
                <w:bCs/>
                <w:i/>
                <w:szCs w:val="24"/>
                <w:lang w:eastAsia="en-GB"/>
              </w:rPr>
            </w:pPr>
            <w:r w:rsidRPr="00215905">
              <w:rPr>
                <w:rFonts w:eastAsia="Times New Roman" w:cs="Times New Roman"/>
                <w:bCs/>
                <w:i/>
                <w:szCs w:val="24"/>
                <w:lang w:eastAsia="en-GB"/>
              </w:rPr>
              <w:t>Corporate governance</w:t>
            </w:r>
          </w:p>
        </w:tc>
      </w:tr>
      <w:tr w:rsidR="00532585" w:rsidRPr="00C73325" w14:paraId="5BC5C8CA" w14:textId="77777777" w:rsidTr="00A86D2D">
        <w:trPr>
          <w:trHeight w:val="521"/>
        </w:trPr>
        <w:tc>
          <w:tcPr>
            <w:tcW w:w="762" w:type="pct"/>
            <w:tcBorders>
              <w:left w:val="nil"/>
              <w:bottom w:val="nil"/>
              <w:right w:val="nil"/>
            </w:tcBorders>
            <w:shd w:val="clear" w:color="auto" w:fill="auto"/>
            <w:noWrap/>
            <w:hideMark/>
          </w:tcPr>
          <w:p w14:paraId="034C2B5F" w14:textId="78851407" w:rsidR="00532585" w:rsidRPr="00215905" w:rsidRDefault="0046606C" w:rsidP="0046606C">
            <w:pPr>
              <w:spacing w:before="0" w:after="0"/>
              <w:jc w:val="left"/>
              <w:rPr>
                <w:rFonts w:eastAsia="Times New Roman" w:cs="Times New Roman"/>
                <w:szCs w:val="24"/>
                <w:lang w:eastAsia="en-GB"/>
              </w:rPr>
            </w:pPr>
            <w:r w:rsidRPr="00215905">
              <w:rPr>
                <w:rFonts w:eastAsia="Times New Roman" w:cs="Times New Roman"/>
                <w:szCs w:val="24"/>
                <w:lang w:eastAsia="en-GB"/>
              </w:rPr>
              <w:t xml:space="preserve">  </w:t>
            </w:r>
            <w:r w:rsidR="00532585" w:rsidRPr="00215905">
              <w:rPr>
                <w:rFonts w:eastAsia="Times New Roman" w:cs="Times New Roman"/>
                <w:szCs w:val="24"/>
                <w:lang w:eastAsia="en-GB"/>
              </w:rPr>
              <w:t>BS</w:t>
            </w:r>
          </w:p>
        </w:tc>
        <w:tc>
          <w:tcPr>
            <w:tcW w:w="4238" w:type="pct"/>
            <w:tcBorders>
              <w:left w:val="nil"/>
              <w:bottom w:val="nil"/>
              <w:right w:val="nil"/>
            </w:tcBorders>
            <w:shd w:val="clear" w:color="auto" w:fill="auto"/>
            <w:hideMark/>
          </w:tcPr>
          <w:p w14:paraId="1C289416" w14:textId="19DF9852" w:rsidR="00532585" w:rsidRPr="00215905" w:rsidRDefault="00122BC1" w:rsidP="0046606C">
            <w:pPr>
              <w:spacing w:before="0" w:after="0"/>
              <w:jc w:val="left"/>
              <w:rPr>
                <w:rFonts w:eastAsia="Times New Roman" w:cs="Times New Roman"/>
                <w:szCs w:val="24"/>
                <w:lang w:eastAsia="en-GB"/>
              </w:rPr>
            </w:pPr>
            <w:r w:rsidRPr="00215905">
              <w:rPr>
                <w:rFonts w:eastAsia="Times New Roman" w:cs="Times New Roman"/>
                <w:szCs w:val="24"/>
                <w:lang w:eastAsia="en-GB"/>
              </w:rPr>
              <w:t>Total n</w:t>
            </w:r>
            <w:r w:rsidR="00532585" w:rsidRPr="00215905">
              <w:rPr>
                <w:rFonts w:eastAsia="Times New Roman" w:cs="Times New Roman"/>
                <w:szCs w:val="24"/>
                <w:lang w:eastAsia="en-GB"/>
              </w:rPr>
              <w:t>umber of</w:t>
            </w:r>
            <w:r w:rsidRPr="00215905">
              <w:rPr>
                <w:rFonts w:eastAsia="Times New Roman" w:cs="Times New Roman"/>
                <w:szCs w:val="24"/>
                <w:lang w:eastAsia="en-GB"/>
              </w:rPr>
              <w:t xml:space="preserve"> inside and outside</w:t>
            </w:r>
            <w:r w:rsidR="00532585" w:rsidRPr="00215905">
              <w:rPr>
                <w:rFonts w:eastAsia="Times New Roman" w:cs="Times New Roman"/>
                <w:szCs w:val="24"/>
                <w:lang w:eastAsia="en-GB"/>
              </w:rPr>
              <w:t xml:space="preserve"> directors on </w:t>
            </w:r>
            <w:r w:rsidRPr="00215905">
              <w:rPr>
                <w:rFonts w:eastAsia="Times New Roman" w:cs="Times New Roman"/>
                <w:szCs w:val="24"/>
                <w:lang w:eastAsia="en-GB"/>
              </w:rPr>
              <w:t>a company’s</w:t>
            </w:r>
            <w:r w:rsidR="00532585" w:rsidRPr="00215905">
              <w:rPr>
                <w:rFonts w:eastAsia="Times New Roman" w:cs="Times New Roman"/>
                <w:szCs w:val="24"/>
                <w:lang w:eastAsia="en-GB"/>
              </w:rPr>
              <w:t xml:space="preserve"> board in </w:t>
            </w:r>
            <w:r w:rsidR="00C054CA" w:rsidRPr="00215905">
              <w:rPr>
                <w:rFonts w:eastAsia="Times New Roman" w:cs="Times New Roman"/>
                <w:szCs w:val="24"/>
                <w:lang w:eastAsia="en-GB"/>
              </w:rPr>
              <w:t>a financial year</w:t>
            </w:r>
            <w:r w:rsidR="00AE70E9" w:rsidRPr="00215905">
              <w:rPr>
                <w:rFonts w:eastAsia="Times New Roman" w:cs="Times New Roman"/>
                <w:szCs w:val="24"/>
                <w:lang w:eastAsia="en-GB"/>
              </w:rPr>
              <w:t>.</w:t>
            </w:r>
          </w:p>
        </w:tc>
      </w:tr>
      <w:tr w:rsidR="00532585" w:rsidRPr="00C73325" w14:paraId="064307C7" w14:textId="77777777" w:rsidTr="00A86D2D">
        <w:trPr>
          <w:trHeight w:val="600"/>
        </w:trPr>
        <w:tc>
          <w:tcPr>
            <w:tcW w:w="762" w:type="pct"/>
            <w:tcBorders>
              <w:top w:val="nil"/>
              <w:left w:val="nil"/>
              <w:bottom w:val="nil"/>
              <w:right w:val="nil"/>
            </w:tcBorders>
            <w:shd w:val="clear" w:color="auto" w:fill="auto"/>
            <w:noWrap/>
            <w:hideMark/>
          </w:tcPr>
          <w:p w14:paraId="4DB4D216" w14:textId="245E5A57" w:rsidR="00532585" w:rsidRPr="00215905" w:rsidRDefault="0046606C" w:rsidP="0046606C">
            <w:pPr>
              <w:spacing w:before="0" w:after="0"/>
              <w:jc w:val="left"/>
              <w:rPr>
                <w:rFonts w:eastAsia="Times New Roman" w:cs="Times New Roman"/>
                <w:szCs w:val="24"/>
                <w:lang w:eastAsia="en-GB"/>
              </w:rPr>
            </w:pPr>
            <w:r w:rsidRPr="00215905">
              <w:rPr>
                <w:rFonts w:eastAsia="Times New Roman" w:cs="Times New Roman"/>
                <w:szCs w:val="24"/>
                <w:lang w:eastAsia="en-GB"/>
              </w:rPr>
              <w:t xml:space="preserve">  </w:t>
            </w:r>
            <w:r w:rsidR="00532585" w:rsidRPr="00215905">
              <w:rPr>
                <w:rFonts w:eastAsia="Times New Roman" w:cs="Times New Roman"/>
                <w:szCs w:val="24"/>
                <w:lang w:eastAsia="en-GB"/>
              </w:rPr>
              <w:t>BI</w:t>
            </w:r>
          </w:p>
        </w:tc>
        <w:tc>
          <w:tcPr>
            <w:tcW w:w="4238" w:type="pct"/>
            <w:tcBorders>
              <w:top w:val="nil"/>
              <w:left w:val="nil"/>
              <w:bottom w:val="nil"/>
              <w:right w:val="nil"/>
            </w:tcBorders>
            <w:shd w:val="clear" w:color="auto" w:fill="auto"/>
            <w:hideMark/>
          </w:tcPr>
          <w:p w14:paraId="2CEC74A1" w14:textId="7A23BA9D" w:rsidR="00532585" w:rsidRPr="00215905" w:rsidRDefault="00122BC1" w:rsidP="0046606C">
            <w:pPr>
              <w:spacing w:before="0" w:after="0"/>
              <w:jc w:val="left"/>
              <w:rPr>
                <w:rFonts w:eastAsia="Times New Roman" w:cs="Times New Roman"/>
                <w:szCs w:val="24"/>
                <w:lang w:eastAsia="en-GB"/>
              </w:rPr>
            </w:pPr>
            <w:r w:rsidRPr="00215905">
              <w:rPr>
                <w:rFonts w:eastAsia="Times New Roman" w:cs="Times New Roman"/>
                <w:szCs w:val="24"/>
                <w:lang w:eastAsia="en-GB"/>
              </w:rPr>
              <w:t>N</w:t>
            </w:r>
            <w:r w:rsidR="005C5151" w:rsidRPr="00215905">
              <w:rPr>
                <w:rFonts w:eastAsia="Times New Roman" w:cs="Times New Roman"/>
                <w:szCs w:val="24"/>
                <w:lang w:eastAsia="en-GB"/>
              </w:rPr>
              <w:t xml:space="preserve">umber of </w:t>
            </w:r>
            <w:r w:rsidRPr="00215905">
              <w:rPr>
                <w:rFonts w:eastAsia="Times New Roman" w:cs="Times New Roman"/>
                <w:szCs w:val="24"/>
                <w:lang w:eastAsia="en-GB"/>
              </w:rPr>
              <w:t xml:space="preserve">independent outside directors </w:t>
            </w:r>
            <w:r w:rsidR="005C5151" w:rsidRPr="00215905">
              <w:rPr>
                <w:rFonts w:eastAsia="Times New Roman" w:cs="Times New Roman"/>
                <w:szCs w:val="24"/>
                <w:lang w:eastAsia="en-GB"/>
              </w:rPr>
              <w:t>divided by the</w:t>
            </w:r>
            <w:r w:rsidR="00532585" w:rsidRPr="00215905">
              <w:rPr>
                <w:rFonts w:eastAsia="Times New Roman" w:cs="Times New Roman"/>
                <w:szCs w:val="24"/>
                <w:lang w:eastAsia="en-GB"/>
              </w:rPr>
              <w:t xml:space="preserve"> total number of </w:t>
            </w:r>
            <w:r w:rsidR="00AE70E9" w:rsidRPr="00215905">
              <w:rPr>
                <w:rFonts w:eastAsia="Times New Roman" w:cs="Times New Roman"/>
                <w:szCs w:val="24"/>
                <w:lang w:eastAsia="en-GB"/>
              </w:rPr>
              <w:t>d</w:t>
            </w:r>
            <w:r w:rsidR="00532585" w:rsidRPr="00215905">
              <w:rPr>
                <w:rFonts w:eastAsia="Times New Roman" w:cs="Times New Roman"/>
                <w:szCs w:val="24"/>
                <w:lang w:eastAsia="en-GB"/>
              </w:rPr>
              <w:t xml:space="preserve">irectors </w:t>
            </w:r>
            <w:r w:rsidR="00AE70E9" w:rsidRPr="00215905">
              <w:rPr>
                <w:rFonts w:eastAsia="Times New Roman" w:cs="Times New Roman"/>
                <w:szCs w:val="24"/>
                <w:lang w:eastAsia="en-GB"/>
              </w:rPr>
              <w:t>o</w:t>
            </w:r>
            <w:r w:rsidR="00532585" w:rsidRPr="00215905">
              <w:rPr>
                <w:rFonts w:eastAsia="Times New Roman" w:cs="Times New Roman"/>
                <w:szCs w:val="24"/>
                <w:lang w:eastAsia="en-GB"/>
              </w:rPr>
              <w:t xml:space="preserve">n </w:t>
            </w:r>
            <w:r w:rsidR="00AE70E9" w:rsidRPr="00215905">
              <w:rPr>
                <w:rFonts w:eastAsia="Times New Roman" w:cs="Times New Roman"/>
                <w:szCs w:val="24"/>
                <w:lang w:eastAsia="en-GB"/>
              </w:rPr>
              <w:t>a</w:t>
            </w:r>
            <w:r w:rsidR="005C5151" w:rsidRPr="00215905">
              <w:rPr>
                <w:rFonts w:eastAsia="Times New Roman" w:cs="Times New Roman"/>
                <w:szCs w:val="24"/>
                <w:lang w:eastAsia="en-GB"/>
              </w:rPr>
              <w:t xml:space="preserve"> company’s</w:t>
            </w:r>
            <w:r w:rsidR="00AE70E9" w:rsidRPr="00215905">
              <w:rPr>
                <w:rFonts w:eastAsia="Times New Roman" w:cs="Times New Roman"/>
                <w:szCs w:val="24"/>
                <w:lang w:eastAsia="en-GB"/>
              </w:rPr>
              <w:t xml:space="preserve"> b</w:t>
            </w:r>
            <w:r w:rsidR="00532585" w:rsidRPr="00215905">
              <w:rPr>
                <w:rFonts w:eastAsia="Times New Roman" w:cs="Times New Roman"/>
                <w:szCs w:val="24"/>
                <w:lang w:eastAsia="en-GB"/>
              </w:rPr>
              <w:t>oard</w:t>
            </w:r>
            <w:r w:rsidR="00AE70E9" w:rsidRPr="00215905">
              <w:rPr>
                <w:rFonts w:eastAsia="Times New Roman" w:cs="Times New Roman"/>
                <w:szCs w:val="24"/>
                <w:lang w:eastAsia="en-GB"/>
              </w:rPr>
              <w:t xml:space="preserve"> </w:t>
            </w:r>
            <w:r w:rsidR="005C5151" w:rsidRPr="00215905">
              <w:rPr>
                <w:rFonts w:eastAsia="Times New Roman" w:cs="Times New Roman"/>
                <w:szCs w:val="24"/>
                <w:lang w:eastAsia="en-GB"/>
              </w:rPr>
              <w:t>in a financial year</w:t>
            </w:r>
            <w:r w:rsidR="00AE70E9" w:rsidRPr="00215905">
              <w:rPr>
                <w:rFonts w:eastAsia="Times New Roman" w:cs="Times New Roman"/>
                <w:szCs w:val="24"/>
                <w:lang w:eastAsia="en-GB"/>
              </w:rPr>
              <w:t>.</w:t>
            </w:r>
          </w:p>
        </w:tc>
      </w:tr>
      <w:tr w:rsidR="00532585" w:rsidRPr="00C73325" w14:paraId="73B02635" w14:textId="77777777" w:rsidTr="00A86D2D">
        <w:trPr>
          <w:trHeight w:val="594"/>
        </w:trPr>
        <w:tc>
          <w:tcPr>
            <w:tcW w:w="762" w:type="pct"/>
            <w:tcBorders>
              <w:top w:val="nil"/>
              <w:left w:val="nil"/>
              <w:bottom w:val="nil"/>
              <w:right w:val="nil"/>
            </w:tcBorders>
            <w:shd w:val="clear" w:color="auto" w:fill="auto"/>
            <w:noWrap/>
            <w:hideMark/>
          </w:tcPr>
          <w:p w14:paraId="548E151D" w14:textId="52BC7094" w:rsidR="00532585" w:rsidRPr="00215905" w:rsidRDefault="0046606C" w:rsidP="0046606C">
            <w:pPr>
              <w:spacing w:before="0" w:after="0"/>
              <w:jc w:val="left"/>
              <w:rPr>
                <w:rFonts w:eastAsia="Times New Roman" w:cs="Times New Roman"/>
                <w:szCs w:val="24"/>
                <w:lang w:eastAsia="en-GB"/>
              </w:rPr>
            </w:pPr>
            <w:r w:rsidRPr="00215905">
              <w:rPr>
                <w:rFonts w:eastAsia="Times New Roman" w:cs="Times New Roman"/>
                <w:szCs w:val="24"/>
                <w:lang w:eastAsia="en-GB"/>
              </w:rPr>
              <w:t xml:space="preserve">  </w:t>
            </w:r>
            <w:r w:rsidR="00532585" w:rsidRPr="00215905">
              <w:rPr>
                <w:rFonts w:eastAsia="Times New Roman" w:cs="Times New Roman"/>
                <w:szCs w:val="24"/>
                <w:lang w:eastAsia="en-GB"/>
              </w:rPr>
              <w:t>CEO</w:t>
            </w:r>
          </w:p>
        </w:tc>
        <w:tc>
          <w:tcPr>
            <w:tcW w:w="4238" w:type="pct"/>
            <w:tcBorders>
              <w:top w:val="nil"/>
              <w:left w:val="nil"/>
              <w:bottom w:val="nil"/>
              <w:right w:val="nil"/>
            </w:tcBorders>
            <w:shd w:val="clear" w:color="auto" w:fill="auto"/>
            <w:hideMark/>
          </w:tcPr>
          <w:p w14:paraId="69CCDFBC" w14:textId="1F35D828" w:rsidR="00532585" w:rsidRPr="00215905" w:rsidRDefault="00AE70E9" w:rsidP="0046606C">
            <w:pPr>
              <w:spacing w:before="0" w:after="0"/>
              <w:jc w:val="left"/>
              <w:rPr>
                <w:rFonts w:eastAsia="Times New Roman" w:cs="Times New Roman"/>
                <w:szCs w:val="24"/>
                <w:lang w:eastAsia="en-GB"/>
              </w:rPr>
            </w:pPr>
            <w:r w:rsidRPr="00215905">
              <w:rPr>
                <w:rFonts w:eastAsia="Times New Roman" w:cs="Times New Roman"/>
                <w:szCs w:val="24"/>
                <w:lang w:eastAsia="en-GB"/>
              </w:rPr>
              <w:t xml:space="preserve">1 if the roles CEO and chairperson are held by separate individuals, 0 otherwise. </w:t>
            </w:r>
          </w:p>
        </w:tc>
      </w:tr>
      <w:tr w:rsidR="00532585" w:rsidRPr="00C73325" w14:paraId="4B490FB3" w14:textId="77777777" w:rsidTr="00A86D2D">
        <w:trPr>
          <w:trHeight w:val="291"/>
        </w:trPr>
        <w:tc>
          <w:tcPr>
            <w:tcW w:w="762" w:type="pct"/>
            <w:tcBorders>
              <w:top w:val="nil"/>
              <w:left w:val="nil"/>
              <w:bottom w:val="nil"/>
              <w:right w:val="nil"/>
            </w:tcBorders>
            <w:shd w:val="clear" w:color="auto" w:fill="auto"/>
            <w:noWrap/>
            <w:hideMark/>
          </w:tcPr>
          <w:p w14:paraId="47B6A335" w14:textId="2237C7B7" w:rsidR="00532585" w:rsidRPr="00215905" w:rsidRDefault="0046606C" w:rsidP="0046606C">
            <w:pPr>
              <w:spacing w:before="0" w:after="0"/>
              <w:jc w:val="left"/>
              <w:rPr>
                <w:rFonts w:eastAsia="Times New Roman" w:cs="Times New Roman"/>
                <w:szCs w:val="24"/>
                <w:lang w:eastAsia="en-GB"/>
              </w:rPr>
            </w:pPr>
            <w:r w:rsidRPr="00215905">
              <w:rPr>
                <w:rFonts w:eastAsia="Times New Roman" w:cs="Times New Roman"/>
                <w:szCs w:val="24"/>
                <w:lang w:eastAsia="en-GB"/>
              </w:rPr>
              <w:t xml:space="preserve">  </w:t>
            </w:r>
            <w:r w:rsidR="00532585" w:rsidRPr="00215905">
              <w:rPr>
                <w:rFonts w:eastAsia="Times New Roman" w:cs="Times New Roman"/>
                <w:szCs w:val="24"/>
                <w:lang w:eastAsia="en-GB"/>
              </w:rPr>
              <w:t>BM</w:t>
            </w:r>
          </w:p>
        </w:tc>
        <w:tc>
          <w:tcPr>
            <w:tcW w:w="4238" w:type="pct"/>
            <w:tcBorders>
              <w:top w:val="nil"/>
              <w:left w:val="nil"/>
              <w:bottom w:val="nil"/>
              <w:right w:val="nil"/>
            </w:tcBorders>
            <w:shd w:val="clear" w:color="auto" w:fill="auto"/>
            <w:hideMark/>
          </w:tcPr>
          <w:p w14:paraId="44A00E15" w14:textId="668D4538" w:rsidR="00532585" w:rsidRPr="00215905" w:rsidRDefault="005C5151" w:rsidP="0046606C">
            <w:pPr>
              <w:spacing w:before="0" w:after="0"/>
              <w:jc w:val="left"/>
              <w:rPr>
                <w:rFonts w:eastAsia="Times New Roman" w:cs="Times New Roman"/>
                <w:szCs w:val="24"/>
                <w:lang w:eastAsia="en-GB"/>
              </w:rPr>
            </w:pPr>
            <w:r w:rsidRPr="00215905">
              <w:rPr>
                <w:rFonts w:eastAsia="Times New Roman" w:cs="Times New Roman"/>
                <w:szCs w:val="24"/>
                <w:lang w:eastAsia="en-GB"/>
              </w:rPr>
              <w:t>T</w:t>
            </w:r>
            <w:r w:rsidR="00532585" w:rsidRPr="00215905">
              <w:rPr>
                <w:rFonts w:eastAsia="Times New Roman" w:cs="Times New Roman"/>
                <w:szCs w:val="24"/>
                <w:lang w:eastAsia="en-GB"/>
              </w:rPr>
              <w:t xml:space="preserve">otal number of </w:t>
            </w:r>
            <w:r w:rsidR="00AE70E9" w:rsidRPr="00215905">
              <w:rPr>
                <w:rFonts w:eastAsia="Times New Roman" w:cs="Times New Roman"/>
                <w:szCs w:val="24"/>
                <w:lang w:eastAsia="en-GB"/>
              </w:rPr>
              <w:t xml:space="preserve">meetings held by a company’s board in a </w:t>
            </w:r>
            <w:r w:rsidR="0046606C" w:rsidRPr="00215905">
              <w:rPr>
                <w:rFonts w:eastAsia="Times New Roman" w:cs="Times New Roman"/>
                <w:szCs w:val="24"/>
                <w:lang w:eastAsia="en-GB"/>
              </w:rPr>
              <w:t xml:space="preserve">financial </w:t>
            </w:r>
            <w:r w:rsidR="00AE70E9" w:rsidRPr="00215905">
              <w:rPr>
                <w:rFonts w:eastAsia="Times New Roman" w:cs="Times New Roman"/>
                <w:szCs w:val="24"/>
                <w:lang w:eastAsia="en-GB"/>
              </w:rPr>
              <w:t>year.</w:t>
            </w:r>
          </w:p>
        </w:tc>
      </w:tr>
      <w:tr w:rsidR="00532585" w:rsidRPr="00C73325" w14:paraId="3B544755" w14:textId="77777777" w:rsidTr="00A86D2D">
        <w:trPr>
          <w:trHeight w:val="437"/>
        </w:trPr>
        <w:tc>
          <w:tcPr>
            <w:tcW w:w="762" w:type="pct"/>
            <w:tcBorders>
              <w:top w:val="nil"/>
              <w:left w:val="nil"/>
              <w:bottom w:val="nil"/>
              <w:right w:val="nil"/>
            </w:tcBorders>
            <w:shd w:val="clear" w:color="auto" w:fill="auto"/>
            <w:noWrap/>
            <w:hideMark/>
          </w:tcPr>
          <w:p w14:paraId="4CEC1839" w14:textId="50F58B2D" w:rsidR="00532585" w:rsidRPr="00215905" w:rsidRDefault="0046606C" w:rsidP="0046606C">
            <w:pPr>
              <w:spacing w:before="0" w:after="0"/>
              <w:jc w:val="left"/>
              <w:rPr>
                <w:rFonts w:eastAsia="Times New Roman" w:cs="Times New Roman"/>
                <w:szCs w:val="24"/>
                <w:lang w:eastAsia="en-GB"/>
              </w:rPr>
            </w:pPr>
            <w:r w:rsidRPr="00215905">
              <w:rPr>
                <w:rFonts w:eastAsia="Times New Roman" w:cs="Times New Roman"/>
                <w:szCs w:val="24"/>
                <w:lang w:eastAsia="en-GB"/>
              </w:rPr>
              <w:t xml:space="preserve">  </w:t>
            </w:r>
            <w:r w:rsidR="00532585" w:rsidRPr="00215905">
              <w:rPr>
                <w:rFonts w:eastAsia="Times New Roman" w:cs="Times New Roman"/>
                <w:szCs w:val="24"/>
                <w:lang w:eastAsia="en-GB"/>
              </w:rPr>
              <w:t>BG</w:t>
            </w:r>
          </w:p>
        </w:tc>
        <w:tc>
          <w:tcPr>
            <w:tcW w:w="4238" w:type="pct"/>
            <w:tcBorders>
              <w:top w:val="nil"/>
              <w:left w:val="nil"/>
              <w:bottom w:val="nil"/>
              <w:right w:val="nil"/>
            </w:tcBorders>
            <w:shd w:val="clear" w:color="auto" w:fill="auto"/>
            <w:hideMark/>
          </w:tcPr>
          <w:p w14:paraId="186A2684" w14:textId="4858C6AB" w:rsidR="00532585" w:rsidRPr="00215905" w:rsidRDefault="0046606C" w:rsidP="0046606C">
            <w:pPr>
              <w:spacing w:before="0" w:after="0"/>
              <w:jc w:val="left"/>
              <w:rPr>
                <w:rFonts w:eastAsia="Times New Roman" w:cs="Times New Roman"/>
                <w:szCs w:val="24"/>
                <w:lang w:eastAsia="en-GB"/>
              </w:rPr>
            </w:pPr>
            <w:r w:rsidRPr="00215905">
              <w:rPr>
                <w:rFonts w:eastAsia="Times New Roman" w:cs="Times New Roman"/>
                <w:szCs w:val="24"/>
                <w:lang w:eastAsia="en-GB"/>
              </w:rPr>
              <w:t>Total</w:t>
            </w:r>
            <w:r w:rsidR="00532585" w:rsidRPr="00215905">
              <w:rPr>
                <w:rFonts w:eastAsia="Times New Roman" w:cs="Times New Roman"/>
                <w:szCs w:val="24"/>
                <w:lang w:eastAsia="en-GB"/>
              </w:rPr>
              <w:t xml:space="preserve"> number of female directors to the total number of directors </w:t>
            </w:r>
            <w:r w:rsidRPr="00215905">
              <w:rPr>
                <w:rFonts w:eastAsia="Times New Roman" w:cs="Times New Roman"/>
                <w:szCs w:val="24"/>
                <w:lang w:eastAsia="en-GB"/>
              </w:rPr>
              <w:t>on a company’s board in a financial year.</w:t>
            </w:r>
          </w:p>
        </w:tc>
      </w:tr>
      <w:tr w:rsidR="00532585" w:rsidRPr="00C73325" w14:paraId="2981D513" w14:textId="77777777" w:rsidTr="00A86D2D">
        <w:trPr>
          <w:trHeight w:val="506"/>
        </w:trPr>
        <w:tc>
          <w:tcPr>
            <w:tcW w:w="762" w:type="pct"/>
            <w:tcBorders>
              <w:top w:val="nil"/>
              <w:left w:val="nil"/>
              <w:right w:val="nil"/>
            </w:tcBorders>
            <w:shd w:val="clear" w:color="auto" w:fill="auto"/>
            <w:noWrap/>
            <w:hideMark/>
          </w:tcPr>
          <w:p w14:paraId="2B415641" w14:textId="76E91310" w:rsidR="00532585" w:rsidRPr="00215905" w:rsidRDefault="0046606C" w:rsidP="0046606C">
            <w:pPr>
              <w:spacing w:before="0" w:after="0"/>
              <w:jc w:val="left"/>
              <w:rPr>
                <w:rFonts w:eastAsia="Times New Roman" w:cs="Times New Roman"/>
                <w:szCs w:val="24"/>
                <w:lang w:eastAsia="en-GB"/>
              </w:rPr>
            </w:pPr>
            <w:r w:rsidRPr="00215905">
              <w:rPr>
                <w:rFonts w:eastAsia="Times New Roman" w:cs="Times New Roman"/>
                <w:szCs w:val="24"/>
                <w:lang w:eastAsia="en-GB"/>
              </w:rPr>
              <w:t xml:space="preserve">  </w:t>
            </w:r>
            <w:r w:rsidR="00532585" w:rsidRPr="00215905">
              <w:rPr>
                <w:rFonts w:eastAsia="Times New Roman" w:cs="Times New Roman"/>
                <w:szCs w:val="24"/>
                <w:lang w:eastAsia="en-GB"/>
              </w:rPr>
              <w:t>AS</w:t>
            </w:r>
          </w:p>
        </w:tc>
        <w:tc>
          <w:tcPr>
            <w:tcW w:w="4238" w:type="pct"/>
            <w:tcBorders>
              <w:top w:val="nil"/>
              <w:left w:val="nil"/>
              <w:right w:val="nil"/>
            </w:tcBorders>
            <w:shd w:val="clear" w:color="auto" w:fill="auto"/>
            <w:hideMark/>
          </w:tcPr>
          <w:p w14:paraId="0496D54E" w14:textId="2C63BB1A" w:rsidR="00532585" w:rsidRPr="00215905" w:rsidRDefault="0046606C" w:rsidP="0046606C">
            <w:pPr>
              <w:spacing w:before="0" w:after="0"/>
              <w:jc w:val="left"/>
              <w:rPr>
                <w:rFonts w:eastAsia="Times New Roman" w:cs="Times New Roman"/>
                <w:szCs w:val="24"/>
                <w:lang w:eastAsia="en-GB"/>
              </w:rPr>
            </w:pPr>
            <w:r w:rsidRPr="00215905">
              <w:rPr>
                <w:rFonts w:eastAsia="Times New Roman" w:cs="Times New Roman"/>
                <w:szCs w:val="24"/>
                <w:lang w:eastAsia="en-GB"/>
              </w:rPr>
              <w:t>Total</w:t>
            </w:r>
            <w:r w:rsidR="00532585" w:rsidRPr="00215905">
              <w:rPr>
                <w:rFonts w:eastAsia="Times New Roman" w:cs="Times New Roman"/>
                <w:szCs w:val="24"/>
                <w:lang w:eastAsia="en-GB"/>
              </w:rPr>
              <w:t xml:space="preserve"> number of directors </w:t>
            </w:r>
            <w:r w:rsidR="00FE7314" w:rsidRPr="00215905">
              <w:rPr>
                <w:rFonts w:eastAsia="Times New Roman" w:cs="Times New Roman"/>
                <w:szCs w:val="24"/>
                <w:lang w:eastAsia="en-GB"/>
              </w:rPr>
              <w:t>that serve on</w:t>
            </w:r>
            <w:r w:rsidR="00532585" w:rsidRPr="00215905">
              <w:rPr>
                <w:rFonts w:eastAsia="Times New Roman" w:cs="Times New Roman"/>
                <w:szCs w:val="24"/>
                <w:lang w:eastAsia="en-GB"/>
              </w:rPr>
              <w:t xml:space="preserve"> the audit committee</w:t>
            </w:r>
            <w:r w:rsidR="00FE7314" w:rsidRPr="00215905">
              <w:rPr>
                <w:rFonts w:eastAsia="Times New Roman" w:cs="Times New Roman"/>
                <w:szCs w:val="24"/>
                <w:lang w:eastAsia="en-GB"/>
              </w:rPr>
              <w:t>.</w:t>
            </w:r>
          </w:p>
        </w:tc>
      </w:tr>
      <w:tr w:rsidR="00532585" w:rsidRPr="00C73325" w14:paraId="1BE56676" w14:textId="77777777" w:rsidTr="00A86D2D">
        <w:trPr>
          <w:trHeight w:val="330"/>
        </w:trPr>
        <w:tc>
          <w:tcPr>
            <w:tcW w:w="4999" w:type="pct"/>
            <w:gridSpan w:val="2"/>
            <w:tcBorders>
              <w:left w:val="nil"/>
              <w:right w:val="nil"/>
            </w:tcBorders>
            <w:shd w:val="clear" w:color="auto" w:fill="auto"/>
            <w:noWrap/>
            <w:vAlign w:val="center"/>
            <w:hideMark/>
          </w:tcPr>
          <w:p w14:paraId="74D7F52B" w14:textId="318425FA" w:rsidR="00532585" w:rsidRPr="00215905" w:rsidRDefault="004E1100" w:rsidP="00532585">
            <w:pPr>
              <w:spacing w:before="0" w:after="0"/>
              <w:jc w:val="left"/>
              <w:rPr>
                <w:rFonts w:eastAsia="Times New Roman" w:cs="Times New Roman"/>
                <w:bCs/>
                <w:i/>
                <w:szCs w:val="24"/>
                <w:lang w:eastAsia="en-GB"/>
              </w:rPr>
            </w:pPr>
            <w:r w:rsidRPr="00215905">
              <w:rPr>
                <w:rFonts w:eastAsia="Times New Roman" w:cs="Times New Roman"/>
                <w:bCs/>
                <w:i/>
                <w:szCs w:val="24"/>
                <w:lang w:eastAsia="en-GB"/>
              </w:rPr>
              <w:t>Control Variables</w:t>
            </w:r>
          </w:p>
        </w:tc>
      </w:tr>
      <w:tr w:rsidR="00532585" w:rsidRPr="00C73325" w14:paraId="67A3740B" w14:textId="77777777" w:rsidTr="00A86D2D">
        <w:trPr>
          <w:trHeight w:val="315"/>
        </w:trPr>
        <w:tc>
          <w:tcPr>
            <w:tcW w:w="762" w:type="pct"/>
            <w:tcBorders>
              <w:left w:val="nil"/>
              <w:bottom w:val="nil"/>
              <w:right w:val="nil"/>
            </w:tcBorders>
            <w:shd w:val="clear" w:color="auto" w:fill="auto"/>
            <w:noWrap/>
            <w:vAlign w:val="center"/>
            <w:hideMark/>
          </w:tcPr>
          <w:p w14:paraId="4A988FD0" w14:textId="35B1AB1B" w:rsidR="00532585" w:rsidRPr="00215905" w:rsidRDefault="004E1100" w:rsidP="00532585">
            <w:pPr>
              <w:spacing w:before="0" w:after="0"/>
              <w:jc w:val="left"/>
              <w:rPr>
                <w:rFonts w:eastAsia="Times New Roman" w:cs="Times New Roman"/>
                <w:szCs w:val="24"/>
                <w:lang w:eastAsia="en-GB"/>
              </w:rPr>
            </w:pPr>
            <w:r w:rsidRPr="00215905">
              <w:rPr>
                <w:rFonts w:eastAsia="Times New Roman" w:cs="Times New Roman"/>
                <w:szCs w:val="24"/>
                <w:lang w:eastAsia="en-GB"/>
              </w:rPr>
              <w:t xml:space="preserve">  </w:t>
            </w:r>
            <w:r w:rsidR="00532585" w:rsidRPr="00215905">
              <w:rPr>
                <w:rFonts w:eastAsia="Times New Roman" w:cs="Times New Roman"/>
                <w:szCs w:val="24"/>
                <w:lang w:eastAsia="en-GB"/>
              </w:rPr>
              <w:t>FS</w:t>
            </w:r>
          </w:p>
        </w:tc>
        <w:tc>
          <w:tcPr>
            <w:tcW w:w="4238" w:type="pct"/>
            <w:tcBorders>
              <w:left w:val="nil"/>
              <w:bottom w:val="nil"/>
              <w:right w:val="nil"/>
            </w:tcBorders>
            <w:shd w:val="clear" w:color="auto" w:fill="auto"/>
            <w:noWrap/>
            <w:vAlign w:val="center"/>
            <w:hideMark/>
          </w:tcPr>
          <w:p w14:paraId="59D1FB53" w14:textId="2C9AE469" w:rsidR="00532585" w:rsidRPr="00215905" w:rsidRDefault="005C5151" w:rsidP="00532585">
            <w:pPr>
              <w:spacing w:before="0" w:after="0"/>
              <w:jc w:val="left"/>
              <w:rPr>
                <w:rFonts w:eastAsia="Times New Roman" w:cs="Times New Roman"/>
                <w:szCs w:val="24"/>
                <w:lang w:eastAsia="en-GB"/>
              </w:rPr>
            </w:pPr>
            <w:r w:rsidRPr="00215905">
              <w:rPr>
                <w:rFonts w:eastAsia="Times New Roman" w:cs="Times New Roman"/>
                <w:szCs w:val="24"/>
                <w:lang w:eastAsia="en-GB"/>
              </w:rPr>
              <w:t>N</w:t>
            </w:r>
            <w:r w:rsidR="004E1100" w:rsidRPr="00215905">
              <w:rPr>
                <w:rFonts w:eastAsia="Times New Roman" w:cs="Times New Roman"/>
                <w:szCs w:val="24"/>
                <w:lang w:eastAsia="en-GB"/>
              </w:rPr>
              <w:t>atural log</w:t>
            </w:r>
            <w:r w:rsidR="00532585" w:rsidRPr="00215905">
              <w:rPr>
                <w:rFonts w:eastAsia="Times New Roman" w:cs="Times New Roman"/>
                <w:szCs w:val="24"/>
                <w:lang w:eastAsia="en-GB"/>
              </w:rPr>
              <w:t xml:space="preserve"> of total assets.</w:t>
            </w:r>
          </w:p>
        </w:tc>
      </w:tr>
      <w:tr w:rsidR="00532585" w:rsidRPr="00C73325" w14:paraId="5A925B2D" w14:textId="77777777" w:rsidTr="00A86D2D">
        <w:trPr>
          <w:trHeight w:val="300"/>
        </w:trPr>
        <w:tc>
          <w:tcPr>
            <w:tcW w:w="762" w:type="pct"/>
            <w:tcBorders>
              <w:top w:val="nil"/>
              <w:left w:val="nil"/>
              <w:bottom w:val="nil"/>
              <w:right w:val="nil"/>
            </w:tcBorders>
            <w:shd w:val="clear" w:color="auto" w:fill="auto"/>
            <w:noWrap/>
            <w:vAlign w:val="center"/>
            <w:hideMark/>
          </w:tcPr>
          <w:p w14:paraId="04A7C27C" w14:textId="7BFE08FD" w:rsidR="00532585" w:rsidRPr="00215905" w:rsidRDefault="004E1100" w:rsidP="00532585">
            <w:pPr>
              <w:spacing w:before="0" w:after="0"/>
              <w:jc w:val="left"/>
              <w:rPr>
                <w:rFonts w:eastAsia="Times New Roman" w:cs="Times New Roman"/>
                <w:szCs w:val="24"/>
                <w:lang w:eastAsia="en-GB"/>
              </w:rPr>
            </w:pPr>
            <w:r w:rsidRPr="00215905">
              <w:rPr>
                <w:rFonts w:eastAsia="Times New Roman" w:cs="Times New Roman"/>
                <w:szCs w:val="24"/>
                <w:lang w:eastAsia="en-GB"/>
              </w:rPr>
              <w:t xml:space="preserve">  </w:t>
            </w:r>
            <w:r w:rsidR="00532585" w:rsidRPr="00215905">
              <w:rPr>
                <w:rFonts w:eastAsia="Times New Roman" w:cs="Times New Roman"/>
                <w:szCs w:val="24"/>
                <w:lang w:eastAsia="en-GB"/>
              </w:rPr>
              <w:t>LEV</w:t>
            </w:r>
          </w:p>
        </w:tc>
        <w:tc>
          <w:tcPr>
            <w:tcW w:w="4238" w:type="pct"/>
            <w:tcBorders>
              <w:top w:val="nil"/>
              <w:left w:val="nil"/>
              <w:bottom w:val="nil"/>
              <w:right w:val="nil"/>
            </w:tcBorders>
            <w:shd w:val="clear" w:color="auto" w:fill="auto"/>
            <w:noWrap/>
            <w:vAlign w:val="center"/>
            <w:hideMark/>
          </w:tcPr>
          <w:p w14:paraId="32DCC585" w14:textId="4D396CE8" w:rsidR="00532585" w:rsidRPr="00215905" w:rsidRDefault="005C5151" w:rsidP="004E1100">
            <w:pPr>
              <w:spacing w:before="0" w:after="0"/>
              <w:jc w:val="left"/>
              <w:rPr>
                <w:rFonts w:eastAsia="Times New Roman" w:cs="Times New Roman"/>
                <w:szCs w:val="24"/>
                <w:lang w:eastAsia="en-GB"/>
              </w:rPr>
            </w:pPr>
            <w:r w:rsidRPr="00215905">
              <w:rPr>
                <w:rFonts w:eastAsia="Times New Roman" w:cs="Times New Roman"/>
                <w:szCs w:val="24"/>
                <w:lang w:eastAsia="en-GB"/>
              </w:rPr>
              <w:t>Ratio</w:t>
            </w:r>
            <w:r w:rsidR="00F22ED9" w:rsidRPr="00215905">
              <w:rPr>
                <w:rFonts w:eastAsia="Times New Roman" w:cs="Times New Roman"/>
                <w:szCs w:val="24"/>
                <w:lang w:eastAsia="en-GB"/>
              </w:rPr>
              <w:t xml:space="preserve"> of</w:t>
            </w:r>
            <w:r w:rsidR="00532585" w:rsidRPr="00215905">
              <w:rPr>
                <w:rFonts w:eastAsia="Times New Roman" w:cs="Times New Roman"/>
                <w:szCs w:val="24"/>
                <w:lang w:eastAsia="en-GB"/>
              </w:rPr>
              <w:t xml:space="preserve"> total debt to total assets</w:t>
            </w:r>
            <w:r w:rsidR="00F22ED9" w:rsidRPr="00215905">
              <w:rPr>
                <w:rFonts w:eastAsia="Times New Roman" w:cs="Times New Roman"/>
                <w:szCs w:val="24"/>
                <w:lang w:eastAsia="en-GB"/>
              </w:rPr>
              <w:t>.</w:t>
            </w:r>
          </w:p>
        </w:tc>
      </w:tr>
      <w:tr w:rsidR="00532585" w:rsidRPr="00C73325" w14:paraId="25B4AEDC" w14:textId="77777777" w:rsidTr="00A86D2D">
        <w:trPr>
          <w:trHeight w:val="300"/>
        </w:trPr>
        <w:tc>
          <w:tcPr>
            <w:tcW w:w="762" w:type="pct"/>
            <w:tcBorders>
              <w:top w:val="nil"/>
              <w:left w:val="nil"/>
              <w:bottom w:val="nil"/>
              <w:right w:val="nil"/>
            </w:tcBorders>
            <w:shd w:val="clear" w:color="auto" w:fill="auto"/>
            <w:noWrap/>
            <w:vAlign w:val="center"/>
            <w:hideMark/>
          </w:tcPr>
          <w:p w14:paraId="3BC0C1B6" w14:textId="5BABDE79" w:rsidR="00532585" w:rsidRPr="00215905" w:rsidRDefault="004E1100" w:rsidP="00532585">
            <w:pPr>
              <w:spacing w:before="0" w:after="0"/>
              <w:jc w:val="left"/>
              <w:rPr>
                <w:rFonts w:eastAsia="Times New Roman" w:cs="Times New Roman"/>
                <w:szCs w:val="24"/>
                <w:lang w:eastAsia="en-GB"/>
              </w:rPr>
            </w:pPr>
            <w:r w:rsidRPr="00215905">
              <w:rPr>
                <w:rFonts w:eastAsia="Times New Roman" w:cs="Times New Roman"/>
                <w:szCs w:val="24"/>
                <w:lang w:eastAsia="en-GB"/>
              </w:rPr>
              <w:t xml:space="preserve">  </w:t>
            </w:r>
            <w:r w:rsidR="00532585" w:rsidRPr="00215905">
              <w:rPr>
                <w:rFonts w:eastAsia="Times New Roman" w:cs="Times New Roman"/>
                <w:szCs w:val="24"/>
                <w:lang w:eastAsia="en-GB"/>
              </w:rPr>
              <w:t>CFS</w:t>
            </w:r>
          </w:p>
        </w:tc>
        <w:tc>
          <w:tcPr>
            <w:tcW w:w="4238" w:type="pct"/>
            <w:tcBorders>
              <w:top w:val="nil"/>
              <w:left w:val="nil"/>
              <w:bottom w:val="nil"/>
              <w:right w:val="nil"/>
            </w:tcBorders>
            <w:shd w:val="clear" w:color="auto" w:fill="auto"/>
            <w:noWrap/>
            <w:vAlign w:val="center"/>
            <w:hideMark/>
          </w:tcPr>
          <w:p w14:paraId="6CD44053" w14:textId="123454A8" w:rsidR="00532585" w:rsidRPr="00215905" w:rsidRDefault="004E1100" w:rsidP="004E1100">
            <w:pPr>
              <w:spacing w:before="0" w:after="0"/>
              <w:jc w:val="left"/>
              <w:rPr>
                <w:rFonts w:eastAsia="Times New Roman" w:cs="Times New Roman"/>
                <w:szCs w:val="24"/>
                <w:lang w:eastAsia="en-GB"/>
              </w:rPr>
            </w:pPr>
            <w:r w:rsidRPr="00215905">
              <w:rPr>
                <w:rFonts w:eastAsia="Times New Roman" w:cs="Times New Roman"/>
                <w:szCs w:val="24"/>
                <w:lang w:eastAsia="en-GB"/>
              </w:rPr>
              <w:t>C</w:t>
            </w:r>
            <w:r w:rsidR="00532585" w:rsidRPr="00215905">
              <w:rPr>
                <w:rFonts w:eastAsia="Times New Roman" w:cs="Times New Roman"/>
                <w:szCs w:val="24"/>
                <w:lang w:eastAsia="en-GB"/>
              </w:rPr>
              <w:t xml:space="preserve">ash flow </w:t>
            </w:r>
            <w:r w:rsidRPr="00215905">
              <w:rPr>
                <w:rFonts w:eastAsia="Times New Roman" w:cs="Times New Roman"/>
                <w:szCs w:val="24"/>
                <w:lang w:eastAsia="en-GB"/>
              </w:rPr>
              <w:t>divided by</w:t>
            </w:r>
            <w:r w:rsidR="00532585" w:rsidRPr="00215905">
              <w:rPr>
                <w:rFonts w:eastAsia="Times New Roman" w:cs="Times New Roman"/>
                <w:szCs w:val="24"/>
                <w:lang w:eastAsia="en-GB"/>
              </w:rPr>
              <w:t xml:space="preserve"> </w:t>
            </w:r>
            <w:r w:rsidR="00F22ED9" w:rsidRPr="00215905">
              <w:rPr>
                <w:rFonts w:eastAsia="Times New Roman" w:cs="Times New Roman"/>
                <w:szCs w:val="24"/>
                <w:lang w:eastAsia="en-GB"/>
              </w:rPr>
              <w:t xml:space="preserve">total </w:t>
            </w:r>
            <w:r w:rsidR="00532585" w:rsidRPr="00215905">
              <w:rPr>
                <w:rFonts w:eastAsia="Times New Roman" w:cs="Times New Roman"/>
                <w:szCs w:val="24"/>
                <w:lang w:eastAsia="en-GB"/>
              </w:rPr>
              <w:t>common share</w:t>
            </w:r>
            <w:r w:rsidR="00F22ED9" w:rsidRPr="00215905">
              <w:rPr>
                <w:rFonts w:eastAsia="Times New Roman" w:cs="Times New Roman"/>
                <w:szCs w:val="24"/>
                <w:lang w:eastAsia="en-GB"/>
              </w:rPr>
              <w:t>.</w:t>
            </w:r>
          </w:p>
        </w:tc>
      </w:tr>
      <w:tr w:rsidR="00532585" w:rsidRPr="00C73325" w14:paraId="07CCEB37" w14:textId="77777777" w:rsidTr="00A86D2D">
        <w:trPr>
          <w:trHeight w:val="315"/>
        </w:trPr>
        <w:tc>
          <w:tcPr>
            <w:tcW w:w="762" w:type="pct"/>
            <w:tcBorders>
              <w:top w:val="nil"/>
              <w:left w:val="nil"/>
              <w:bottom w:val="single" w:sz="12" w:space="0" w:color="auto"/>
              <w:right w:val="nil"/>
            </w:tcBorders>
            <w:shd w:val="clear" w:color="auto" w:fill="auto"/>
            <w:noWrap/>
            <w:vAlign w:val="center"/>
            <w:hideMark/>
          </w:tcPr>
          <w:p w14:paraId="1FA4E765" w14:textId="6B82BEDE" w:rsidR="00532585" w:rsidRPr="00215905" w:rsidRDefault="004E1100" w:rsidP="00532585">
            <w:pPr>
              <w:spacing w:before="0" w:after="0"/>
              <w:rPr>
                <w:rFonts w:eastAsia="Times New Roman" w:cs="Times New Roman"/>
                <w:szCs w:val="24"/>
                <w:lang w:eastAsia="en-GB"/>
              </w:rPr>
            </w:pPr>
            <w:r w:rsidRPr="00215905">
              <w:rPr>
                <w:rFonts w:eastAsia="Times New Roman" w:cs="Times New Roman"/>
                <w:szCs w:val="24"/>
                <w:lang w:eastAsia="en-GB"/>
              </w:rPr>
              <w:t xml:space="preserve">  </w:t>
            </w:r>
            <w:r w:rsidR="00532585" w:rsidRPr="00215905">
              <w:rPr>
                <w:rFonts w:eastAsia="Times New Roman" w:cs="Times New Roman"/>
                <w:szCs w:val="24"/>
                <w:lang w:eastAsia="en-GB"/>
              </w:rPr>
              <w:t>ROA</w:t>
            </w:r>
          </w:p>
        </w:tc>
        <w:tc>
          <w:tcPr>
            <w:tcW w:w="4238" w:type="pct"/>
            <w:tcBorders>
              <w:top w:val="nil"/>
              <w:left w:val="nil"/>
              <w:bottom w:val="single" w:sz="12" w:space="0" w:color="auto"/>
              <w:right w:val="nil"/>
            </w:tcBorders>
            <w:shd w:val="clear" w:color="auto" w:fill="auto"/>
            <w:noWrap/>
            <w:vAlign w:val="center"/>
            <w:hideMark/>
          </w:tcPr>
          <w:p w14:paraId="144DCD62" w14:textId="211DB4B0" w:rsidR="00532585" w:rsidRPr="00215905" w:rsidRDefault="004E1100" w:rsidP="004E1100">
            <w:pPr>
              <w:spacing w:before="0" w:after="0"/>
              <w:jc w:val="left"/>
              <w:rPr>
                <w:rFonts w:eastAsia="Times New Roman" w:cs="Times New Roman"/>
                <w:szCs w:val="24"/>
                <w:lang w:eastAsia="en-GB"/>
              </w:rPr>
            </w:pPr>
            <w:r w:rsidRPr="00215905">
              <w:rPr>
                <w:rFonts w:eastAsia="Times New Roman" w:cs="Times New Roman"/>
                <w:szCs w:val="24"/>
                <w:lang w:eastAsia="en-GB"/>
              </w:rPr>
              <w:t>Operating profits</w:t>
            </w:r>
            <w:r w:rsidR="00532585" w:rsidRPr="00215905">
              <w:rPr>
                <w:rFonts w:eastAsia="Times New Roman" w:cs="Times New Roman"/>
                <w:szCs w:val="24"/>
                <w:lang w:eastAsia="en-GB"/>
              </w:rPr>
              <w:t xml:space="preserve"> </w:t>
            </w:r>
            <w:r w:rsidRPr="00215905">
              <w:rPr>
                <w:rFonts w:eastAsia="Times New Roman" w:cs="Times New Roman"/>
                <w:szCs w:val="24"/>
                <w:lang w:eastAsia="en-GB"/>
              </w:rPr>
              <w:t>divided by</w:t>
            </w:r>
            <w:r w:rsidR="00F22ED9" w:rsidRPr="00215905">
              <w:rPr>
                <w:rFonts w:eastAsia="Times New Roman" w:cs="Times New Roman"/>
                <w:szCs w:val="24"/>
                <w:lang w:eastAsia="en-GB"/>
              </w:rPr>
              <w:t xml:space="preserve"> </w:t>
            </w:r>
            <w:r w:rsidR="00532585" w:rsidRPr="00215905">
              <w:rPr>
                <w:rFonts w:eastAsia="Times New Roman" w:cs="Times New Roman"/>
                <w:szCs w:val="24"/>
                <w:lang w:eastAsia="en-GB"/>
              </w:rPr>
              <w:t>total asset</w:t>
            </w:r>
            <w:r w:rsidR="00F22ED9" w:rsidRPr="00215905">
              <w:rPr>
                <w:rFonts w:eastAsia="Times New Roman" w:cs="Times New Roman"/>
                <w:szCs w:val="24"/>
                <w:lang w:eastAsia="en-GB"/>
              </w:rPr>
              <w:t>.</w:t>
            </w:r>
          </w:p>
        </w:tc>
      </w:tr>
    </w:tbl>
    <w:p w14:paraId="27BD66F8" w14:textId="77777777" w:rsidR="00D0490F" w:rsidRPr="00C73325" w:rsidRDefault="00D0490F">
      <w:pPr>
        <w:spacing w:before="0" w:after="160" w:line="259" w:lineRule="auto"/>
        <w:jc w:val="left"/>
        <w:rPr>
          <w:b/>
        </w:rPr>
      </w:pPr>
    </w:p>
    <w:p w14:paraId="2E029746" w14:textId="77777777" w:rsidR="0012356E" w:rsidRPr="00C73325" w:rsidRDefault="0012356E">
      <w:pPr>
        <w:spacing w:before="0" w:after="160" w:line="259" w:lineRule="auto"/>
        <w:jc w:val="left"/>
        <w:rPr>
          <w:b/>
        </w:rPr>
      </w:pPr>
    </w:p>
    <w:p w14:paraId="34721798" w14:textId="77777777" w:rsidR="0012356E" w:rsidRPr="00C73325" w:rsidRDefault="0012356E">
      <w:pPr>
        <w:spacing w:before="0" w:after="160" w:line="259" w:lineRule="auto"/>
        <w:jc w:val="left"/>
        <w:rPr>
          <w:b/>
        </w:rPr>
      </w:pPr>
    </w:p>
    <w:p w14:paraId="180000C8" w14:textId="77777777" w:rsidR="0012356E" w:rsidRPr="00C73325" w:rsidRDefault="0012356E">
      <w:pPr>
        <w:spacing w:before="0" w:after="160" w:line="259" w:lineRule="auto"/>
        <w:jc w:val="left"/>
        <w:rPr>
          <w:b/>
        </w:rPr>
      </w:pPr>
    </w:p>
    <w:p w14:paraId="532AB4F9" w14:textId="77777777" w:rsidR="0012356E" w:rsidRPr="00C73325" w:rsidRDefault="0012356E">
      <w:pPr>
        <w:spacing w:before="0" w:after="160" w:line="259" w:lineRule="auto"/>
        <w:jc w:val="left"/>
        <w:rPr>
          <w:b/>
        </w:rPr>
      </w:pPr>
    </w:p>
    <w:p w14:paraId="286D96C4" w14:textId="77777777" w:rsidR="0012356E" w:rsidRPr="00C73325" w:rsidRDefault="0012356E">
      <w:pPr>
        <w:spacing w:before="0" w:after="160" w:line="259" w:lineRule="auto"/>
        <w:jc w:val="left"/>
        <w:rPr>
          <w:b/>
        </w:rPr>
      </w:pPr>
    </w:p>
    <w:p w14:paraId="0F3D9CAC" w14:textId="77777777" w:rsidR="0012356E" w:rsidRPr="00C73325" w:rsidRDefault="0012356E">
      <w:pPr>
        <w:spacing w:before="0" w:after="160" w:line="259" w:lineRule="auto"/>
        <w:jc w:val="left"/>
        <w:rPr>
          <w:b/>
        </w:rPr>
      </w:pPr>
    </w:p>
    <w:p w14:paraId="49B02031" w14:textId="77777777" w:rsidR="0012356E" w:rsidRPr="00C73325" w:rsidRDefault="0012356E">
      <w:pPr>
        <w:spacing w:before="0" w:after="160" w:line="259" w:lineRule="auto"/>
        <w:jc w:val="left"/>
        <w:rPr>
          <w:b/>
        </w:rPr>
      </w:pPr>
    </w:p>
    <w:p w14:paraId="04CFCA00" w14:textId="77777777" w:rsidR="0012356E" w:rsidRPr="00C73325" w:rsidRDefault="0012356E">
      <w:pPr>
        <w:spacing w:before="0" w:after="160" w:line="259" w:lineRule="auto"/>
        <w:jc w:val="left"/>
        <w:rPr>
          <w:b/>
        </w:rPr>
      </w:pPr>
    </w:p>
    <w:p w14:paraId="32851F71" w14:textId="77777777" w:rsidR="0012356E" w:rsidRPr="00C73325" w:rsidRDefault="0012356E">
      <w:pPr>
        <w:spacing w:before="0" w:after="160" w:line="259" w:lineRule="auto"/>
        <w:jc w:val="left"/>
        <w:rPr>
          <w:b/>
        </w:rPr>
      </w:pPr>
    </w:p>
    <w:p w14:paraId="4B5C73D6" w14:textId="77777777" w:rsidR="00287DC1" w:rsidRPr="00C73325" w:rsidRDefault="00287DC1">
      <w:pPr>
        <w:spacing w:before="0" w:after="160" w:line="259" w:lineRule="auto"/>
        <w:jc w:val="left"/>
        <w:rPr>
          <w:b/>
        </w:rPr>
      </w:pPr>
    </w:p>
    <w:p w14:paraId="381409CB" w14:textId="77777777" w:rsidR="0012356E" w:rsidRPr="00C73325" w:rsidRDefault="0012356E">
      <w:pPr>
        <w:spacing w:before="0" w:after="160" w:line="259" w:lineRule="auto"/>
        <w:jc w:val="left"/>
        <w:rPr>
          <w:b/>
        </w:rPr>
      </w:pPr>
    </w:p>
    <w:p w14:paraId="73C87F1E" w14:textId="77777777" w:rsidR="0012356E" w:rsidRPr="00C73325" w:rsidRDefault="0012356E">
      <w:pPr>
        <w:spacing w:before="0" w:after="160" w:line="259" w:lineRule="auto"/>
        <w:jc w:val="left"/>
        <w:rPr>
          <w:b/>
        </w:rPr>
      </w:pPr>
    </w:p>
    <w:p w14:paraId="2395ACE0" w14:textId="77777777" w:rsidR="000233F6" w:rsidRPr="00C73325" w:rsidRDefault="000233F6">
      <w:pPr>
        <w:spacing w:before="0" w:after="160" w:line="259" w:lineRule="auto"/>
        <w:jc w:val="left"/>
        <w:rPr>
          <w:b/>
        </w:rPr>
      </w:pPr>
    </w:p>
    <w:tbl>
      <w:tblPr>
        <w:tblW w:w="8892" w:type="dxa"/>
        <w:tblInd w:w="-318" w:type="dxa"/>
        <w:tblLook w:val="00A0" w:firstRow="1" w:lastRow="0" w:firstColumn="1" w:lastColumn="0" w:noHBand="0" w:noVBand="0"/>
      </w:tblPr>
      <w:tblGrid>
        <w:gridCol w:w="1986"/>
        <w:gridCol w:w="1842"/>
        <w:gridCol w:w="1316"/>
        <w:gridCol w:w="1176"/>
        <w:gridCol w:w="1276"/>
        <w:gridCol w:w="1296"/>
      </w:tblGrid>
      <w:tr w:rsidR="00B21BDA" w:rsidRPr="00C73325" w14:paraId="103AB467" w14:textId="77777777" w:rsidTr="001E0FB2">
        <w:trPr>
          <w:trHeight w:val="129"/>
        </w:trPr>
        <w:tc>
          <w:tcPr>
            <w:tcW w:w="8892" w:type="dxa"/>
            <w:gridSpan w:val="6"/>
            <w:noWrap/>
            <w:vAlign w:val="center"/>
          </w:tcPr>
          <w:p w14:paraId="4761017D" w14:textId="77777777" w:rsidR="00B21BDA" w:rsidRPr="00215905" w:rsidRDefault="00B21BDA" w:rsidP="001E0FB2">
            <w:pPr>
              <w:spacing w:after="0"/>
              <w:rPr>
                <w:rFonts w:asciiTheme="majorBidi" w:eastAsia="SimSun" w:hAnsiTheme="majorBidi" w:cstheme="majorBidi"/>
                <w:b/>
                <w:bCs/>
                <w:szCs w:val="24"/>
                <w:lang w:val="en-US" w:eastAsia="en-GB"/>
              </w:rPr>
            </w:pPr>
            <w:r w:rsidRPr="00215905">
              <w:rPr>
                <w:rFonts w:asciiTheme="majorBidi" w:eastAsia="SimSun" w:hAnsiTheme="majorBidi" w:cstheme="majorBidi"/>
                <w:b/>
                <w:bCs/>
                <w:szCs w:val="24"/>
                <w:lang w:val="en-US" w:eastAsia="en-GB"/>
              </w:rPr>
              <w:lastRenderedPageBreak/>
              <w:t>Table 2.</w:t>
            </w:r>
          </w:p>
          <w:p w14:paraId="6F8303EE" w14:textId="77777777" w:rsidR="00B21BDA" w:rsidRPr="00215905" w:rsidRDefault="00B21BDA" w:rsidP="00432B5B">
            <w:pPr>
              <w:spacing w:before="0" w:after="0"/>
              <w:jc w:val="left"/>
              <w:rPr>
                <w:rFonts w:asciiTheme="majorBidi" w:eastAsia="SimSun" w:hAnsiTheme="majorBidi" w:cstheme="majorBidi"/>
                <w:b/>
                <w:bCs/>
                <w:szCs w:val="24"/>
                <w:lang w:val="en-US" w:eastAsia="en-GB"/>
              </w:rPr>
            </w:pPr>
            <w:r w:rsidRPr="00215905">
              <w:rPr>
                <w:rFonts w:asciiTheme="majorBidi" w:eastAsia="SimSun" w:hAnsiTheme="majorBidi" w:cstheme="majorBidi"/>
                <w:szCs w:val="24"/>
                <w:lang w:val="en-US" w:eastAsia="en-GB"/>
              </w:rPr>
              <w:t xml:space="preserve">Summary descriptive statistics </w:t>
            </w:r>
          </w:p>
        </w:tc>
      </w:tr>
      <w:tr w:rsidR="00B21BDA" w:rsidRPr="00C73325" w14:paraId="6FDB5724" w14:textId="77777777" w:rsidTr="001E0FB2">
        <w:trPr>
          <w:trHeight w:val="129"/>
        </w:trPr>
        <w:tc>
          <w:tcPr>
            <w:tcW w:w="1986" w:type="dxa"/>
            <w:tcBorders>
              <w:top w:val="single" w:sz="12" w:space="0" w:color="auto"/>
            </w:tcBorders>
            <w:noWrap/>
            <w:vAlign w:val="center"/>
          </w:tcPr>
          <w:p w14:paraId="37279F79" w14:textId="77777777" w:rsidR="00B21BDA" w:rsidRPr="00215905" w:rsidRDefault="00B21BDA" w:rsidP="001E0FB2">
            <w:pPr>
              <w:spacing w:after="0"/>
              <w:rPr>
                <w:rFonts w:asciiTheme="majorBidi" w:eastAsia="SimSun" w:hAnsiTheme="majorBidi" w:cstheme="majorBidi"/>
                <w:b/>
                <w:bCs/>
                <w:szCs w:val="24"/>
                <w:lang w:val="en-US" w:eastAsia="en-GB"/>
              </w:rPr>
            </w:pPr>
          </w:p>
        </w:tc>
        <w:tc>
          <w:tcPr>
            <w:tcW w:w="1842" w:type="dxa"/>
            <w:tcBorders>
              <w:top w:val="single" w:sz="12" w:space="0" w:color="auto"/>
            </w:tcBorders>
            <w:vAlign w:val="center"/>
          </w:tcPr>
          <w:p w14:paraId="061DA673" w14:textId="77777777" w:rsidR="00B21BDA" w:rsidRPr="00215905" w:rsidRDefault="00B21BDA" w:rsidP="001E0FB2">
            <w:pPr>
              <w:spacing w:after="0"/>
              <w:jc w:val="right"/>
              <w:rPr>
                <w:rFonts w:asciiTheme="majorBidi" w:eastAsia="SimSun" w:hAnsiTheme="majorBidi" w:cstheme="majorBidi"/>
                <w:b/>
                <w:bCs/>
                <w:szCs w:val="24"/>
                <w:lang w:val="en-US" w:eastAsia="en-GB"/>
              </w:rPr>
            </w:pPr>
          </w:p>
        </w:tc>
        <w:tc>
          <w:tcPr>
            <w:tcW w:w="1316" w:type="dxa"/>
            <w:tcBorders>
              <w:top w:val="single" w:sz="12" w:space="0" w:color="auto"/>
            </w:tcBorders>
            <w:vAlign w:val="center"/>
          </w:tcPr>
          <w:p w14:paraId="3A8733D0" w14:textId="77777777" w:rsidR="00B21BDA" w:rsidRPr="00215905" w:rsidRDefault="00B21BDA" w:rsidP="001E0FB2">
            <w:pPr>
              <w:spacing w:after="0"/>
              <w:jc w:val="right"/>
              <w:rPr>
                <w:rFonts w:asciiTheme="majorBidi" w:eastAsia="SimSun" w:hAnsiTheme="majorBidi" w:cstheme="majorBidi"/>
                <w:b/>
                <w:bCs/>
                <w:szCs w:val="24"/>
                <w:lang w:val="en-US" w:eastAsia="en-GB"/>
              </w:rPr>
            </w:pPr>
          </w:p>
        </w:tc>
        <w:tc>
          <w:tcPr>
            <w:tcW w:w="1176" w:type="dxa"/>
            <w:tcBorders>
              <w:top w:val="single" w:sz="12" w:space="0" w:color="auto"/>
            </w:tcBorders>
            <w:vAlign w:val="center"/>
          </w:tcPr>
          <w:p w14:paraId="6FDB8894" w14:textId="77777777" w:rsidR="00B21BDA" w:rsidRPr="00215905" w:rsidRDefault="00B21BDA" w:rsidP="001E0FB2">
            <w:pPr>
              <w:spacing w:after="0"/>
              <w:jc w:val="right"/>
              <w:rPr>
                <w:rFonts w:asciiTheme="majorBidi" w:eastAsia="SimSun" w:hAnsiTheme="majorBidi" w:cstheme="majorBidi"/>
                <w:b/>
                <w:bCs/>
                <w:szCs w:val="24"/>
                <w:lang w:val="en-US" w:eastAsia="en-GB"/>
              </w:rPr>
            </w:pPr>
          </w:p>
        </w:tc>
        <w:tc>
          <w:tcPr>
            <w:tcW w:w="1276" w:type="dxa"/>
            <w:tcBorders>
              <w:top w:val="single" w:sz="12" w:space="0" w:color="auto"/>
            </w:tcBorders>
            <w:vAlign w:val="center"/>
          </w:tcPr>
          <w:p w14:paraId="541383AF" w14:textId="77777777" w:rsidR="00B21BDA" w:rsidRPr="00215905" w:rsidRDefault="00B21BDA" w:rsidP="001E0FB2">
            <w:pPr>
              <w:spacing w:after="0"/>
              <w:jc w:val="right"/>
              <w:rPr>
                <w:rFonts w:asciiTheme="majorBidi" w:eastAsia="SimSun" w:hAnsiTheme="majorBidi" w:cstheme="majorBidi"/>
                <w:b/>
                <w:bCs/>
                <w:szCs w:val="24"/>
                <w:lang w:val="en-US" w:eastAsia="en-GB"/>
              </w:rPr>
            </w:pPr>
          </w:p>
        </w:tc>
        <w:tc>
          <w:tcPr>
            <w:tcW w:w="1296" w:type="dxa"/>
            <w:tcBorders>
              <w:top w:val="single" w:sz="12" w:space="0" w:color="auto"/>
            </w:tcBorders>
            <w:vAlign w:val="center"/>
          </w:tcPr>
          <w:p w14:paraId="0BAFBC66" w14:textId="77777777" w:rsidR="00B21BDA" w:rsidRPr="00215905" w:rsidRDefault="00B21BDA" w:rsidP="001E0FB2">
            <w:pPr>
              <w:spacing w:after="0"/>
              <w:jc w:val="right"/>
              <w:rPr>
                <w:rFonts w:asciiTheme="majorBidi" w:eastAsia="SimSun" w:hAnsiTheme="majorBidi" w:cstheme="majorBidi"/>
                <w:b/>
                <w:bCs/>
                <w:szCs w:val="24"/>
                <w:lang w:val="en-US" w:eastAsia="en-GB"/>
              </w:rPr>
            </w:pPr>
          </w:p>
        </w:tc>
      </w:tr>
      <w:tr w:rsidR="00B21BDA" w:rsidRPr="00C73325" w14:paraId="355DDFD6" w14:textId="77777777" w:rsidTr="001E0FB2">
        <w:trPr>
          <w:trHeight w:val="129"/>
        </w:trPr>
        <w:tc>
          <w:tcPr>
            <w:tcW w:w="1986" w:type="dxa"/>
            <w:tcBorders>
              <w:bottom w:val="single" w:sz="2" w:space="0" w:color="auto"/>
            </w:tcBorders>
            <w:noWrap/>
            <w:vAlign w:val="center"/>
          </w:tcPr>
          <w:p w14:paraId="4CAAE1DC" w14:textId="77777777" w:rsidR="00B21BDA" w:rsidRPr="00215905" w:rsidRDefault="00B21BDA" w:rsidP="001E0FB2">
            <w:pPr>
              <w:spacing w:after="0"/>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Variables</w:t>
            </w:r>
          </w:p>
        </w:tc>
        <w:tc>
          <w:tcPr>
            <w:tcW w:w="1842" w:type="dxa"/>
            <w:tcBorders>
              <w:bottom w:val="single" w:sz="2" w:space="0" w:color="auto"/>
            </w:tcBorders>
            <w:vAlign w:val="center"/>
          </w:tcPr>
          <w:p w14:paraId="52A79069" w14:textId="77777777" w:rsidR="00B21BDA" w:rsidRPr="00215905" w:rsidRDefault="00B21BDA"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Mean</w:t>
            </w:r>
          </w:p>
        </w:tc>
        <w:tc>
          <w:tcPr>
            <w:tcW w:w="1316" w:type="dxa"/>
            <w:tcBorders>
              <w:bottom w:val="single" w:sz="2" w:space="0" w:color="auto"/>
            </w:tcBorders>
            <w:vAlign w:val="center"/>
          </w:tcPr>
          <w:p w14:paraId="015BDDAC" w14:textId="77777777" w:rsidR="00B21BDA" w:rsidRPr="00215905" w:rsidRDefault="00B21BDA"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Median</w:t>
            </w:r>
          </w:p>
        </w:tc>
        <w:tc>
          <w:tcPr>
            <w:tcW w:w="1176" w:type="dxa"/>
            <w:tcBorders>
              <w:bottom w:val="single" w:sz="2" w:space="0" w:color="auto"/>
            </w:tcBorders>
            <w:vAlign w:val="center"/>
          </w:tcPr>
          <w:p w14:paraId="3C53B493" w14:textId="77777777" w:rsidR="00B21BDA" w:rsidRPr="00215905" w:rsidRDefault="00B21BDA"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Std. Dev.</w:t>
            </w:r>
          </w:p>
        </w:tc>
        <w:tc>
          <w:tcPr>
            <w:tcW w:w="1276" w:type="dxa"/>
            <w:tcBorders>
              <w:bottom w:val="single" w:sz="2" w:space="0" w:color="auto"/>
            </w:tcBorders>
            <w:vAlign w:val="center"/>
          </w:tcPr>
          <w:p w14:paraId="724341DE" w14:textId="77777777" w:rsidR="00B21BDA" w:rsidRPr="00215905" w:rsidRDefault="00B21BDA"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Min</w:t>
            </w:r>
          </w:p>
        </w:tc>
        <w:tc>
          <w:tcPr>
            <w:tcW w:w="1296" w:type="dxa"/>
            <w:tcBorders>
              <w:bottom w:val="single" w:sz="2" w:space="0" w:color="auto"/>
            </w:tcBorders>
            <w:vAlign w:val="center"/>
          </w:tcPr>
          <w:p w14:paraId="1942DE7B" w14:textId="77777777" w:rsidR="00B21BDA" w:rsidRPr="00215905" w:rsidRDefault="00B21BDA"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Max</w:t>
            </w:r>
          </w:p>
        </w:tc>
      </w:tr>
      <w:tr w:rsidR="00B21BDA" w:rsidRPr="00C73325" w14:paraId="2ED36543" w14:textId="77777777" w:rsidTr="001E0FB2">
        <w:trPr>
          <w:trHeight w:val="409"/>
        </w:trPr>
        <w:tc>
          <w:tcPr>
            <w:tcW w:w="3828" w:type="dxa"/>
            <w:gridSpan w:val="2"/>
          </w:tcPr>
          <w:p w14:paraId="6D60F5B2" w14:textId="5EB15EE3" w:rsidR="00B21BDA" w:rsidRPr="00215905" w:rsidRDefault="00B21BDA" w:rsidP="001E0FB2">
            <w:pPr>
              <w:spacing w:after="0"/>
              <w:ind w:left="-43" w:firstLine="77"/>
              <w:jc w:val="left"/>
              <w:rPr>
                <w:rFonts w:asciiTheme="majorBidi" w:eastAsia="SimSun" w:hAnsiTheme="majorBidi" w:cstheme="majorBidi"/>
                <w:szCs w:val="24"/>
                <w:lang w:val="en-US" w:eastAsia="en-GB"/>
              </w:rPr>
            </w:pPr>
            <w:r w:rsidRPr="00C73325">
              <w:rPr>
                <w:rFonts w:asciiTheme="majorBidi" w:eastAsia="SimSun" w:hAnsiTheme="majorBidi" w:cstheme="majorBidi"/>
                <w:i/>
                <w:iCs/>
                <w:szCs w:val="24"/>
                <w:lang w:val="en-US" w:eastAsia="zh-CN"/>
              </w:rPr>
              <w:t>Panel A: Dividend pay</w:t>
            </w:r>
            <w:r w:rsidR="009966D6" w:rsidRPr="00C73325">
              <w:rPr>
                <w:rFonts w:asciiTheme="majorBidi" w:eastAsia="SimSun" w:hAnsiTheme="majorBidi" w:cstheme="majorBidi"/>
                <w:i/>
                <w:iCs/>
                <w:szCs w:val="24"/>
                <w:lang w:val="en-US" w:eastAsia="zh-CN"/>
              </w:rPr>
              <w:t>-</w:t>
            </w:r>
            <w:r w:rsidRPr="00C73325">
              <w:rPr>
                <w:rFonts w:asciiTheme="majorBidi" w:eastAsia="SimSun" w:hAnsiTheme="majorBidi" w:cstheme="majorBidi"/>
                <w:i/>
                <w:iCs/>
                <w:szCs w:val="24"/>
                <w:lang w:val="en-US" w:eastAsia="zh-CN"/>
              </w:rPr>
              <w:t>out rate</w:t>
            </w:r>
          </w:p>
        </w:tc>
        <w:tc>
          <w:tcPr>
            <w:tcW w:w="1316" w:type="dxa"/>
            <w:noWrap/>
            <w:vAlign w:val="bottom"/>
          </w:tcPr>
          <w:p w14:paraId="3BBEAF84" w14:textId="77777777" w:rsidR="00B21BDA" w:rsidRPr="00215905" w:rsidRDefault="00B21BDA" w:rsidP="001E0FB2">
            <w:pPr>
              <w:spacing w:after="0"/>
              <w:jc w:val="right"/>
              <w:rPr>
                <w:rFonts w:asciiTheme="majorBidi" w:eastAsia="SimSun" w:hAnsiTheme="majorBidi" w:cstheme="majorBidi"/>
                <w:szCs w:val="24"/>
                <w:lang w:val="en-US" w:eastAsia="en-GB"/>
              </w:rPr>
            </w:pPr>
          </w:p>
        </w:tc>
        <w:tc>
          <w:tcPr>
            <w:tcW w:w="1176" w:type="dxa"/>
            <w:noWrap/>
            <w:vAlign w:val="bottom"/>
          </w:tcPr>
          <w:p w14:paraId="1D602C8D" w14:textId="77777777" w:rsidR="00B21BDA" w:rsidRPr="00215905" w:rsidRDefault="00B21BDA" w:rsidP="001E0FB2">
            <w:pPr>
              <w:spacing w:after="0"/>
              <w:jc w:val="right"/>
              <w:rPr>
                <w:rFonts w:asciiTheme="majorBidi" w:eastAsia="SimSun" w:hAnsiTheme="majorBidi" w:cstheme="majorBidi"/>
                <w:szCs w:val="24"/>
                <w:lang w:val="en-US" w:eastAsia="en-GB"/>
              </w:rPr>
            </w:pPr>
          </w:p>
        </w:tc>
        <w:tc>
          <w:tcPr>
            <w:tcW w:w="1276" w:type="dxa"/>
            <w:noWrap/>
            <w:vAlign w:val="bottom"/>
          </w:tcPr>
          <w:p w14:paraId="0D99EFA6" w14:textId="77777777" w:rsidR="00B21BDA" w:rsidRPr="00215905" w:rsidRDefault="00B21BDA" w:rsidP="001E0FB2">
            <w:pPr>
              <w:spacing w:after="0"/>
              <w:jc w:val="right"/>
              <w:rPr>
                <w:rFonts w:asciiTheme="majorBidi" w:eastAsia="SimSun" w:hAnsiTheme="majorBidi" w:cstheme="majorBidi"/>
                <w:szCs w:val="24"/>
                <w:lang w:val="en-US" w:eastAsia="en-GB"/>
              </w:rPr>
            </w:pPr>
          </w:p>
        </w:tc>
        <w:tc>
          <w:tcPr>
            <w:tcW w:w="1296" w:type="dxa"/>
            <w:noWrap/>
            <w:vAlign w:val="bottom"/>
          </w:tcPr>
          <w:p w14:paraId="658B5F49" w14:textId="77777777" w:rsidR="00B21BDA" w:rsidRPr="00215905" w:rsidRDefault="00B21BDA" w:rsidP="001E0FB2">
            <w:pPr>
              <w:spacing w:after="0"/>
              <w:jc w:val="right"/>
              <w:rPr>
                <w:rFonts w:asciiTheme="majorBidi" w:eastAsia="SimSun" w:hAnsiTheme="majorBidi" w:cstheme="majorBidi"/>
                <w:szCs w:val="24"/>
                <w:lang w:val="en-US" w:eastAsia="en-GB"/>
              </w:rPr>
            </w:pPr>
          </w:p>
        </w:tc>
      </w:tr>
      <w:tr w:rsidR="00B21BDA" w:rsidRPr="00C73325" w14:paraId="58AD646C" w14:textId="77777777" w:rsidTr="001E0FB2">
        <w:trPr>
          <w:trHeight w:val="433"/>
        </w:trPr>
        <w:tc>
          <w:tcPr>
            <w:tcW w:w="1986" w:type="dxa"/>
          </w:tcPr>
          <w:p w14:paraId="7EE08AD6" w14:textId="036F18F6" w:rsidR="00B21BDA" w:rsidRPr="00C73325" w:rsidRDefault="00B21BDA" w:rsidP="001E0FB2">
            <w:pPr>
              <w:spacing w:after="0"/>
              <w:rPr>
                <w:rFonts w:asciiTheme="majorBidi" w:eastAsia="SimSun" w:hAnsiTheme="majorBidi" w:cstheme="majorBidi"/>
                <w:szCs w:val="24"/>
                <w:lang w:val="en-US" w:eastAsia="zh-CN"/>
              </w:rPr>
            </w:pPr>
            <w:r w:rsidRPr="00C73325">
              <w:rPr>
                <w:rFonts w:asciiTheme="majorBidi" w:eastAsia="SimSun" w:hAnsiTheme="majorBidi" w:cstheme="majorBidi"/>
                <w:szCs w:val="24"/>
                <w:lang w:val="en-US" w:eastAsia="zh-CN"/>
              </w:rPr>
              <w:t xml:space="preserve">  DP</w:t>
            </w:r>
            <w:r w:rsidR="00DD3709" w:rsidRPr="00C73325">
              <w:rPr>
                <w:rFonts w:asciiTheme="majorBidi" w:eastAsia="SimSun" w:hAnsiTheme="majorBidi" w:cstheme="majorBidi"/>
                <w:szCs w:val="24"/>
                <w:lang w:val="en-US" w:eastAsia="zh-CN"/>
              </w:rPr>
              <w:t>1</w:t>
            </w:r>
          </w:p>
        </w:tc>
        <w:tc>
          <w:tcPr>
            <w:tcW w:w="1842" w:type="dxa"/>
            <w:noWrap/>
            <w:vAlign w:val="bottom"/>
          </w:tcPr>
          <w:p w14:paraId="073B293C" w14:textId="77777777" w:rsidR="00B21BDA" w:rsidRPr="00215905" w:rsidRDefault="00B21BDA"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0.31</w:t>
            </w:r>
          </w:p>
        </w:tc>
        <w:tc>
          <w:tcPr>
            <w:tcW w:w="1316" w:type="dxa"/>
            <w:noWrap/>
            <w:vAlign w:val="bottom"/>
          </w:tcPr>
          <w:p w14:paraId="03A98F15" w14:textId="77777777" w:rsidR="00B21BDA" w:rsidRPr="00215905" w:rsidRDefault="00B21BDA"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0.15</w:t>
            </w:r>
          </w:p>
        </w:tc>
        <w:tc>
          <w:tcPr>
            <w:tcW w:w="1176" w:type="dxa"/>
            <w:noWrap/>
            <w:vAlign w:val="bottom"/>
          </w:tcPr>
          <w:p w14:paraId="1AE2D985" w14:textId="77777777" w:rsidR="00B21BDA" w:rsidRPr="00215905" w:rsidRDefault="00B21BDA"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0.38</w:t>
            </w:r>
          </w:p>
        </w:tc>
        <w:tc>
          <w:tcPr>
            <w:tcW w:w="1276" w:type="dxa"/>
            <w:noWrap/>
            <w:vAlign w:val="bottom"/>
          </w:tcPr>
          <w:p w14:paraId="0BBF8256" w14:textId="77777777" w:rsidR="00B21BDA" w:rsidRPr="00215905" w:rsidRDefault="00B21BDA"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0.004</w:t>
            </w:r>
          </w:p>
        </w:tc>
        <w:tc>
          <w:tcPr>
            <w:tcW w:w="1296" w:type="dxa"/>
            <w:noWrap/>
            <w:vAlign w:val="bottom"/>
          </w:tcPr>
          <w:p w14:paraId="4CF7C780" w14:textId="77777777" w:rsidR="00B21BDA" w:rsidRPr="00215905" w:rsidRDefault="00B21BDA"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1.96</w:t>
            </w:r>
          </w:p>
        </w:tc>
      </w:tr>
      <w:tr w:rsidR="00DD3709" w:rsidRPr="00C73325" w14:paraId="794FDFA6" w14:textId="77777777" w:rsidTr="001E0FB2">
        <w:trPr>
          <w:trHeight w:val="433"/>
        </w:trPr>
        <w:tc>
          <w:tcPr>
            <w:tcW w:w="1986" w:type="dxa"/>
          </w:tcPr>
          <w:p w14:paraId="53C69B87" w14:textId="57BC2DB2" w:rsidR="00DD3709" w:rsidRPr="00C73325" w:rsidRDefault="00DD3709" w:rsidP="001E0FB2">
            <w:pPr>
              <w:spacing w:after="0"/>
              <w:rPr>
                <w:rFonts w:asciiTheme="majorBidi" w:eastAsia="SimSun" w:hAnsiTheme="majorBidi" w:cstheme="majorBidi"/>
                <w:szCs w:val="24"/>
                <w:lang w:val="en-US" w:eastAsia="zh-CN"/>
              </w:rPr>
            </w:pPr>
            <w:r w:rsidRPr="00C73325">
              <w:rPr>
                <w:rFonts w:asciiTheme="majorBidi" w:eastAsia="SimSun" w:hAnsiTheme="majorBidi" w:cstheme="majorBidi"/>
                <w:szCs w:val="24"/>
                <w:lang w:val="en-US" w:eastAsia="zh-CN"/>
              </w:rPr>
              <w:t xml:space="preserve">  DP2</w:t>
            </w:r>
          </w:p>
        </w:tc>
        <w:tc>
          <w:tcPr>
            <w:tcW w:w="1842" w:type="dxa"/>
            <w:noWrap/>
            <w:vAlign w:val="bottom"/>
          </w:tcPr>
          <w:p w14:paraId="05495D24" w14:textId="0DAD2F2E" w:rsidR="00DD3709" w:rsidRPr="00215905" w:rsidRDefault="00DD3709"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0.021</w:t>
            </w:r>
          </w:p>
        </w:tc>
        <w:tc>
          <w:tcPr>
            <w:tcW w:w="1316" w:type="dxa"/>
            <w:noWrap/>
            <w:vAlign w:val="bottom"/>
          </w:tcPr>
          <w:p w14:paraId="6A86F269" w14:textId="7C62934B" w:rsidR="00DD3709" w:rsidRPr="00215905" w:rsidRDefault="00DD3709"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0.01</w:t>
            </w:r>
          </w:p>
        </w:tc>
        <w:tc>
          <w:tcPr>
            <w:tcW w:w="1176" w:type="dxa"/>
            <w:noWrap/>
            <w:vAlign w:val="bottom"/>
          </w:tcPr>
          <w:p w14:paraId="560E9929" w14:textId="48D9A1E5" w:rsidR="00DD3709" w:rsidRPr="00215905" w:rsidRDefault="00DD3709"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0.024</w:t>
            </w:r>
          </w:p>
        </w:tc>
        <w:tc>
          <w:tcPr>
            <w:tcW w:w="1276" w:type="dxa"/>
            <w:noWrap/>
            <w:vAlign w:val="bottom"/>
          </w:tcPr>
          <w:p w14:paraId="09168CC5" w14:textId="65D45706" w:rsidR="00DD3709" w:rsidRPr="00215905" w:rsidRDefault="00DD3709"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0.00</w:t>
            </w:r>
          </w:p>
        </w:tc>
        <w:tc>
          <w:tcPr>
            <w:tcW w:w="1296" w:type="dxa"/>
            <w:noWrap/>
            <w:vAlign w:val="bottom"/>
          </w:tcPr>
          <w:p w14:paraId="412310FF" w14:textId="60F4BF71" w:rsidR="00DD3709" w:rsidRPr="00215905" w:rsidRDefault="00DD3709"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0.12</w:t>
            </w:r>
          </w:p>
        </w:tc>
      </w:tr>
      <w:tr w:rsidR="00B21BDA" w:rsidRPr="00C73325" w14:paraId="04118642" w14:textId="77777777" w:rsidTr="001E0FB2">
        <w:trPr>
          <w:trHeight w:val="424"/>
        </w:trPr>
        <w:tc>
          <w:tcPr>
            <w:tcW w:w="8892" w:type="dxa"/>
            <w:gridSpan w:val="6"/>
          </w:tcPr>
          <w:p w14:paraId="0EF264CB" w14:textId="77777777" w:rsidR="00B21BDA" w:rsidRPr="00C73325" w:rsidRDefault="00B21BDA" w:rsidP="001E0FB2">
            <w:pPr>
              <w:spacing w:after="0"/>
              <w:ind w:left="34"/>
              <w:rPr>
                <w:rFonts w:asciiTheme="majorBidi" w:eastAsia="SimSun" w:hAnsiTheme="majorBidi" w:cstheme="majorBidi"/>
                <w:i/>
                <w:iCs/>
                <w:szCs w:val="24"/>
                <w:lang w:val="en-US" w:eastAsia="zh-CN"/>
              </w:rPr>
            </w:pPr>
            <w:r w:rsidRPr="00C73325">
              <w:rPr>
                <w:rFonts w:asciiTheme="majorBidi" w:eastAsia="SimSun" w:hAnsiTheme="majorBidi" w:cstheme="majorBidi"/>
                <w:szCs w:val="24"/>
                <w:lang w:val="en-US" w:eastAsia="zh-CN"/>
              </w:rPr>
              <w:t xml:space="preserve"> </w:t>
            </w:r>
            <w:r w:rsidRPr="00C73325">
              <w:rPr>
                <w:rFonts w:asciiTheme="majorBidi" w:eastAsia="SimSun" w:hAnsiTheme="majorBidi" w:cstheme="majorBidi"/>
                <w:i/>
                <w:iCs/>
                <w:szCs w:val="24"/>
                <w:lang w:val="en-US" w:eastAsia="zh-CN"/>
              </w:rPr>
              <w:t>Panel B: Corporate governance</w:t>
            </w:r>
          </w:p>
        </w:tc>
      </w:tr>
      <w:tr w:rsidR="00B21BDA" w:rsidRPr="00C73325" w14:paraId="37413471" w14:textId="77777777" w:rsidTr="001E0FB2">
        <w:trPr>
          <w:trHeight w:val="105"/>
        </w:trPr>
        <w:tc>
          <w:tcPr>
            <w:tcW w:w="1986" w:type="dxa"/>
          </w:tcPr>
          <w:p w14:paraId="2F584288" w14:textId="77777777" w:rsidR="00B21BDA" w:rsidRPr="00C73325" w:rsidRDefault="00B21BDA" w:rsidP="001E0FB2">
            <w:pPr>
              <w:spacing w:after="0"/>
              <w:ind w:left="34"/>
              <w:rPr>
                <w:rFonts w:asciiTheme="majorBidi" w:eastAsia="SimSun" w:hAnsiTheme="majorBidi" w:cstheme="majorBidi"/>
                <w:szCs w:val="24"/>
                <w:lang w:val="en-US" w:eastAsia="zh-CN"/>
              </w:rPr>
            </w:pPr>
            <w:r w:rsidRPr="00C73325">
              <w:rPr>
                <w:rFonts w:asciiTheme="majorBidi" w:eastAsia="SimSun" w:hAnsiTheme="majorBidi" w:cstheme="majorBidi"/>
                <w:szCs w:val="24"/>
                <w:lang w:val="en-US" w:eastAsia="zh-CN"/>
              </w:rPr>
              <w:t xml:space="preserve"> BS</w:t>
            </w:r>
          </w:p>
        </w:tc>
        <w:tc>
          <w:tcPr>
            <w:tcW w:w="1842" w:type="dxa"/>
            <w:noWrap/>
            <w:vAlign w:val="bottom"/>
          </w:tcPr>
          <w:p w14:paraId="67FD29DB" w14:textId="2B0C5614"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8.27</w:t>
            </w:r>
          </w:p>
        </w:tc>
        <w:tc>
          <w:tcPr>
            <w:tcW w:w="1316" w:type="dxa"/>
            <w:noWrap/>
            <w:vAlign w:val="bottom"/>
          </w:tcPr>
          <w:p w14:paraId="763B9737" w14:textId="134F04D3"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8.00</w:t>
            </w:r>
          </w:p>
        </w:tc>
        <w:tc>
          <w:tcPr>
            <w:tcW w:w="1176" w:type="dxa"/>
            <w:noWrap/>
            <w:vAlign w:val="bottom"/>
          </w:tcPr>
          <w:p w14:paraId="6724FEF5" w14:textId="5978D809"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2.65</w:t>
            </w:r>
          </w:p>
        </w:tc>
        <w:tc>
          <w:tcPr>
            <w:tcW w:w="1276" w:type="dxa"/>
            <w:noWrap/>
            <w:vAlign w:val="bottom"/>
          </w:tcPr>
          <w:p w14:paraId="1155DF17" w14:textId="79B380EA"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4.00</w:t>
            </w:r>
          </w:p>
        </w:tc>
        <w:tc>
          <w:tcPr>
            <w:tcW w:w="1296" w:type="dxa"/>
            <w:noWrap/>
            <w:vAlign w:val="bottom"/>
          </w:tcPr>
          <w:p w14:paraId="265C1FEB" w14:textId="313E7944"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15.00</w:t>
            </w:r>
          </w:p>
        </w:tc>
      </w:tr>
      <w:tr w:rsidR="00B21BDA" w:rsidRPr="00C73325" w14:paraId="6898C254" w14:textId="77777777" w:rsidTr="001E0FB2">
        <w:trPr>
          <w:trHeight w:val="105"/>
        </w:trPr>
        <w:tc>
          <w:tcPr>
            <w:tcW w:w="1986" w:type="dxa"/>
          </w:tcPr>
          <w:p w14:paraId="5B85A41F" w14:textId="77777777" w:rsidR="00B21BDA" w:rsidRPr="00C73325" w:rsidRDefault="00B21BDA" w:rsidP="001E0FB2">
            <w:pPr>
              <w:spacing w:after="0"/>
              <w:ind w:left="34"/>
              <w:rPr>
                <w:rFonts w:asciiTheme="majorBidi" w:eastAsia="SimSun" w:hAnsiTheme="majorBidi" w:cstheme="majorBidi"/>
                <w:szCs w:val="24"/>
                <w:lang w:val="en-US" w:eastAsia="zh-CN"/>
              </w:rPr>
            </w:pPr>
            <w:r w:rsidRPr="00C73325">
              <w:rPr>
                <w:rFonts w:asciiTheme="majorBidi" w:eastAsia="SimSun" w:hAnsiTheme="majorBidi" w:cstheme="majorBidi"/>
                <w:szCs w:val="24"/>
                <w:lang w:val="en-US" w:eastAsia="zh-CN"/>
              </w:rPr>
              <w:t xml:space="preserve"> BI (%)</w:t>
            </w:r>
          </w:p>
        </w:tc>
        <w:tc>
          <w:tcPr>
            <w:tcW w:w="1842" w:type="dxa"/>
            <w:noWrap/>
            <w:vAlign w:val="bottom"/>
          </w:tcPr>
          <w:p w14:paraId="30F627A2" w14:textId="5DC4C2B4"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0.53</w:t>
            </w:r>
          </w:p>
        </w:tc>
        <w:tc>
          <w:tcPr>
            <w:tcW w:w="1316" w:type="dxa"/>
            <w:noWrap/>
            <w:vAlign w:val="bottom"/>
          </w:tcPr>
          <w:p w14:paraId="6E5B3AAE" w14:textId="606E67D4"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0.55</w:t>
            </w:r>
          </w:p>
        </w:tc>
        <w:tc>
          <w:tcPr>
            <w:tcW w:w="1176" w:type="dxa"/>
            <w:noWrap/>
            <w:vAlign w:val="bottom"/>
          </w:tcPr>
          <w:p w14:paraId="3CE71455" w14:textId="06921433"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0.11</w:t>
            </w:r>
          </w:p>
        </w:tc>
        <w:tc>
          <w:tcPr>
            <w:tcW w:w="1276" w:type="dxa"/>
            <w:noWrap/>
            <w:vAlign w:val="bottom"/>
          </w:tcPr>
          <w:p w14:paraId="0803C2BF" w14:textId="2D1D9663"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0.20</w:t>
            </w:r>
          </w:p>
        </w:tc>
        <w:tc>
          <w:tcPr>
            <w:tcW w:w="1296" w:type="dxa"/>
            <w:noWrap/>
            <w:vAlign w:val="bottom"/>
          </w:tcPr>
          <w:p w14:paraId="1352BFE7" w14:textId="631F0DBC"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0.80</w:t>
            </w:r>
          </w:p>
        </w:tc>
      </w:tr>
      <w:tr w:rsidR="00B21BDA" w:rsidRPr="00C73325" w14:paraId="654F1226" w14:textId="77777777" w:rsidTr="001E0FB2">
        <w:trPr>
          <w:trHeight w:val="105"/>
        </w:trPr>
        <w:tc>
          <w:tcPr>
            <w:tcW w:w="1986" w:type="dxa"/>
          </w:tcPr>
          <w:p w14:paraId="4764004F" w14:textId="77777777" w:rsidR="00B21BDA" w:rsidRPr="00C73325" w:rsidRDefault="00B21BDA" w:rsidP="001E0FB2">
            <w:pPr>
              <w:spacing w:after="0"/>
              <w:ind w:left="34"/>
              <w:rPr>
                <w:rFonts w:asciiTheme="majorBidi" w:eastAsia="SimSun" w:hAnsiTheme="majorBidi" w:cstheme="majorBidi"/>
                <w:szCs w:val="24"/>
                <w:lang w:val="en-US" w:eastAsia="zh-CN"/>
              </w:rPr>
            </w:pPr>
            <w:r w:rsidRPr="00C73325">
              <w:rPr>
                <w:rFonts w:asciiTheme="majorBidi" w:eastAsia="SimSun" w:hAnsiTheme="majorBidi" w:cstheme="majorBidi"/>
                <w:szCs w:val="24"/>
                <w:lang w:val="en-US" w:eastAsia="zh-CN"/>
              </w:rPr>
              <w:t xml:space="preserve"> CEO</w:t>
            </w:r>
          </w:p>
        </w:tc>
        <w:tc>
          <w:tcPr>
            <w:tcW w:w="1842" w:type="dxa"/>
            <w:noWrap/>
            <w:vAlign w:val="bottom"/>
          </w:tcPr>
          <w:p w14:paraId="626CB0D6" w14:textId="395EC0DC"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0.92</w:t>
            </w:r>
          </w:p>
        </w:tc>
        <w:tc>
          <w:tcPr>
            <w:tcW w:w="1316" w:type="dxa"/>
            <w:noWrap/>
            <w:vAlign w:val="bottom"/>
          </w:tcPr>
          <w:p w14:paraId="7EC8EF49" w14:textId="0319906B"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1.00</w:t>
            </w:r>
          </w:p>
        </w:tc>
        <w:tc>
          <w:tcPr>
            <w:tcW w:w="1176" w:type="dxa"/>
            <w:noWrap/>
            <w:vAlign w:val="bottom"/>
          </w:tcPr>
          <w:p w14:paraId="7D90B2C9" w14:textId="06C5F9D8"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0.27</w:t>
            </w:r>
          </w:p>
        </w:tc>
        <w:tc>
          <w:tcPr>
            <w:tcW w:w="1276" w:type="dxa"/>
            <w:noWrap/>
            <w:vAlign w:val="bottom"/>
          </w:tcPr>
          <w:p w14:paraId="3327BF2F" w14:textId="740E83F2"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0.00</w:t>
            </w:r>
          </w:p>
        </w:tc>
        <w:tc>
          <w:tcPr>
            <w:tcW w:w="1296" w:type="dxa"/>
            <w:noWrap/>
            <w:vAlign w:val="bottom"/>
          </w:tcPr>
          <w:p w14:paraId="16DE32C9" w14:textId="6BE8DFC0"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1.00</w:t>
            </w:r>
          </w:p>
        </w:tc>
      </w:tr>
      <w:tr w:rsidR="00B21BDA" w:rsidRPr="00C73325" w14:paraId="5C884B99" w14:textId="77777777" w:rsidTr="001E0FB2">
        <w:trPr>
          <w:trHeight w:val="231"/>
        </w:trPr>
        <w:tc>
          <w:tcPr>
            <w:tcW w:w="1986" w:type="dxa"/>
          </w:tcPr>
          <w:p w14:paraId="2578206F" w14:textId="77777777" w:rsidR="00B21BDA" w:rsidRPr="00C73325" w:rsidRDefault="00B21BDA" w:rsidP="001E0FB2">
            <w:pPr>
              <w:spacing w:after="0"/>
              <w:ind w:right="-173"/>
              <w:rPr>
                <w:rFonts w:asciiTheme="majorBidi" w:eastAsia="SimSun" w:hAnsiTheme="majorBidi" w:cstheme="majorBidi"/>
                <w:szCs w:val="24"/>
                <w:lang w:val="en-US" w:eastAsia="zh-CN"/>
              </w:rPr>
            </w:pPr>
            <w:r w:rsidRPr="00C73325">
              <w:rPr>
                <w:rFonts w:asciiTheme="majorBidi" w:eastAsia="SimSun" w:hAnsiTheme="majorBidi" w:cstheme="majorBidi"/>
                <w:szCs w:val="24"/>
                <w:lang w:val="en-US" w:eastAsia="zh-CN"/>
              </w:rPr>
              <w:t xml:space="preserve">  BM</w:t>
            </w:r>
          </w:p>
        </w:tc>
        <w:tc>
          <w:tcPr>
            <w:tcW w:w="1842" w:type="dxa"/>
            <w:noWrap/>
            <w:vAlign w:val="bottom"/>
          </w:tcPr>
          <w:p w14:paraId="0C8119FE" w14:textId="5FDCBB9D"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8.70</w:t>
            </w:r>
          </w:p>
        </w:tc>
        <w:tc>
          <w:tcPr>
            <w:tcW w:w="1316" w:type="dxa"/>
            <w:noWrap/>
            <w:vAlign w:val="bottom"/>
          </w:tcPr>
          <w:p w14:paraId="4FCEECAE" w14:textId="32166169"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9.00</w:t>
            </w:r>
          </w:p>
        </w:tc>
        <w:tc>
          <w:tcPr>
            <w:tcW w:w="1176" w:type="dxa"/>
            <w:noWrap/>
            <w:vAlign w:val="bottom"/>
          </w:tcPr>
          <w:p w14:paraId="505AAD05" w14:textId="1FA3B7C9"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2.29</w:t>
            </w:r>
          </w:p>
        </w:tc>
        <w:tc>
          <w:tcPr>
            <w:tcW w:w="1276" w:type="dxa"/>
            <w:noWrap/>
            <w:vAlign w:val="bottom"/>
          </w:tcPr>
          <w:p w14:paraId="41AC828A" w14:textId="66CE6E29"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4.00</w:t>
            </w:r>
          </w:p>
        </w:tc>
        <w:tc>
          <w:tcPr>
            <w:tcW w:w="1296" w:type="dxa"/>
            <w:noWrap/>
            <w:vAlign w:val="bottom"/>
          </w:tcPr>
          <w:p w14:paraId="1218CD4A" w14:textId="18651A6D"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16.00</w:t>
            </w:r>
          </w:p>
        </w:tc>
      </w:tr>
      <w:tr w:rsidR="00B21BDA" w:rsidRPr="00C73325" w14:paraId="2F443CDD" w14:textId="77777777" w:rsidTr="001E0FB2">
        <w:trPr>
          <w:trHeight w:val="231"/>
        </w:trPr>
        <w:tc>
          <w:tcPr>
            <w:tcW w:w="1986" w:type="dxa"/>
          </w:tcPr>
          <w:p w14:paraId="73C923DD" w14:textId="77777777" w:rsidR="00B21BDA" w:rsidRPr="00C73325" w:rsidRDefault="00B21BDA" w:rsidP="001E0FB2">
            <w:pPr>
              <w:spacing w:after="0"/>
              <w:rPr>
                <w:rFonts w:asciiTheme="majorBidi" w:eastAsia="SimSun" w:hAnsiTheme="majorBidi" w:cstheme="majorBidi"/>
                <w:szCs w:val="24"/>
                <w:lang w:val="en-US" w:eastAsia="zh-CN"/>
              </w:rPr>
            </w:pPr>
            <w:r w:rsidRPr="00C73325">
              <w:rPr>
                <w:rFonts w:asciiTheme="majorBidi" w:eastAsia="SimSun" w:hAnsiTheme="majorBidi" w:cstheme="majorBidi"/>
                <w:szCs w:val="24"/>
                <w:lang w:val="en-US" w:eastAsia="zh-CN"/>
              </w:rPr>
              <w:t xml:space="preserve">  BG (%)</w:t>
            </w:r>
          </w:p>
        </w:tc>
        <w:tc>
          <w:tcPr>
            <w:tcW w:w="1842" w:type="dxa"/>
            <w:noWrap/>
            <w:vAlign w:val="bottom"/>
          </w:tcPr>
          <w:p w14:paraId="0671DC16" w14:textId="44BEEADD"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0.12</w:t>
            </w:r>
          </w:p>
        </w:tc>
        <w:tc>
          <w:tcPr>
            <w:tcW w:w="1316" w:type="dxa"/>
            <w:noWrap/>
            <w:vAlign w:val="bottom"/>
          </w:tcPr>
          <w:p w14:paraId="5914E2C6" w14:textId="6B44ECDC"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0.11</w:t>
            </w:r>
          </w:p>
        </w:tc>
        <w:tc>
          <w:tcPr>
            <w:tcW w:w="1176" w:type="dxa"/>
            <w:noWrap/>
            <w:vAlign w:val="bottom"/>
          </w:tcPr>
          <w:p w14:paraId="114CBB45" w14:textId="4E3FA630"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0.11</w:t>
            </w:r>
          </w:p>
        </w:tc>
        <w:tc>
          <w:tcPr>
            <w:tcW w:w="1276" w:type="dxa"/>
            <w:noWrap/>
            <w:vAlign w:val="bottom"/>
          </w:tcPr>
          <w:p w14:paraId="47B90AC7" w14:textId="7AD7596C"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0.00</w:t>
            </w:r>
          </w:p>
        </w:tc>
        <w:tc>
          <w:tcPr>
            <w:tcW w:w="1296" w:type="dxa"/>
            <w:noWrap/>
            <w:vAlign w:val="bottom"/>
          </w:tcPr>
          <w:p w14:paraId="20DF3D6D" w14:textId="328E8A35"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0.40</w:t>
            </w:r>
          </w:p>
        </w:tc>
      </w:tr>
      <w:tr w:rsidR="00B21BDA" w:rsidRPr="00C73325" w14:paraId="13532AA3" w14:textId="77777777" w:rsidTr="001E0FB2">
        <w:trPr>
          <w:trHeight w:val="231"/>
        </w:trPr>
        <w:tc>
          <w:tcPr>
            <w:tcW w:w="1986" w:type="dxa"/>
          </w:tcPr>
          <w:p w14:paraId="67DFC1F3" w14:textId="77777777" w:rsidR="00B21BDA" w:rsidRPr="00C73325" w:rsidRDefault="00B21BDA" w:rsidP="001E0FB2">
            <w:pPr>
              <w:spacing w:after="0"/>
              <w:ind w:left="34"/>
              <w:rPr>
                <w:rFonts w:asciiTheme="majorBidi" w:eastAsia="SimSun" w:hAnsiTheme="majorBidi" w:cstheme="majorBidi"/>
                <w:szCs w:val="24"/>
                <w:lang w:val="en-US" w:eastAsia="zh-CN"/>
              </w:rPr>
            </w:pPr>
            <w:r w:rsidRPr="00C73325">
              <w:rPr>
                <w:rFonts w:asciiTheme="majorBidi" w:eastAsia="SimSun" w:hAnsiTheme="majorBidi" w:cstheme="majorBidi"/>
                <w:szCs w:val="24"/>
                <w:lang w:val="en-US" w:eastAsia="zh-CN"/>
              </w:rPr>
              <w:t xml:space="preserve"> AS</w:t>
            </w:r>
          </w:p>
        </w:tc>
        <w:tc>
          <w:tcPr>
            <w:tcW w:w="1842" w:type="dxa"/>
            <w:noWrap/>
            <w:vAlign w:val="bottom"/>
          </w:tcPr>
          <w:p w14:paraId="0E20750D" w14:textId="10B17167"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3.22</w:t>
            </w:r>
          </w:p>
        </w:tc>
        <w:tc>
          <w:tcPr>
            <w:tcW w:w="1316" w:type="dxa"/>
            <w:noWrap/>
            <w:vAlign w:val="bottom"/>
          </w:tcPr>
          <w:p w14:paraId="0E372B2C" w14:textId="0258458D"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3.00</w:t>
            </w:r>
          </w:p>
        </w:tc>
        <w:tc>
          <w:tcPr>
            <w:tcW w:w="1176" w:type="dxa"/>
            <w:noWrap/>
            <w:vAlign w:val="bottom"/>
          </w:tcPr>
          <w:p w14:paraId="757FFA58" w14:textId="0F70F07E"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1.48</w:t>
            </w:r>
          </w:p>
        </w:tc>
        <w:tc>
          <w:tcPr>
            <w:tcW w:w="1276" w:type="dxa"/>
            <w:noWrap/>
            <w:vAlign w:val="bottom"/>
          </w:tcPr>
          <w:p w14:paraId="49B3E71F" w14:textId="7AC6C313"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0.00</w:t>
            </w:r>
          </w:p>
        </w:tc>
        <w:tc>
          <w:tcPr>
            <w:tcW w:w="1296" w:type="dxa"/>
            <w:noWrap/>
            <w:vAlign w:val="bottom"/>
          </w:tcPr>
          <w:p w14:paraId="15B6727F" w14:textId="3636B4AD"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9.00</w:t>
            </w:r>
          </w:p>
        </w:tc>
      </w:tr>
      <w:tr w:rsidR="00B21BDA" w:rsidRPr="00C73325" w14:paraId="30F7F822" w14:textId="77777777" w:rsidTr="001E0FB2">
        <w:trPr>
          <w:trHeight w:val="231"/>
        </w:trPr>
        <w:tc>
          <w:tcPr>
            <w:tcW w:w="5144" w:type="dxa"/>
            <w:gridSpan w:val="3"/>
          </w:tcPr>
          <w:p w14:paraId="658F9D40" w14:textId="2158E467" w:rsidR="00B21BDA" w:rsidRPr="00C73325" w:rsidRDefault="00B21BDA" w:rsidP="00854B40">
            <w:pPr>
              <w:spacing w:after="0"/>
              <w:ind w:left="34"/>
              <w:rPr>
                <w:rFonts w:asciiTheme="majorBidi" w:eastAsia="SimSun" w:hAnsiTheme="majorBidi" w:cstheme="majorBidi"/>
                <w:i/>
                <w:iCs/>
                <w:szCs w:val="24"/>
                <w:lang w:val="en-US" w:eastAsia="zh-CN"/>
              </w:rPr>
            </w:pPr>
            <w:r w:rsidRPr="00C73325">
              <w:rPr>
                <w:rFonts w:asciiTheme="majorBidi" w:eastAsia="SimSun" w:hAnsiTheme="majorBidi" w:cstheme="majorBidi"/>
                <w:i/>
                <w:iCs/>
                <w:szCs w:val="24"/>
                <w:lang w:val="en-US" w:eastAsia="zh-CN"/>
              </w:rPr>
              <w:t>Panel C: Control Variables</w:t>
            </w:r>
          </w:p>
        </w:tc>
        <w:tc>
          <w:tcPr>
            <w:tcW w:w="1176" w:type="dxa"/>
            <w:noWrap/>
            <w:vAlign w:val="bottom"/>
          </w:tcPr>
          <w:p w14:paraId="51908C98" w14:textId="77777777" w:rsidR="00B21BDA" w:rsidRPr="00215905" w:rsidRDefault="00B21BDA" w:rsidP="001E0FB2">
            <w:pPr>
              <w:spacing w:after="0"/>
              <w:jc w:val="right"/>
              <w:rPr>
                <w:rFonts w:asciiTheme="majorBidi" w:eastAsia="SimSun" w:hAnsiTheme="majorBidi" w:cstheme="majorBidi"/>
                <w:szCs w:val="24"/>
                <w:lang w:val="en-US" w:eastAsia="zh-CN"/>
              </w:rPr>
            </w:pPr>
          </w:p>
        </w:tc>
        <w:tc>
          <w:tcPr>
            <w:tcW w:w="1276" w:type="dxa"/>
            <w:noWrap/>
            <w:vAlign w:val="bottom"/>
          </w:tcPr>
          <w:p w14:paraId="316E9616" w14:textId="77777777" w:rsidR="00B21BDA" w:rsidRPr="00215905" w:rsidRDefault="00B21BDA" w:rsidP="001E0FB2">
            <w:pPr>
              <w:spacing w:after="0"/>
              <w:jc w:val="right"/>
              <w:rPr>
                <w:rFonts w:asciiTheme="majorBidi" w:eastAsia="SimSun" w:hAnsiTheme="majorBidi" w:cstheme="majorBidi"/>
                <w:szCs w:val="24"/>
                <w:lang w:val="en-US" w:eastAsia="zh-CN"/>
              </w:rPr>
            </w:pPr>
          </w:p>
        </w:tc>
        <w:tc>
          <w:tcPr>
            <w:tcW w:w="1296" w:type="dxa"/>
            <w:noWrap/>
            <w:vAlign w:val="bottom"/>
          </w:tcPr>
          <w:p w14:paraId="7A808EEC" w14:textId="77777777" w:rsidR="00B21BDA" w:rsidRPr="00215905" w:rsidRDefault="00B21BDA" w:rsidP="001E0FB2">
            <w:pPr>
              <w:spacing w:after="0"/>
              <w:jc w:val="right"/>
              <w:rPr>
                <w:rFonts w:asciiTheme="majorBidi" w:eastAsia="SimSun" w:hAnsiTheme="majorBidi" w:cstheme="majorBidi"/>
                <w:szCs w:val="24"/>
                <w:lang w:val="en-US" w:eastAsia="zh-CN"/>
              </w:rPr>
            </w:pPr>
          </w:p>
        </w:tc>
      </w:tr>
      <w:tr w:rsidR="00B21BDA" w:rsidRPr="00C73325" w14:paraId="3110D3F1" w14:textId="77777777" w:rsidTr="001E0FB2">
        <w:trPr>
          <w:trHeight w:val="231"/>
        </w:trPr>
        <w:tc>
          <w:tcPr>
            <w:tcW w:w="1986" w:type="dxa"/>
          </w:tcPr>
          <w:p w14:paraId="33F708B1" w14:textId="77777777" w:rsidR="00B21BDA" w:rsidRPr="00C73325" w:rsidRDefault="00B21BDA" w:rsidP="001E0FB2">
            <w:pPr>
              <w:spacing w:after="0"/>
              <w:ind w:left="34"/>
              <w:rPr>
                <w:rFonts w:asciiTheme="majorBidi" w:eastAsia="SimSun" w:hAnsiTheme="majorBidi" w:cstheme="majorBidi"/>
                <w:szCs w:val="24"/>
                <w:lang w:val="en-US" w:eastAsia="zh-CN"/>
              </w:rPr>
            </w:pPr>
            <w:r w:rsidRPr="00C73325">
              <w:rPr>
                <w:rFonts w:asciiTheme="majorBidi" w:eastAsia="SimSun" w:hAnsiTheme="majorBidi" w:cstheme="majorBidi"/>
                <w:szCs w:val="24"/>
                <w:lang w:val="en-US" w:eastAsia="zh-CN"/>
              </w:rPr>
              <w:t xml:space="preserve"> FS</w:t>
            </w:r>
          </w:p>
        </w:tc>
        <w:tc>
          <w:tcPr>
            <w:tcW w:w="1842" w:type="dxa"/>
            <w:noWrap/>
            <w:vAlign w:val="bottom"/>
          </w:tcPr>
          <w:p w14:paraId="27154E10" w14:textId="6BBE2597"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14.41</w:t>
            </w:r>
          </w:p>
        </w:tc>
        <w:tc>
          <w:tcPr>
            <w:tcW w:w="1316" w:type="dxa"/>
            <w:noWrap/>
            <w:vAlign w:val="bottom"/>
          </w:tcPr>
          <w:p w14:paraId="77607488" w14:textId="78B4FC66"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14.29</w:t>
            </w:r>
          </w:p>
        </w:tc>
        <w:tc>
          <w:tcPr>
            <w:tcW w:w="1176" w:type="dxa"/>
            <w:noWrap/>
            <w:vAlign w:val="bottom"/>
          </w:tcPr>
          <w:p w14:paraId="4A637280" w14:textId="5243E0A5"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2.16</w:t>
            </w:r>
          </w:p>
        </w:tc>
        <w:tc>
          <w:tcPr>
            <w:tcW w:w="1276" w:type="dxa"/>
            <w:noWrap/>
            <w:vAlign w:val="bottom"/>
          </w:tcPr>
          <w:p w14:paraId="642C8452" w14:textId="110E0312"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9.78</w:t>
            </w:r>
          </w:p>
        </w:tc>
        <w:tc>
          <w:tcPr>
            <w:tcW w:w="1296" w:type="dxa"/>
            <w:noWrap/>
            <w:vAlign w:val="bottom"/>
          </w:tcPr>
          <w:p w14:paraId="1ADD263E" w14:textId="619876F2"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19.34</w:t>
            </w:r>
          </w:p>
        </w:tc>
      </w:tr>
      <w:tr w:rsidR="00B21BDA" w:rsidRPr="00C73325" w14:paraId="06F02E69" w14:textId="77777777" w:rsidTr="001E0FB2">
        <w:trPr>
          <w:trHeight w:val="231"/>
        </w:trPr>
        <w:tc>
          <w:tcPr>
            <w:tcW w:w="1986" w:type="dxa"/>
          </w:tcPr>
          <w:p w14:paraId="6D9F9FF6" w14:textId="77777777" w:rsidR="00B21BDA" w:rsidRPr="00C73325" w:rsidRDefault="00B21BDA" w:rsidP="001E0FB2">
            <w:pPr>
              <w:spacing w:after="0"/>
              <w:ind w:left="34"/>
              <w:rPr>
                <w:rFonts w:asciiTheme="majorBidi" w:eastAsia="SimSun" w:hAnsiTheme="majorBidi" w:cstheme="majorBidi"/>
                <w:szCs w:val="24"/>
                <w:lang w:val="en-US" w:eastAsia="zh-CN"/>
              </w:rPr>
            </w:pPr>
            <w:r w:rsidRPr="00C73325">
              <w:rPr>
                <w:rFonts w:asciiTheme="majorBidi" w:eastAsia="SimSun" w:hAnsiTheme="majorBidi" w:cstheme="majorBidi"/>
                <w:szCs w:val="24"/>
                <w:lang w:val="en-US" w:eastAsia="zh-CN"/>
              </w:rPr>
              <w:t xml:space="preserve"> LEV (%)</w:t>
            </w:r>
          </w:p>
        </w:tc>
        <w:tc>
          <w:tcPr>
            <w:tcW w:w="1842" w:type="dxa"/>
            <w:noWrap/>
            <w:vAlign w:val="bottom"/>
          </w:tcPr>
          <w:p w14:paraId="1FC89149" w14:textId="3117FE9A"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2.67</w:t>
            </w:r>
          </w:p>
        </w:tc>
        <w:tc>
          <w:tcPr>
            <w:tcW w:w="1316" w:type="dxa"/>
            <w:noWrap/>
            <w:vAlign w:val="bottom"/>
          </w:tcPr>
          <w:p w14:paraId="6C7A6D2A" w14:textId="008F27E0"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2.20</w:t>
            </w:r>
          </w:p>
        </w:tc>
        <w:tc>
          <w:tcPr>
            <w:tcW w:w="1176" w:type="dxa"/>
            <w:noWrap/>
            <w:vAlign w:val="bottom"/>
          </w:tcPr>
          <w:p w14:paraId="2FBAE7AF" w14:textId="0EF96C42"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1.86</w:t>
            </w:r>
          </w:p>
        </w:tc>
        <w:tc>
          <w:tcPr>
            <w:tcW w:w="1276" w:type="dxa"/>
            <w:noWrap/>
            <w:vAlign w:val="bottom"/>
          </w:tcPr>
          <w:p w14:paraId="3056EF21" w14:textId="11BAD614"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0.96</w:t>
            </w:r>
          </w:p>
        </w:tc>
        <w:tc>
          <w:tcPr>
            <w:tcW w:w="1296" w:type="dxa"/>
            <w:noWrap/>
            <w:vAlign w:val="bottom"/>
          </w:tcPr>
          <w:p w14:paraId="12209491" w14:textId="47B381CA" w:rsidR="00B21BDA" w:rsidRPr="00215905" w:rsidRDefault="00854B40" w:rsidP="001E0FB2">
            <w:pPr>
              <w:spacing w:after="0"/>
              <w:jc w:val="right"/>
              <w:rPr>
                <w:rFonts w:asciiTheme="majorBidi" w:eastAsia="SimSun" w:hAnsiTheme="majorBidi" w:cstheme="majorBidi"/>
                <w:szCs w:val="24"/>
                <w:lang w:val="en-US" w:eastAsia="zh-CN"/>
              </w:rPr>
            </w:pPr>
            <w:r w:rsidRPr="00215905">
              <w:rPr>
                <w:rFonts w:asciiTheme="majorBidi" w:eastAsia="SimSun" w:hAnsiTheme="majorBidi" w:cstheme="majorBidi"/>
                <w:szCs w:val="24"/>
                <w:lang w:val="en-US" w:eastAsia="zh-CN"/>
              </w:rPr>
              <w:t>16.43</w:t>
            </w:r>
          </w:p>
        </w:tc>
      </w:tr>
      <w:tr w:rsidR="00B21BDA" w:rsidRPr="00C73325" w14:paraId="348E8D73" w14:textId="77777777" w:rsidTr="001E0FB2">
        <w:trPr>
          <w:trHeight w:val="105"/>
        </w:trPr>
        <w:tc>
          <w:tcPr>
            <w:tcW w:w="1986" w:type="dxa"/>
          </w:tcPr>
          <w:p w14:paraId="47311A4E" w14:textId="77777777" w:rsidR="00B21BDA" w:rsidRPr="00C73325" w:rsidRDefault="00B21BDA" w:rsidP="001E0FB2">
            <w:pPr>
              <w:spacing w:after="0"/>
              <w:ind w:right="-173"/>
              <w:rPr>
                <w:rFonts w:asciiTheme="majorBidi" w:eastAsia="SimSun" w:hAnsiTheme="majorBidi" w:cstheme="majorBidi"/>
                <w:szCs w:val="24"/>
                <w:lang w:val="en-US" w:eastAsia="zh-CN"/>
              </w:rPr>
            </w:pPr>
            <w:r w:rsidRPr="00C73325">
              <w:rPr>
                <w:rFonts w:asciiTheme="majorBidi" w:eastAsia="SimSun" w:hAnsiTheme="majorBidi" w:cstheme="majorBidi"/>
                <w:szCs w:val="24"/>
                <w:lang w:val="en-US" w:eastAsia="zh-CN"/>
              </w:rPr>
              <w:t xml:space="preserve"> CFS (%)</w:t>
            </w:r>
          </w:p>
        </w:tc>
        <w:tc>
          <w:tcPr>
            <w:tcW w:w="1842" w:type="dxa"/>
            <w:noWrap/>
            <w:vAlign w:val="bottom"/>
          </w:tcPr>
          <w:p w14:paraId="41CB09F6" w14:textId="4C86ED46" w:rsidR="00B21BDA" w:rsidRPr="00215905" w:rsidRDefault="00854B40"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0.006</w:t>
            </w:r>
          </w:p>
        </w:tc>
        <w:tc>
          <w:tcPr>
            <w:tcW w:w="1316" w:type="dxa"/>
            <w:noWrap/>
            <w:vAlign w:val="bottom"/>
          </w:tcPr>
          <w:p w14:paraId="254A043A" w14:textId="79A809F6" w:rsidR="00B21BDA" w:rsidRPr="00215905" w:rsidRDefault="00854B40"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-0.006</w:t>
            </w:r>
          </w:p>
        </w:tc>
        <w:tc>
          <w:tcPr>
            <w:tcW w:w="1176" w:type="dxa"/>
            <w:noWrap/>
            <w:vAlign w:val="bottom"/>
          </w:tcPr>
          <w:p w14:paraId="2390E117" w14:textId="3E930C04" w:rsidR="00B21BDA" w:rsidRPr="00215905" w:rsidRDefault="00854B40"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0.21</w:t>
            </w:r>
          </w:p>
        </w:tc>
        <w:tc>
          <w:tcPr>
            <w:tcW w:w="1276" w:type="dxa"/>
            <w:noWrap/>
            <w:vAlign w:val="bottom"/>
          </w:tcPr>
          <w:p w14:paraId="0817F5CB" w14:textId="2A40D3CA" w:rsidR="00B21BDA" w:rsidRPr="00215905" w:rsidRDefault="00854B40"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-0.94</w:t>
            </w:r>
          </w:p>
        </w:tc>
        <w:tc>
          <w:tcPr>
            <w:tcW w:w="1296" w:type="dxa"/>
            <w:noWrap/>
            <w:vAlign w:val="bottom"/>
          </w:tcPr>
          <w:p w14:paraId="1A3D1655" w14:textId="1409BA29" w:rsidR="00B21BDA" w:rsidRPr="00215905" w:rsidRDefault="00854B40"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1.24</w:t>
            </w:r>
          </w:p>
        </w:tc>
      </w:tr>
      <w:tr w:rsidR="00B21BDA" w:rsidRPr="00C73325" w14:paraId="0C96A2F6" w14:textId="77777777" w:rsidTr="001E0FB2">
        <w:trPr>
          <w:trHeight w:val="105"/>
        </w:trPr>
        <w:tc>
          <w:tcPr>
            <w:tcW w:w="1986" w:type="dxa"/>
            <w:tcBorders>
              <w:bottom w:val="single" w:sz="2" w:space="0" w:color="auto"/>
            </w:tcBorders>
          </w:tcPr>
          <w:p w14:paraId="5BD5550F" w14:textId="77777777" w:rsidR="00B21BDA" w:rsidRPr="00C73325" w:rsidRDefault="00B21BDA" w:rsidP="001E0FB2">
            <w:pPr>
              <w:spacing w:after="0"/>
              <w:rPr>
                <w:rFonts w:asciiTheme="majorBidi" w:eastAsia="SimSun" w:hAnsiTheme="majorBidi" w:cstheme="majorBidi"/>
                <w:szCs w:val="24"/>
                <w:lang w:val="en-US" w:eastAsia="zh-CN"/>
              </w:rPr>
            </w:pPr>
            <w:r w:rsidRPr="00C73325">
              <w:rPr>
                <w:rFonts w:asciiTheme="majorBidi" w:eastAsia="SimSun" w:hAnsiTheme="majorBidi" w:cstheme="majorBidi"/>
                <w:szCs w:val="24"/>
                <w:lang w:val="en-US" w:eastAsia="zh-CN"/>
              </w:rPr>
              <w:t xml:space="preserve">  ROA (%)</w:t>
            </w:r>
          </w:p>
        </w:tc>
        <w:tc>
          <w:tcPr>
            <w:tcW w:w="1842" w:type="dxa"/>
            <w:tcBorders>
              <w:bottom w:val="single" w:sz="2" w:space="0" w:color="auto"/>
            </w:tcBorders>
            <w:noWrap/>
            <w:vAlign w:val="bottom"/>
          </w:tcPr>
          <w:p w14:paraId="222D09F3" w14:textId="54377F33" w:rsidR="00B21BDA" w:rsidRPr="00215905" w:rsidRDefault="00854B40"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8.72</w:t>
            </w:r>
          </w:p>
        </w:tc>
        <w:tc>
          <w:tcPr>
            <w:tcW w:w="1316" w:type="dxa"/>
            <w:tcBorders>
              <w:bottom w:val="single" w:sz="2" w:space="0" w:color="auto"/>
            </w:tcBorders>
            <w:noWrap/>
            <w:vAlign w:val="bottom"/>
          </w:tcPr>
          <w:p w14:paraId="34E37F87" w14:textId="7017AC3A" w:rsidR="00B21BDA" w:rsidRPr="00215905" w:rsidRDefault="00854B40"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7.54</w:t>
            </w:r>
          </w:p>
        </w:tc>
        <w:tc>
          <w:tcPr>
            <w:tcW w:w="1176" w:type="dxa"/>
            <w:tcBorders>
              <w:bottom w:val="single" w:sz="2" w:space="0" w:color="auto"/>
            </w:tcBorders>
            <w:noWrap/>
            <w:vAlign w:val="bottom"/>
          </w:tcPr>
          <w:p w14:paraId="16A02620" w14:textId="57373211" w:rsidR="00B21BDA" w:rsidRPr="00215905" w:rsidRDefault="00854B40"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17.06</w:t>
            </w:r>
          </w:p>
        </w:tc>
        <w:tc>
          <w:tcPr>
            <w:tcW w:w="1276" w:type="dxa"/>
            <w:tcBorders>
              <w:bottom w:val="single" w:sz="2" w:space="0" w:color="auto"/>
            </w:tcBorders>
            <w:noWrap/>
            <w:vAlign w:val="bottom"/>
          </w:tcPr>
          <w:p w14:paraId="18E3696D" w14:textId="7B889FE5" w:rsidR="00B21BDA" w:rsidRPr="00215905" w:rsidRDefault="00854B40"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-190.33</w:t>
            </w:r>
          </w:p>
        </w:tc>
        <w:tc>
          <w:tcPr>
            <w:tcW w:w="1296" w:type="dxa"/>
            <w:tcBorders>
              <w:bottom w:val="single" w:sz="2" w:space="0" w:color="auto"/>
            </w:tcBorders>
            <w:noWrap/>
            <w:vAlign w:val="bottom"/>
          </w:tcPr>
          <w:p w14:paraId="67503F3B" w14:textId="436B1FB5" w:rsidR="00B21BDA" w:rsidRPr="00215905" w:rsidRDefault="00854B40" w:rsidP="001E0FB2">
            <w:pPr>
              <w:spacing w:after="0"/>
              <w:jc w:val="right"/>
              <w:rPr>
                <w:rFonts w:asciiTheme="majorBidi" w:eastAsia="SimSun" w:hAnsiTheme="majorBidi" w:cstheme="majorBidi"/>
                <w:szCs w:val="24"/>
                <w:lang w:val="en-US" w:eastAsia="en-GB"/>
              </w:rPr>
            </w:pPr>
            <w:r w:rsidRPr="00215905">
              <w:rPr>
                <w:rFonts w:asciiTheme="majorBidi" w:eastAsia="SimSun" w:hAnsiTheme="majorBidi" w:cstheme="majorBidi"/>
                <w:szCs w:val="24"/>
                <w:lang w:val="en-US" w:eastAsia="en-GB"/>
              </w:rPr>
              <w:t>39.12</w:t>
            </w:r>
          </w:p>
        </w:tc>
      </w:tr>
      <w:tr w:rsidR="00B21BDA" w:rsidRPr="00C73325" w14:paraId="4FA9B867" w14:textId="77777777" w:rsidTr="001E0FB2">
        <w:trPr>
          <w:trHeight w:val="105"/>
        </w:trPr>
        <w:tc>
          <w:tcPr>
            <w:tcW w:w="8892" w:type="dxa"/>
            <w:gridSpan w:val="6"/>
            <w:tcBorders>
              <w:top w:val="single" w:sz="2" w:space="0" w:color="auto"/>
            </w:tcBorders>
          </w:tcPr>
          <w:p w14:paraId="09F679C2" w14:textId="77777777" w:rsidR="00B21BDA" w:rsidRPr="00215905" w:rsidRDefault="00B21BDA" w:rsidP="001E0FB2">
            <w:pPr>
              <w:spacing w:after="0"/>
              <w:rPr>
                <w:rFonts w:asciiTheme="majorBidi" w:eastAsia="SimSun" w:hAnsiTheme="majorBidi" w:cstheme="majorBidi"/>
                <w:szCs w:val="24"/>
                <w:lang w:val="en-US" w:eastAsia="en-GB"/>
              </w:rPr>
            </w:pPr>
            <w:r w:rsidRPr="00C73325">
              <w:rPr>
                <w:rFonts w:eastAsia="Times New Roman" w:cs="Times New Roman"/>
                <w:b/>
                <w:bCs/>
                <w:szCs w:val="24"/>
              </w:rPr>
              <w:t>Notes:</w:t>
            </w:r>
            <w:r w:rsidRPr="00C73325">
              <w:rPr>
                <w:rFonts w:eastAsia="Times New Roman" w:cs="Times New Roman"/>
                <w:szCs w:val="24"/>
              </w:rPr>
              <w:t xml:space="preserve"> </w:t>
            </w:r>
            <w:r w:rsidRPr="00C73325">
              <w:rPr>
                <w:rFonts w:eastAsia="SimSun" w:cs="Times New Roman"/>
                <w:i/>
                <w:iCs/>
                <w:szCs w:val="24"/>
                <w:lang w:val="en-US" w:eastAsia="zh-CN"/>
              </w:rPr>
              <w:t xml:space="preserve">BS </w:t>
            </w:r>
            <w:r w:rsidRPr="00C73325">
              <w:rPr>
                <w:rFonts w:eastAsia="SimSun" w:cs="Times New Roman"/>
                <w:szCs w:val="24"/>
                <w:lang w:val="en-US" w:eastAsia="zh-CN"/>
              </w:rPr>
              <w:t xml:space="preserve">denotes board size; </w:t>
            </w:r>
            <w:r w:rsidRPr="00C73325">
              <w:rPr>
                <w:rFonts w:eastAsia="SimSun" w:cs="Times New Roman"/>
                <w:i/>
                <w:iCs/>
                <w:szCs w:val="24"/>
                <w:lang w:val="en-US" w:eastAsia="zh-CN"/>
              </w:rPr>
              <w:t>BI</w:t>
            </w:r>
            <w:r w:rsidRPr="00C73325">
              <w:rPr>
                <w:rFonts w:eastAsia="SimSun" w:cs="Times New Roman"/>
                <w:szCs w:val="24"/>
                <w:lang w:val="en-US" w:eastAsia="zh-CN"/>
              </w:rPr>
              <w:t xml:space="preserve"> denotes board independence; </w:t>
            </w:r>
            <w:r w:rsidRPr="00C73325">
              <w:rPr>
                <w:rFonts w:eastAsia="SimSun" w:cs="Times New Roman"/>
                <w:i/>
                <w:iCs/>
                <w:szCs w:val="24"/>
                <w:lang w:val="en-US" w:eastAsia="zh-CN"/>
              </w:rPr>
              <w:t>CEO</w:t>
            </w:r>
            <w:r w:rsidRPr="00C73325">
              <w:rPr>
                <w:rFonts w:eastAsia="SimSun" w:cs="Times New Roman"/>
                <w:szCs w:val="24"/>
                <w:lang w:val="en-US" w:eastAsia="zh-CN"/>
              </w:rPr>
              <w:t xml:space="preserve"> denotes CEO role duality; </w:t>
            </w:r>
            <w:r w:rsidRPr="00C73325">
              <w:rPr>
                <w:rFonts w:eastAsia="SimSun" w:cs="Times New Roman"/>
                <w:i/>
                <w:iCs/>
                <w:szCs w:val="24"/>
                <w:lang w:val="en-US" w:eastAsia="zh-CN"/>
              </w:rPr>
              <w:t>BM</w:t>
            </w:r>
            <w:r w:rsidRPr="00C73325">
              <w:rPr>
                <w:rFonts w:eastAsia="SimSun" w:cs="Times New Roman"/>
                <w:szCs w:val="24"/>
                <w:lang w:val="en-US" w:eastAsia="zh-CN"/>
              </w:rPr>
              <w:t xml:space="preserve"> denotes frequency of board meetings; </w:t>
            </w:r>
            <w:r w:rsidRPr="00C73325">
              <w:rPr>
                <w:rFonts w:eastAsia="SimSun" w:cs="Times New Roman"/>
                <w:i/>
                <w:iCs/>
                <w:szCs w:val="24"/>
                <w:lang w:val="en-US" w:eastAsia="zh-CN"/>
              </w:rPr>
              <w:t>BG</w:t>
            </w:r>
            <w:r w:rsidRPr="00C73325">
              <w:rPr>
                <w:rFonts w:eastAsia="SimSun" w:cs="Times New Roman"/>
                <w:szCs w:val="24"/>
                <w:lang w:val="en-US" w:eastAsia="zh-CN"/>
              </w:rPr>
              <w:t xml:space="preserve"> denotes board gender diversity; </w:t>
            </w:r>
            <w:r w:rsidRPr="00C73325">
              <w:rPr>
                <w:rFonts w:eastAsia="SimSun" w:cs="Times New Roman"/>
                <w:i/>
                <w:iCs/>
                <w:szCs w:val="24"/>
                <w:lang w:val="en-US" w:eastAsia="zh-CN"/>
              </w:rPr>
              <w:t>AS</w:t>
            </w:r>
            <w:r w:rsidRPr="00C73325">
              <w:rPr>
                <w:rFonts w:eastAsia="SimSun" w:cs="Times New Roman"/>
                <w:szCs w:val="24"/>
                <w:lang w:val="en-US" w:eastAsia="zh-CN"/>
              </w:rPr>
              <w:t xml:space="preserve"> denotes audit committee size; </w:t>
            </w:r>
            <w:r w:rsidRPr="00C73325">
              <w:rPr>
                <w:rFonts w:eastAsia="SimSun" w:cs="Times New Roman"/>
                <w:i/>
                <w:iCs/>
                <w:szCs w:val="24"/>
                <w:lang w:val="en-US" w:eastAsia="zh-CN"/>
              </w:rPr>
              <w:t>FS</w:t>
            </w:r>
            <w:r w:rsidRPr="00C73325">
              <w:rPr>
                <w:rFonts w:eastAsia="SimSun" w:cs="Times New Roman"/>
                <w:szCs w:val="24"/>
                <w:lang w:val="en-US" w:eastAsia="zh-CN"/>
              </w:rPr>
              <w:t xml:space="preserve"> denotes firm size; </w:t>
            </w:r>
            <w:r w:rsidRPr="00C73325">
              <w:rPr>
                <w:rFonts w:eastAsia="SimSun" w:cs="Times New Roman"/>
                <w:i/>
                <w:iCs/>
                <w:szCs w:val="24"/>
                <w:lang w:val="en-US" w:eastAsia="zh-CN"/>
              </w:rPr>
              <w:t xml:space="preserve">LEV </w:t>
            </w:r>
            <w:r w:rsidRPr="00C73325">
              <w:rPr>
                <w:rFonts w:eastAsia="SimSun" w:cs="Times New Roman"/>
                <w:szCs w:val="24"/>
                <w:lang w:val="en-US" w:eastAsia="zh-CN"/>
              </w:rPr>
              <w:t xml:space="preserve">denotes leverage; </w:t>
            </w:r>
            <w:r w:rsidRPr="00C73325">
              <w:rPr>
                <w:rFonts w:eastAsia="SimSun" w:cs="Times New Roman"/>
                <w:i/>
                <w:iCs/>
                <w:szCs w:val="24"/>
                <w:lang w:val="en-US" w:eastAsia="zh-CN"/>
              </w:rPr>
              <w:t>CFS</w:t>
            </w:r>
            <w:r w:rsidRPr="00C73325">
              <w:rPr>
                <w:rFonts w:eastAsia="SimSun" w:cs="Times New Roman"/>
                <w:szCs w:val="24"/>
                <w:lang w:val="en-US" w:eastAsia="zh-CN"/>
              </w:rPr>
              <w:t xml:space="preserve"> denotes cash flow per share and </w:t>
            </w:r>
            <w:r w:rsidRPr="00C73325">
              <w:rPr>
                <w:rFonts w:eastAsia="SimSun" w:cs="Times New Roman"/>
                <w:i/>
                <w:iCs/>
                <w:szCs w:val="24"/>
                <w:lang w:val="en-US" w:eastAsia="zh-CN"/>
              </w:rPr>
              <w:t>ROA</w:t>
            </w:r>
            <w:r w:rsidRPr="00C73325">
              <w:rPr>
                <w:rFonts w:eastAsia="SimSun" w:cs="Times New Roman"/>
                <w:szCs w:val="24"/>
                <w:lang w:val="en-US" w:eastAsia="zh-CN"/>
              </w:rPr>
              <w:t xml:space="preserve"> denotes return on assets. Table 1 fully defines all the variables used.</w:t>
            </w:r>
          </w:p>
        </w:tc>
      </w:tr>
    </w:tbl>
    <w:p w14:paraId="6B17BB6B" w14:textId="2F2BE23A" w:rsidR="00A562F2" w:rsidRPr="00C73325" w:rsidRDefault="00A562F2" w:rsidP="00026691">
      <w:pPr>
        <w:spacing w:before="0" w:after="160" w:line="259" w:lineRule="auto"/>
        <w:jc w:val="left"/>
        <w:rPr>
          <w:b/>
        </w:rPr>
        <w:sectPr w:rsidR="00A562F2" w:rsidRPr="00C73325" w:rsidSect="00C63FA2">
          <w:pgSz w:w="11906" w:h="16838"/>
          <w:pgMar w:top="1440" w:right="1440" w:bottom="1440" w:left="1440" w:header="708" w:footer="708" w:gutter="0"/>
          <w:cols w:space="708"/>
          <w:docGrid w:linePitch="360"/>
        </w:sectPr>
      </w:pPr>
    </w:p>
    <w:tbl>
      <w:tblPr>
        <w:tblpPr w:leftFromText="180" w:rightFromText="180" w:vertAnchor="page" w:horzAnchor="margin" w:tblpY="1354"/>
        <w:tblW w:w="13858" w:type="dxa"/>
        <w:shd w:val="clear" w:color="auto" w:fill="FFFFFF" w:themeFill="background1"/>
        <w:tblLayout w:type="fixed"/>
        <w:tblLook w:val="04A0" w:firstRow="1" w:lastRow="0" w:firstColumn="1" w:lastColumn="0" w:noHBand="0" w:noVBand="1"/>
      </w:tblPr>
      <w:tblGrid>
        <w:gridCol w:w="1289"/>
        <w:gridCol w:w="1087"/>
        <w:gridCol w:w="1134"/>
        <w:gridCol w:w="1134"/>
        <w:gridCol w:w="993"/>
        <w:gridCol w:w="1134"/>
        <w:gridCol w:w="992"/>
        <w:gridCol w:w="992"/>
        <w:gridCol w:w="992"/>
        <w:gridCol w:w="992"/>
        <w:gridCol w:w="1134"/>
        <w:gridCol w:w="992"/>
        <w:gridCol w:w="993"/>
      </w:tblGrid>
      <w:tr w:rsidR="0091094C" w:rsidRPr="00C73325" w14:paraId="2783F583" w14:textId="77777777" w:rsidTr="00211D1C">
        <w:trPr>
          <w:trHeight w:val="331"/>
        </w:trPr>
        <w:tc>
          <w:tcPr>
            <w:tcW w:w="13858" w:type="dxa"/>
            <w:gridSpan w:val="13"/>
            <w:tcBorders>
              <w:left w:val="nil"/>
              <w:bottom w:val="single" w:sz="12" w:space="0" w:color="auto"/>
            </w:tcBorders>
            <w:shd w:val="clear" w:color="auto" w:fill="FFFFFF" w:themeFill="background1"/>
          </w:tcPr>
          <w:p w14:paraId="37979F05" w14:textId="579DAD49" w:rsidR="0091094C" w:rsidRPr="00215905" w:rsidRDefault="0091094C" w:rsidP="00113785">
            <w:pPr>
              <w:spacing w:after="0"/>
              <w:rPr>
                <w:rFonts w:eastAsia="Times New Roman" w:cs="Times New Roman"/>
                <w:b/>
                <w:bCs/>
                <w:sz w:val="22"/>
                <w:lang w:val="en-US" w:eastAsia="en-GB"/>
              </w:rPr>
            </w:pPr>
            <w:r w:rsidRPr="00215905">
              <w:rPr>
                <w:rFonts w:eastAsia="Times New Roman" w:cs="Times New Roman"/>
                <w:b/>
                <w:bCs/>
                <w:sz w:val="22"/>
                <w:lang w:val="en-US" w:eastAsia="en-GB"/>
              </w:rPr>
              <w:lastRenderedPageBreak/>
              <w:t>Table 3.</w:t>
            </w:r>
          </w:p>
          <w:p w14:paraId="4EBC43DB" w14:textId="77777777" w:rsidR="0091094C" w:rsidRPr="00215905" w:rsidRDefault="0091094C" w:rsidP="00113785">
            <w:pPr>
              <w:spacing w:before="0" w:after="0"/>
              <w:rPr>
                <w:rFonts w:eastAsia="Times New Roman" w:cs="Times New Roman"/>
                <w:sz w:val="22"/>
                <w:lang w:val="en-US" w:eastAsia="en-GB"/>
              </w:rPr>
            </w:pPr>
            <w:r w:rsidRPr="00215905">
              <w:rPr>
                <w:rFonts w:eastAsia="Times New Roman" w:cs="Times New Roman"/>
                <w:sz w:val="22"/>
                <w:lang w:val="en-US" w:eastAsia="en-GB"/>
              </w:rPr>
              <w:t>Correlation Matrix.</w:t>
            </w:r>
          </w:p>
        </w:tc>
      </w:tr>
      <w:tr w:rsidR="00E51ACF" w:rsidRPr="00C73325" w14:paraId="7A70F989" w14:textId="77777777" w:rsidTr="00E51ACF">
        <w:trPr>
          <w:trHeight w:val="331"/>
        </w:trPr>
        <w:tc>
          <w:tcPr>
            <w:tcW w:w="1289" w:type="dxa"/>
            <w:tcBorders>
              <w:top w:val="single" w:sz="12" w:space="0" w:color="auto"/>
              <w:left w:val="nil"/>
              <w:bottom w:val="single" w:sz="4" w:space="0" w:color="auto"/>
            </w:tcBorders>
            <w:shd w:val="clear" w:color="auto" w:fill="FFFFFF" w:themeFill="background1"/>
            <w:noWrap/>
            <w:vAlign w:val="center"/>
            <w:hideMark/>
          </w:tcPr>
          <w:p w14:paraId="0C6E6AF9" w14:textId="77777777" w:rsidR="00E51ACF" w:rsidRPr="00C73325" w:rsidRDefault="00E51ACF" w:rsidP="00113785">
            <w:pPr>
              <w:spacing w:after="0"/>
              <w:rPr>
                <w:rFonts w:eastAsia="Times New Roman" w:cs="Times New Roman"/>
                <w:sz w:val="22"/>
                <w:lang w:val="en-US" w:eastAsia="en-GB"/>
              </w:rPr>
            </w:pPr>
            <w:r w:rsidRPr="00215905">
              <w:rPr>
                <w:rFonts w:eastAsia="SimSun" w:cs="Times New Roman"/>
                <w:sz w:val="22"/>
                <w:lang w:val="en-US" w:eastAsia="zh-CN"/>
              </w:rPr>
              <w:t>Variable</w:t>
            </w:r>
          </w:p>
        </w:tc>
        <w:tc>
          <w:tcPr>
            <w:tcW w:w="1087" w:type="dxa"/>
            <w:tcBorders>
              <w:top w:val="single" w:sz="12" w:space="0" w:color="auto"/>
              <w:left w:val="nil"/>
              <w:bottom w:val="single" w:sz="4" w:space="0" w:color="auto"/>
              <w:right w:val="nil"/>
            </w:tcBorders>
            <w:shd w:val="clear" w:color="auto" w:fill="FFFFFF" w:themeFill="background1"/>
            <w:vAlign w:val="center"/>
            <w:hideMark/>
          </w:tcPr>
          <w:p w14:paraId="030A97C5" w14:textId="527941B3"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DP1</w:t>
            </w:r>
          </w:p>
        </w:tc>
        <w:tc>
          <w:tcPr>
            <w:tcW w:w="1134" w:type="dxa"/>
            <w:tcBorders>
              <w:top w:val="single" w:sz="12" w:space="0" w:color="auto"/>
              <w:left w:val="nil"/>
              <w:bottom w:val="single" w:sz="4" w:space="0" w:color="auto"/>
              <w:right w:val="nil"/>
            </w:tcBorders>
            <w:shd w:val="clear" w:color="auto" w:fill="FFFFFF" w:themeFill="background1"/>
          </w:tcPr>
          <w:p w14:paraId="54F72151" w14:textId="13A7A414"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DP2</w:t>
            </w:r>
          </w:p>
        </w:tc>
        <w:tc>
          <w:tcPr>
            <w:tcW w:w="1134" w:type="dxa"/>
            <w:tcBorders>
              <w:top w:val="single" w:sz="12" w:space="0" w:color="auto"/>
              <w:left w:val="nil"/>
              <w:bottom w:val="single" w:sz="4" w:space="0" w:color="auto"/>
              <w:right w:val="nil"/>
            </w:tcBorders>
            <w:shd w:val="clear" w:color="auto" w:fill="FFFFFF" w:themeFill="background1"/>
            <w:vAlign w:val="center"/>
            <w:hideMark/>
          </w:tcPr>
          <w:p w14:paraId="486D14B7" w14:textId="429122F6"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BS</w:t>
            </w:r>
          </w:p>
        </w:tc>
        <w:tc>
          <w:tcPr>
            <w:tcW w:w="993" w:type="dxa"/>
            <w:tcBorders>
              <w:top w:val="single" w:sz="12" w:space="0" w:color="auto"/>
              <w:left w:val="nil"/>
              <w:bottom w:val="single" w:sz="4" w:space="0" w:color="auto"/>
              <w:right w:val="nil"/>
            </w:tcBorders>
            <w:shd w:val="clear" w:color="auto" w:fill="FFFFFF" w:themeFill="background1"/>
            <w:vAlign w:val="center"/>
            <w:hideMark/>
          </w:tcPr>
          <w:p w14:paraId="1BC09A82"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BI</w:t>
            </w:r>
          </w:p>
        </w:tc>
        <w:tc>
          <w:tcPr>
            <w:tcW w:w="1134" w:type="dxa"/>
            <w:tcBorders>
              <w:top w:val="single" w:sz="12" w:space="0" w:color="auto"/>
              <w:left w:val="nil"/>
              <w:bottom w:val="single" w:sz="4" w:space="0" w:color="auto"/>
              <w:right w:val="nil"/>
            </w:tcBorders>
            <w:shd w:val="clear" w:color="auto" w:fill="FFFFFF" w:themeFill="background1"/>
            <w:vAlign w:val="center"/>
            <w:hideMark/>
          </w:tcPr>
          <w:p w14:paraId="46F43888"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CEO</w:t>
            </w:r>
          </w:p>
        </w:tc>
        <w:tc>
          <w:tcPr>
            <w:tcW w:w="992" w:type="dxa"/>
            <w:tcBorders>
              <w:top w:val="single" w:sz="12" w:space="0" w:color="auto"/>
              <w:left w:val="nil"/>
              <w:bottom w:val="single" w:sz="4" w:space="0" w:color="auto"/>
              <w:right w:val="nil"/>
            </w:tcBorders>
            <w:shd w:val="clear" w:color="auto" w:fill="FFFFFF" w:themeFill="background1"/>
            <w:vAlign w:val="center"/>
            <w:hideMark/>
          </w:tcPr>
          <w:p w14:paraId="222981F0"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BM</w:t>
            </w:r>
          </w:p>
        </w:tc>
        <w:tc>
          <w:tcPr>
            <w:tcW w:w="992" w:type="dxa"/>
            <w:tcBorders>
              <w:top w:val="single" w:sz="12" w:space="0" w:color="auto"/>
              <w:left w:val="nil"/>
              <w:bottom w:val="single" w:sz="4" w:space="0" w:color="auto"/>
              <w:right w:val="nil"/>
            </w:tcBorders>
            <w:shd w:val="clear" w:color="auto" w:fill="FFFFFF" w:themeFill="background1"/>
            <w:vAlign w:val="center"/>
            <w:hideMark/>
          </w:tcPr>
          <w:p w14:paraId="2D6AA76F"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BG</w:t>
            </w:r>
          </w:p>
        </w:tc>
        <w:tc>
          <w:tcPr>
            <w:tcW w:w="992" w:type="dxa"/>
            <w:tcBorders>
              <w:top w:val="single" w:sz="12" w:space="0" w:color="auto"/>
              <w:left w:val="nil"/>
              <w:bottom w:val="single" w:sz="4" w:space="0" w:color="auto"/>
              <w:right w:val="nil"/>
            </w:tcBorders>
            <w:shd w:val="clear" w:color="auto" w:fill="FFFFFF" w:themeFill="background1"/>
            <w:vAlign w:val="center"/>
            <w:hideMark/>
          </w:tcPr>
          <w:p w14:paraId="6FA61F98"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AS</w:t>
            </w:r>
          </w:p>
        </w:tc>
        <w:tc>
          <w:tcPr>
            <w:tcW w:w="992" w:type="dxa"/>
            <w:tcBorders>
              <w:top w:val="single" w:sz="12" w:space="0" w:color="auto"/>
              <w:left w:val="nil"/>
              <w:bottom w:val="single" w:sz="4" w:space="0" w:color="auto"/>
              <w:right w:val="nil"/>
            </w:tcBorders>
            <w:shd w:val="clear" w:color="auto" w:fill="FFFFFF" w:themeFill="background1"/>
            <w:vAlign w:val="center"/>
            <w:hideMark/>
          </w:tcPr>
          <w:p w14:paraId="5316F4FE"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FS</w:t>
            </w:r>
          </w:p>
        </w:tc>
        <w:tc>
          <w:tcPr>
            <w:tcW w:w="1134" w:type="dxa"/>
            <w:tcBorders>
              <w:top w:val="single" w:sz="12" w:space="0" w:color="auto"/>
              <w:left w:val="nil"/>
              <w:bottom w:val="single" w:sz="4" w:space="0" w:color="auto"/>
              <w:right w:val="nil"/>
            </w:tcBorders>
            <w:shd w:val="clear" w:color="auto" w:fill="FFFFFF" w:themeFill="background1"/>
            <w:vAlign w:val="center"/>
            <w:hideMark/>
          </w:tcPr>
          <w:p w14:paraId="32C187F8"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LEV</w:t>
            </w:r>
          </w:p>
        </w:tc>
        <w:tc>
          <w:tcPr>
            <w:tcW w:w="992" w:type="dxa"/>
            <w:tcBorders>
              <w:top w:val="single" w:sz="12" w:space="0" w:color="auto"/>
              <w:left w:val="nil"/>
              <w:bottom w:val="single" w:sz="4" w:space="0" w:color="auto"/>
              <w:right w:val="nil"/>
            </w:tcBorders>
            <w:shd w:val="clear" w:color="auto" w:fill="FFFFFF" w:themeFill="background1"/>
            <w:vAlign w:val="center"/>
          </w:tcPr>
          <w:p w14:paraId="458A0AD0"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CFS</w:t>
            </w:r>
          </w:p>
        </w:tc>
        <w:tc>
          <w:tcPr>
            <w:tcW w:w="993" w:type="dxa"/>
            <w:tcBorders>
              <w:top w:val="single" w:sz="12" w:space="0" w:color="auto"/>
              <w:left w:val="nil"/>
              <w:bottom w:val="single" w:sz="4" w:space="0" w:color="auto"/>
              <w:right w:val="nil"/>
            </w:tcBorders>
            <w:shd w:val="clear" w:color="auto" w:fill="FFFFFF" w:themeFill="background1"/>
            <w:vAlign w:val="center"/>
          </w:tcPr>
          <w:p w14:paraId="5BCD9F9C"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ROA</w:t>
            </w:r>
          </w:p>
        </w:tc>
      </w:tr>
      <w:tr w:rsidR="00E51ACF" w:rsidRPr="00C73325" w14:paraId="00243B46" w14:textId="77777777" w:rsidTr="00E51ACF">
        <w:trPr>
          <w:trHeight w:val="331"/>
        </w:trPr>
        <w:tc>
          <w:tcPr>
            <w:tcW w:w="1289" w:type="dxa"/>
            <w:tcBorders>
              <w:top w:val="single" w:sz="4" w:space="0" w:color="auto"/>
              <w:left w:val="nil"/>
            </w:tcBorders>
            <w:shd w:val="clear" w:color="auto" w:fill="FFFFFF" w:themeFill="background1"/>
            <w:hideMark/>
          </w:tcPr>
          <w:p w14:paraId="5B22031D" w14:textId="13C2D1C5" w:rsidR="00E51ACF" w:rsidRPr="00215905" w:rsidRDefault="00E51ACF" w:rsidP="00113785">
            <w:pPr>
              <w:spacing w:after="0"/>
              <w:rPr>
                <w:rFonts w:eastAsia="Times New Roman" w:cs="Times New Roman"/>
                <w:iCs/>
                <w:sz w:val="22"/>
                <w:lang w:val="en-US" w:eastAsia="en-GB"/>
              </w:rPr>
            </w:pPr>
            <w:r w:rsidRPr="00215905">
              <w:rPr>
                <w:rFonts w:eastAsia="Times New Roman" w:cs="Times New Roman"/>
                <w:iCs/>
                <w:sz w:val="22"/>
                <w:lang w:val="en-US" w:eastAsia="en-GB"/>
              </w:rPr>
              <w:t xml:space="preserve">  DP1</w:t>
            </w:r>
          </w:p>
        </w:tc>
        <w:tc>
          <w:tcPr>
            <w:tcW w:w="1087" w:type="dxa"/>
            <w:tcBorders>
              <w:top w:val="single" w:sz="4" w:space="0" w:color="auto"/>
              <w:left w:val="nil"/>
              <w:right w:val="nil"/>
            </w:tcBorders>
            <w:shd w:val="clear" w:color="auto" w:fill="FFFFFF" w:themeFill="background1"/>
            <w:noWrap/>
            <w:hideMark/>
          </w:tcPr>
          <w:p w14:paraId="42DE6399" w14:textId="77777777" w:rsidR="00E51ACF" w:rsidRPr="00215905" w:rsidRDefault="00E51ACF" w:rsidP="00113785">
            <w:pPr>
              <w:spacing w:after="0"/>
              <w:rPr>
                <w:rFonts w:eastAsia="Times New Roman" w:cs="Times New Roman"/>
                <w:sz w:val="22"/>
                <w:lang w:val="en-US" w:eastAsia="en-GB"/>
              </w:rPr>
            </w:pPr>
          </w:p>
        </w:tc>
        <w:tc>
          <w:tcPr>
            <w:tcW w:w="1134" w:type="dxa"/>
            <w:tcBorders>
              <w:top w:val="single" w:sz="4" w:space="0" w:color="auto"/>
              <w:left w:val="nil"/>
              <w:right w:val="nil"/>
            </w:tcBorders>
            <w:shd w:val="clear" w:color="auto" w:fill="FFFFFF" w:themeFill="background1"/>
          </w:tcPr>
          <w:p w14:paraId="70331EFA" w14:textId="35019955" w:rsidR="00E51ACF" w:rsidRPr="00215905" w:rsidRDefault="00652E31"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.993</w:t>
            </w:r>
            <w:r w:rsidRPr="00215905">
              <w:rPr>
                <w:rFonts w:eastAsia="Times New Roman" w:cs="Times New Roman"/>
                <w:sz w:val="22"/>
                <w:vertAlign w:val="superscript"/>
                <w:lang w:val="en-US" w:eastAsia="en-GB"/>
              </w:rPr>
              <w:t>***</w:t>
            </w:r>
          </w:p>
        </w:tc>
        <w:tc>
          <w:tcPr>
            <w:tcW w:w="1134" w:type="dxa"/>
            <w:tcBorders>
              <w:top w:val="single" w:sz="4" w:space="0" w:color="auto"/>
              <w:left w:val="nil"/>
              <w:right w:val="nil"/>
            </w:tcBorders>
            <w:shd w:val="clear" w:color="auto" w:fill="FFFFFF" w:themeFill="background1"/>
            <w:noWrap/>
            <w:hideMark/>
          </w:tcPr>
          <w:p w14:paraId="689FCC48" w14:textId="27C5F41F"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.690</w:t>
            </w:r>
            <w:r w:rsidRPr="00215905">
              <w:rPr>
                <w:rFonts w:eastAsia="Times New Roman" w:cs="Times New Roman"/>
                <w:sz w:val="22"/>
                <w:vertAlign w:val="superscript"/>
                <w:lang w:val="en-US" w:eastAsia="en-GB"/>
              </w:rPr>
              <w:t>***</w:t>
            </w:r>
          </w:p>
        </w:tc>
        <w:tc>
          <w:tcPr>
            <w:tcW w:w="993" w:type="dxa"/>
            <w:tcBorders>
              <w:top w:val="single" w:sz="4" w:space="0" w:color="auto"/>
              <w:left w:val="nil"/>
              <w:right w:val="nil"/>
            </w:tcBorders>
            <w:shd w:val="clear" w:color="auto" w:fill="FFFFFF" w:themeFill="background1"/>
            <w:noWrap/>
            <w:hideMark/>
          </w:tcPr>
          <w:p w14:paraId="556CCEFB"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.133</w:t>
            </w:r>
            <w:r w:rsidRPr="00215905">
              <w:rPr>
                <w:rFonts w:eastAsia="Times New Roman" w:cs="Times New Roman"/>
                <w:sz w:val="22"/>
                <w:vertAlign w:val="superscript"/>
                <w:lang w:val="en-US" w:eastAsia="en-GB"/>
              </w:rPr>
              <w:t>*</w:t>
            </w:r>
          </w:p>
        </w:tc>
        <w:tc>
          <w:tcPr>
            <w:tcW w:w="1134" w:type="dxa"/>
            <w:tcBorders>
              <w:top w:val="single" w:sz="4" w:space="0" w:color="auto"/>
              <w:left w:val="nil"/>
              <w:right w:val="nil"/>
            </w:tcBorders>
            <w:shd w:val="clear" w:color="auto" w:fill="FFFFFF" w:themeFill="background1"/>
            <w:noWrap/>
            <w:hideMark/>
          </w:tcPr>
          <w:p w14:paraId="4A4D5171"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-.078</w:t>
            </w:r>
          </w:p>
        </w:tc>
        <w:tc>
          <w:tcPr>
            <w:tcW w:w="992" w:type="dxa"/>
            <w:tcBorders>
              <w:top w:val="single" w:sz="4" w:space="0" w:color="auto"/>
              <w:left w:val="nil"/>
              <w:right w:val="nil"/>
            </w:tcBorders>
            <w:shd w:val="clear" w:color="auto" w:fill="FFFFFF" w:themeFill="background1"/>
            <w:noWrap/>
            <w:hideMark/>
          </w:tcPr>
          <w:p w14:paraId="133A4939"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-.427</w:t>
            </w:r>
            <w:r w:rsidRPr="00215905">
              <w:rPr>
                <w:rFonts w:eastAsia="Times New Roman" w:cs="Times New Roman"/>
                <w:sz w:val="22"/>
                <w:vertAlign w:val="superscript"/>
                <w:lang w:val="en-US" w:eastAsia="en-GB"/>
              </w:rPr>
              <w:t>***</w:t>
            </w:r>
          </w:p>
        </w:tc>
        <w:tc>
          <w:tcPr>
            <w:tcW w:w="992" w:type="dxa"/>
            <w:tcBorders>
              <w:top w:val="single" w:sz="4" w:space="0" w:color="auto"/>
              <w:left w:val="nil"/>
              <w:right w:val="nil"/>
            </w:tcBorders>
            <w:shd w:val="clear" w:color="auto" w:fill="FFFFFF" w:themeFill="background1"/>
            <w:noWrap/>
            <w:hideMark/>
          </w:tcPr>
          <w:p w14:paraId="3E17DC22"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.041</w:t>
            </w:r>
          </w:p>
        </w:tc>
        <w:tc>
          <w:tcPr>
            <w:tcW w:w="992" w:type="dxa"/>
            <w:tcBorders>
              <w:top w:val="single" w:sz="4" w:space="0" w:color="auto"/>
              <w:left w:val="nil"/>
              <w:right w:val="nil"/>
            </w:tcBorders>
            <w:shd w:val="clear" w:color="auto" w:fill="FFFFFF" w:themeFill="background1"/>
            <w:noWrap/>
            <w:hideMark/>
          </w:tcPr>
          <w:p w14:paraId="3464E8AE"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.491</w:t>
            </w:r>
            <w:r w:rsidRPr="00215905">
              <w:rPr>
                <w:rFonts w:eastAsia="Times New Roman" w:cs="Times New Roman"/>
                <w:sz w:val="22"/>
                <w:vertAlign w:val="superscript"/>
                <w:lang w:val="en-US" w:eastAsia="en-GB"/>
              </w:rPr>
              <w:t>***</w:t>
            </w:r>
          </w:p>
        </w:tc>
        <w:tc>
          <w:tcPr>
            <w:tcW w:w="992" w:type="dxa"/>
            <w:tcBorders>
              <w:top w:val="single" w:sz="4" w:space="0" w:color="auto"/>
              <w:left w:val="nil"/>
              <w:right w:val="nil"/>
            </w:tcBorders>
            <w:shd w:val="clear" w:color="auto" w:fill="FFFFFF" w:themeFill="background1"/>
            <w:noWrap/>
            <w:hideMark/>
          </w:tcPr>
          <w:p w14:paraId="1E3F3D5F"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.569</w:t>
            </w:r>
            <w:r w:rsidRPr="00215905">
              <w:rPr>
                <w:rFonts w:eastAsia="Times New Roman" w:cs="Times New Roman"/>
                <w:sz w:val="22"/>
                <w:vertAlign w:val="superscript"/>
                <w:lang w:val="en-US" w:eastAsia="en-GB"/>
              </w:rPr>
              <w:t>***</w:t>
            </w:r>
          </w:p>
        </w:tc>
        <w:tc>
          <w:tcPr>
            <w:tcW w:w="1134" w:type="dxa"/>
            <w:tcBorders>
              <w:top w:val="single" w:sz="4" w:space="0" w:color="auto"/>
              <w:left w:val="nil"/>
              <w:right w:val="nil"/>
            </w:tcBorders>
            <w:shd w:val="clear" w:color="auto" w:fill="FFFFFF" w:themeFill="background1"/>
            <w:noWrap/>
            <w:hideMark/>
          </w:tcPr>
          <w:p w14:paraId="7B221709"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.136</w:t>
            </w:r>
            <w:r w:rsidRPr="00215905">
              <w:rPr>
                <w:rFonts w:eastAsia="Times New Roman" w:cs="Times New Roman"/>
                <w:sz w:val="22"/>
                <w:vertAlign w:val="superscript"/>
                <w:lang w:val="en-US" w:eastAsia="en-GB"/>
              </w:rPr>
              <w:t>*</w:t>
            </w:r>
            <w:r w:rsidRPr="00215905">
              <w:rPr>
                <w:rFonts w:eastAsia="Times New Roman" w:cs="Times New Roman"/>
                <w:sz w:val="22"/>
                <w:lang w:val="en-US" w:eastAsia="en-GB"/>
              </w:rPr>
              <w:t xml:space="preserve"> </w:t>
            </w:r>
          </w:p>
        </w:tc>
        <w:tc>
          <w:tcPr>
            <w:tcW w:w="992" w:type="dxa"/>
            <w:tcBorders>
              <w:top w:val="single" w:sz="4" w:space="0" w:color="auto"/>
              <w:left w:val="nil"/>
              <w:right w:val="nil"/>
            </w:tcBorders>
            <w:shd w:val="clear" w:color="auto" w:fill="FFFFFF" w:themeFill="background1"/>
            <w:noWrap/>
          </w:tcPr>
          <w:p w14:paraId="65DAB6F1"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 xml:space="preserve">.036 </w:t>
            </w:r>
          </w:p>
        </w:tc>
        <w:tc>
          <w:tcPr>
            <w:tcW w:w="993" w:type="dxa"/>
            <w:tcBorders>
              <w:top w:val="single" w:sz="4" w:space="0" w:color="auto"/>
              <w:left w:val="nil"/>
              <w:right w:val="nil"/>
            </w:tcBorders>
            <w:shd w:val="clear" w:color="auto" w:fill="FFFFFF" w:themeFill="background1"/>
            <w:noWrap/>
          </w:tcPr>
          <w:p w14:paraId="12A9335D"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.159</w:t>
            </w:r>
            <w:r w:rsidRPr="00215905">
              <w:rPr>
                <w:rFonts w:eastAsia="Times New Roman" w:cs="Times New Roman"/>
                <w:sz w:val="22"/>
                <w:vertAlign w:val="superscript"/>
                <w:lang w:val="en-US" w:eastAsia="en-GB"/>
              </w:rPr>
              <w:t>**</w:t>
            </w:r>
            <w:r w:rsidRPr="00215905">
              <w:rPr>
                <w:rFonts w:eastAsia="Times New Roman" w:cs="Times New Roman"/>
                <w:sz w:val="22"/>
                <w:lang w:val="en-US" w:eastAsia="en-GB"/>
              </w:rPr>
              <w:t xml:space="preserve"> </w:t>
            </w:r>
          </w:p>
        </w:tc>
      </w:tr>
      <w:tr w:rsidR="00E51ACF" w:rsidRPr="00C73325" w14:paraId="055AB753" w14:textId="77777777" w:rsidTr="00E51ACF">
        <w:trPr>
          <w:trHeight w:val="331"/>
        </w:trPr>
        <w:tc>
          <w:tcPr>
            <w:tcW w:w="1289" w:type="dxa"/>
            <w:tcBorders>
              <w:left w:val="nil"/>
              <w:bottom w:val="nil"/>
            </w:tcBorders>
            <w:shd w:val="clear" w:color="auto" w:fill="FFFFFF" w:themeFill="background1"/>
          </w:tcPr>
          <w:p w14:paraId="77242993" w14:textId="73A13214" w:rsidR="00E51ACF" w:rsidRPr="00215905" w:rsidRDefault="00E51ACF" w:rsidP="00113785">
            <w:pPr>
              <w:spacing w:after="0"/>
              <w:rPr>
                <w:rFonts w:eastAsia="Times New Roman" w:cs="Times New Roman"/>
                <w:iCs/>
                <w:sz w:val="22"/>
                <w:lang w:val="en-US" w:eastAsia="en-GB"/>
              </w:rPr>
            </w:pPr>
            <w:r w:rsidRPr="00215905">
              <w:rPr>
                <w:rFonts w:eastAsia="Times New Roman" w:cs="Times New Roman"/>
                <w:iCs/>
                <w:sz w:val="22"/>
                <w:lang w:val="en-US" w:eastAsia="en-GB"/>
              </w:rPr>
              <w:t xml:space="preserve">  DP2</w:t>
            </w:r>
          </w:p>
        </w:tc>
        <w:tc>
          <w:tcPr>
            <w:tcW w:w="1087" w:type="dxa"/>
            <w:tcBorders>
              <w:left w:val="nil"/>
              <w:bottom w:val="nil"/>
              <w:right w:val="nil"/>
            </w:tcBorders>
            <w:shd w:val="clear" w:color="auto" w:fill="FFFFFF" w:themeFill="background1"/>
            <w:noWrap/>
          </w:tcPr>
          <w:p w14:paraId="415BD11B" w14:textId="457C9EA2"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0.989</w:t>
            </w:r>
            <w:r w:rsidRPr="00215905">
              <w:rPr>
                <w:rFonts w:eastAsia="Times New Roman" w:cs="Times New Roman"/>
                <w:sz w:val="22"/>
                <w:vertAlign w:val="superscript"/>
                <w:lang w:val="en-US" w:eastAsia="en-GB"/>
              </w:rPr>
              <w:t>***</w:t>
            </w:r>
          </w:p>
        </w:tc>
        <w:tc>
          <w:tcPr>
            <w:tcW w:w="1134" w:type="dxa"/>
            <w:tcBorders>
              <w:left w:val="nil"/>
              <w:bottom w:val="nil"/>
              <w:right w:val="nil"/>
            </w:tcBorders>
            <w:shd w:val="clear" w:color="auto" w:fill="FFFFFF" w:themeFill="background1"/>
          </w:tcPr>
          <w:p w14:paraId="7A71D771" w14:textId="77777777" w:rsidR="00E51ACF" w:rsidRPr="00215905" w:rsidRDefault="00E51ACF" w:rsidP="00113785">
            <w:pPr>
              <w:spacing w:after="0"/>
              <w:rPr>
                <w:rFonts w:eastAsia="Times New Roman" w:cs="Times New Roman"/>
                <w:sz w:val="22"/>
                <w:lang w:val="en-US" w:eastAsia="en-GB"/>
              </w:rPr>
            </w:pPr>
          </w:p>
        </w:tc>
        <w:tc>
          <w:tcPr>
            <w:tcW w:w="1134" w:type="dxa"/>
            <w:tcBorders>
              <w:left w:val="nil"/>
              <w:bottom w:val="nil"/>
              <w:right w:val="nil"/>
            </w:tcBorders>
            <w:shd w:val="clear" w:color="auto" w:fill="FFFFFF" w:themeFill="background1"/>
            <w:noWrap/>
          </w:tcPr>
          <w:p w14:paraId="7C62F3B2" w14:textId="4E49C3BA" w:rsidR="00E51ACF" w:rsidRPr="00215905" w:rsidRDefault="00652E31"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.657</w:t>
            </w:r>
            <w:r w:rsidRPr="00215905">
              <w:rPr>
                <w:rFonts w:eastAsia="Times New Roman" w:cs="Times New Roman"/>
                <w:sz w:val="22"/>
                <w:vertAlign w:val="superscript"/>
                <w:lang w:val="en-US" w:eastAsia="en-GB"/>
              </w:rPr>
              <w:t>***</w:t>
            </w:r>
          </w:p>
        </w:tc>
        <w:tc>
          <w:tcPr>
            <w:tcW w:w="993" w:type="dxa"/>
            <w:tcBorders>
              <w:left w:val="nil"/>
              <w:bottom w:val="nil"/>
              <w:right w:val="nil"/>
            </w:tcBorders>
            <w:shd w:val="clear" w:color="auto" w:fill="FFFFFF" w:themeFill="background1"/>
            <w:noWrap/>
          </w:tcPr>
          <w:p w14:paraId="7B2BF85C" w14:textId="220D24AC" w:rsidR="00E51ACF" w:rsidRPr="00215905" w:rsidRDefault="00652E31"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.126</w:t>
            </w:r>
            <w:r w:rsidRPr="00215905">
              <w:rPr>
                <w:rFonts w:eastAsia="Times New Roman" w:cs="Times New Roman"/>
                <w:sz w:val="22"/>
                <w:vertAlign w:val="superscript"/>
                <w:lang w:val="en-US" w:eastAsia="en-GB"/>
              </w:rPr>
              <w:t>*</w:t>
            </w:r>
          </w:p>
        </w:tc>
        <w:tc>
          <w:tcPr>
            <w:tcW w:w="1134" w:type="dxa"/>
            <w:tcBorders>
              <w:left w:val="nil"/>
              <w:bottom w:val="nil"/>
              <w:right w:val="nil"/>
            </w:tcBorders>
            <w:shd w:val="clear" w:color="auto" w:fill="FFFFFF" w:themeFill="background1"/>
            <w:noWrap/>
          </w:tcPr>
          <w:p w14:paraId="60E3D5A2" w14:textId="63292657" w:rsidR="00E51ACF" w:rsidRPr="00215905" w:rsidRDefault="00652E31" w:rsidP="00113785">
            <w:pPr>
              <w:spacing w:after="0"/>
              <w:rPr>
                <w:rFonts w:eastAsia="Times New Roman" w:cs="Times New Roman"/>
                <w:sz w:val="22"/>
                <w:lang w:val="en-US" w:eastAsia="en-GB"/>
              </w:rPr>
            </w:pPr>
            <w:r w:rsidRPr="00215905">
              <w:rPr>
                <w:rFonts w:eastAsia="Times New Roman" w:cs="Times New Roman"/>
                <w:sz w:val="22"/>
                <w:lang w:val="en-US" w:eastAsia="en-GB"/>
              </w:rPr>
              <w:t>-.084</w:t>
            </w:r>
          </w:p>
        </w:tc>
        <w:tc>
          <w:tcPr>
            <w:tcW w:w="992" w:type="dxa"/>
            <w:tcBorders>
              <w:left w:val="nil"/>
              <w:bottom w:val="nil"/>
              <w:right w:val="nil"/>
            </w:tcBorders>
            <w:shd w:val="clear" w:color="auto" w:fill="FFFFFF" w:themeFill="background1"/>
            <w:noWrap/>
          </w:tcPr>
          <w:p w14:paraId="1F879D91" w14:textId="0A423B85" w:rsidR="00E51ACF" w:rsidRPr="00215905" w:rsidRDefault="00652E31"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-.424</w:t>
            </w:r>
            <w:r w:rsidRPr="00215905">
              <w:rPr>
                <w:rFonts w:eastAsia="Times New Roman" w:cs="Times New Roman"/>
                <w:sz w:val="22"/>
                <w:vertAlign w:val="superscript"/>
                <w:lang w:val="en-US" w:eastAsia="en-GB"/>
              </w:rPr>
              <w:t>***</w:t>
            </w:r>
          </w:p>
        </w:tc>
        <w:tc>
          <w:tcPr>
            <w:tcW w:w="992" w:type="dxa"/>
            <w:tcBorders>
              <w:left w:val="nil"/>
              <w:bottom w:val="nil"/>
              <w:right w:val="nil"/>
            </w:tcBorders>
            <w:shd w:val="clear" w:color="auto" w:fill="FFFFFF" w:themeFill="background1"/>
            <w:noWrap/>
          </w:tcPr>
          <w:p w14:paraId="30B484DD" w14:textId="6DE776EE" w:rsidR="00E51ACF" w:rsidRPr="00215905" w:rsidRDefault="00652E31" w:rsidP="00113785">
            <w:pPr>
              <w:spacing w:after="0"/>
              <w:rPr>
                <w:rFonts w:eastAsia="Times New Roman" w:cs="Times New Roman"/>
                <w:sz w:val="22"/>
                <w:lang w:val="en-US" w:eastAsia="en-GB"/>
              </w:rPr>
            </w:pPr>
            <w:r w:rsidRPr="00215905">
              <w:rPr>
                <w:rFonts w:eastAsia="Times New Roman" w:cs="Times New Roman"/>
                <w:sz w:val="22"/>
                <w:lang w:val="en-US" w:eastAsia="en-GB"/>
              </w:rPr>
              <w:t>.044</w:t>
            </w:r>
          </w:p>
        </w:tc>
        <w:tc>
          <w:tcPr>
            <w:tcW w:w="992" w:type="dxa"/>
            <w:tcBorders>
              <w:left w:val="nil"/>
              <w:bottom w:val="nil"/>
              <w:right w:val="nil"/>
            </w:tcBorders>
            <w:shd w:val="clear" w:color="auto" w:fill="FFFFFF" w:themeFill="background1"/>
            <w:noWrap/>
          </w:tcPr>
          <w:p w14:paraId="1859ED2D" w14:textId="56A45721" w:rsidR="00E51ACF" w:rsidRPr="00215905" w:rsidRDefault="00652E31"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.465</w:t>
            </w:r>
            <w:r w:rsidRPr="00215905">
              <w:rPr>
                <w:rFonts w:eastAsia="Times New Roman" w:cs="Times New Roman"/>
                <w:sz w:val="22"/>
                <w:vertAlign w:val="superscript"/>
                <w:lang w:val="en-US" w:eastAsia="en-GB"/>
              </w:rPr>
              <w:t>***</w:t>
            </w:r>
          </w:p>
        </w:tc>
        <w:tc>
          <w:tcPr>
            <w:tcW w:w="992" w:type="dxa"/>
            <w:tcBorders>
              <w:left w:val="nil"/>
              <w:bottom w:val="nil"/>
              <w:right w:val="nil"/>
            </w:tcBorders>
            <w:shd w:val="clear" w:color="auto" w:fill="FFFFFF" w:themeFill="background1"/>
            <w:noWrap/>
          </w:tcPr>
          <w:p w14:paraId="4CEC977C" w14:textId="0BC54584" w:rsidR="00E51ACF" w:rsidRPr="00215905" w:rsidRDefault="00652E31"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.485</w:t>
            </w:r>
            <w:r w:rsidRPr="00215905">
              <w:rPr>
                <w:rFonts w:eastAsia="Times New Roman" w:cs="Times New Roman"/>
                <w:sz w:val="22"/>
                <w:vertAlign w:val="superscript"/>
                <w:lang w:val="en-US" w:eastAsia="en-GB"/>
              </w:rPr>
              <w:t>***</w:t>
            </w:r>
          </w:p>
        </w:tc>
        <w:tc>
          <w:tcPr>
            <w:tcW w:w="1134" w:type="dxa"/>
            <w:tcBorders>
              <w:left w:val="nil"/>
              <w:bottom w:val="nil"/>
              <w:right w:val="nil"/>
            </w:tcBorders>
            <w:shd w:val="clear" w:color="auto" w:fill="FFFFFF" w:themeFill="background1"/>
            <w:noWrap/>
          </w:tcPr>
          <w:p w14:paraId="2B7C5C78" w14:textId="7DAE3146" w:rsidR="00E51ACF" w:rsidRPr="00215905" w:rsidRDefault="00652E31"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.125</w:t>
            </w:r>
            <w:r w:rsidRPr="00215905">
              <w:rPr>
                <w:rFonts w:eastAsia="Times New Roman" w:cs="Times New Roman"/>
                <w:sz w:val="22"/>
                <w:vertAlign w:val="superscript"/>
                <w:lang w:val="en-US" w:eastAsia="en-GB"/>
              </w:rPr>
              <w:t>*</w:t>
            </w:r>
          </w:p>
        </w:tc>
        <w:tc>
          <w:tcPr>
            <w:tcW w:w="992" w:type="dxa"/>
            <w:tcBorders>
              <w:left w:val="nil"/>
              <w:bottom w:val="nil"/>
              <w:right w:val="nil"/>
            </w:tcBorders>
            <w:shd w:val="clear" w:color="auto" w:fill="FFFFFF" w:themeFill="background1"/>
            <w:noWrap/>
          </w:tcPr>
          <w:p w14:paraId="5CF43B10" w14:textId="4A3409F2" w:rsidR="00E51ACF" w:rsidRPr="00215905" w:rsidRDefault="00652E31" w:rsidP="00113785">
            <w:pPr>
              <w:spacing w:after="0"/>
              <w:rPr>
                <w:rFonts w:eastAsia="Times New Roman" w:cs="Times New Roman"/>
                <w:sz w:val="22"/>
                <w:lang w:val="en-US" w:eastAsia="en-GB"/>
              </w:rPr>
            </w:pPr>
            <w:r w:rsidRPr="00215905">
              <w:rPr>
                <w:rFonts w:eastAsia="Times New Roman" w:cs="Times New Roman"/>
                <w:sz w:val="22"/>
                <w:lang w:val="en-US" w:eastAsia="en-GB"/>
              </w:rPr>
              <w:t>.042</w:t>
            </w:r>
          </w:p>
        </w:tc>
        <w:tc>
          <w:tcPr>
            <w:tcW w:w="993" w:type="dxa"/>
            <w:tcBorders>
              <w:left w:val="nil"/>
              <w:bottom w:val="nil"/>
              <w:right w:val="nil"/>
            </w:tcBorders>
            <w:shd w:val="clear" w:color="auto" w:fill="FFFFFF" w:themeFill="background1"/>
            <w:noWrap/>
          </w:tcPr>
          <w:p w14:paraId="208ABBFE" w14:textId="5054BB1A" w:rsidR="00E51ACF" w:rsidRPr="00215905" w:rsidRDefault="00652E31"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.170</w:t>
            </w:r>
            <w:r w:rsidRPr="00215905">
              <w:rPr>
                <w:rFonts w:eastAsia="Times New Roman" w:cs="Times New Roman"/>
                <w:sz w:val="22"/>
                <w:vertAlign w:val="superscript"/>
                <w:lang w:val="en-US" w:eastAsia="en-GB"/>
              </w:rPr>
              <w:t>**</w:t>
            </w:r>
          </w:p>
        </w:tc>
      </w:tr>
      <w:tr w:rsidR="00E51ACF" w:rsidRPr="00C73325" w14:paraId="57089817" w14:textId="77777777" w:rsidTr="00E51ACF">
        <w:trPr>
          <w:trHeight w:val="331"/>
        </w:trPr>
        <w:tc>
          <w:tcPr>
            <w:tcW w:w="1289" w:type="dxa"/>
            <w:tcBorders>
              <w:top w:val="nil"/>
              <w:left w:val="nil"/>
              <w:bottom w:val="nil"/>
            </w:tcBorders>
            <w:shd w:val="clear" w:color="auto" w:fill="FFFFFF" w:themeFill="background1"/>
            <w:hideMark/>
          </w:tcPr>
          <w:p w14:paraId="0902A0A9" w14:textId="77777777" w:rsidR="00E51ACF" w:rsidRPr="00215905" w:rsidRDefault="00E51ACF" w:rsidP="00113785">
            <w:pPr>
              <w:spacing w:after="0"/>
              <w:rPr>
                <w:rFonts w:eastAsia="Times New Roman" w:cs="Times New Roman"/>
                <w:iCs/>
                <w:sz w:val="22"/>
                <w:lang w:val="en-US" w:eastAsia="en-GB"/>
              </w:rPr>
            </w:pPr>
            <w:r w:rsidRPr="00215905">
              <w:rPr>
                <w:rFonts w:eastAsia="Times New Roman" w:cs="Times New Roman"/>
                <w:iCs/>
                <w:sz w:val="22"/>
                <w:lang w:val="en-US" w:eastAsia="en-GB"/>
              </w:rPr>
              <w:t xml:space="preserve">  BS</w:t>
            </w:r>
          </w:p>
        </w:tc>
        <w:tc>
          <w:tcPr>
            <w:tcW w:w="1087" w:type="dxa"/>
            <w:tcBorders>
              <w:top w:val="nil"/>
              <w:left w:val="nil"/>
              <w:bottom w:val="nil"/>
              <w:right w:val="nil"/>
            </w:tcBorders>
            <w:shd w:val="clear" w:color="auto" w:fill="FFFFFF" w:themeFill="background1"/>
            <w:noWrap/>
            <w:hideMark/>
          </w:tcPr>
          <w:p w14:paraId="44DA17A9"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.447</w:t>
            </w:r>
            <w:r w:rsidRPr="00215905">
              <w:rPr>
                <w:rFonts w:eastAsia="Times New Roman" w:cs="Times New Roman"/>
                <w:sz w:val="22"/>
                <w:vertAlign w:val="superscript"/>
                <w:lang w:val="en-US" w:eastAsia="en-GB"/>
              </w:rPr>
              <w:t>***</w:t>
            </w:r>
          </w:p>
        </w:tc>
        <w:tc>
          <w:tcPr>
            <w:tcW w:w="1134" w:type="dxa"/>
            <w:shd w:val="clear" w:color="auto" w:fill="FFFFFF" w:themeFill="background1"/>
          </w:tcPr>
          <w:p w14:paraId="302A8E61" w14:textId="7FBEB83C"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.449</w:t>
            </w:r>
            <w:r w:rsidRPr="00215905">
              <w:rPr>
                <w:rFonts w:eastAsia="Times New Roman" w:cs="Times New Roman"/>
                <w:sz w:val="22"/>
                <w:vertAlign w:val="superscript"/>
                <w:lang w:val="en-US" w:eastAsia="en-GB"/>
              </w:rPr>
              <w:t>***</w:t>
            </w:r>
          </w:p>
        </w:tc>
        <w:tc>
          <w:tcPr>
            <w:tcW w:w="1134" w:type="dxa"/>
            <w:shd w:val="clear" w:color="auto" w:fill="FFFFFF" w:themeFill="background1"/>
            <w:noWrap/>
            <w:hideMark/>
          </w:tcPr>
          <w:p w14:paraId="7DCA934F" w14:textId="7438553A" w:rsidR="00E51ACF" w:rsidRPr="00215905" w:rsidRDefault="00E51ACF" w:rsidP="00113785">
            <w:pPr>
              <w:spacing w:after="0"/>
              <w:rPr>
                <w:rFonts w:eastAsia="Times New Roman" w:cs="Times New Roman"/>
                <w:sz w:val="22"/>
                <w:lang w:val="en-US" w:eastAsia="en-GB"/>
              </w:rPr>
            </w:pPr>
          </w:p>
        </w:tc>
        <w:tc>
          <w:tcPr>
            <w:tcW w:w="993" w:type="dxa"/>
            <w:shd w:val="clear" w:color="auto" w:fill="FFFFFF" w:themeFill="background1"/>
            <w:noWrap/>
            <w:hideMark/>
          </w:tcPr>
          <w:p w14:paraId="5F824851"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.244</w:t>
            </w:r>
            <w:r w:rsidRPr="00215905">
              <w:rPr>
                <w:rFonts w:eastAsia="Times New Roman" w:cs="Times New Roman"/>
                <w:sz w:val="22"/>
                <w:vertAlign w:val="superscript"/>
                <w:lang w:val="en-US" w:eastAsia="en-GB"/>
              </w:rPr>
              <w:t>***</w:t>
            </w:r>
          </w:p>
        </w:tc>
        <w:tc>
          <w:tcPr>
            <w:tcW w:w="1134" w:type="dxa"/>
            <w:shd w:val="clear" w:color="auto" w:fill="FFFFFF" w:themeFill="background1"/>
            <w:noWrap/>
            <w:hideMark/>
          </w:tcPr>
          <w:p w14:paraId="241D26C4"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-.039</w:t>
            </w:r>
          </w:p>
        </w:tc>
        <w:tc>
          <w:tcPr>
            <w:tcW w:w="992" w:type="dxa"/>
            <w:shd w:val="clear" w:color="auto" w:fill="FFFFFF" w:themeFill="background1"/>
            <w:noWrap/>
            <w:hideMark/>
          </w:tcPr>
          <w:p w14:paraId="0D64F0CB"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-.283</w:t>
            </w:r>
            <w:r w:rsidRPr="00215905">
              <w:rPr>
                <w:rFonts w:eastAsia="Times New Roman" w:cs="Times New Roman"/>
                <w:sz w:val="22"/>
                <w:vertAlign w:val="superscript"/>
                <w:lang w:val="en-US" w:eastAsia="en-GB"/>
              </w:rPr>
              <w:t>***</w:t>
            </w:r>
          </w:p>
        </w:tc>
        <w:tc>
          <w:tcPr>
            <w:tcW w:w="992" w:type="dxa"/>
            <w:shd w:val="clear" w:color="auto" w:fill="FFFFFF" w:themeFill="background1"/>
            <w:noWrap/>
            <w:hideMark/>
          </w:tcPr>
          <w:p w14:paraId="74764913"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 xml:space="preserve">.085 </w:t>
            </w:r>
          </w:p>
        </w:tc>
        <w:tc>
          <w:tcPr>
            <w:tcW w:w="992" w:type="dxa"/>
            <w:shd w:val="clear" w:color="auto" w:fill="FFFFFF" w:themeFill="background1"/>
            <w:noWrap/>
            <w:hideMark/>
          </w:tcPr>
          <w:p w14:paraId="78DE59FB"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.616</w:t>
            </w:r>
            <w:r w:rsidRPr="00215905">
              <w:rPr>
                <w:rFonts w:eastAsia="Times New Roman" w:cs="Times New Roman"/>
                <w:sz w:val="22"/>
                <w:vertAlign w:val="superscript"/>
                <w:lang w:val="en-US" w:eastAsia="en-GB"/>
              </w:rPr>
              <w:t>***</w:t>
            </w:r>
          </w:p>
        </w:tc>
        <w:tc>
          <w:tcPr>
            <w:tcW w:w="992" w:type="dxa"/>
            <w:shd w:val="clear" w:color="auto" w:fill="FFFFFF" w:themeFill="background1"/>
            <w:noWrap/>
            <w:hideMark/>
          </w:tcPr>
          <w:p w14:paraId="052EEA99"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.634</w:t>
            </w:r>
            <w:r w:rsidRPr="00215905">
              <w:rPr>
                <w:rFonts w:eastAsia="Times New Roman" w:cs="Times New Roman"/>
                <w:sz w:val="22"/>
                <w:vertAlign w:val="superscript"/>
                <w:lang w:val="en-US" w:eastAsia="en-GB"/>
              </w:rPr>
              <w:t>***</w:t>
            </w:r>
          </w:p>
        </w:tc>
        <w:tc>
          <w:tcPr>
            <w:tcW w:w="1134" w:type="dxa"/>
            <w:shd w:val="clear" w:color="auto" w:fill="FFFFFF" w:themeFill="background1"/>
            <w:noWrap/>
            <w:hideMark/>
          </w:tcPr>
          <w:p w14:paraId="73EA9F29"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.217</w:t>
            </w:r>
            <w:r w:rsidRPr="00215905">
              <w:rPr>
                <w:rFonts w:eastAsia="Times New Roman" w:cs="Times New Roman"/>
                <w:sz w:val="22"/>
                <w:vertAlign w:val="superscript"/>
                <w:lang w:val="en-US" w:eastAsia="en-GB"/>
              </w:rPr>
              <w:t>***</w:t>
            </w:r>
          </w:p>
        </w:tc>
        <w:tc>
          <w:tcPr>
            <w:tcW w:w="992" w:type="dxa"/>
            <w:shd w:val="clear" w:color="auto" w:fill="FFFFFF" w:themeFill="background1"/>
            <w:noWrap/>
          </w:tcPr>
          <w:p w14:paraId="0AE8CED9"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.000</w:t>
            </w:r>
          </w:p>
        </w:tc>
        <w:tc>
          <w:tcPr>
            <w:tcW w:w="993" w:type="dxa"/>
            <w:shd w:val="clear" w:color="auto" w:fill="FFFFFF" w:themeFill="background1"/>
            <w:noWrap/>
          </w:tcPr>
          <w:p w14:paraId="2054247D"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.034</w:t>
            </w:r>
          </w:p>
        </w:tc>
      </w:tr>
      <w:tr w:rsidR="00E51ACF" w:rsidRPr="00C73325" w14:paraId="281610A2" w14:textId="77777777" w:rsidTr="00E51ACF">
        <w:trPr>
          <w:trHeight w:val="331"/>
        </w:trPr>
        <w:tc>
          <w:tcPr>
            <w:tcW w:w="1289" w:type="dxa"/>
            <w:tcBorders>
              <w:top w:val="nil"/>
              <w:left w:val="nil"/>
              <w:bottom w:val="nil"/>
            </w:tcBorders>
            <w:shd w:val="clear" w:color="auto" w:fill="FFFFFF" w:themeFill="background1"/>
            <w:hideMark/>
          </w:tcPr>
          <w:p w14:paraId="7FBF8B89" w14:textId="77777777" w:rsidR="00E51ACF" w:rsidRPr="00215905" w:rsidRDefault="00E51ACF" w:rsidP="00113785">
            <w:pPr>
              <w:spacing w:after="0"/>
              <w:rPr>
                <w:rFonts w:eastAsia="Times New Roman" w:cs="Times New Roman"/>
                <w:iCs/>
                <w:sz w:val="22"/>
                <w:lang w:val="en-US" w:eastAsia="en-GB"/>
              </w:rPr>
            </w:pPr>
            <w:r w:rsidRPr="00215905">
              <w:rPr>
                <w:rFonts w:eastAsia="Times New Roman" w:cs="Times New Roman"/>
                <w:iCs/>
                <w:sz w:val="22"/>
                <w:lang w:val="en-US" w:eastAsia="en-GB"/>
              </w:rPr>
              <w:t xml:space="preserve">  BI</w:t>
            </w:r>
          </w:p>
        </w:tc>
        <w:tc>
          <w:tcPr>
            <w:tcW w:w="1087" w:type="dxa"/>
            <w:tcBorders>
              <w:top w:val="nil"/>
              <w:left w:val="nil"/>
              <w:bottom w:val="nil"/>
              <w:right w:val="nil"/>
            </w:tcBorders>
            <w:shd w:val="clear" w:color="auto" w:fill="FFFFFF" w:themeFill="background1"/>
            <w:noWrap/>
            <w:hideMark/>
          </w:tcPr>
          <w:p w14:paraId="7258F729"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.095</w:t>
            </w:r>
          </w:p>
        </w:tc>
        <w:tc>
          <w:tcPr>
            <w:tcW w:w="1134" w:type="dxa"/>
            <w:shd w:val="clear" w:color="auto" w:fill="FFFFFF" w:themeFill="background1"/>
          </w:tcPr>
          <w:p w14:paraId="2F2E7164" w14:textId="4A9A3ED2"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.088</w:t>
            </w:r>
          </w:p>
        </w:tc>
        <w:tc>
          <w:tcPr>
            <w:tcW w:w="1134" w:type="dxa"/>
            <w:shd w:val="clear" w:color="auto" w:fill="FFFFFF" w:themeFill="background1"/>
            <w:noWrap/>
            <w:hideMark/>
          </w:tcPr>
          <w:p w14:paraId="5A0ECB6A" w14:textId="6BA4DFE6"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.277</w:t>
            </w:r>
            <w:r w:rsidRPr="00215905">
              <w:rPr>
                <w:rFonts w:eastAsia="Times New Roman" w:cs="Times New Roman"/>
                <w:sz w:val="22"/>
                <w:vertAlign w:val="superscript"/>
                <w:lang w:val="en-US" w:eastAsia="en-GB"/>
              </w:rPr>
              <w:t>***</w:t>
            </w:r>
          </w:p>
        </w:tc>
        <w:tc>
          <w:tcPr>
            <w:tcW w:w="993" w:type="dxa"/>
            <w:shd w:val="clear" w:color="auto" w:fill="FFFFFF" w:themeFill="background1"/>
            <w:noWrap/>
          </w:tcPr>
          <w:p w14:paraId="049E9487" w14:textId="77777777" w:rsidR="00E51ACF" w:rsidRPr="00215905" w:rsidRDefault="00E51ACF" w:rsidP="00113785">
            <w:pPr>
              <w:spacing w:after="0"/>
              <w:rPr>
                <w:rFonts w:eastAsia="Times New Roman" w:cs="Times New Roman"/>
                <w:sz w:val="22"/>
                <w:lang w:val="en-US" w:eastAsia="en-GB"/>
              </w:rPr>
            </w:pPr>
          </w:p>
        </w:tc>
        <w:tc>
          <w:tcPr>
            <w:tcW w:w="1134" w:type="dxa"/>
            <w:shd w:val="clear" w:color="auto" w:fill="FFFFFF" w:themeFill="background1"/>
            <w:noWrap/>
            <w:hideMark/>
          </w:tcPr>
          <w:p w14:paraId="52B4AB8D"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-.016</w:t>
            </w:r>
          </w:p>
        </w:tc>
        <w:tc>
          <w:tcPr>
            <w:tcW w:w="992" w:type="dxa"/>
            <w:shd w:val="clear" w:color="auto" w:fill="FFFFFF" w:themeFill="background1"/>
            <w:noWrap/>
            <w:hideMark/>
          </w:tcPr>
          <w:p w14:paraId="78261603"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-.053</w:t>
            </w:r>
          </w:p>
        </w:tc>
        <w:tc>
          <w:tcPr>
            <w:tcW w:w="992" w:type="dxa"/>
            <w:shd w:val="clear" w:color="auto" w:fill="FFFFFF" w:themeFill="background1"/>
            <w:noWrap/>
            <w:hideMark/>
          </w:tcPr>
          <w:p w14:paraId="68277077"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.083</w:t>
            </w:r>
          </w:p>
        </w:tc>
        <w:tc>
          <w:tcPr>
            <w:tcW w:w="992" w:type="dxa"/>
            <w:shd w:val="clear" w:color="auto" w:fill="FFFFFF" w:themeFill="background1"/>
            <w:noWrap/>
            <w:hideMark/>
          </w:tcPr>
          <w:p w14:paraId="4C127D57"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.302</w:t>
            </w:r>
            <w:r w:rsidRPr="00215905">
              <w:rPr>
                <w:rFonts w:eastAsia="Times New Roman" w:cs="Times New Roman"/>
                <w:sz w:val="22"/>
                <w:vertAlign w:val="superscript"/>
                <w:lang w:val="en-US" w:eastAsia="en-GB"/>
              </w:rPr>
              <w:t>***</w:t>
            </w:r>
          </w:p>
        </w:tc>
        <w:tc>
          <w:tcPr>
            <w:tcW w:w="992" w:type="dxa"/>
            <w:shd w:val="clear" w:color="auto" w:fill="FFFFFF" w:themeFill="background1"/>
            <w:noWrap/>
            <w:hideMark/>
          </w:tcPr>
          <w:p w14:paraId="7C5F52F6"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.136</w:t>
            </w:r>
            <w:r w:rsidRPr="00215905">
              <w:rPr>
                <w:rFonts w:eastAsia="Times New Roman" w:cs="Times New Roman"/>
                <w:sz w:val="22"/>
                <w:vertAlign w:val="superscript"/>
                <w:lang w:val="en-US" w:eastAsia="en-GB"/>
              </w:rPr>
              <w:t>*</w:t>
            </w:r>
          </w:p>
        </w:tc>
        <w:tc>
          <w:tcPr>
            <w:tcW w:w="1134" w:type="dxa"/>
            <w:shd w:val="clear" w:color="auto" w:fill="FFFFFF" w:themeFill="background1"/>
            <w:noWrap/>
            <w:hideMark/>
          </w:tcPr>
          <w:p w14:paraId="6FFE97D5"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.063</w:t>
            </w:r>
          </w:p>
        </w:tc>
        <w:tc>
          <w:tcPr>
            <w:tcW w:w="992" w:type="dxa"/>
            <w:shd w:val="clear" w:color="auto" w:fill="FFFFFF" w:themeFill="background1"/>
            <w:noWrap/>
          </w:tcPr>
          <w:p w14:paraId="1513B8F2"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-.052</w:t>
            </w:r>
          </w:p>
        </w:tc>
        <w:tc>
          <w:tcPr>
            <w:tcW w:w="993" w:type="dxa"/>
            <w:shd w:val="clear" w:color="auto" w:fill="FFFFFF" w:themeFill="background1"/>
            <w:noWrap/>
          </w:tcPr>
          <w:p w14:paraId="30AAEB6A"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.035</w:t>
            </w:r>
          </w:p>
        </w:tc>
      </w:tr>
      <w:tr w:rsidR="00E51ACF" w:rsidRPr="00C73325" w14:paraId="39A4BCAA" w14:textId="77777777" w:rsidTr="00E51ACF">
        <w:trPr>
          <w:trHeight w:val="331"/>
        </w:trPr>
        <w:tc>
          <w:tcPr>
            <w:tcW w:w="1289" w:type="dxa"/>
            <w:tcBorders>
              <w:top w:val="nil"/>
              <w:left w:val="nil"/>
              <w:bottom w:val="nil"/>
            </w:tcBorders>
            <w:shd w:val="clear" w:color="auto" w:fill="FFFFFF" w:themeFill="background1"/>
            <w:hideMark/>
          </w:tcPr>
          <w:p w14:paraId="7188E97F" w14:textId="77777777" w:rsidR="00E51ACF" w:rsidRPr="00215905" w:rsidRDefault="00E51ACF" w:rsidP="00113785">
            <w:pPr>
              <w:spacing w:after="0"/>
              <w:rPr>
                <w:rFonts w:eastAsia="Times New Roman" w:cs="Times New Roman"/>
                <w:iCs/>
                <w:sz w:val="22"/>
                <w:lang w:val="en-US" w:eastAsia="en-GB"/>
              </w:rPr>
            </w:pPr>
            <w:r w:rsidRPr="00215905">
              <w:rPr>
                <w:rFonts w:eastAsia="Times New Roman" w:cs="Times New Roman"/>
                <w:iCs/>
                <w:sz w:val="22"/>
                <w:lang w:val="en-US" w:eastAsia="en-GB"/>
              </w:rPr>
              <w:t xml:space="preserve">  CEO</w:t>
            </w:r>
          </w:p>
        </w:tc>
        <w:tc>
          <w:tcPr>
            <w:tcW w:w="1087" w:type="dxa"/>
            <w:tcBorders>
              <w:top w:val="nil"/>
              <w:left w:val="nil"/>
              <w:bottom w:val="nil"/>
              <w:right w:val="nil"/>
            </w:tcBorders>
            <w:shd w:val="clear" w:color="auto" w:fill="FFFFFF" w:themeFill="background1"/>
            <w:noWrap/>
            <w:hideMark/>
          </w:tcPr>
          <w:p w14:paraId="2C729464"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-.102</w:t>
            </w:r>
          </w:p>
        </w:tc>
        <w:tc>
          <w:tcPr>
            <w:tcW w:w="1134" w:type="dxa"/>
            <w:shd w:val="clear" w:color="auto" w:fill="FFFFFF" w:themeFill="background1"/>
          </w:tcPr>
          <w:p w14:paraId="3A56349A" w14:textId="7D15379C"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-.089</w:t>
            </w:r>
          </w:p>
        </w:tc>
        <w:tc>
          <w:tcPr>
            <w:tcW w:w="1134" w:type="dxa"/>
            <w:shd w:val="clear" w:color="auto" w:fill="FFFFFF" w:themeFill="background1"/>
            <w:noWrap/>
            <w:hideMark/>
          </w:tcPr>
          <w:p w14:paraId="42B37F7E" w14:textId="23C0E6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-.033</w:t>
            </w:r>
          </w:p>
        </w:tc>
        <w:tc>
          <w:tcPr>
            <w:tcW w:w="993" w:type="dxa"/>
            <w:shd w:val="clear" w:color="auto" w:fill="FFFFFF" w:themeFill="background1"/>
            <w:noWrap/>
            <w:hideMark/>
          </w:tcPr>
          <w:p w14:paraId="7B2EE354"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.021</w:t>
            </w:r>
          </w:p>
        </w:tc>
        <w:tc>
          <w:tcPr>
            <w:tcW w:w="1134" w:type="dxa"/>
            <w:shd w:val="clear" w:color="auto" w:fill="FFFFFF" w:themeFill="background1"/>
            <w:noWrap/>
            <w:hideMark/>
          </w:tcPr>
          <w:p w14:paraId="50D4168F" w14:textId="77777777" w:rsidR="00E51ACF" w:rsidRPr="00215905" w:rsidRDefault="00E51ACF" w:rsidP="00113785">
            <w:pPr>
              <w:spacing w:after="0"/>
              <w:rPr>
                <w:rFonts w:eastAsia="Times New Roman" w:cs="Times New Roman"/>
                <w:sz w:val="22"/>
                <w:lang w:val="en-US" w:eastAsia="en-GB"/>
              </w:rPr>
            </w:pPr>
          </w:p>
        </w:tc>
        <w:tc>
          <w:tcPr>
            <w:tcW w:w="992" w:type="dxa"/>
            <w:shd w:val="clear" w:color="auto" w:fill="FFFFFF" w:themeFill="background1"/>
            <w:noWrap/>
            <w:hideMark/>
          </w:tcPr>
          <w:p w14:paraId="73724E54"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.089</w:t>
            </w:r>
          </w:p>
        </w:tc>
        <w:tc>
          <w:tcPr>
            <w:tcW w:w="992" w:type="dxa"/>
            <w:shd w:val="clear" w:color="auto" w:fill="FFFFFF" w:themeFill="background1"/>
            <w:noWrap/>
            <w:hideMark/>
          </w:tcPr>
          <w:p w14:paraId="0333D951"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.044</w:t>
            </w:r>
          </w:p>
        </w:tc>
        <w:tc>
          <w:tcPr>
            <w:tcW w:w="992" w:type="dxa"/>
            <w:shd w:val="clear" w:color="auto" w:fill="FFFFFF" w:themeFill="background1"/>
            <w:noWrap/>
            <w:hideMark/>
          </w:tcPr>
          <w:p w14:paraId="7724A202"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.065</w:t>
            </w:r>
          </w:p>
        </w:tc>
        <w:tc>
          <w:tcPr>
            <w:tcW w:w="992" w:type="dxa"/>
            <w:shd w:val="clear" w:color="auto" w:fill="FFFFFF" w:themeFill="background1"/>
            <w:noWrap/>
            <w:hideMark/>
          </w:tcPr>
          <w:p w14:paraId="53681FAA"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-.059</w:t>
            </w:r>
          </w:p>
        </w:tc>
        <w:tc>
          <w:tcPr>
            <w:tcW w:w="1134" w:type="dxa"/>
            <w:shd w:val="clear" w:color="auto" w:fill="FFFFFF" w:themeFill="background1"/>
            <w:noWrap/>
            <w:hideMark/>
          </w:tcPr>
          <w:p w14:paraId="5C938DC1"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-.054</w:t>
            </w:r>
          </w:p>
        </w:tc>
        <w:tc>
          <w:tcPr>
            <w:tcW w:w="992" w:type="dxa"/>
            <w:shd w:val="clear" w:color="auto" w:fill="FFFFFF" w:themeFill="background1"/>
            <w:noWrap/>
          </w:tcPr>
          <w:p w14:paraId="23B20C84"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-022</w:t>
            </w:r>
          </w:p>
        </w:tc>
        <w:tc>
          <w:tcPr>
            <w:tcW w:w="993" w:type="dxa"/>
            <w:shd w:val="clear" w:color="auto" w:fill="FFFFFF" w:themeFill="background1"/>
            <w:noWrap/>
          </w:tcPr>
          <w:p w14:paraId="0096F0E9"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-.064</w:t>
            </w:r>
          </w:p>
        </w:tc>
      </w:tr>
      <w:tr w:rsidR="00E51ACF" w:rsidRPr="00C73325" w14:paraId="26D8619C" w14:textId="77777777" w:rsidTr="00E51ACF">
        <w:trPr>
          <w:trHeight w:val="331"/>
        </w:trPr>
        <w:tc>
          <w:tcPr>
            <w:tcW w:w="1289" w:type="dxa"/>
            <w:tcBorders>
              <w:top w:val="nil"/>
              <w:left w:val="nil"/>
              <w:bottom w:val="nil"/>
            </w:tcBorders>
            <w:shd w:val="clear" w:color="auto" w:fill="FFFFFF" w:themeFill="background1"/>
            <w:hideMark/>
          </w:tcPr>
          <w:p w14:paraId="7FE68B10" w14:textId="77777777" w:rsidR="00E51ACF" w:rsidRPr="00215905" w:rsidRDefault="00E51ACF" w:rsidP="00113785">
            <w:pPr>
              <w:spacing w:after="0"/>
              <w:rPr>
                <w:rFonts w:eastAsia="Times New Roman" w:cs="Times New Roman"/>
                <w:iCs/>
                <w:sz w:val="22"/>
                <w:lang w:val="en-US" w:eastAsia="en-GB"/>
              </w:rPr>
            </w:pPr>
            <w:r w:rsidRPr="00215905">
              <w:rPr>
                <w:rFonts w:eastAsia="Times New Roman" w:cs="Times New Roman"/>
                <w:iCs/>
                <w:sz w:val="22"/>
                <w:lang w:val="en-US" w:eastAsia="en-GB"/>
              </w:rPr>
              <w:t xml:space="preserve">  BM</w:t>
            </w:r>
          </w:p>
        </w:tc>
        <w:tc>
          <w:tcPr>
            <w:tcW w:w="1087" w:type="dxa"/>
            <w:tcBorders>
              <w:top w:val="nil"/>
              <w:left w:val="nil"/>
              <w:bottom w:val="nil"/>
              <w:right w:val="nil"/>
            </w:tcBorders>
            <w:shd w:val="clear" w:color="auto" w:fill="FFFFFF" w:themeFill="background1"/>
            <w:noWrap/>
            <w:hideMark/>
          </w:tcPr>
          <w:p w14:paraId="4A71F127"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-.369</w:t>
            </w:r>
            <w:r w:rsidRPr="00215905">
              <w:rPr>
                <w:rFonts w:eastAsia="Times New Roman" w:cs="Times New Roman"/>
                <w:sz w:val="22"/>
                <w:vertAlign w:val="superscript"/>
                <w:lang w:val="en-US" w:eastAsia="en-GB"/>
              </w:rPr>
              <w:t>***</w:t>
            </w:r>
          </w:p>
        </w:tc>
        <w:tc>
          <w:tcPr>
            <w:tcW w:w="1134" w:type="dxa"/>
            <w:shd w:val="clear" w:color="auto" w:fill="FFFFFF" w:themeFill="background1"/>
          </w:tcPr>
          <w:p w14:paraId="0BFA0C5D" w14:textId="49932B65"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-.371</w:t>
            </w:r>
            <w:r w:rsidRPr="00215905">
              <w:rPr>
                <w:rFonts w:eastAsia="Times New Roman" w:cs="Times New Roman"/>
                <w:sz w:val="22"/>
                <w:vertAlign w:val="superscript"/>
                <w:lang w:val="en-US" w:eastAsia="en-GB"/>
              </w:rPr>
              <w:t>***</w:t>
            </w:r>
          </w:p>
        </w:tc>
        <w:tc>
          <w:tcPr>
            <w:tcW w:w="1134" w:type="dxa"/>
            <w:shd w:val="clear" w:color="auto" w:fill="FFFFFF" w:themeFill="background1"/>
            <w:noWrap/>
            <w:hideMark/>
          </w:tcPr>
          <w:p w14:paraId="103D4741" w14:textId="182CDBD4"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-.222</w:t>
            </w:r>
            <w:r w:rsidRPr="00215905">
              <w:rPr>
                <w:rFonts w:eastAsia="Times New Roman" w:cs="Times New Roman"/>
                <w:sz w:val="22"/>
                <w:vertAlign w:val="superscript"/>
                <w:lang w:val="en-US" w:eastAsia="en-GB"/>
              </w:rPr>
              <w:t>***</w:t>
            </w:r>
          </w:p>
        </w:tc>
        <w:tc>
          <w:tcPr>
            <w:tcW w:w="993" w:type="dxa"/>
            <w:shd w:val="clear" w:color="auto" w:fill="FFFFFF" w:themeFill="background1"/>
            <w:noWrap/>
            <w:hideMark/>
          </w:tcPr>
          <w:p w14:paraId="19E3332D"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 xml:space="preserve">-.088 </w:t>
            </w:r>
          </w:p>
        </w:tc>
        <w:tc>
          <w:tcPr>
            <w:tcW w:w="1134" w:type="dxa"/>
            <w:shd w:val="clear" w:color="auto" w:fill="FFFFFF" w:themeFill="background1"/>
            <w:noWrap/>
            <w:hideMark/>
          </w:tcPr>
          <w:p w14:paraId="3C2EFF6B"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.106</w:t>
            </w:r>
          </w:p>
        </w:tc>
        <w:tc>
          <w:tcPr>
            <w:tcW w:w="992" w:type="dxa"/>
            <w:shd w:val="clear" w:color="auto" w:fill="FFFFFF" w:themeFill="background1"/>
            <w:noWrap/>
            <w:hideMark/>
          </w:tcPr>
          <w:p w14:paraId="72097CF1" w14:textId="77777777" w:rsidR="00E51ACF" w:rsidRPr="00215905" w:rsidRDefault="00E51ACF" w:rsidP="00113785">
            <w:pPr>
              <w:spacing w:after="0"/>
              <w:rPr>
                <w:rFonts w:eastAsia="Times New Roman" w:cs="Times New Roman"/>
                <w:sz w:val="22"/>
                <w:lang w:val="en-US" w:eastAsia="en-GB"/>
              </w:rPr>
            </w:pPr>
          </w:p>
        </w:tc>
        <w:tc>
          <w:tcPr>
            <w:tcW w:w="992" w:type="dxa"/>
            <w:shd w:val="clear" w:color="auto" w:fill="FFFFFF" w:themeFill="background1"/>
            <w:noWrap/>
            <w:hideMark/>
          </w:tcPr>
          <w:p w14:paraId="710B17EB"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.053</w:t>
            </w:r>
          </w:p>
        </w:tc>
        <w:tc>
          <w:tcPr>
            <w:tcW w:w="992" w:type="dxa"/>
            <w:shd w:val="clear" w:color="auto" w:fill="FFFFFF" w:themeFill="background1"/>
            <w:noWrap/>
            <w:hideMark/>
          </w:tcPr>
          <w:p w14:paraId="51A181A4"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-.109</w:t>
            </w:r>
          </w:p>
        </w:tc>
        <w:tc>
          <w:tcPr>
            <w:tcW w:w="992" w:type="dxa"/>
            <w:shd w:val="clear" w:color="auto" w:fill="FFFFFF" w:themeFill="background1"/>
            <w:noWrap/>
            <w:hideMark/>
          </w:tcPr>
          <w:p w14:paraId="3BF74061"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-.201</w:t>
            </w:r>
            <w:r w:rsidRPr="00215905">
              <w:rPr>
                <w:rFonts w:eastAsia="Times New Roman" w:cs="Times New Roman"/>
                <w:sz w:val="22"/>
                <w:vertAlign w:val="superscript"/>
                <w:lang w:val="en-US" w:eastAsia="en-GB"/>
              </w:rPr>
              <w:t>***</w:t>
            </w:r>
          </w:p>
        </w:tc>
        <w:tc>
          <w:tcPr>
            <w:tcW w:w="1134" w:type="dxa"/>
            <w:shd w:val="clear" w:color="auto" w:fill="FFFFFF" w:themeFill="background1"/>
            <w:noWrap/>
            <w:hideMark/>
          </w:tcPr>
          <w:p w14:paraId="176D8DE0"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.163</w:t>
            </w:r>
            <w:r w:rsidRPr="00215905">
              <w:rPr>
                <w:rFonts w:eastAsia="Times New Roman" w:cs="Times New Roman"/>
                <w:sz w:val="22"/>
                <w:vertAlign w:val="superscript"/>
                <w:lang w:val="en-US" w:eastAsia="en-GB"/>
              </w:rPr>
              <w:t>**</w:t>
            </w:r>
          </w:p>
        </w:tc>
        <w:tc>
          <w:tcPr>
            <w:tcW w:w="992" w:type="dxa"/>
            <w:shd w:val="clear" w:color="auto" w:fill="FFFFFF" w:themeFill="background1"/>
            <w:noWrap/>
          </w:tcPr>
          <w:p w14:paraId="60E88C89"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.055</w:t>
            </w:r>
          </w:p>
        </w:tc>
        <w:tc>
          <w:tcPr>
            <w:tcW w:w="993" w:type="dxa"/>
            <w:shd w:val="clear" w:color="auto" w:fill="FFFFFF" w:themeFill="background1"/>
            <w:noWrap/>
          </w:tcPr>
          <w:p w14:paraId="54644C85"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-.036</w:t>
            </w:r>
          </w:p>
        </w:tc>
      </w:tr>
      <w:tr w:rsidR="00E51ACF" w:rsidRPr="00C73325" w14:paraId="549A3B74" w14:textId="77777777" w:rsidTr="00E51ACF">
        <w:trPr>
          <w:trHeight w:val="331"/>
        </w:trPr>
        <w:tc>
          <w:tcPr>
            <w:tcW w:w="1289" w:type="dxa"/>
            <w:tcBorders>
              <w:top w:val="nil"/>
              <w:left w:val="nil"/>
              <w:bottom w:val="nil"/>
            </w:tcBorders>
            <w:shd w:val="clear" w:color="auto" w:fill="FFFFFF" w:themeFill="background1"/>
            <w:hideMark/>
          </w:tcPr>
          <w:p w14:paraId="56256899" w14:textId="77777777" w:rsidR="00E51ACF" w:rsidRPr="00215905" w:rsidRDefault="00E51ACF" w:rsidP="00113785">
            <w:pPr>
              <w:spacing w:after="0"/>
              <w:rPr>
                <w:rFonts w:eastAsia="Times New Roman" w:cs="Times New Roman"/>
                <w:iCs/>
                <w:sz w:val="22"/>
                <w:lang w:val="en-US" w:eastAsia="en-GB"/>
              </w:rPr>
            </w:pPr>
            <w:r w:rsidRPr="00215905">
              <w:rPr>
                <w:rFonts w:eastAsia="Times New Roman" w:cs="Times New Roman"/>
                <w:iCs/>
                <w:sz w:val="22"/>
                <w:lang w:val="en-US" w:eastAsia="en-GB"/>
              </w:rPr>
              <w:t xml:space="preserve">  BG</w:t>
            </w:r>
          </w:p>
        </w:tc>
        <w:tc>
          <w:tcPr>
            <w:tcW w:w="1087" w:type="dxa"/>
            <w:tcBorders>
              <w:top w:val="nil"/>
              <w:left w:val="nil"/>
              <w:bottom w:val="nil"/>
              <w:right w:val="nil"/>
            </w:tcBorders>
            <w:shd w:val="clear" w:color="auto" w:fill="FFFFFF" w:themeFill="background1"/>
            <w:noWrap/>
            <w:hideMark/>
          </w:tcPr>
          <w:p w14:paraId="742AA7FF"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-.037</w:t>
            </w:r>
          </w:p>
        </w:tc>
        <w:tc>
          <w:tcPr>
            <w:tcW w:w="1134" w:type="dxa"/>
            <w:shd w:val="clear" w:color="auto" w:fill="FFFFFF" w:themeFill="background1"/>
          </w:tcPr>
          <w:p w14:paraId="618F57B2" w14:textId="08F6B76E"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-.025</w:t>
            </w:r>
          </w:p>
        </w:tc>
        <w:tc>
          <w:tcPr>
            <w:tcW w:w="1134" w:type="dxa"/>
            <w:shd w:val="clear" w:color="auto" w:fill="FFFFFF" w:themeFill="background1"/>
            <w:noWrap/>
            <w:hideMark/>
          </w:tcPr>
          <w:p w14:paraId="237BC97D" w14:textId="12B9160B"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.104</w:t>
            </w:r>
          </w:p>
        </w:tc>
        <w:tc>
          <w:tcPr>
            <w:tcW w:w="993" w:type="dxa"/>
            <w:shd w:val="clear" w:color="auto" w:fill="FFFFFF" w:themeFill="background1"/>
            <w:noWrap/>
            <w:hideMark/>
          </w:tcPr>
          <w:p w14:paraId="5EED90F5"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 xml:space="preserve">.092 </w:t>
            </w:r>
          </w:p>
        </w:tc>
        <w:tc>
          <w:tcPr>
            <w:tcW w:w="1134" w:type="dxa"/>
            <w:shd w:val="clear" w:color="auto" w:fill="FFFFFF" w:themeFill="background1"/>
            <w:noWrap/>
            <w:hideMark/>
          </w:tcPr>
          <w:p w14:paraId="5ADEEAF5"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.042</w:t>
            </w:r>
          </w:p>
        </w:tc>
        <w:tc>
          <w:tcPr>
            <w:tcW w:w="992" w:type="dxa"/>
            <w:shd w:val="clear" w:color="auto" w:fill="FFFFFF" w:themeFill="background1"/>
            <w:noWrap/>
            <w:hideMark/>
          </w:tcPr>
          <w:p w14:paraId="34E89EAF"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.050</w:t>
            </w:r>
          </w:p>
        </w:tc>
        <w:tc>
          <w:tcPr>
            <w:tcW w:w="992" w:type="dxa"/>
            <w:shd w:val="clear" w:color="auto" w:fill="FFFFFF" w:themeFill="background1"/>
            <w:noWrap/>
            <w:hideMark/>
          </w:tcPr>
          <w:p w14:paraId="5B1C65B5" w14:textId="77777777" w:rsidR="00E51ACF" w:rsidRPr="00215905" w:rsidRDefault="00E51ACF" w:rsidP="00113785">
            <w:pPr>
              <w:spacing w:after="0"/>
              <w:rPr>
                <w:rFonts w:eastAsia="Times New Roman" w:cs="Times New Roman"/>
                <w:sz w:val="22"/>
                <w:lang w:val="en-US" w:eastAsia="en-GB"/>
              </w:rPr>
            </w:pPr>
          </w:p>
        </w:tc>
        <w:tc>
          <w:tcPr>
            <w:tcW w:w="992" w:type="dxa"/>
            <w:shd w:val="clear" w:color="auto" w:fill="FFFFFF" w:themeFill="background1"/>
            <w:noWrap/>
            <w:hideMark/>
          </w:tcPr>
          <w:p w14:paraId="6B76AB31"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.175</w:t>
            </w:r>
            <w:r w:rsidRPr="00215905">
              <w:rPr>
                <w:rFonts w:eastAsia="Times New Roman" w:cs="Times New Roman"/>
                <w:sz w:val="22"/>
                <w:vertAlign w:val="superscript"/>
                <w:lang w:val="en-US" w:eastAsia="en-GB"/>
              </w:rPr>
              <w:t>**</w:t>
            </w:r>
          </w:p>
        </w:tc>
        <w:tc>
          <w:tcPr>
            <w:tcW w:w="992" w:type="dxa"/>
            <w:shd w:val="clear" w:color="auto" w:fill="FFFFFF" w:themeFill="background1"/>
            <w:noWrap/>
            <w:hideMark/>
          </w:tcPr>
          <w:p w14:paraId="429259DB"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.022</w:t>
            </w:r>
          </w:p>
        </w:tc>
        <w:tc>
          <w:tcPr>
            <w:tcW w:w="1134" w:type="dxa"/>
            <w:shd w:val="clear" w:color="auto" w:fill="FFFFFF" w:themeFill="background1"/>
            <w:noWrap/>
            <w:hideMark/>
          </w:tcPr>
          <w:p w14:paraId="038E057F"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-.013</w:t>
            </w:r>
          </w:p>
        </w:tc>
        <w:tc>
          <w:tcPr>
            <w:tcW w:w="992" w:type="dxa"/>
            <w:shd w:val="clear" w:color="auto" w:fill="FFFFFF" w:themeFill="background1"/>
            <w:noWrap/>
          </w:tcPr>
          <w:p w14:paraId="7A7591EE"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.077</w:t>
            </w:r>
          </w:p>
        </w:tc>
        <w:tc>
          <w:tcPr>
            <w:tcW w:w="993" w:type="dxa"/>
            <w:shd w:val="clear" w:color="auto" w:fill="FFFFFF" w:themeFill="background1"/>
            <w:noWrap/>
          </w:tcPr>
          <w:p w14:paraId="0B6C4B87"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.005</w:t>
            </w:r>
          </w:p>
        </w:tc>
      </w:tr>
      <w:tr w:rsidR="00E51ACF" w:rsidRPr="00C73325" w14:paraId="789D386D" w14:textId="77777777" w:rsidTr="00E51ACF">
        <w:trPr>
          <w:trHeight w:val="331"/>
        </w:trPr>
        <w:tc>
          <w:tcPr>
            <w:tcW w:w="1289" w:type="dxa"/>
            <w:tcBorders>
              <w:top w:val="nil"/>
              <w:left w:val="nil"/>
              <w:bottom w:val="nil"/>
            </w:tcBorders>
            <w:shd w:val="clear" w:color="auto" w:fill="FFFFFF" w:themeFill="background1"/>
            <w:hideMark/>
          </w:tcPr>
          <w:p w14:paraId="3BE7C0EF" w14:textId="77777777" w:rsidR="00E51ACF" w:rsidRPr="00215905" w:rsidRDefault="00E51ACF" w:rsidP="00113785">
            <w:pPr>
              <w:spacing w:after="0"/>
              <w:rPr>
                <w:rFonts w:eastAsia="Times New Roman" w:cs="Times New Roman"/>
                <w:iCs/>
                <w:sz w:val="22"/>
                <w:lang w:val="en-US" w:eastAsia="en-GB"/>
              </w:rPr>
            </w:pPr>
            <w:r w:rsidRPr="00215905">
              <w:rPr>
                <w:rFonts w:eastAsia="Times New Roman" w:cs="Times New Roman"/>
                <w:iCs/>
                <w:sz w:val="22"/>
                <w:lang w:val="en-US" w:eastAsia="en-GB"/>
              </w:rPr>
              <w:t xml:space="preserve">  AS</w:t>
            </w:r>
          </w:p>
        </w:tc>
        <w:tc>
          <w:tcPr>
            <w:tcW w:w="1087" w:type="dxa"/>
            <w:tcBorders>
              <w:top w:val="nil"/>
              <w:left w:val="nil"/>
              <w:bottom w:val="nil"/>
              <w:right w:val="nil"/>
            </w:tcBorders>
            <w:shd w:val="clear" w:color="auto" w:fill="FFFFFF" w:themeFill="background1"/>
            <w:noWrap/>
            <w:hideMark/>
          </w:tcPr>
          <w:p w14:paraId="44E16AF7"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.398</w:t>
            </w:r>
            <w:r w:rsidRPr="00215905">
              <w:rPr>
                <w:rFonts w:eastAsia="Times New Roman" w:cs="Times New Roman"/>
                <w:sz w:val="22"/>
                <w:vertAlign w:val="superscript"/>
                <w:lang w:val="en-US" w:eastAsia="en-GB"/>
              </w:rPr>
              <w:t>***</w:t>
            </w:r>
          </w:p>
        </w:tc>
        <w:tc>
          <w:tcPr>
            <w:tcW w:w="1134" w:type="dxa"/>
            <w:shd w:val="clear" w:color="auto" w:fill="FFFFFF" w:themeFill="background1"/>
          </w:tcPr>
          <w:p w14:paraId="2E0ECD8D" w14:textId="135AFA99"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.381</w:t>
            </w:r>
            <w:r w:rsidRPr="00215905">
              <w:rPr>
                <w:rFonts w:eastAsia="Times New Roman" w:cs="Times New Roman"/>
                <w:sz w:val="22"/>
                <w:vertAlign w:val="superscript"/>
                <w:lang w:val="en-US" w:eastAsia="en-GB"/>
              </w:rPr>
              <w:t>***</w:t>
            </w:r>
          </w:p>
        </w:tc>
        <w:tc>
          <w:tcPr>
            <w:tcW w:w="1134" w:type="dxa"/>
            <w:shd w:val="clear" w:color="auto" w:fill="FFFFFF" w:themeFill="background1"/>
            <w:noWrap/>
            <w:hideMark/>
          </w:tcPr>
          <w:p w14:paraId="16D14CEA" w14:textId="53242E3D"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.610</w:t>
            </w:r>
            <w:r w:rsidRPr="00215905">
              <w:rPr>
                <w:rFonts w:eastAsia="Times New Roman" w:cs="Times New Roman"/>
                <w:sz w:val="22"/>
                <w:vertAlign w:val="superscript"/>
                <w:lang w:val="en-US" w:eastAsia="en-GB"/>
              </w:rPr>
              <w:t>***</w:t>
            </w:r>
          </w:p>
        </w:tc>
        <w:tc>
          <w:tcPr>
            <w:tcW w:w="993" w:type="dxa"/>
            <w:shd w:val="clear" w:color="auto" w:fill="FFFFFF" w:themeFill="background1"/>
            <w:noWrap/>
            <w:hideMark/>
          </w:tcPr>
          <w:p w14:paraId="768075E9"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.401</w:t>
            </w:r>
            <w:r w:rsidRPr="00215905">
              <w:rPr>
                <w:rFonts w:eastAsia="Times New Roman" w:cs="Times New Roman"/>
                <w:sz w:val="22"/>
                <w:vertAlign w:val="superscript"/>
                <w:lang w:val="en-US" w:eastAsia="en-GB"/>
              </w:rPr>
              <w:t>***</w:t>
            </w:r>
          </w:p>
        </w:tc>
        <w:tc>
          <w:tcPr>
            <w:tcW w:w="1134" w:type="dxa"/>
            <w:shd w:val="clear" w:color="auto" w:fill="FFFFFF" w:themeFill="background1"/>
            <w:noWrap/>
            <w:hideMark/>
          </w:tcPr>
          <w:p w14:paraId="393861BB"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.080</w:t>
            </w:r>
          </w:p>
        </w:tc>
        <w:tc>
          <w:tcPr>
            <w:tcW w:w="992" w:type="dxa"/>
            <w:shd w:val="clear" w:color="auto" w:fill="FFFFFF" w:themeFill="background1"/>
            <w:noWrap/>
            <w:hideMark/>
          </w:tcPr>
          <w:p w14:paraId="430A26F7"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-.055</w:t>
            </w:r>
          </w:p>
        </w:tc>
        <w:tc>
          <w:tcPr>
            <w:tcW w:w="992" w:type="dxa"/>
            <w:shd w:val="clear" w:color="auto" w:fill="FFFFFF" w:themeFill="background1"/>
            <w:noWrap/>
            <w:hideMark/>
          </w:tcPr>
          <w:p w14:paraId="77859803"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.212</w:t>
            </w:r>
            <w:r w:rsidRPr="00215905">
              <w:rPr>
                <w:rFonts w:eastAsia="Times New Roman" w:cs="Times New Roman"/>
                <w:sz w:val="22"/>
                <w:vertAlign w:val="superscript"/>
                <w:lang w:val="en-US" w:eastAsia="en-GB"/>
              </w:rPr>
              <w:t>***</w:t>
            </w:r>
          </w:p>
        </w:tc>
        <w:tc>
          <w:tcPr>
            <w:tcW w:w="992" w:type="dxa"/>
            <w:shd w:val="clear" w:color="auto" w:fill="FFFFFF" w:themeFill="background1"/>
            <w:noWrap/>
            <w:hideMark/>
          </w:tcPr>
          <w:p w14:paraId="5B259377" w14:textId="77777777" w:rsidR="00E51ACF" w:rsidRPr="00215905" w:rsidRDefault="00E51ACF" w:rsidP="00113785">
            <w:pPr>
              <w:spacing w:after="0"/>
              <w:rPr>
                <w:rFonts w:eastAsia="Times New Roman" w:cs="Times New Roman"/>
                <w:sz w:val="22"/>
                <w:lang w:val="en-US" w:eastAsia="en-GB"/>
              </w:rPr>
            </w:pPr>
          </w:p>
        </w:tc>
        <w:tc>
          <w:tcPr>
            <w:tcW w:w="992" w:type="dxa"/>
            <w:shd w:val="clear" w:color="auto" w:fill="FFFFFF" w:themeFill="background1"/>
            <w:noWrap/>
            <w:hideMark/>
          </w:tcPr>
          <w:p w14:paraId="4B97171E"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.490</w:t>
            </w:r>
            <w:r w:rsidRPr="00215905">
              <w:rPr>
                <w:rFonts w:eastAsia="Times New Roman" w:cs="Times New Roman"/>
                <w:sz w:val="22"/>
                <w:vertAlign w:val="superscript"/>
                <w:lang w:val="en-US" w:eastAsia="en-GB"/>
              </w:rPr>
              <w:t>***</w:t>
            </w:r>
          </w:p>
        </w:tc>
        <w:tc>
          <w:tcPr>
            <w:tcW w:w="1134" w:type="dxa"/>
            <w:shd w:val="clear" w:color="auto" w:fill="FFFFFF" w:themeFill="background1"/>
            <w:noWrap/>
            <w:hideMark/>
          </w:tcPr>
          <w:p w14:paraId="7E5EC066"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.204</w:t>
            </w:r>
            <w:r w:rsidRPr="00215905">
              <w:rPr>
                <w:rFonts w:eastAsia="Times New Roman" w:cs="Times New Roman"/>
                <w:sz w:val="22"/>
                <w:vertAlign w:val="superscript"/>
                <w:lang w:val="en-US" w:eastAsia="en-GB"/>
              </w:rPr>
              <w:t>***</w:t>
            </w:r>
          </w:p>
        </w:tc>
        <w:tc>
          <w:tcPr>
            <w:tcW w:w="992" w:type="dxa"/>
            <w:shd w:val="clear" w:color="auto" w:fill="FFFFFF" w:themeFill="background1"/>
            <w:noWrap/>
          </w:tcPr>
          <w:p w14:paraId="1407F57B"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.057</w:t>
            </w:r>
          </w:p>
        </w:tc>
        <w:tc>
          <w:tcPr>
            <w:tcW w:w="993" w:type="dxa"/>
            <w:shd w:val="clear" w:color="auto" w:fill="FFFFFF" w:themeFill="background1"/>
            <w:noWrap/>
          </w:tcPr>
          <w:p w14:paraId="10611CDE"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-.028</w:t>
            </w:r>
          </w:p>
        </w:tc>
      </w:tr>
      <w:tr w:rsidR="00E51ACF" w:rsidRPr="00C73325" w14:paraId="38B40D01" w14:textId="77777777" w:rsidTr="00E51ACF">
        <w:trPr>
          <w:trHeight w:val="331"/>
        </w:trPr>
        <w:tc>
          <w:tcPr>
            <w:tcW w:w="1289" w:type="dxa"/>
            <w:tcBorders>
              <w:top w:val="nil"/>
              <w:left w:val="nil"/>
              <w:bottom w:val="nil"/>
            </w:tcBorders>
            <w:shd w:val="clear" w:color="auto" w:fill="FFFFFF" w:themeFill="background1"/>
          </w:tcPr>
          <w:p w14:paraId="428AAE40" w14:textId="77777777" w:rsidR="00E51ACF" w:rsidRPr="00215905" w:rsidRDefault="00E51ACF" w:rsidP="00113785">
            <w:pPr>
              <w:spacing w:after="0"/>
              <w:rPr>
                <w:rFonts w:eastAsia="Times New Roman" w:cs="Times New Roman"/>
                <w:iCs/>
                <w:sz w:val="22"/>
                <w:lang w:val="en-US" w:eastAsia="en-GB"/>
              </w:rPr>
            </w:pPr>
            <w:r w:rsidRPr="00215905">
              <w:rPr>
                <w:rFonts w:eastAsia="Times New Roman" w:cs="Times New Roman"/>
                <w:iCs/>
                <w:sz w:val="22"/>
                <w:lang w:val="en-US" w:eastAsia="en-GB"/>
              </w:rPr>
              <w:t xml:space="preserve">  FS</w:t>
            </w:r>
          </w:p>
        </w:tc>
        <w:tc>
          <w:tcPr>
            <w:tcW w:w="1087" w:type="dxa"/>
            <w:tcBorders>
              <w:top w:val="nil"/>
              <w:left w:val="nil"/>
              <w:bottom w:val="nil"/>
              <w:right w:val="nil"/>
            </w:tcBorders>
            <w:shd w:val="clear" w:color="auto" w:fill="FFFFFF" w:themeFill="background1"/>
            <w:noWrap/>
            <w:hideMark/>
          </w:tcPr>
          <w:p w14:paraId="5D4BA271"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.433</w:t>
            </w:r>
            <w:r w:rsidRPr="00215905">
              <w:rPr>
                <w:rFonts w:eastAsia="Times New Roman" w:cs="Times New Roman"/>
                <w:sz w:val="22"/>
                <w:vertAlign w:val="superscript"/>
                <w:lang w:val="en-US" w:eastAsia="en-GB"/>
              </w:rPr>
              <w:t>***</w:t>
            </w:r>
          </w:p>
        </w:tc>
        <w:tc>
          <w:tcPr>
            <w:tcW w:w="1134" w:type="dxa"/>
            <w:shd w:val="clear" w:color="auto" w:fill="FFFFFF" w:themeFill="background1"/>
          </w:tcPr>
          <w:p w14:paraId="0A0EED98" w14:textId="4E6C2449"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.355</w:t>
            </w:r>
            <w:r w:rsidRPr="00215905">
              <w:rPr>
                <w:rFonts w:eastAsia="Times New Roman" w:cs="Times New Roman"/>
                <w:sz w:val="22"/>
                <w:vertAlign w:val="superscript"/>
                <w:lang w:val="en-US" w:eastAsia="en-GB"/>
              </w:rPr>
              <w:t>***</w:t>
            </w:r>
          </w:p>
        </w:tc>
        <w:tc>
          <w:tcPr>
            <w:tcW w:w="1134" w:type="dxa"/>
            <w:shd w:val="clear" w:color="auto" w:fill="FFFFFF" w:themeFill="background1"/>
            <w:noWrap/>
            <w:hideMark/>
          </w:tcPr>
          <w:p w14:paraId="39A3B70C" w14:textId="08F06993"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.602</w:t>
            </w:r>
            <w:r w:rsidRPr="00215905">
              <w:rPr>
                <w:rFonts w:eastAsia="Times New Roman" w:cs="Times New Roman"/>
                <w:sz w:val="22"/>
                <w:vertAlign w:val="superscript"/>
                <w:lang w:val="en-US" w:eastAsia="en-GB"/>
              </w:rPr>
              <w:t>***</w:t>
            </w:r>
          </w:p>
        </w:tc>
        <w:tc>
          <w:tcPr>
            <w:tcW w:w="993" w:type="dxa"/>
            <w:shd w:val="clear" w:color="auto" w:fill="FFFFFF" w:themeFill="background1"/>
            <w:noWrap/>
            <w:hideMark/>
          </w:tcPr>
          <w:p w14:paraId="58B213B6"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.195</w:t>
            </w:r>
            <w:r w:rsidRPr="00215905">
              <w:rPr>
                <w:rFonts w:eastAsia="Times New Roman" w:cs="Times New Roman"/>
                <w:sz w:val="22"/>
                <w:vertAlign w:val="superscript"/>
                <w:lang w:val="en-US" w:eastAsia="en-GB"/>
              </w:rPr>
              <w:t>***</w:t>
            </w:r>
          </w:p>
        </w:tc>
        <w:tc>
          <w:tcPr>
            <w:tcW w:w="1134" w:type="dxa"/>
            <w:shd w:val="clear" w:color="auto" w:fill="FFFFFF" w:themeFill="background1"/>
            <w:noWrap/>
            <w:hideMark/>
          </w:tcPr>
          <w:p w14:paraId="42AB0A7A"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 xml:space="preserve">-.051 </w:t>
            </w:r>
          </w:p>
        </w:tc>
        <w:tc>
          <w:tcPr>
            <w:tcW w:w="992" w:type="dxa"/>
            <w:shd w:val="clear" w:color="auto" w:fill="FFFFFF" w:themeFill="background1"/>
            <w:noWrap/>
            <w:hideMark/>
          </w:tcPr>
          <w:p w14:paraId="36BDD099"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-.168</w:t>
            </w:r>
            <w:r w:rsidRPr="00215905">
              <w:rPr>
                <w:rFonts w:eastAsia="Times New Roman" w:cs="Times New Roman"/>
                <w:sz w:val="22"/>
                <w:vertAlign w:val="superscript"/>
                <w:lang w:val="en-US" w:eastAsia="en-GB"/>
              </w:rPr>
              <w:t>**</w:t>
            </w:r>
          </w:p>
        </w:tc>
        <w:tc>
          <w:tcPr>
            <w:tcW w:w="992" w:type="dxa"/>
            <w:shd w:val="clear" w:color="auto" w:fill="FFFFFF" w:themeFill="background1"/>
            <w:noWrap/>
            <w:hideMark/>
          </w:tcPr>
          <w:p w14:paraId="2AF8551A"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.039</w:t>
            </w:r>
          </w:p>
        </w:tc>
        <w:tc>
          <w:tcPr>
            <w:tcW w:w="992" w:type="dxa"/>
            <w:shd w:val="clear" w:color="auto" w:fill="FFFFFF" w:themeFill="background1"/>
            <w:noWrap/>
            <w:hideMark/>
          </w:tcPr>
          <w:p w14:paraId="13E57FEB"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.453</w:t>
            </w:r>
            <w:r w:rsidRPr="00215905">
              <w:rPr>
                <w:rFonts w:eastAsia="Times New Roman" w:cs="Times New Roman"/>
                <w:sz w:val="22"/>
                <w:vertAlign w:val="superscript"/>
                <w:lang w:val="en-US" w:eastAsia="en-GB"/>
              </w:rPr>
              <w:t>***</w:t>
            </w:r>
          </w:p>
        </w:tc>
        <w:tc>
          <w:tcPr>
            <w:tcW w:w="992" w:type="dxa"/>
            <w:shd w:val="clear" w:color="auto" w:fill="FFFFFF" w:themeFill="background1"/>
            <w:noWrap/>
            <w:hideMark/>
          </w:tcPr>
          <w:p w14:paraId="66691A0F" w14:textId="77777777" w:rsidR="00E51ACF" w:rsidRPr="00215905" w:rsidRDefault="00E51ACF" w:rsidP="00113785">
            <w:pPr>
              <w:spacing w:after="0"/>
              <w:rPr>
                <w:rFonts w:eastAsia="Times New Roman" w:cs="Times New Roman"/>
                <w:sz w:val="22"/>
                <w:lang w:val="en-US" w:eastAsia="en-GB"/>
              </w:rPr>
            </w:pPr>
          </w:p>
        </w:tc>
        <w:tc>
          <w:tcPr>
            <w:tcW w:w="1134" w:type="dxa"/>
            <w:shd w:val="clear" w:color="auto" w:fill="FFFFFF" w:themeFill="background1"/>
            <w:noWrap/>
            <w:hideMark/>
          </w:tcPr>
          <w:p w14:paraId="69199A6C"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.257</w:t>
            </w:r>
            <w:r w:rsidRPr="00215905">
              <w:rPr>
                <w:rFonts w:eastAsia="Times New Roman" w:cs="Times New Roman"/>
                <w:sz w:val="22"/>
                <w:vertAlign w:val="superscript"/>
                <w:lang w:val="en-US" w:eastAsia="en-GB"/>
              </w:rPr>
              <w:t>***</w:t>
            </w:r>
          </w:p>
        </w:tc>
        <w:tc>
          <w:tcPr>
            <w:tcW w:w="992" w:type="dxa"/>
            <w:shd w:val="clear" w:color="auto" w:fill="FFFFFF" w:themeFill="background1"/>
            <w:noWrap/>
          </w:tcPr>
          <w:p w14:paraId="16460D6F"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-.034</w:t>
            </w:r>
          </w:p>
        </w:tc>
        <w:tc>
          <w:tcPr>
            <w:tcW w:w="993" w:type="dxa"/>
            <w:shd w:val="clear" w:color="auto" w:fill="FFFFFF" w:themeFill="background1"/>
            <w:noWrap/>
          </w:tcPr>
          <w:p w14:paraId="187E19E4"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-.037</w:t>
            </w:r>
          </w:p>
        </w:tc>
      </w:tr>
      <w:tr w:rsidR="00E51ACF" w:rsidRPr="00C73325" w14:paraId="147E7977" w14:textId="77777777" w:rsidTr="00E51ACF">
        <w:trPr>
          <w:trHeight w:val="331"/>
        </w:trPr>
        <w:tc>
          <w:tcPr>
            <w:tcW w:w="1289" w:type="dxa"/>
            <w:tcBorders>
              <w:left w:val="nil"/>
            </w:tcBorders>
            <w:shd w:val="clear" w:color="auto" w:fill="FFFFFF" w:themeFill="background1"/>
          </w:tcPr>
          <w:p w14:paraId="6E63BCA6" w14:textId="77777777" w:rsidR="00E51ACF" w:rsidRPr="00215905" w:rsidRDefault="00E51ACF" w:rsidP="00113785">
            <w:pPr>
              <w:spacing w:after="0"/>
              <w:rPr>
                <w:rFonts w:eastAsia="Times New Roman" w:cs="Times New Roman"/>
                <w:iCs/>
                <w:sz w:val="22"/>
                <w:lang w:val="en-US" w:eastAsia="en-GB"/>
              </w:rPr>
            </w:pPr>
            <w:r w:rsidRPr="00215905">
              <w:rPr>
                <w:rFonts w:eastAsia="Times New Roman" w:cs="Times New Roman"/>
                <w:iCs/>
                <w:sz w:val="22"/>
                <w:lang w:val="en-US" w:eastAsia="en-GB"/>
              </w:rPr>
              <w:t xml:space="preserve">  LEV</w:t>
            </w:r>
          </w:p>
        </w:tc>
        <w:tc>
          <w:tcPr>
            <w:tcW w:w="1087" w:type="dxa"/>
            <w:tcBorders>
              <w:left w:val="nil"/>
              <w:right w:val="nil"/>
            </w:tcBorders>
            <w:shd w:val="clear" w:color="auto" w:fill="FFFFFF" w:themeFill="background1"/>
            <w:noWrap/>
          </w:tcPr>
          <w:p w14:paraId="03490B9E"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.172</w:t>
            </w:r>
            <w:r w:rsidRPr="00215905">
              <w:rPr>
                <w:rFonts w:eastAsia="Times New Roman" w:cs="Times New Roman"/>
                <w:sz w:val="22"/>
                <w:vertAlign w:val="superscript"/>
                <w:lang w:val="en-US" w:eastAsia="en-GB"/>
              </w:rPr>
              <w:t>**</w:t>
            </w:r>
          </w:p>
        </w:tc>
        <w:tc>
          <w:tcPr>
            <w:tcW w:w="1134" w:type="dxa"/>
            <w:tcBorders>
              <w:left w:val="nil"/>
              <w:right w:val="nil"/>
            </w:tcBorders>
            <w:shd w:val="clear" w:color="auto" w:fill="FFFFFF" w:themeFill="background1"/>
          </w:tcPr>
          <w:p w14:paraId="79002386" w14:textId="73F08E59"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.159</w:t>
            </w:r>
            <w:r w:rsidRPr="00215905">
              <w:rPr>
                <w:rFonts w:eastAsia="Times New Roman" w:cs="Times New Roman"/>
                <w:sz w:val="22"/>
                <w:vertAlign w:val="superscript"/>
                <w:lang w:val="en-US" w:eastAsia="en-GB"/>
              </w:rPr>
              <w:t>**</w:t>
            </w:r>
          </w:p>
        </w:tc>
        <w:tc>
          <w:tcPr>
            <w:tcW w:w="1134" w:type="dxa"/>
            <w:tcBorders>
              <w:left w:val="nil"/>
              <w:right w:val="nil"/>
            </w:tcBorders>
            <w:shd w:val="clear" w:color="auto" w:fill="FFFFFF" w:themeFill="background1"/>
            <w:noWrap/>
          </w:tcPr>
          <w:p w14:paraId="244F61AD" w14:textId="79BD94BE"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.067</w:t>
            </w:r>
          </w:p>
        </w:tc>
        <w:tc>
          <w:tcPr>
            <w:tcW w:w="993" w:type="dxa"/>
            <w:tcBorders>
              <w:left w:val="nil"/>
              <w:right w:val="nil"/>
            </w:tcBorders>
            <w:shd w:val="clear" w:color="auto" w:fill="FFFFFF" w:themeFill="background1"/>
            <w:noWrap/>
          </w:tcPr>
          <w:p w14:paraId="1462E2F3"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.051</w:t>
            </w:r>
          </w:p>
        </w:tc>
        <w:tc>
          <w:tcPr>
            <w:tcW w:w="1134" w:type="dxa"/>
            <w:tcBorders>
              <w:left w:val="nil"/>
              <w:right w:val="nil"/>
            </w:tcBorders>
            <w:shd w:val="clear" w:color="auto" w:fill="FFFFFF" w:themeFill="background1"/>
            <w:noWrap/>
          </w:tcPr>
          <w:p w14:paraId="30A93821"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 xml:space="preserve">.002 </w:t>
            </w:r>
          </w:p>
        </w:tc>
        <w:tc>
          <w:tcPr>
            <w:tcW w:w="992" w:type="dxa"/>
            <w:tcBorders>
              <w:left w:val="nil"/>
              <w:right w:val="nil"/>
            </w:tcBorders>
            <w:shd w:val="clear" w:color="auto" w:fill="FFFFFF" w:themeFill="background1"/>
            <w:noWrap/>
          </w:tcPr>
          <w:p w14:paraId="66DB1823"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.093</w:t>
            </w:r>
          </w:p>
        </w:tc>
        <w:tc>
          <w:tcPr>
            <w:tcW w:w="992" w:type="dxa"/>
            <w:tcBorders>
              <w:left w:val="nil"/>
              <w:right w:val="nil"/>
            </w:tcBorders>
            <w:shd w:val="clear" w:color="auto" w:fill="FFFFFF" w:themeFill="background1"/>
            <w:noWrap/>
          </w:tcPr>
          <w:p w14:paraId="7E39E1DC"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 xml:space="preserve">.021 </w:t>
            </w:r>
          </w:p>
        </w:tc>
        <w:tc>
          <w:tcPr>
            <w:tcW w:w="992" w:type="dxa"/>
            <w:tcBorders>
              <w:left w:val="nil"/>
              <w:right w:val="nil"/>
            </w:tcBorders>
            <w:shd w:val="clear" w:color="auto" w:fill="FFFFFF" w:themeFill="background1"/>
            <w:noWrap/>
          </w:tcPr>
          <w:p w14:paraId="0D9AAB63"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.104</w:t>
            </w:r>
          </w:p>
        </w:tc>
        <w:tc>
          <w:tcPr>
            <w:tcW w:w="992" w:type="dxa"/>
            <w:tcBorders>
              <w:left w:val="nil"/>
              <w:right w:val="nil"/>
            </w:tcBorders>
            <w:shd w:val="clear" w:color="auto" w:fill="FFFFFF" w:themeFill="background1"/>
            <w:noWrap/>
          </w:tcPr>
          <w:p w14:paraId="01ADAF30"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.105</w:t>
            </w:r>
          </w:p>
        </w:tc>
        <w:tc>
          <w:tcPr>
            <w:tcW w:w="1134" w:type="dxa"/>
            <w:tcBorders>
              <w:left w:val="nil"/>
              <w:right w:val="nil"/>
            </w:tcBorders>
            <w:shd w:val="clear" w:color="auto" w:fill="FFFFFF" w:themeFill="background1"/>
            <w:noWrap/>
          </w:tcPr>
          <w:p w14:paraId="7F267D14" w14:textId="77777777" w:rsidR="00E51ACF" w:rsidRPr="00215905" w:rsidRDefault="00E51ACF" w:rsidP="00113785">
            <w:pPr>
              <w:spacing w:after="0"/>
              <w:rPr>
                <w:rFonts w:eastAsia="Times New Roman" w:cs="Times New Roman"/>
                <w:sz w:val="22"/>
                <w:lang w:val="en-US" w:eastAsia="en-GB"/>
              </w:rPr>
            </w:pPr>
          </w:p>
        </w:tc>
        <w:tc>
          <w:tcPr>
            <w:tcW w:w="992" w:type="dxa"/>
            <w:tcBorders>
              <w:left w:val="nil"/>
              <w:right w:val="nil"/>
            </w:tcBorders>
            <w:shd w:val="clear" w:color="auto" w:fill="FFFFFF" w:themeFill="background1"/>
            <w:noWrap/>
          </w:tcPr>
          <w:p w14:paraId="029974C3"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.017</w:t>
            </w:r>
          </w:p>
        </w:tc>
        <w:tc>
          <w:tcPr>
            <w:tcW w:w="993" w:type="dxa"/>
            <w:tcBorders>
              <w:left w:val="nil"/>
              <w:right w:val="nil"/>
            </w:tcBorders>
            <w:shd w:val="clear" w:color="auto" w:fill="FFFFFF" w:themeFill="background1"/>
            <w:noWrap/>
          </w:tcPr>
          <w:p w14:paraId="5421170F"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-.045</w:t>
            </w:r>
          </w:p>
        </w:tc>
      </w:tr>
      <w:tr w:rsidR="00E51ACF" w:rsidRPr="00C73325" w14:paraId="3FC7F572" w14:textId="77777777" w:rsidTr="00E51ACF">
        <w:trPr>
          <w:trHeight w:val="331"/>
        </w:trPr>
        <w:tc>
          <w:tcPr>
            <w:tcW w:w="1289" w:type="dxa"/>
            <w:tcBorders>
              <w:left w:val="nil"/>
            </w:tcBorders>
            <w:shd w:val="clear" w:color="auto" w:fill="FFFFFF" w:themeFill="background1"/>
          </w:tcPr>
          <w:p w14:paraId="53067AA2" w14:textId="77777777" w:rsidR="00E51ACF" w:rsidRPr="00215905" w:rsidRDefault="00E51ACF" w:rsidP="00113785">
            <w:pPr>
              <w:spacing w:after="0"/>
              <w:rPr>
                <w:rFonts w:eastAsia="Times New Roman" w:cs="Times New Roman"/>
                <w:iCs/>
                <w:sz w:val="22"/>
                <w:lang w:val="en-US" w:eastAsia="en-GB"/>
              </w:rPr>
            </w:pPr>
            <w:r w:rsidRPr="00215905">
              <w:rPr>
                <w:rFonts w:eastAsia="Times New Roman" w:cs="Times New Roman"/>
                <w:iCs/>
                <w:sz w:val="22"/>
                <w:lang w:val="en-US" w:eastAsia="en-GB"/>
              </w:rPr>
              <w:t xml:space="preserve">  CFS</w:t>
            </w:r>
          </w:p>
        </w:tc>
        <w:tc>
          <w:tcPr>
            <w:tcW w:w="1087" w:type="dxa"/>
            <w:tcBorders>
              <w:left w:val="nil"/>
              <w:right w:val="nil"/>
            </w:tcBorders>
            <w:shd w:val="clear" w:color="auto" w:fill="FFFFFF" w:themeFill="background1"/>
            <w:noWrap/>
          </w:tcPr>
          <w:p w14:paraId="3A9B7FBB"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.262</w:t>
            </w:r>
            <w:r w:rsidRPr="00215905">
              <w:rPr>
                <w:rFonts w:eastAsia="Times New Roman" w:cs="Times New Roman"/>
                <w:sz w:val="22"/>
                <w:vertAlign w:val="superscript"/>
                <w:lang w:val="en-US" w:eastAsia="en-GB"/>
              </w:rPr>
              <w:t>***</w:t>
            </w:r>
          </w:p>
        </w:tc>
        <w:tc>
          <w:tcPr>
            <w:tcW w:w="1134" w:type="dxa"/>
            <w:tcBorders>
              <w:left w:val="nil"/>
              <w:right w:val="nil"/>
            </w:tcBorders>
            <w:shd w:val="clear" w:color="auto" w:fill="FFFFFF" w:themeFill="background1"/>
          </w:tcPr>
          <w:p w14:paraId="142690FE" w14:textId="1DCE99E4"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.250</w:t>
            </w:r>
            <w:r w:rsidRPr="00215905">
              <w:rPr>
                <w:rFonts w:eastAsia="Times New Roman" w:cs="Times New Roman"/>
                <w:sz w:val="22"/>
                <w:vertAlign w:val="superscript"/>
                <w:lang w:val="en-US" w:eastAsia="en-GB"/>
              </w:rPr>
              <w:t>***</w:t>
            </w:r>
          </w:p>
        </w:tc>
        <w:tc>
          <w:tcPr>
            <w:tcW w:w="1134" w:type="dxa"/>
            <w:tcBorders>
              <w:left w:val="nil"/>
              <w:right w:val="nil"/>
            </w:tcBorders>
            <w:shd w:val="clear" w:color="auto" w:fill="FFFFFF" w:themeFill="background1"/>
            <w:noWrap/>
          </w:tcPr>
          <w:p w14:paraId="7A7FEB77" w14:textId="155FB81B"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-.007</w:t>
            </w:r>
          </w:p>
        </w:tc>
        <w:tc>
          <w:tcPr>
            <w:tcW w:w="993" w:type="dxa"/>
            <w:tcBorders>
              <w:left w:val="nil"/>
              <w:right w:val="nil"/>
            </w:tcBorders>
            <w:shd w:val="clear" w:color="auto" w:fill="FFFFFF" w:themeFill="background1"/>
            <w:noWrap/>
          </w:tcPr>
          <w:p w14:paraId="18793FD3"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-.052</w:t>
            </w:r>
          </w:p>
        </w:tc>
        <w:tc>
          <w:tcPr>
            <w:tcW w:w="1134" w:type="dxa"/>
            <w:tcBorders>
              <w:left w:val="nil"/>
              <w:right w:val="nil"/>
            </w:tcBorders>
            <w:shd w:val="clear" w:color="auto" w:fill="FFFFFF" w:themeFill="background1"/>
            <w:noWrap/>
          </w:tcPr>
          <w:p w14:paraId="7E924469"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 xml:space="preserve">.037 </w:t>
            </w:r>
          </w:p>
        </w:tc>
        <w:tc>
          <w:tcPr>
            <w:tcW w:w="992" w:type="dxa"/>
            <w:tcBorders>
              <w:left w:val="nil"/>
              <w:right w:val="nil"/>
            </w:tcBorders>
            <w:shd w:val="clear" w:color="auto" w:fill="FFFFFF" w:themeFill="background1"/>
            <w:noWrap/>
          </w:tcPr>
          <w:p w14:paraId="4C576A47"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.014</w:t>
            </w:r>
          </w:p>
        </w:tc>
        <w:tc>
          <w:tcPr>
            <w:tcW w:w="992" w:type="dxa"/>
            <w:tcBorders>
              <w:left w:val="nil"/>
              <w:right w:val="nil"/>
            </w:tcBorders>
            <w:shd w:val="clear" w:color="auto" w:fill="FFFFFF" w:themeFill="background1"/>
            <w:noWrap/>
          </w:tcPr>
          <w:p w14:paraId="509502A1"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 xml:space="preserve">.068 </w:t>
            </w:r>
          </w:p>
        </w:tc>
        <w:tc>
          <w:tcPr>
            <w:tcW w:w="992" w:type="dxa"/>
            <w:tcBorders>
              <w:left w:val="nil"/>
              <w:right w:val="nil"/>
            </w:tcBorders>
            <w:shd w:val="clear" w:color="auto" w:fill="FFFFFF" w:themeFill="background1"/>
            <w:noWrap/>
          </w:tcPr>
          <w:p w14:paraId="7F92B659"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.083</w:t>
            </w:r>
          </w:p>
        </w:tc>
        <w:tc>
          <w:tcPr>
            <w:tcW w:w="992" w:type="dxa"/>
            <w:tcBorders>
              <w:left w:val="nil"/>
              <w:right w:val="nil"/>
            </w:tcBorders>
            <w:shd w:val="clear" w:color="auto" w:fill="FFFFFF" w:themeFill="background1"/>
            <w:noWrap/>
          </w:tcPr>
          <w:p w14:paraId="3A6A68B2"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.031</w:t>
            </w:r>
          </w:p>
        </w:tc>
        <w:tc>
          <w:tcPr>
            <w:tcW w:w="1134" w:type="dxa"/>
            <w:tcBorders>
              <w:left w:val="nil"/>
              <w:right w:val="nil"/>
            </w:tcBorders>
            <w:shd w:val="clear" w:color="auto" w:fill="FFFFFF" w:themeFill="background1"/>
            <w:noWrap/>
          </w:tcPr>
          <w:p w14:paraId="1F3F51F4"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.139</w:t>
            </w:r>
            <w:r w:rsidRPr="00215905">
              <w:rPr>
                <w:rFonts w:eastAsia="Times New Roman" w:cs="Times New Roman"/>
                <w:sz w:val="22"/>
                <w:vertAlign w:val="superscript"/>
                <w:lang w:val="en-US" w:eastAsia="en-GB"/>
              </w:rPr>
              <w:t>**</w:t>
            </w:r>
          </w:p>
        </w:tc>
        <w:tc>
          <w:tcPr>
            <w:tcW w:w="992" w:type="dxa"/>
            <w:tcBorders>
              <w:left w:val="nil"/>
              <w:right w:val="nil"/>
            </w:tcBorders>
            <w:shd w:val="clear" w:color="auto" w:fill="FFFFFF" w:themeFill="background1"/>
            <w:noWrap/>
          </w:tcPr>
          <w:p w14:paraId="5B37B696" w14:textId="77777777" w:rsidR="00E51ACF" w:rsidRPr="00215905" w:rsidRDefault="00E51ACF" w:rsidP="00113785">
            <w:pPr>
              <w:spacing w:after="0"/>
              <w:rPr>
                <w:rFonts w:eastAsia="Times New Roman" w:cs="Times New Roman"/>
                <w:sz w:val="22"/>
                <w:vertAlign w:val="superscript"/>
                <w:lang w:val="en-US" w:eastAsia="en-GB"/>
              </w:rPr>
            </w:pPr>
          </w:p>
        </w:tc>
        <w:tc>
          <w:tcPr>
            <w:tcW w:w="993" w:type="dxa"/>
            <w:tcBorders>
              <w:left w:val="nil"/>
              <w:right w:val="nil"/>
            </w:tcBorders>
            <w:shd w:val="clear" w:color="auto" w:fill="FFFFFF" w:themeFill="background1"/>
            <w:noWrap/>
          </w:tcPr>
          <w:p w14:paraId="03647422"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.075</w:t>
            </w:r>
          </w:p>
        </w:tc>
      </w:tr>
      <w:tr w:rsidR="00E51ACF" w:rsidRPr="00C73325" w14:paraId="7D145C32" w14:textId="77777777" w:rsidTr="00E51ACF">
        <w:trPr>
          <w:trHeight w:val="331"/>
        </w:trPr>
        <w:tc>
          <w:tcPr>
            <w:tcW w:w="1289" w:type="dxa"/>
            <w:tcBorders>
              <w:left w:val="nil"/>
              <w:bottom w:val="single" w:sz="4" w:space="0" w:color="auto"/>
            </w:tcBorders>
            <w:shd w:val="clear" w:color="auto" w:fill="FFFFFF" w:themeFill="background1"/>
          </w:tcPr>
          <w:p w14:paraId="751FFFFC" w14:textId="77777777" w:rsidR="00E51ACF" w:rsidRPr="00215905" w:rsidRDefault="00E51ACF" w:rsidP="00113785">
            <w:pPr>
              <w:spacing w:after="0"/>
              <w:rPr>
                <w:rFonts w:eastAsia="Times New Roman" w:cs="Times New Roman"/>
                <w:iCs/>
                <w:sz w:val="22"/>
                <w:lang w:val="en-US" w:eastAsia="en-GB"/>
              </w:rPr>
            </w:pPr>
            <w:r w:rsidRPr="00215905">
              <w:rPr>
                <w:rFonts w:eastAsia="Times New Roman" w:cs="Times New Roman"/>
                <w:iCs/>
                <w:sz w:val="22"/>
                <w:lang w:val="en-US" w:eastAsia="en-GB"/>
              </w:rPr>
              <w:t xml:space="preserve">  ROA</w:t>
            </w:r>
          </w:p>
        </w:tc>
        <w:tc>
          <w:tcPr>
            <w:tcW w:w="1087" w:type="dxa"/>
            <w:tcBorders>
              <w:left w:val="nil"/>
              <w:bottom w:val="single" w:sz="4" w:space="0" w:color="auto"/>
              <w:right w:val="nil"/>
            </w:tcBorders>
            <w:shd w:val="clear" w:color="auto" w:fill="FFFFFF" w:themeFill="background1"/>
            <w:noWrap/>
          </w:tcPr>
          <w:p w14:paraId="67AC6420"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.169</w:t>
            </w:r>
            <w:r w:rsidRPr="00215905">
              <w:rPr>
                <w:rFonts w:eastAsia="Times New Roman" w:cs="Times New Roman"/>
                <w:sz w:val="22"/>
                <w:vertAlign w:val="superscript"/>
                <w:lang w:val="en-US" w:eastAsia="en-GB"/>
              </w:rPr>
              <w:t>**</w:t>
            </w:r>
          </w:p>
        </w:tc>
        <w:tc>
          <w:tcPr>
            <w:tcW w:w="1134" w:type="dxa"/>
            <w:tcBorders>
              <w:left w:val="nil"/>
              <w:bottom w:val="single" w:sz="4" w:space="0" w:color="auto"/>
              <w:right w:val="nil"/>
            </w:tcBorders>
            <w:shd w:val="clear" w:color="auto" w:fill="FFFFFF" w:themeFill="background1"/>
          </w:tcPr>
          <w:p w14:paraId="432E7B60" w14:textId="7D319A11"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.173</w:t>
            </w:r>
            <w:r w:rsidRPr="00215905">
              <w:rPr>
                <w:rFonts w:eastAsia="Times New Roman" w:cs="Times New Roman"/>
                <w:sz w:val="22"/>
                <w:vertAlign w:val="superscript"/>
                <w:lang w:val="en-US" w:eastAsia="en-GB"/>
              </w:rPr>
              <w:t>**</w:t>
            </w:r>
          </w:p>
        </w:tc>
        <w:tc>
          <w:tcPr>
            <w:tcW w:w="1134" w:type="dxa"/>
            <w:tcBorders>
              <w:left w:val="nil"/>
              <w:bottom w:val="single" w:sz="4" w:space="0" w:color="auto"/>
              <w:right w:val="nil"/>
            </w:tcBorders>
            <w:shd w:val="clear" w:color="auto" w:fill="FFFFFF" w:themeFill="background1"/>
            <w:noWrap/>
          </w:tcPr>
          <w:p w14:paraId="5B8A09F2" w14:textId="2695280E"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.074</w:t>
            </w:r>
          </w:p>
        </w:tc>
        <w:tc>
          <w:tcPr>
            <w:tcW w:w="993" w:type="dxa"/>
            <w:tcBorders>
              <w:left w:val="nil"/>
              <w:bottom w:val="single" w:sz="4" w:space="0" w:color="auto"/>
              <w:right w:val="nil"/>
            </w:tcBorders>
            <w:shd w:val="clear" w:color="auto" w:fill="FFFFFF" w:themeFill="background1"/>
            <w:noWrap/>
          </w:tcPr>
          <w:p w14:paraId="59AC7F73"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-.067</w:t>
            </w:r>
          </w:p>
        </w:tc>
        <w:tc>
          <w:tcPr>
            <w:tcW w:w="1134" w:type="dxa"/>
            <w:tcBorders>
              <w:left w:val="nil"/>
              <w:bottom w:val="single" w:sz="4" w:space="0" w:color="auto"/>
              <w:right w:val="nil"/>
            </w:tcBorders>
            <w:shd w:val="clear" w:color="auto" w:fill="FFFFFF" w:themeFill="background1"/>
            <w:noWrap/>
          </w:tcPr>
          <w:p w14:paraId="49A24641"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-.032</w:t>
            </w:r>
          </w:p>
        </w:tc>
        <w:tc>
          <w:tcPr>
            <w:tcW w:w="992" w:type="dxa"/>
            <w:tcBorders>
              <w:left w:val="nil"/>
              <w:bottom w:val="single" w:sz="4" w:space="0" w:color="auto"/>
              <w:right w:val="nil"/>
            </w:tcBorders>
            <w:shd w:val="clear" w:color="auto" w:fill="FFFFFF" w:themeFill="background1"/>
            <w:noWrap/>
          </w:tcPr>
          <w:p w14:paraId="716DFF88"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-.100</w:t>
            </w:r>
          </w:p>
        </w:tc>
        <w:tc>
          <w:tcPr>
            <w:tcW w:w="992" w:type="dxa"/>
            <w:tcBorders>
              <w:left w:val="nil"/>
              <w:bottom w:val="single" w:sz="4" w:space="0" w:color="auto"/>
              <w:right w:val="nil"/>
            </w:tcBorders>
            <w:shd w:val="clear" w:color="auto" w:fill="FFFFFF" w:themeFill="background1"/>
            <w:noWrap/>
          </w:tcPr>
          <w:p w14:paraId="23F0EF08"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.021</w:t>
            </w:r>
          </w:p>
        </w:tc>
        <w:tc>
          <w:tcPr>
            <w:tcW w:w="992" w:type="dxa"/>
            <w:tcBorders>
              <w:left w:val="nil"/>
              <w:bottom w:val="single" w:sz="4" w:space="0" w:color="auto"/>
              <w:right w:val="nil"/>
            </w:tcBorders>
            <w:shd w:val="clear" w:color="auto" w:fill="FFFFFF" w:themeFill="background1"/>
            <w:noWrap/>
          </w:tcPr>
          <w:p w14:paraId="6D0ECBA9"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.067</w:t>
            </w:r>
          </w:p>
        </w:tc>
        <w:tc>
          <w:tcPr>
            <w:tcW w:w="992" w:type="dxa"/>
            <w:tcBorders>
              <w:left w:val="nil"/>
              <w:bottom w:val="single" w:sz="4" w:space="0" w:color="auto"/>
              <w:right w:val="nil"/>
            </w:tcBorders>
            <w:shd w:val="clear" w:color="auto" w:fill="FFFFFF" w:themeFill="background1"/>
            <w:noWrap/>
          </w:tcPr>
          <w:p w14:paraId="6BA816B7" w14:textId="77777777" w:rsidR="00E51ACF" w:rsidRPr="00215905" w:rsidRDefault="00E51ACF" w:rsidP="00113785">
            <w:pPr>
              <w:spacing w:after="0"/>
              <w:rPr>
                <w:rFonts w:eastAsia="Times New Roman" w:cs="Times New Roman"/>
                <w:sz w:val="22"/>
                <w:lang w:val="en-US" w:eastAsia="en-GB"/>
              </w:rPr>
            </w:pPr>
            <w:r w:rsidRPr="00215905">
              <w:rPr>
                <w:rFonts w:eastAsia="Times New Roman" w:cs="Times New Roman"/>
                <w:sz w:val="22"/>
                <w:lang w:val="en-US" w:eastAsia="en-GB"/>
              </w:rPr>
              <w:t xml:space="preserve">.049 </w:t>
            </w:r>
          </w:p>
        </w:tc>
        <w:tc>
          <w:tcPr>
            <w:tcW w:w="1134" w:type="dxa"/>
            <w:tcBorders>
              <w:left w:val="nil"/>
              <w:bottom w:val="single" w:sz="4" w:space="0" w:color="auto"/>
              <w:right w:val="nil"/>
            </w:tcBorders>
            <w:shd w:val="clear" w:color="auto" w:fill="FFFFFF" w:themeFill="background1"/>
            <w:noWrap/>
          </w:tcPr>
          <w:p w14:paraId="2A7C624B"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.104</w:t>
            </w:r>
          </w:p>
        </w:tc>
        <w:tc>
          <w:tcPr>
            <w:tcW w:w="992" w:type="dxa"/>
            <w:tcBorders>
              <w:left w:val="nil"/>
              <w:bottom w:val="single" w:sz="4" w:space="0" w:color="auto"/>
              <w:right w:val="nil"/>
            </w:tcBorders>
            <w:shd w:val="clear" w:color="auto" w:fill="FFFFFF" w:themeFill="background1"/>
            <w:noWrap/>
          </w:tcPr>
          <w:p w14:paraId="00D39BCF" w14:textId="77777777" w:rsidR="00E51ACF" w:rsidRPr="00215905" w:rsidRDefault="00E51ACF" w:rsidP="00113785">
            <w:pPr>
              <w:spacing w:after="0"/>
              <w:rPr>
                <w:rFonts w:eastAsia="Times New Roman" w:cs="Times New Roman"/>
                <w:sz w:val="22"/>
                <w:vertAlign w:val="superscript"/>
                <w:lang w:val="en-US" w:eastAsia="en-GB"/>
              </w:rPr>
            </w:pPr>
            <w:r w:rsidRPr="00215905">
              <w:rPr>
                <w:rFonts w:eastAsia="Times New Roman" w:cs="Times New Roman"/>
                <w:sz w:val="22"/>
                <w:lang w:val="en-US" w:eastAsia="en-GB"/>
              </w:rPr>
              <w:t>.053</w:t>
            </w:r>
          </w:p>
        </w:tc>
        <w:tc>
          <w:tcPr>
            <w:tcW w:w="993" w:type="dxa"/>
            <w:tcBorders>
              <w:left w:val="nil"/>
              <w:bottom w:val="single" w:sz="4" w:space="0" w:color="auto"/>
              <w:right w:val="nil"/>
            </w:tcBorders>
            <w:shd w:val="clear" w:color="auto" w:fill="FFFFFF" w:themeFill="background1"/>
            <w:noWrap/>
          </w:tcPr>
          <w:p w14:paraId="510D0F64" w14:textId="77777777" w:rsidR="00E51ACF" w:rsidRPr="00215905" w:rsidRDefault="00E51ACF" w:rsidP="00113785">
            <w:pPr>
              <w:spacing w:after="0"/>
              <w:rPr>
                <w:rFonts w:eastAsia="Times New Roman" w:cs="Times New Roman"/>
                <w:sz w:val="22"/>
                <w:lang w:val="en-US" w:eastAsia="en-GB"/>
              </w:rPr>
            </w:pPr>
          </w:p>
        </w:tc>
      </w:tr>
      <w:tr w:rsidR="00E51ACF" w:rsidRPr="00C73325" w14:paraId="5E709B27" w14:textId="77777777" w:rsidTr="00211D1C">
        <w:trPr>
          <w:trHeight w:val="331"/>
        </w:trPr>
        <w:tc>
          <w:tcPr>
            <w:tcW w:w="13858" w:type="dxa"/>
            <w:gridSpan w:val="13"/>
            <w:tcBorders>
              <w:top w:val="single" w:sz="4" w:space="0" w:color="auto"/>
              <w:left w:val="nil"/>
            </w:tcBorders>
            <w:shd w:val="clear" w:color="auto" w:fill="FFFFFF" w:themeFill="background1"/>
          </w:tcPr>
          <w:p w14:paraId="1121F2E9" w14:textId="693FE6FE" w:rsidR="00E51ACF" w:rsidRPr="00215905" w:rsidRDefault="00E51ACF" w:rsidP="00113785">
            <w:pPr>
              <w:spacing w:before="0" w:after="0"/>
              <w:rPr>
                <w:rFonts w:eastAsia="Times New Roman" w:cs="Times New Roman"/>
                <w:sz w:val="22"/>
                <w:lang w:val="en-US" w:eastAsia="en-GB"/>
              </w:rPr>
            </w:pPr>
            <w:r w:rsidRPr="00215905">
              <w:rPr>
                <w:rFonts w:eastAsia="Times New Roman" w:cs="Times New Roman"/>
                <w:b/>
                <w:bCs/>
                <w:sz w:val="22"/>
                <w:lang w:eastAsia="en-GB"/>
              </w:rPr>
              <w:t>Notes:</w:t>
            </w:r>
            <w:r w:rsidRPr="00215905">
              <w:rPr>
                <w:rFonts w:eastAsia="Times New Roman" w:cs="Times New Roman"/>
                <w:i/>
                <w:iCs/>
                <w:sz w:val="22"/>
                <w:lang w:eastAsia="en-GB"/>
              </w:rPr>
              <w:t xml:space="preserve"> </w:t>
            </w:r>
            <w:r w:rsidRPr="00215905">
              <w:rPr>
                <w:rFonts w:eastAsia="Times New Roman" w:cs="Times New Roman"/>
                <w:sz w:val="22"/>
                <w:lang w:eastAsia="en-GB"/>
              </w:rPr>
              <w:t xml:space="preserve">The bottom left half of the table contains Pearson’s correlation coefficient, whereas the upper right half of the table shows Spearman’s correlation coefficients. Variables are definite as follows: </w:t>
            </w:r>
            <w:r w:rsidRPr="00C73325">
              <w:rPr>
                <w:rFonts w:eastAsia="SimSun" w:cs="Times New Roman"/>
                <w:i/>
                <w:iCs/>
                <w:sz w:val="22"/>
                <w:lang w:val="en-US" w:eastAsia="zh-CN"/>
              </w:rPr>
              <w:t xml:space="preserve">BS </w:t>
            </w:r>
            <w:r w:rsidRPr="00FF6091">
              <w:rPr>
                <w:rFonts w:eastAsia="SimSun" w:cs="Times New Roman"/>
                <w:sz w:val="22"/>
                <w:lang w:val="en-US" w:eastAsia="zh-CN"/>
              </w:rPr>
              <w:t xml:space="preserve">denotes board size; </w:t>
            </w:r>
            <w:r w:rsidRPr="00FF6091">
              <w:rPr>
                <w:rFonts w:eastAsia="SimSun" w:cs="Times New Roman"/>
                <w:i/>
                <w:iCs/>
                <w:sz w:val="22"/>
                <w:lang w:val="en-US" w:eastAsia="zh-CN"/>
              </w:rPr>
              <w:t>BI</w:t>
            </w:r>
            <w:r w:rsidRPr="002E11E6">
              <w:rPr>
                <w:rFonts w:eastAsia="SimSun" w:cs="Times New Roman"/>
                <w:sz w:val="22"/>
                <w:lang w:val="en-US" w:eastAsia="zh-CN"/>
              </w:rPr>
              <w:t xml:space="preserve"> denotes board independence; </w:t>
            </w:r>
            <w:r w:rsidRPr="002E11E6">
              <w:rPr>
                <w:rFonts w:eastAsia="SimSun" w:cs="Times New Roman"/>
                <w:i/>
                <w:iCs/>
                <w:sz w:val="22"/>
                <w:lang w:val="en-US" w:eastAsia="zh-CN"/>
              </w:rPr>
              <w:t>CEO</w:t>
            </w:r>
            <w:r w:rsidRPr="002E11E6">
              <w:rPr>
                <w:rFonts w:eastAsia="SimSun" w:cs="Times New Roman"/>
                <w:sz w:val="22"/>
                <w:lang w:val="en-US" w:eastAsia="zh-CN"/>
              </w:rPr>
              <w:t xml:space="preserve"> denotes CEO role duality; </w:t>
            </w:r>
            <w:r w:rsidRPr="00C00CE9">
              <w:rPr>
                <w:rFonts w:eastAsia="SimSun" w:cs="Times New Roman"/>
                <w:i/>
                <w:iCs/>
                <w:sz w:val="22"/>
                <w:lang w:val="en-US" w:eastAsia="zh-CN"/>
              </w:rPr>
              <w:t>BM</w:t>
            </w:r>
            <w:r w:rsidRPr="00C00CE9">
              <w:rPr>
                <w:rFonts w:eastAsia="SimSun" w:cs="Times New Roman"/>
                <w:sz w:val="22"/>
                <w:lang w:val="en-US" w:eastAsia="zh-CN"/>
              </w:rPr>
              <w:t xml:space="preserve"> denotes frequency of board meetings; </w:t>
            </w:r>
            <w:r w:rsidRPr="00C73325">
              <w:rPr>
                <w:rFonts w:eastAsia="SimSun" w:cs="Times New Roman"/>
                <w:i/>
                <w:iCs/>
                <w:sz w:val="22"/>
                <w:lang w:val="en-US" w:eastAsia="zh-CN"/>
              </w:rPr>
              <w:t>BG</w:t>
            </w:r>
            <w:r w:rsidRPr="00C73325">
              <w:rPr>
                <w:rFonts w:eastAsia="SimSun" w:cs="Times New Roman"/>
                <w:sz w:val="22"/>
                <w:lang w:val="en-US" w:eastAsia="zh-CN"/>
              </w:rPr>
              <w:t xml:space="preserve"> denotes board gender diversity; </w:t>
            </w:r>
            <w:r w:rsidRPr="00C73325">
              <w:rPr>
                <w:rFonts w:eastAsia="SimSun" w:cs="Times New Roman"/>
                <w:i/>
                <w:iCs/>
                <w:sz w:val="22"/>
                <w:lang w:val="en-US" w:eastAsia="zh-CN"/>
              </w:rPr>
              <w:t>AS</w:t>
            </w:r>
            <w:r w:rsidRPr="00C73325">
              <w:rPr>
                <w:rFonts w:eastAsia="SimSun" w:cs="Times New Roman"/>
                <w:sz w:val="22"/>
                <w:lang w:val="en-US" w:eastAsia="zh-CN"/>
              </w:rPr>
              <w:t xml:space="preserve"> denotes audit committee size; </w:t>
            </w:r>
            <w:r w:rsidRPr="00C73325">
              <w:rPr>
                <w:rFonts w:eastAsia="SimSun" w:cs="Times New Roman"/>
                <w:i/>
                <w:iCs/>
                <w:sz w:val="22"/>
                <w:lang w:val="en-US" w:eastAsia="zh-CN"/>
              </w:rPr>
              <w:t>FS</w:t>
            </w:r>
            <w:r w:rsidRPr="00C73325">
              <w:rPr>
                <w:rFonts w:eastAsia="SimSun" w:cs="Times New Roman"/>
                <w:sz w:val="22"/>
                <w:lang w:val="en-US" w:eastAsia="zh-CN"/>
              </w:rPr>
              <w:t xml:space="preserve"> denotes firm size; </w:t>
            </w:r>
            <w:r w:rsidRPr="00C73325">
              <w:rPr>
                <w:rFonts w:eastAsia="SimSun" w:cs="Times New Roman"/>
                <w:i/>
                <w:iCs/>
                <w:sz w:val="22"/>
                <w:lang w:val="en-US" w:eastAsia="zh-CN"/>
              </w:rPr>
              <w:t xml:space="preserve">LEV </w:t>
            </w:r>
            <w:r w:rsidRPr="00C73325">
              <w:rPr>
                <w:rFonts w:eastAsia="SimSun" w:cs="Times New Roman"/>
                <w:sz w:val="22"/>
                <w:lang w:val="en-US" w:eastAsia="zh-CN"/>
              </w:rPr>
              <w:t xml:space="preserve">denotes leverage; </w:t>
            </w:r>
            <w:r w:rsidRPr="00C73325">
              <w:rPr>
                <w:rFonts w:eastAsia="SimSun" w:cs="Times New Roman"/>
                <w:i/>
                <w:iCs/>
                <w:sz w:val="22"/>
                <w:lang w:val="en-US" w:eastAsia="zh-CN"/>
              </w:rPr>
              <w:t>CFS</w:t>
            </w:r>
            <w:r w:rsidRPr="00C73325">
              <w:rPr>
                <w:rFonts w:eastAsia="SimSun" w:cs="Times New Roman"/>
                <w:sz w:val="22"/>
                <w:lang w:val="en-US" w:eastAsia="zh-CN"/>
              </w:rPr>
              <w:t xml:space="preserve"> denotes cash flow per share and </w:t>
            </w:r>
            <w:r w:rsidRPr="00C73325">
              <w:rPr>
                <w:rFonts w:eastAsia="SimSun" w:cs="Times New Roman"/>
                <w:i/>
                <w:iCs/>
                <w:sz w:val="22"/>
                <w:lang w:val="en-US" w:eastAsia="zh-CN"/>
              </w:rPr>
              <w:t>ROA</w:t>
            </w:r>
            <w:r w:rsidRPr="00C73325">
              <w:rPr>
                <w:rFonts w:eastAsia="SimSun" w:cs="Times New Roman"/>
                <w:sz w:val="22"/>
                <w:lang w:val="en-US" w:eastAsia="zh-CN"/>
              </w:rPr>
              <w:t xml:space="preserve"> denotes return on assets. </w:t>
            </w:r>
            <w:r w:rsidRPr="00C73325">
              <w:rPr>
                <w:rFonts w:eastAsia="Calibri" w:cs="Times New Roman"/>
                <w:sz w:val="22"/>
                <w:lang w:eastAsia="en-GB"/>
              </w:rPr>
              <w:t xml:space="preserve">***, ** </w:t>
            </w:r>
            <w:r w:rsidRPr="00C73325">
              <w:rPr>
                <w:rFonts w:eastAsia="SimSun" w:cs="Times New Roman"/>
                <w:sz w:val="22"/>
                <w:lang w:val="en-US" w:eastAsia="zh-CN"/>
              </w:rPr>
              <w:t xml:space="preserve">and </w:t>
            </w:r>
            <w:r w:rsidRPr="00C73325">
              <w:rPr>
                <w:rFonts w:eastAsia="Calibri" w:cs="Times New Roman"/>
                <w:sz w:val="22"/>
                <w:lang w:eastAsia="en-GB"/>
              </w:rPr>
              <w:t>*</w:t>
            </w:r>
            <w:r w:rsidRPr="00C73325">
              <w:rPr>
                <w:rFonts w:eastAsia="SimSun" w:cs="Times New Roman"/>
                <w:sz w:val="22"/>
                <w:lang w:val="en-US" w:eastAsia="zh-CN"/>
              </w:rPr>
              <w:t xml:space="preserve"> indicate that correlations among variables are significant at the 0.01, 0.05 and 0.10 levels (2-tailed) respectively.</w:t>
            </w:r>
          </w:p>
        </w:tc>
      </w:tr>
    </w:tbl>
    <w:p w14:paraId="63AE4221" w14:textId="77777777" w:rsidR="00A562F2" w:rsidRPr="00C73325" w:rsidRDefault="00A562F2" w:rsidP="00026691">
      <w:pPr>
        <w:spacing w:before="0" w:after="160" w:line="259" w:lineRule="auto"/>
        <w:jc w:val="left"/>
        <w:rPr>
          <w:rFonts w:cs="Times New Roman"/>
          <w:b/>
          <w:szCs w:val="24"/>
        </w:rPr>
        <w:sectPr w:rsidR="00A562F2" w:rsidRPr="00C73325" w:rsidSect="00A562F2">
          <w:pgSz w:w="16838" w:h="11906" w:orient="landscape"/>
          <w:pgMar w:top="1440" w:right="1440" w:bottom="1440" w:left="1440" w:header="708" w:footer="708" w:gutter="0"/>
          <w:cols w:space="708"/>
          <w:docGrid w:linePitch="360"/>
        </w:sectPr>
      </w:pPr>
    </w:p>
    <w:tbl>
      <w:tblPr>
        <w:tblStyle w:val="TableGrid1"/>
        <w:tblpPr w:leftFromText="180" w:rightFromText="180" w:vertAnchor="page" w:horzAnchor="margin" w:tblpY="1591"/>
        <w:tblW w:w="13222" w:type="dxa"/>
        <w:tblLayout w:type="fixed"/>
        <w:tblLook w:val="04A0" w:firstRow="1" w:lastRow="0" w:firstColumn="1" w:lastColumn="0" w:noHBand="0" w:noVBand="1"/>
      </w:tblPr>
      <w:tblGrid>
        <w:gridCol w:w="2219"/>
        <w:gridCol w:w="1680"/>
        <w:gridCol w:w="1771"/>
        <w:gridCol w:w="1419"/>
        <w:gridCol w:w="259"/>
        <w:gridCol w:w="236"/>
        <w:gridCol w:w="1546"/>
        <w:gridCol w:w="1644"/>
        <w:gridCol w:w="1485"/>
        <w:gridCol w:w="963"/>
      </w:tblGrid>
      <w:tr w:rsidR="00122C20" w:rsidRPr="00C73325" w14:paraId="2CB75F73" w14:textId="77777777" w:rsidTr="00F45EC6">
        <w:trPr>
          <w:trHeight w:val="187"/>
        </w:trPr>
        <w:tc>
          <w:tcPr>
            <w:tcW w:w="13222" w:type="dxa"/>
            <w:gridSpan w:val="10"/>
            <w:tcBorders>
              <w:top w:val="nil"/>
              <w:left w:val="nil"/>
              <w:bottom w:val="single" w:sz="12" w:space="0" w:color="auto"/>
              <w:right w:val="nil"/>
            </w:tcBorders>
          </w:tcPr>
          <w:p w14:paraId="2F183A09" w14:textId="77777777" w:rsidR="00122C20" w:rsidRPr="00C73325" w:rsidRDefault="00122C20" w:rsidP="00822291">
            <w:pPr>
              <w:spacing w:before="0" w:after="0"/>
              <w:ind w:left="993" w:hanging="993"/>
              <w:jc w:val="left"/>
              <w:rPr>
                <w:rFonts w:cs="Times New Roman"/>
                <w:b/>
                <w:bCs/>
                <w:sz w:val="20"/>
                <w:szCs w:val="20"/>
                <w:lang w:val="en-US" w:eastAsia="zh-CN"/>
              </w:rPr>
            </w:pPr>
            <w:r w:rsidRPr="00C73325">
              <w:rPr>
                <w:rFonts w:cs="Times New Roman"/>
                <w:b/>
                <w:bCs/>
                <w:sz w:val="20"/>
                <w:szCs w:val="20"/>
                <w:lang w:val="en-US" w:eastAsia="zh-CN"/>
              </w:rPr>
              <w:lastRenderedPageBreak/>
              <w:t>Table 4</w:t>
            </w:r>
          </w:p>
          <w:p w14:paraId="4F773EF7" w14:textId="259032CF" w:rsidR="00122C20" w:rsidRPr="00C73325" w:rsidRDefault="00122C20" w:rsidP="00122C20">
            <w:pPr>
              <w:spacing w:before="0" w:after="0"/>
              <w:jc w:val="left"/>
              <w:rPr>
                <w:rFonts w:cs="Times New Roman"/>
                <w:sz w:val="20"/>
                <w:szCs w:val="20"/>
                <w:lang w:val="en-US" w:eastAsia="zh-CN"/>
              </w:rPr>
            </w:pPr>
            <w:r w:rsidRPr="00C73325">
              <w:rPr>
                <w:rFonts w:cs="Times New Roman"/>
                <w:sz w:val="20"/>
                <w:szCs w:val="20"/>
                <w:lang w:val="en-US" w:eastAsia="zh-CN"/>
              </w:rPr>
              <w:t>Effect of corporate governance on dividend pay</w:t>
            </w:r>
            <w:r w:rsidR="009966D6" w:rsidRPr="00C73325">
              <w:rPr>
                <w:rFonts w:cs="Times New Roman"/>
                <w:sz w:val="20"/>
                <w:szCs w:val="20"/>
                <w:lang w:val="en-US" w:eastAsia="zh-CN"/>
              </w:rPr>
              <w:t>-</w:t>
            </w:r>
            <w:r w:rsidRPr="00C73325">
              <w:rPr>
                <w:rFonts w:cs="Times New Roman"/>
                <w:sz w:val="20"/>
                <w:szCs w:val="20"/>
                <w:lang w:val="en-US" w:eastAsia="zh-CN"/>
              </w:rPr>
              <w:t>out policy</w:t>
            </w:r>
          </w:p>
        </w:tc>
      </w:tr>
      <w:tr w:rsidR="00122C20" w:rsidRPr="00C73325" w14:paraId="02F8A0D0" w14:textId="77777777" w:rsidTr="00F45EC6">
        <w:trPr>
          <w:trHeight w:val="374"/>
        </w:trPr>
        <w:tc>
          <w:tcPr>
            <w:tcW w:w="2219" w:type="dxa"/>
            <w:tcBorders>
              <w:top w:val="nil"/>
              <w:left w:val="nil"/>
              <w:bottom w:val="single" w:sz="2" w:space="0" w:color="auto"/>
              <w:right w:val="nil"/>
            </w:tcBorders>
          </w:tcPr>
          <w:p w14:paraId="11D590D4"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Dep. Variable</w:t>
            </w:r>
          </w:p>
          <w:p w14:paraId="4921C485"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r w:rsidRPr="00C73325">
              <w:rPr>
                <w:rFonts w:cs="Times New Roman"/>
                <w:i/>
                <w:iCs/>
                <w:sz w:val="20"/>
                <w:szCs w:val="20"/>
              </w:rPr>
              <w:t>Model</w:t>
            </w:r>
            <w:r w:rsidRPr="00C73325">
              <w:rPr>
                <w:rFonts w:cs="Times New Roman"/>
                <w:sz w:val="20"/>
                <w:szCs w:val="20"/>
              </w:rPr>
              <w:t>)</w:t>
            </w:r>
          </w:p>
        </w:tc>
        <w:tc>
          <w:tcPr>
            <w:tcW w:w="1680" w:type="dxa"/>
            <w:tcBorders>
              <w:top w:val="single" w:sz="4" w:space="0" w:color="auto"/>
              <w:left w:val="nil"/>
              <w:bottom w:val="single" w:sz="2" w:space="0" w:color="auto"/>
              <w:right w:val="nil"/>
            </w:tcBorders>
          </w:tcPr>
          <w:p w14:paraId="2F7D024D" w14:textId="5ADC9606" w:rsidR="00122C20" w:rsidRPr="00C73325" w:rsidRDefault="00122C20" w:rsidP="00122C20">
            <w:pPr>
              <w:spacing w:before="0" w:after="0"/>
              <w:jc w:val="left"/>
              <w:rPr>
                <w:rFonts w:cs="Times New Roman"/>
                <w:sz w:val="20"/>
                <w:szCs w:val="20"/>
                <w:lang w:val="en-US" w:eastAsia="zh-CN"/>
              </w:rPr>
            </w:pPr>
            <w:r w:rsidRPr="00C73325">
              <w:rPr>
                <w:rFonts w:cs="Times New Roman"/>
                <w:sz w:val="20"/>
                <w:szCs w:val="20"/>
                <w:lang w:val="en-US" w:eastAsia="zh-CN"/>
              </w:rPr>
              <w:t>DP</w:t>
            </w:r>
            <w:r w:rsidR="00B00591" w:rsidRPr="00C73325">
              <w:rPr>
                <w:rFonts w:cs="Times New Roman"/>
                <w:sz w:val="20"/>
                <w:szCs w:val="20"/>
                <w:lang w:val="en-US" w:eastAsia="zh-CN"/>
              </w:rPr>
              <w:t>1</w:t>
            </w:r>
          </w:p>
          <w:p w14:paraId="69CE1199" w14:textId="77777777" w:rsidR="00122C20" w:rsidRPr="00C73325" w:rsidRDefault="00122C20" w:rsidP="00122C20">
            <w:pPr>
              <w:spacing w:before="0" w:after="0"/>
              <w:jc w:val="left"/>
              <w:rPr>
                <w:rFonts w:cs="Times New Roman"/>
                <w:sz w:val="20"/>
                <w:szCs w:val="20"/>
              </w:rPr>
            </w:pPr>
            <w:r w:rsidRPr="00C73325">
              <w:rPr>
                <w:rFonts w:cs="Times New Roman"/>
                <w:sz w:val="20"/>
                <w:szCs w:val="20"/>
                <w:lang w:val="en-US" w:eastAsia="zh-CN"/>
              </w:rPr>
              <w:t>(1)</w:t>
            </w:r>
          </w:p>
        </w:tc>
        <w:tc>
          <w:tcPr>
            <w:tcW w:w="1771" w:type="dxa"/>
            <w:tcBorders>
              <w:top w:val="single" w:sz="4" w:space="0" w:color="auto"/>
              <w:left w:val="nil"/>
              <w:bottom w:val="single" w:sz="2" w:space="0" w:color="auto"/>
              <w:right w:val="nil"/>
            </w:tcBorders>
          </w:tcPr>
          <w:p w14:paraId="2185FB51" w14:textId="53B2D909" w:rsidR="00122C20" w:rsidRPr="00C73325" w:rsidRDefault="00122C20" w:rsidP="00122C20">
            <w:pPr>
              <w:spacing w:before="0" w:after="0"/>
              <w:jc w:val="left"/>
              <w:rPr>
                <w:rFonts w:cs="Times New Roman"/>
                <w:sz w:val="20"/>
                <w:szCs w:val="20"/>
                <w:lang w:val="en-US" w:eastAsia="zh-CN"/>
              </w:rPr>
            </w:pPr>
            <w:r w:rsidRPr="00C73325">
              <w:rPr>
                <w:rFonts w:cs="Times New Roman"/>
                <w:sz w:val="20"/>
                <w:szCs w:val="20"/>
                <w:lang w:val="en-US" w:eastAsia="zh-CN"/>
              </w:rPr>
              <w:t>DP</w:t>
            </w:r>
            <w:r w:rsidR="00B00591" w:rsidRPr="00C73325">
              <w:rPr>
                <w:rFonts w:cs="Times New Roman"/>
                <w:sz w:val="20"/>
                <w:szCs w:val="20"/>
                <w:lang w:val="en-US" w:eastAsia="zh-CN"/>
              </w:rPr>
              <w:t>1</w:t>
            </w:r>
          </w:p>
          <w:p w14:paraId="2C071903" w14:textId="77777777" w:rsidR="00122C20" w:rsidRPr="00C73325" w:rsidRDefault="00122C20" w:rsidP="00122C20">
            <w:pPr>
              <w:spacing w:before="0" w:after="0"/>
              <w:jc w:val="left"/>
              <w:rPr>
                <w:rFonts w:cs="Times New Roman"/>
                <w:sz w:val="20"/>
                <w:szCs w:val="20"/>
              </w:rPr>
            </w:pPr>
            <w:r w:rsidRPr="00C73325">
              <w:rPr>
                <w:rFonts w:cs="Times New Roman"/>
                <w:sz w:val="20"/>
                <w:szCs w:val="20"/>
                <w:lang w:val="en-US" w:eastAsia="zh-CN"/>
              </w:rPr>
              <w:t>(2)</w:t>
            </w:r>
          </w:p>
        </w:tc>
        <w:tc>
          <w:tcPr>
            <w:tcW w:w="1419" w:type="dxa"/>
            <w:tcBorders>
              <w:top w:val="single" w:sz="4" w:space="0" w:color="auto"/>
              <w:left w:val="nil"/>
              <w:bottom w:val="single" w:sz="2" w:space="0" w:color="auto"/>
              <w:right w:val="nil"/>
            </w:tcBorders>
          </w:tcPr>
          <w:p w14:paraId="27573F9D" w14:textId="19228972" w:rsidR="00122C20" w:rsidRPr="00C73325" w:rsidRDefault="00122C20" w:rsidP="00122C20">
            <w:pPr>
              <w:spacing w:before="0" w:after="0"/>
              <w:jc w:val="left"/>
              <w:rPr>
                <w:rFonts w:cs="Times New Roman"/>
                <w:sz w:val="20"/>
                <w:szCs w:val="20"/>
                <w:lang w:val="en-US" w:eastAsia="zh-CN"/>
              </w:rPr>
            </w:pPr>
            <w:r w:rsidRPr="00C73325">
              <w:rPr>
                <w:rFonts w:cs="Times New Roman"/>
                <w:sz w:val="20"/>
                <w:szCs w:val="20"/>
                <w:lang w:val="en-US" w:eastAsia="zh-CN"/>
              </w:rPr>
              <w:t>DP</w:t>
            </w:r>
            <w:r w:rsidR="00B00591" w:rsidRPr="00C73325">
              <w:rPr>
                <w:rFonts w:cs="Times New Roman"/>
                <w:sz w:val="20"/>
                <w:szCs w:val="20"/>
                <w:lang w:val="en-US" w:eastAsia="zh-CN"/>
              </w:rPr>
              <w:t>1</w:t>
            </w:r>
          </w:p>
          <w:p w14:paraId="5930345D" w14:textId="77777777" w:rsidR="00122C20" w:rsidRPr="00C73325" w:rsidRDefault="00122C20" w:rsidP="00122C20">
            <w:pPr>
              <w:spacing w:before="0" w:after="0"/>
              <w:jc w:val="left"/>
              <w:rPr>
                <w:rFonts w:cs="Times New Roman"/>
                <w:sz w:val="20"/>
                <w:szCs w:val="20"/>
              </w:rPr>
            </w:pPr>
            <w:r w:rsidRPr="00C73325">
              <w:rPr>
                <w:rFonts w:cs="Times New Roman"/>
                <w:sz w:val="20"/>
                <w:szCs w:val="20"/>
                <w:lang w:val="en-US" w:eastAsia="zh-CN"/>
              </w:rPr>
              <w:t>(3)</w:t>
            </w:r>
          </w:p>
        </w:tc>
        <w:tc>
          <w:tcPr>
            <w:tcW w:w="259" w:type="dxa"/>
            <w:tcBorders>
              <w:top w:val="single" w:sz="4" w:space="0" w:color="auto"/>
              <w:left w:val="nil"/>
              <w:bottom w:val="single" w:sz="2" w:space="0" w:color="auto"/>
              <w:right w:val="nil"/>
            </w:tcBorders>
          </w:tcPr>
          <w:p w14:paraId="2955B4D2" w14:textId="77777777" w:rsidR="00122C20" w:rsidRPr="00C73325" w:rsidRDefault="00122C20" w:rsidP="00122C20">
            <w:pPr>
              <w:spacing w:before="0" w:after="0"/>
              <w:jc w:val="left"/>
              <w:rPr>
                <w:rFonts w:cs="Times New Roman"/>
                <w:sz w:val="20"/>
                <w:szCs w:val="20"/>
                <w:lang w:val="en-US" w:eastAsia="zh-CN"/>
              </w:rPr>
            </w:pPr>
          </w:p>
        </w:tc>
        <w:tc>
          <w:tcPr>
            <w:tcW w:w="236" w:type="dxa"/>
            <w:tcBorders>
              <w:top w:val="nil"/>
              <w:left w:val="nil"/>
              <w:bottom w:val="single" w:sz="2" w:space="0" w:color="auto"/>
              <w:right w:val="nil"/>
            </w:tcBorders>
          </w:tcPr>
          <w:p w14:paraId="58069861" w14:textId="77777777" w:rsidR="00122C20" w:rsidRPr="00C73325" w:rsidRDefault="00122C20" w:rsidP="00122C20">
            <w:pPr>
              <w:spacing w:before="0" w:after="0"/>
              <w:jc w:val="left"/>
              <w:rPr>
                <w:rFonts w:cs="Times New Roman"/>
                <w:sz w:val="20"/>
                <w:szCs w:val="20"/>
                <w:lang w:val="en-US" w:eastAsia="zh-CN"/>
              </w:rPr>
            </w:pPr>
          </w:p>
        </w:tc>
        <w:tc>
          <w:tcPr>
            <w:tcW w:w="1546" w:type="dxa"/>
            <w:tcBorders>
              <w:top w:val="single" w:sz="4" w:space="0" w:color="auto"/>
              <w:left w:val="nil"/>
              <w:bottom w:val="single" w:sz="2" w:space="0" w:color="auto"/>
              <w:right w:val="nil"/>
            </w:tcBorders>
          </w:tcPr>
          <w:p w14:paraId="1010B501" w14:textId="6CBE5513" w:rsidR="00122C20" w:rsidRPr="00C73325" w:rsidRDefault="00122C20" w:rsidP="00122C20">
            <w:pPr>
              <w:spacing w:before="0" w:after="0"/>
              <w:jc w:val="left"/>
              <w:rPr>
                <w:rFonts w:cs="Times New Roman"/>
                <w:sz w:val="20"/>
                <w:szCs w:val="20"/>
                <w:lang w:val="en-US" w:eastAsia="zh-CN"/>
              </w:rPr>
            </w:pPr>
            <w:r w:rsidRPr="00C73325">
              <w:rPr>
                <w:rFonts w:cs="Times New Roman"/>
                <w:sz w:val="20"/>
                <w:szCs w:val="20"/>
                <w:lang w:val="en-US" w:eastAsia="zh-CN"/>
              </w:rPr>
              <w:t>DP</w:t>
            </w:r>
            <w:r w:rsidR="00B00591" w:rsidRPr="00C73325">
              <w:rPr>
                <w:rFonts w:cs="Times New Roman"/>
                <w:sz w:val="20"/>
                <w:szCs w:val="20"/>
                <w:lang w:val="en-US" w:eastAsia="zh-CN"/>
              </w:rPr>
              <w:t>1</w:t>
            </w:r>
          </w:p>
          <w:p w14:paraId="6BFCB330" w14:textId="77777777" w:rsidR="00122C20" w:rsidRPr="00C73325" w:rsidRDefault="00122C20" w:rsidP="00122C20">
            <w:pPr>
              <w:spacing w:before="0" w:after="0"/>
              <w:ind w:right="-192"/>
              <w:jc w:val="left"/>
              <w:rPr>
                <w:rFonts w:cs="Times New Roman"/>
                <w:sz w:val="20"/>
                <w:szCs w:val="20"/>
              </w:rPr>
            </w:pPr>
            <w:r w:rsidRPr="00C73325">
              <w:rPr>
                <w:rFonts w:cs="Times New Roman"/>
                <w:sz w:val="20"/>
                <w:szCs w:val="20"/>
                <w:lang w:val="en-US" w:eastAsia="zh-CN"/>
              </w:rPr>
              <w:t>(4)</w:t>
            </w:r>
          </w:p>
        </w:tc>
        <w:tc>
          <w:tcPr>
            <w:tcW w:w="1644" w:type="dxa"/>
            <w:tcBorders>
              <w:top w:val="single" w:sz="4" w:space="0" w:color="auto"/>
              <w:left w:val="nil"/>
              <w:bottom w:val="single" w:sz="2" w:space="0" w:color="auto"/>
              <w:right w:val="nil"/>
            </w:tcBorders>
          </w:tcPr>
          <w:p w14:paraId="587331BF" w14:textId="7C0C0C5E" w:rsidR="00122C20" w:rsidRPr="00C73325" w:rsidRDefault="00122C20" w:rsidP="00122C20">
            <w:pPr>
              <w:spacing w:before="0" w:after="0"/>
              <w:jc w:val="left"/>
              <w:rPr>
                <w:rFonts w:cs="Times New Roman"/>
                <w:sz w:val="20"/>
                <w:szCs w:val="20"/>
                <w:lang w:val="en-US" w:eastAsia="zh-CN"/>
              </w:rPr>
            </w:pPr>
            <w:r w:rsidRPr="00C73325">
              <w:rPr>
                <w:rFonts w:cs="Times New Roman"/>
                <w:sz w:val="20"/>
                <w:szCs w:val="20"/>
                <w:lang w:val="en-US" w:eastAsia="zh-CN"/>
              </w:rPr>
              <w:t>DP</w:t>
            </w:r>
            <w:r w:rsidR="00B00591" w:rsidRPr="00C73325">
              <w:rPr>
                <w:rFonts w:cs="Times New Roman"/>
                <w:sz w:val="20"/>
                <w:szCs w:val="20"/>
                <w:lang w:val="en-US" w:eastAsia="zh-CN"/>
              </w:rPr>
              <w:t>1</w:t>
            </w:r>
          </w:p>
          <w:p w14:paraId="56484939" w14:textId="77777777" w:rsidR="00122C20" w:rsidRPr="00C73325" w:rsidRDefault="00122C20" w:rsidP="00122C20">
            <w:pPr>
              <w:spacing w:before="0" w:after="0"/>
              <w:jc w:val="left"/>
              <w:rPr>
                <w:rFonts w:cs="Times New Roman"/>
                <w:sz w:val="20"/>
                <w:szCs w:val="20"/>
              </w:rPr>
            </w:pPr>
            <w:r w:rsidRPr="00C73325">
              <w:rPr>
                <w:rFonts w:cs="Times New Roman"/>
                <w:sz w:val="20"/>
                <w:szCs w:val="20"/>
                <w:lang w:val="en-US" w:eastAsia="zh-CN"/>
              </w:rPr>
              <w:t>(5)</w:t>
            </w:r>
          </w:p>
        </w:tc>
        <w:tc>
          <w:tcPr>
            <w:tcW w:w="1485" w:type="dxa"/>
            <w:tcBorders>
              <w:top w:val="single" w:sz="4" w:space="0" w:color="auto"/>
              <w:left w:val="nil"/>
              <w:bottom w:val="single" w:sz="2" w:space="0" w:color="auto"/>
              <w:right w:val="nil"/>
            </w:tcBorders>
          </w:tcPr>
          <w:p w14:paraId="2E2DEB92" w14:textId="752D4CFE" w:rsidR="00122C20" w:rsidRPr="00C73325" w:rsidRDefault="00122C20" w:rsidP="00122C20">
            <w:pPr>
              <w:spacing w:before="0" w:after="0"/>
              <w:jc w:val="left"/>
              <w:rPr>
                <w:rFonts w:cs="Times New Roman"/>
                <w:sz w:val="20"/>
                <w:szCs w:val="20"/>
                <w:lang w:val="en-US" w:eastAsia="zh-CN"/>
              </w:rPr>
            </w:pPr>
            <w:r w:rsidRPr="00C73325">
              <w:rPr>
                <w:rFonts w:cs="Times New Roman"/>
                <w:sz w:val="20"/>
                <w:szCs w:val="20"/>
                <w:lang w:val="en-US" w:eastAsia="zh-CN"/>
              </w:rPr>
              <w:t>DP</w:t>
            </w:r>
            <w:r w:rsidR="00B00591" w:rsidRPr="00C73325">
              <w:rPr>
                <w:rFonts w:cs="Times New Roman"/>
                <w:sz w:val="20"/>
                <w:szCs w:val="20"/>
                <w:lang w:val="en-US" w:eastAsia="zh-CN"/>
              </w:rPr>
              <w:t>1</w:t>
            </w:r>
          </w:p>
          <w:p w14:paraId="32B30E0A" w14:textId="77777777" w:rsidR="00122C20" w:rsidRPr="00C73325" w:rsidRDefault="00122C20" w:rsidP="00122C20">
            <w:pPr>
              <w:spacing w:before="0" w:after="0"/>
              <w:jc w:val="left"/>
              <w:rPr>
                <w:rFonts w:cs="Times New Roman"/>
                <w:sz w:val="20"/>
                <w:szCs w:val="20"/>
              </w:rPr>
            </w:pPr>
            <w:r w:rsidRPr="00C73325">
              <w:rPr>
                <w:rFonts w:cs="Times New Roman"/>
                <w:sz w:val="20"/>
                <w:szCs w:val="20"/>
                <w:lang w:val="en-US" w:eastAsia="zh-CN"/>
              </w:rPr>
              <w:t>(6)</w:t>
            </w:r>
          </w:p>
        </w:tc>
        <w:tc>
          <w:tcPr>
            <w:tcW w:w="963" w:type="dxa"/>
            <w:tcBorders>
              <w:top w:val="single" w:sz="4" w:space="0" w:color="auto"/>
              <w:left w:val="nil"/>
              <w:bottom w:val="single" w:sz="2" w:space="0" w:color="auto"/>
              <w:right w:val="nil"/>
            </w:tcBorders>
          </w:tcPr>
          <w:p w14:paraId="1A2E72D9" w14:textId="77777777" w:rsidR="00122C20" w:rsidRPr="00C73325" w:rsidRDefault="00122C20" w:rsidP="00122C20">
            <w:pPr>
              <w:spacing w:before="0" w:after="0"/>
              <w:jc w:val="left"/>
              <w:rPr>
                <w:rFonts w:cs="Times New Roman"/>
                <w:sz w:val="20"/>
                <w:szCs w:val="20"/>
                <w:lang w:val="en-US" w:eastAsia="zh-CN"/>
              </w:rPr>
            </w:pPr>
            <w:r w:rsidRPr="00C73325">
              <w:rPr>
                <w:rFonts w:cs="Times New Roman"/>
                <w:sz w:val="20"/>
                <w:szCs w:val="20"/>
                <w:lang w:val="en-US" w:eastAsia="zh-CN"/>
              </w:rPr>
              <w:t>VIF</w:t>
            </w:r>
          </w:p>
        </w:tc>
      </w:tr>
      <w:tr w:rsidR="00122C20" w:rsidRPr="00C73325" w14:paraId="6ABDB243" w14:textId="77777777" w:rsidTr="00F45EC6">
        <w:trPr>
          <w:trHeight w:val="286"/>
        </w:trPr>
        <w:tc>
          <w:tcPr>
            <w:tcW w:w="2219" w:type="dxa"/>
            <w:tcBorders>
              <w:top w:val="single" w:sz="2" w:space="0" w:color="auto"/>
              <w:left w:val="nil"/>
              <w:bottom w:val="nil"/>
              <w:right w:val="nil"/>
            </w:tcBorders>
          </w:tcPr>
          <w:p w14:paraId="173E04F6" w14:textId="77777777" w:rsidR="00122C20" w:rsidRPr="00C73325" w:rsidRDefault="00122C20" w:rsidP="00122C20">
            <w:pPr>
              <w:spacing w:before="0" w:after="0"/>
              <w:jc w:val="left"/>
              <w:rPr>
                <w:rFonts w:cs="Times New Roman"/>
                <w:i/>
                <w:iCs/>
                <w:sz w:val="20"/>
                <w:szCs w:val="20"/>
              </w:rPr>
            </w:pPr>
            <w:r w:rsidRPr="00C73325">
              <w:rPr>
                <w:rFonts w:cs="Times New Roman"/>
                <w:i/>
                <w:iCs/>
                <w:sz w:val="20"/>
                <w:szCs w:val="20"/>
              </w:rPr>
              <w:t>Corporate governance:</w:t>
            </w:r>
          </w:p>
        </w:tc>
        <w:tc>
          <w:tcPr>
            <w:tcW w:w="1680" w:type="dxa"/>
            <w:tcBorders>
              <w:top w:val="single" w:sz="2" w:space="0" w:color="auto"/>
              <w:left w:val="nil"/>
              <w:bottom w:val="nil"/>
              <w:right w:val="nil"/>
            </w:tcBorders>
          </w:tcPr>
          <w:p w14:paraId="41510A17" w14:textId="77777777" w:rsidR="00122C20" w:rsidRPr="00C73325" w:rsidRDefault="00122C20" w:rsidP="00122C20">
            <w:pPr>
              <w:spacing w:before="0" w:after="0"/>
              <w:jc w:val="left"/>
              <w:rPr>
                <w:rFonts w:cs="Times New Roman"/>
                <w:sz w:val="20"/>
                <w:szCs w:val="20"/>
              </w:rPr>
            </w:pPr>
          </w:p>
        </w:tc>
        <w:tc>
          <w:tcPr>
            <w:tcW w:w="1771" w:type="dxa"/>
            <w:tcBorders>
              <w:top w:val="single" w:sz="2" w:space="0" w:color="auto"/>
              <w:left w:val="nil"/>
              <w:bottom w:val="nil"/>
              <w:right w:val="nil"/>
            </w:tcBorders>
          </w:tcPr>
          <w:p w14:paraId="5CFCF217" w14:textId="77777777" w:rsidR="00122C20" w:rsidRPr="00C73325" w:rsidRDefault="00122C20" w:rsidP="00122C20">
            <w:pPr>
              <w:spacing w:before="0" w:after="0"/>
              <w:jc w:val="left"/>
              <w:rPr>
                <w:rFonts w:cs="Times New Roman"/>
                <w:sz w:val="20"/>
                <w:szCs w:val="20"/>
              </w:rPr>
            </w:pPr>
          </w:p>
        </w:tc>
        <w:tc>
          <w:tcPr>
            <w:tcW w:w="1419" w:type="dxa"/>
            <w:tcBorders>
              <w:top w:val="single" w:sz="2" w:space="0" w:color="auto"/>
              <w:left w:val="nil"/>
              <w:bottom w:val="nil"/>
              <w:right w:val="nil"/>
            </w:tcBorders>
          </w:tcPr>
          <w:p w14:paraId="6EE03F1C" w14:textId="77777777" w:rsidR="00122C20" w:rsidRPr="00C73325" w:rsidRDefault="00122C20" w:rsidP="00122C20">
            <w:pPr>
              <w:spacing w:before="0" w:after="0"/>
              <w:jc w:val="left"/>
              <w:rPr>
                <w:rFonts w:cs="Times New Roman"/>
                <w:sz w:val="20"/>
                <w:szCs w:val="20"/>
              </w:rPr>
            </w:pPr>
          </w:p>
        </w:tc>
        <w:tc>
          <w:tcPr>
            <w:tcW w:w="259" w:type="dxa"/>
            <w:tcBorders>
              <w:top w:val="single" w:sz="2" w:space="0" w:color="auto"/>
              <w:left w:val="nil"/>
              <w:bottom w:val="nil"/>
              <w:right w:val="nil"/>
            </w:tcBorders>
          </w:tcPr>
          <w:p w14:paraId="2BE1FE73" w14:textId="77777777" w:rsidR="00122C20" w:rsidRPr="00C73325" w:rsidRDefault="00122C20" w:rsidP="00122C20">
            <w:pPr>
              <w:spacing w:before="0" w:after="0"/>
              <w:jc w:val="left"/>
              <w:rPr>
                <w:rFonts w:cs="Times New Roman"/>
                <w:sz w:val="20"/>
                <w:szCs w:val="20"/>
              </w:rPr>
            </w:pPr>
          </w:p>
        </w:tc>
        <w:tc>
          <w:tcPr>
            <w:tcW w:w="236" w:type="dxa"/>
            <w:tcBorders>
              <w:top w:val="single" w:sz="2" w:space="0" w:color="auto"/>
              <w:left w:val="nil"/>
              <w:bottom w:val="nil"/>
              <w:right w:val="nil"/>
            </w:tcBorders>
          </w:tcPr>
          <w:p w14:paraId="17EB3D33" w14:textId="77777777" w:rsidR="00122C20" w:rsidRPr="00C73325" w:rsidRDefault="00122C20" w:rsidP="00122C20">
            <w:pPr>
              <w:spacing w:before="0" w:after="0"/>
              <w:jc w:val="left"/>
              <w:rPr>
                <w:rFonts w:cs="Times New Roman"/>
                <w:sz w:val="20"/>
                <w:szCs w:val="20"/>
              </w:rPr>
            </w:pPr>
          </w:p>
        </w:tc>
        <w:tc>
          <w:tcPr>
            <w:tcW w:w="1546" w:type="dxa"/>
            <w:tcBorders>
              <w:top w:val="single" w:sz="2" w:space="0" w:color="auto"/>
              <w:left w:val="nil"/>
              <w:bottom w:val="nil"/>
              <w:right w:val="nil"/>
            </w:tcBorders>
          </w:tcPr>
          <w:p w14:paraId="36978294" w14:textId="77777777" w:rsidR="00122C20" w:rsidRPr="00C73325" w:rsidRDefault="00122C20" w:rsidP="00122C20">
            <w:pPr>
              <w:spacing w:before="0" w:after="0"/>
              <w:jc w:val="left"/>
              <w:rPr>
                <w:rFonts w:cs="Times New Roman"/>
                <w:sz w:val="20"/>
                <w:szCs w:val="20"/>
              </w:rPr>
            </w:pPr>
          </w:p>
        </w:tc>
        <w:tc>
          <w:tcPr>
            <w:tcW w:w="1644" w:type="dxa"/>
            <w:tcBorders>
              <w:top w:val="single" w:sz="2" w:space="0" w:color="auto"/>
              <w:left w:val="nil"/>
              <w:bottom w:val="nil"/>
              <w:right w:val="nil"/>
            </w:tcBorders>
          </w:tcPr>
          <w:p w14:paraId="6D793251" w14:textId="77777777" w:rsidR="00122C20" w:rsidRPr="00C73325" w:rsidRDefault="00122C20" w:rsidP="00122C20">
            <w:pPr>
              <w:spacing w:before="0" w:after="0"/>
              <w:jc w:val="left"/>
              <w:rPr>
                <w:rFonts w:cs="Times New Roman"/>
                <w:sz w:val="20"/>
                <w:szCs w:val="20"/>
              </w:rPr>
            </w:pPr>
          </w:p>
        </w:tc>
        <w:tc>
          <w:tcPr>
            <w:tcW w:w="1485" w:type="dxa"/>
            <w:tcBorders>
              <w:top w:val="single" w:sz="2" w:space="0" w:color="auto"/>
              <w:left w:val="nil"/>
              <w:bottom w:val="nil"/>
              <w:right w:val="nil"/>
            </w:tcBorders>
          </w:tcPr>
          <w:p w14:paraId="5D8C435D" w14:textId="77777777" w:rsidR="00122C20" w:rsidRPr="00C73325" w:rsidRDefault="00122C20" w:rsidP="00122C20">
            <w:pPr>
              <w:spacing w:before="0" w:after="0"/>
              <w:jc w:val="left"/>
              <w:rPr>
                <w:rFonts w:cs="Times New Roman"/>
                <w:sz w:val="20"/>
                <w:szCs w:val="20"/>
              </w:rPr>
            </w:pPr>
          </w:p>
        </w:tc>
        <w:tc>
          <w:tcPr>
            <w:tcW w:w="963" w:type="dxa"/>
            <w:tcBorders>
              <w:top w:val="single" w:sz="2" w:space="0" w:color="auto"/>
              <w:left w:val="nil"/>
              <w:bottom w:val="nil"/>
              <w:right w:val="nil"/>
            </w:tcBorders>
          </w:tcPr>
          <w:p w14:paraId="69011CE0" w14:textId="77777777" w:rsidR="00122C20" w:rsidRPr="00C73325" w:rsidRDefault="00122C20" w:rsidP="00122C20">
            <w:pPr>
              <w:spacing w:before="0" w:after="0"/>
              <w:jc w:val="left"/>
              <w:rPr>
                <w:rFonts w:cs="Times New Roman"/>
                <w:sz w:val="20"/>
                <w:szCs w:val="20"/>
              </w:rPr>
            </w:pPr>
          </w:p>
        </w:tc>
      </w:tr>
      <w:tr w:rsidR="00122C20" w:rsidRPr="00C73325" w14:paraId="28573ED6" w14:textId="77777777" w:rsidTr="00F45EC6">
        <w:trPr>
          <w:trHeight w:val="217"/>
        </w:trPr>
        <w:tc>
          <w:tcPr>
            <w:tcW w:w="2219" w:type="dxa"/>
            <w:tcBorders>
              <w:top w:val="nil"/>
              <w:left w:val="nil"/>
              <w:bottom w:val="nil"/>
              <w:right w:val="nil"/>
            </w:tcBorders>
          </w:tcPr>
          <w:p w14:paraId="0A6C9BF8" w14:textId="77777777" w:rsidR="00122C20" w:rsidRPr="00C73325" w:rsidRDefault="00122C20" w:rsidP="00122C20">
            <w:pPr>
              <w:spacing w:before="0" w:after="0"/>
              <w:ind w:left="175"/>
              <w:jc w:val="left"/>
              <w:rPr>
                <w:rFonts w:cs="Times New Roman"/>
                <w:i/>
                <w:iCs/>
                <w:sz w:val="20"/>
                <w:szCs w:val="20"/>
              </w:rPr>
            </w:pPr>
            <w:r w:rsidRPr="00C73325">
              <w:rPr>
                <w:rFonts w:cs="Times New Roman"/>
                <w:sz w:val="20"/>
                <w:szCs w:val="20"/>
              </w:rPr>
              <w:t>BS</w:t>
            </w:r>
          </w:p>
        </w:tc>
        <w:tc>
          <w:tcPr>
            <w:tcW w:w="1680" w:type="dxa"/>
            <w:tcBorders>
              <w:top w:val="nil"/>
              <w:left w:val="nil"/>
              <w:bottom w:val="nil"/>
              <w:right w:val="nil"/>
            </w:tcBorders>
          </w:tcPr>
          <w:p w14:paraId="03A83497"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0.049(.000)</w:t>
            </w:r>
            <w:r w:rsidRPr="00C73325">
              <w:rPr>
                <w:rFonts w:cs="Times New Roman"/>
                <w:sz w:val="20"/>
                <w:szCs w:val="20"/>
                <w:vertAlign w:val="superscript"/>
              </w:rPr>
              <w:t>***</w:t>
            </w:r>
          </w:p>
        </w:tc>
        <w:tc>
          <w:tcPr>
            <w:tcW w:w="1771" w:type="dxa"/>
            <w:tcBorders>
              <w:top w:val="nil"/>
              <w:left w:val="nil"/>
              <w:bottom w:val="nil"/>
              <w:right w:val="nil"/>
            </w:tcBorders>
          </w:tcPr>
          <w:p w14:paraId="66F640DF"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0.050(.000)</w:t>
            </w:r>
            <w:r w:rsidRPr="00C73325">
              <w:rPr>
                <w:rFonts w:cs="Times New Roman"/>
                <w:sz w:val="20"/>
                <w:szCs w:val="20"/>
                <w:vertAlign w:val="superscript"/>
              </w:rPr>
              <w:t>***</w:t>
            </w:r>
          </w:p>
        </w:tc>
        <w:tc>
          <w:tcPr>
            <w:tcW w:w="1419" w:type="dxa"/>
            <w:tcBorders>
              <w:top w:val="nil"/>
              <w:left w:val="nil"/>
              <w:bottom w:val="nil"/>
              <w:right w:val="nil"/>
            </w:tcBorders>
          </w:tcPr>
          <w:p w14:paraId="102397D0"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0.050(.000)</w:t>
            </w:r>
            <w:r w:rsidRPr="00C73325">
              <w:rPr>
                <w:rFonts w:cs="Times New Roman"/>
                <w:sz w:val="20"/>
                <w:szCs w:val="20"/>
                <w:vertAlign w:val="superscript"/>
              </w:rPr>
              <w:t>***</w:t>
            </w:r>
          </w:p>
        </w:tc>
        <w:tc>
          <w:tcPr>
            <w:tcW w:w="259" w:type="dxa"/>
            <w:tcBorders>
              <w:top w:val="nil"/>
              <w:left w:val="nil"/>
              <w:bottom w:val="nil"/>
              <w:right w:val="nil"/>
            </w:tcBorders>
          </w:tcPr>
          <w:p w14:paraId="4083B026"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17097461"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60C26728"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0.043(.000)</w:t>
            </w:r>
            <w:r w:rsidRPr="00C73325">
              <w:rPr>
                <w:rFonts w:cs="Times New Roman"/>
                <w:sz w:val="20"/>
                <w:szCs w:val="20"/>
                <w:vertAlign w:val="superscript"/>
              </w:rPr>
              <w:t>***</w:t>
            </w:r>
          </w:p>
        </w:tc>
        <w:tc>
          <w:tcPr>
            <w:tcW w:w="1644" w:type="dxa"/>
            <w:tcBorders>
              <w:top w:val="nil"/>
              <w:left w:val="nil"/>
              <w:bottom w:val="nil"/>
              <w:right w:val="nil"/>
            </w:tcBorders>
          </w:tcPr>
          <w:p w14:paraId="1CFC5308"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0.044(.000)</w:t>
            </w:r>
            <w:r w:rsidRPr="00C73325">
              <w:rPr>
                <w:rFonts w:cs="Times New Roman"/>
                <w:sz w:val="20"/>
                <w:szCs w:val="20"/>
                <w:vertAlign w:val="superscript"/>
              </w:rPr>
              <w:t>***</w:t>
            </w:r>
          </w:p>
        </w:tc>
        <w:tc>
          <w:tcPr>
            <w:tcW w:w="1485" w:type="dxa"/>
            <w:tcBorders>
              <w:top w:val="nil"/>
              <w:left w:val="nil"/>
              <w:bottom w:val="nil"/>
              <w:right w:val="nil"/>
            </w:tcBorders>
          </w:tcPr>
          <w:p w14:paraId="170A2A28"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0.031(.007)</w:t>
            </w:r>
            <w:r w:rsidRPr="00C73325">
              <w:rPr>
                <w:rFonts w:cs="Times New Roman"/>
                <w:sz w:val="20"/>
                <w:szCs w:val="20"/>
                <w:vertAlign w:val="superscript"/>
              </w:rPr>
              <w:t>***</w:t>
            </w:r>
          </w:p>
        </w:tc>
        <w:tc>
          <w:tcPr>
            <w:tcW w:w="963" w:type="dxa"/>
            <w:tcBorders>
              <w:top w:val="nil"/>
              <w:left w:val="nil"/>
              <w:bottom w:val="nil"/>
              <w:right w:val="nil"/>
            </w:tcBorders>
          </w:tcPr>
          <w:p w14:paraId="7C00089C"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2.115</w:t>
            </w:r>
          </w:p>
        </w:tc>
      </w:tr>
      <w:tr w:rsidR="00122C20" w:rsidRPr="00C73325" w14:paraId="1BFBF138" w14:textId="77777777" w:rsidTr="00F45EC6">
        <w:trPr>
          <w:trHeight w:val="217"/>
        </w:trPr>
        <w:tc>
          <w:tcPr>
            <w:tcW w:w="2219" w:type="dxa"/>
            <w:tcBorders>
              <w:top w:val="nil"/>
              <w:left w:val="nil"/>
              <w:bottom w:val="nil"/>
              <w:right w:val="nil"/>
            </w:tcBorders>
          </w:tcPr>
          <w:p w14:paraId="36125C74" w14:textId="77777777" w:rsidR="00122C20" w:rsidRPr="00C73325" w:rsidRDefault="00122C20" w:rsidP="00122C20">
            <w:pPr>
              <w:spacing w:before="0" w:after="0"/>
              <w:ind w:left="175"/>
              <w:jc w:val="left"/>
              <w:rPr>
                <w:rFonts w:cs="Times New Roman"/>
                <w:sz w:val="20"/>
                <w:szCs w:val="20"/>
              </w:rPr>
            </w:pPr>
            <w:r w:rsidRPr="00C73325">
              <w:rPr>
                <w:rFonts w:cs="Times New Roman"/>
                <w:sz w:val="20"/>
                <w:szCs w:val="20"/>
              </w:rPr>
              <w:t>BI</w:t>
            </w:r>
          </w:p>
        </w:tc>
        <w:tc>
          <w:tcPr>
            <w:tcW w:w="1680" w:type="dxa"/>
            <w:tcBorders>
              <w:top w:val="nil"/>
              <w:left w:val="nil"/>
              <w:bottom w:val="nil"/>
              <w:right w:val="nil"/>
            </w:tcBorders>
          </w:tcPr>
          <w:p w14:paraId="79719744"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1771" w:type="dxa"/>
            <w:tcBorders>
              <w:top w:val="nil"/>
              <w:left w:val="nil"/>
              <w:bottom w:val="nil"/>
              <w:right w:val="nil"/>
            </w:tcBorders>
          </w:tcPr>
          <w:p w14:paraId="15C516B3"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-0.087(.668)</w:t>
            </w:r>
          </w:p>
        </w:tc>
        <w:tc>
          <w:tcPr>
            <w:tcW w:w="1419" w:type="dxa"/>
            <w:tcBorders>
              <w:top w:val="nil"/>
              <w:left w:val="nil"/>
              <w:bottom w:val="nil"/>
              <w:right w:val="nil"/>
            </w:tcBorders>
          </w:tcPr>
          <w:p w14:paraId="45048268"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-0.078(.702)</w:t>
            </w:r>
          </w:p>
        </w:tc>
        <w:tc>
          <w:tcPr>
            <w:tcW w:w="259" w:type="dxa"/>
            <w:tcBorders>
              <w:top w:val="nil"/>
              <w:left w:val="nil"/>
              <w:bottom w:val="nil"/>
              <w:right w:val="nil"/>
            </w:tcBorders>
          </w:tcPr>
          <w:p w14:paraId="590B9E28"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2DBF3E39"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1CC2D472"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-0.118(.539)</w:t>
            </w:r>
          </w:p>
        </w:tc>
        <w:tc>
          <w:tcPr>
            <w:tcW w:w="1644" w:type="dxa"/>
            <w:tcBorders>
              <w:top w:val="nil"/>
              <w:left w:val="nil"/>
              <w:bottom w:val="nil"/>
              <w:right w:val="nil"/>
            </w:tcBorders>
          </w:tcPr>
          <w:p w14:paraId="795CD4AE"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-0.098(.611)</w:t>
            </w:r>
          </w:p>
        </w:tc>
        <w:tc>
          <w:tcPr>
            <w:tcW w:w="1485" w:type="dxa"/>
            <w:tcBorders>
              <w:top w:val="nil"/>
              <w:left w:val="nil"/>
              <w:bottom w:val="nil"/>
              <w:right w:val="nil"/>
            </w:tcBorders>
          </w:tcPr>
          <w:p w14:paraId="79580B0C"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-0.266(.181)</w:t>
            </w:r>
          </w:p>
        </w:tc>
        <w:tc>
          <w:tcPr>
            <w:tcW w:w="963" w:type="dxa"/>
            <w:tcBorders>
              <w:top w:val="nil"/>
              <w:left w:val="nil"/>
              <w:bottom w:val="nil"/>
              <w:right w:val="nil"/>
            </w:tcBorders>
          </w:tcPr>
          <w:p w14:paraId="41ACC485"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1.226</w:t>
            </w:r>
          </w:p>
        </w:tc>
      </w:tr>
      <w:tr w:rsidR="00122C20" w:rsidRPr="00C73325" w14:paraId="4C4DDCCF" w14:textId="77777777" w:rsidTr="00F45EC6">
        <w:trPr>
          <w:trHeight w:val="217"/>
        </w:trPr>
        <w:tc>
          <w:tcPr>
            <w:tcW w:w="2219" w:type="dxa"/>
            <w:tcBorders>
              <w:top w:val="nil"/>
              <w:left w:val="nil"/>
              <w:bottom w:val="nil"/>
              <w:right w:val="nil"/>
            </w:tcBorders>
          </w:tcPr>
          <w:p w14:paraId="2B61AF16" w14:textId="77777777" w:rsidR="00122C20" w:rsidRPr="00C73325" w:rsidRDefault="00122C20" w:rsidP="00122C20">
            <w:pPr>
              <w:spacing w:before="0" w:after="0"/>
              <w:ind w:left="175"/>
              <w:jc w:val="left"/>
              <w:rPr>
                <w:rFonts w:cs="Times New Roman"/>
                <w:sz w:val="20"/>
                <w:szCs w:val="20"/>
              </w:rPr>
            </w:pPr>
            <w:r w:rsidRPr="00C73325">
              <w:rPr>
                <w:rFonts w:cs="Times New Roman"/>
                <w:sz w:val="20"/>
                <w:szCs w:val="20"/>
              </w:rPr>
              <w:t>CEO</w:t>
            </w:r>
          </w:p>
        </w:tc>
        <w:tc>
          <w:tcPr>
            <w:tcW w:w="1680" w:type="dxa"/>
            <w:tcBorders>
              <w:top w:val="nil"/>
              <w:left w:val="nil"/>
              <w:bottom w:val="nil"/>
              <w:right w:val="nil"/>
            </w:tcBorders>
          </w:tcPr>
          <w:p w14:paraId="5D86AC3E"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1771" w:type="dxa"/>
            <w:tcBorders>
              <w:top w:val="nil"/>
              <w:left w:val="nil"/>
              <w:bottom w:val="nil"/>
              <w:right w:val="nil"/>
            </w:tcBorders>
          </w:tcPr>
          <w:p w14:paraId="128AAAC8"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1419" w:type="dxa"/>
            <w:tcBorders>
              <w:top w:val="nil"/>
              <w:left w:val="nil"/>
              <w:bottom w:val="nil"/>
              <w:right w:val="nil"/>
            </w:tcBorders>
          </w:tcPr>
          <w:p w14:paraId="6CC66F7A"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-0.119(.142)</w:t>
            </w:r>
          </w:p>
        </w:tc>
        <w:tc>
          <w:tcPr>
            <w:tcW w:w="259" w:type="dxa"/>
            <w:tcBorders>
              <w:top w:val="nil"/>
              <w:left w:val="nil"/>
              <w:bottom w:val="nil"/>
              <w:right w:val="nil"/>
            </w:tcBorders>
          </w:tcPr>
          <w:p w14:paraId="13AF9DB3"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5341919A"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157B95EB"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-0.083(.282)</w:t>
            </w:r>
          </w:p>
        </w:tc>
        <w:tc>
          <w:tcPr>
            <w:tcW w:w="1644" w:type="dxa"/>
            <w:tcBorders>
              <w:top w:val="nil"/>
              <w:left w:val="nil"/>
              <w:bottom w:val="nil"/>
              <w:right w:val="nil"/>
            </w:tcBorders>
          </w:tcPr>
          <w:p w14:paraId="41330B19"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-0.080(.302)</w:t>
            </w:r>
          </w:p>
        </w:tc>
        <w:tc>
          <w:tcPr>
            <w:tcW w:w="1485" w:type="dxa"/>
            <w:tcBorders>
              <w:top w:val="nil"/>
              <w:left w:val="nil"/>
              <w:bottom w:val="nil"/>
              <w:right w:val="nil"/>
            </w:tcBorders>
          </w:tcPr>
          <w:p w14:paraId="5E3D96CC"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-0.103(.177)</w:t>
            </w:r>
          </w:p>
        </w:tc>
        <w:tc>
          <w:tcPr>
            <w:tcW w:w="963" w:type="dxa"/>
            <w:tcBorders>
              <w:top w:val="nil"/>
              <w:left w:val="nil"/>
              <w:bottom w:val="nil"/>
              <w:right w:val="nil"/>
            </w:tcBorders>
          </w:tcPr>
          <w:p w14:paraId="7BCEEC58"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1.030</w:t>
            </w:r>
          </w:p>
        </w:tc>
      </w:tr>
      <w:tr w:rsidR="00122C20" w:rsidRPr="00C73325" w14:paraId="51AD1BAB" w14:textId="77777777" w:rsidTr="00F45EC6">
        <w:trPr>
          <w:trHeight w:val="217"/>
        </w:trPr>
        <w:tc>
          <w:tcPr>
            <w:tcW w:w="2219" w:type="dxa"/>
            <w:tcBorders>
              <w:top w:val="nil"/>
              <w:left w:val="nil"/>
              <w:bottom w:val="nil"/>
              <w:right w:val="nil"/>
            </w:tcBorders>
          </w:tcPr>
          <w:p w14:paraId="621CE02B" w14:textId="77777777" w:rsidR="00122C20" w:rsidRPr="00C73325" w:rsidRDefault="00122C20" w:rsidP="00122C20">
            <w:pPr>
              <w:spacing w:before="0" w:after="0"/>
              <w:ind w:left="175"/>
              <w:jc w:val="left"/>
              <w:rPr>
                <w:rFonts w:cs="Times New Roman"/>
                <w:sz w:val="20"/>
                <w:szCs w:val="20"/>
              </w:rPr>
            </w:pPr>
            <w:r w:rsidRPr="00C73325">
              <w:rPr>
                <w:rFonts w:cs="Times New Roman"/>
                <w:sz w:val="20"/>
                <w:szCs w:val="20"/>
              </w:rPr>
              <w:t>BG</w:t>
            </w:r>
          </w:p>
        </w:tc>
        <w:tc>
          <w:tcPr>
            <w:tcW w:w="1680" w:type="dxa"/>
            <w:tcBorders>
              <w:top w:val="nil"/>
              <w:left w:val="nil"/>
              <w:bottom w:val="nil"/>
              <w:right w:val="nil"/>
            </w:tcBorders>
          </w:tcPr>
          <w:p w14:paraId="08D0ABD7"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1771" w:type="dxa"/>
            <w:tcBorders>
              <w:top w:val="nil"/>
              <w:left w:val="nil"/>
              <w:bottom w:val="nil"/>
              <w:right w:val="nil"/>
            </w:tcBorders>
          </w:tcPr>
          <w:p w14:paraId="485CFEE4"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1419" w:type="dxa"/>
            <w:tcBorders>
              <w:top w:val="nil"/>
              <w:left w:val="nil"/>
              <w:bottom w:val="nil"/>
              <w:right w:val="nil"/>
            </w:tcBorders>
          </w:tcPr>
          <w:p w14:paraId="32AB5BFA"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259" w:type="dxa"/>
            <w:tcBorders>
              <w:top w:val="nil"/>
              <w:left w:val="nil"/>
              <w:bottom w:val="nil"/>
              <w:right w:val="nil"/>
            </w:tcBorders>
          </w:tcPr>
          <w:p w14:paraId="72F455EA"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2290F8E1"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2EA8A7C8"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-0.045(.000)</w:t>
            </w:r>
            <w:r w:rsidRPr="00C73325">
              <w:rPr>
                <w:rFonts w:cs="Times New Roman"/>
                <w:sz w:val="20"/>
                <w:szCs w:val="20"/>
                <w:vertAlign w:val="superscript"/>
              </w:rPr>
              <w:t>***</w:t>
            </w:r>
          </w:p>
        </w:tc>
        <w:tc>
          <w:tcPr>
            <w:tcW w:w="1644" w:type="dxa"/>
            <w:tcBorders>
              <w:top w:val="nil"/>
              <w:left w:val="nil"/>
              <w:bottom w:val="nil"/>
              <w:right w:val="nil"/>
            </w:tcBorders>
          </w:tcPr>
          <w:p w14:paraId="1739678B"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-0.044(.000)</w:t>
            </w:r>
            <w:r w:rsidRPr="00C73325">
              <w:rPr>
                <w:rFonts w:cs="Times New Roman"/>
                <w:sz w:val="20"/>
                <w:szCs w:val="20"/>
                <w:vertAlign w:val="superscript"/>
              </w:rPr>
              <w:t>***</w:t>
            </w:r>
          </w:p>
        </w:tc>
        <w:tc>
          <w:tcPr>
            <w:tcW w:w="1485" w:type="dxa"/>
            <w:tcBorders>
              <w:top w:val="nil"/>
              <w:left w:val="nil"/>
              <w:bottom w:val="nil"/>
              <w:right w:val="nil"/>
            </w:tcBorders>
          </w:tcPr>
          <w:p w14:paraId="104608B4"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-0.047(.000)</w:t>
            </w:r>
            <w:r w:rsidRPr="00C73325">
              <w:rPr>
                <w:rFonts w:cs="Times New Roman"/>
                <w:sz w:val="20"/>
                <w:szCs w:val="20"/>
                <w:vertAlign w:val="superscript"/>
              </w:rPr>
              <w:t>***</w:t>
            </w:r>
          </w:p>
        </w:tc>
        <w:tc>
          <w:tcPr>
            <w:tcW w:w="963" w:type="dxa"/>
            <w:tcBorders>
              <w:top w:val="nil"/>
              <w:left w:val="nil"/>
              <w:bottom w:val="nil"/>
              <w:right w:val="nil"/>
            </w:tcBorders>
          </w:tcPr>
          <w:p w14:paraId="69C8A69F"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1.109</w:t>
            </w:r>
          </w:p>
        </w:tc>
      </w:tr>
      <w:tr w:rsidR="00122C20" w:rsidRPr="00C73325" w14:paraId="7F9A2866" w14:textId="77777777" w:rsidTr="00F45EC6">
        <w:trPr>
          <w:trHeight w:val="217"/>
        </w:trPr>
        <w:tc>
          <w:tcPr>
            <w:tcW w:w="2219" w:type="dxa"/>
            <w:tcBorders>
              <w:top w:val="nil"/>
              <w:left w:val="nil"/>
              <w:bottom w:val="nil"/>
              <w:right w:val="nil"/>
            </w:tcBorders>
          </w:tcPr>
          <w:p w14:paraId="790B5D43" w14:textId="77777777" w:rsidR="00122C20" w:rsidRPr="00C73325" w:rsidRDefault="00122C20" w:rsidP="00122C20">
            <w:pPr>
              <w:spacing w:before="0" w:after="0"/>
              <w:ind w:left="175"/>
              <w:jc w:val="left"/>
              <w:rPr>
                <w:rFonts w:cs="Times New Roman"/>
                <w:sz w:val="20"/>
                <w:szCs w:val="20"/>
              </w:rPr>
            </w:pPr>
            <w:r w:rsidRPr="00C73325">
              <w:rPr>
                <w:rFonts w:cs="Times New Roman"/>
                <w:sz w:val="20"/>
                <w:szCs w:val="20"/>
              </w:rPr>
              <w:t>BM</w:t>
            </w:r>
          </w:p>
        </w:tc>
        <w:tc>
          <w:tcPr>
            <w:tcW w:w="1680" w:type="dxa"/>
            <w:tcBorders>
              <w:top w:val="nil"/>
              <w:left w:val="nil"/>
              <w:bottom w:val="nil"/>
              <w:right w:val="nil"/>
            </w:tcBorders>
          </w:tcPr>
          <w:p w14:paraId="4405D3FE"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1771" w:type="dxa"/>
            <w:tcBorders>
              <w:top w:val="nil"/>
              <w:left w:val="nil"/>
              <w:bottom w:val="nil"/>
              <w:right w:val="nil"/>
            </w:tcBorders>
          </w:tcPr>
          <w:p w14:paraId="2EA28C78"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1419" w:type="dxa"/>
            <w:tcBorders>
              <w:top w:val="nil"/>
              <w:left w:val="nil"/>
              <w:bottom w:val="nil"/>
              <w:right w:val="nil"/>
            </w:tcBorders>
          </w:tcPr>
          <w:p w14:paraId="2CF39F3A"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259" w:type="dxa"/>
            <w:tcBorders>
              <w:top w:val="nil"/>
              <w:left w:val="nil"/>
              <w:bottom w:val="nil"/>
              <w:right w:val="nil"/>
            </w:tcBorders>
          </w:tcPr>
          <w:p w14:paraId="1930406D"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6B244C98"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6A9B497E"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1644" w:type="dxa"/>
            <w:tcBorders>
              <w:top w:val="nil"/>
              <w:left w:val="nil"/>
              <w:bottom w:val="nil"/>
              <w:right w:val="nil"/>
            </w:tcBorders>
          </w:tcPr>
          <w:p w14:paraId="625F64BA"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-0.271(.157)</w:t>
            </w:r>
          </w:p>
        </w:tc>
        <w:tc>
          <w:tcPr>
            <w:tcW w:w="1485" w:type="dxa"/>
            <w:tcBorders>
              <w:top w:val="nil"/>
              <w:left w:val="nil"/>
              <w:bottom w:val="nil"/>
              <w:right w:val="nil"/>
            </w:tcBorders>
          </w:tcPr>
          <w:p w14:paraId="00A81A60"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-0.357(.062)</w:t>
            </w:r>
            <w:r w:rsidRPr="00C73325">
              <w:rPr>
                <w:rFonts w:cs="Times New Roman"/>
                <w:sz w:val="20"/>
                <w:szCs w:val="20"/>
                <w:vertAlign w:val="superscript"/>
              </w:rPr>
              <w:t>*</w:t>
            </w:r>
          </w:p>
        </w:tc>
        <w:tc>
          <w:tcPr>
            <w:tcW w:w="963" w:type="dxa"/>
            <w:tcBorders>
              <w:top w:val="nil"/>
              <w:left w:val="nil"/>
              <w:bottom w:val="nil"/>
              <w:right w:val="nil"/>
            </w:tcBorders>
          </w:tcPr>
          <w:p w14:paraId="4C089071"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1.058</w:t>
            </w:r>
          </w:p>
        </w:tc>
      </w:tr>
      <w:tr w:rsidR="00122C20" w:rsidRPr="00C73325" w14:paraId="65808B12" w14:textId="77777777" w:rsidTr="00F45EC6">
        <w:trPr>
          <w:trHeight w:val="217"/>
        </w:trPr>
        <w:tc>
          <w:tcPr>
            <w:tcW w:w="2219" w:type="dxa"/>
            <w:tcBorders>
              <w:top w:val="nil"/>
              <w:left w:val="nil"/>
              <w:bottom w:val="nil"/>
              <w:right w:val="nil"/>
            </w:tcBorders>
          </w:tcPr>
          <w:p w14:paraId="580CC531" w14:textId="77777777" w:rsidR="00122C20" w:rsidRPr="00C73325" w:rsidRDefault="00122C20" w:rsidP="00122C20">
            <w:pPr>
              <w:spacing w:before="0" w:after="0"/>
              <w:ind w:left="175"/>
              <w:jc w:val="left"/>
              <w:rPr>
                <w:rFonts w:cs="Times New Roman"/>
                <w:sz w:val="20"/>
                <w:szCs w:val="20"/>
              </w:rPr>
            </w:pPr>
            <w:r w:rsidRPr="00C73325">
              <w:rPr>
                <w:rFonts w:cs="Times New Roman"/>
                <w:sz w:val="20"/>
                <w:szCs w:val="20"/>
              </w:rPr>
              <w:t>AS</w:t>
            </w:r>
          </w:p>
        </w:tc>
        <w:tc>
          <w:tcPr>
            <w:tcW w:w="1680" w:type="dxa"/>
            <w:tcBorders>
              <w:top w:val="nil"/>
              <w:left w:val="nil"/>
              <w:bottom w:val="nil"/>
              <w:right w:val="nil"/>
            </w:tcBorders>
          </w:tcPr>
          <w:p w14:paraId="7CF5D777"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1771" w:type="dxa"/>
            <w:tcBorders>
              <w:top w:val="nil"/>
              <w:left w:val="nil"/>
              <w:bottom w:val="nil"/>
              <w:right w:val="nil"/>
            </w:tcBorders>
          </w:tcPr>
          <w:p w14:paraId="7E57FB4B"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1419" w:type="dxa"/>
            <w:tcBorders>
              <w:top w:val="nil"/>
              <w:left w:val="nil"/>
              <w:bottom w:val="nil"/>
              <w:right w:val="nil"/>
            </w:tcBorders>
          </w:tcPr>
          <w:p w14:paraId="1050713F"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259" w:type="dxa"/>
            <w:tcBorders>
              <w:top w:val="nil"/>
              <w:left w:val="nil"/>
              <w:bottom w:val="nil"/>
              <w:right w:val="nil"/>
            </w:tcBorders>
          </w:tcPr>
          <w:p w14:paraId="7915413E"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3F74F30A"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049CA8B8"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1644" w:type="dxa"/>
            <w:tcBorders>
              <w:top w:val="nil"/>
              <w:left w:val="nil"/>
              <w:bottom w:val="nil"/>
              <w:right w:val="nil"/>
            </w:tcBorders>
          </w:tcPr>
          <w:p w14:paraId="09014568"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c>
          <w:tcPr>
            <w:tcW w:w="1485" w:type="dxa"/>
            <w:tcBorders>
              <w:top w:val="nil"/>
              <w:left w:val="nil"/>
              <w:bottom w:val="nil"/>
              <w:right w:val="nil"/>
            </w:tcBorders>
          </w:tcPr>
          <w:p w14:paraId="10D060DB"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0.052(.007)</w:t>
            </w:r>
            <w:r w:rsidRPr="00C73325">
              <w:rPr>
                <w:rFonts w:cs="Times New Roman"/>
                <w:sz w:val="20"/>
                <w:szCs w:val="20"/>
                <w:vertAlign w:val="superscript"/>
              </w:rPr>
              <w:t>***</w:t>
            </w:r>
          </w:p>
        </w:tc>
        <w:tc>
          <w:tcPr>
            <w:tcW w:w="963" w:type="dxa"/>
            <w:tcBorders>
              <w:top w:val="nil"/>
              <w:left w:val="nil"/>
              <w:bottom w:val="nil"/>
              <w:right w:val="nil"/>
            </w:tcBorders>
          </w:tcPr>
          <w:p w14:paraId="25205C45"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1.932</w:t>
            </w:r>
          </w:p>
        </w:tc>
      </w:tr>
      <w:tr w:rsidR="00122C20" w:rsidRPr="00C73325" w14:paraId="5B4FDF86" w14:textId="77777777" w:rsidTr="00F45EC6">
        <w:trPr>
          <w:trHeight w:val="221"/>
        </w:trPr>
        <w:tc>
          <w:tcPr>
            <w:tcW w:w="2219" w:type="dxa"/>
            <w:tcBorders>
              <w:top w:val="nil"/>
              <w:left w:val="nil"/>
              <w:bottom w:val="nil"/>
              <w:right w:val="nil"/>
            </w:tcBorders>
          </w:tcPr>
          <w:p w14:paraId="0F6420BC" w14:textId="77777777" w:rsidR="00122C20" w:rsidRPr="00C73325" w:rsidRDefault="00122C20" w:rsidP="00122C20">
            <w:pPr>
              <w:spacing w:before="0" w:after="0"/>
              <w:jc w:val="left"/>
              <w:rPr>
                <w:rFonts w:cs="Times New Roman"/>
                <w:i/>
                <w:iCs/>
                <w:sz w:val="20"/>
                <w:szCs w:val="20"/>
              </w:rPr>
            </w:pPr>
            <w:r w:rsidRPr="00C73325">
              <w:rPr>
                <w:rFonts w:cs="Times New Roman"/>
                <w:i/>
                <w:iCs/>
                <w:sz w:val="20"/>
                <w:szCs w:val="20"/>
              </w:rPr>
              <w:t>Controls:</w:t>
            </w:r>
          </w:p>
        </w:tc>
        <w:tc>
          <w:tcPr>
            <w:tcW w:w="1680" w:type="dxa"/>
            <w:tcBorders>
              <w:top w:val="nil"/>
              <w:left w:val="nil"/>
              <w:bottom w:val="nil"/>
              <w:right w:val="nil"/>
            </w:tcBorders>
          </w:tcPr>
          <w:p w14:paraId="0F48950E" w14:textId="77777777" w:rsidR="00122C20" w:rsidRPr="00C73325" w:rsidRDefault="00122C20" w:rsidP="00122C20">
            <w:pPr>
              <w:spacing w:before="0" w:after="0"/>
              <w:jc w:val="left"/>
              <w:rPr>
                <w:rFonts w:cs="Times New Roman"/>
                <w:sz w:val="20"/>
                <w:szCs w:val="20"/>
              </w:rPr>
            </w:pPr>
          </w:p>
        </w:tc>
        <w:tc>
          <w:tcPr>
            <w:tcW w:w="1771" w:type="dxa"/>
            <w:tcBorders>
              <w:top w:val="nil"/>
              <w:left w:val="nil"/>
              <w:bottom w:val="nil"/>
              <w:right w:val="nil"/>
            </w:tcBorders>
          </w:tcPr>
          <w:p w14:paraId="6E8AFBDF" w14:textId="77777777" w:rsidR="00122C20" w:rsidRPr="00C73325" w:rsidRDefault="00122C20" w:rsidP="00122C20">
            <w:pPr>
              <w:spacing w:before="0" w:after="0"/>
              <w:jc w:val="left"/>
              <w:rPr>
                <w:rFonts w:cs="Times New Roman"/>
                <w:sz w:val="20"/>
                <w:szCs w:val="20"/>
              </w:rPr>
            </w:pPr>
          </w:p>
        </w:tc>
        <w:tc>
          <w:tcPr>
            <w:tcW w:w="1419" w:type="dxa"/>
            <w:tcBorders>
              <w:top w:val="nil"/>
              <w:left w:val="nil"/>
              <w:bottom w:val="nil"/>
              <w:right w:val="nil"/>
            </w:tcBorders>
          </w:tcPr>
          <w:p w14:paraId="64ED8648" w14:textId="77777777" w:rsidR="00122C20" w:rsidRPr="00C73325" w:rsidRDefault="00122C20" w:rsidP="00122C20">
            <w:pPr>
              <w:spacing w:before="0" w:after="0"/>
              <w:jc w:val="left"/>
              <w:rPr>
                <w:rFonts w:cs="Times New Roman"/>
                <w:sz w:val="20"/>
                <w:szCs w:val="20"/>
              </w:rPr>
            </w:pPr>
          </w:p>
        </w:tc>
        <w:tc>
          <w:tcPr>
            <w:tcW w:w="259" w:type="dxa"/>
            <w:tcBorders>
              <w:top w:val="nil"/>
              <w:left w:val="nil"/>
              <w:bottom w:val="nil"/>
              <w:right w:val="nil"/>
            </w:tcBorders>
          </w:tcPr>
          <w:p w14:paraId="07456422"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0C1F1604"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1F9C4AA2" w14:textId="77777777" w:rsidR="00122C20" w:rsidRPr="00C73325" w:rsidRDefault="00122C20" w:rsidP="00122C20">
            <w:pPr>
              <w:spacing w:before="0" w:after="0"/>
              <w:jc w:val="left"/>
              <w:rPr>
                <w:rFonts w:cs="Times New Roman"/>
                <w:sz w:val="20"/>
                <w:szCs w:val="20"/>
              </w:rPr>
            </w:pPr>
          </w:p>
        </w:tc>
        <w:tc>
          <w:tcPr>
            <w:tcW w:w="1644" w:type="dxa"/>
            <w:tcBorders>
              <w:top w:val="nil"/>
              <w:left w:val="nil"/>
              <w:bottom w:val="nil"/>
              <w:right w:val="nil"/>
            </w:tcBorders>
          </w:tcPr>
          <w:p w14:paraId="49E7DEA6" w14:textId="77777777" w:rsidR="00122C20" w:rsidRPr="00C73325" w:rsidRDefault="00122C20" w:rsidP="00122C20">
            <w:pPr>
              <w:spacing w:before="0" w:after="0"/>
              <w:jc w:val="left"/>
              <w:rPr>
                <w:rFonts w:cs="Times New Roman"/>
                <w:sz w:val="20"/>
                <w:szCs w:val="20"/>
              </w:rPr>
            </w:pPr>
          </w:p>
        </w:tc>
        <w:tc>
          <w:tcPr>
            <w:tcW w:w="1485" w:type="dxa"/>
            <w:tcBorders>
              <w:top w:val="nil"/>
              <w:left w:val="nil"/>
              <w:bottom w:val="nil"/>
              <w:right w:val="nil"/>
            </w:tcBorders>
          </w:tcPr>
          <w:p w14:paraId="5F55702D" w14:textId="77777777" w:rsidR="00122C20" w:rsidRPr="00C73325" w:rsidRDefault="00122C20" w:rsidP="00122C20">
            <w:pPr>
              <w:spacing w:before="0" w:after="0"/>
              <w:jc w:val="left"/>
              <w:rPr>
                <w:rFonts w:cs="Times New Roman"/>
                <w:sz w:val="20"/>
                <w:szCs w:val="20"/>
              </w:rPr>
            </w:pPr>
          </w:p>
        </w:tc>
        <w:tc>
          <w:tcPr>
            <w:tcW w:w="963" w:type="dxa"/>
            <w:tcBorders>
              <w:top w:val="nil"/>
              <w:left w:val="nil"/>
              <w:bottom w:val="nil"/>
              <w:right w:val="nil"/>
            </w:tcBorders>
          </w:tcPr>
          <w:p w14:paraId="6BBD616F" w14:textId="77777777" w:rsidR="00122C20" w:rsidRPr="00C73325" w:rsidRDefault="00122C20" w:rsidP="00122C20">
            <w:pPr>
              <w:spacing w:before="0" w:after="0"/>
              <w:jc w:val="left"/>
              <w:rPr>
                <w:rFonts w:cs="Times New Roman"/>
                <w:sz w:val="20"/>
                <w:szCs w:val="20"/>
              </w:rPr>
            </w:pPr>
          </w:p>
        </w:tc>
      </w:tr>
      <w:tr w:rsidR="00122C20" w:rsidRPr="00C73325" w14:paraId="02026013" w14:textId="77777777" w:rsidTr="00F45EC6">
        <w:trPr>
          <w:trHeight w:val="187"/>
        </w:trPr>
        <w:tc>
          <w:tcPr>
            <w:tcW w:w="2219" w:type="dxa"/>
            <w:tcBorders>
              <w:top w:val="nil"/>
              <w:left w:val="nil"/>
              <w:bottom w:val="nil"/>
              <w:right w:val="nil"/>
            </w:tcBorders>
          </w:tcPr>
          <w:p w14:paraId="223F0FCB" w14:textId="77777777" w:rsidR="00122C20" w:rsidRPr="00C73325" w:rsidRDefault="00122C20" w:rsidP="00122C20">
            <w:pPr>
              <w:spacing w:before="0" w:after="0"/>
              <w:ind w:left="175"/>
              <w:jc w:val="left"/>
              <w:rPr>
                <w:rFonts w:cs="Times New Roman"/>
                <w:sz w:val="20"/>
                <w:szCs w:val="20"/>
              </w:rPr>
            </w:pPr>
            <w:r w:rsidRPr="00C73325">
              <w:rPr>
                <w:rFonts w:cs="Times New Roman"/>
                <w:sz w:val="20"/>
                <w:szCs w:val="20"/>
              </w:rPr>
              <w:t>FS</w:t>
            </w:r>
          </w:p>
        </w:tc>
        <w:tc>
          <w:tcPr>
            <w:tcW w:w="1680" w:type="dxa"/>
            <w:tcBorders>
              <w:top w:val="nil"/>
              <w:left w:val="nil"/>
              <w:bottom w:val="nil"/>
              <w:right w:val="nil"/>
            </w:tcBorders>
          </w:tcPr>
          <w:p w14:paraId="684D98BD"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0.036(.005)</w:t>
            </w:r>
            <w:r w:rsidRPr="00C73325">
              <w:rPr>
                <w:rFonts w:cs="Times New Roman"/>
                <w:sz w:val="20"/>
                <w:szCs w:val="20"/>
                <w:vertAlign w:val="superscript"/>
              </w:rPr>
              <w:t>***</w:t>
            </w:r>
          </w:p>
        </w:tc>
        <w:tc>
          <w:tcPr>
            <w:tcW w:w="1771" w:type="dxa"/>
            <w:tcBorders>
              <w:top w:val="nil"/>
              <w:left w:val="nil"/>
              <w:bottom w:val="nil"/>
              <w:right w:val="nil"/>
            </w:tcBorders>
          </w:tcPr>
          <w:p w14:paraId="03E97B22"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0.036(.000)</w:t>
            </w:r>
            <w:r w:rsidRPr="00C73325">
              <w:rPr>
                <w:rFonts w:cs="Times New Roman"/>
                <w:sz w:val="20"/>
                <w:szCs w:val="20"/>
                <w:vertAlign w:val="superscript"/>
              </w:rPr>
              <w:t>***</w:t>
            </w:r>
          </w:p>
        </w:tc>
        <w:tc>
          <w:tcPr>
            <w:tcW w:w="1419" w:type="dxa"/>
            <w:tcBorders>
              <w:top w:val="nil"/>
              <w:left w:val="nil"/>
              <w:bottom w:val="nil"/>
              <w:right w:val="nil"/>
            </w:tcBorders>
          </w:tcPr>
          <w:p w14:paraId="2F256D1E"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0.035(.006)</w:t>
            </w:r>
            <w:r w:rsidRPr="00C73325">
              <w:rPr>
                <w:rFonts w:cs="Times New Roman"/>
                <w:sz w:val="20"/>
                <w:szCs w:val="20"/>
                <w:vertAlign w:val="superscript"/>
              </w:rPr>
              <w:t>***</w:t>
            </w:r>
          </w:p>
        </w:tc>
        <w:tc>
          <w:tcPr>
            <w:tcW w:w="259" w:type="dxa"/>
            <w:tcBorders>
              <w:top w:val="nil"/>
              <w:left w:val="nil"/>
              <w:bottom w:val="nil"/>
              <w:right w:val="nil"/>
            </w:tcBorders>
          </w:tcPr>
          <w:p w14:paraId="49D7E05B"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79C6CF55"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5B0CECA2"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0.033(.008)</w:t>
            </w:r>
            <w:r w:rsidRPr="00C73325">
              <w:rPr>
                <w:rFonts w:cs="Times New Roman"/>
                <w:sz w:val="20"/>
                <w:szCs w:val="20"/>
                <w:vertAlign w:val="superscript"/>
              </w:rPr>
              <w:t>***</w:t>
            </w:r>
          </w:p>
        </w:tc>
        <w:tc>
          <w:tcPr>
            <w:tcW w:w="1644" w:type="dxa"/>
            <w:tcBorders>
              <w:top w:val="nil"/>
              <w:left w:val="nil"/>
              <w:bottom w:val="nil"/>
              <w:right w:val="nil"/>
            </w:tcBorders>
          </w:tcPr>
          <w:p w14:paraId="19DEED54"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0.032(.009)</w:t>
            </w:r>
            <w:r w:rsidRPr="00C73325">
              <w:rPr>
                <w:rFonts w:cs="Times New Roman"/>
                <w:sz w:val="20"/>
                <w:szCs w:val="20"/>
                <w:vertAlign w:val="superscript"/>
              </w:rPr>
              <w:t>***</w:t>
            </w:r>
          </w:p>
        </w:tc>
        <w:tc>
          <w:tcPr>
            <w:tcW w:w="1485" w:type="dxa"/>
            <w:tcBorders>
              <w:top w:val="nil"/>
              <w:left w:val="nil"/>
              <w:bottom w:val="nil"/>
              <w:right w:val="nil"/>
            </w:tcBorders>
          </w:tcPr>
          <w:p w14:paraId="18436744"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0.027(.023)</w:t>
            </w:r>
            <w:r w:rsidRPr="00C73325">
              <w:rPr>
                <w:rFonts w:cs="Times New Roman"/>
                <w:sz w:val="20"/>
                <w:szCs w:val="20"/>
                <w:vertAlign w:val="superscript"/>
              </w:rPr>
              <w:t>**</w:t>
            </w:r>
          </w:p>
        </w:tc>
        <w:tc>
          <w:tcPr>
            <w:tcW w:w="963" w:type="dxa"/>
            <w:tcBorders>
              <w:top w:val="nil"/>
              <w:left w:val="nil"/>
              <w:bottom w:val="nil"/>
              <w:right w:val="nil"/>
            </w:tcBorders>
          </w:tcPr>
          <w:p w14:paraId="6CDD5492"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1.623</w:t>
            </w:r>
          </w:p>
        </w:tc>
      </w:tr>
      <w:tr w:rsidR="00122C20" w:rsidRPr="00C73325" w14:paraId="19CE985B" w14:textId="77777777" w:rsidTr="00F45EC6">
        <w:trPr>
          <w:trHeight w:val="187"/>
        </w:trPr>
        <w:tc>
          <w:tcPr>
            <w:tcW w:w="2219" w:type="dxa"/>
            <w:tcBorders>
              <w:top w:val="nil"/>
              <w:left w:val="nil"/>
              <w:bottom w:val="nil"/>
              <w:right w:val="nil"/>
            </w:tcBorders>
          </w:tcPr>
          <w:p w14:paraId="302C761F" w14:textId="77777777" w:rsidR="00122C20" w:rsidRPr="00C73325" w:rsidRDefault="00122C20" w:rsidP="00122C20">
            <w:pPr>
              <w:spacing w:before="0" w:after="0"/>
              <w:ind w:left="175"/>
              <w:jc w:val="left"/>
              <w:rPr>
                <w:rFonts w:cs="Times New Roman"/>
                <w:sz w:val="20"/>
                <w:szCs w:val="20"/>
              </w:rPr>
            </w:pPr>
            <w:r w:rsidRPr="00C73325">
              <w:rPr>
                <w:rFonts w:cs="Times New Roman"/>
                <w:sz w:val="20"/>
                <w:szCs w:val="20"/>
              </w:rPr>
              <w:t>LEV</w:t>
            </w:r>
          </w:p>
        </w:tc>
        <w:tc>
          <w:tcPr>
            <w:tcW w:w="1680" w:type="dxa"/>
            <w:tcBorders>
              <w:top w:val="nil"/>
              <w:left w:val="nil"/>
              <w:bottom w:val="nil"/>
              <w:right w:val="nil"/>
            </w:tcBorders>
          </w:tcPr>
          <w:p w14:paraId="34BC461A"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0.017(.165)</w:t>
            </w:r>
          </w:p>
        </w:tc>
        <w:tc>
          <w:tcPr>
            <w:tcW w:w="1771" w:type="dxa"/>
            <w:tcBorders>
              <w:top w:val="nil"/>
              <w:left w:val="nil"/>
              <w:bottom w:val="nil"/>
              <w:right w:val="nil"/>
            </w:tcBorders>
          </w:tcPr>
          <w:p w14:paraId="35DA1ED3"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0.017(.161)</w:t>
            </w:r>
          </w:p>
        </w:tc>
        <w:tc>
          <w:tcPr>
            <w:tcW w:w="1419" w:type="dxa"/>
            <w:tcBorders>
              <w:top w:val="nil"/>
              <w:left w:val="nil"/>
              <w:bottom w:val="nil"/>
              <w:right w:val="nil"/>
            </w:tcBorders>
          </w:tcPr>
          <w:p w14:paraId="0BDD5428"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0.017(.158)</w:t>
            </w:r>
          </w:p>
        </w:tc>
        <w:tc>
          <w:tcPr>
            <w:tcW w:w="259" w:type="dxa"/>
            <w:tcBorders>
              <w:top w:val="nil"/>
              <w:left w:val="nil"/>
              <w:bottom w:val="nil"/>
              <w:right w:val="nil"/>
            </w:tcBorders>
          </w:tcPr>
          <w:p w14:paraId="44F22B4B"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1973AEE5"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06094815"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0.024(.038)</w:t>
            </w:r>
            <w:r w:rsidRPr="00C73325">
              <w:rPr>
                <w:rFonts w:cs="Times New Roman"/>
                <w:sz w:val="20"/>
                <w:szCs w:val="20"/>
                <w:vertAlign w:val="superscript"/>
              </w:rPr>
              <w:t>**</w:t>
            </w:r>
          </w:p>
        </w:tc>
        <w:tc>
          <w:tcPr>
            <w:tcW w:w="1644" w:type="dxa"/>
            <w:tcBorders>
              <w:top w:val="nil"/>
              <w:left w:val="nil"/>
              <w:bottom w:val="nil"/>
              <w:right w:val="nil"/>
            </w:tcBorders>
          </w:tcPr>
          <w:p w14:paraId="2D1F0CA5"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0.024(.039)</w:t>
            </w:r>
            <w:r w:rsidRPr="00C73325">
              <w:rPr>
                <w:rFonts w:cs="Times New Roman"/>
                <w:sz w:val="20"/>
                <w:szCs w:val="20"/>
                <w:vertAlign w:val="superscript"/>
              </w:rPr>
              <w:t>**</w:t>
            </w:r>
          </w:p>
        </w:tc>
        <w:tc>
          <w:tcPr>
            <w:tcW w:w="1485" w:type="dxa"/>
            <w:tcBorders>
              <w:top w:val="nil"/>
              <w:left w:val="nil"/>
              <w:bottom w:val="nil"/>
              <w:right w:val="nil"/>
            </w:tcBorders>
          </w:tcPr>
          <w:p w14:paraId="1B34E691"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0.023(.043)</w:t>
            </w:r>
            <w:r w:rsidRPr="00C73325">
              <w:rPr>
                <w:rFonts w:cs="Times New Roman"/>
                <w:sz w:val="20"/>
                <w:szCs w:val="20"/>
                <w:vertAlign w:val="superscript"/>
              </w:rPr>
              <w:t>**</w:t>
            </w:r>
          </w:p>
        </w:tc>
        <w:tc>
          <w:tcPr>
            <w:tcW w:w="963" w:type="dxa"/>
            <w:tcBorders>
              <w:top w:val="nil"/>
              <w:left w:val="nil"/>
              <w:bottom w:val="nil"/>
              <w:right w:val="nil"/>
            </w:tcBorders>
          </w:tcPr>
          <w:p w14:paraId="577E0D3C"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1.059</w:t>
            </w:r>
          </w:p>
        </w:tc>
      </w:tr>
      <w:tr w:rsidR="00122C20" w:rsidRPr="00C73325" w14:paraId="06831B97" w14:textId="77777777" w:rsidTr="00F45EC6">
        <w:trPr>
          <w:trHeight w:val="187"/>
        </w:trPr>
        <w:tc>
          <w:tcPr>
            <w:tcW w:w="2219" w:type="dxa"/>
            <w:tcBorders>
              <w:top w:val="nil"/>
              <w:left w:val="nil"/>
              <w:bottom w:val="nil"/>
              <w:right w:val="nil"/>
            </w:tcBorders>
          </w:tcPr>
          <w:p w14:paraId="25B7A191" w14:textId="77777777" w:rsidR="00122C20" w:rsidRPr="00C73325" w:rsidRDefault="00122C20" w:rsidP="00122C20">
            <w:pPr>
              <w:spacing w:before="0" w:after="0"/>
              <w:ind w:left="175"/>
              <w:jc w:val="left"/>
              <w:rPr>
                <w:rFonts w:cs="Times New Roman"/>
                <w:sz w:val="20"/>
                <w:szCs w:val="20"/>
              </w:rPr>
            </w:pPr>
            <w:r w:rsidRPr="00C73325">
              <w:rPr>
                <w:rFonts w:cs="Times New Roman"/>
                <w:sz w:val="20"/>
                <w:szCs w:val="20"/>
              </w:rPr>
              <w:t>CFS</w:t>
            </w:r>
          </w:p>
        </w:tc>
        <w:tc>
          <w:tcPr>
            <w:tcW w:w="1680" w:type="dxa"/>
            <w:tcBorders>
              <w:top w:val="nil"/>
              <w:left w:val="nil"/>
              <w:bottom w:val="nil"/>
              <w:right w:val="nil"/>
            </w:tcBorders>
          </w:tcPr>
          <w:p w14:paraId="10BE0E99"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0.428(.000)</w:t>
            </w:r>
            <w:r w:rsidRPr="00C73325">
              <w:rPr>
                <w:rFonts w:cs="Times New Roman"/>
                <w:sz w:val="20"/>
                <w:szCs w:val="20"/>
                <w:vertAlign w:val="superscript"/>
              </w:rPr>
              <w:t>***</w:t>
            </w:r>
          </w:p>
        </w:tc>
        <w:tc>
          <w:tcPr>
            <w:tcW w:w="1771" w:type="dxa"/>
            <w:tcBorders>
              <w:top w:val="nil"/>
              <w:left w:val="nil"/>
              <w:bottom w:val="nil"/>
              <w:right w:val="nil"/>
            </w:tcBorders>
          </w:tcPr>
          <w:p w14:paraId="6642ABAB"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0.425(.000)</w:t>
            </w:r>
            <w:r w:rsidRPr="00C73325">
              <w:rPr>
                <w:rFonts w:cs="Times New Roman"/>
                <w:sz w:val="20"/>
                <w:szCs w:val="20"/>
                <w:vertAlign w:val="superscript"/>
              </w:rPr>
              <w:t>***</w:t>
            </w:r>
          </w:p>
        </w:tc>
        <w:tc>
          <w:tcPr>
            <w:tcW w:w="1419" w:type="dxa"/>
            <w:tcBorders>
              <w:top w:val="nil"/>
              <w:left w:val="nil"/>
              <w:bottom w:val="nil"/>
              <w:right w:val="nil"/>
            </w:tcBorders>
          </w:tcPr>
          <w:p w14:paraId="26C09FC8"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0.432(.000)</w:t>
            </w:r>
            <w:r w:rsidRPr="00C73325">
              <w:rPr>
                <w:rFonts w:cs="Times New Roman"/>
                <w:sz w:val="20"/>
                <w:szCs w:val="20"/>
                <w:vertAlign w:val="superscript"/>
              </w:rPr>
              <w:t>***</w:t>
            </w:r>
          </w:p>
        </w:tc>
        <w:tc>
          <w:tcPr>
            <w:tcW w:w="259" w:type="dxa"/>
            <w:tcBorders>
              <w:top w:val="nil"/>
              <w:left w:val="nil"/>
              <w:bottom w:val="nil"/>
              <w:right w:val="nil"/>
            </w:tcBorders>
          </w:tcPr>
          <w:p w14:paraId="46BE7B45"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148BE813"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5652EADB"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0.430(.000)</w:t>
            </w:r>
            <w:r w:rsidRPr="00C73325">
              <w:rPr>
                <w:rFonts w:cs="Times New Roman"/>
                <w:sz w:val="20"/>
                <w:szCs w:val="20"/>
                <w:vertAlign w:val="superscript"/>
              </w:rPr>
              <w:t>***</w:t>
            </w:r>
          </w:p>
        </w:tc>
        <w:tc>
          <w:tcPr>
            <w:tcW w:w="1644" w:type="dxa"/>
            <w:tcBorders>
              <w:top w:val="nil"/>
              <w:left w:val="nil"/>
              <w:bottom w:val="nil"/>
              <w:right w:val="nil"/>
            </w:tcBorders>
          </w:tcPr>
          <w:p w14:paraId="4608B81D"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0.440(.000)</w:t>
            </w:r>
            <w:r w:rsidRPr="00C73325">
              <w:rPr>
                <w:rFonts w:cs="Times New Roman"/>
                <w:sz w:val="20"/>
                <w:szCs w:val="20"/>
                <w:vertAlign w:val="superscript"/>
              </w:rPr>
              <w:t>***</w:t>
            </w:r>
          </w:p>
        </w:tc>
        <w:tc>
          <w:tcPr>
            <w:tcW w:w="1485" w:type="dxa"/>
            <w:tcBorders>
              <w:top w:val="nil"/>
              <w:left w:val="nil"/>
              <w:bottom w:val="nil"/>
              <w:right w:val="nil"/>
            </w:tcBorders>
          </w:tcPr>
          <w:p w14:paraId="578C013B"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0.412(.000)</w:t>
            </w:r>
            <w:r w:rsidRPr="00C73325">
              <w:rPr>
                <w:rFonts w:cs="Times New Roman"/>
                <w:sz w:val="20"/>
                <w:szCs w:val="20"/>
                <w:vertAlign w:val="superscript"/>
              </w:rPr>
              <w:t>***</w:t>
            </w:r>
          </w:p>
        </w:tc>
        <w:tc>
          <w:tcPr>
            <w:tcW w:w="963" w:type="dxa"/>
            <w:tcBorders>
              <w:top w:val="nil"/>
              <w:left w:val="nil"/>
              <w:bottom w:val="nil"/>
              <w:right w:val="nil"/>
            </w:tcBorders>
          </w:tcPr>
          <w:p w14:paraId="31182653"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1.044</w:t>
            </w:r>
          </w:p>
        </w:tc>
      </w:tr>
      <w:tr w:rsidR="00122C20" w:rsidRPr="00C73325" w14:paraId="5E396A16" w14:textId="77777777" w:rsidTr="00F45EC6">
        <w:trPr>
          <w:trHeight w:val="187"/>
        </w:trPr>
        <w:tc>
          <w:tcPr>
            <w:tcW w:w="2219" w:type="dxa"/>
            <w:tcBorders>
              <w:top w:val="nil"/>
              <w:left w:val="nil"/>
              <w:bottom w:val="nil"/>
              <w:right w:val="nil"/>
            </w:tcBorders>
          </w:tcPr>
          <w:p w14:paraId="6EC636BC" w14:textId="77777777" w:rsidR="00122C20" w:rsidRPr="00C73325" w:rsidRDefault="00122C20" w:rsidP="00122C20">
            <w:pPr>
              <w:spacing w:before="0" w:after="0"/>
              <w:ind w:left="175"/>
              <w:jc w:val="left"/>
              <w:rPr>
                <w:rFonts w:cs="Times New Roman"/>
                <w:sz w:val="20"/>
                <w:szCs w:val="20"/>
              </w:rPr>
            </w:pPr>
            <w:r w:rsidRPr="00C73325">
              <w:rPr>
                <w:rFonts w:cs="Times New Roman"/>
                <w:sz w:val="20"/>
                <w:szCs w:val="20"/>
              </w:rPr>
              <w:t>ROA</w:t>
            </w:r>
          </w:p>
        </w:tc>
        <w:tc>
          <w:tcPr>
            <w:tcW w:w="1680" w:type="dxa"/>
            <w:tcBorders>
              <w:top w:val="nil"/>
              <w:left w:val="nil"/>
              <w:bottom w:val="nil"/>
              <w:right w:val="nil"/>
            </w:tcBorders>
          </w:tcPr>
          <w:p w14:paraId="452EC40E"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0.003(.055)</w:t>
            </w:r>
            <w:r w:rsidRPr="00C73325">
              <w:rPr>
                <w:rFonts w:cs="Times New Roman"/>
                <w:sz w:val="20"/>
                <w:szCs w:val="20"/>
                <w:vertAlign w:val="superscript"/>
              </w:rPr>
              <w:t>*</w:t>
            </w:r>
          </w:p>
        </w:tc>
        <w:tc>
          <w:tcPr>
            <w:tcW w:w="1771" w:type="dxa"/>
            <w:tcBorders>
              <w:top w:val="nil"/>
              <w:left w:val="nil"/>
              <w:bottom w:val="nil"/>
              <w:right w:val="nil"/>
            </w:tcBorders>
          </w:tcPr>
          <w:p w14:paraId="2E242D5F"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0.002(.062)</w:t>
            </w:r>
            <w:r w:rsidRPr="00C73325">
              <w:rPr>
                <w:rFonts w:cs="Times New Roman"/>
                <w:sz w:val="20"/>
                <w:szCs w:val="20"/>
                <w:vertAlign w:val="superscript"/>
              </w:rPr>
              <w:t>*</w:t>
            </w:r>
          </w:p>
        </w:tc>
        <w:tc>
          <w:tcPr>
            <w:tcW w:w="1419" w:type="dxa"/>
            <w:tcBorders>
              <w:top w:val="nil"/>
              <w:left w:val="nil"/>
              <w:bottom w:val="nil"/>
              <w:right w:val="nil"/>
            </w:tcBorders>
          </w:tcPr>
          <w:p w14:paraId="3CED58A6"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0.002(.068)</w:t>
            </w:r>
            <w:r w:rsidRPr="00C73325">
              <w:rPr>
                <w:rFonts w:cs="Times New Roman"/>
                <w:sz w:val="20"/>
                <w:szCs w:val="20"/>
                <w:vertAlign w:val="superscript"/>
              </w:rPr>
              <w:t>*</w:t>
            </w:r>
          </w:p>
        </w:tc>
        <w:tc>
          <w:tcPr>
            <w:tcW w:w="259" w:type="dxa"/>
            <w:tcBorders>
              <w:top w:val="nil"/>
              <w:left w:val="nil"/>
              <w:bottom w:val="nil"/>
              <w:right w:val="nil"/>
            </w:tcBorders>
          </w:tcPr>
          <w:p w14:paraId="786EA88D"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484517AB"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1DA9CAEC"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0.002(.148)</w:t>
            </w:r>
          </w:p>
        </w:tc>
        <w:tc>
          <w:tcPr>
            <w:tcW w:w="1644" w:type="dxa"/>
            <w:tcBorders>
              <w:top w:val="nil"/>
              <w:left w:val="nil"/>
              <w:bottom w:val="nil"/>
              <w:right w:val="nil"/>
            </w:tcBorders>
          </w:tcPr>
          <w:p w14:paraId="15DA845F"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0.002(.138)</w:t>
            </w:r>
          </w:p>
        </w:tc>
        <w:tc>
          <w:tcPr>
            <w:tcW w:w="1485" w:type="dxa"/>
            <w:tcBorders>
              <w:top w:val="nil"/>
              <w:left w:val="nil"/>
              <w:bottom w:val="nil"/>
              <w:right w:val="nil"/>
            </w:tcBorders>
          </w:tcPr>
          <w:p w14:paraId="7B14F2AC"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0.002(.180)</w:t>
            </w:r>
          </w:p>
        </w:tc>
        <w:tc>
          <w:tcPr>
            <w:tcW w:w="963" w:type="dxa"/>
            <w:tcBorders>
              <w:top w:val="nil"/>
              <w:left w:val="nil"/>
              <w:bottom w:val="nil"/>
              <w:right w:val="nil"/>
            </w:tcBorders>
          </w:tcPr>
          <w:p w14:paraId="6DAE993B"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1.042</w:t>
            </w:r>
          </w:p>
        </w:tc>
      </w:tr>
      <w:tr w:rsidR="00122C20" w:rsidRPr="00C73325" w14:paraId="5F8FBF08" w14:textId="77777777" w:rsidTr="00F45EC6">
        <w:trPr>
          <w:trHeight w:val="187"/>
        </w:trPr>
        <w:tc>
          <w:tcPr>
            <w:tcW w:w="2219" w:type="dxa"/>
            <w:tcBorders>
              <w:top w:val="nil"/>
              <w:left w:val="nil"/>
              <w:bottom w:val="nil"/>
              <w:right w:val="nil"/>
            </w:tcBorders>
          </w:tcPr>
          <w:p w14:paraId="5BA7BF5B" w14:textId="77777777" w:rsidR="00122C20" w:rsidRPr="00215905" w:rsidRDefault="00122C20" w:rsidP="00122C20">
            <w:pPr>
              <w:spacing w:before="0" w:after="0"/>
              <w:jc w:val="left"/>
              <w:rPr>
                <w:rFonts w:eastAsia="SimSun" w:cs="Times New Roman"/>
                <w:sz w:val="20"/>
                <w:szCs w:val="20"/>
                <w:lang w:val="en-US"/>
              </w:rPr>
            </w:pPr>
            <w:r w:rsidRPr="00215905">
              <w:rPr>
                <w:rFonts w:eastAsia="SimSun" w:cs="Times New Roman"/>
                <w:sz w:val="20"/>
                <w:szCs w:val="20"/>
                <w:lang w:val="en-US"/>
              </w:rPr>
              <w:t>Constant</w:t>
            </w:r>
          </w:p>
        </w:tc>
        <w:tc>
          <w:tcPr>
            <w:tcW w:w="1680" w:type="dxa"/>
            <w:tcBorders>
              <w:top w:val="nil"/>
              <w:left w:val="nil"/>
              <w:bottom w:val="nil"/>
              <w:right w:val="nil"/>
            </w:tcBorders>
          </w:tcPr>
          <w:p w14:paraId="4D64FF71" w14:textId="77777777" w:rsidR="00122C20" w:rsidRPr="00FF6091" w:rsidRDefault="00122C20" w:rsidP="00122C20">
            <w:pPr>
              <w:spacing w:before="0" w:after="0"/>
              <w:jc w:val="left"/>
              <w:rPr>
                <w:rFonts w:cs="Times New Roman"/>
                <w:sz w:val="20"/>
                <w:szCs w:val="20"/>
                <w:vertAlign w:val="superscript"/>
              </w:rPr>
            </w:pPr>
            <w:r w:rsidRPr="00C73325">
              <w:rPr>
                <w:rFonts w:cs="Times New Roman"/>
                <w:sz w:val="20"/>
                <w:szCs w:val="20"/>
              </w:rPr>
              <w:t>-0.678</w:t>
            </w:r>
            <w:r w:rsidRPr="00FF6091">
              <w:rPr>
                <w:rFonts w:cs="Times New Roman"/>
                <w:sz w:val="20"/>
                <w:szCs w:val="20"/>
                <w:vertAlign w:val="superscript"/>
              </w:rPr>
              <w:t>***</w:t>
            </w:r>
          </w:p>
        </w:tc>
        <w:tc>
          <w:tcPr>
            <w:tcW w:w="1771" w:type="dxa"/>
            <w:tcBorders>
              <w:top w:val="nil"/>
              <w:left w:val="nil"/>
              <w:bottom w:val="nil"/>
              <w:right w:val="nil"/>
            </w:tcBorders>
          </w:tcPr>
          <w:p w14:paraId="36A875C8"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-0.643</w:t>
            </w:r>
            <w:r w:rsidRPr="00C73325">
              <w:rPr>
                <w:rFonts w:cs="Times New Roman"/>
                <w:sz w:val="20"/>
                <w:szCs w:val="20"/>
                <w:vertAlign w:val="superscript"/>
              </w:rPr>
              <w:t>***</w:t>
            </w:r>
          </w:p>
        </w:tc>
        <w:tc>
          <w:tcPr>
            <w:tcW w:w="1419" w:type="dxa"/>
            <w:tcBorders>
              <w:top w:val="nil"/>
              <w:left w:val="nil"/>
              <w:bottom w:val="nil"/>
              <w:right w:val="nil"/>
            </w:tcBorders>
          </w:tcPr>
          <w:p w14:paraId="77BB4A6D"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-0.526</w:t>
            </w:r>
            <w:r w:rsidRPr="00C73325">
              <w:rPr>
                <w:rFonts w:cs="Times New Roman"/>
                <w:sz w:val="20"/>
                <w:szCs w:val="20"/>
                <w:vertAlign w:val="superscript"/>
              </w:rPr>
              <w:t>***</w:t>
            </w:r>
          </w:p>
        </w:tc>
        <w:tc>
          <w:tcPr>
            <w:tcW w:w="259" w:type="dxa"/>
            <w:tcBorders>
              <w:top w:val="nil"/>
              <w:left w:val="nil"/>
              <w:bottom w:val="nil"/>
              <w:right w:val="nil"/>
            </w:tcBorders>
          </w:tcPr>
          <w:p w14:paraId="67233074"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4C06D1E5"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3CAF0C6B"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-0.060</w:t>
            </w:r>
          </w:p>
        </w:tc>
        <w:tc>
          <w:tcPr>
            <w:tcW w:w="1644" w:type="dxa"/>
            <w:tcBorders>
              <w:top w:val="nil"/>
              <w:left w:val="nil"/>
              <w:bottom w:val="nil"/>
              <w:right w:val="nil"/>
            </w:tcBorders>
          </w:tcPr>
          <w:p w14:paraId="227C30A0"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-0.054</w:t>
            </w:r>
          </w:p>
        </w:tc>
        <w:tc>
          <w:tcPr>
            <w:tcW w:w="1485" w:type="dxa"/>
            <w:tcBorders>
              <w:top w:val="nil"/>
              <w:left w:val="nil"/>
              <w:bottom w:val="nil"/>
              <w:right w:val="nil"/>
            </w:tcBorders>
          </w:tcPr>
          <w:p w14:paraId="1162361B"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0.106</w:t>
            </w:r>
          </w:p>
        </w:tc>
        <w:tc>
          <w:tcPr>
            <w:tcW w:w="963" w:type="dxa"/>
            <w:tcBorders>
              <w:top w:val="nil"/>
              <w:left w:val="nil"/>
              <w:bottom w:val="nil"/>
              <w:right w:val="nil"/>
            </w:tcBorders>
          </w:tcPr>
          <w:p w14:paraId="7FC26453"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r>
      <w:tr w:rsidR="00122C20" w:rsidRPr="00C73325" w14:paraId="0661F7FB" w14:textId="77777777" w:rsidTr="00F45EC6">
        <w:trPr>
          <w:trHeight w:val="187"/>
        </w:trPr>
        <w:tc>
          <w:tcPr>
            <w:tcW w:w="2219" w:type="dxa"/>
            <w:tcBorders>
              <w:top w:val="nil"/>
              <w:left w:val="nil"/>
              <w:bottom w:val="nil"/>
              <w:right w:val="nil"/>
            </w:tcBorders>
          </w:tcPr>
          <w:p w14:paraId="28A091EA" w14:textId="77777777" w:rsidR="00122C20" w:rsidRPr="00215905" w:rsidRDefault="00122C20" w:rsidP="00122C20">
            <w:pPr>
              <w:spacing w:before="0" w:after="0"/>
              <w:jc w:val="left"/>
              <w:rPr>
                <w:rFonts w:eastAsia="SimSun" w:cs="Times New Roman"/>
                <w:sz w:val="20"/>
                <w:szCs w:val="20"/>
                <w:lang w:val="en-US"/>
              </w:rPr>
            </w:pPr>
            <w:r w:rsidRPr="00215905">
              <w:rPr>
                <w:rFonts w:eastAsia="SimSun" w:cs="Times New Roman"/>
                <w:sz w:val="20"/>
                <w:szCs w:val="20"/>
                <w:lang w:val="en-US"/>
              </w:rPr>
              <w:t>Durbin-W. Stat.</w:t>
            </w:r>
          </w:p>
        </w:tc>
        <w:tc>
          <w:tcPr>
            <w:tcW w:w="1680" w:type="dxa"/>
            <w:tcBorders>
              <w:top w:val="nil"/>
              <w:left w:val="nil"/>
              <w:bottom w:val="nil"/>
              <w:right w:val="nil"/>
            </w:tcBorders>
          </w:tcPr>
          <w:p w14:paraId="330A8916"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2.061</w:t>
            </w:r>
          </w:p>
        </w:tc>
        <w:tc>
          <w:tcPr>
            <w:tcW w:w="1771" w:type="dxa"/>
            <w:tcBorders>
              <w:top w:val="nil"/>
              <w:left w:val="nil"/>
              <w:bottom w:val="nil"/>
              <w:right w:val="nil"/>
            </w:tcBorders>
          </w:tcPr>
          <w:p w14:paraId="3639EAFB"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2.061</w:t>
            </w:r>
          </w:p>
        </w:tc>
        <w:tc>
          <w:tcPr>
            <w:tcW w:w="1419" w:type="dxa"/>
            <w:tcBorders>
              <w:top w:val="nil"/>
              <w:left w:val="nil"/>
              <w:bottom w:val="nil"/>
              <w:right w:val="nil"/>
            </w:tcBorders>
          </w:tcPr>
          <w:p w14:paraId="66F87ECA"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2.059</w:t>
            </w:r>
          </w:p>
        </w:tc>
        <w:tc>
          <w:tcPr>
            <w:tcW w:w="259" w:type="dxa"/>
            <w:tcBorders>
              <w:top w:val="nil"/>
              <w:left w:val="nil"/>
              <w:bottom w:val="nil"/>
              <w:right w:val="nil"/>
            </w:tcBorders>
          </w:tcPr>
          <w:p w14:paraId="662502E4"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34ECDA2B"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7D7A6854"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2.109</w:t>
            </w:r>
          </w:p>
        </w:tc>
        <w:tc>
          <w:tcPr>
            <w:tcW w:w="1644" w:type="dxa"/>
            <w:tcBorders>
              <w:top w:val="nil"/>
              <w:left w:val="nil"/>
              <w:bottom w:val="nil"/>
              <w:right w:val="nil"/>
            </w:tcBorders>
          </w:tcPr>
          <w:p w14:paraId="5C014E02"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2.111</w:t>
            </w:r>
          </w:p>
        </w:tc>
        <w:tc>
          <w:tcPr>
            <w:tcW w:w="1485" w:type="dxa"/>
            <w:tcBorders>
              <w:top w:val="nil"/>
              <w:left w:val="nil"/>
              <w:bottom w:val="nil"/>
              <w:right w:val="nil"/>
            </w:tcBorders>
          </w:tcPr>
          <w:p w14:paraId="391A875B"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2.050</w:t>
            </w:r>
          </w:p>
        </w:tc>
        <w:tc>
          <w:tcPr>
            <w:tcW w:w="963" w:type="dxa"/>
            <w:tcBorders>
              <w:top w:val="nil"/>
              <w:left w:val="nil"/>
              <w:bottom w:val="nil"/>
              <w:right w:val="nil"/>
            </w:tcBorders>
          </w:tcPr>
          <w:p w14:paraId="49C785B9"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r>
      <w:tr w:rsidR="00122C20" w:rsidRPr="00C73325" w14:paraId="003AD148" w14:textId="77777777" w:rsidTr="00F45EC6">
        <w:trPr>
          <w:trHeight w:val="187"/>
        </w:trPr>
        <w:tc>
          <w:tcPr>
            <w:tcW w:w="2219" w:type="dxa"/>
            <w:tcBorders>
              <w:top w:val="nil"/>
              <w:left w:val="nil"/>
              <w:bottom w:val="nil"/>
              <w:right w:val="nil"/>
            </w:tcBorders>
          </w:tcPr>
          <w:p w14:paraId="77730FA1" w14:textId="77777777" w:rsidR="00122C20" w:rsidRPr="00215905" w:rsidRDefault="00122C20" w:rsidP="00122C20">
            <w:pPr>
              <w:spacing w:before="0" w:after="0"/>
              <w:jc w:val="left"/>
              <w:rPr>
                <w:rFonts w:eastAsia="SimSun" w:cs="Times New Roman"/>
                <w:i/>
                <w:iCs/>
                <w:sz w:val="20"/>
                <w:szCs w:val="20"/>
                <w:lang w:val="en-US"/>
              </w:rPr>
            </w:pPr>
            <w:r w:rsidRPr="00215905">
              <w:rPr>
                <w:rFonts w:eastAsia="SimSun" w:cs="Times New Roman"/>
                <w:i/>
                <w:iCs/>
                <w:sz w:val="20"/>
                <w:szCs w:val="20"/>
                <w:lang w:val="en-US"/>
              </w:rPr>
              <w:t>F</w:t>
            </w:r>
            <w:r w:rsidRPr="00215905">
              <w:rPr>
                <w:rFonts w:eastAsia="SimSun" w:cs="Times New Roman"/>
                <w:sz w:val="20"/>
                <w:szCs w:val="20"/>
                <w:lang w:val="en-US"/>
              </w:rPr>
              <w:t>- value</w:t>
            </w:r>
          </w:p>
        </w:tc>
        <w:tc>
          <w:tcPr>
            <w:tcW w:w="1680" w:type="dxa"/>
            <w:tcBorders>
              <w:top w:val="nil"/>
              <w:left w:val="nil"/>
              <w:bottom w:val="nil"/>
              <w:right w:val="nil"/>
            </w:tcBorders>
          </w:tcPr>
          <w:p w14:paraId="142B7D37" w14:textId="77777777" w:rsidR="00122C20" w:rsidRPr="00FF6091" w:rsidRDefault="00122C20" w:rsidP="00122C20">
            <w:pPr>
              <w:spacing w:before="0" w:after="0"/>
              <w:jc w:val="left"/>
              <w:rPr>
                <w:rFonts w:cs="Times New Roman"/>
                <w:sz w:val="20"/>
                <w:szCs w:val="20"/>
                <w:vertAlign w:val="superscript"/>
              </w:rPr>
            </w:pPr>
            <w:r w:rsidRPr="00C73325">
              <w:rPr>
                <w:rFonts w:cs="Times New Roman"/>
                <w:sz w:val="20"/>
                <w:szCs w:val="20"/>
              </w:rPr>
              <w:t>20.740</w:t>
            </w:r>
            <w:r w:rsidRPr="00FF6091">
              <w:rPr>
                <w:rFonts w:cs="Times New Roman"/>
                <w:sz w:val="20"/>
                <w:szCs w:val="20"/>
                <w:vertAlign w:val="superscript"/>
              </w:rPr>
              <w:t>***</w:t>
            </w:r>
          </w:p>
        </w:tc>
        <w:tc>
          <w:tcPr>
            <w:tcW w:w="1771" w:type="dxa"/>
            <w:tcBorders>
              <w:top w:val="nil"/>
              <w:left w:val="nil"/>
              <w:bottom w:val="nil"/>
              <w:right w:val="nil"/>
            </w:tcBorders>
          </w:tcPr>
          <w:p w14:paraId="636F65D8"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17.241</w:t>
            </w:r>
            <w:r w:rsidRPr="00C73325">
              <w:rPr>
                <w:rFonts w:cs="Times New Roman"/>
                <w:sz w:val="20"/>
                <w:szCs w:val="20"/>
                <w:vertAlign w:val="superscript"/>
              </w:rPr>
              <w:t>***</w:t>
            </w:r>
          </w:p>
        </w:tc>
        <w:tc>
          <w:tcPr>
            <w:tcW w:w="1419" w:type="dxa"/>
            <w:tcBorders>
              <w:top w:val="nil"/>
              <w:left w:val="nil"/>
              <w:bottom w:val="nil"/>
              <w:right w:val="nil"/>
            </w:tcBorders>
          </w:tcPr>
          <w:p w14:paraId="43A2F885"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15.179</w:t>
            </w:r>
            <w:r w:rsidRPr="00C73325">
              <w:rPr>
                <w:rFonts w:cs="Times New Roman"/>
                <w:sz w:val="20"/>
                <w:szCs w:val="20"/>
                <w:vertAlign w:val="superscript"/>
              </w:rPr>
              <w:t>***</w:t>
            </w:r>
          </w:p>
        </w:tc>
        <w:tc>
          <w:tcPr>
            <w:tcW w:w="259" w:type="dxa"/>
            <w:tcBorders>
              <w:top w:val="nil"/>
              <w:left w:val="nil"/>
              <w:bottom w:val="nil"/>
              <w:right w:val="nil"/>
            </w:tcBorders>
          </w:tcPr>
          <w:p w14:paraId="5E24D31E"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45C406B5"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0C421B4F"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17.668</w:t>
            </w:r>
            <w:r w:rsidRPr="00C73325">
              <w:rPr>
                <w:rFonts w:cs="Times New Roman"/>
                <w:sz w:val="20"/>
                <w:szCs w:val="20"/>
                <w:vertAlign w:val="superscript"/>
              </w:rPr>
              <w:t>***</w:t>
            </w:r>
          </w:p>
        </w:tc>
        <w:tc>
          <w:tcPr>
            <w:tcW w:w="1644" w:type="dxa"/>
            <w:tcBorders>
              <w:top w:val="nil"/>
              <w:left w:val="nil"/>
              <w:bottom w:val="nil"/>
              <w:right w:val="nil"/>
            </w:tcBorders>
          </w:tcPr>
          <w:p w14:paraId="5F1E5919"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16.012</w:t>
            </w:r>
            <w:r w:rsidRPr="00C73325">
              <w:rPr>
                <w:rFonts w:cs="Times New Roman"/>
                <w:sz w:val="20"/>
                <w:szCs w:val="20"/>
                <w:vertAlign w:val="superscript"/>
              </w:rPr>
              <w:t>***</w:t>
            </w:r>
          </w:p>
        </w:tc>
        <w:tc>
          <w:tcPr>
            <w:tcW w:w="1485" w:type="dxa"/>
            <w:tcBorders>
              <w:top w:val="nil"/>
              <w:left w:val="nil"/>
              <w:bottom w:val="nil"/>
              <w:right w:val="nil"/>
            </w:tcBorders>
          </w:tcPr>
          <w:p w14:paraId="2A4D0527" w14:textId="77777777" w:rsidR="00122C20" w:rsidRPr="00C73325" w:rsidRDefault="00122C20" w:rsidP="00122C20">
            <w:pPr>
              <w:spacing w:before="0" w:after="0"/>
              <w:jc w:val="left"/>
              <w:rPr>
                <w:rFonts w:cs="Times New Roman"/>
                <w:sz w:val="20"/>
                <w:szCs w:val="20"/>
                <w:vertAlign w:val="superscript"/>
              </w:rPr>
            </w:pPr>
            <w:r w:rsidRPr="00C73325">
              <w:rPr>
                <w:rFonts w:cs="Times New Roman"/>
                <w:sz w:val="20"/>
                <w:szCs w:val="20"/>
              </w:rPr>
              <w:t>15.657</w:t>
            </w:r>
            <w:r w:rsidRPr="00C73325">
              <w:rPr>
                <w:rFonts w:cs="Times New Roman"/>
                <w:sz w:val="20"/>
                <w:szCs w:val="20"/>
                <w:vertAlign w:val="superscript"/>
              </w:rPr>
              <w:t>***</w:t>
            </w:r>
          </w:p>
        </w:tc>
        <w:tc>
          <w:tcPr>
            <w:tcW w:w="963" w:type="dxa"/>
            <w:tcBorders>
              <w:top w:val="nil"/>
              <w:left w:val="nil"/>
              <w:bottom w:val="nil"/>
              <w:right w:val="nil"/>
            </w:tcBorders>
          </w:tcPr>
          <w:p w14:paraId="67CB6050"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r>
      <w:tr w:rsidR="00122C20" w:rsidRPr="00C73325" w14:paraId="1E61BF18" w14:textId="77777777" w:rsidTr="00F45EC6">
        <w:trPr>
          <w:trHeight w:val="187"/>
        </w:trPr>
        <w:tc>
          <w:tcPr>
            <w:tcW w:w="2219" w:type="dxa"/>
            <w:tcBorders>
              <w:top w:val="nil"/>
              <w:left w:val="nil"/>
              <w:bottom w:val="nil"/>
              <w:right w:val="nil"/>
            </w:tcBorders>
          </w:tcPr>
          <w:p w14:paraId="6B7B6011" w14:textId="77777777" w:rsidR="00122C20" w:rsidRPr="00215905" w:rsidRDefault="00122C20" w:rsidP="00122C20">
            <w:pPr>
              <w:spacing w:before="0" w:after="0"/>
              <w:jc w:val="left"/>
              <w:rPr>
                <w:rFonts w:eastAsia="SimSun" w:cs="Times New Roman"/>
                <w:sz w:val="20"/>
                <w:szCs w:val="20"/>
                <w:lang w:val="en-US"/>
              </w:rPr>
            </w:pPr>
            <w:r w:rsidRPr="00215905">
              <w:rPr>
                <w:rFonts w:eastAsia="SimSun" w:cs="Times New Roman"/>
                <w:sz w:val="20"/>
                <w:szCs w:val="20"/>
                <w:lang w:val="en-US"/>
              </w:rPr>
              <w:t xml:space="preserve">Adj. </w:t>
            </w:r>
            <w:r w:rsidRPr="00C73325">
              <w:rPr>
                <w:rFonts w:eastAsia="SimSun" w:cs="Times New Roman"/>
                <w:i/>
                <w:sz w:val="20"/>
                <w:szCs w:val="20"/>
                <w:lang w:val="en-US"/>
              </w:rPr>
              <w:t>R</w:t>
            </w:r>
            <w:r w:rsidRPr="00FF6091">
              <w:rPr>
                <w:rFonts w:eastAsia="SimSun" w:cs="Times New Roman"/>
                <w:i/>
                <w:sz w:val="20"/>
                <w:szCs w:val="20"/>
                <w:vertAlign w:val="superscript"/>
                <w:lang w:val="en-US"/>
              </w:rPr>
              <w:t>2</w:t>
            </w:r>
          </w:p>
        </w:tc>
        <w:tc>
          <w:tcPr>
            <w:tcW w:w="1680" w:type="dxa"/>
            <w:tcBorders>
              <w:top w:val="nil"/>
              <w:left w:val="nil"/>
              <w:bottom w:val="nil"/>
              <w:right w:val="nil"/>
            </w:tcBorders>
          </w:tcPr>
          <w:p w14:paraId="77214CC2"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0.332</w:t>
            </w:r>
          </w:p>
        </w:tc>
        <w:tc>
          <w:tcPr>
            <w:tcW w:w="1771" w:type="dxa"/>
            <w:tcBorders>
              <w:top w:val="nil"/>
              <w:left w:val="nil"/>
              <w:bottom w:val="nil"/>
              <w:right w:val="nil"/>
            </w:tcBorders>
          </w:tcPr>
          <w:p w14:paraId="538A9BCC"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0.329</w:t>
            </w:r>
          </w:p>
        </w:tc>
        <w:tc>
          <w:tcPr>
            <w:tcW w:w="1419" w:type="dxa"/>
            <w:tcBorders>
              <w:top w:val="nil"/>
              <w:left w:val="nil"/>
              <w:bottom w:val="nil"/>
              <w:right w:val="nil"/>
            </w:tcBorders>
          </w:tcPr>
          <w:p w14:paraId="0787BB8D"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0.333</w:t>
            </w:r>
          </w:p>
        </w:tc>
        <w:tc>
          <w:tcPr>
            <w:tcW w:w="259" w:type="dxa"/>
            <w:tcBorders>
              <w:top w:val="nil"/>
              <w:left w:val="nil"/>
              <w:bottom w:val="nil"/>
              <w:right w:val="nil"/>
            </w:tcBorders>
          </w:tcPr>
          <w:p w14:paraId="7D32CCE9"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nil"/>
              <w:right w:val="nil"/>
            </w:tcBorders>
          </w:tcPr>
          <w:p w14:paraId="20EC0BCB"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nil"/>
              <w:right w:val="nil"/>
            </w:tcBorders>
          </w:tcPr>
          <w:p w14:paraId="1A8D3C0C"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0.401</w:t>
            </w:r>
          </w:p>
        </w:tc>
        <w:tc>
          <w:tcPr>
            <w:tcW w:w="1644" w:type="dxa"/>
            <w:tcBorders>
              <w:top w:val="nil"/>
              <w:left w:val="nil"/>
              <w:bottom w:val="nil"/>
              <w:right w:val="nil"/>
            </w:tcBorders>
          </w:tcPr>
          <w:p w14:paraId="37454EE8"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0.404</w:t>
            </w:r>
          </w:p>
        </w:tc>
        <w:tc>
          <w:tcPr>
            <w:tcW w:w="1485" w:type="dxa"/>
            <w:tcBorders>
              <w:top w:val="nil"/>
              <w:left w:val="nil"/>
              <w:bottom w:val="nil"/>
              <w:right w:val="nil"/>
            </w:tcBorders>
          </w:tcPr>
          <w:p w14:paraId="78F0FD1C"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0.424</w:t>
            </w:r>
          </w:p>
        </w:tc>
        <w:tc>
          <w:tcPr>
            <w:tcW w:w="963" w:type="dxa"/>
            <w:tcBorders>
              <w:top w:val="nil"/>
              <w:left w:val="nil"/>
              <w:bottom w:val="nil"/>
              <w:right w:val="nil"/>
            </w:tcBorders>
          </w:tcPr>
          <w:p w14:paraId="502B0B6A"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r>
      <w:tr w:rsidR="00122C20" w:rsidRPr="00C73325" w14:paraId="65F55426" w14:textId="77777777" w:rsidTr="00F45EC6">
        <w:trPr>
          <w:trHeight w:val="187"/>
        </w:trPr>
        <w:tc>
          <w:tcPr>
            <w:tcW w:w="2219" w:type="dxa"/>
            <w:tcBorders>
              <w:top w:val="nil"/>
              <w:left w:val="nil"/>
              <w:bottom w:val="single" w:sz="4" w:space="0" w:color="auto"/>
              <w:right w:val="nil"/>
            </w:tcBorders>
          </w:tcPr>
          <w:p w14:paraId="26ECD08A" w14:textId="77777777" w:rsidR="00122C20" w:rsidRPr="00215905" w:rsidRDefault="00122C20" w:rsidP="00122C20">
            <w:pPr>
              <w:spacing w:before="0" w:after="0"/>
              <w:jc w:val="left"/>
              <w:rPr>
                <w:rFonts w:eastAsia="SimSun" w:cs="Times New Roman"/>
                <w:sz w:val="20"/>
                <w:szCs w:val="20"/>
                <w:lang w:val="en-US"/>
              </w:rPr>
            </w:pPr>
            <w:r w:rsidRPr="00215905">
              <w:rPr>
                <w:rFonts w:eastAsia="SimSun" w:cs="Times New Roman"/>
                <w:sz w:val="20"/>
                <w:szCs w:val="20"/>
                <w:lang w:val="en-US"/>
              </w:rPr>
              <w:t>No. of observations</w:t>
            </w:r>
          </w:p>
        </w:tc>
        <w:tc>
          <w:tcPr>
            <w:tcW w:w="1680" w:type="dxa"/>
            <w:tcBorders>
              <w:top w:val="nil"/>
              <w:left w:val="nil"/>
              <w:bottom w:val="single" w:sz="4" w:space="0" w:color="auto"/>
              <w:right w:val="nil"/>
            </w:tcBorders>
          </w:tcPr>
          <w:p w14:paraId="66090949"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200</w:t>
            </w:r>
          </w:p>
        </w:tc>
        <w:tc>
          <w:tcPr>
            <w:tcW w:w="1771" w:type="dxa"/>
            <w:tcBorders>
              <w:top w:val="nil"/>
              <w:left w:val="nil"/>
              <w:bottom w:val="single" w:sz="4" w:space="0" w:color="auto"/>
              <w:right w:val="nil"/>
            </w:tcBorders>
          </w:tcPr>
          <w:p w14:paraId="03B6167B"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200</w:t>
            </w:r>
          </w:p>
        </w:tc>
        <w:tc>
          <w:tcPr>
            <w:tcW w:w="1419" w:type="dxa"/>
            <w:tcBorders>
              <w:top w:val="nil"/>
              <w:left w:val="nil"/>
              <w:bottom w:val="single" w:sz="4" w:space="0" w:color="auto"/>
              <w:right w:val="nil"/>
            </w:tcBorders>
          </w:tcPr>
          <w:p w14:paraId="7B8921CE"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200</w:t>
            </w:r>
          </w:p>
        </w:tc>
        <w:tc>
          <w:tcPr>
            <w:tcW w:w="259" w:type="dxa"/>
            <w:tcBorders>
              <w:top w:val="nil"/>
              <w:left w:val="nil"/>
              <w:bottom w:val="single" w:sz="4" w:space="0" w:color="auto"/>
              <w:right w:val="nil"/>
            </w:tcBorders>
          </w:tcPr>
          <w:p w14:paraId="56E2D3B8" w14:textId="77777777" w:rsidR="00122C20" w:rsidRPr="00C73325" w:rsidRDefault="00122C20" w:rsidP="00122C20">
            <w:pPr>
              <w:spacing w:before="0" w:after="0"/>
              <w:jc w:val="left"/>
              <w:rPr>
                <w:rFonts w:cs="Times New Roman"/>
                <w:sz w:val="20"/>
                <w:szCs w:val="20"/>
              </w:rPr>
            </w:pPr>
          </w:p>
        </w:tc>
        <w:tc>
          <w:tcPr>
            <w:tcW w:w="236" w:type="dxa"/>
            <w:tcBorders>
              <w:top w:val="nil"/>
              <w:left w:val="nil"/>
              <w:bottom w:val="single" w:sz="4" w:space="0" w:color="auto"/>
              <w:right w:val="nil"/>
            </w:tcBorders>
          </w:tcPr>
          <w:p w14:paraId="56E12BA9" w14:textId="77777777" w:rsidR="00122C20" w:rsidRPr="00C73325" w:rsidRDefault="00122C20" w:rsidP="00122C20">
            <w:pPr>
              <w:spacing w:before="0" w:after="0"/>
              <w:jc w:val="left"/>
              <w:rPr>
                <w:rFonts w:cs="Times New Roman"/>
                <w:sz w:val="20"/>
                <w:szCs w:val="20"/>
              </w:rPr>
            </w:pPr>
          </w:p>
        </w:tc>
        <w:tc>
          <w:tcPr>
            <w:tcW w:w="1546" w:type="dxa"/>
            <w:tcBorders>
              <w:top w:val="nil"/>
              <w:left w:val="nil"/>
              <w:bottom w:val="single" w:sz="4" w:space="0" w:color="auto"/>
              <w:right w:val="nil"/>
            </w:tcBorders>
          </w:tcPr>
          <w:p w14:paraId="1754C8DD"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200</w:t>
            </w:r>
          </w:p>
        </w:tc>
        <w:tc>
          <w:tcPr>
            <w:tcW w:w="1644" w:type="dxa"/>
            <w:tcBorders>
              <w:top w:val="nil"/>
              <w:left w:val="nil"/>
              <w:bottom w:val="single" w:sz="4" w:space="0" w:color="auto"/>
              <w:right w:val="nil"/>
            </w:tcBorders>
          </w:tcPr>
          <w:p w14:paraId="2AAA914A"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200</w:t>
            </w:r>
          </w:p>
        </w:tc>
        <w:tc>
          <w:tcPr>
            <w:tcW w:w="1485" w:type="dxa"/>
            <w:tcBorders>
              <w:top w:val="nil"/>
              <w:left w:val="nil"/>
              <w:bottom w:val="single" w:sz="4" w:space="0" w:color="auto"/>
              <w:right w:val="nil"/>
            </w:tcBorders>
          </w:tcPr>
          <w:p w14:paraId="6C9496E7"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200</w:t>
            </w:r>
          </w:p>
        </w:tc>
        <w:tc>
          <w:tcPr>
            <w:tcW w:w="963" w:type="dxa"/>
            <w:tcBorders>
              <w:top w:val="nil"/>
              <w:left w:val="nil"/>
              <w:bottom w:val="single" w:sz="4" w:space="0" w:color="auto"/>
              <w:right w:val="nil"/>
            </w:tcBorders>
          </w:tcPr>
          <w:p w14:paraId="1B6DFFA6" w14:textId="77777777" w:rsidR="00122C20" w:rsidRPr="00C73325" w:rsidRDefault="00122C20" w:rsidP="00122C20">
            <w:pPr>
              <w:spacing w:before="0" w:after="0"/>
              <w:jc w:val="left"/>
              <w:rPr>
                <w:rFonts w:cs="Times New Roman"/>
                <w:sz w:val="20"/>
                <w:szCs w:val="20"/>
              </w:rPr>
            </w:pPr>
            <w:r w:rsidRPr="00C73325">
              <w:rPr>
                <w:rFonts w:cs="Times New Roman"/>
                <w:sz w:val="20"/>
                <w:szCs w:val="20"/>
              </w:rPr>
              <w:t>-</w:t>
            </w:r>
          </w:p>
        </w:tc>
      </w:tr>
      <w:tr w:rsidR="00122C20" w:rsidRPr="00C73325" w14:paraId="0FD85D0C" w14:textId="77777777" w:rsidTr="00F45EC6">
        <w:trPr>
          <w:trHeight w:val="1020"/>
        </w:trPr>
        <w:tc>
          <w:tcPr>
            <w:tcW w:w="13222" w:type="dxa"/>
            <w:gridSpan w:val="10"/>
            <w:tcBorders>
              <w:top w:val="single" w:sz="4" w:space="0" w:color="auto"/>
              <w:left w:val="nil"/>
              <w:bottom w:val="nil"/>
              <w:right w:val="nil"/>
            </w:tcBorders>
          </w:tcPr>
          <w:p w14:paraId="0FAA35A3" w14:textId="77777777" w:rsidR="00122C20" w:rsidRPr="00C73325" w:rsidRDefault="00122C20" w:rsidP="00122C20">
            <w:pPr>
              <w:spacing w:before="0" w:after="0"/>
              <w:rPr>
                <w:rFonts w:cs="Times New Roman"/>
                <w:i/>
                <w:iCs/>
                <w:sz w:val="20"/>
                <w:szCs w:val="20"/>
              </w:rPr>
            </w:pPr>
            <w:r w:rsidRPr="00C73325">
              <w:rPr>
                <w:rFonts w:cs="Times New Roman"/>
                <w:b/>
                <w:bCs/>
                <w:sz w:val="20"/>
                <w:szCs w:val="20"/>
              </w:rPr>
              <w:t>Notes:</w:t>
            </w:r>
            <w:r w:rsidRPr="00C73325">
              <w:rPr>
                <w:rFonts w:cs="Times New Roman"/>
                <w:sz w:val="20"/>
                <w:szCs w:val="20"/>
              </w:rPr>
              <w:t xml:space="preserve"> </w:t>
            </w:r>
            <w:r w:rsidRPr="00C73325">
              <w:rPr>
                <w:rFonts w:eastAsia="SimSun" w:cs="Times New Roman"/>
                <w:i/>
                <w:iCs/>
                <w:sz w:val="20"/>
                <w:szCs w:val="20"/>
                <w:lang w:val="en-US" w:eastAsia="zh-CN"/>
              </w:rPr>
              <w:t xml:space="preserve">BS </w:t>
            </w:r>
            <w:r w:rsidRPr="00C73325">
              <w:rPr>
                <w:rFonts w:eastAsia="SimSun" w:cs="Times New Roman"/>
                <w:sz w:val="20"/>
                <w:szCs w:val="20"/>
                <w:lang w:val="en-US" w:eastAsia="zh-CN"/>
              </w:rPr>
              <w:t xml:space="preserve">denotes board size; </w:t>
            </w:r>
            <w:r w:rsidRPr="00C73325">
              <w:rPr>
                <w:rFonts w:eastAsia="SimSun" w:cs="Times New Roman"/>
                <w:i/>
                <w:iCs/>
                <w:sz w:val="20"/>
                <w:szCs w:val="20"/>
                <w:lang w:val="en-US" w:eastAsia="zh-CN"/>
              </w:rPr>
              <w:t>BI</w:t>
            </w:r>
            <w:r w:rsidRPr="00C73325">
              <w:rPr>
                <w:rFonts w:eastAsia="SimSun" w:cs="Times New Roman"/>
                <w:sz w:val="20"/>
                <w:szCs w:val="20"/>
                <w:lang w:val="en-US" w:eastAsia="zh-CN"/>
              </w:rPr>
              <w:t xml:space="preserve"> denotes board independence; </w:t>
            </w:r>
            <w:r w:rsidRPr="00C73325">
              <w:rPr>
                <w:rFonts w:eastAsia="SimSun" w:cs="Times New Roman"/>
                <w:i/>
                <w:iCs/>
                <w:sz w:val="20"/>
                <w:szCs w:val="20"/>
                <w:lang w:val="en-US" w:eastAsia="zh-CN"/>
              </w:rPr>
              <w:t>CEO</w:t>
            </w:r>
            <w:r w:rsidRPr="00C73325">
              <w:rPr>
                <w:rFonts w:eastAsia="SimSun" w:cs="Times New Roman"/>
                <w:sz w:val="20"/>
                <w:szCs w:val="20"/>
                <w:lang w:val="en-US" w:eastAsia="zh-CN"/>
              </w:rPr>
              <w:t xml:space="preserve"> denotes CEO role duality; </w:t>
            </w:r>
            <w:r w:rsidRPr="00C73325">
              <w:rPr>
                <w:rFonts w:eastAsia="SimSun" w:cs="Times New Roman"/>
                <w:i/>
                <w:iCs/>
                <w:sz w:val="20"/>
                <w:szCs w:val="20"/>
                <w:lang w:val="en-US" w:eastAsia="zh-CN"/>
              </w:rPr>
              <w:t>BM</w:t>
            </w:r>
            <w:r w:rsidRPr="00C73325">
              <w:rPr>
                <w:rFonts w:eastAsia="SimSun" w:cs="Times New Roman"/>
                <w:sz w:val="20"/>
                <w:szCs w:val="20"/>
                <w:lang w:val="en-US" w:eastAsia="zh-CN"/>
              </w:rPr>
              <w:t xml:space="preserve"> denotes frequency of board meetings; </w:t>
            </w:r>
            <w:r w:rsidRPr="00C73325">
              <w:rPr>
                <w:rFonts w:eastAsia="SimSun" w:cs="Times New Roman"/>
                <w:i/>
                <w:iCs/>
                <w:sz w:val="20"/>
                <w:szCs w:val="20"/>
                <w:lang w:val="en-US" w:eastAsia="zh-CN"/>
              </w:rPr>
              <w:t>BG</w:t>
            </w:r>
            <w:r w:rsidRPr="00C73325">
              <w:rPr>
                <w:rFonts w:eastAsia="SimSun" w:cs="Times New Roman"/>
                <w:sz w:val="20"/>
                <w:szCs w:val="20"/>
                <w:lang w:val="en-US" w:eastAsia="zh-CN"/>
              </w:rPr>
              <w:t xml:space="preserve"> denotes board gender diversity; </w:t>
            </w:r>
            <w:r w:rsidRPr="00C73325">
              <w:rPr>
                <w:rFonts w:eastAsia="SimSun" w:cs="Times New Roman"/>
                <w:i/>
                <w:iCs/>
                <w:sz w:val="20"/>
                <w:szCs w:val="20"/>
                <w:lang w:val="en-US" w:eastAsia="zh-CN"/>
              </w:rPr>
              <w:t>AS</w:t>
            </w:r>
            <w:r w:rsidRPr="00C73325">
              <w:rPr>
                <w:rFonts w:eastAsia="SimSun" w:cs="Times New Roman"/>
                <w:sz w:val="20"/>
                <w:szCs w:val="20"/>
                <w:lang w:val="en-US" w:eastAsia="zh-CN"/>
              </w:rPr>
              <w:t xml:space="preserve"> denotes audit committee size; </w:t>
            </w:r>
            <w:r w:rsidRPr="00C73325">
              <w:rPr>
                <w:rFonts w:eastAsia="SimSun" w:cs="Times New Roman"/>
                <w:i/>
                <w:iCs/>
                <w:sz w:val="20"/>
                <w:szCs w:val="20"/>
                <w:lang w:val="en-US" w:eastAsia="zh-CN"/>
              </w:rPr>
              <w:t>FS</w:t>
            </w:r>
            <w:r w:rsidRPr="00C73325">
              <w:rPr>
                <w:rFonts w:eastAsia="SimSun" w:cs="Times New Roman"/>
                <w:sz w:val="20"/>
                <w:szCs w:val="20"/>
                <w:lang w:val="en-US" w:eastAsia="zh-CN"/>
              </w:rPr>
              <w:t xml:space="preserve"> denotes firm size; </w:t>
            </w:r>
            <w:r w:rsidRPr="00C73325">
              <w:rPr>
                <w:rFonts w:eastAsia="SimSun" w:cs="Times New Roman"/>
                <w:i/>
                <w:iCs/>
                <w:sz w:val="20"/>
                <w:szCs w:val="20"/>
                <w:lang w:val="en-US" w:eastAsia="zh-CN"/>
              </w:rPr>
              <w:t xml:space="preserve">LEV </w:t>
            </w:r>
            <w:r w:rsidRPr="00C73325">
              <w:rPr>
                <w:rFonts w:eastAsia="SimSun" w:cs="Times New Roman"/>
                <w:sz w:val="20"/>
                <w:szCs w:val="20"/>
                <w:lang w:val="en-US" w:eastAsia="zh-CN"/>
              </w:rPr>
              <w:t xml:space="preserve">denotes leverage; </w:t>
            </w:r>
            <w:r w:rsidRPr="00C73325">
              <w:rPr>
                <w:rFonts w:eastAsia="SimSun" w:cs="Times New Roman"/>
                <w:i/>
                <w:iCs/>
                <w:sz w:val="20"/>
                <w:szCs w:val="20"/>
                <w:lang w:val="en-US" w:eastAsia="zh-CN"/>
              </w:rPr>
              <w:t>CFS</w:t>
            </w:r>
            <w:r w:rsidRPr="00C73325">
              <w:rPr>
                <w:rFonts w:eastAsia="SimSun" w:cs="Times New Roman"/>
                <w:sz w:val="20"/>
                <w:szCs w:val="20"/>
                <w:lang w:val="en-US" w:eastAsia="zh-CN"/>
              </w:rPr>
              <w:t xml:space="preserve"> denotes cash flow per share and </w:t>
            </w:r>
            <w:r w:rsidRPr="00C73325">
              <w:rPr>
                <w:rFonts w:eastAsia="SimSun" w:cs="Times New Roman"/>
                <w:i/>
                <w:iCs/>
                <w:sz w:val="20"/>
                <w:szCs w:val="20"/>
                <w:lang w:val="en-US" w:eastAsia="zh-CN"/>
              </w:rPr>
              <w:t>ROA</w:t>
            </w:r>
            <w:r w:rsidRPr="00C73325">
              <w:rPr>
                <w:rFonts w:eastAsia="SimSun" w:cs="Times New Roman"/>
                <w:sz w:val="20"/>
                <w:szCs w:val="20"/>
                <w:lang w:val="en-US" w:eastAsia="zh-CN"/>
              </w:rPr>
              <w:t xml:space="preserve"> denotes return on assets. </w:t>
            </w:r>
            <w:r w:rsidRPr="00C73325">
              <w:rPr>
                <w:rFonts w:eastAsia="SimSun" w:cs="Times New Roman"/>
                <w:i/>
                <w:sz w:val="20"/>
                <w:szCs w:val="20"/>
                <w:lang w:val="en-US" w:eastAsia="zh-CN"/>
              </w:rPr>
              <w:t>P-</w:t>
            </w:r>
            <w:r w:rsidRPr="00C73325">
              <w:rPr>
                <w:rFonts w:eastAsia="SimSun" w:cs="Times New Roman"/>
                <w:sz w:val="20"/>
                <w:szCs w:val="20"/>
                <w:lang w:val="en-US" w:eastAsia="zh-CN"/>
              </w:rPr>
              <w:t>values are between brackets.</w:t>
            </w:r>
            <w:r w:rsidRPr="00C73325">
              <w:rPr>
                <w:rFonts w:ascii="Calibri" w:hAnsi="Calibri" w:cs="Arial"/>
                <w:sz w:val="20"/>
                <w:szCs w:val="20"/>
              </w:rPr>
              <w:t xml:space="preserve"> </w:t>
            </w:r>
            <w:r w:rsidRPr="00C73325">
              <w:rPr>
                <w:rFonts w:eastAsia="Calibri" w:cs="Times New Roman"/>
                <w:sz w:val="20"/>
                <w:szCs w:val="20"/>
              </w:rPr>
              <w:t xml:space="preserve">***, **, and * </w:t>
            </w:r>
            <w:r w:rsidRPr="00C73325">
              <w:rPr>
                <w:rFonts w:eastAsia="SimSun" w:cs="Times New Roman"/>
                <w:sz w:val="20"/>
                <w:szCs w:val="20"/>
                <w:lang w:val="en-US" w:eastAsia="zh-CN"/>
              </w:rPr>
              <w:t>indicate significance at the 1, 5 and 10 levels, respectively.</w:t>
            </w:r>
          </w:p>
        </w:tc>
      </w:tr>
    </w:tbl>
    <w:p w14:paraId="71A11CDB" w14:textId="30BD772A" w:rsidR="00B402BD" w:rsidRPr="00C73325" w:rsidRDefault="00B402BD" w:rsidP="00FC4342">
      <w:pPr>
        <w:spacing w:line="360" w:lineRule="auto"/>
        <w:rPr>
          <w:rFonts w:cs="Times New Roman"/>
          <w:szCs w:val="24"/>
        </w:rPr>
      </w:pPr>
    </w:p>
    <w:p w14:paraId="6F916005" w14:textId="55D8D3BB" w:rsidR="002C1944" w:rsidRPr="00C73325" w:rsidRDefault="002C1944" w:rsidP="00FC4342">
      <w:pPr>
        <w:spacing w:line="360" w:lineRule="auto"/>
        <w:rPr>
          <w:rFonts w:cs="Times New Roman"/>
          <w:szCs w:val="24"/>
        </w:rPr>
      </w:pPr>
    </w:p>
    <w:p w14:paraId="7A3F8007" w14:textId="2F1EDE27" w:rsidR="002C1944" w:rsidRPr="00C73325" w:rsidRDefault="002C1944" w:rsidP="00FC4342">
      <w:pPr>
        <w:spacing w:line="360" w:lineRule="auto"/>
        <w:rPr>
          <w:rFonts w:cs="Times New Roman"/>
          <w:szCs w:val="24"/>
        </w:rPr>
      </w:pPr>
    </w:p>
    <w:p w14:paraId="4E3D590E" w14:textId="3179DB41" w:rsidR="002C1944" w:rsidRPr="00C73325" w:rsidRDefault="002C1944" w:rsidP="00FC4342">
      <w:pPr>
        <w:spacing w:line="360" w:lineRule="auto"/>
        <w:rPr>
          <w:rFonts w:cs="Times New Roman"/>
          <w:szCs w:val="24"/>
        </w:rPr>
      </w:pPr>
    </w:p>
    <w:p w14:paraId="2ADD27A7" w14:textId="1BF6409E" w:rsidR="002C1944" w:rsidRPr="00C73325" w:rsidRDefault="002C1944" w:rsidP="00FC4342">
      <w:pPr>
        <w:spacing w:line="360" w:lineRule="auto"/>
        <w:rPr>
          <w:rFonts w:cs="Times New Roman"/>
          <w:szCs w:val="24"/>
        </w:rPr>
      </w:pPr>
    </w:p>
    <w:p w14:paraId="5119A898" w14:textId="70505DA3" w:rsidR="002C1944" w:rsidRPr="00C73325" w:rsidRDefault="002C1944" w:rsidP="00FC4342">
      <w:pPr>
        <w:spacing w:line="360" w:lineRule="auto"/>
        <w:rPr>
          <w:rFonts w:cs="Times New Roman"/>
          <w:szCs w:val="24"/>
        </w:rPr>
      </w:pPr>
    </w:p>
    <w:p w14:paraId="562518BF" w14:textId="792BC0F3" w:rsidR="002C1944" w:rsidRPr="00C73325" w:rsidRDefault="002C1944" w:rsidP="00FC4342">
      <w:pPr>
        <w:spacing w:line="360" w:lineRule="auto"/>
        <w:rPr>
          <w:rFonts w:cs="Times New Roman"/>
          <w:szCs w:val="24"/>
        </w:rPr>
      </w:pPr>
    </w:p>
    <w:p w14:paraId="1E961188" w14:textId="6A12287E" w:rsidR="002C1944" w:rsidRPr="00C73325" w:rsidRDefault="002C1944" w:rsidP="00FC4342">
      <w:pPr>
        <w:spacing w:line="360" w:lineRule="auto"/>
        <w:rPr>
          <w:rFonts w:cs="Times New Roman"/>
          <w:szCs w:val="24"/>
        </w:rPr>
      </w:pPr>
    </w:p>
    <w:p w14:paraId="55A85033" w14:textId="5F648848" w:rsidR="002C1944" w:rsidRPr="00C73325" w:rsidRDefault="002C1944" w:rsidP="00FC4342">
      <w:pPr>
        <w:spacing w:line="360" w:lineRule="auto"/>
        <w:rPr>
          <w:rFonts w:cs="Times New Roman"/>
          <w:szCs w:val="24"/>
        </w:rPr>
      </w:pPr>
    </w:p>
    <w:p w14:paraId="2ECD15F6" w14:textId="60D50A79" w:rsidR="002C1944" w:rsidRPr="00C73325" w:rsidRDefault="002C1944" w:rsidP="00FC4342">
      <w:pPr>
        <w:spacing w:line="360" w:lineRule="auto"/>
        <w:rPr>
          <w:rFonts w:cs="Times New Roman"/>
          <w:szCs w:val="24"/>
        </w:rPr>
      </w:pPr>
    </w:p>
    <w:p w14:paraId="73FDBBB9" w14:textId="77777777" w:rsidR="00822291" w:rsidRPr="00C73325" w:rsidRDefault="00822291" w:rsidP="00FC4342">
      <w:pPr>
        <w:spacing w:line="360" w:lineRule="auto"/>
        <w:rPr>
          <w:rFonts w:cs="Times New Roman"/>
          <w:szCs w:val="24"/>
        </w:rPr>
        <w:sectPr w:rsidR="00822291" w:rsidRPr="00C73325" w:rsidSect="00822291">
          <w:pgSz w:w="16838" w:h="11906" w:orient="landscape"/>
          <w:pgMar w:top="1134" w:right="1440" w:bottom="1440" w:left="1440" w:header="708" w:footer="708" w:gutter="0"/>
          <w:cols w:space="708"/>
          <w:docGrid w:linePitch="360"/>
        </w:sectPr>
      </w:pPr>
    </w:p>
    <w:p w14:paraId="67FFB59F" w14:textId="68613366" w:rsidR="002C1944" w:rsidRPr="00C73325" w:rsidRDefault="002C1944" w:rsidP="00FC4342">
      <w:pPr>
        <w:spacing w:line="360" w:lineRule="auto"/>
        <w:rPr>
          <w:rFonts w:cs="Times New Roman"/>
          <w:szCs w:val="24"/>
        </w:rPr>
      </w:pPr>
    </w:p>
    <w:p w14:paraId="47ECD3F8" w14:textId="169756E1" w:rsidR="002C1944" w:rsidRPr="00C73325" w:rsidRDefault="002C1944" w:rsidP="00FC4342">
      <w:pPr>
        <w:spacing w:line="360" w:lineRule="auto"/>
        <w:rPr>
          <w:rFonts w:cs="Times New Roman"/>
          <w:szCs w:val="24"/>
        </w:rPr>
      </w:pPr>
    </w:p>
    <w:tbl>
      <w:tblPr>
        <w:tblpPr w:leftFromText="180" w:rightFromText="180" w:vertAnchor="page" w:horzAnchor="margin" w:tblpXSpec="center" w:tblpY="916"/>
        <w:tblW w:w="12728" w:type="dxa"/>
        <w:tblLook w:val="00A0" w:firstRow="1" w:lastRow="0" w:firstColumn="1" w:lastColumn="0" w:noHBand="0" w:noVBand="0"/>
      </w:tblPr>
      <w:tblGrid>
        <w:gridCol w:w="2388"/>
        <w:gridCol w:w="1689"/>
        <w:gridCol w:w="1696"/>
        <w:gridCol w:w="3266"/>
        <w:gridCol w:w="1833"/>
        <w:gridCol w:w="1850"/>
        <w:gridCol w:w="6"/>
      </w:tblGrid>
      <w:tr w:rsidR="002C1944" w:rsidRPr="00C73325" w14:paraId="4FE9AB8B" w14:textId="77777777" w:rsidTr="007156BD">
        <w:trPr>
          <w:gridAfter w:val="1"/>
          <w:wAfter w:w="6" w:type="dxa"/>
          <w:trHeight w:val="164"/>
        </w:trPr>
        <w:tc>
          <w:tcPr>
            <w:tcW w:w="12722" w:type="dxa"/>
            <w:gridSpan w:val="6"/>
            <w:tcBorders>
              <w:bottom w:val="single" w:sz="12" w:space="0" w:color="auto"/>
            </w:tcBorders>
          </w:tcPr>
          <w:p w14:paraId="48DCB01D" w14:textId="77777777" w:rsidR="004E754D" w:rsidRDefault="004E754D" w:rsidP="007156BD">
            <w:pPr>
              <w:keepNext/>
              <w:spacing w:before="0" w:after="0"/>
              <w:outlineLvl w:val="0"/>
              <w:rPr>
                <w:rFonts w:eastAsia="SimSun" w:cs="Times New Roman"/>
                <w:b/>
                <w:bCs/>
                <w:sz w:val="20"/>
                <w:szCs w:val="20"/>
                <w:lang w:val="en-US"/>
              </w:rPr>
            </w:pPr>
          </w:p>
          <w:p w14:paraId="47CC561C" w14:textId="77777777" w:rsidR="007156BD" w:rsidRDefault="007156BD" w:rsidP="007156BD">
            <w:pPr>
              <w:keepNext/>
              <w:spacing w:before="0" w:after="0"/>
              <w:outlineLvl w:val="0"/>
              <w:rPr>
                <w:rFonts w:eastAsia="SimSun" w:cs="Times New Roman"/>
                <w:b/>
                <w:bCs/>
                <w:sz w:val="20"/>
                <w:szCs w:val="20"/>
                <w:lang w:val="en-US"/>
              </w:rPr>
            </w:pPr>
          </w:p>
          <w:p w14:paraId="458FE217" w14:textId="77777777" w:rsidR="002C1944" w:rsidRPr="00215905" w:rsidRDefault="002C1944" w:rsidP="007156BD">
            <w:pPr>
              <w:keepNext/>
              <w:spacing w:before="0" w:after="0"/>
              <w:outlineLvl w:val="0"/>
              <w:rPr>
                <w:rFonts w:eastAsia="SimSun" w:cs="Times New Roman"/>
                <w:b/>
                <w:bCs/>
                <w:sz w:val="20"/>
                <w:szCs w:val="20"/>
                <w:lang w:val="en-US"/>
              </w:rPr>
            </w:pPr>
            <w:r w:rsidRPr="00215905">
              <w:rPr>
                <w:rFonts w:eastAsia="SimSun" w:cs="Times New Roman"/>
                <w:b/>
                <w:bCs/>
                <w:sz w:val="20"/>
                <w:szCs w:val="20"/>
                <w:lang w:val="en-US"/>
              </w:rPr>
              <w:t>Table 5.</w:t>
            </w:r>
          </w:p>
          <w:p w14:paraId="3BE15E41" w14:textId="1F060D7C" w:rsidR="002C1944" w:rsidRPr="00215905" w:rsidRDefault="002C1944" w:rsidP="007156BD">
            <w:pPr>
              <w:keepNext/>
              <w:spacing w:before="0" w:after="0"/>
              <w:outlineLvl w:val="0"/>
              <w:rPr>
                <w:rFonts w:eastAsia="SimSun" w:cs="Times New Roman"/>
                <w:sz w:val="20"/>
                <w:szCs w:val="20"/>
                <w:lang w:val="en-US"/>
              </w:rPr>
            </w:pPr>
            <w:r w:rsidRPr="00215905">
              <w:rPr>
                <w:rFonts w:eastAsia="SimSun" w:cs="Times New Roman"/>
                <w:sz w:val="20"/>
                <w:szCs w:val="20"/>
                <w:lang w:val="en-US"/>
              </w:rPr>
              <w:t xml:space="preserve">Robustness analysis of the effect of </w:t>
            </w:r>
            <w:r w:rsidRPr="00C73325">
              <w:rPr>
                <w:rFonts w:eastAsia="Times New Roman" w:cs="Times New Roman"/>
                <w:sz w:val="20"/>
                <w:szCs w:val="20"/>
                <w:lang w:val="en-US" w:eastAsia="zh-CN"/>
              </w:rPr>
              <w:t xml:space="preserve"> corporate governance on dividend pay</w:t>
            </w:r>
            <w:r w:rsidR="00855D30" w:rsidRPr="00FF6091">
              <w:rPr>
                <w:rFonts w:eastAsia="Times New Roman" w:cs="Times New Roman"/>
                <w:sz w:val="20"/>
                <w:szCs w:val="20"/>
                <w:lang w:val="en-US" w:eastAsia="zh-CN"/>
              </w:rPr>
              <w:t>-</w:t>
            </w:r>
            <w:r w:rsidRPr="00FF6091">
              <w:rPr>
                <w:rFonts w:eastAsia="Times New Roman" w:cs="Times New Roman"/>
                <w:sz w:val="20"/>
                <w:szCs w:val="20"/>
                <w:lang w:val="en-US" w:eastAsia="zh-CN"/>
              </w:rPr>
              <w:t>out policy</w:t>
            </w:r>
          </w:p>
        </w:tc>
      </w:tr>
      <w:tr w:rsidR="002C1944" w:rsidRPr="00C73325" w14:paraId="1F59BBFA" w14:textId="77777777" w:rsidTr="007156BD">
        <w:trPr>
          <w:trHeight w:val="917"/>
        </w:trPr>
        <w:tc>
          <w:tcPr>
            <w:tcW w:w="2388" w:type="dxa"/>
            <w:tcBorders>
              <w:bottom w:val="single" w:sz="4" w:space="0" w:color="auto"/>
            </w:tcBorders>
            <w:noWrap/>
            <w:vAlign w:val="bottom"/>
          </w:tcPr>
          <w:p w14:paraId="5266DBB8" w14:textId="77777777" w:rsidR="002C1944" w:rsidRPr="00215905" w:rsidRDefault="002C1944" w:rsidP="007156BD">
            <w:pPr>
              <w:spacing w:after="0"/>
              <w:rPr>
                <w:rFonts w:eastAsia="SimSun" w:cs="Times New Roman"/>
                <w:sz w:val="20"/>
                <w:szCs w:val="20"/>
                <w:lang w:val="en-US"/>
              </w:rPr>
            </w:pPr>
            <w:r w:rsidRPr="00215905">
              <w:rPr>
                <w:rFonts w:eastAsia="SimSun" w:cs="Times New Roman"/>
                <w:sz w:val="20"/>
                <w:szCs w:val="20"/>
                <w:lang w:val="en-US"/>
              </w:rPr>
              <w:t>(</w:t>
            </w:r>
            <w:r w:rsidRPr="00215905">
              <w:rPr>
                <w:rFonts w:eastAsia="SimSun" w:cs="Times New Roman"/>
                <w:i/>
                <w:iCs/>
                <w:sz w:val="20"/>
                <w:szCs w:val="20"/>
                <w:lang w:val="en-US"/>
              </w:rPr>
              <w:t>Model</w:t>
            </w:r>
            <w:r w:rsidRPr="00215905">
              <w:rPr>
                <w:rFonts w:eastAsia="SimSun" w:cs="Times New Roman"/>
                <w:sz w:val="20"/>
                <w:szCs w:val="20"/>
                <w:lang w:val="en-US"/>
              </w:rPr>
              <w:t>)</w:t>
            </w:r>
          </w:p>
        </w:tc>
        <w:tc>
          <w:tcPr>
            <w:tcW w:w="1689" w:type="dxa"/>
            <w:tcBorders>
              <w:bottom w:val="single" w:sz="4" w:space="0" w:color="auto"/>
            </w:tcBorders>
          </w:tcPr>
          <w:p w14:paraId="4F081515" w14:textId="77777777" w:rsidR="002C1944" w:rsidRPr="00215905" w:rsidRDefault="002C1944" w:rsidP="007156BD">
            <w:pPr>
              <w:keepNext/>
              <w:spacing w:after="0"/>
              <w:outlineLvl w:val="0"/>
              <w:rPr>
                <w:rFonts w:eastAsia="SimSun" w:cs="Times New Roman"/>
                <w:sz w:val="20"/>
                <w:szCs w:val="20"/>
                <w:lang w:val="en-US"/>
              </w:rPr>
            </w:pPr>
          </w:p>
          <w:p w14:paraId="041DAE69" w14:textId="77777777" w:rsidR="002C1944" w:rsidRPr="00215905" w:rsidRDefault="002C1944" w:rsidP="007156BD">
            <w:pPr>
              <w:keepNext/>
              <w:spacing w:after="0"/>
              <w:outlineLvl w:val="0"/>
              <w:rPr>
                <w:rFonts w:eastAsia="SimSun" w:cs="Times New Roman"/>
                <w:sz w:val="20"/>
                <w:szCs w:val="20"/>
                <w:lang w:val="en-US"/>
              </w:rPr>
            </w:pPr>
            <w:r w:rsidRPr="00215905">
              <w:rPr>
                <w:rFonts w:eastAsia="SimSun" w:cs="Times New Roman"/>
                <w:sz w:val="20"/>
                <w:szCs w:val="20"/>
                <w:lang w:val="en-US"/>
              </w:rPr>
              <w:t>DP2</w:t>
            </w:r>
          </w:p>
          <w:p w14:paraId="01B89537" w14:textId="77777777" w:rsidR="002C1944" w:rsidRPr="00215905" w:rsidRDefault="002C1944" w:rsidP="007156BD">
            <w:pPr>
              <w:keepNext/>
              <w:spacing w:after="0"/>
              <w:outlineLvl w:val="0"/>
              <w:rPr>
                <w:rFonts w:eastAsia="SimSun" w:cs="Times New Roman"/>
                <w:sz w:val="20"/>
                <w:szCs w:val="20"/>
                <w:lang w:val="en-US"/>
              </w:rPr>
            </w:pPr>
            <w:r w:rsidRPr="00215905">
              <w:rPr>
                <w:rFonts w:eastAsia="SimSun" w:cs="Times New Roman"/>
                <w:sz w:val="20"/>
                <w:szCs w:val="20"/>
                <w:lang w:val="en-US"/>
              </w:rPr>
              <w:t>(1)</w:t>
            </w:r>
          </w:p>
        </w:tc>
        <w:tc>
          <w:tcPr>
            <w:tcW w:w="4962" w:type="dxa"/>
            <w:gridSpan w:val="2"/>
            <w:tcBorders>
              <w:bottom w:val="single" w:sz="4" w:space="0" w:color="auto"/>
            </w:tcBorders>
          </w:tcPr>
          <w:p w14:paraId="214112C2" w14:textId="4B7D8595" w:rsidR="002C1944" w:rsidRPr="00215905" w:rsidRDefault="002C1944" w:rsidP="007156BD">
            <w:pPr>
              <w:keepNext/>
              <w:tabs>
                <w:tab w:val="right" w:pos="4425"/>
              </w:tabs>
              <w:spacing w:after="0"/>
              <w:outlineLvl w:val="0"/>
              <w:rPr>
                <w:rFonts w:eastAsia="SimSun" w:cs="Times New Roman"/>
                <w:sz w:val="20"/>
                <w:szCs w:val="20"/>
                <w:u w:val="single"/>
                <w:lang w:val="en-US"/>
              </w:rPr>
            </w:pPr>
            <w:r w:rsidRPr="00215905">
              <w:rPr>
                <w:rFonts w:eastAsia="SimSun" w:cs="Times New Roman"/>
                <w:sz w:val="20"/>
                <w:szCs w:val="20"/>
                <w:u w:val="single"/>
                <w:lang w:val="en-US"/>
              </w:rPr>
              <w:t xml:space="preserve">                  </w:t>
            </w:r>
            <w:r w:rsidR="007E1E01" w:rsidRPr="00215905">
              <w:rPr>
                <w:rFonts w:eastAsia="SimSun" w:cs="Times New Roman"/>
                <w:sz w:val="20"/>
                <w:szCs w:val="20"/>
                <w:u w:val="single"/>
                <w:lang w:val="en-US"/>
              </w:rPr>
              <w:t xml:space="preserve">        </w:t>
            </w:r>
            <w:r w:rsidRPr="00215905">
              <w:rPr>
                <w:rFonts w:eastAsia="SimSun" w:cs="Times New Roman"/>
                <w:sz w:val="20"/>
                <w:szCs w:val="20"/>
                <w:u w:val="single"/>
                <w:lang w:val="en-US"/>
              </w:rPr>
              <w:t xml:space="preserve">   2SLS</w:t>
            </w:r>
            <w:r w:rsidRPr="00215905">
              <w:rPr>
                <w:rFonts w:eastAsia="SimSun" w:cs="Times New Roman"/>
                <w:sz w:val="20"/>
                <w:szCs w:val="20"/>
                <w:u w:val="single"/>
                <w:lang w:val="en-US"/>
              </w:rPr>
              <w:tab/>
            </w:r>
          </w:p>
          <w:p w14:paraId="587963A9" w14:textId="150C68B8" w:rsidR="002C1944" w:rsidRPr="00215905" w:rsidRDefault="002C1944" w:rsidP="007156BD">
            <w:pPr>
              <w:keepNext/>
              <w:spacing w:after="0"/>
              <w:outlineLvl w:val="0"/>
              <w:rPr>
                <w:rFonts w:eastAsia="SimSun" w:cs="Times New Roman"/>
                <w:sz w:val="20"/>
                <w:szCs w:val="20"/>
                <w:lang w:val="en-US"/>
              </w:rPr>
            </w:pPr>
            <w:r w:rsidRPr="00215905">
              <w:rPr>
                <w:rFonts w:eastAsia="SimSun" w:cs="Times New Roman"/>
                <w:sz w:val="20"/>
                <w:szCs w:val="20"/>
                <w:lang w:val="en-US"/>
              </w:rPr>
              <w:t>First Stage</w:t>
            </w:r>
            <w:r w:rsidR="007E1E01" w:rsidRPr="00215905">
              <w:rPr>
                <w:rFonts w:eastAsia="SimSun" w:cs="Times New Roman"/>
                <w:sz w:val="20"/>
                <w:szCs w:val="20"/>
                <w:lang w:val="en-US"/>
              </w:rPr>
              <w:t xml:space="preserve"> (Residuals)</w:t>
            </w:r>
            <w:r w:rsidRPr="00215905">
              <w:rPr>
                <w:rFonts w:eastAsia="SimSun" w:cs="Times New Roman"/>
                <w:sz w:val="20"/>
                <w:szCs w:val="20"/>
                <w:lang w:val="en-US"/>
              </w:rPr>
              <w:t xml:space="preserve">           Second Stage</w:t>
            </w:r>
            <w:r w:rsidR="007E1E01" w:rsidRPr="00215905">
              <w:rPr>
                <w:rFonts w:eastAsia="SimSun" w:cs="Times New Roman"/>
                <w:sz w:val="20"/>
                <w:szCs w:val="20"/>
                <w:lang w:val="en-US"/>
              </w:rPr>
              <w:t xml:space="preserve"> (Predicted)</w:t>
            </w:r>
          </w:p>
          <w:p w14:paraId="43F12A4E" w14:textId="41D135A2" w:rsidR="002C1944" w:rsidRPr="00215905" w:rsidRDefault="002C1944" w:rsidP="007156BD">
            <w:pPr>
              <w:keepNext/>
              <w:spacing w:after="0"/>
              <w:outlineLvl w:val="0"/>
              <w:rPr>
                <w:rFonts w:eastAsia="SimSun" w:cs="Times New Roman"/>
                <w:sz w:val="20"/>
                <w:szCs w:val="20"/>
                <w:lang w:val="en-US"/>
              </w:rPr>
            </w:pPr>
            <w:r w:rsidRPr="00215905">
              <w:rPr>
                <w:rFonts w:eastAsia="SimSun" w:cs="Times New Roman"/>
                <w:sz w:val="20"/>
                <w:szCs w:val="20"/>
                <w:lang w:val="en-US"/>
              </w:rPr>
              <w:t xml:space="preserve">      (2)                           </w:t>
            </w:r>
            <w:r w:rsidR="007E1E01" w:rsidRPr="00215905">
              <w:rPr>
                <w:rFonts w:eastAsia="SimSun" w:cs="Times New Roman"/>
                <w:sz w:val="20"/>
                <w:szCs w:val="20"/>
                <w:lang w:val="en-US"/>
              </w:rPr>
              <w:t xml:space="preserve">                   </w:t>
            </w:r>
            <w:r w:rsidRPr="00215905">
              <w:rPr>
                <w:rFonts w:eastAsia="SimSun" w:cs="Times New Roman"/>
                <w:sz w:val="20"/>
                <w:szCs w:val="20"/>
                <w:lang w:val="en-US"/>
              </w:rPr>
              <w:t>(</w:t>
            </w:r>
            <w:r w:rsidR="00FE7EC5" w:rsidRPr="00215905">
              <w:rPr>
                <w:rFonts w:eastAsia="SimSun" w:cs="Times New Roman"/>
                <w:sz w:val="20"/>
                <w:szCs w:val="20"/>
                <w:lang w:val="en-US"/>
              </w:rPr>
              <w:t>3</w:t>
            </w:r>
            <w:r w:rsidRPr="00215905">
              <w:rPr>
                <w:rFonts w:eastAsia="SimSun" w:cs="Times New Roman"/>
                <w:sz w:val="20"/>
                <w:szCs w:val="20"/>
                <w:lang w:val="en-US"/>
              </w:rPr>
              <w:t>)</w:t>
            </w:r>
          </w:p>
        </w:tc>
        <w:tc>
          <w:tcPr>
            <w:tcW w:w="1833" w:type="dxa"/>
            <w:tcBorders>
              <w:top w:val="single" w:sz="4" w:space="0" w:color="auto"/>
              <w:bottom w:val="single" w:sz="4" w:space="0" w:color="auto"/>
            </w:tcBorders>
            <w:noWrap/>
            <w:vAlign w:val="bottom"/>
          </w:tcPr>
          <w:p w14:paraId="15F0B8FF" w14:textId="77777777" w:rsidR="002C1944" w:rsidRPr="00215905" w:rsidRDefault="002C1944" w:rsidP="007156BD">
            <w:pPr>
              <w:keepNext/>
              <w:spacing w:after="0"/>
              <w:outlineLvl w:val="0"/>
              <w:rPr>
                <w:rFonts w:eastAsia="SimSun" w:cs="Times New Roman"/>
                <w:sz w:val="20"/>
                <w:szCs w:val="20"/>
                <w:lang w:val="en-US"/>
              </w:rPr>
            </w:pPr>
            <w:r w:rsidRPr="00215905">
              <w:rPr>
                <w:rFonts w:eastAsia="SimSun" w:cs="Times New Roman"/>
                <w:sz w:val="20"/>
                <w:szCs w:val="20"/>
                <w:lang w:val="en-US"/>
              </w:rPr>
              <w:t>Lagged-Effects</w:t>
            </w:r>
          </w:p>
          <w:p w14:paraId="4EF5CD20" w14:textId="552D287C" w:rsidR="002C1944" w:rsidRPr="00215905" w:rsidRDefault="00FE7EC5" w:rsidP="007156BD">
            <w:pPr>
              <w:keepNext/>
              <w:spacing w:after="0"/>
              <w:outlineLvl w:val="0"/>
              <w:rPr>
                <w:rFonts w:eastAsia="SimSun" w:cs="Times New Roman"/>
                <w:sz w:val="20"/>
                <w:szCs w:val="20"/>
                <w:lang w:val="en-US"/>
              </w:rPr>
            </w:pPr>
            <w:r w:rsidRPr="00215905">
              <w:rPr>
                <w:rFonts w:eastAsia="SimSun" w:cs="Times New Roman"/>
                <w:sz w:val="20"/>
                <w:szCs w:val="20"/>
                <w:lang w:val="en-US"/>
              </w:rPr>
              <w:t xml:space="preserve">   (4</w:t>
            </w:r>
            <w:r w:rsidR="002C1944" w:rsidRPr="00215905">
              <w:rPr>
                <w:rFonts w:eastAsia="SimSun" w:cs="Times New Roman"/>
                <w:sz w:val="20"/>
                <w:szCs w:val="20"/>
                <w:lang w:val="en-US"/>
              </w:rPr>
              <w:t xml:space="preserve">)      </w:t>
            </w:r>
          </w:p>
        </w:tc>
        <w:tc>
          <w:tcPr>
            <w:tcW w:w="1856" w:type="dxa"/>
            <w:gridSpan w:val="2"/>
            <w:tcBorders>
              <w:top w:val="single" w:sz="4" w:space="0" w:color="auto"/>
              <w:bottom w:val="single" w:sz="4" w:space="0" w:color="auto"/>
            </w:tcBorders>
            <w:noWrap/>
            <w:vAlign w:val="bottom"/>
          </w:tcPr>
          <w:p w14:paraId="46CB3132" w14:textId="77777777" w:rsidR="002C1944" w:rsidRPr="00215905" w:rsidRDefault="002C1944" w:rsidP="007156BD">
            <w:pPr>
              <w:keepNext/>
              <w:spacing w:after="0"/>
              <w:outlineLvl w:val="0"/>
              <w:rPr>
                <w:rFonts w:eastAsia="SimSun" w:cs="Times New Roman"/>
                <w:sz w:val="20"/>
                <w:szCs w:val="20"/>
                <w:lang w:val="en-US"/>
              </w:rPr>
            </w:pPr>
            <w:r w:rsidRPr="00215905">
              <w:rPr>
                <w:rFonts w:eastAsia="SimSun" w:cs="Times New Roman"/>
                <w:sz w:val="20"/>
                <w:szCs w:val="20"/>
                <w:lang w:val="en-US"/>
              </w:rPr>
              <w:t>Fixed-Effects</w:t>
            </w:r>
          </w:p>
          <w:p w14:paraId="7C2B2C91" w14:textId="0EC064B9" w:rsidR="002C1944" w:rsidRPr="00215905" w:rsidRDefault="002C1944" w:rsidP="007156BD">
            <w:pPr>
              <w:spacing w:after="0"/>
              <w:rPr>
                <w:rFonts w:eastAsia="SimSun" w:cs="Times New Roman"/>
                <w:sz w:val="20"/>
                <w:szCs w:val="20"/>
                <w:lang w:val="en-US"/>
              </w:rPr>
            </w:pPr>
            <w:r w:rsidRPr="00215905">
              <w:rPr>
                <w:rFonts w:eastAsia="SimSun" w:cs="Times New Roman"/>
                <w:sz w:val="20"/>
                <w:szCs w:val="20"/>
                <w:lang w:val="en-US"/>
              </w:rPr>
              <w:t xml:space="preserve">  (</w:t>
            </w:r>
            <w:r w:rsidR="00FE7EC5" w:rsidRPr="00215905">
              <w:rPr>
                <w:rFonts w:eastAsia="SimSun" w:cs="Times New Roman"/>
                <w:sz w:val="20"/>
                <w:szCs w:val="20"/>
                <w:lang w:val="en-US"/>
              </w:rPr>
              <w:t>5</w:t>
            </w:r>
            <w:r w:rsidRPr="00215905">
              <w:rPr>
                <w:rFonts w:eastAsia="SimSun" w:cs="Times New Roman"/>
                <w:sz w:val="20"/>
                <w:szCs w:val="20"/>
                <w:lang w:val="en-US"/>
              </w:rPr>
              <w:t xml:space="preserve">)      </w:t>
            </w:r>
          </w:p>
        </w:tc>
      </w:tr>
      <w:tr w:rsidR="002C1944" w:rsidRPr="00C73325" w14:paraId="68FB01B3" w14:textId="77777777" w:rsidTr="007156BD">
        <w:trPr>
          <w:trHeight w:val="224"/>
        </w:trPr>
        <w:tc>
          <w:tcPr>
            <w:tcW w:w="4077" w:type="dxa"/>
            <w:gridSpan w:val="2"/>
            <w:tcBorders>
              <w:top w:val="single" w:sz="4" w:space="0" w:color="auto"/>
            </w:tcBorders>
            <w:noWrap/>
          </w:tcPr>
          <w:p w14:paraId="508D1EB1" w14:textId="77777777" w:rsidR="002C1944" w:rsidRPr="00215905" w:rsidRDefault="002C1944" w:rsidP="007156BD">
            <w:pPr>
              <w:spacing w:after="0"/>
              <w:rPr>
                <w:rFonts w:eastAsia="SimSun" w:cs="Times New Roman"/>
                <w:sz w:val="20"/>
                <w:szCs w:val="20"/>
                <w:lang w:val="en-US" w:eastAsia="zh-CN"/>
              </w:rPr>
            </w:pPr>
            <w:r w:rsidRPr="00215905">
              <w:rPr>
                <w:rFonts w:eastAsia="SimSun" w:cs="Times New Roman"/>
                <w:i/>
                <w:sz w:val="20"/>
                <w:szCs w:val="20"/>
                <w:lang w:val="en-US"/>
              </w:rPr>
              <w:t>Corporate governance:</w:t>
            </w:r>
          </w:p>
        </w:tc>
        <w:tc>
          <w:tcPr>
            <w:tcW w:w="1696" w:type="dxa"/>
            <w:tcBorders>
              <w:top w:val="single" w:sz="4" w:space="0" w:color="auto"/>
            </w:tcBorders>
          </w:tcPr>
          <w:p w14:paraId="50DF40F8" w14:textId="77777777" w:rsidR="002C1944" w:rsidRPr="00215905" w:rsidRDefault="002C1944" w:rsidP="007156BD">
            <w:pPr>
              <w:spacing w:after="0"/>
              <w:rPr>
                <w:rFonts w:eastAsia="SimSun" w:cs="Times New Roman"/>
                <w:sz w:val="20"/>
                <w:szCs w:val="20"/>
                <w:lang w:val="en-US" w:eastAsia="zh-CN"/>
              </w:rPr>
            </w:pPr>
          </w:p>
        </w:tc>
        <w:tc>
          <w:tcPr>
            <w:tcW w:w="3266" w:type="dxa"/>
            <w:tcBorders>
              <w:top w:val="single" w:sz="4" w:space="0" w:color="auto"/>
            </w:tcBorders>
          </w:tcPr>
          <w:p w14:paraId="1FCC4DAD" w14:textId="77777777" w:rsidR="002C1944" w:rsidRPr="00215905" w:rsidRDefault="002C1944" w:rsidP="007156BD">
            <w:pPr>
              <w:spacing w:after="0"/>
              <w:rPr>
                <w:rFonts w:eastAsia="SimSun" w:cs="Times New Roman"/>
                <w:sz w:val="20"/>
                <w:szCs w:val="20"/>
                <w:lang w:val="en-US" w:eastAsia="zh-CN"/>
              </w:rPr>
            </w:pPr>
          </w:p>
        </w:tc>
        <w:tc>
          <w:tcPr>
            <w:tcW w:w="1833" w:type="dxa"/>
            <w:tcBorders>
              <w:top w:val="single" w:sz="4" w:space="0" w:color="auto"/>
            </w:tcBorders>
            <w:noWrap/>
            <w:vAlign w:val="center"/>
          </w:tcPr>
          <w:p w14:paraId="7BCCA8AE" w14:textId="77777777" w:rsidR="002C1944" w:rsidRPr="00215905" w:rsidRDefault="002C1944" w:rsidP="007156BD">
            <w:pPr>
              <w:spacing w:after="0"/>
              <w:rPr>
                <w:rFonts w:eastAsia="SimSun" w:cs="Times New Roman"/>
                <w:sz w:val="20"/>
                <w:szCs w:val="20"/>
                <w:lang w:val="en-US" w:eastAsia="zh-CN"/>
              </w:rPr>
            </w:pPr>
          </w:p>
        </w:tc>
        <w:tc>
          <w:tcPr>
            <w:tcW w:w="1856" w:type="dxa"/>
            <w:gridSpan w:val="2"/>
            <w:tcBorders>
              <w:top w:val="single" w:sz="4" w:space="0" w:color="auto"/>
            </w:tcBorders>
            <w:noWrap/>
            <w:vAlign w:val="center"/>
          </w:tcPr>
          <w:p w14:paraId="75701C4F" w14:textId="77777777" w:rsidR="002C1944" w:rsidRPr="00215905" w:rsidRDefault="002C1944" w:rsidP="007156BD">
            <w:pPr>
              <w:spacing w:after="0"/>
              <w:rPr>
                <w:rFonts w:eastAsia="Times New Roman" w:cs="Times New Roman"/>
                <w:sz w:val="20"/>
                <w:szCs w:val="20"/>
                <w:lang w:val="en-US" w:eastAsia="zh-CN"/>
              </w:rPr>
            </w:pPr>
          </w:p>
        </w:tc>
      </w:tr>
      <w:tr w:rsidR="002C1944" w:rsidRPr="00C73325" w14:paraId="0FE8FDA8" w14:textId="77777777" w:rsidTr="007156BD">
        <w:trPr>
          <w:trHeight w:val="215"/>
        </w:trPr>
        <w:tc>
          <w:tcPr>
            <w:tcW w:w="2388" w:type="dxa"/>
            <w:noWrap/>
          </w:tcPr>
          <w:p w14:paraId="007D2BBD" w14:textId="77777777" w:rsidR="002C1944" w:rsidRPr="00215905" w:rsidRDefault="002C1944" w:rsidP="007156BD">
            <w:pPr>
              <w:spacing w:after="0"/>
              <w:rPr>
                <w:rFonts w:eastAsia="SimSun" w:cs="Times New Roman"/>
                <w:iCs/>
                <w:sz w:val="20"/>
                <w:szCs w:val="20"/>
                <w:lang w:val="en-US"/>
              </w:rPr>
            </w:pPr>
            <w:r w:rsidRPr="00215905">
              <w:rPr>
                <w:rFonts w:eastAsia="SimSun" w:cs="Times New Roman"/>
                <w:iCs/>
                <w:sz w:val="20"/>
                <w:szCs w:val="20"/>
                <w:lang w:val="en-US"/>
              </w:rPr>
              <w:t xml:space="preserve">  BS</w:t>
            </w:r>
          </w:p>
        </w:tc>
        <w:tc>
          <w:tcPr>
            <w:tcW w:w="1689" w:type="dxa"/>
          </w:tcPr>
          <w:p w14:paraId="5D03A0DD"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0.002(.005)</w:t>
            </w:r>
            <w:r w:rsidRPr="00215905">
              <w:rPr>
                <w:rFonts w:eastAsia="SimSun" w:cs="Times New Roman"/>
                <w:sz w:val="20"/>
                <w:szCs w:val="20"/>
                <w:vertAlign w:val="superscript"/>
                <w:lang w:val="en-US" w:eastAsia="zh-CN"/>
              </w:rPr>
              <w:t>***</w:t>
            </w:r>
          </w:p>
        </w:tc>
        <w:tc>
          <w:tcPr>
            <w:tcW w:w="1696" w:type="dxa"/>
          </w:tcPr>
          <w:p w14:paraId="6F3F28C2"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0.152(.000)</w:t>
            </w:r>
            <w:r w:rsidRPr="00215905">
              <w:rPr>
                <w:rFonts w:eastAsia="SimSun" w:cs="Times New Roman"/>
                <w:sz w:val="20"/>
                <w:szCs w:val="20"/>
                <w:vertAlign w:val="superscript"/>
                <w:lang w:val="en-US" w:eastAsia="zh-CN"/>
              </w:rPr>
              <w:t>***</w:t>
            </w:r>
          </w:p>
        </w:tc>
        <w:tc>
          <w:tcPr>
            <w:tcW w:w="3266" w:type="dxa"/>
          </w:tcPr>
          <w:p w14:paraId="650B840C" w14:textId="77777777" w:rsidR="002C1944" w:rsidRPr="00215905" w:rsidRDefault="002C1944" w:rsidP="007156BD">
            <w:pPr>
              <w:spacing w:after="0"/>
              <w:jc w:val="center"/>
              <w:rPr>
                <w:rFonts w:eastAsia="SimSun" w:cs="Times New Roman"/>
                <w:sz w:val="20"/>
                <w:szCs w:val="20"/>
                <w:vertAlign w:val="superscript"/>
                <w:lang w:val="en-US" w:eastAsia="zh-CN"/>
              </w:rPr>
            </w:pPr>
            <w:r w:rsidRPr="00215905">
              <w:rPr>
                <w:rFonts w:eastAsia="SimSun" w:cs="Times New Roman"/>
                <w:sz w:val="20"/>
                <w:szCs w:val="20"/>
                <w:lang w:val="en-US" w:eastAsia="zh-CN"/>
              </w:rPr>
              <w:t>0.265(.056)</w:t>
            </w:r>
            <w:r w:rsidRPr="00215905">
              <w:rPr>
                <w:rFonts w:eastAsia="SimSun" w:cs="Times New Roman"/>
                <w:sz w:val="20"/>
                <w:szCs w:val="20"/>
                <w:vertAlign w:val="superscript"/>
                <w:lang w:val="en-US" w:eastAsia="zh-CN"/>
              </w:rPr>
              <w:t>*</w:t>
            </w:r>
          </w:p>
        </w:tc>
        <w:tc>
          <w:tcPr>
            <w:tcW w:w="1833" w:type="dxa"/>
            <w:noWrap/>
            <w:vAlign w:val="center"/>
          </w:tcPr>
          <w:p w14:paraId="05D5BE05"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0.002(.915)</w:t>
            </w:r>
          </w:p>
        </w:tc>
        <w:tc>
          <w:tcPr>
            <w:tcW w:w="1856" w:type="dxa"/>
            <w:gridSpan w:val="2"/>
            <w:noWrap/>
            <w:vAlign w:val="center"/>
          </w:tcPr>
          <w:p w14:paraId="73E76A61"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0.115(.252)</w:t>
            </w:r>
          </w:p>
        </w:tc>
      </w:tr>
      <w:tr w:rsidR="002C1944" w:rsidRPr="00C73325" w14:paraId="7B5008E2" w14:textId="77777777" w:rsidTr="007156BD">
        <w:trPr>
          <w:trHeight w:val="307"/>
        </w:trPr>
        <w:tc>
          <w:tcPr>
            <w:tcW w:w="2388" w:type="dxa"/>
            <w:noWrap/>
          </w:tcPr>
          <w:p w14:paraId="7857D797" w14:textId="77777777" w:rsidR="002C1944" w:rsidRPr="00215905" w:rsidRDefault="002C1944" w:rsidP="007156BD">
            <w:pPr>
              <w:spacing w:after="0"/>
              <w:rPr>
                <w:rFonts w:eastAsia="SimSun" w:cs="Times New Roman"/>
                <w:iCs/>
                <w:sz w:val="20"/>
                <w:szCs w:val="20"/>
                <w:vertAlign w:val="superscript"/>
                <w:lang w:val="en-US"/>
              </w:rPr>
            </w:pPr>
            <w:r w:rsidRPr="00215905">
              <w:rPr>
                <w:rFonts w:eastAsia="SimSun" w:cs="Times New Roman"/>
                <w:iCs/>
                <w:sz w:val="20"/>
                <w:szCs w:val="20"/>
                <w:lang w:val="en-US"/>
              </w:rPr>
              <w:t xml:space="preserve">  BI</w:t>
            </w:r>
          </w:p>
        </w:tc>
        <w:tc>
          <w:tcPr>
            <w:tcW w:w="1689" w:type="dxa"/>
          </w:tcPr>
          <w:p w14:paraId="5CF6B995" w14:textId="77777777" w:rsidR="002C1944" w:rsidRPr="00215905" w:rsidRDefault="002C1944" w:rsidP="007156BD">
            <w:pPr>
              <w:spacing w:after="0"/>
              <w:rPr>
                <w:rFonts w:eastAsia="SimSun" w:cs="Times New Roman"/>
                <w:sz w:val="20"/>
                <w:szCs w:val="20"/>
                <w:lang w:val="en-US" w:eastAsia="zh-CN"/>
              </w:rPr>
            </w:pPr>
            <w:r w:rsidRPr="00215905">
              <w:rPr>
                <w:rFonts w:eastAsia="SimSun" w:cs="Times New Roman"/>
                <w:sz w:val="20"/>
                <w:szCs w:val="20"/>
                <w:lang w:val="en-US" w:eastAsia="zh-CN"/>
              </w:rPr>
              <w:t>-0.017(.191)</w:t>
            </w:r>
          </w:p>
        </w:tc>
        <w:tc>
          <w:tcPr>
            <w:tcW w:w="1696" w:type="dxa"/>
          </w:tcPr>
          <w:p w14:paraId="003A818B"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2.590(.000)</w:t>
            </w:r>
            <w:r w:rsidRPr="00215905">
              <w:rPr>
                <w:rFonts w:eastAsia="SimSun" w:cs="Times New Roman"/>
                <w:sz w:val="20"/>
                <w:szCs w:val="20"/>
                <w:vertAlign w:val="superscript"/>
                <w:lang w:val="en-US" w:eastAsia="zh-CN"/>
              </w:rPr>
              <w:t>***</w:t>
            </w:r>
          </w:p>
        </w:tc>
        <w:tc>
          <w:tcPr>
            <w:tcW w:w="3266" w:type="dxa"/>
          </w:tcPr>
          <w:p w14:paraId="5F886100" w14:textId="77777777" w:rsidR="002C1944" w:rsidRPr="00215905" w:rsidRDefault="002C1944" w:rsidP="007156BD">
            <w:pPr>
              <w:spacing w:after="0"/>
              <w:jc w:val="center"/>
              <w:rPr>
                <w:rFonts w:eastAsia="SimSun" w:cs="Times New Roman"/>
                <w:sz w:val="20"/>
                <w:szCs w:val="20"/>
                <w:vertAlign w:val="superscript"/>
                <w:lang w:val="en-US" w:eastAsia="zh-CN"/>
              </w:rPr>
            </w:pPr>
            <w:r w:rsidRPr="00215905">
              <w:rPr>
                <w:rFonts w:eastAsia="SimSun" w:cs="Times New Roman"/>
                <w:sz w:val="20"/>
                <w:szCs w:val="20"/>
                <w:lang w:val="en-US" w:eastAsia="zh-CN"/>
              </w:rPr>
              <w:t>-8.709(.010)</w:t>
            </w:r>
            <w:r w:rsidRPr="00215905">
              <w:rPr>
                <w:rFonts w:eastAsia="SimSun" w:cs="Times New Roman"/>
                <w:sz w:val="20"/>
                <w:szCs w:val="20"/>
                <w:vertAlign w:val="superscript"/>
                <w:lang w:val="en-US" w:eastAsia="zh-CN"/>
              </w:rPr>
              <w:t>**</w:t>
            </w:r>
          </w:p>
        </w:tc>
        <w:tc>
          <w:tcPr>
            <w:tcW w:w="1833" w:type="dxa"/>
            <w:noWrap/>
            <w:vAlign w:val="center"/>
          </w:tcPr>
          <w:p w14:paraId="0DFE1CFD"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-0.077(.773)</w:t>
            </w:r>
          </w:p>
        </w:tc>
        <w:tc>
          <w:tcPr>
            <w:tcW w:w="1856" w:type="dxa"/>
            <w:gridSpan w:val="2"/>
            <w:noWrap/>
            <w:vAlign w:val="center"/>
          </w:tcPr>
          <w:p w14:paraId="68AACB8F"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-0.443(.048)</w:t>
            </w:r>
            <w:r w:rsidRPr="00215905">
              <w:rPr>
                <w:rFonts w:eastAsia="Times New Roman" w:cs="Times New Roman"/>
                <w:sz w:val="20"/>
                <w:szCs w:val="20"/>
                <w:vertAlign w:val="superscript"/>
                <w:lang w:val="en-US" w:eastAsia="zh-CN"/>
              </w:rPr>
              <w:t>**</w:t>
            </w:r>
          </w:p>
        </w:tc>
      </w:tr>
      <w:tr w:rsidR="002C1944" w:rsidRPr="00C73325" w14:paraId="2F1C81A3" w14:textId="77777777" w:rsidTr="007156BD">
        <w:trPr>
          <w:trHeight w:val="20"/>
        </w:trPr>
        <w:tc>
          <w:tcPr>
            <w:tcW w:w="2388" w:type="dxa"/>
            <w:noWrap/>
          </w:tcPr>
          <w:p w14:paraId="4871C16F" w14:textId="77777777" w:rsidR="002C1944" w:rsidRPr="00215905" w:rsidRDefault="002C1944" w:rsidP="007156BD">
            <w:pPr>
              <w:spacing w:after="0"/>
              <w:rPr>
                <w:rFonts w:eastAsia="SimSun" w:cs="Times New Roman"/>
                <w:iCs/>
                <w:sz w:val="20"/>
                <w:szCs w:val="20"/>
                <w:lang w:val="en-US"/>
              </w:rPr>
            </w:pPr>
            <w:r w:rsidRPr="00215905">
              <w:rPr>
                <w:rFonts w:eastAsia="SimSun" w:cs="Times New Roman"/>
                <w:iCs/>
                <w:sz w:val="20"/>
                <w:szCs w:val="20"/>
                <w:lang w:val="en-US"/>
              </w:rPr>
              <w:t xml:space="preserve">  CEO</w:t>
            </w:r>
          </w:p>
        </w:tc>
        <w:tc>
          <w:tcPr>
            <w:tcW w:w="1689" w:type="dxa"/>
          </w:tcPr>
          <w:p w14:paraId="4F169890" w14:textId="77777777" w:rsidR="002C1944" w:rsidRPr="00215905" w:rsidRDefault="002C1944" w:rsidP="007156BD">
            <w:pPr>
              <w:spacing w:after="0"/>
              <w:rPr>
                <w:rFonts w:eastAsia="SimSun" w:cs="Times New Roman"/>
                <w:sz w:val="20"/>
                <w:szCs w:val="20"/>
                <w:lang w:val="en-US" w:eastAsia="zh-CN"/>
              </w:rPr>
            </w:pPr>
            <w:r w:rsidRPr="00215905">
              <w:rPr>
                <w:rFonts w:eastAsia="SimSun" w:cs="Times New Roman"/>
                <w:sz w:val="20"/>
                <w:szCs w:val="20"/>
                <w:lang w:val="en-US" w:eastAsia="zh-CN"/>
              </w:rPr>
              <w:t>-0.006(.255)</w:t>
            </w:r>
          </w:p>
        </w:tc>
        <w:tc>
          <w:tcPr>
            <w:tcW w:w="1696" w:type="dxa"/>
          </w:tcPr>
          <w:p w14:paraId="30E7B2F7"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-0.690(.000)</w:t>
            </w:r>
            <w:r w:rsidRPr="00215905">
              <w:rPr>
                <w:rFonts w:eastAsia="SimSun" w:cs="Times New Roman"/>
                <w:sz w:val="20"/>
                <w:szCs w:val="20"/>
                <w:vertAlign w:val="superscript"/>
                <w:lang w:val="en-US" w:eastAsia="zh-CN"/>
              </w:rPr>
              <w:t>***</w:t>
            </w:r>
          </w:p>
        </w:tc>
        <w:tc>
          <w:tcPr>
            <w:tcW w:w="3266" w:type="dxa"/>
          </w:tcPr>
          <w:p w14:paraId="43C981BA" w14:textId="77777777" w:rsidR="002C1944" w:rsidRPr="00215905" w:rsidRDefault="002C1944" w:rsidP="007156BD">
            <w:pPr>
              <w:spacing w:after="0"/>
              <w:jc w:val="center"/>
              <w:rPr>
                <w:rFonts w:eastAsia="SimSun" w:cs="Times New Roman"/>
                <w:sz w:val="20"/>
                <w:szCs w:val="20"/>
                <w:vertAlign w:val="superscript"/>
                <w:lang w:val="en-US" w:eastAsia="zh-CN"/>
              </w:rPr>
            </w:pPr>
            <w:r w:rsidRPr="00215905">
              <w:rPr>
                <w:rFonts w:eastAsia="SimSun" w:cs="Times New Roman"/>
                <w:sz w:val="20"/>
                <w:szCs w:val="20"/>
                <w:lang w:val="en-US" w:eastAsia="zh-CN"/>
              </w:rPr>
              <w:t>-7.031(.000)</w:t>
            </w:r>
            <w:r w:rsidRPr="00215905">
              <w:rPr>
                <w:rFonts w:eastAsia="SimSun" w:cs="Times New Roman"/>
                <w:sz w:val="20"/>
                <w:szCs w:val="20"/>
                <w:vertAlign w:val="superscript"/>
                <w:lang w:val="en-US" w:eastAsia="zh-CN"/>
              </w:rPr>
              <w:t>***</w:t>
            </w:r>
          </w:p>
        </w:tc>
        <w:tc>
          <w:tcPr>
            <w:tcW w:w="1833" w:type="dxa"/>
            <w:noWrap/>
            <w:vAlign w:val="center"/>
          </w:tcPr>
          <w:p w14:paraId="248287CD"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-0.042(.668)</w:t>
            </w:r>
          </w:p>
        </w:tc>
        <w:tc>
          <w:tcPr>
            <w:tcW w:w="1856" w:type="dxa"/>
            <w:gridSpan w:val="2"/>
            <w:noWrap/>
            <w:vAlign w:val="center"/>
          </w:tcPr>
          <w:p w14:paraId="3EA08509"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-0.097(.248)</w:t>
            </w:r>
          </w:p>
        </w:tc>
      </w:tr>
      <w:tr w:rsidR="002C1944" w:rsidRPr="00C73325" w14:paraId="61065D3D" w14:textId="77777777" w:rsidTr="007156BD">
        <w:trPr>
          <w:trHeight w:val="66"/>
        </w:trPr>
        <w:tc>
          <w:tcPr>
            <w:tcW w:w="2388" w:type="dxa"/>
            <w:noWrap/>
          </w:tcPr>
          <w:p w14:paraId="73A61C1C" w14:textId="77777777" w:rsidR="002C1944" w:rsidRPr="00215905" w:rsidRDefault="002C1944" w:rsidP="007156BD">
            <w:pPr>
              <w:spacing w:after="0"/>
              <w:rPr>
                <w:rFonts w:eastAsia="SimSun" w:cs="Times New Roman"/>
                <w:iCs/>
                <w:sz w:val="20"/>
                <w:szCs w:val="20"/>
                <w:lang w:val="en-US"/>
              </w:rPr>
            </w:pPr>
            <w:r w:rsidRPr="00215905">
              <w:rPr>
                <w:rFonts w:eastAsia="SimSun" w:cs="Times New Roman"/>
                <w:iCs/>
                <w:sz w:val="20"/>
                <w:szCs w:val="20"/>
                <w:lang w:val="en-US"/>
              </w:rPr>
              <w:t xml:space="preserve">  BG</w:t>
            </w:r>
          </w:p>
        </w:tc>
        <w:tc>
          <w:tcPr>
            <w:tcW w:w="1689" w:type="dxa"/>
          </w:tcPr>
          <w:p w14:paraId="46914C77" w14:textId="77777777" w:rsidR="002C1944" w:rsidRPr="00215905" w:rsidRDefault="002C1944" w:rsidP="007156BD">
            <w:pPr>
              <w:spacing w:after="0"/>
              <w:rPr>
                <w:rFonts w:eastAsia="SimSun" w:cs="Times New Roman"/>
                <w:sz w:val="20"/>
                <w:szCs w:val="20"/>
                <w:lang w:val="en-US" w:eastAsia="zh-CN"/>
              </w:rPr>
            </w:pPr>
            <w:r w:rsidRPr="00215905">
              <w:rPr>
                <w:rFonts w:eastAsia="SimSun" w:cs="Times New Roman"/>
                <w:sz w:val="20"/>
                <w:szCs w:val="20"/>
                <w:lang w:val="en-US" w:eastAsia="zh-CN"/>
              </w:rPr>
              <w:t>-0.020(.111)</w:t>
            </w:r>
          </w:p>
        </w:tc>
        <w:tc>
          <w:tcPr>
            <w:tcW w:w="1696" w:type="dxa"/>
          </w:tcPr>
          <w:p w14:paraId="4F2F5975"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-2.647(.000)</w:t>
            </w:r>
            <w:r w:rsidRPr="00215905">
              <w:rPr>
                <w:rFonts w:eastAsia="SimSun" w:cs="Times New Roman"/>
                <w:sz w:val="20"/>
                <w:szCs w:val="20"/>
                <w:vertAlign w:val="superscript"/>
                <w:lang w:val="en-US" w:eastAsia="zh-CN"/>
              </w:rPr>
              <w:t>***</w:t>
            </w:r>
          </w:p>
        </w:tc>
        <w:tc>
          <w:tcPr>
            <w:tcW w:w="3266" w:type="dxa"/>
          </w:tcPr>
          <w:p w14:paraId="6687AA61" w14:textId="77777777" w:rsidR="002C1944" w:rsidRPr="00215905" w:rsidRDefault="002C1944" w:rsidP="007156BD">
            <w:pPr>
              <w:spacing w:after="0"/>
              <w:jc w:val="center"/>
              <w:rPr>
                <w:rFonts w:eastAsia="SimSun" w:cs="Times New Roman"/>
                <w:sz w:val="20"/>
                <w:szCs w:val="20"/>
                <w:lang w:val="en-US" w:eastAsia="zh-CN"/>
              </w:rPr>
            </w:pPr>
            <w:r w:rsidRPr="00215905">
              <w:rPr>
                <w:rFonts w:eastAsia="SimSun" w:cs="Times New Roman"/>
                <w:sz w:val="20"/>
                <w:szCs w:val="20"/>
                <w:lang w:val="en-US" w:eastAsia="zh-CN"/>
              </w:rPr>
              <w:t>-16.418(.001)</w:t>
            </w:r>
            <w:r w:rsidRPr="00215905">
              <w:rPr>
                <w:rFonts w:eastAsia="SimSun" w:cs="Times New Roman"/>
                <w:sz w:val="20"/>
                <w:szCs w:val="20"/>
                <w:vertAlign w:val="superscript"/>
                <w:lang w:val="en-US" w:eastAsia="zh-CN"/>
              </w:rPr>
              <w:t>***</w:t>
            </w:r>
          </w:p>
        </w:tc>
        <w:tc>
          <w:tcPr>
            <w:tcW w:w="1833" w:type="dxa"/>
            <w:noWrap/>
            <w:vAlign w:val="center"/>
          </w:tcPr>
          <w:p w14:paraId="7DA03303"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-0.026(.039)</w:t>
            </w:r>
            <w:r w:rsidRPr="00215905">
              <w:rPr>
                <w:rFonts w:eastAsia="SimSun" w:cs="Times New Roman"/>
                <w:sz w:val="20"/>
                <w:szCs w:val="20"/>
                <w:vertAlign w:val="superscript"/>
                <w:lang w:val="en-US" w:eastAsia="zh-CN"/>
              </w:rPr>
              <w:t>**</w:t>
            </w:r>
          </w:p>
        </w:tc>
        <w:tc>
          <w:tcPr>
            <w:tcW w:w="1856" w:type="dxa"/>
            <w:gridSpan w:val="2"/>
            <w:noWrap/>
            <w:vAlign w:val="center"/>
          </w:tcPr>
          <w:p w14:paraId="05D1E9E3"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-0.059(.000)</w:t>
            </w:r>
            <w:r w:rsidRPr="00215905">
              <w:rPr>
                <w:rFonts w:eastAsia="Times New Roman" w:cs="Times New Roman"/>
                <w:sz w:val="20"/>
                <w:szCs w:val="20"/>
                <w:vertAlign w:val="superscript"/>
                <w:lang w:val="en-US" w:eastAsia="zh-CN"/>
              </w:rPr>
              <w:t>***</w:t>
            </w:r>
          </w:p>
        </w:tc>
      </w:tr>
      <w:tr w:rsidR="002C1944" w:rsidRPr="00C73325" w14:paraId="03E2DFDF" w14:textId="77777777" w:rsidTr="007156BD">
        <w:trPr>
          <w:trHeight w:val="66"/>
        </w:trPr>
        <w:tc>
          <w:tcPr>
            <w:tcW w:w="2388" w:type="dxa"/>
            <w:noWrap/>
          </w:tcPr>
          <w:p w14:paraId="4C33DAB4" w14:textId="77777777" w:rsidR="002C1944" w:rsidRPr="00215905" w:rsidRDefault="002C1944" w:rsidP="007156BD">
            <w:pPr>
              <w:spacing w:after="0"/>
              <w:ind w:left="142"/>
              <w:rPr>
                <w:rFonts w:eastAsia="SimSun" w:cs="Times New Roman"/>
                <w:iCs/>
                <w:sz w:val="20"/>
                <w:szCs w:val="20"/>
                <w:lang w:val="en-US"/>
              </w:rPr>
            </w:pPr>
            <w:r w:rsidRPr="00215905">
              <w:rPr>
                <w:rFonts w:eastAsia="SimSun" w:cs="Times New Roman"/>
                <w:iCs/>
                <w:sz w:val="20"/>
                <w:szCs w:val="20"/>
                <w:lang w:val="en-US"/>
              </w:rPr>
              <w:t>BM</w:t>
            </w:r>
          </w:p>
        </w:tc>
        <w:tc>
          <w:tcPr>
            <w:tcW w:w="1689" w:type="dxa"/>
          </w:tcPr>
          <w:p w14:paraId="7C5A1AA8"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-0.003(.000)</w:t>
            </w:r>
            <w:r w:rsidRPr="00215905">
              <w:rPr>
                <w:rFonts w:eastAsia="SimSun" w:cs="Times New Roman"/>
                <w:sz w:val="20"/>
                <w:szCs w:val="20"/>
                <w:vertAlign w:val="superscript"/>
                <w:lang w:val="en-US" w:eastAsia="zh-CN"/>
              </w:rPr>
              <w:t>***</w:t>
            </w:r>
          </w:p>
        </w:tc>
        <w:tc>
          <w:tcPr>
            <w:tcW w:w="1696" w:type="dxa"/>
          </w:tcPr>
          <w:p w14:paraId="27BD951F"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-0.069(.000)</w:t>
            </w:r>
            <w:r w:rsidRPr="00215905">
              <w:rPr>
                <w:rFonts w:eastAsia="SimSun" w:cs="Times New Roman"/>
                <w:sz w:val="20"/>
                <w:szCs w:val="20"/>
                <w:vertAlign w:val="superscript"/>
                <w:lang w:val="en-US" w:eastAsia="zh-CN"/>
              </w:rPr>
              <w:t>***</w:t>
            </w:r>
          </w:p>
        </w:tc>
        <w:tc>
          <w:tcPr>
            <w:tcW w:w="3266" w:type="dxa"/>
          </w:tcPr>
          <w:p w14:paraId="2F0E83EE" w14:textId="77777777" w:rsidR="002C1944" w:rsidRPr="00215905" w:rsidRDefault="002C1944" w:rsidP="007156BD">
            <w:pPr>
              <w:spacing w:after="0"/>
              <w:jc w:val="center"/>
              <w:rPr>
                <w:rFonts w:eastAsia="SimSun" w:cs="Times New Roman"/>
                <w:sz w:val="20"/>
                <w:szCs w:val="20"/>
                <w:lang w:val="en-US" w:eastAsia="zh-CN"/>
              </w:rPr>
            </w:pPr>
            <w:r w:rsidRPr="00215905">
              <w:rPr>
                <w:rFonts w:eastAsia="SimSun" w:cs="Times New Roman"/>
                <w:sz w:val="20"/>
                <w:szCs w:val="20"/>
                <w:lang w:val="en-US" w:eastAsia="zh-CN"/>
              </w:rPr>
              <w:t>-0.226(.037)</w:t>
            </w:r>
            <w:r w:rsidRPr="00215905">
              <w:rPr>
                <w:rFonts w:eastAsia="SimSun" w:cs="Times New Roman"/>
                <w:sz w:val="20"/>
                <w:szCs w:val="20"/>
                <w:vertAlign w:val="superscript"/>
                <w:lang w:val="en-US" w:eastAsia="zh-CN"/>
              </w:rPr>
              <w:t>**</w:t>
            </w:r>
          </w:p>
        </w:tc>
        <w:tc>
          <w:tcPr>
            <w:tcW w:w="1833" w:type="dxa"/>
            <w:noWrap/>
            <w:vAlign w:val="center"/>
          </w:tcPr>
          <w:p w14:paraId="5AE807BE" w14:textId="77777777" w:rsidR="002C1944" w:rsidRPr="00215905" w:rsidRDefault="002C1944" w:rsidP="007156BD">
            <w:pPr>
              <w:spacing w:after="0"/>
              <w:rPr>
                <w:rFonts w:eastAsia="SimSun" w:cs="Times New Roman"/>
                <w:sz w:val="20"/>
                <w:szCs w:val="20"/>
                <w:lang w:val="en-US" w:eastAsia="zh-CN"/>
              </w:rPr>
            </w:pPr>
            <w:r w:rsidRPr="00215905">
              <w:rPr>
                <w:rFonts w:eastAsia="SimSun" w:cs="Times New Roman"/>
                <w:sz w:val="20"/>
                <w:szCs w:val="20"/>
                <w:lang w:val="en-US" w:eastAsia="zh-CN"/>
              </w:rPr>
              <w:t>-0.142(.582)</w:t>
            </w:r>
          </w:p>
        </w:tc>
        <w:tc>
          <w:tcPr>
            <w:tcW w:w="1856" w:type="dxa"/>
            <w:gridSpan w:val="2"/>
            <w:noWrap/>
            <w:vAlign w:val="center"/>
          </w:tcPr>
          <w:p w14:paraId="127DEC67"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-0.592(.005)</w:t>
            </w:r>
            <w:r w:rsidRPr="00215905">
              <w:rPr>
                <w:rFonts w:eastAsia="Times New Roman" w:cs="Times New Roman"/>
                <w:sz w:val="20"/>
                <w:szCs w:val="20"/>
                <w:vertAlign w:val="superscript"/>
                <w:lang w:val="en-US" w:eastAsia="zh-CN"/>
              </w:rPr>
              <w:t>***</w:t>
            </w:r>
          </w:p>
        </w:tc>
      </w:tr>
      <w:tr w:rsidR="002C1944" w:rsidRPr="00C73325" w14:paraId="1DA0E932" w14:textId="77777777" w:rsidTr="007156BD">
        <w:trPr>
          <w:trHeight w:val="356"/>
        </w:trPr>
        <w:tc>
          <w:tcPr>
            <w:tcW w:w="2388" w:type="dxa"/>
            <w:noWrap/>
          </w:tcPr>
          <w:p w14:paraId="31B3272F" w14:textId="77777777" w:rsidR="002C1944" w:rsidRPr="00215905" w:rsidRDefault="002C1944" w:rsidP="007156BD">
            <w:pPr>
              <w:spacing w:after="0"/>
              <w:ind w:left="142"/>
              <w:rPr>
                <w:rFonts w:eastAsia="SimSun" w:cs="Times New Roman"/>
                <w:iCs/>
                <w:sz w:val="20"/>
                <w:szCs w:val="20"/>
                <w:lang w:val="en-US"/>
              </w:rPr>
            </w:pPr>
            <w:r w:rsidRPr="00215905">
              <w:rPr>
                <w:rFonts w:eastAsia="SimSun" w:cs="Times New Roman"/>
                <w:iCs/>
                <w:sz w:val="20"/>
                <w:szCs w:val="20"/>
                <w:lang w:val="en-US"/>
              </w:rPr>
              <w:t>AS</w:t>
            </w:r>
          </w:p>
        </w:tc>
        <w:tc>
          <w:tcPr>
            <w:tcW w:w="1689" w:type="dxa"/>
          </w:tcPr>
          <w:p w14:paraId="40F30041"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0.004(.005)</w:t>
            </w:r>
            <w:r w:rsidRPr="00215905">
              <w:rPr>
                <w:rFonts w:eastAsia="SimSun" w:cs="Times New Roman"/>
                <w:sz w:val="20"/>
                <w:szCs w:val="20"/>
                <w:vertAlign w:val="superscript"/>
                <w:lang w:val="en-US" w:eastAsia="zh-CN"/>
              </w:rPr>
              <w:t>***</w:t>
            </w:r>
          </w:p>
        </w:tc>
        <w:tc>
          <w:tcPr>
            <w:tcW w:w="1696" w:type="dxa"/>
          </w:tcPr>
          <w:p w14:paraId="455D90B5"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-0.217(.004)</w:t>
            </w:r>
            <w:r w:rsidRPr="00215905">
              <w:rPr>
                <w:rFonts w:eastAsia="SimSun" w:cs="Times New Roman"/>
                <w:sz w:val="20"/>
                <w:szCs w:val="20"/>
                <w:vertAlign w:val="superscript"/>
                <w:lang w:val="en-US" w:eastAsia="zh-CN"/>
              </w:rPr>
              <w:t>***</w:t>
            </w:r>
          </w:p>
        </w:tc>
        <w:tc>
          <w:tcPr>
            <w:tcW w:w="3266" w:type="dxa"/>
          </w:tcPr>
          <w:p w14:paraId="31855A74" w14:textId="77777777" w:rsidR="002C1944" w:rsidRPr="00215905" w:rsidRDefault="002C1944" w:rsidP="007156BD">
            <w:pPr>
              <w:spacing w:after="0"/>
              <w:jc w:val="center"/>
              <w:rPr>
                <w:rFonts w:eastAsia="SimSun" w:cs="Times New Roman"/>
                <w:sz w:val="20"/>
                <w:szCs w:val="20"/>
                <w:vertAlign w:val="superscript"/>
                <w:lang w:val="en-US" w:eastAsia="zh-CN"/>
              </w:rPr>
            </w:pPr>
            <w:r w:rsidRPr="00215905">
              <w:rPr>
                <w:rFonts w:eastAsia="SimSun" w:cs="Times New Roman"/>
                <w:sz w:val="20"/>
                <w:szCs w:val="20"/>
                <w:lang w:val="en-US" w:eastAsia="zh-CN"/>
              </w:rPr>
              <w:t>0.113(.076)</w:t>
            </w:r>
            <w:r w:rsidRPr="00215905">
              <w:rPr>
                <w:rFonts w:eastAsia="SimSun" w:cs="Times New Roman"/>
                <w:sz w:val="20"/>
                <w:szCs w:val="20"/>
                <w:vertAlign w:val="superscript"/>
                <w:lang w:val="en-US" w:eastAsia="zh-CN"/>
              </w:rPr>
              <w:t>*</w:t>
            </w:r>
          </w:p>
        </w:tc>
        <w:tc>
          <w:tcPr>
            <w:tcW w:w="1833" w:type="dxa"/>
            <w:noWrap/>
            <w:vAlign w:val="center"/>
          </w:tcPr>
          <w:p w14:paraId="63EBE0CA" w14:textId="77777777" w:rsidR="002C1944" w:rsidRPr="00215905" w:rsidRDefault="002C1944" w:rsidP="007156BD">
            <w:pPr>
              <w:spacing w:after="0"/>
              <w:rPr>
                <w:rFonts w:eastAsia="SimSun" w:cs="Times New Roman"/>
                <w:sz w:val="20"/>
                <w:szCs w:val="20"/>
                <w:lang w:val="en-US" w:eastAsia="zh-CN"/>
              </w:rPr>
            </w:pPr>
            <w:r w:rsidRPr="00215905">
              <w:rPr>
                <w:rFonts w:eastAsia="SimSun" w:cs="Times New Roman"/>
                <w:sz w:val="20"/>
                <w:szCs w:val="20"/>
                <w:lang w:val="en-US" w:eastAsia="zh-CN"/>
              </w:rPr>
              <w:t>0.010(.718)</w:t>
            </w:r>
          </w:p>
        </w:tc>
        <w:tc>
          <w:tcPr>
            <w:tcW w:w="1856" w:type="dxa"/>
            <w:gridSpan w:val="2"/>
            <w:noWrap/>
            <w:vAlign w:val="center"/>
          </w:tcPr>
          <w:p w14:paraId="6B1B9E9D"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0.077(.001)</w:t>
            </w:r>
            <w:r w:rsidRPr="00215905">
              <w:rPr>
                <w:rFonts w:eastAsia="Times New Roman" w:cs="Times New Roman"/>
                <w:sz w:val="20"/>
                <w:szCs w:val="20"/>
                <w:vertAlign w:val="superscript"/>
                <w:lang w:val="en-US" w:eastAsia="zh-CN"/>
              </w:rPr>
              <w:t>***</w:t>
            </w:r>
          </w:p>
        </w:tc>
      </w:tr>
      <w:tr w:rsidR="002C1944" w:rsidRPr="00C73325" w14:paraId="77151CE5" w14:textId="77777777" w:rsidTr="007156BD">
        <w:trPr>
          <w:gridAfter w:val="3"/>
          <w:wAfter w:w="3689" w:type="dxa"/>
          <w:trHeight w:val="384"/>
        </w:trPr>
        <w:tc>
          <w:tcPr>
            <w:tcW w:w="2388" w:type="dxa"/>
            <w:noWrap/>
          </w:tcPr>
          <w:p w14:paraId="411ED5E4" w14:textId="77777777" w:rsidR="002C1944" w:rsidRPr="00C73325" w:rsidRDefault="002C1944" w:rsidP="007156BD">
            <w:pPr>
              <w:spacing w:after="0"/>
              <w:rPr>
                <w:rFonts w:eastAsia="Times New Roman" w:cs="Times New Roman"/>
                <w:i/>
                <w:sz w:val="20"/>
                <w:szCs w:val="20"/>
              </w:rPr>
            </w:pPr>
            <w:r w:rsidRPr="00215905">
              <w:rPr>
                <w:rFonts w:eastAsia="SimSun" w:cs="Times New Roman"/>
                <w:i/>
                <w:sz w:val="20"/>
                <w:szCs w:val="20"/>
                <w:lang w:val="en-US"/>
              </w:rPr>
              <w:t>Controls:</w:t>
            </w:r>
          </w:p>
        </w:tc>
        <w:tc>
          <w:tcPr>
            <w:tcW w:w="1689" w:type="dxa"/>
          </w:tcPr>
          <w:p w14:paraId="5700648B" w14:textId="77777777" w:rsidR="002C1944" w:rsidRPr="00215905" w:rsidRDefault="002C1944" w:rsidP="007156BD">
            <w:pPr>
              <w:spacing w:after="0"/>
              <w:rPr>
                <w:rFonts w:eastAsia="SimSun" w:cs="Times New Roman"/>
                <w:sz w:val="20"/>
                <w:szCs w:val="20"/>
                <w:lang w:val="en-US"/>
              </w:rPr>
            </w:pPr>
          </w:p>
        </w:tc>
        <w:tc>
          <w:tcPr>
            <w:tcW w:w="1696" w:type="dxa"/>
          </w:tcPr>
          <w:p w14:paraId="451E04BC" w14:textId="77777777" w:rsidR="002C1944" w:rsidRPr="00215905" w:rsidRDefault="002C1944" w:rsidP="007156BD">
            <w:pPr>
              <w:spacing w:after="0"/>
              <w:rPr>
                <w:rFonts w:eastAsia="SimSun" w:cs="Times New Roman"/>
                <w:sz w:val="20"/>
                <w:szCs w:val="20"/>
                <w:lang w:val="en-US"/>
              </w:rPr>
            </w:pPr>
          </w:p>
        </w:tc>
        <w:tc>
          <w:tcPr>
            <w:tcW w:w="3266" w:type="dxa"/>
          </w:tcPr>
          <w:p w14:paraId="2BA86AC7" w14:textId="77777777" w:rsidR="002C1944" w:rsidRPr="00215905" w:rsidRDefault="002C1944" w:rsidP="007156BD">
            <w:pPr>
              <w:spacing w:after="0"/>
              <w:jc w:val="center"/>
              <w:rPr>
                <w:rFonts w:eastAsia="SimSun" w:cs="Times New Roman"/>
                <w:sz w:val="20"/>
                <w:szCs w:val="20"/>
                <w:lang w:val="en-US"/>
              </w:rPr>
            </w:pPr>
          </w:p>
        </w:tc>
      </w:tr>
      <w:tr w:rsidR="002C1944" w:rsidRPr="00C73325" w14:paraId="204C1D57" w14:textId="77777777" w:rsidTr="007156BD">
        <w:trPr>
          <w:trHeight w:val="20"/>
        </w:trPr>
        <w:tc>
          <w:tcPr>
            <w:tcW w:w="2388" w:type="dxa"/>
            <w:noWrap/>
          </w:tcPr>
          <w:p w14:paraId="00027DC6" w14:textId="77777777" w:rsidR="002C1944" w:rsidRPr="00215905" w:rsidRDefault="002C1944" w:rsidP="007156BD">
            <w:pPr>
              <w:spacing w:after="0"/>
              <w:rPr>
                <w:rFonts w:eastAsia="SimSun" w:cs="Times New Roman"/>
                <w:iCs/>
                <w:sz w:val="20"/>
                <w:szCs w:val="20"/>
                <w:lang w:val="en-US"/>
              </w:rPr>
            </w:pPr>
            <w:r w:rsidRPr="00215905">
              <w:rPr>
                <w:rFonts w:eastAsia="SimSun" w:cs="Times New Roman"/>
                <w:iCs/>
                <w:sz w:val="20"/>
                <w:szCs w:val="20"/>
                <w:lang w:val="en-US"/>
              </w:rPr>
              <w:t xml:space="preserve">  FS</w:t>
            </w:r>
          </w:p>
        </w:tc>
        <w:tc>
          <w:tcPr>
            <w:tcW w:w="1689" w:type="dxa"/>
          </w:tcPr>
          <w:p w14:paraId="7A9FBCB7" w14:textId="77777777" w:rsidR="002C1944" w:rsidRPr="00215905" w:rsidRDefault="002C1944" w:rsidP="007156BD">
            <w:pPr>
              <w:spacing w:after="0"/>
              <w:rPr>
                <w:rFonts w:eastAsia="Times New Roman" w:cs="Times New Roman"/>
                <w:sz w:val="20"/>
                <w:szCs w:val="20"/>
                <w:lang w:val="en-US" w:eastAsia="zh-CN"/>
              </w:rPr>
            </w:pPr>
            <w:r w:rsidRPr="00215905">
              <w:rPr>
                <w:rFonts w:eastAsia="Times New Roman" w:cs="Times New Roman"/>
                <w:sz w:val="20"/>
                <w:szCs w:val="20"/>
                <w:lang w:val="en-US" w:eastAsia="zh-CN"/>
              </w:rPr>
              <w:t>0.001(.393)</w:t>
            </w:r>
          </w:p>
        </w:tc>
        <w:tc>
          <w:tcPr>
            <w:tcW w:w="1696" w:type="dxa"/>
          </w:tcPr>
          <w:p w14:paraId="5D17A3A1"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0.045(.000)</w:t>
            </w:r>
            <w:r w:rsidRPr="00215905">
              <w:rPr>
                <w:rFonts w:eastAsia="Times New Roman" w:cs="Times New Roman"/>
                <w:sz w:val="20"/>
                <w:szCs w:val="20"/>
                <w:vertAlign w:val="superscript"/>
                <w:lang w:val="en-US" w:eastAsia="zh-CN"/>
              </w:rPr>
              <w:t>***</w:t>
            </w:r>
          </w:p>
        </w:tc>
        <w:tc>
          <w:tcPr>
            <w:tcW w:w="3266" w:type="dxa"/>
          </w:tcPr>
          <w:p w14:paraId="6EED3585" w14:textId="77777777" w:rsidR="002C1944" w:rsidRPr="00215905" w:rsidRDefault="002C1944" w:rsidP="007156BD">
            <w:pPr>
              <w:spacing w:after="0"/>
              <w:jc w:val="center"/>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0.121(.090)</w:t>
            </w:r>
            <w:r w:rsidRPr="00215905">
              <w:rPr>
                <w:rFonts w:eastAsia="Times New Roman" w:cs="Times New Roman"/>
                <w:sz w:val="20"/>
                <w:szCs w:val="20"/>
                <w:vertAlign w:val="superscript"/>
                <w:lang w:val="en-US" w:eastAsia="zh-CN"/>
              </w:rPr>
              <w:t>*</w:t>
            </w:r>
          </w:p>
        </w:tc>
        <w:tc>
          <w:tcPr>
            <w:tcW w:w="1833" w:type="dxa"/>
            <w:noWrap/>
          </w:tcPr>
          <w:p w14:paraId="1D2B2DF3"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0.080(.000)</w:t>
            </w:r>
            <w:r w:rsidRPr="00215905">
              <w:rPr>
                <w:rFonts w:eastAsia="Times New Roman" w:cs="Times New Roman"/>
                <w:sz w:val="20"/>
                <w:szCs w:val="20"/>
                <w:vertAlign w:val="superscript"/>
                <w:lang w:val="en-US" w:eastAsia="zh-CN"/>
              </w:rPr>
              <w:t>***</w:t>
            </w:r>
          </w:p>
        </w:tc>
        <w:tc>
          <w:tcPr>
            <w:tcW w:w="1856" w:type="dxa"/>
            <w:gridSpan w:val="2"/>
            <w:noWrap/>
            <w:vAlign w:val="center"/>
          </w:tcPr>
          <w:p w14:paraId="1C8E75DB"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0.522(.088)</w:t>
            </w:r>
            <w:r w:rsidRPr="00215905">
              <w:rPr>
                <w:rFonts w:eastAsia="SimSun" w:cs="Times New Roman"/>
                <w:sz w:val="20"/>
                <w:szCs w:val="20"/>
                <w:vertAlign w:val="superscript"/>
                <w:lang w:val="en-US" w:eastAsia="zh-CN"/>
              </w:rPr>
              <w:t>*</w:t>
            </w:r>
          </w:p>
        </w:tc>
      </w:tr>
      <w:tr w:rsidR="002C1944" w:rsidRPr="00C73325" w14:paraId="1EE0D682" w14:textId="77777777" w:rsidTr="007156BD">
        <w:trPr>
          <w:trHeight w:val="201"/>
        </w:trPr>
        <w:tc>
          <w:tcPr>
            <w:tcW w:w="2388" w:type="dxa"/>
            <w:noWrap/>
          </w:tcPr>
          <w:p w14:paraId="230E50B9" w14:textId="77777777" w:rsidR="002C1944" w:rsidRPr="00215905" w:rsidRDefault="002C1944" w:rsidP="007156BD">
            <w:pPr>
              <w:spacing w:after="0"/>
              <w:rPr>
                <w:rFonts w:eastAsia="SimSun" w:cs="Times New Roman"/>
                <w:iCs/>
                <w:sz w:val="20"/>
                <w:szCs w:val="20"/>
                <w:lang w:val="en-US"/>
              </w:rPr>
            </w:pPr>
            <w:r w:rsidRPr="00215905">
              <w:rPr>
                <w:rFonts w:eastAsia="SimSun" w:cs="Times New Roman"/>
                <w:iCs/>
                <w:sz w:val="20"/>
                <w:szCs w:val="20"/>
                <w:lang w:val="en-US"/>
              </w:rPr>
              <w:t xml:space="preserve">  LEV</w:t>
            </w:r>
          </w:p>
        </w:tc>
        <w:tc>
          <w:tcPr>
            <w:tcW w:w="1689" w:type="dxa"/>
          </w:tcPr>
          <w:p w14:paraId="773B92EF"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0.001(.060)</w:t>
            </w:r>
            <w:r w:rsidRPr="00215905">
              <w:rPr>
                <w:rFonts w:eastAsia="Times New Roman" w:cs="Times New Roman"/>
                <w:sz w:val="20"/>
                <w:szCs w:val="20"/>
                <w:vertAlign w:val="superscript"/>
                <w:lang w:val="en-US" w:eastAsia="zh-CN"/>
              </w:rPr>
              <w:t>*</w:t>
            </w:r>
          </w:p>
        </w:tc>
        <w:tc>
          <w:tcPr>
            <w:tcW w:w="1696" w:type="dxa"/>
          </w:tcPr>
          <w:p w14:paraId="4380D0D6"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-0.261(.000)</w:t>
            </w:r>
            <w:r w:rsidRPr="00215905">
              <w:rPr>
                <w:rFonts w:eastAsia="Times New Roman" w:cs="Times New Roman"/>
                <w:sz w:val="20"/>
                <w:szCs w:val="20"/>
                <w:vertAlign w:val="superscript"/>
                <w:lang w:val="en-US" w:eastAsia="zh-CN"/>
              </w:rPr>
              <w:t>***</w:t>
            </w:r>
          </w:p>
        </w:tc>
        <w:tc>
          <w:tcPr>
            <w:tcW w:w="3266" w:type="dxa"/>
          </w:tcPr>
          <w:p w14:paraId="3FD87EE1" w14:textId="77777777" w:rsidR="002C1944" w:rsidRPr="00215905" w:rsidRDefault="002C1944" w:rsidP="007156BD">
            <w:pPr>
              <w:spacing w:after="0"/>
              <w:jc w:val="center"/>
              <w:rPr>
                <w:rFonts w:eastAsia="Times New Roman" w:cs="Times New Roman"/>
                <w:sz w:val="20"/>
                <w:szCs w:val="20"/>
                <w:lang w:val="en-US" w:eastAsia="zh-CN"/>
              </w:rPr>
            </w:pPr>
            <w:r w:rsidRPr="00215905">
              <w:rPr>
                <w:rFonts w:eastAsia="Times New Roman" w:cs="Times New Roman"/>
                <w:sz w:val="20"/>
                <w:szCs w:val="20"/>
                <w:lang w:val="en-US" w:eastAsia="zh-CN"/>
              </w:rPr>
              <w:t>0.016(.425)</w:t>
            </w:r>
          </w:p>
        </w:tc>
        <w:tc>
          <w:tcPr>
            <w:tcW w:w="1833" w:type="dxa"/>
            <w:noWrap/>
          </w:tcPr>
          <w:p w14:paraId="6F884F1C"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0.033(.017)</w:t>
            </w:r>
            <w:r w:rsidRPr="00215905">
              <w:rPr>
                <w:rFonts w:eastAsia="Times New Roman" w:cs="Times New Roman"/>
                <w:sz w:val="20"/>
                <w:szCs w:val="20"/>
                <w:vertAlign w:val="superscript"/>
                <w:lang w:val="en-US" w:eastAsia="zh-CN"/>
              </w:rPr>
              <w:t>**</w:t>
            </w:r>
          </w:p>
        </w:tc>
        <w:tc>
          <w:tcPr>
            <w:tcW w:w="1856" w:type="dxa"/>
            <w:gridSpan w:val="2"/>
            <w:noWrap/>
            <w:vAlign w:val="center"/>
          </w:tcPr>
          <w:p w14:paraId="5B4FC90D" w14:textId="77777777" w:rsidR="002C1944" w:rsidRPr="00215905" w:rsidRDefault="002C1944" w:rsidP="007156BD">
            <w:pPr>
              <w:spacing w:after="0"/>
              <w:rPr>
                <w:rFonts w:eastAsia="SimSun" w:cs="Times New Roman"/>
                <w:sz w:val="20"/>
                <w:szCs w:val="20"/>
                <w:lang w:val="en-US" w:eastAsia="zh-CN"/>
              </w:rPr>
            </w:pPr>
            <w:r w:rsidRPr="00215905">
              <w:rPr>
                <w:rFonts w:eastAsia="SimSun" w:cs="Times New Roman"/>
                <w:sz w:val="20"/>
                <w:szCs w:val="20"/>
                <w:lang w:val="en-US" w:eastAsia="zh-CN"/>
              </w:rPr>
              <w:t>0.018(.153)</w:t>
            </w:r>
          </w:p>
        </w:tc>
      </w:tr>
      <w:tr w:rsidR="002C1944" w:rsidRPr="00C73325" w14:paraId="75176324" w14:textId="77777777" w:rsidTr="007156BD">
        <w:trPr>
          <w:trHeight w:val="20"/>
        </w:trPr>
        <w:tc>
          <w:tcPr>
            <w:tcW w:w="2388" w:type="dxa"/>
            <w:noWrap/>
          </w:tcPr>
          <w:p w14:paraId="32920A73" w14:textId="77777777" w:rsidR="002C1944" w:rsidRPr="00215905" w:rsidRDefault="002C1944" w:rsidP="007156BD">
            <w:pPr>
              <w:spacing w:after="0"/>
              <w:rPr>
                <w:rFonts w:eastAsia="SimSun" w:cs="Times New Roman"/>
                <w:iCs/>
                <w:sz w:val="20"/>
                <w:szCs w:val="20"/>
                <w:lang w:val="en-US"/>
              </w:rPr>
            </w:pPr>
            <w:r w:rsidRPr="00215905">
              <w:rPr>
                <w:rFonts w:eastAsia="SimSun" w:cs="Times New Roman"/>
                <w:iCs/>
                <w:sz w:val="20"/>
                <w:szCs w:val="20"/>
                <w:lang w:val="en-US"/>
              </w:rPr>
              <w:t xml:space="preserve">  CFS</w:t>
            </w:r>
          </w:p>
        </w:tc>
        <w:tc>
          <w:tcPr>
            <w:tcW w:w="1689" w:type="dxa"/>
          </w:tcPr>
          <w:p w14:paraId="27A7B3B9"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0.025(.000)</w:t>
            </w:r>
            <w:r w:rsidRPr="00215905">
              <w:rPr>
                <w:rFonts w:eastAsia="Times New Roman" w:cs="Times New Roman"/>
                <w:sz w:val="20"/>
                <w:szCs w:val="20"/>
                <w:vertAlign w:val="superscript"/>
                <w:lang w:val="en-US" w:eastAsia="zh-CN"/>
              </w:rPr>
              <w:t>***</w:t>
            </w:r>
          </w:p>
        </w:tc>
        <w:tc>
          <w:tcPr>
            <w:tcW w:w="1696" w:type="dxa"/>
          </w:tcPr>
          <w:p w14:paraId="67A680CB"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18.624(.000)</w:t>
            </w:r>
            <w:r w:rsidRPr="00215905">
              <w:rPr>
                <w:rFonts w:eastAsia="Times New Roman" w:cs="Times New Roman"/>
                <w:sz w:val="20"/>
                <w:szCs w:val="20"/>
                <w:vertAlign w:val="superscript"/>
                <w:lang w:val="en-US" w:eastAsia="zh-CN"/>
              </w:rPr>
              <w:t>***</w:t>
            </w:r>
          </w:p>
        </w:tc>
        <w:tc>
          <w:tcPr>
            <w:tcW w:w="3266" w:type="dxa"/>
          </w:tcPr>
          <w:p w14:paraId="79A7DB9C" w14:textId="77777777" w:rsidR="002C1944" w:rsidRPr="00215905" w:rsidRDefault="002C1944" w:rsidP="007156BD">
            <w:pPr>
              <w:spacing w:after="0"/>
              <w:jc w:val="center"/>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4.175(.010)</w:t>
            </w:r>
            <w:r w:rsidRPr="00215905">
              <w:rPr>
                <w:rFonts w:eastAsia="Times New Roman" w:cs="Times New Roman"/>
                <w:sz w:val="20"/>
                <w:szCs w:val="20"/>
                <w:vertAlign w:val="superscript"/>
                <w:lang w:val="en-US" w:eastAsia="zh-CN"/>
              </w:rPr>
              <w:t>**</w:t>
            </w:r>
          </w:p>
        </w:tc>
        <w:tc>
          <w:tcPr>
            <w:tcW w:w="1833" w:type="dxa"/>
            <w:noWrap/>
          </w:tcPr>
          <w:p w14:paraId="37A0F725"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-0.100(.432)</w:t>
            </w:r>
          </w:p>
        </w:tc>
        <w:tc>
          <w:tcPr>
            <w:tcW w:w="1856" w:type="dxa"/>
            <w:gridSpan w:val="2"/>
            <w:noWrap/>
            <w:vAlign w:val="center"/>
          </w:tcPr>
          <w:p w14:paraId="35360981"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0.371(.001)</w:t>
            </w:r>
            <w:r w:rsidRPr="00215905">
              <w:rPr>
                <w:rFonts w:eastAsia="SimSun" w:cs="Times New Roman"/>
                <w:sz w:val="20"/>
                <w:szCs w:val="20"/>
                <w:vertAlign w:val="superscript"/>
                <w:lang w:val="en-US" w:eastAsia="zh-CN"/>
              </w:rPr>
              <w:t>***</w:t>
            </w:r>
          </w:p>
        </w:tc>
      </w:tr>
      <w:tr w:rsidR="002C1944" w:rsidRPr="00C73325" w14:paraId="5B6F3212" w14:textId="77777777" w:rsidTr="007156BD">
        <w:trPr>
          <w:trHeight w:val="20"/>
        </w:trPr>
        <w:tc>
          <w:tcPr>
            <w:tcW w:w="2388" w:type="dxa"/>
            <w:noWrap/>
          </w:tcPr>
          <w:p w14:paraId="1D434EA5" w14:textId="77777777" w:rsidR="002C1944" w:rsidRPr="00215905" w:rsidRDefault="002C1944" w:rsidP="007156BD">
            <w:pPr>
              <w:spacing w:after="0"/>
              <w:rPr>
                <w:rFonts w:eastAsia="SimSun" w:cs="Times New Roman"/>
                <w:iCs/>
                <w:sz w:val="20"/>
                <w:szCs w:val="20"/>
                <w:lang w:val="en-US"/>
              </w:rPr>
            </w:pPr>
            <w:r w:rsidRPr="00215905">
              <w:rPr>
                <w:rFonts w:eastAsia="SimSun" w:cs="Times New Roman"/>
                <w:iCs/>
                <w:sz w:val="20"/>
                <w:szCs w:val="20"/>
                <w:lang w:val="en-US"/>
              </w:rPr>
              <w:t xml:space="preserve">  ROA</w:t>
            </w:r>
          </w:p>
        </w:tc>
        <w:tc>
          <w:tcPr>
            <w:tcW w:w="1689" w:type="dxa"/>
          </w:tcPr>
          <w:p w14:paraId="3A2CDF71" w14:textId="77777777" w:rsidR="002C1944" w:rsidRPr="00215905" w:rsidRDefault="002C1944" w:rsidP="007156BD">
            <w:pPr>
              <w:spacing w:after="0"/>
              <w:rPr>
                <w:rFonts w:eastAsia="Times New Roman" w:cs="Times New Roman"/>
                <w:sz w:val="20"/>
                <w:szCs w:val="20"/>
                <w:lang w:val="en-US" w:eastAsia="zh-CN"/>
              </w:rPr>
            </w:pPr>
            <w:r w:rsidRPr="00215905">
              <w:rPr>
                <w:rFonts w:eastAsia="Times New Roman" w:cs="Times New Roman"/>
                <w:sz w:val="20"/>
                <w:szCs w:val="20"/>
                <w:lang w:val="en-US" w:eastAsia="zh-CN"/>
              </w:rPr>
              <w:t>0.000(.167)</w:t>
            </w:r>
          </w:p>
        </w:tc>
        <w:tc>
          <w:tcPr>
            <w:tcW w:w="1696" w:type="dxa"/>
          </w:tcPr>
          <w:p w14:paraId="6684C12C"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-0.006(.017)</w:t>
            </w:r>
            <w:r w:rsidRPr="00215905">
              <w:rPr>
                <w:rFonts w:eastAsia="Times New Roman" w:cs="Times New Roman"/>
                <w:sz w:val="20"/>
                <w:szCs w:val="20"/>
                <w:vertAlign w:val="superscript"/>
                <w:lang w:val="en-US" w:eastAsia="zh-CN"/>
              </w:rPr>
              <w:t>**</w:t>
            </w:r>
          </w:p>
        </w:tc>
        <w:tc>
          <w:tcPr>
            <w:tcW w:w="3266" w:type="dxa"/>
          </w:tcPr>
          <w:p w14:paraId="0DF3ADFF" w14:textId="77777777" w:rsidR="002C1944" w:rsidRPr="00215905" w:rsidRDefault="002C1944" w:rsidP="007156BD">
            <w:pPr>
              <w:spacing w:after="0"/>
              <w:jc w:val="center"/>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0.014(.000)</w:t>
            </w:r>
            <w:r w:rsidRPr="00215905">
              <w:rPr>
                <w:rFonts w:eastAsia="Times New Roman" w:cs="Times New Roman"/>
                <w:sz w:val="20"/>
                <w:szCs w:val="20"/>
                <w:vertAlign w:val="superscript"/>
                <w:lang w:val="en-US" w:eastAsia="zh-CN"/>
              </w:rPr>
              <w:t>***</w:t>
            </w:r>
          </w:p>
        </w:tc>
        <w:tc>
          <w:tcPr>
            <w:tcW w:w="1833" w:type="dxa"/>
            <w:noWrap/>
          </w:tcPr>
          <w:p w14:paraId="5866D086" w14:textId="77777777" w:rsidR="002C1944" w:rsidRPr="00215905" w:rsidRDefault="002C1944" w:rsidP="007156BD">
            <w:pPr>
              <w:spacing w:after="0"/>
              <w:rPr>
                <w:rFonts w:eastAsia="Times New Roman" w:cs="Times New Roman"/>
                <w:sz w:val="20"/>
                <w:szCs w:val="20"/>
                <w:lang w:val="en-US" w:eastAsia="zh-CN"/>
              </w:rPr>
            </w:pPr>
            <w:r w:rsidRPr="00215905">
              <w:rPr>
                <w:rFonts w:eastAsia="Times New Roman" w:cs="Times New Roman"/>
                <w:sz w:val="20"/>
                <w:szCs w:val="20"/>
                <w:lang w:val="en-US" w:eastAsia="zh-CN"/>
              </w:rPr>
              <w:t>-0.001(.677)</w:t>
            </w:r>
          </w:p>
        </w:tc>
        <w:tc>
          <w:tcPr>
            <w:tcW w:w="1856" w:type="dxa"/>
            <w:gridSpan w:val="2"/>
            <w:noWrap/>
            <w:vAlign w:val="center"/>
          </w:tcPr>
          <w:p w14:paraId="7B5A8A0E" w14:textId="77777777" w:rsidR="002C1944" w:rsidRPr="00215905" w:rsidRDefault="002C1944" w:rsidP="007156BD">
            <w:pPr>
              <w:spacing w:after="0"/>
              <w:rPr>
                <w:rFonts w:eastAsia="SimSun" w:cs="Times New Roman"/>
                <w:sz w:val="20"/>
                <w:szCs w:val="20"/>
                <w:lang w:val="en-US" w:eastAsia="zh-CN"/>
              </w:rPr>
            </w:pPr>
            <w:r w:rsidRPr="00215905">
              <w:rPr>
                <w:rFonts w:eastAsia="SimSun" w:cs="Times New Roman"/>
                <w:sz w:val="20"/>
                <w:szCs w:val="20"/>
                <w:lang w:val="en-US" w:eastAsia="zh-CN"/>
              </w:rPr>
              <w:t>0.002(.117)</w:t>
            </w:r>
          </w:p>
        </w:tc>
      </w:tr>
      <w:tr w:rsidR="002C1944" w:rsidRPr="00C73325" w14:paraId="1F201B24" w14:textId="77777777" w:rsidTr="007156BD">
        <w:trPr>
          <w:trHeight w:val="20"/>
        </w:trPr>
        <w:tc>
          <w:tcPr>
            <w:tcW w:w="2388" w:type="dxa"/>
            <w:noWrap/>
          </w:tcPr>
          <w:p w14:paraId="53E0C776" w14:textId="77777777" w:rsidR="002C1944" w:rsidRPr="00215905" w:rsidRDefault="002C1944" w:rsidP="007156BD">
            <w:pPr>
              <w:spacing w:after="0"/>
              <w:rPr>
                <w:rFonts w:eastAsia="SimSun" w:cs="Times New Roman"/>
                <w:iCs/>
                <w:sz w:val="20"/>
                <w:szCs w:val="20"/>
                <w:lang w:val="en-US"/>
              </w:rPr>
            </w:pPr>
            <w:r w:rsidRPr="00215905">
              <w:rPr>
                <w:rFonts w:eastAsia="SimSun" w:cs="Times New Roman"/>
                <w:iCs/>
                <w:sz w:val="20"/>
                <w:szCs w:val="20"/>
                <w:lang w:val="en-US"/>
              </w:rPr>
              <w:t>Constant</w:t>
            </w:r>
          </w:p>
        </w:tc>
        <w:tc>
          <w:tcPr>
            <w:tcW w:w="1689" w:type="dxa"/>
          </w:tcPr>
          <w:p w14:paraId="7150DB6C" w14:textId="77777777" w:rsidR="002C1944" w:rsidRPr="00215905" w:rsidRDefault="002C1944" w:rsidP="007156BD">
            <w:pPr>
              <w:spacing w:after="0"/>
              <w:rPr>
                <w:rFonts w:eastAsia="Times New Roman" w:cs="Times New Roman"/>
                <w:sz w:val="20"/>
                <w:szCs w:val="20"/>
                <w:lang w:val="en-US" w:eastAsia="zh-CN"/>
              </w:rPr>
            </w:pPr>
            <w:r w:rsidRPr="00215905">
              <w:rPr>
                <w:rFonts w:eastAsia="Times New Roman" w:cs="Times New Roman"/>
                <w:sz w:val="20"/>
                <w:szCs w:val="20"/>
                <w:lang w:val="en-US" w:eastAsia="zh-CN"/>
              </w:rPr>
              <w:t>0.021</w:t>
            </w:r>
          </w:p>
        </w:tc>
        <w:tc>
          <w:tcPr>
            <w:tcW w:w="1696" w:type="dxa"/>
          </w:tcPr>
          <w:p w14:paraId="45FEAB1B" w14:textId="77777777" w:rsidR="002C1944" w:rsidRPr="00215905" w:rsidRDefault="002C1944" w:rsidP="007156BD">
            <w:pPr>
              <w:spacing w:after="0"/>
              <w:rPr>
                <w:rFonts w:eastAsia="Times New Roman" w:cs="Times New Roman"/>
                <w:sz w:val="20"/>
                <w:szCs w:val="20"/>
                <w:lang w:val="en-US" w:eastAsia="zh-CN"/>
              </w:rPr>
            </w:pPr>
            <w:r w:rsidRPr="00215905">
              <w:rPr>
                <w:rFonts w:eastAsia="Times New Roman" w:cs="Times New Roman"/>
                <w:sz w:val="20"/>
                <w:szCs w:val="20"/>
                <w:lang w:val="en-US" w:eastAsia="zh-CN"/>
              </w:rPr>
              <w:t>0.305</w:t>
            </w:r>
          </w:p>
        </w:tc>
        <w:tc>
          <w:tcPr>
            <w:tcW w:w="3266" w:type="dxa"/>
          </w:tcPr>
          <w:p w14:paraId="55F701CD" w14:textId="77777777" w:rsidR="002C1944" w:rsidRPr="00215905" w:rsidRDefault="002C1944" w:rsidP="007156BD">
            <w:pPr>
              <w:spacing w:after="0"/>
              <w:jc w:val="center"/>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11.376</w:t>
            </w:r>
            <w:r w:rsidRPr="00215905">
              <w:rPr>
                <w:rFonts w:eastAsia="Times New Roman" w:cs="Times New Roman"/>
                <w:sz w:val="20"/>
                <w:szCs w:val="20"/>
                <w:vertAlign w:val="superscript"/>
                <w:lang w:val="en-US" w:eastAsia="zh-CN"/>
              </w:rPr>
              <w:t>***</w:t>
            </w:r>
          </w:p>
        </w:tc>
        <w:tc>
          <w:tcPr>
            <w:tcW w:w="1833" w:type="dxa"/>
            <w:noWrap/>
          </w:tcPr>
          <w:p w14:paraId="000CEAE5" w14:textId="77777777" w:rsidR="002C1944" w:rsidRPr="00215905" w:rsidRDefault="002C1944" w:rsidP="007156BD">
            <w:pPr>
              <w:spacing w:after="0"/>
              <w:rPr>
                <w:rFonts w:eastAsia="Times New Roman" w:cs="Times New Roman"/>
                <w:sz w:val="20"/>
                <w:szCs w:val="20"/>
                <w:vertAlign w:val="superscript"/>
                <w:lang w:val="en-US" w:eastAsia="zh-CN"/>
              </w:rPr>
            </w:pPr>
            <w:r w:rsidRPr="00215905">
              <w:rPr>
                <w:rFonts w:eastAsia="Times New Roman" w:cs="Times New Roman"/>
                <w:sz w:val="20"/>
                <w:szCs w:val="20"/>
                <w:lang w:val="en-US" w:eastAsia="zh-CN"/>
              </w:rPr>
              <w:t>-1.069</w:t>
            </w:r>
            <w:r w:rsidRPr="00215905">
              <w:rPr>
                <w:rFonts w:eastAsia="Times New Roman" w:cs="Times New Roman"/>
                <w:sz w:val="20"/>
                <w:szCs w:val="20"/>
                <w:vertAlign w:val="superscript"/>
                <w:lang w:val="en-US" w:eastAsia="zh-CN"/>
              </w:rPr>
              <w:t>***</w:t>
            </w:r>
          </w:p>
        </w:tc>
        <w:tc>
          <w:tcPr>
            <w:tcW w:w="1856" w:type="dxa"/>
            <w:gridSpan w:val="2"/>
            <w:noWrap/>
            <w:vAlign w:val="center"/>
          </w:tcPr>
          <w:p w14:paraId="0A9C095E" w14:textId="77777777" w:rsidR="002C1944" w:rsidRPr="00215905" w:rsidRDefault="002C1944" w:rsidP="007156BD">
            <w:pPr>
              <w:spacing w:after="0"/>
              <w:rPr>
                <w:rFonts w:eastAsia="SimSun" w:cs="Times New Roman"/>
                <w:sz w:val="20"/>
                <w:szCs w:val="20"/>
                <w:vertAlign w:val="superscript"/>
                <w:lang w:val="en-US" w:eastAsia="zh-CN"/>
              </w:rPr>
            </w:pPr>
            <w:r w:rsidRPr="00215905">
              <w:rPr>
                <w:rFonts w:eastAsia="SimSun" w:cs="Times New Roman"/>
                <w:sz w:val="20"/>
                <w:szCs w:val="20"/>
                <w:lang w:val="en-US" w:eastAsia="zh-CN"/>
              </w:rPr>
              <w:t>-4.392</w:t>
            </w:r>
          </w:p>
        </w:tc>
      </w:tr>
      <w:tr w:rsidR="002C1944" w:rsidRPr="00C73325" w14:paraId="00BACA1E" w14:textId="77777777" w:rsidTr="007156BD">
        <w:trPr>
          <w:trHeight w:val="20"/>
        </w:trPr>
        <w:tc>
          <w:tcPr>
            <w:tcW w:w="2388" w:type="dxa"/>
            <w:noWrap/>
          </w:tcPr>
          <w:p w14:paraId="2DBDF9DB" w14:textId="77777777" w:rsidR="002C1944" w:rsidRPr="00215905" w:rsidRDefault="002C1944" w:rsidP="007156BD">
            <w:pPr>
              <w:spacing w:after="0"/>
              <w:rPr>
                <w:rFonts w:eastAsia="SimSun" w:cs="Times New Roman"/>
                <w:iCs/>
                <w:sz w:val="20"/>
                <w:szCs w:val="20"/>
                <w:lang w:val="en-US"/>
              </w:rPr>
            </w:pPr>
            <w:r w:rsidRPr="00215905">
              <w:rPr>
                <w:rFonts w:eastAsia="SimSun" w:cs="Times New Roman"/>
                <w:iCs/>
                <w:sz w:val="20"/>
                <w:szCs w:val="20"/>
                <w:lang w:val="en-US"/>
              </w:rPr>
              <w:t>Durbin-W. Stat.</w:t>
            </w:r>
          </w:p>
        </w:tc>
        <w:tc>
          <w:tcPr>
            <w:tcW w:w="1689" w:type="dxa"/>
          </w:tcPr>
          <w:p w14:paraId="6C271CA6" w14:textId="77777777" w:rsidR="002C1944" w:rsidRPr="00215905" w:rsidRDefault="002C1944" w:rsidP="007156BD">
            <w:pPr>
              <w:spacing w:after="0"/>
              <w:rPr>
                <w:rFonts w:eastAsia="Times New Roman" w:cs="Times New Roman"/>
                <w:sz w:val="20"/>
                <w:szCs w:val="20"/>
                <w:lang w:val="en-US" w:eastAsia="zh-CN"/>
              </w:rPr>
            </w:pPr>
            <w:r w:rsidRPr="00215905">
              <w:rPr>
                <w:rFonts w:eastAsia="Times New Roman" w:cs="Times New Roman"/>
                <w:sz w:val="20"/>
                <w:szCs w:val="20"/>
                <w:lang w:val="en-US" w:eastAsia="zh-CN"/>
              </w:rPr>
              <w:t>2.071</w:t>
            </w:r>
          </w:p>
        </w:tc>
        <w:tc>
          <w:tcPr>
            <w:tcW w:w="1696" w:type="dxa"/>
          </w:tcPr>
          <w:p w14:paraId="33830132" w14:textId="77777777" w:rsidR="002C1944" w:rsidRPr="00215905" w:rsidRDefault="002C1944" w:rsidP="007156BD">
            <w:pPr>
              <w:spacing w:after="0"/>
              <w:rPr>
                <w:rFonts w:eastAsia="Times New Roman" w:cs="Times New Roman"/>
                <w:sz w:val="20"/>
                <w:szCs w:val="20"/>
                <w:lang w:val="en-US" w:eastAsia="zh-CN"/>
              </w:rPr>
            </w:pPr>
            <w:r w:rsidRPr="00215905">
              <w:rPr>
                <w:rFonts w:eastAsia="Times New Roman" w:cs="Times New Roman"/>
                <w:sz w:val="20"/>
                <w:szCs w:val="20"/>
                <w:lang w:val="en-US" w:eastAsia="zh-CN"/>
              </w:rPr>
              <w:t>2.050</w:t>
            </w:r>
          </w:p>
        </w:tc>
        <w:tc>
          <w:tcPr>
            <w:tcW w:w="3266" w:type="dxa"/>
          </w:tcPr>
          <w:p w14:paraId="43D19C6D" w14:textId="77777777" w:rsidR="002C1944" w:rsidRPr="00215905" w:rsidRDefault="002C1944" w:rsidP="007156BD">
            <w:pPr>
              <w:spacing w:after="0"/>
              <w:jc w:val="center"/>
              <w:rPr>
                <w:rFonts w:eastAsia="Times New Roman" w:cs="Times New Roman"/>
                <w:sz w:val="20"/>
                <w:szCs w:val="20"/>
                <w:lang w:val="en-US" w:eastAsia="zh-CN"/>
              </w:rPr>
            </w:pPr>
            <w:r w:rsidRPr="00215905">
              <w:rPr>
                <w:rFonts w:eastAsia="Times New Roman" w:cs="Times New Roman"/>
                <w:sz w:val="20"/>
                <w:szCs w:val="20"/>
                <w:lang w:val="en-US" w:eastAsia="zh-CN"/>
              </w:rPr>
              <w:t>2.050</w:t>
            </w:r>
          </w:p>
        </w:tc>
        <w:tc>
          <w:tcPr>
            <w:tcW w:w="1833" w:type="dxa"/>
            <w:noWrap/>
          </w:tcPr>
          <w:p w14:paraId="5B6AE374" w14:textId="77777777" w:rsidR="002C1944" w:rsidRPr="00215905" w:rsidRDefault="002C1944" w:rsidP="007156BD">
            <w:pPr>
              <w:spacing w:after="0"/>
              <w:rPr>
                <w:rFonts w:eastAsia="Times New Roman" w:cs="Times New Roman"/>
                <w:sz w:val="20"/>
                <w:szCs w:val="20"/>
                <w:lang w:val="en-US" w:eastAsia="zh-CN"/>
              </w:rPr>
            </w:pPr>
            <w:r w:rsidRPr="00215905">
              <w:rPr>
                <w:rFonts w:eastAsia="Times New Roman" w:cs="Times New Roman"/>
                <w:sz w:val="20"/>
                <w:szCs w:val="20"/>
                <w:lang w:val="en-US" w:eastAsia="zh-CN"/>
              </w:rPr>
              <w:t>1.947</w:t>
            </w:r>
          </w:p>
        </w:tc>
        <w:tc>
          <w:tcPr>
            <w:tcW w:w="1856" w:type="dxa"/>
            <w:gridSpan w:val="2"/>
            <w:noWrap/>
            <w:vAlign w:val="center"/>
          </w:tcPr>
          <w:p w14:paraId="2EA4BB86" w14:textId="77777777" w:rsidR="002C1944" w:rsidRPr="00215905" w:rsidRDefault="002C1944" w:rsidP="007156BD">
            <w:pPr>
              <w:spacing w:after="0"/>
              <w:rPr>
                <w:rFonts w:eastAsia="Times New Roman" w:cs="Times New Roman"/>
                <w:sz w:val="20"/>
                <w:szCs w:val="20"/>
                <w:lang w:val="en-US" w:eastAsia="zh-CN"/>
              </w:rPr>
            </w:pPr>
            <w:r w:rsidRPr="00215905">
              <w:rPr>
                <w:rFonts w:eastAsia="Times New Roman" w:cs="Times New Roman"/>
                <w:sz w:val="20"/>
                <w:szCs w:val="20"/>
                <w:lang w:val="en-US" w:eastAsia="zh-CN"/>
              </w:rPr>
              <w:t>2.078</w:t>
            </w:r>
          </w:p>
        </w:tc>
      </w:tr>
      <w:tr w:rsidR="002C1944" w:rsidRPr="00C73325" w14:paraId="74925F80" w14:textId="77777777" w:rsidTr="007156BD">
        <w:trPr>
          <w:trHeight w:val="20"/>
        </w:trPr>
        <w:tc>
          <w:tcPr>
            <w:tcW w:w="2388" w:type="dxa"/>
            <w:noWrap/>
          </w:tcPr>
          <w:p w14:paraId="18E88A7D" w14:textId="77777777" w:rsidR="002C1944" w:rsidRPr="00215905" w:rsidRDefault="002C1944" w:rsidP="007156BD">
            <w:pPr>
              <w:spacing w:after="0"/>
              <w:rPr>
                <w:rFonts w:eastAsia="SimSun" w:cs="Times New Roman"/>
                <w:iCs/>
                <w:sz w:val="20"/>
                <w:szCs w:val="20"/>
                <w:lang w:val="en-US"/>
              </w:rPr>
            </w:pPr>
            <w:r w:rsidRPr="00215905">
              <w:rPr>
                <w:rFonts w:eastAsia="SimSun" w:cs="Times New Roman"/>
                <w:iCs/>
                <w:sz w:val="20"/>
                <w:szCs w:val="20"/>
                <w:lang w:val="en-US"/>
              </w:rPr>
              <w:t>F- value</w:t>
            </w:r>
          </w:p>
        </w:tc>
        <w:tc>
          <w:tcPr>
            <w:tcW w:w="1689" w:type="dxa"/>
          </w:tcPr>
          <w:p w14:paraId="2C15899F" w14:textId="77777777" w:rsidR="002C1944" w:rsidRPr="00215905" w:rsidRDefault="002C1944" w:rsidP="007156BD">
            <w:pPr>
              <w:spacing w:after="0"/>
              <w:rPr>
                <w:rFonts w:eastAsia="SimSun" w:cs="Times New Roman"/>
                <w:sz w:val="20"/>
                <w:szCs w:val="20"/>
                <w:vertAlign w:val="superscript"/>
                <w:lang w:val="en-US"/>
              </w:rPr>
            </w:pPr>
            <w:r w:rsidRPr="00215905">
              <w:rPr>
                <w:rFonts w:eastAsia="SimSun" w:cs="Times New Roman"/>
                <w:sz w:val="20"/>
                <w:szCs w:val="20"/>
                <w:lang w:val="en-US"/>
              </w:rPr>
              <w:t>12.964</w:t>
            </w:r>
            <w:r w:rsidRPr="00215905">
              <w:rPr>
                <w:rFonts w:eastAsia="SimSun" w:cs="Times New Roman"/>
                <w:sz w:val="20"/>
                <w:szCs w:val="20"/>
                <w:vertAlign w:val="superscript"/>
                <w:lang w:val="en-US"/>
              </w:rPr>
              <w:t>***</w:t>
            </w:r>
          </w:p>
        </w:tc>
        <w:tc>
          <w:tcPr>
            <w:tcW w:w="1696" w:type="dxa"/>
          </w:tcPr>
          <w:p w14:paraId="514D5E2F" w14:textId="77777777" w:rsidR="002C1944" w:rsidRPr="00215905" w:rsidRDefault="002C1944" w:rsidP="007156BD">
            <w:pPr>
              <w:spacing w:after="0"/>
              <w:rPr>
                <w:rFonts w:eastAsia="SimSun" w:cs="Times New Roman"/>
                <w:sz w:val="20"/>
                <w:szCs w:val="20"/>
                <w:vertAlign w:val="superscript"/>
                <w:lang w:val="en-US"/>
              </w:rPr>
            </w:pPr>
            <w:r w:rsidRPr="00215905">
              <w:rPr>
                <w:rFonts w:eastAsia="SimSun" w:cs="Times New Roman"/>
                <w:sz w:val="20"/>
                <w:szCs w:val="20"/>
                <w:lang w:val="en-US"/>
              </w:rPr>
              <w:t>15.657</w:t>
            </w:r>
            <w:r w:rsidRPr="00215905">
              <w:rPr>
                <w:rFonts w:eastAsia="SimSun" w:cs="Times New Roman"/>
                <w:sz w:val="20"/>
                <w:szCs w:val="20"/>
                <w:vertAlign w:val="superscript"/>
                <w:lang w:val="en-US"/>
              </w:rPr>
              <w:t>***</w:t>
            </w:r>
          </w:p>
        </w:tc>
        <w:tc>
          <w:tcPr>
            <w:tcW w:w="3266" w:type="dxa"/>
          </w:tcPr>
          <w:p w14:paraId="202302DC" w14:textId="77777777" w:rsidR="002C1944" w:rsidRPr="00215905" w:rsidRDefault="002C1944" w:rsidP="007156BD">
            <w:pPr>
              <w:spacing w:after="0"/>
              <w:jc w:val="center"/>
              <w:rPr>
                <w:rFonts w:eastAsia="SimSun" w:cs="Times New Roman"/>
                <w:sz w:val="20"/>
                <w:szCs w:val="20"/>
                <w:vertAlign w:val="superscript"/>
                <w:lang w:val="en-US"/>
              </w:rPr>
            </w:pPr>
            <w:r w:rsidRPr="00215905">
              <w:rPr>
                <w:rFonts w:eastAsia="SimSun" w:cs="Times New Roman"/>
                <w:sz w:val="20"/>
                <w:szCs w:val="20"/>
                <w:lang w:val="en-US"/>
              </w:rPr>
              <w:t>15.657</w:t>
            </w:r>
            <w:r w:rsidRPr="00215905">
              <w:rPr>
                <w:rFonts w:eastAsia="SimSun" w:cs="Times New Roman"/>
                <w:sz w:val="20"/>
                <w:szCs w:val="20"/>
                <w:vertAlign w:val="superscript"/>
                <w:lang w:val="en-US"/>
              </w:rPr>
              <w:t>***</w:t>
            </w:r>
          </w:p>
        </w:tc>
        <w:tc>
          <w:tcPr>
            <w:tcW w:w="1833" w:type="dxa"/>
            <w:vAlign w:val="center"/>
          </w:tcPr>
          <w:p w14:paraId="7A31828B" w14:textId="77777777" w:rsidR="002C1944" w:rsidRPr="00215905" w:rsidRDefault="002C1944" w:rsidP="007156BD">
            <w:pPr>
              <w:spacing w:after="0"/>
              <w:rPr>
                <w:rFonts w:eastAsia="SimSun" w:cs="Times New Roman"/>
                <w:sz w:val="20"/>
                <w:szCs w:val="20"/>
                <w:vertAlign w:val="superscript"/>
                <w:lang w:val="en-US"/>
              </w:rPr>
            </w:pPr>
            <w:r w:rsidRPr="00215905">
              <w:rPr>
                <w:rFonts w:eastAsia="SimSun" w:cs="Times New Roman"/>
                <w:sz w:val="20"/>
                <w:szCs w:val="20"/>
                <w:lang w:val="en-US"/>
              </w:rPr>
              <w:t>5.023</w:t>
            </w:r>
            <w:r w:rsidRPr="00215905">
              <w:rPr>
                <w:rFonts w:eastAsia="SimSun" w:cs="Times New Roman"/>
                <w:sz w:val="20"/>
                <w:szCs w:val="20"/>
                <w:vertAlign w:val="superscript"/>
                <w:lang w:val="en-US"/>
              </w:rPr>
              <w:t>***</w:t>
            </w:r>
          </w:p>
        </w:tc>
        <w:tc>
          <w:tcPr>
            <w:tcW w:w="1856" w:type="dxa"/>
            <w:gridSpan w:val="2"/>
            <w:noWrap/>
          </w:tcPr>
          <w:p w14:paraId="5869F96B" w14:textId="77777777" w:rsidR="002C1944" w:rsidRPr="00215905" w:rsidRDefault="002C1944" w:rsidP="007156BD">
            <w:pPr>
              <w:spacing w:after="0"/>
              <w:rPr>
                <w:rFonts w:eastAsia="SimSun" w:cs="Times New Roman"/>
                <w:sz w:val="20"/>
                <w:szCs w:val="20"/>
                <w:vertAlign w:val="superscript"/>
                <w:lang w:val="en-US"/>
              </w:rPr>
            </w:pPr>
            <w:r w:rsidRPr="00215905">
              <w:rPr>
                <w:rFonts w:eastAsia="Times New Roman" w:cs="Times New Roman"/>
                <w:sz w:val="20"/>
                <w:szCs w:val="20"/>
                <w:lang w:val="en-US"/>
              </w:rPr>
              <w:t>3.928</w:t>
            </w:r>
            <w:r w:rsidRPr="00215905">
              <w:rPr>
                <w:rFonts w:eastAsia="Times New Roman" w:cs="Times New Roman"/>
                <w:sz w:val="20"/>
                <w:szCs w:val="20"/>
                <w:vertAlign w:val="superscript"/>
                <w:lang w:val="en-US"/>
              </w:rPr>
              <w:t>***</w:t>
            </w:r>
          </w:p>
        </w:tc>
      </w:tr>
      <w:tr w:rsidR="002C1944" w:rsidRPr="00C73325" w14:paraId="232D4F27" w14:textId="77777777" w:rsidTr="007156BD">
        <w:trPr>
          <w:trHeight w:val="20"/>
        </w:trPr>
        <w:tc>
          <w:tcPr>
            <w:tcW w:w="2388" w:type="dxa"/>
            <w:noWrap/>
          </w:tcPr>
          <w:p w14:paraId="2E66A557" w14:textId="77777777" w:rsidR="002C1944" w:rsidRPr="00215905" w:rsidRDefault="002C1944" w:rsidP="007156BD">
            <w:pPr>
              <w:spacing w:after="0"/>
              <w:rPr>
                <w:rFonts w:eastAsia="SimSun" w:cs="Times New Roman"/>
                <w:iCs/>
                <w:sz w:val="20"/>
                <w:szCs w:val="20"/>
                <w:lang w:val="en-US"/>
              </w:rPr>
            </w:pPr>
            <w:r w:rsidRPr="00215905">
              <w:rPr>
                <w:rFonts w:eastAsia="SimSun" w:cs="Times New Roman"/>
                <w:iCs/>
                <w:sz w:val="20"/>
                <w:szCs w:val="20"/>
                <w:lang w:val="en-US"/>
              </w:rPr>
              <w:t>Adj. R2</w:t>
            </w:r>
          </w:p>
        </w:tc>
        <w:tc>
          <w:tcPr>
            <w:tcW w:w="1689" w:type="dxa"/>
          </w:tcPr>
          <w:p w14:paraId="32E1CD8D" w14:textId="77777777" w:rsidR="002C1944" w:rsidRPr="00215905" w:rsidRDefault="002C1944" w:rsidP="007156BD">
            <w:pPr>
              <w:spacing w:after="0"/>
              <w:rPr>
                <w:rFonts w:eastAsia="SimSun" w:cs="Times New Roman"/>
                <w:sz w:val="20"/>
                <w:szCs w:val="20"/>
                <w:lang w:val="en-US"/>
              </w:rPr>
            </w:pPr>
            <w:r w:rsidRPr="00215905">
              <w:rPr>
                <w:rFonts w:eastAsia="SimSun" w:cs="Times New Roman"/>
                <w:sz w:val="20"/>
                <w:szCs w:val="20"/>
                <w:lang w:val="en-US"/>
              </w:rPr>
              <w:t>0.375</w:t>
            </w:r>
          </w:p>
        </w:tc>
        <w:tc>
          <w:tcPr>
            <w:tcW w:w="1696" w:type="dxa"/>
          </w:tcPr>
          <w:p w14:paraId="1B9776FD" w14:textId="77777777" w:rsidR="002C1944" w:rsidRPr="00215905" w:rsidRDefault="002C1944" w:rsidP="007156BD">
            <w:pPr>
              <w:spacing w:after="0"/>
              <w:rPr>
                <w:rFonts w:eastAsia="SimSun" w:cs="Times New Roman"/>
                <w:sz w:val="20"/>
                <w:szCs w:val="20"/>
                <w:lang w:val="en-US"/>
              </w:rPr>
            </w:pPr>
            <w:r w:rsidRPr="00215905">
              <w:rPr>
                <w:rFonts w:eastAsia="SimSun" w:cs="Times New Roman"/>
                <w:sz w:val="20"/>
                <w:szCs w:val="20"/>
                <w:lang w:val="en-US"/>
              </w:rPr>
              <w:t>0.424</w:t>
            </w:r>
          </w:p>
        </w:tc>
        <w:tc>
          <w:tcPr>
            <w:tcW w:w="3266" w:type="dxa"/>
          </w:tcPr>
          <w:p w14:paraId="1CBC7671" w14:textId="77777777" w:rsidR="002C1944" w:rsidRPr="00215905" w:rsidRDefault="002C1944" w:rsidP="007156BD">
            <w:pPr>
              <w:spacing w:after="0"/>
              <w:jc w:val="center"/>
              <w:rPr>
                <w:rFonts w:eastAsia="SimSun" w:cs="Times New Roman"/>
                <w:sz w:val="20"/>
                <w:szCs w:val="20"/>
                <w:lang w:val="en-US"/>
              </w:rPr>
            </w:pPr>
            <w:r w:rsidRPr="00215905">
              <w:rPr>
                <w:rFonts w:eastAsia="SimSun" w:cs="Times New Roman"/>
                <w:sz w:val="20"/>
                <w:szCs w:val="20"/>
                <w:lang w:val="en-US"/>
              </w:rPr>
              <w:t>0.424</w:t>
            </w:r>
          </w:p>
        </w:tc>
        <w:tc>
          <w:tcPr>
            <w:tcW w:w="1833" w:type="dxa"/>
            <w:vAlign w:val="center"/>
          </w:tcPr>
          <w:p w14:paraId="05189F2D" w14:textId="77777777" w:rsidR="002C1944" w:rsidRPr="00215905" w:rsidRDefault="002C1944" w:rsidP="007156BD">
            <w:pPr>
              <w:spacing w:after="0"/>
              <w:rPr>
                <w:rFonts w:eastAsia="SimSun" w:cs="Times New Roman"/>
                <w:sz w:val="20"/>
                <w:szCs w:val="20"/>
                <w:lang w:val="en-US"/>
              </w:rPr>
            </w:pPr>
            <w:r w:rsidRPr="00215905">
              <w:rPr>
                <w:rFonts w:eastAsia="SimSun" w:cs="Times New Roman"/>
                <w:sz w:val="20"/>
                <w:szCs w:val="20"/>
                <w:lang w:val="en-US"/>
              </w:rPr>
              <w:t>0.213</w:t>
            </w:r>
          </w:p>
        </w:tc>
        <w:tc>
          <w:tcPr>
            <w:tcW w:w="1856" w:type="dxa"/>
            <w:gridSpan w:val="2"/>
            <w:noWrap/>
          </w:tcPr>
          <w:p w14:paraId="1C9F37D3" w14:textId="77777777" w:rsidR="002C1944" w:rsidRPr="00215905" w:rsidRDefault="002C1944" w:rsidP="007156BD">
            <w:pPr>
              <w:spacing w:after="0"/>
              <w:ind w:left="-107"/>
              <w:rPr>
                <w:rFonts w:eastAsia="SimSun" w:cs="Times New Roman"/>
                <w:sz w:val="20"/>
                <w:szCs w:val="20"/>
                <w:lang w:val="en-US"/>
              </w:rPr>
            </w:pPr>
            <w:r w:rsidRPr="00215905">
              <w:rPr>
                <w:rFonts w:eastAsia="Times New Roman" w:cs="Times New Roman"/>
                <w:sz w:val="20"/>
                <w:szCs w:val="20"/>
                <w:lang w:val="en-US"/>
              </w:rPr>
              <w:t xml:space="preserve">  0.465</w:t>
            </w:r>
          </w:p>
        </w:tc>
      </w:tr>
      <w:tr w:rsidR="002C1944" w:rsidRPr="00C73325" w14:paraId="7B9BED09" w14:textId="77777777" w:rsidTr="007156BD">
        <w:trPr>
          <w:trHeight w:val="162"/>
        </w:trPr>
        <w:tc>
          <w:tcPr>
            <w:tcW w:w="2388" w:type="dxa"/>
            <w:tcBorders>
              <w:bottom w:val="single" w:sz="4" w:space="0" w:color="auto"/>
            </w:tcBorders>
            <w:noWrap/>
          </w:tcPr>
          <w:p w14:paraId="1C42592C" w14:textId="77777777" w:rsidR="002C1944" w:rsidRPr="00215905" w:rsidRDefault="002C1944" w:rsidP="007156BD">
            <w:pPr>
              <w:spacing w:after="0"/>
              <w:rPr>
                <w:rFonts w:eastAsia="SimSun" w:cs="Times New Roman"/>
                <w:iCs/>
                <w:sz w:val="20"/>
                <w:szCs w:val="20"/>
                <w:lang w:val="en-US"/>
              </w:rPr>
            </w:pPr>
            <w:r w:rsidRPr="00215905">
              <w:rPr>
                <w:rFonts w:eastAsia="SimSun" w:cs="Times New Roman"/>
                <w:iCs/>
                <w:sz w:val="20"/>
                <w:szCs w:val="20"/>
                <w:lang w:val="en-US"/>
              </w:rPr>
              <w:t>No. of observations</w:t>
            </w:r>
          </w:p>
        </w:tc>
        <w:tc>
          <w:tcPr>
            <w:tcW w:w="1689" w:type="dxa"/>
            <w:tcBorders>
              <w:bottom w:val="single" w:sz="4" w:space="0" w:color="auto"/>
            </w:tcBorders>
          </w:tcPr>
          <w:p w14:paraId="3863A3D5" w14:textId="77777777" w:rsidR="002C1944" w:rsidRPr="00215905" w:rsidRDefault="002C1944" w:rsidP="007156BD">
            <w:pPr>
              <w:spacing w:after="0"/>
              <w:rPr>
                <w:rFonts w:eastAsia="SimSun" w:cs="Times New Roman"/>
                <w:sz w:val="20"/>
                <w:szCs w:val="20"/>
                <w:lang w:val="en-US" w:eastAsia="zh-CN"/>
              </w:rPr>
            </w:pPr>
            <w:r w:rsidRPr="00215905">
              <w:rPr>
                <w:rFonts w:eastAsia="SimSun" w:cs="Times New Roman"/>
                <w:sz w:val="20"/>
                <w:szCs w:val="20"/>
                <w:lang w:val="en-US" w:eastAsia="zh-CN"/>
              </w:rPr>
              <w:t>200</w:t>
            </w:r>
          </w:p>
        </w:tc>
        <w:tc>
          <w:tcPr>
            <w:tcW w:w="1696" w:type="dxa"/>
            <w:tcBorders>
              <w:bottom w:val="single" w:sz="4" w:space="0" w:color="auto"/>
            </w:tcBorders>
          </w:tcPr>
          <w:p w14:paraId="6190FAB8" w14:textId="77777777" w:rsidR="002C1944" w:rsidRPr="00215905" w:rsidRDefault="002C1944" w:rsidP="007156BD">
            <w:pPr>
              <w:spacing w:after="0"/>
              <w:rPr>
                <w:rFonts w:eastAsia="SimSun" w:cs="Times New Roman"/>
                <w:sz w:val="20"/>
                <w:szCs w:val="20"/>
                <w:lang w:val="en-US" w:eastAsia="zh-CN"/>
              </w:rPr>
            </w:pPr>
            <w:r w:rsidRPr="00215905">
              <w:rPr>
                <w:rFonts w:eastAsia="SimSun" w:cs="Times New Roman"/>
                <w:sz w:val="20"/>
                <w:szCs w:val="20"/>
                <w:lang w:val="en-US" w:eastAsia="zh-CN"/>
              </w:rPr>
              <w:t>200</w:t>
            </w:r>
          </w:p>
        </w:tc>
        <w:tc>
          <w:tcPr>
            <w:tcW w:w="3266" w:type="dxa"/>
            <w:tcBorders>
              <w:bottom w:val="single" w:sz="4" w:space="0" w:color="auto"/>
            </w:tcBorders>
          </w:tcPr>
          <w:p w14:paraId="11EF449B" w14:textId="77777777" w:rsidR="002C1944" w:rsidRPr="00215905" w:rsidRDefault="002C1944" w:rsidP="007156BD">
            <w:pPr>
              <w:spacing w:after="0"/>
              <w:jc w:val="center"/>
              <w:rPr>
                <w:rFonts w:eastAsia="SimSun" w:cs="Times New Roman"/>
                <w:sz w:val="20"/>
                <w:szCs w:val="20"/>
                <w:vertAlign w:val="superscript"/>
                <w:lang w:val="en-US" w:eastAsia="zh-CN"/>
              </w:rPr>
            </w:pPr>
            <w:r w:rsidRPr="00215905">
              <w:rPr>
                <w:rFonts w:eastAsia="SimSun" w:cs="Times New Roman"/>
                <w:sz w:val="20"/>
                <w:szCs w:val="20"/>
                <w:lang w:val="en-US" w:eastAsia="zh-CN"/>
              </w:rPr>
              <w:t>200</w:t>
            </w:r>
          </w:p>
        </w:tc>
        <w:tc>
          <w:tcPr>
            <w:tcW w:w="1833" w:type="dxa"/>
            <w:tcBorders>
              <w:bottom w:val="single" w:sz="4" w:space="0" w:color="auto"/>
            </w:tcBorders>
            <w:noWrap/>
            <w:vAlign w:val="center"/>
          </w:tcPr>
          <w:p w14:paraId="2327A708" w14:textId="77777777" w:rsidR="002C1944" w:rsidRPr="00215905" w:rsidRDefault="002C1944" w:rsidP="007156BD">
            <w:pPr>
              <w:spacing w:after="0"/>
              <w:rPr>
                <w:rFonts w:eastAsia="SimSun" w:cs="Times New Roman"/>
                <w:sz w:val="20"/>
                <w:szCs w:val="20"/>
                <w:vertAlign w:val="superscript"/>
                <w:lang w:val="en-US"/>
              </w:rPr>
            </w:pPr>
            <w:r w:rsidRPr="00215905">
              <w:rPr>
                <w:rFonts w:eastAsia="SimSun" w:cs="Times New Roman"/>
                <w:sz w:val="20"/>
                <w:szCs w:val="20"/>
                <w:lang w:val="en-US"/>
              </w:rPr>
              <w:t>150</w:t>
            </w:r>
          </w:p>
        </w:tc>
        <w:tc>
          <w:tcPr>
            <w:tcW w:w="1856" w:type="dxa"/>
            <w:gridSpan w:val="2"/>
            <w:tcBorders>
              <w:bottom w:val="single" w:sz="4" w:space="0" w:color="auto"/>
            </w:tcBorders>
            <w:noWrap/>
          </w:tcPr>
          <w:p w14:paraId="433FA4A4" w14:textId="77777777" w:rsidR="002C1944" w:rsidRPr="00215905" w:rsidRDefault="002C1944" w:rsidP="007156BD">
            <w:pPr>
              <w:spacing w:after="0"/>
              <w:ind w:hanging="50"/>
              <w:rPr>
                <w:rFonts w:eastAsia="SimSun" w:cs="Times New Roman"/>
                <w:sz w:val="20"/>
                <w:szCs w:val="20"/>
                <w:vertAlign w:val="superscript"/>
                <w:lang w:val="en-US"/>
              </w:rPr>
            </w:pPr>
            <w:r w:rsidRPr="00215905">
              <w:rPr>
                <w:rFonts w:eastAsia="Times New Roman" w:cs="Times New Roman"/>
                <w:sz w:val="20"/>
                <w:szCs w:val="20"/>
                <w:lang w:val="en-US"/>
              </w:rPr>
              <w:t xml:space="preserve"> 200</w:t>
            </w:r>
          </w:p>
        </w:tc>
      </w:tr>
      <w:tr w:rsidR="002C1944" w:rsidRPr="00C73325" w14:paraId="0B6226C7" w14:textId="77777777" w:rsidTr="007156BD">
        <w:trPr>
          <w:gridAfter w:val="1"/>
          <w:wAfter w:w="6" w:type="dxa"/>
          <w:trHeight w:val="162"/>
        </w:trPr>
        <w:tc>
          <w:tcPr>
            <w:tcW w:w="12722" w:type="dxa"/>
            <w:gridSpan w:val="6"/>
            <w:tcBorders>
              <w:top w:val="single" w:sz="4" w:space="0" w:color="auto"/>
            </w:tcBorders>
          </w:tcPr>
          <w:p w14:paraId="27E15AB9" w14:textId="77777777" w:rsidR="002C1944" w:rsidRPr="00215905" w:rsidRDefault="002C1944" w:rsidP="007156BD">
            <w:pPr>
              <w:spacing w:after="0"/>
              <w:ind w:hanging="50"/>
              <w:rPr>
                <w:rFonts w:eastAsia="Times New Roman" w:cs="Times New Roman"/>
                <w:sz w:val="20"/>
                <w:szCs w:val="20"/>
                <w:lang w:val="en-US"/>
              </w:rPr>
            </w:pPr>
            <w:r w:rsidRPr="00C73325">
              <w:rPr>
                <w:rFonts w:eastAsia="Times New Roman" w:cs="Times New Roman"/>
                <w:b/>
                <w:bCs/>
                <w:sz w:val="20"/>
                <w:szCs w:val="20"/>
              </w:rPr>
              <w:t>Notes:</w:t>
            </w:r>
            <w:r w:rsidRPr="00C73325">
              <w:rPr>
                <w:rFonts w:eastAsia="Times New Roman" w:cs="Times New Roman"/>
                <w:sz w:val="20"/>
                <w:szCs w:val="20"/>
              </w:rPr>
              <w:t xml:space="preserve"> </w:t>
            </w:r>
            <w:r w:rsidRPr="00C73325">
              <w:rPr>
                <w:rFonts w:eastAsia="SimSun" w:cs="Times New Roman"/>
                <w:i/>
                <w:iCs/>
                <w:sz w:val="20"/>
                <w:szCs w:val="20"/>
                <w:lang w:val="en-US" w:eastAsia="zh-CN"/>
              </w:rPr>
              <w:t xml:space="preserve">BS </w:t>
            </w:r>
            <w:r w:rsidRPr="00C73325">
              <w:rPr>
                <w:rFonts w:eastAsia="SimSun" w:cs="Times New Roman"/>
                <w:sz w:val="20"/>
                <w:szCs w:val="20"/>
                <w:lang w:val="en-US" w:eastAsia="zh-CN"/>
              </w:rPr>
              <w:t xml:space="preserve">denotes board size; </w:t>
            </w:r>
            <w:r w:rsidRPr="00C73325">
              <w:rPr>
                <w:rFonts w:eastAsia="SimSun" w:cs="Times New Roman"/>
                <w:i/>
                <w:iCs/>
                <w:sz w:val="20"/>
                <w:szCs w:val="20"/>
                <w:lang w:val="en-US" w:eastAsia="zh-CN"/>
              </w:rPr>
              <w:t>BI</w:t>
            </w:r>
            <w:r w:rsidRPr="00C73325">
              <w:rPr>
                <w:rFonts w:eastAsia="SimSun" w:cs="Times New Roman"/>
                <w:sz w:val="20"/>
                <w:szCs w:val="20"/>
                <w:lang w:val="en-US" w:eastAsia="zh-CN"/>
              </w:rPr>
              <w:t xml:space="preserve"> denotes board independence; </w:t>
            </w:r>
            <w:r w:rsidRPr="00C73325">
              <w:rPr>
                <w:rFonts w:eastAsia="SimSun" w:cs="Times New Roman"/>
                <w:i/>
                <w:iCs/>
                <w:sz w:val="20"/>
                <w:szCs w:val="20"/>
                <w:lang w:val="en-US" w:eastAsia="zh-CN"/>
              </w:rPr>
              <w:t>CEO</w:t>
            </w:r>
            <w:r w:rsidRPr="00C73325">
              <w:rPr>
                <w:rFonts w:eastAsia="SimSun" w:cs="Times New Roman"/>
                <w:sz w:val="20"/>
                <w:szCs w:val="20"/>
                <w:lang w:val="en-US" w:eastAsia="zh-CN"/>
              </w:rPr>
              <w:t xml:space="preserve"> denotes CEO role duality; </w:t>
            </w:r>
            <w:r w:rsidRPr="00C73325">
              <w:rPr>
                <w:rFonts w:eastAsia="SimSun" w:cs="Times New Roman"/>
                <w:i/>
                <w:iCs/>
                <w:sz w:val="20"/>
                <w:szCs w:val="20"/>
                <w:lang w:val="en-US" w:eastAsia="zh-CN"/>
              </w:rPr>
              <w:t>BM</w:t>
            </w:r>
            <w:r w:rsidRPr="00C73325">
              <w:rPr>
                <w:rFonts w:eastAsia="SimSun" w:cs="Times New Roman"/>
                <w:sz w:val="20"/>
                <w:szCs w:val="20"/>
                <w:lang w:val="en-US" w:eastAsia="zh-CN"/>
              </w:rPr>
              <w:t xml:space="preserve"> denotes frequency of board meetings; </w:t>
            </w:r>
            <w:r w:rsidRPr="00C73325">
              <w:rPr>
                <w:rFonts w:eastAsia="SimSun" w:cs="Times New Roman"/>
                <w:i/>
                <w:iCs/>
                <w:sz w:val="20"/>
                <w:szCs w:val="20"/>
                <w:lang w:val="en-US" w:eastAsia="zh-CN"/>
              </w:rPr>
              <w:t>BG</w:t>
            </w:r>
            <w:r w:rsidRPr="00C73325">
              <w:rPr>
                <w:rFonts w:eastAsia="SimSun" w:cs="Times New Roman"/>
                <w:sz w:val="20"/>
                <w:szCs w:val="20"/>
                <w:lang w:val="en-US" w:eastAsia="zh-CN"/>
              </w:rPr>
              <w:t xml:space="preserve"> denotes board gender diversity; </w:t>
            </w:r>
            <w:r w:rsidRPr="00C73325">
              <w:rPr>
                <w:rFonts w:eastAsia="SimSun" w:cs="Times New Roman"/>
                <w:i/>
                <w:iCs/>
                <w:sz w:val="20"/>
                <w:szCs w:val="20"/>
                <w:lang w:val="en-US" w:eastAsia="zh-CN"/>
              </w:rPr>
              <w:t>AS</w:t>
            </w:r>
            <w:r w:rsidRPr="00C73325">
              <w:rPr>
                <w:rFonts w:eastAsia="SimSun" w:cs="Times New Roman"/>
                <w:sz w:val="20"/>
                <w:szCs w:val="20"/>
                <w:lang w:val="en-US" w:eastAsia="zh-CN"/>
              </w:rPr>
              <w:t xml:space="preserve"> denotes audit committee size; </w:t>
            </w:r>
            <w:r w:rsidRPr="00C73325">
              <w:rPr>
                <w:rFonts w:eastAsia="SimSun" w:cs="Times New Roman"/>
                <w:i/>
                <w:iCs/>
                <w:sz w:val="20"/>
                <w:szCs w:val="20"/>
                <w:lang w:val="en-US" w:eastAsia="zh-CN"/>
              </w:rPr>
              <w:t>FS</w:t>
            </w:r>
            <w:r w:rsidRPr="00C73325">
              <w:rPr>
                <w:rFonts w:eastAsia="SimSun" w:cs="Times New Roman"/>
                <w:sz w:val="20"/>
                <w:szCs w:val="20"/>
                <w:lang w:val="en-US" w:eastAsia="zh-CN"/>
              </w:rPr>
              <w:t xml:space="preserve"> denotes firm size; </w:t>
            </w:r>
            <w:r w:rsidRPr="00C73325">
              <w:rPr>
                <w:rFonts w:eastAsia="SimSun" w:cs="Times New Roman"/>
                <w:i/>
                <w:iCs/>
                <w:sz w:val="20"/>
                <w:szCs w:val="20"/>
                <w:lang w:val="en-US" w:eastAsia="zh-CN"/>
              </w:rPr>
              <w:t xml:space="preserve">LEV </w:t>
            </w:r>
            <w:r w:rsidRPr="00C73325">
              <w:rPr>
                <w:rFonts w:eastAsia="SimSun" w:cs="Times New Roman"/>
                <w:sz w:val="20"/>
                <w:szCs w:val="20"/>
                <w:lang w:val="en-US" w:eastAsia="zh-CN"/>
              </w:rPr>
              <w:t xml:space="preserve">denotes leverage; </w:t>
            </w:r>
            <w:r w:rsidRPr="00C73325">
              <w:rPr>
                <w:rFonts w:eastAsia="SimSun" w:cs="Times New Roman"/>
                <w:i/>
                <w:iCs/>
                <w:sz w:val="20"/>
                <w:szCs w:val="20"/>
                <w:lang w:val="en-US" w:eastAsia="zh-CN"/>
              </w:rPr>
              <w:t>CFS</w:t>
            </w:r>
            <w:r w:rsidRPr="00C73325">
              <w:rPr>
                <w:rFonts w:eastAsia="SimSun" w:cs="Times New Roman"/>
                <w:sz w:val="20"/>
                <w:szCs w:val="20"/>
                <w:lang w:val="en-US" w:eastAsia="zh-CN"/>
              </w:rPr>
              <w:t xml:space="preserve"> denotes cash flow per share and </w:t>
            </w:r>
            <w:r w:rsidRPr="00C73325">
              <w:rPr>
                <w:rFonts w:eastAsia="SimSun" w:cs="Times New Roman"/>
                <w:i/>
                <w:iCs/>
                <w:sz w:val="20"/>
                <w:szCs w:val="20"/>
                <w:lang w:val="en-US" w:eastAsia="zh-CN"/>
              </w:rPr>
              <w:t>ROA</w:t>
            </w:r>
            <w:r w:rsidRPr="00C73325">
              <w:rPr>
                <w:rFonts w:eastAsia="SimSun" w:cs="Times New Roman"/>
                <w:sz w:val="20"/>
                <w:szCs w:val="20"/>
                <w:lang w:val="en-US" w:eastAsia="zh-CN"/>
              </w:rPr>
              <w:t xml:space="preserve"> denotes return on assets. </w:t>
            </w:r>
            <w:r w:rsidRPr="00C73325">
              <w:rPr>
                <w:rFonts w:eastAsia="SimSun" w:cs="Times New Roman"/>
                <w:i/>
                <w:sz w:val="20"/>
                <w:szCs w:val="20"/>
                <w:lang w:val="en-US" w:eastAsia="zh-CN"/>
              </w:rPr>
              <w:t>P-</w:t>
            </w:r>
            <w:r w:rsidRPr="00C73325">
              <w:rPr>
                <w:rFonts w:eastAsia="SimSun" w:cs="Times New Roman"/>
                <w:sz w:val="20"/>
                <w:szCs w:val="20"/>
                <w:lang w:val="en-US" w:eastAsia="zh-CN"/>
              </w:rPr>
              <w:t>values are between brackets.</w:t>
            </w:r>
            <w:r w:rsidRPr="00C73325">
              <w:rPr>
                <w:sz w:val="20"/>
                <w:szCs w:val="20"/>
              </w:rPr>
              <w:t xml:space="preserve"> </w:t>
            </w:r>
            <w:r w:rsidRPr="00C73325">
              <w:rPr>
                <w:rFonts w:eastAsia="Calibri" w:cs="Times New Roman"/>
                <w:sz w:val="20"/>
                <w:szCs w:val="20"/>
              </w:rPr>
              <w:t xml:space="preserve">***, **, and * </w:t>
            </w:r>
            <w:r w:rsidRPr="00C73325">
              <w:rPr>
                <w:rFonts w:eastAsia="SimSun" w:cs="Times New Roman"/>
                <w:sz w:val="20"/>
                <w:szCs w:val="20"/>
                <w:lang w:val="en-US" w:eastAsia="zh-CN"/>
              </w:rPr>
              <w:t>indicate significance at the 1, 5 and 10 levels, respectively.</w:t>
            </w:r>
          </w:p>
        </w:tc>
      </w:tr>
    </w:tbl>
    <w:p w14:paraId="571CB789" w14:textId="77777777" w:rsidR="00355C4B" w:rsidRDefault="00355C4B" w:rsidP="00822291">
      <w:pPr>
        <w:spacing w:line="360" w:lineRule="auto"/>
        <w:rPr>
          <w:rFonts w:cs="Times New Roman"/>
          <w:szCs w:val="24"/>
        </w:rPr>
      </w:pPr>
    </w:p>
    <w:p w14:paraId="2166BD27" w14:textId="18CA3F81" w:rsidR="00D3307A" w:rsidRPr="00C73325" w:rsidRDefault="00D3307A" w:rsidP="00355C4B">
      <w:pPr>
        <w:spacing w:line="360" w:lineRule="auto"/>
        <w:rPr>
          <w:rFonts w:cs="Times New Roman"/>
          <w:szCs w:val="24"/>
        </w:rPr>
      </w:pPr>
    </w:p>
    <w:sectPr w:rsidR="00D3307A" w:rsidRPr="00C73325" w:rsidSect="00822291">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CFF3B" w14:textId="77777777" w:rsidR="003374EB" w:rsidRDefault="003374EB" w:rsidP="008D4975">
      <w:pPr>
        <w:spacing w:after="0"/>
      </w:pPr>
      <w:r>
        <w:separator/>
      </w:r>
    </w:p>
  </w:endnote>
  <w:endnote w:type="continuationSeparator" w:id="0">
    <w:p w14:paraId="73F2A6AF" w14:textId="77777777" w:rsidR="003374EB" w:rsidRDefault="003374EB" w:rsidP="008D49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916507"/>
      <w:docPartObj>
        <w:docPartGallery w:val="Page Numbers (Bottom of Page)"/>
        <w:docPartUnique/>
      </w:docPartObj>
    </w:sdtPr>
    <w:sdtEndPr>
      <w:rPr>
        <w:noProof/>
      </w:rPr>
    </w:sdtEndPr>
    <w:sdtContent>
      <w:p w14:paraId="520843EA" w14:textId="1906DECC" w:rsidR="003374EB" w:rsidRDefault="003374EB">
        <w:pPr>
          <w:pStyle w:val="Footer"/>
          <w:jc w:val="center"/>
        </w:pPr>
        <w:r>
          <w:fldChar w:fldCharType="begin"/>
        </w:r>
        <w:r>
          <w:instrText xml:space="preserve"> PAGE   \* MERGEFORMAT </w:instrText>
        </w:r>
        <w:r>
          <w:fldChar w:fldCharType="separate"/>
        </w:r>
        <w:r w:rsidR="00FA5575">
          <w:rPr>
            <w:noProof/>
          </w:rPr>
          <w:t>1</w:t>
        </w:r>
        <w:r>
          <w:rPr>
            <w:noProof/>
          </w:rPr>
          <w:fldChar w:fldCharType="end"/>
        </w:r>
      </w:p>
    </w:sdtContent>
  </w:sdt>
  <w:p w14:paraId="1F8E6897" w14:textId="77777777" w:rsidR="003374EB" w:rsidRDefault="00337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83DC2" w14:textId="77777777" w:rsidR="003374EB" w:rsidRDefault="003374EB" w:rsidP="008D4975">
      <w:pPr>
        <w:spacing w:after="0"/>
      </w:pPr>
      <w:r>
        <w:separator/>
      </w:r>
    </w:p>
  </w:footnote>
  <w:footnote w:type="continuationSeparator" w:id="0">
    <w:p w14:paraId="7E612104" w14:textId="77777777" w:rsidR="003374EB" w:rsidRDefault="003374EB" w:rsidP="008D4975">
      <w:pPr>
        <w:spacing w:after="0"/>
      </w:pPr>
      <w:r>
        <w:continuationSeparator/>
      </w:r>
    </w:p>
  </w:footnote>
  <w:footnote w:id="1">
    <w:p w14:paraId="076EFE07" w14:textId="77777777" w:rsidR="00AD70E6" w:rsidRPr="0060637E" w:rsidRDefault="00AD70E6" w:rsidP="00AD70E6">
      <w:pPr>
        <w:rPr>
          <w:rFonts w:cs="Times New Roman"/>
          <w:bCs/>
          <w:sz w:val="18"/>
          <w:szCs w:val="18"/>
        </w:rPr>
      </w:pPr>
      <w:r w:rsidRPr="0060637E">
        <w:rPr>
          <w:rStyle w:val="FootnoteReference"/>
          <w:rFonts w:cs="Times New Roman"/>
          <w:sz w:val="18"/>
          <w:szCs w:val="18"/>
        </w:rPr>
        <w:sym w:font="Symbol" w:char="F0B7"/>
      </w:r>
      <w:r w:rsidRPr="0060637E">
        <w:rPr>
          <w:rFonts w:cs="Times New Roman"/>
          <w:sz w:val="18"/>
          <w:szCs w:val="18"/>
        </w:rPr>
        <w:t xml:space="preserve">Corresponding author. Address for correspondence: </w:t>
      </w:r>
      <w:r>
        <w:rPr>
          <w:rFonts w:cs="Times New Roman"/>
          <w:sz w:val="18"/>
          <w:szCs w:val="18"/>
        </w:rPr>
        <w:t>Department of Accounting, Southampton Business School</w:t>
      </w:r>
      <w:r w:rsidRPr="0060637E">
        <w:rPr>
          <w:rFonts w:cs="Times New Roman"/>
          <w:bCs/>
          <w:sz w:val="18"/>
          <w:szCs w:val="18"/>
        </w:rPr>
        <w:t xml:space="preserve">, University of </w:t>
      </w:r>
      <w:r>
        <w:rPr>
          <w:rFonts w:cs="Times New Roman"/>
          <w:bCs/>
          <w:sz w:val="18"/>
          <w:szCs w:val="18"/>
        </w:rPr>
        <w:t>Southampton</w:t>
      </w:r>
      <w:r w:rsidRPr="0060637E">
        <w:rPr>
          <w:rFonts w:cs="Times New Roman"/>
          <w:bCs/>
          <w:sz w:val="18"/>
          <w:szCs w:val="18"/>
        </w:rPr>
        <w:t xml:space="preserve">, </w:t>
      </w:r>
      <w:proofErr w:type="gramStart"/>
      <w:r>
        <w:rPr>
          <w:rFonts w:cs="Times New Roman"/>
          <w:bCs/>
          <w:sz w:val="18"/>
          <w:szCs w:val="18"/>
        </w:rPr>
        <w:t>Southampton</w:t>
      </w:r>
      <w:proofErr w:type="gramEnd"/>
      <w:r w:rsidRPr="0060637E">
        <w:rPr>
          <w:rFonts w:cs="Times New Roman"/>
          <w:bCs/>
          <w:sz w:val="18"/>
          <w:szCs w:val="18"/>
        </w:rPr>
        <w:t xml:space="preserve">, </w:t>
      </w:r>
      <w:r>
        <w:rPr>
          <w:rFonts w:cs="Times New Roman"/>
          <w:bCs/>
          <w:sz w:val="18"/>
          <w:szCs w:val="18"/>
        </w:rPr>
        <w:t>SO17 1BJ</w:t>
      </w:r>
      <w:r w:rsidRPr="0060637E">
        <w:rPr>
          <w:rFonts w:cs="Times New Roman"/>
          <w:bCs/>
          <w:sz w:val="18"/>
          <w:szCs w:val="18"/>
        </w:rPr>
        <w:t xml:space="preserve">, UK. Tel: +44 (0) </w:t>
      </w:r>
      <w:r>
        <w:rPr>
          <w:rFonts w:cs="Times New Roman"/>
          <w:bCs/>
          <w:sz w:val="18"/>
          <w:szCs w:val="18"/>
        </w:rPr>
        <w:t>238</w:t>
      </w:r>
      <w:r w:rsidRPr="0060637E">
        <w:rPr>
          <w:rFonts w:cs="Times New Roman"/>
          <w:bCs/>
          <w:sz w:val="18"/>
          <w:szCs w:val="18"/>
        </w:rPr>
        <w:t xml:space="preserve"> </w:t>
      </w:r>
      <w:r>
        <w:rPr>
          <w:rFonts w:cs="Times New Roman"/>
          <w:bCs/>
          <w:sz w:val="18"/>
          <w:szCs w:val="18"/>
        </w:rPr>
        <w:t>223</w:t>
      </w:r>
      <w:r w:rsidRPr="0060637E">
        <w:rPr>
          <w:rFonts w:cs="Times New Roman"/>
          <w:bCs/>
          <w:sz w:val="18"/>
          <w:szCs w:val="18"/>
        </w:rPr>
        <w:t xml:space="preserve"> </w:t>
      </w:r>
      <w:r>
        <w:rPr>
          <w:rFonts w:cs="Times New Roman"/>
          <w:bCs/>
          <w:sz w:val="18"/>
          <w:szCs w:val="18"/>
        </w:rPr>
        <w:t xml:space="preserve">4285. E-mail: </w:t>
      </w:r>
      <w:hyperlink r:id="rId1" w:history="1">
        <w:r w:rsidRPr="001E25D6">
          <w:rPr>
            <w:rStyle w:val="Hyperlink"/>
            <w:rFonts w:cs="Times New Roman"/>
            <w:sz w:val="18"/>
            <w:szCs w:val="18"/>
          </w:rPr>
          <w:t>c.g.ntim@soton.ac.uk</w:t>
        </w:r>
      </w:hyperlink>
      <w:r w:rsidRPr="00AD59B7">
        <w:rPr>
          <w:rFonts w:cs="Times New Roman"/>
          <w:sz w:val="18"/>
          <w:szCs w:val="18"/>
        </w:rPr>
        <w:t>.</w:t>
      </w:r>
    </w:p>
    <w:p w14:paraId="4813FF6D" w14:textId="77777777" w:rsidR="00AD70E6" w:rsidRPr="00DD641F" w:rsidRDefault="00AD70E6" w:rsidP="00AD70E6">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BDA65B8"/>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3453045"/>
    <w:multiLevelType w:val="hybridMultilevel"/>
    <w:tmpl w:val="0DBE7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932048"/>
    <w:multiLevelType w:val="hybridMultilevel"/>
    <w:tmpl w:val="3F90F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F06925"/>
    <w:multiLevelType w:val="multilevel"/>
    <w:tmpl w:val="0E94BD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D3A33A8"/>
    <w:multiLevelType w:val="multilevel"/>
    <w:tmpl w:val="F90E213A"/>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DDD3CC4"/>
    <w:multiLevelType w:val="multilevel"/>
    <w:tmpl w:val="F028ECD2"/>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6744A01"/>
    <w:multiLevelType w:val="multilevel"/>
    <w:tmpl w:val="65AAB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8651B4"/>
    <w:multiLevelType w:val="multilevel"/>
    <w:tmpl w:val="45BA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567FD"/>
    <w:multiLevelType w:val="hybridMultilevel"/>
    <w:tmpl w:val="605034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3"/>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_SotonUNI2014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338CC"/>
    <w:rsid w:val="00002815"/>
    <w:rsid w:val="00003892"/>
    <w:rsid w:val="0000658C"/>
    <w:rsid w:val="0000768E"/>
    <w:rsid w:val="000101CD"/>
    <w:rsid w:val="00014F19"/>
    <w:rsid w:val="000152CE"/>
    <w:rsid w:val="00015486"/>
    <w:rsid w:val="000168E1"/>
    <w:rsid w:val="0002237B"/>
    <w:rsid w:val="00022744"/>
    <w:rsid w:val="00022907"/>
    <w:rsid w:val="000233F6"/>
    <w:rsid w:val="00023B09"/>
    <w:rsid w:val="00024757"/>
    <w:rsid w:val="00025FE2"/>
    <w:rsid w:val="00026691"/>
    <w:rsid w:val="000315E0"/>
    <w:rsid w:val="0003224C"/>
    <w:rsid w:val="00033691"/>
    <w:rsid w:val="000338CC"/>
    <w:rsid w:val="00035125"/>
    <w:rsid w:val="00035A5D"/>
    <w:rsid w:val="00036D5D"/>
    <w:rsid w:val="00037C73"/>
    <w:rsid w:val="00041B09"/>
    <w:rsid w:val="0004265D"/>
    <w:rsid w:val="00047501"/>
    <w:rsid w:val="0005407D"/>
    <w:rsid w:val="000548A3"/>
    <w:rsid w:val="000550AC"/>
    <w:rsid w:val="00056215"/>
    <w:rsid w:val="00056B72"/>
    <w:rsid w:val="00057708"/>
    <w:rsid w:val="00060A83"/>
    <w:rsid w:val="00066184"/>
    <w:rsid w:val="00067081"/>
    <w:rsid w:val="00073D91"/>
    <w:rsid w:val="00075188"/>
    <w:rsid w:val="00077216"/>
    <w:rsid w:val="00081259"/>
    <w:rsid w:val="00081455"/>
    <w:rsid w:val="00081A42"/>
    <w:rsid w:val="00084E6B"/>
    <w:rsid w:val="00086020"/>
    <w:rsid w:val="00091082"/>
    <w:rsid w:val="00097C99"/>
    <w:rsid w:val="000A238C"/>
    <w:rsid w:val="000A4743"/>
    <w:rsid w:val="000A562C"/>
    <w:rsid w:val="000A5F3F"/>
    <w:rsid w:val="000A7161"/>
    <w:rsid w:val="000A7C3E"/>
    <w:rsid w:val="000B22BE"/>
    <w:rsid w:val="000B40D5"/>
    <w:rsid w:val="000B710C"/>
    <w:rsid w:val="000D122B"/>
    <w:rsid w:val="000D152A"/>
    <w:rsid w:val="000D2928"/>
    <w:rsid w:val="000D4911"/>
    <w:rsid w:val="000D543E"/>
    <w:rsid w:val="000E257E"/>
    <w:rsid w:val="000E3072"/>
    <w:rsid w:val="000E43CD"/>
    <w:rsid w:val="000F386D"/>
    <w:rsid w:val="000F4421"/>
    <w:rsid w:val="000F6B14"/>
    <w:rsid w:val="00101023"/>
    <w:rsid w:val="0010371D"/>
    <w:rsid w:val="00105195"/>
    <w:rsid w:val="001055B4"/>
    <w:rsid w:val="0010706F"/>
    <w:rsid w:val="001127F6"/>
    <w:rsid w:val="00113785"/>
    <w:rsid w:val="001151C9"/>
    <w:rsid w:val="001171E6"/>
    <w:rsid w:val="00122BC1"/>
    <w:rsid w:val="00122C20"/>
    <w:rsid w:val="00122C50"/>
    <w:rsid w:val="0012356E"/>
    <w:rsid w:val="00127067"/>
    <w:rsid w:val="00127245"/>
    <w:rsid w:val="00127BE6"/>
    <w:rsid w:val="00130B70"/>
    <w:rsid w:val="00133ABC"/>
    <w:rsid w:val="00137796"/>
    <w:rsid w:val="00137830"/>
    <w:rsid w:val="00141C0A"/>
    <w:rsid w:val="00147863"/>
    <w:rsid w:val="00151966"/>
    <w:rsid w:val="00161C1C"/>
    <w:rsid w:val="00163481"/>
    <w:rsid w:val="001648E7"/>
    <w:rsid w:val="00164A77"/>
    <w:rsid w:val="00164DD9"/>
    <w:rsid w:val="0016793E"/>
    <w:rsid w:val="00170434"/>
    <w:rsid w:val="00171F20"/>
    <w:rsid w:val="0017518E"/>
    <w:rsid w:val="00177606"/>
    <w:rsid w:val="00182C16"/>
    <w:rsid w:val="00186497"/>
    <w:rsid w:val="00186CC0"/>
    <w:rsid w:val="001925AB"/>
    <w:rsid w:val="00195293"/>
    <w:rsid w:val="0019633B"/>
    <w:rsid w:val="001A0D08"/>
    <w:rsid w:val="001A217F"/>
    <w:rsid w:val="001A7433"/>
    <w:rsid w:val="001B6716"/>
    <w:rsid w:val="001C31E6"/>
    <w:rsid w:val="001C336F"/>
    <w:rsid w:val="001D0C48"/>
    <w:rsid w:val="001D0F29"/>
    <w:rsid w:val="001D5C2D"/>
    <w:rsid w:val="001E0FB2"/>
    <w:rsid w:val="001E1F36"/>
    <w:rsid w:val="001E21CC"/>
    <w:rsid w:val="001E2270"/>
    <w:rsid w:val="001E25D6"/>
    <w:rsid w:val="001E275E"/>
    <w:rsid w:val="001E297E"/>
    <w:rsid w:val="001E53A6"/>
    <w:rsid w:val="001E6663"/>
    <w:rsid w:val="001E7C53"/>
    <w:rsid w:val="001F1706"/>
    <w:rsid w:val="001F2FAD"/>
    <w:rsid w:val="002008D4"/>
    <w:rsid w:val="0020247F"/>
    <w:rsid w:val="00203446"/>
    <w:rsid w:val="00203EAD"/>
    <w:rsid w:val="0020467C"/>
    <w:rsid w:val="00205F9F"/>
    <w:rsid w:val="002075CC"/>
    <w:rsid w:val="00211D1C"/>
    <w:rsid w:val="0021396D"/>
    <w:rsid w:val="00215905"/>
    <w:rsid w:val="0021647A"/>
    <w:rsid w:val="00223159"/>
    <w:rsid w:val="002244B1"/>
    <w:rsid w:val="00226377"/>
    <w:rsid w:val="0022681F"/>
    <w:rsid w:val="00226DB1"/>
    <w:rsid w:val="00226F36"/>
    <w:rsid w:val="00227EDC"/>
    <w:rsid w:val="0023204F"/>
    <w:rsid w:val="00234002"/>
    <w:rsid w:val="00235D09"/>
    <w:rsid w:val="002363C7"/>
    <w:rsid w:val="002367A1"/>
    <w:rsid w:val="00237710"/>
    <w:rsid w:val="0024053F"/>
    <w:rsid w:val="00241DF9"/>
    <w:rsid w:val="0024479B"/>
    <w:rsid w:val="002516EC"/>
    <w:rsid w:val="00254BF1"/>
    <w:rsid w:val="00260D3F"/>
    <w:rsid w:val="002620D2"/>
    <w:rsid w:val="00266EFB"/>
    <w:rsid w:val="00267E47"/>
    <w:rsid w:val="0027010C"/>
    <w:rsid w:val="002754DE"/>
    <w:rsid w:val="00275D71"/>
    <w:rsid w:val="00275F5C"/>
    <w:rsid w:val="002801FC"/>
    <w:rsid w:val="00282BE9"/>
    <w:rsid w:val="00287DC1"/>
    <w:rsid w:val="00290D0F"/>
    <w:rsid w:val="00291142"/>
    <w:rsid w:val="00291852"/>
    <w:rsid w:val="00291964"/>
    <w:rsid w:val="0029456C"/>
    <w:rsid w:val="00296118"/>
    <w:rsid w:val="002961AE"/>
    <w:rsid w:val="00297D75"/>
    <w:rsid w:val="002A4992"/>
    <w:rsid w:val="002A4FC3"/>
    <w:rsid w:val="002A5096"/>
    <w:rsid w:val="002B3AEA"/>
    <w:rsid w:val="002B64FB"/>
    <w:rsid w:val="002B75E8"/>
    <w:rsid w:val="002B7C27"/>
    <w:rsid w:val="002B7FBF"/>
    <w:rsid w:val="002C1944"/>
    <w:rsid w:val="002C1CB5"/>
    <w:rsid w:val="002C4831"/>
    <w:rsid w:val="002D3F69"/>
    <w:rsid w:val="002E0D13"/>
    <w:rsid w:val="002E11E6"/>
    <w:rsid w:val="002E1256"/>
    <w:rsid w:val="002E2FD4"/>
    <w:rsid w:val="002E7018"/>
    <w:rsid w:val="002F032A"/>
    <w:rsid w:val="002F39E1"/>
    <w:rsid w:val="002F6EC0"/>
    <w:rsid w:val="00300A4A"/>
    <w:rsid w:val="00301CDB"/>
    <w:rsid w:val="00303E8B"/>
    <w:rsid w:val="00312900"/>
    <w:rsid w:val="003141AC"/>
    <w:rsid w:val="00317598"/>
    <w:rsid w:val="00320334"/>
    <w:rsid w:val="00320519"/>
    <w:rsid w:val="00320F73"/>
    <w:rsid w:val="00321D50"/>
    <w:rsid w:val="00324A83"/>
    <w:rsid w:val="00325272"/>
    <w:rsid w:val="00325F63"/>
    <w:rsid w:val="00326F00"/>
    <w:rsid w:val="00327F88"/>
    <w:rsid w:val="0033063A"/>
    <w:rsid w:val="00335DDD"/>
    <w:rsid w:val="003374EB"/>
    <w:rsid w:val="003411B4"/>
    <w:rsid w:val="0034640C"/>
    <w:rsid w:val="00350EFE"/>
    <w:rsid w:val="00352EA3"/>
    <w:rsid w:val="00354C3C"/>
    <w:rsid w:val="00355C4B"/>
    <w:rsid w:val="00356AE4"/>
    <w:rsid w:val="00356C59"/>
    <w:rsid w:val="003575F5"/>
    <w:rsid w:val="00361278"/>
    <w:rsid w:val="003614EE"/>
    <w:rsid w:val="00363CED"/>
    <w:rsid w:val="00367933"/>
    <w:rsid w:val="00370195"/>
    <w:rsid w:val="003715A3"/>
    <w:rsid w:val="00375B88"/>
    <w:rsid w:val="00382AFD"/>
    <w:rsid w:val="0038378D"/>
    <w:rsid w:val="00386CE3"/>
    <w:rsid w:val="00386D1D"/>
    <w:rsid w:val="00390005"/>
    <w:rsid w:val="00391505"/>
    <w:rsid w:val="003918D6"/>
    <w:rsid w:val="00393649"/>
    <w:rsid w:val="00394E43"/>
    <w:rsid w:val="003A13E7"/>
    <w:rsid w:val="003A1E7F"/>
    <w:rsid w:val="003A546F"/>
    <w:rsid w:val="003B2043"/>
    <w:rsid w:val="003B2267"/>
    <w:rsid w:val="003B4FFA"/>
    <w:rsid w:val="003B5DD0"/>
    <w:rsid w:val="003B7BB3"/>
    <w:rsid w:val="003C70CD"/>
    <w:rsid w:val="003C78B4"/>
    <w:rsid w:val="003D01F1"/>
    <w:rsid w:val="003D229E"/>
    <w:rsid w:val="003D3E0D"/>
    <w:rsid w:val="003D4F54"/>
    <w:rsid w:val="003D5D7D"/>
    <w:rsid w:val="003E0E40"/>
    <w:rsid w:val="003E2820"/>
    <w:rsid w:val="003F0C9C"/>
    <w:rsid w:val="003F0FCC"/>
    <w:rsid w:val="003F1183"/>
    <w:rsid w:val="003F3ECF"/>
    <w:rsid w:val="003F3FA9"/>
    <w:rsid w:val="0040262F"/>
    <w:rsid w:val="0040595C"/>
    <w:rsid w:val="004102EC"/>
    <w:rsid w:val="00410EB2"/>
    <w:rsid w:val="00411ADA"/>
    <w:rsid w:val="00411F0E"/>
    <w:rsid w:val="00414CB6"/>
    <w:rsid w:val="0042017A"/>
    <w:rsid w:val="00425C99"/>
    <w:rsid w:val="00426635"/>
    <w:rsid w:val="00431DA6"/>
    <w:rsid w:val="00432B5B"/>
    <w:rsid w:val="004341A9"/>
    <w:rsid w:val="0043620E"/>
    <w:rsid w:val="0044019B"/>
    <w:rsid w:val="004449DB"/>
    <w:rsid w:val="00450D70"/>
    <w:rsid w:val="004540F0"/>
    <w:rsid w:val="004567A0"/>
    <w:rsid w:val="00457DD1"/>
    <w:rsid w:val="0046026D"/>
    <w:rsid w:val="00460DA6"/>
    <w:rsid w:val="00461FB1"/>
    <w:rsid w:val="00464006"/>
    <w:rsid w:val="00464D27"/>
    <w:rsid w:val="0046606C"/>
    <w:rsid w:val="00467C57"/>
    <w:rsid w:val="00470A2C"/>
    <w:rsid w:val="00471FCB"/>
    <w:rsid w:val="004729BA"/>
    <w:rsid w:val="00476691"/>
    <w:rsid w:val="00482443"/>
    <w:rsid w:val="00490075"/>
    <w:rsid w:val="004912BE"/>
    <w:rsid w:val="004B144B"/>
    <w:rsid w:val="004B2A4F"/>
    <w:rsid w:val="004B413E"/>
    <w:rsid w:val="004B422B"/>
    <w:rsid w:val="004B60F1"/>
    <w:rsid w:val="004C0223"/>
    <w:rsid w:val="004C057D"/>
    <w:rsid w:val="004C1F16"/>
    <w:rsid w:val="004C726D"/>
    <w:rsid w:val="004C7CF4"/>
    <w:rsid w:val="004D78F3"/>
    <w:rsid w:val="004E1100"/>
    <w:rsid w:val="004E453C"/>
    <w:rsid w:val="004E754D"/>
    <w:rsid w:val="004E7B4F"/>
    <w:rsid w:val="004F6063"/>
    <w:rsid w:val="004F7F7D"/>
    <w:rsid w:val="00503F9F"/>
    <w:rsid w:val="00504240"/>
    <w:rsid w:val="005060A6"/>
    <w:rsid w:val="005100ED"/>
    <w:rsid w:val="00511C83"/>
    <w:rsid w:val="00513769"/>
    <w:rsid w:val="00515E52"/>
    <w:rsid w:val="0052007C"/>
    <w:rsid w:val="00520288"/>
    <w:rsid w:val="00520E17"/>
    <w:rsid w:val="005214D0"/>
    <w:rsid w:val="00525CD5"/>
    <w:rsid w:val="0053193C"/>
    <w:rsid w:val="00532585"/>
    <w:rsid w:val="00533483"/>
    <w:rsid w:val="00534E9C"/>
    <w:rsid w:val="00540873"/>
    <w:rsid w:val="00544016"/>
    <w:rsid w:val="005444D2"/>
    <w:rsid w:val="00544855"/>
    <w:rsid w:val="00544F41"/>
    <w:rsid w:val="00545CDD"/>
    <w:rsid w:val="00546729"/>
    <w:rsid w:val="00550F6C"/>
    <w:rsid w:val="00552C08"/>
    <w:rsid w:val="00554F1E"/>
    <w:rsid w:val="00555E33"/>
    <w:rsid w:val="00565D62"/>
    <w:rsid w:val="00565DD0"/>
    <w:rsid w:val="00572B4D"/>
    <w:rsid w:val="0057411F"/>
    <w:rsid w:val="005825BE"/>
    <w:rsid w:val="00585376"/>
    <w:rsid w:val="00585A58"/>
    <w:rsid w:val="005864F7"/>
    <w:rsid w:val="005919D4"/>
    <w:rsid w:val="005924AB"/>
    <w:rsid w:val="005926F3"/>
    <w:rsid w:val="00593A03"/>
    <w:rsid w:val="00594ECC"/>
    <w:rsid w:val="005A11CD"/>
    <w:rsid w:val="005A68D5"/>
    <w:rsid w:val="005A7036"/>
    <w:rsid w:val="005A7417"/>
    <w:rsid w:val="005B1DF3"/>
    <w:rsid w:val="005B5C2A"/>
    <w:rsid w:val="005B7D60"/>
    <w:rsid w:val="005C1041"/>
    <w:rsid w:val="005C1439"/>
    <w:rsid w:val="005C1486"/>
    <w:rsid w:val="005C231D"/>
    <w:rsid w:val="005C5151"/>
    <w:rsid w:val="005D1915"/>
    <w:rsid w:val="005D2ACD"/>
    <w:rsid w:val="005D3359"/>
    <w:rsid w:val="005D37BD"/>
    <w:rsid w:val="005D3DB3"/>
    <w:rsid w:val="005D5BAA"/>
    <w:rsid w:val="005E2848"/>
    <w:rsid w:val="005E3F77"/>
    <w:rsid w:val="005E4DBD"/>
    <w:rsid w:val="005F0684"/>
    <w:rsid w:val="005F35B5"/>
    <w:rsid w:val="005F7238"/>
    <w:rsid w:val="006012EC"/>
    <w:rsid w:val="00605449"/>
    <w:rsid w:val="00606A44"/>
    <w:rsid w:val="006109BE"/>
    <w:rsid w:val="00611C5A"/>
    <w:rsid w:val="00611CD7"/>
    <w:rsid w:val="0061288B"/>
    <w:rsid w:val="00613D61"/>
    <w:rsid w:val="00616F91"/>
    <w:rsid w:val="0062390F"/>
    <w:rsid w:val="00630287"/>
    <w:rsid w:val="0063048D"/>
    <w:rsid w:val="00630DB8"/>
    <w:rsid w:val="00632969"/>
    <w:rsid w:val="00634171"/>
    <w:rsid w:val="0063528C"/>
    <w:rsid w:val="00636671"/>
    <w:rsid w:val="00641EA7"/>
    <w:rsid w:val="0064244B"/>
    <w:rsid w:val="00644FF9"/>
    <w:rsid w:val="00651C2B"/>
    <w:rsid w:val="006525C8"/>
    <w:rsid w:val="00652E31"/>
    <w:rsid w:val="0066523E"/>
    <w:rsid w:val="006664B3"/>
    <w:rsid w:val="006671F6"/>
    <w:rsid w:val="00672D5A"/>
    <w:rsid w:val="00677EFE"/>
    <w:rsid w:val="00682BAB"/>
    <w:rsid w:val="00684DD9"/>
    <w:rsid w:val="00691EE6"/>
    <w:rsid w:val="006A07D5"/>
    <w:rsid w:val="006A2330"/>
    <w:rsid w:val="006A5D74"/>
    <w:rsid w:val="006B2406"/>
    <w:rsid w:val="006B24F3"/>
    <w:rsid w:val="006B4999"/>
    <w:rsid w:val="006C4138"/>
    <w:rsid w:val="006D25DB"/>
    <w:rsid w:val="006D3342"/>
    <w:rsid w:val="006D591C"/>
    <w:rsid w:val="006D72C7"/>
    <w:rsid w:val="006E2BEB"/>
    <w:rsid w:val="006E308A"/>
    <w:rsid w:val="006E68DE"/>
    <w:rsid w:val="006E6A64"/>
    <w:rsid w:val="006F0B9D"/>
    <w:rsid w:val="006F185F"/>
    <w:rsid w:val="006F28CC"/>
    <w:rsid w:val="006F3173"/>
    <w:rsid w:val="006F34FD"/>
    <w:rsid w:val="006F356D"/>
    <w:rsid w:val="006F40A0"/>
    <w:rsid w:val="006F4FE9"/>
    <w:rsid w:val="006F5075"/>
    <w:rsid w:val="006F62E8"/>
    <w:rsid w:val="006F767E"/>
    <w:rsid w:val="006F7FB2"/>
    <w:rsid w:val="0070103F"/>
    <w:rsid w:val="00702F05"/>
    <w:rsid w:val="00702F32"/>
    <w:rsid w:val="007040C5"/>
    <w:rsid w:val="00705538"/>
    <w:rsid w:val="00707311"/>
    <w:rsid w:val="00707F97"/>
    <w:rsid w:val="00712202"/>
    <w:rsid w:val="00714AD1"/>
    <w:rsid w:val="007154F9"/>
    <w:rsid w:val="007156BD"/>
    <w:rsid w:val="00715955"/>
    <w:rsid w:val="007159F9"/>
    <w:rsid w:val="0071745B"/>
    <w:rsid w:val="0072389D"/>
    <w:rsid w:val="00723E4B"/>
    <w:rsid w:val="00726A68"/>
    <w:rsid w:val="0073131C"/>
    <w:rsid w:val="00731CBC"/>
    <w:rsid w:val="00734306"/>
    <w:rsid w:val="007461CC"/>
    <w:rsid w:val="00753C80"/>
    <w:rsid w:val="007556C6"/>
    <w:rsid w:val="007616DF"/>
    <w:rsid w:val="00761BEE"/>
    <w:rsid w:val="00764068"/>
    <w:rsid w:val="00764179"/>
    <w:rsid w:val="00764D67"/>
    <w:rsid w:val="007665F4"/>
    <w:rsid w:val="0076794E"/>
    <w:rsid w:val="0077259B"/>
    <w:rsid w:val="00774569"/>
    <w:rsid w:val="007752FF"/>
    <w:rsid w:val="0077703D"/>
    <w:rsid w:val="00783A12"/>
    <w:rsid w:val="007859F9"/>
    <w:rsid w:val="00790AE5"/>
    <w:rsid w:val="007917F3"/>
    <w:rsid w:val="00791C97"/>
    <w:rsid w:val="00791E42"/>
    <w:rsid w:val="007A2FBC"/>
    <w:rsid w:val="007A3905"/>
    <w:rsid w:val="007A4BD5"/>
    <w:rsid w:val="007A5281"/>
    <w:rsid w:val="007B5796"/>
    <w:rsid w:val="007C1133"/>
    <w:rsid w:val="007C274A"/>
    <w:rsid w:val="007C6CE3"/>
    <w:rsid w:val="007D36C5"/>
    <w:rsid w:val="007D388D"/>
    <w:rsid w:val="007D4546"/>
    <w:rsid w:val="007D618A"/>
    <w:rsid w:val="007E031B"/>
    <w:rsid w:val="007E1E01"/>
    <w:rsid w:val="007E5C27"/>
    <w:rsid w:val="007F0B45"/>
    <w:rsid w:val="007F1073"/>
    <w:rsid w:val="007F1760"/>
    <w:rsid w:val="007F357A"/>
    <w:rsid w:val="00800916"/>
    <w:rsid w:val="0080129E"/>
    <w:rsid w:val="00801E44"/>
    <w:rsid w:val="008047C4"/>
    <w:rsid w:val="00804CC0"/>
    <w:rsid w:val="00805A5E"/>
    <w:rsid w:val="00806148"/>
    <w:rsid w:val="00806B0A"/>
    <w:rsid w:val="00807E07"/>
    <w:rsid w:val="0081006F"/>
    <w:rsid w:val="00810424"/>
    <w:rsid w:val="00813B6A"/>
    <w:rsid w:val="00815594"/>
    <w:rsid w:val="0082053D"/>
    <w:rsid w:val="00822291"/>
    <w:rsid w:val="00822B8B"/>
    <w:rsid w:val="00823919"/>
    <w:rsid w:val="00824352"/>
    <w:rsid w:val="00825FD0"/>
    <w:rsid w:val="0082632C"/>
    <w:rsid w:val="00831D6C"/>
    <w:rsid w:val="00834CFA"/>
    <w:rsid w:val="00835D88"/>
    <w:rsid w:val="00836FC0"/>
    <w:rsid w:val="00842D79"/>
    <w:rsid w:val="00850CAD"/>
    <w:rsid w:val="0085224B"/>
    <w:rsid w:val="008522F5"/>
    <w:rsid w:val="00852FC1"/>
    <w:rsid w:val="0085437D"/>
    <w:rsid w:val="00854B40"/>
    <w:rsid w:val="00855D30"/>
    <w:rsid w:val="00857438"/>
    <w:rsid w:val="008574A2"/>
    <w:rsid w:val="00863387"/>
    <w:rsid w:val="00863712"/>
    <w:rsid w:val="0086406C"/>
    <w:rsid w:val="00864F31"/>
    <w:rsid w:val="00870D5C"/>
    <w:rsid w:val="00874076"/>
    <w:rsid w:val="00874BCA"/>
    <w:rsid w:val="00875543"/>
    <w:rsid w:val="0087636F"/>
    <w:rsid w:val="008765B7"/>
    <w:rsid w:val="00883171"/>
    <w:rsid w:val="008848CA"/>
    <w:rsid w:val="008866A8"/>
    <w:rsid w:val="00892143"/>
    <w:rsid w:val="00895750"/>
    <w:rsid w:val="00897DB3"/>
    <w:rsid w:val="008B529F"/>
    <w:rsid w:val="008B73F3"/>
    <w:rsid w:val="008B7DA8"/>
    <w:rsid w:val="008C3E3E"/>
    <w:rsid w:val="008C3E60"/>
    <w:rsid w:val="008D04FE"/>
    <w:rsid w:val="008D2689"/>
    <w:rsid w:val="008D4155"/>
    <w:rsid w:val="008D4975"/>
    <w:rsid w:val="008D787D"/>
    <w:rsid w:val="008E1555"/>
    <w:rsid w:val="008E25FB"/>
    <w:rsid w:val="008E3FDF"/>
    <w:rsid w:val="008E4C3F"/>
    <w:rsid w:val="008E72CF"/>
    <w:rsid w:val="008F4768"/>
    <w:rsid w:val="008F51C8"/>
    <w:rsid w:val="008F76CE"/>
    <w:rsid w:val="0090058C"/>
    <w:rsid w:val="00904DDD"/>
    <w:rsid w:val="00905E1D"/>
    <w:rsid w:val="009066C2"/>
    <w:rsid w:val="0091094C"/>
    <w:rsid w:val="00916EB3"/>
    <w:rsid w:val="00917DC4"/>
    <w:rsid w:val="00926040"/>
    <w:rsid w:val="00927EEB"/>
    <w:rsid w:val="00932DBC"/>
    <w:rsid w:val="0094596C"/>
    <w:rsid w:val="0094757B"/>
    <w:rsid w:val="00947CAF"/>
    <w:rsid w:val="00947D7E"/>
    <w:rsid w:val="0095228E"/>
    <w:rsid w:val="009577B3"/>
    <w:rsid w:val="00957C15"/>
    <w:rsid w:val="0096095F"/>
    <w:rsid w:val="00960CF7"/>
    <w:rsid w:val="009647A3"/>
    <w:rsid w:val="0096629B"/>
    <w:rsid w:val="00966EF5"/>
    <w:rsid w:val="00967B0B"/>
    <w:rsid w:val="00976F16"/>
    <w:rsid w:val="00980D1A"/>
    <w:rsid w:val="00981EF3"/>
    <w:rsid w:val="00990B98"/>
    <w:rsid w:val="00991D95"/>
    <w:rsid w:val="0099244E"/>
    <w:rsid w:val="00993DA9"/>
    <w:rsid w:val="009966D6"/>
    <w:rsid w:val="0099740F"/>
    <w:rsid w:val="009A4045"/>
    <w:rsid w:val="009A58C5"/>
    <w:rsid w:val="009A7944"/>
    <w:rsid w:val="009B52EB"/>
    <w:rsid w:val="009B798C"/>
    <w:rsid w:val="009C416E"/>
    <w:rsid w:val="009D078D"/>
    <w:rsid w:val="009D13A2"/>
    <w:rsid w:val="009D313C"/>
    <w:rsid w:val="009D3C5B"/>
    <w:rsid w:val="009D4616"/>
    <w:rsid w:val="009D5104"/>
    <w:rsid w:val="009D5A5A"/>
    <w:rsid w:val="009D604D"/>
    <w:rsid w:val="009E06A8"/>
    <w:rsid w:val="009E250D"/>
    <w:rsid w:val="009E75FF"/>
    <w:rsid w:val="009F13B5"/>
    <w:rsid w:val="009F30E0"/>
    <w:rsid w:val="009F3B0F"/>
    <w:rsid w:val="009F554A"/>
    <w:rsid w:val="009F5D00"/>
    <w:rsid w:val="009F6F06"/>
    <w:rsid w:val="009F7107"/>
    <w:rsid w:val="00A02D2A"/>
    <w:rsid w:val="00A03734"/>
    <w:rsid w:val="00A04EF3"/>
    <w:rsid w:val="00A0591A"/>
    <w:rsid w:val="00A05E18"/>
    <w:rsid w:val="00A07EF3"/>
    <w:rsid w:val="00A10F74"/>
    <w:rsid w:val="00A1222B"/>
    <w:rsid w:val="00A26B87"/>
    <w:rsid w:val="00A371C5"/>
    <w:rsid w:val="00A4118C"/>
    <w:rsid w:val="00A423CF"/>
    <w:rsid w:val="00A43A29"/>
    <w:rsid w:val="00A463A8"/>
    <w:rsid w:val="00A46C78"/>
    <w:rsid w:val="00A46CBD"/>
    <w:rsid w:val="00A47D43"/>
    <w:rsid w:val="00A5387F"/>
    <w:rsid w:val="00A53F1C"/>
    <w:rsid w:val="00A54C1F"/>
    <w:rsid w:val="00A55316"/>
    <w:rsid w:val="00A55B04"/>
    <w:rsid w:val="00A55E64"/>
    <w:rsid w:val="00A562F2"/>
    <w:rsid w:val="00A57142"/>
    <w:rsid w:val="00A61A44"/>
    <w:rsid w:val="00A62D7F"/>
    <w:rsid w:val="00A64D65"/>
    <w:rsid w:val="00A6686F"/>
    <w:rsid w:val="00A66A7F"/>
    <w:rsid w:val="00A72295"/>
    <w:rsid w:val="00A730A8"/>
    <w:rsid w:val="00A76F53"/>
    <w:rsid w:val="00A77E1C"/>
    <w:rsid w:val="00A837DF"/>
    <w:rsid w:val="00A85E29"/>
    <w:rsid w:val="00A860C8"/>
    <w:rsid w:val="00A86D2D"/>
    <w:rsid w:val="00A87020"/>
    <w:rsid w:val="00A905AE"/>
    <w:rsid w:val="00A90AA9"/>
    <w:rsid w:val="00A943B1"/>
    <w:rsid w:val="00A95D6E"/>
    <w:rsid w:val="00A96FAC"/>
    <w:rsid w:val="00A97E54"/>
    <w:rsid w:val="00AA1E3F"/>
    <w:rsid w:val="00AA69D3"/>
    <w:rsid w:val="00AA7168"/>
    <w:rsid w:val="00AB0A74"/>
    <w:rsid w:val="00AB33CD"/>
    <w:rsid w:val="00AB45A7"/>
    <w:rsid w:val="00AB4654"/>
    <w:rsid w:val="00AB6092"/>
    <w:rsid w:val="00AB62E0"/>
    <w:rsid w:val="00AB6643"/>
    <w:rsid w:val="00AC0B59"/>
    <w:rsid w:val="00AC7089"/>
    <w:rsid w:val="00AD02F5"/>
    <w:rsid w:val="00AD07F0"/>
    <w:rsid w:val="00AD11C8"/>
    <w:rsid w:val="00AD4192"/>
    <w:rsid w:val="00AD423D"/>
    <w:rsid w:val="00AD50CD"/>
    <w:rsid w:val="00AD70E6"/>
    <w:rsid w:val="00AD725A"/>
    <w:rsid w:val="00AE0610"/>
    <w:rsid w:val="00AE308A"/>
    <w:rsid w:val="00AE585A"/>
    <w:rsid w:val="00AE70E9"/>
    <w:rsid w:val="00AF040A"/>
    <w:rsid w:val="00AF10B9"/>
    <w:rsid w:val="00AF1345"/>
    <w:rsid w:val="00AF3E72"/>
    <w:rsid w:val="00AF50EE"/>
    <w:rsid w:val="00AF598E"/>
    <w:rsid w:val="00AF5AE1"/>
    <w:rsid w:val="00AF5AF1"/>
    <w:rsid w:val="00AF5BA1"/>
    <w:rsid w:val="00AF6A5A"/>
    <w:rsid w:val="00B00591"/>
    <w:rsid w:val="00B0175C"/>
    <w:rsid w:val="00B05548"/>
    <w:rsid w:val="00B05EB0"/>
    <w:rsid w:val="00B15896"/>
    <w:rsid w:val="00B15AF2"/>
    <w:rsid w:val="00B16430"/>
    <w:rsid w:val="00B169C8"/>
    <w:rsid w:val="00B20370"/>
    <w:rsid w:val="00B21BDA"/>
    <w:rsid w:val="00B23E3C"/>
    <w:rsid w:val="00B24F1E"/>
    <w:rsid w:val="00B278E1"/>
    <w:rsid w:val="00B27F6E"/>
    <w:rsid w:val="00B30F44"/>
    <w:rsid w:val="00B32EA9"/>
    <w:rsid w:val="00B337BC"/>
    <w:rsid w:val="00B402BD"/>
    <w:rsid w:val="00B40444"/>
    <w:rsid w:val="00B40969"/>
    <w:rsid w:val="00B44E12"/>
    <w:rsid w:val="00B514E8"/>
    <w:rsid w:val="00B635C6"/>
    <w:rsid w:val="00B660B5"/>
    <w:rsid w:val="00B700E9"/>
    <w:rsid w:val="00B70A11"/>
    <w:rsid w:val="00B71993"/>
    <w:rsid w:val="00B7225D"/>
    <w:rsid w:val="00B7265C"/>
    <w:rsid w:val="00B7665A"/>
    <w:rsid w:val="00B7674C"/>
    <w:rsid w:val="00B77584"/>
    <w:rsid w:val="00B77C5B"/>
    <w:rsid w:val="00B77DE4"/>
    <w:rsid w:val="00B802E5"/>
    <w:rsid w:val="00B87F0D"/>
    <w:rsid w:val="00B93646"/>
    <w:rsid w:val="00B9458B"/>
    <w:rsid w:val="00B967C4"/>
    <w:rsid w:val="00BA156F"/>
    <w:rsid w:val="00BA2EDC"/>
    <w:rsid w:val="00BA3716"/>
    <w:rsid w:val="00BA39B9"/>
    <w:rsid w:val="00BA450F"/>
    <w:rsid w:val="00BA4817"/>
    <w:rsid w:val="00BA6D33"/>
    <w:rsid w:val="00BB2022"/>
    <w:rsid w:val="00BB46CD"/>
    <w:rsid w:val="00BB476B"/>
    <w:rsid w:val="00BB50AE"/>
    <w:rsid w:val="00BB6B1B"/>
    <w:rsid w:val="00BB7E18"/>
    <w:rsid w:val="00BC02EE"/>
    <w:rsid w:val="00BC0552"/>
    <w:rsid w:val="00BC27DB"/>
    <w:rsid w:val="00BC301D"/>
    <w:rsid w:val="00BC374F"/>
    <w:rsid w:val="00BC44A5"/>
    <w:rsid w:val="00BC5020"/>
    <w:rsid w:val="00BC5D59"/>
    <w:rsid w:val="00BD16FA"/>
    <w:rsid w:val="00BD4BFF"/>
    <w:rsid w:val="00BD6182"/>
    <w:rsid w:val="00BE09BA"/>
    <w:rsid w:val="00BE1160"/>
    <w:rsid w:val="00BE17B1"/>
    <w:rsid w:val="00BE3078"/>
    <w:rsid w:val="00BE4965"/>
    <w:rsid w:val="00BE5CCE"/>
    <w:rsid w:val="00BE6161"/>
    <w:rsid w:val="00BF09AC"/>
    <w:rsid w:val="00BF1CB6"/>
    <w:rsid w:val="00C00CE9"/>
    <w:rsid w:val="00C018E8"/>
    <w:rsid w:val="00C04B69"/>
    <w:rsid w:val="00C054CA"/>
    <w:rsid w:val="00C05B06"/>
    <w:rsid w:val="00C12929"/>
    <w:rsid w:val="00C12C52"/>
    <w:rsid w:val="00C163FA"/>
    <w:rsid w:val="00C22CEE"/>
    <w:rsid w:val="00C23094"/>
    <w:rsid w:val="00C321EB"/>
    <w:rsid w:val="00C36F44"/>
    <w:rsid w:val="00C41BE5"/>
    <w:rsid w:val="00C42C3E"/>
    <w:rsid w:val="00C43ACF"/>
    <w:rsid w:val="00C4662D"/>
    <w:rsid w:val="00C46FE8"/>
    <w:rsid w:val="00C50541"/>
    <w:rsid w:val="00C62CFC"/>
    <w:rsid w:val="00C63FA2"/>
    <w:rsid w:val="00C65A0C"/>
    <w:rsid w:val="00C70DA5"/>
    <w:rsid w:val="00C73325"/>
    <w:rsid w:val="00C73E1A"/>
    <w:rsid w:val="00C7473E"/>
    <w:rsid w:val="00C75440"/>
    <w:rsid w:val="00C82013"/>
    <w:rsid w:val="00C8374E"/>
    <w:rsid w:val="00C838F4"/>
    <w:rsid w:val="00C8539B"/>
    <w:rsid w:val="00C853EC"/>
    <w:rsid w:val="00C86B37"/>
    <w:rsid w:val="00C87D74"/>
    <w:rsid w:val="00C903BC"/>
    <w:rsid w:val="00C91778"/>
    <w:rsid w:val="00C91BF8"/>
    <w:rsid w:val="00C92B05"/>
    <w:rsid w:val="00CA3385"/>
    <w:rsid w:val="00CB3E1C"/>
    <w:rsid w:val="00CB44BA"/>
    <w:rsid w:val="00CB4D86"/>
    <w:rsid w:val="00CC0842"/>
    <w:rsid w:val="00CC2BC1"/>
    <w:rsid w:val="00CC44E2"/>
    <w:rsid w:val="00CC7F7F"/>
    <w:rsid w:val="00CD152C"/>
    <w:rsid w:val="00CD1578"/>
    <w:rsid w:val="00CD3C60"/>
    <w:rsid w:val="00CD5A5E"/>
    <w:rsid w:val="00CD7E88"/>
    <w:rsid w:val="00CE151E"/>
    <w:rsid w:val="00CE2213"/>
    <w:rsid w:val="00CE2B78"/>
    <w:rsid w:val="00CE344D"/>
    <w:rsid w:val="00CE3E7D"/>
    <w:rsid w:val="00CE5BB2"/>
    <w:rsid w:val="00CF0868"/>
    <w:rsid w:val="00CF101D"/>
    <w:rsid w:val="00CF51B4"/>
    <w:rsid w:val="00CF563E"/>
    <w:rsid w:val="00CF725E"/>
    <w:rsid w:val="00D01057"/>
    <w:rsid w:val="00D017E2"/>
    <w:rsid w:val="00D0208B"/>
    <w:rsid w:val="00D0490F"/>
    <w:rsid w:val="00D04C8D"/>
    <w:rsid w:val="00D07C96"/>
    <w:rsid w:val="00D1085B"/>
    <w:rsid w:val="00D11B94"/>
    <w:rsid w:val="00D12723"/>
    <w:rsid w:val="00D139E3"/>
    <w:rsid w:val="00D1489E"/>
    <w:rsid w:val="00D16F88"/>
    <w:rsid w:val="00D21A67"/>
    <w:rsid w:val="00D2461B"/>
    <w:rsid w:val="00D25FD4"/>
    <w:rsid w:val="00D26487"/>
    <w:rsid w:val="00D305E7"/>
    <w:rsid w:val="00D321B1"/>
    <w:rsid w:val="00D3307A"/>
    <w:rsid w:val="00D34F3A"/>
    <w:rsid w:val="00D35C1A"/>
    <w:rsid w:val="00D36A98"/>
    <w:rsid w:val="00D377A6"/>
    <w:rsid w:val="00D41A88"/>
    <w:rsid w:val="00D41F18"/>
    <w:rsid w:val="00D450D6"/>
    <w:rsid w:val="00D45728"/>
    <w:rsid w:val="00D460B3"/>
    <w:rsid w:val="00D51A77"/>
    <w:rsid w:val="00D56391"/>
    <w:rsid w:val="00D56DC0"/>
    <w:rsid w:val="00D62DCE"/>
    <w:rsid w:val="00D701BC"/>
    <w:rsid w:val="00D70257"/>
    <w:rsid w:val="00D72597"/>
    <w:rsid w:val="00D72963"/>
    <w:rsid w:val="00D75850"/>
    <w:rsid w:val="00D76485"/>
    <w:rsid w:val="00D821FB"/>
    <w:rsid w:val="00D82946"/>
    <w:rsid w:val="00D82C4B"/>
    <w:rsid w:val="00D82D78"/>
    <w:rsid w:val="00D904C7"/>
    <w:rsid w:val="00D9198E"/>
    <w:rsid w:val="00D91A4B"/>
    <w:rsid w:val="00D92AE2"/>
    <w:rsid w:val="00D947C9"/>
    <w:rsid w:val="00D94EAC"/>
    <w:rsid w:val="00DA2700"/>
    <w:rsid w:val="00DA27B6"/>
    <w:rsid w:val="00DA46F4"/>
    <w:rsid w:val="00DB0B5F"/>
    <w:rsid w:val="00DB18EA"/>
    <w:rsid w:val="00DB19FB"/>
    <w:rsid w:val="00DB3494"/>
    <w:rsid w:val="00DB60B4"/>
    <w:rsid w:val="00DB617A"/>
    <w:rsid w:val="00DB6BAE"/>
    <w:rsid w:val="00DC0916"/>
    <w:rsid w:val="00DC1E66"/>
    <w:rsid w:val="00DC28B6"/>
    <w:rsid w:val="00DC5896"/>
    <w:rsid w:val="00DC606A"/>
    <w:rsid w:val="00DC70E7"/>
    <w:rsid w:val="00DC766D"/>
    <w:rsid w:val="00DD1AB8"/>
    <w:rsid w:val="00DD3140"/>
    <w:rsid w:val="00DD3709"/>
    <w:rsid w:val="00DD65D0"/>
    <w:rsid w:val="00DD7A15"/>
    <w:rsid w:val="00DE0A47"/>
    <w:rsid w:val="00DE0B48"/>
    <w:rsid w:val="00DE798D"/>
    <w:rsid w:val="00DF0C37"/>
    <w:rsid w:val="00DF14CA"/>
    <w:rsid w:val="00DF1746"/>
    <w:rsid w:val="00DF2C79"/>
    <w:rsid w:val="00DF52BF"/>
    <w:rsid w:val="00DF624C"/>
    <w:rsid w:val="00DF7A68"/>
    <w:rsid w:val="00E00F59"/>
    <w:rsid w:val="00E02637"/>
    <w:rsid w:val="00E027D4"/>
    <w:rsid w:val="00E0284C"/>
    <w:rsid w:val="00E039D1"/>
    <w:rsid w:val="00E05DA2"/>
    <w:rsid w:val="00E1399E"/>
    <w:rsid w:val="00E162BE"/>
    <w:rsid w:val="00E179FD"/>
    <w:rsid w:val="00E20C68"/>
    <w:rsid w:val="00E22EAF"/>
    <w:rsid w:val="00E2493C"/>
    <w:rsid w:val="00E25C5C"/>
    <w:rsid w:val="00E26A45"/>
    <w:rsid w:val="00E27791"/>
    <w:rsid w:val="00E34A6A"/>
    <w:rsid w:val="00E36B23"/>
    <w:rsid w:val="00E36D65"/>
    <w:rsid w:val="00E40239"/>
    <w:rsid w:val="00E44301"/>
    <w:rsid w:val="00E45036"/>
    <w:rsid w:val="00E50808"/>
    <w:rsid w:val="00E51A07"/>
    <w:rsid w:val="00E51ACF"/>
    <w:rsid w:val="00E535EC"/>
    <w:rsid w:val="00E571DA"/>
    <w:rsid w:val="00E66535"/>
    <w:rsid w:val="00E70465"/>
    <w:rsid w:val="00E70F3B"/>
    <w:rsid w:val="00E74835"/>
    <w:rsid w:val="00E74CA5"/>
    <w:rsid w:val="00E75BC1"/>
    <w:rsid w:val="00E76F0C"/>
    <w:rsid w:val="00E80FEC"/>
    <w:rsid w:val="00E8242C"/>
    <w:rsid w:val="00E843A8"/>
    <w:rsid w:val="00E845D0"/>
    <w:rsid w:val="00E906DE"/>
    <w:rsid w:val="00E91567"/>
    <w:rsid w:val="00E916EB"/>
    <w:rsid w:val="00E94C24"/>
    <w:rsid w:val="00E952C0"/>
    <w:rsid w:val="00E96FE3"/>
    <w:rsid w:val="00EA06FB"/>
    <w:rsid w:val="00EA44FF"/>
    <w:rsid w:val="00EB0EAA"/>
    <w:rsid w:val="00EB381B"/>
    <w:rsid w:val="00EB6359"/>
    <w:rsid w:val="00EB7597"/>
    <w:rsid w:val="00EB7D76"/>
    <w:rsid w:val="00EC0ED4"/>
    <w:rsid w:val="00EC318B"/>
    <w:rsid w:val="00EC5AA8"/>
    <w:rsid w:val="00ED0022"/>
    <w:rsid w:val="00ED0401"/>
    <w:rsid w:val="00ED4047"/>
    <w:rsid w:val="00ED4F2E"/>
    <w:rsid w:val="00ED7DDB"/>
    <w:rsid w:val="00EE1317"/>
    <w:rsid w:val="00EE612C"/>
    <w:rsid w:val="00EE6C9F"/>
    <w:rsid w:val="00EF1BDE"/>
    <w:rsid w:val="00EF30D8"/>
    <w:rsid w:val="00EF4DCB"/>
    <w:rsid w:val="00EF6571"/>
    <w:rsid w:val="00EF718D"/>
    <w:rsid w:val="00F0032D"/>
    <w:rsid w:val="00F02A4F"/>
    <w:rsid w:val="00F02CC6"/>
    <w:rsid w:val="00F03F5C"/>
    <w:rsid w:val="00F11B01"/>
    <w:rsid w:val="00F1415A"/>
    <w:rsid w:val="00F179F8"/>
    <w:rsid w:val="00F226E4"/>
    <w:rsid w:val="00F22ED9"/>
    <w:rsid w:val="00F26E8E"/>
    <w:rsid w:val="00F300B5"/>
    <w:rsid w:val="00F3194C"/>
    <w:rsid w:val="00F427F2"/>
    <w:rsid w:val="00F44E66"/>
    <w:rsid w:val="00F45A19"/>
    <w:rsid w:val="00F45EC6"/>
    <w:rsid w:val="00F46058"/>
    <w:rsid w:val="00F520F4"/>
    <w:rsid w:val="00F55A4A"/>
    <w:rsid w:val="00F6498D"/>
    <w:rsid w:val="00F6658E"/>
    <w:rsid w:val="00F66BC9"/>
    <w:rsid w:val="00F674AF"/>
    <w:rsid w:val="00F71D4E"/>
    <w:rsid w:val="00F75735"/>
    <w:rsid w:val="00F768B8"/>
    <w:rsid w:val="00F84AF6"/>
    <w:rsid w:val="00F853A6"/>
    <w:rsid w:val="00F90F8C"/>
    <w:rsid w:val="00F953AB"/>
    <w:rsid w:val="00FA0AE5"/>
    <w:rsid w:val="00FA0B2A"/>
    <w:rsid w:val="00FA1983"/>
    <w:rsid w:val="00FA5575"/>
    <w:rsid w:val="00FA55F8"/>
    <w:rsid w:val="00FB1414"/>
    <w:rsid w:val="00FB1A72"/>
    <w:rsid w:val="00FC0249"/>
    <w:rsid w:val="00FC09FE"/>
    <w:rsid w:val="00FC4342"/>
    <w:rsid w:val="00FC45E8"/>
    <w:rsid w:val="00FC4CE6"/>
    <w:rsid w:val="00FC4D75"/>
    <w:rsid w:val="00FC7DCD"/>
    <w:rsid w:val="00FD146E"/>
    <w:rsid w:val="00FD33BE"/>
    <w:rsid w:val="00FD418A"/>
    <w:rsid w:val="00FD59D5"/>
    <w:rsid w:val="00FD6473"/>
    <w:rsid w:val="00FD7060"/>
    <w:rsid w:val="00FD7A8D"/>
    <w:rsid w:val="00FE0BA4"/>
    <w:rsid w:val="00FE0DBA"/>
    <w:rsid w:val="00FE15AC"/>
    <w:rsid w:val="00FE7314"/>
    <w:rsid w:val="00FE7EC5"/>
    <w:rsid w:val="00FF369C"/>
    <w:rsid w:val="00FF60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6DCA6D"/>
  <w15:docId w15:val="{448D6F09-B77B-4605-96BB-AB19B9D7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929"/>
    <w:pPr>
      <w:spacing w:before="120" w:after="28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350EFE"/>
    <w:pPr>
      <w:keepNext/>
      <w:keepLines/>
      <w:spacing w:after="0"/>
      <w:outlineLvl w:val="0"/>
    </w:pPr>
    <w:rPr>
      <w:rFonts w:eastAsiaTheme="majorEastAsia" w:cstheme="majorBidi"/>
      <w:b/>
      <w:color w:val="2E74B5" w:themeColor="accent1" w:themeShade="BF"/>
      <w:szCs w:val="32"/>
    </w:rPr>
  </w:style>
  <w:style w:type="paragraph" w:styleId="Heading2">
    <w:name w:val="heading 2"/>
    <w:basedOn w:val="Normal"/>
    <w:next w:val="Normal"/>
    <w:link w:val="Heading2Char"/>
    <w:uiPriority w:val="9"/>
    <w:unhideWhenUsed/>
    <w:qFormat/>
    <w:rsid w:val="001055B4"/>
    <w:pPr>
      <w:keepNext/>
      <w:keepLines/>
      <w:spacing w:before="40" w:after="0"/>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81006F"/>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iPriority w:val="99"/>
    <w:unhideWhenUsed/>
    <w:rsid w:val="000338CC"/>
    <w:pPr>
      <w:keepNext/>
      <w:numPr>
        <w:numId w:val="1"/>
      </w:numPr>
      <w:spacing w:after="0" w:line="360" w:lineRule="auto"/>
      <w:contextualSpacing/>
      <w:outlineLvl w:val="0"/>
    </w:pPr>
    <w:rPr>
      <w:rFonts w:ascii="Verdana" w:eastAsia="MS Gothic" w:hAnsi="Verdana"/>
    </w:rPr>
  </w:style>
  <w:style w:type="paragraph" w:customStyle="1" w:styleId="NoteLevel21">
    <w:name w:val="Note Level 21"/>
    <w:basedOn w:val="Normal"/>
    <w:uiPriority w:val="99"/>
    <w:unhideWhenUsed/>
    <w:rsid w:val="000338CC"/>
    <w:pPr>
      <w:keepNext/>
      <w:numPr>
        <w:ilvl w:val="1"/>
        <w:numId w:val="1"/>
      </w:numPr>
      <w:spacing w:after="0" w:line="360" w:lineRule="auto"/>
      <w:contextualSpacing/>
      <w:outlineLvl w:val="1"/>
    </w:pPr>
    <w:rPr>
      <w:rFonts w:ascii="Verdana" w:eastAsia="MS Gothic" w:hAnsi="Verdana"/>
    </w:rPr>
  </w:style>
  <w:style w:type="paragraph" w:customStyle="1" w:styleId="NoteLevel31">
    <w:name w:val="Note Level 31"/>
    <w:basedOn w:val="Normal"/>
    <w:uiPriority w:val="99"/>
    <w:semiHidden/>
    <w:unhideWhenUsed/>
    <w:rsid w:val="000338CC"/>
    <w:pPr>
      <w:keepNext/>
      <w:numPr>
        <w:ilvl w:val="2"/>
        <w:numId w:val="1"/>
      </w:numPr>
      <w:tabs>
        <w:tab w:val="clear" w:pos="1440"/>
        <w:tab w:val="num" w:pos="360"/>
      </w:tabs>
      <w:spacing w:after="0" w:line="360" w:lineRule="auto"/>
      <w:ind w:left="0" w:firstLine="0"/>
      <w:contextualSpacing/>
      <w:outlineLvl w:val="2"/>
    </w:pPr>
    <w:rPr>
      <w:rFonts w:ascii="Verdana" w:eastAsia="MS Gothic" w:hAnsi="Verdana"/>
    </w:rPr>
  </w:style>
  <w:style w:type="paragraph" w:customStyle="1" w:styleId="NoteLevel41">
    <w:name w:val="Note Level 41"/>
    <w:basedOn w:val="Normal"/>
    <w:uiPriority w:val="99"/>
    <w:semiHidden/>
    <w:unhideWhenUsed/>
    <w:rsid w:val="000338CC"/>
    <w:pPr>
      <w:keepNext/>
      <w:numPr>
        <w:ilvl w:val="3"/>
        <w:numId w:val="1"/>
      </w:numPr>
      <w:spacing w:after="0" w:line="360" w:lineRule="auto"/>
      <w:contextualSpacing/>
      <w:outlineLvl w:val="3"/>
    </w:pPr>
    <w:rPr>
      <w:rFonts w:ascii="Verdana" w:eastAsia="MS Gothic" w:hAnsi="Verdana"/>
    </w:rPr>
  </w:style>
  <w:style w:type="paragraph" w:customStyle="1" w:styleId="NoteLevel51">
    <w:name w:val="Note Level 51"/>
    <w:basedOn w:val="Normal"/>
    <w:uiPriority w:val="99"/>
    <w:semiHidden/>
    <w:unhideWhenUsed/>
    <w:rsid w:val="000338CC"/>
    <w:pPr>
      <w:keepNext/>
      <w:numPr>
        <w:ilvl w:val="4"/>
        <w:numId w:val="1"/>
      </w:numPr>
      <w:spacing w:after="0" w:line="360" w:lineRule="auto"/>
      <w:contextualSpacing/>
      <w:outlineLvl w:val="4"/>
    </w:pPr>
    <w:rPr>
      <w:rFonts w:ascii="Verdana" w:eastAsia="MS Gothic" w:hAnsi="Verdana"/>
    </w:rPr>
  </w:style>
  <w:style w:type="paragraph" w:customStyle="1" w:styleId="NoteLevel61">
    <w:name w:val="Note Level 61"/>
    <w:basedOn w:val="Normal"/>
    <w:uiPriority w:val="99"/>
    <w:semiHidden/>
    <w:unhideWhenUsed/>
    <w:rsid w:val="000338CC"/>
    <w:pPr>
      <w:keepNext/>
      <w:numPr>
        <w:ilvl w:val="5"/>
        <w:numId w:val="1"/>
      </w:numPr>
      <w:spacing w:after="0" w:line="360" w:lineRule="auto"/>
      <w:contextualSpacing/>
      <w:outlineLvl w:val="5"/>
    </w:pPr>
    <w:rPr>
      <w:rFonts w:ascii="Verdana" w:eastAsia="MS Gothic" w:hAnsi="Verdana"/>
    </w:rPr>
  </w:style>
  <w:style w:type="paragraph" w:customStyle="1" w:styleId="NoteLevel71">
    <w:name w:val="Note Level 71"/>
    <w:basedOn w:val="Normal"/>
    <w:uiPriority w:val="99"/>
    <w:semiHidden/>
    <w:unhideWhenUsed/>
    <w:rsid w:val="000338CC"/>
    <w:pPr>
      <w:keepNext/>
      <w:numPr>
        <w:ilvl w:val="6"/>
        <w:numId w:val="1"/>
      </w:numPr>
      <w:spacing w:after="0" w:line="360" w:lineRule="auto"/>
      <w:contextualSpacing/>
      <w:outlineLvl w:val="6"/>
    </w:pPr>
    <w:rPr>
      <w:rFonts w:ascii="Verdana" w:eastAsia="MS Gothic" w:hAnsi="Verdana"/>
    </w:rPr>
  </w:style>
  <w:style w:type="paragraph" w:customStyle="1" w:styleId="NoteLevel81">
    <w:name w:val="Note Level 81"/>
    <w:basedOn w:val="Normal"/>
    <w:uiPriority w:val="99"/>
    <w:semiHidden/>
    <w:unhideWhenUsed/>
    <w:rsid w:val="000338CC"/>
    <w:pPr>
      <w:keepNext/>
      <w:numPr>
        <w:ilvl w:val="7"/>
        <w:numId w:val="1"/>
      </w:numPr>
      <w:spacing w:after="0" w:line="360" w:lineRule="auto"/>
      <w:contextualSpacing/>
      <w:outlineLvl w:val="7"/>
    </w:pPr>
    <w:rPr>
      <w:rFonts w:ascii="Verdana" w:eastAsia="MS Gothic" w:hAnsi="Verdana"/>
    </w:rPr>
  </w:style>
  <w:style w:type="paragraph" w:customStyle="1" w:styleId="NoteLevel91">
    <w:name w:val="Note Level 91"/>
    <w:basedOn w:val="Normal"/>
    <w:uiPriority w:val="99"/>
    <w:semiHidden/>
    <w:unhideWhenUsed/>
    <w:rsid w:val="000338CC"/>
    <w:pPr>
      <w:keepNext/>
      <w:numPr>
        <w:ilvl w:val="8"/>
        <w:numId w:val="1"/>
      </w:numPr>
      <w:spacing w:after="0" w:line="360" w:lineRule="auto"/>
      <w:contextualSpacing/>
      <w:outlineLvl w:val="8"/>
    </w:pPr>
    <w:rPr>
      <w:rFonts w:ascii="Verdana" w:eastAsia="MS Gothic" w:hAnsi="Verdana"/>
    </w:rPr>
  </w:style>
  <w:style w:type="character" w:styleId="Hyperlink">
    <w:name w:val="Hyperlink"/>
    <w:basedOn w:val="DefaultParagraphFont"/>
    <w:uiPriority w:val="99"/>
    <w:unhideWhenUsed/>
    <w:rsid w:val="00033691"/>
    <w:rPr>
      <w:color w:val="0563C1" w:themeColor="hyperlink"/>
      <w:u w:val="single"/>
    </w:rPr>
  </w:style>
  <w:style w:type="character" w:customStyle="1" w:styleId="Heading1Char">
    <w:name w:val="Heading 1 Char"/>
    <w:basedOn w:val="DefaultParagraphFont"/>
    <w:link w:val="Heading1"/>
    <w:uiPriority w:val="9"/>
    <w:rsid w:val="00350EFE"/>
    <w:rPr>
      <w:rFonts w:ascii="Times New Roman" w:eastAsiaTheme="majorEastAsia" w:hAnsi="Times New Roman" w:cstheme="majorBidi"/>
      <w:b/>
      <w:color w:val="2E74B5" w:themeColor="accent1" w:themeShade="BF"/>
      <w:sz w:val="24"/>
      <w:szCs w:val="32"/>
    </w:rPr>
  </w:style>
  <w:style w:type="character" w:customStyle="1" w:styleId="Heading2Char">
    <w:name w:val="Heading 2 Char"/>
    <w:basedOn w:val="DefaultParagraphFont"/>
    <w:link w:val="Heading2"/>
    <w:uiPriority w:val="9"/>
    <w:rsid w:val="001055B4"/>
    <w:rPr>
      <w:rFonts w:ascii="Times New Roman" w:eastAsiaTheme="majorEastAsia" w:hAnsi="Times New Roman" w:cstheme="majorBidi"/>
      <w:i/>
      <w:color w:val="2E74B5" w:themeColor="accent1" w:themeShade="BF"/>
      <w:sz w:val="24"/>
      <w:szCs w:val="26"/>
    </w:rPr>
  </w:style>
  <w:style w:type="paragraph" w:styleId="ListParagraph">
    <w:name w:val="List Paragraph"/>
    <w:basedOn w:val="Normal"/>
    <w:uiPriority w:val="34"/>
    <w:qFormat/>
    <w:rsid w:val="00ED4F2E"/>
    <w:pPr>
      <w:ind w:left="720"/>
      <w:contextualSpacing/>
    </w:pPr>
  </w:style>
  <w:style w:type="character" w:customStyle="1" w:styleId="Heading3Char">
    <w:name w:val="Heading 3 Char"/>
    <w:basedOn w:val="DefaultParagraphFont"/>
    <w:link w:val="Heading3"/>
    <w:uiPriority w:val="9"/>
    <w:rsid w:val="0081006F"/>
    <w:rPr>
      <w:rFonts w:ascii="Times New Roman" w:eastAsiaTheme="majorEastAsia" w:hAnsi="Times New Roman" w:cstheme="majorBidi"/>
      <w:color w:val="1F4D78" w:themeColor="accent1" w:themeShade="7F"/>
      <w:sz w:val="24"/>
      <w:szCs w:val="24"/>
    </w:rPr>
  </w:style>
  <w:style w:type="paragraph" w:styleId="Header">
    <w:name w:val="header"/>
    <w:basedOn w:val="Normal"/>
    <w:link w:val="HeaderChar"/>
    <w:uiPriority w:val="99"/>
    <w:unhideWhenUsed/>
    <w:rsid w:val="008D4975"/>
    <w:pPr>
      <w:tabs>
        <w:tab w:val="center" w:pos="4513"/>
        <w:tab w:val="right" w:pos="9026"/>
      </w:tabs>
      <w:spacing w:after="0"/>
    </w:pPr>
  </w:style>
  <w:style w:type="character" w:customStyle="1" w:styleId="HeaderChar">
    <w:name w:val="Header Char"/>
    <w:basedOn w:val="DefaultParagraphFont"/>
    <w:link w:val="Header"/>
    <w:uiPriority w:val="99"/>
    <w:rsid w:val="008D4975"/>
  </w:style>
  <w:style w:type="paragraph" w:styleId="Footer">
    <w:name w:val="footer"/>
    <w:basedOn w:val="Normal"/>
    <w:link w:val="FooterChar"/>
    <w:uiPriority w:val="99"/>
    <w:unhideWhenUsed/>
    <w:rsid w:val="008D4975"/>
    <w:pPr>
      <w:tabs>
        <w:tab w:val="center" w:pos="4513"/>
        <w:tab w:val="right" w:pos="9026"/>
      </w:tabs>
      <w:spacing w:after="0"/>
    </w:pPr>
  </w:style>
  <w:style w:type="character" w:customStyle="1" w:styleId="FooterChar">
    <w:name w:val="Footer Char"/>
    <w:basedOn w:val="DefaultParagraphFont"/>
    <w:link w:val="Footer"/>
    <w:uiPriority w:val="99"/>
    <w:rsid w:val="008D4975"/>
  </w:style>
  <w:style w:type="character" w:styleId="SubtleEmphasis">
    <w:name w:val="Subtle Emphasis"/>
    <w:basedOn w:val="DefaultParagraphFont"/>
    <w:uiPriority w:val="19"/>
    <w:qFormat/>
    <w:rsid w:val="00CB3E1C"/>
    <w:rPr>
      <w:i/>
      <w:iCs/>
      <w:color w:val="404040" w:themeColor="text1" w:themeTint="BF"/>
    </w:rPr>
  </w:style>
  <w:style w:type="character" w:styleId="CommentReference">
    <w:name w:val="annotation reference"/>
    <w:basedOn w:val="DefaultParagraphFont"/>
    <w:uiPriority w:val="99"/>
    <w:semiHidden/>
    <w:unhideWhenUsed/>
    <w:rsid w:val="00237710"/>
    <w:rPr>
      <w:sz w:val="16"/>
      <w:szCs w:val="16"/>
    </w:rPr>
  </w:style>
  <w:style w:type="paragraph" w:styleId="CommentText">
    <w:name w:val="annotation text"/>
    <w:basedOn w:val="Normal"/>
    <w:link w:val="CommentTextChar"/>
    <w:uiPriority w:val="99"/>
    <w:semiHidden/>
    <w:unhideWhenUsed/>
    <w:rsid w:val="00237710"/>
    <w:rPr>
      <w:sz w:val="20"/>
      <w:szCs w:val="20"/>
    </w:rPr>
  </w:style>
  <w:style w:type="character" w:customStyle="1" w:styleId="CommentTextChar">
    <w:name w:val="Comment Text Char"/>
    <w:basedOn w:val="DefaultParagraphFont"/>
    <w:link w:val="CommentText"/>
    <w:uiPriority w:val="99"/>
    <w:semiHidden/>
    <w:rsid w:val="00237710"/>
    <w:rPr>
      <w:sz w:val="20"/>
      <w:szCs w:val="20"/>
    </w:rPr>
  </w:style>
  <w:style w:type="paragraph" w:styleId="CommentSubject">
    <w:name w:val="annotation subject"/>
    <w:basedOn w:val="CommentText"/>
    <w:next w:val="CommentText"/>
    <w:link w:val="CommentSubjectChar"/>
    <w:uiPriority w:val="99"/>
    <w:semiHidden/>
    <w:unhideWhenUsed/>
    <w:rsid w:val="00237710"/>
    <w:rPr>
      <w:b/>
      <w:bCs/>
    </w:rPr>
  </w:style>
  <w:style w:type="character" w:customStyle="1" w:styleId="CommentSubjectChar">
    <w:name w:val="Comment Subject Char"/>
    <w:basedOn w:val="CommentTextChar"/>
    <w:link w:val="CommentSubject"/>
    <w:uiPriority w:val="99"/>
    <w:semiHidden/>
    <w:rsid w:val="00237710"/>
    <w:rPr>
      <w:b/>
      <w:bCs/>
      <w:sz w:val="20"/>
      <w:szCs w:val="20"/>
    </w:rPr>
  </w:style>
  <w:style w:type="paragraph" w:styleId="BalloonText">
    <w:name w:val="Balloon Text"/>
    <w:basedOn w:val="Normal"/>
    <w:link w:val="BalloonTextChar"/>
    <w:uiPriority w:val="99"/>
    <w:semiHidden/>
    <w:unhideWhenUsed/>
    <w:rsid w:val="002377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710"/>
    <w:rPr>
      <w:rFonts w:ascii="Segoe UI" w:hAnsi="Segoe UI" w:cs="Segoe UI"/>
      <w:sz w:val="18"/>
      <w:szCs w:val="18"/>
    </w:rPr>
  </w:style>
  <w:style w:type="character" w:customStyle="1" w:styleId="apple-converted-space">
    <w:name w:val="apple-converted-space"/>
    <w:basedOn w:val="DefaultParagraphFont"/>
    <w:rsid w:val="006F356D"/>
  </w:style>
  <w:style w:type="character" w:styleId="Emphasis">
    <w:name w:val="Emphasis"/>
    <w:basedOn w:val="DefaultParagraphFont"/>
    <w:uiPriority w:val="20"/>
    <w:qFormat/>
    <w:rsid w:val="006F356D"/>
    <w:rPr>
      <w:i/>
      <w:iCs/>
    </w:rPr>
  </w:style>
  <w:style w:type="paragraph" w:styleId="Bibliography">
    <w:name w:val="Bibliography"/>
    <w:basedOn w:val="Normal"/>
    <w:next w:val="Normal"/>
    <w:uiPriority w:val="37"/>
    <w:unhideWhenUsed/>
    <w:rsid w:val="0081006F"/>
    <w:pPr>
      <w:spacing w:before="0" w:after="200" w:line="276" w:lineRule="auto"/>
      <w:jc w:val="left"/>
    </w:pPr>
    <w:rPr>
      <w:rFonts w:asciiTheme="minorHAnsi" w:hAnsiTheme="minorHAnsi"/>
      <w:sz w:val="22"/>
    </w:rPr>
  </w:style>
  <w:style w:type="paragraph" w:styleId="Caption">
    <w:name w:val="caption"/>
    <w:basedOn w:val="Normal"/>
    <w:next w:val="Normal"/>
    <w:qFormat/>
    <w:rsid w:val="00D0490F"/>
    <w:pPr>
      <w:spacing w:before="0" w:after="0"/>
      <w:jc w:val="left"/>
    </w:pPr>
    <w:rPr>
      <w:rFonts w:eastAsia="SimSun" w:cs="Times New Roman"/>
      <w:b/>
      <w:bCs/>
      <w:sz w:val="20"/>
      <w:szCs w:val="20"/>
      <w:lang w:val="en-US" w:eastAsia="zh-CN"/>
    </w:rPr>
  </w:style>
  <w:style w:type="character" w:customStyle="1" w:styleId="legds2">
    <w:name w:val="legds2"/>
    <w:basedOn w:val="DefaultParagraphFont"/>
    <w:rsid w:val="002B75E8"/>
    <w:rPr>
      <w:vanish w:val="0"/>
      <w:webHidden w:val="0"/>
      <w:specVanish w:val="0"/>
    </w:rPr>
  </w:style>
  <w:style w:type="character" w:customStyle="1" w:styleId="legextentrestriction7">
    <w:name w:val="legextentrestriction7"/>
    <w:basedOn w:val="DefaultParagraphFont"/>
    <w:rsid w:val="002B75E8"/>
    <w:rPr>
      <w:b/>
      <w:bCs/>
      <w:i w:val="0"/>
      <w:iCs w:val="0"/>
      <w:vanish/>
      <w:webHidden w:val="0"/>
      <w:color w:val="FFFFFF"/>
      <w:sz w:val="22"/>
      <w:szCs w:val="22"/>
      <w:shd w:val="clear" w:color="auto" w:fill="660066"/>
      <w:specVanish w:val="0"/>
    </w:rPr>
  </w:style>
  <w:style w:type="character" w:customStyle="1" w:styleId="ennote">
    <w:name w:val="ennote"/>
    <w:basedOn w:val="DefaultParagraphFont"/>
    <w:rsid w:val="002B75E8"/>
  </w:style>
  <w:style w:type="paragraph" w:customStyle="1" w:styleId="legclearfix2">
    <w:name w:val="legclearfix2"/>
    <w:basedOn w:val="Normal"/>
    <w:rsid w:val="002B75E8"/>
    <w:pPr>
      <w:shd w:val="clear" w:color="auto" w:fill="FFFFFF"/>
      <w:spacing w:before="0" w:after="120" w:line="360" w:lineRule="atLeast"/>
      <w:jc w:val="left"/>
    </w:pPr>
    <w:rPr>
      <w:rFonts w:eastAsia="Times New Roman" w:cs="Times New Roman"/>
      <w:color w:val="000000"/>
      <w:sz w:val="19"/>
      <w:szCs w:val="19"/>
      <w:lang w:eastAsia="en-GB"/>
    </w:rPr>
  </w:style>
  <w:style w:type="paragraph" w:styleId="FootnoteText">
    <w:name w:val="footnote text"/>
    <w:basedOn w:val="Normal"/>
    <w:link w:val="FootnoteTextChar"/>
    <w:uiPriority w:val="99"/>
    <w:unhideWhenUsed/>
    <w:rsid w:val="00E36B23"/>
    <w:pPr>
      <w:spacing w:before="0" w:after="0"/>
      <w:jc w:val="left"/>
    </w:pPr>
    <w:rPr>
      <w:rFonts w:asciiTheme="minorHAnsi" w:eastAsiaTheme="minorEastAsia" w:hAnsiTheme="minorHAnsi"/>
      <w:sz w:val="20"/>
      <w:szCs w:val="20"/>
      <w:lang w:eastAsia="en-GB"/>
    </w:rPr>
  </w:style>
  <w:style w:type="character" w:customStyle="1" w:styleId="FootnoteTextChar">
    <w:name w:val="Footnote Text Char"/>
    <w:basedOn w:val="DefaultParagraphFont"/>
    <w:link w:val="FootnoteText"/>
    <w:uiPriority w:val="99"/>
    <w:rsid w:val="00E36B23"/>
    <w:rPr>
      <w:rFonts w:eastAsiaTheme="minorEastAsia"/>
      <w:sz w:val="20"/>
      <w:szCs w:val="20"/>
      <w:lang w:eastAsia="en-GB"/>
    </w:rPr>
  </w:style>
  <w:style w:type="character" w:styleId="FootnoteReference">
    <w:name w:val="footnote reference"/>
    <w:basedOn w:val="DefaultParagraphFont"/>
    <w:unhideWhenUsed/>
    <w:rsid w:val="00E36B23"/>
    <w:rPr>
      <w:vertAlign w:val="superscript"/>
    </w:rPr>
  </w:style>
  <w:style w:type="character" w:customStyle="1" w:styleId="hps">
    <w:name w:val="hps"/>
    <w:basedOn w:val="DefaultParagraphFont"/>
    <w:rsid w:val="000315E0"/>
  </w:style>
  <w:style w:type="paragraph" w:customStyle="1" w:styleId="EndNoteBibliography">
    <w:name w:val="EndNote Bibliography"/>
    <w:basedOn w:val="Normal"/>
    <w:link w:val="EndNoteBibliographyChar"/>
    <w:rsid w:val="00C62CFC"/>
    <w:pPr>
      <w:spacing w:before="0" w:after="200"/>
    </w:pPr>
    <w:rPr>
      <w:rFonts w:cs="Times New Roman"/>
      <w:noProof/>
      <w:lang w:val="en-US"/>
    </w:rPr>
  </w:style>
  <w:style w:type="character" w:customStyle="1" w:styleId="EndNoteBibliographyChar">
    <w:name w:val="EndNote Bibliography Char"/>
    <w:basedOn w:val="DefaultParagraphFont"/>
    <w:link w:val="EndNoteBibliography"/>
    <w:rsid w:val="00C62CFC"/>
    <w:rPr>
      <w:rFonts w:ascii="Times New Roman" w:hAnsi="Times New Roman" w:cs="Times New Roman"/>
      <w:noProof/>
      <w:sz w:val="24"/>
      <w:lang w:val="en-US"/>
    </w:rPr>
  </w:style>
  <w:style w:type="table" w:customStyle="1" w:styleId="TableGrid1">
    <w:name w:val="Table Grid1"/>
    <w:basedOn w:val="TableNormal"/>
    <w:next w:val="TableGrid"/>
    <w:uiPriority w:val="59"/>
    <w:rsid w:val="00122C20"/>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2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0A83"/>
    <w:rPr>
      <w:color w:val="954F72" w:themeColor="followedHyperlink"/>
      <w:u w:val="single"/>
    </w:rPr>
  </w:style>
  <w:style w:type="paragraph" w:customStyle="1" w:styleId="EndNoteBibliographyTitle">
    <w:name w:val="EndNote Bibliography Title"/>
    <w:basedOn w:val="Normal"/>
    <w:link w:val="EndNoteBibliographyTitleChar"/>
    <w:rsid w:val="00355C4B"/>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355C4B"/>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1354">
      <w:bodyDiv w:val="1"/>
      <w:marLeft w:val="0"/>
      <w:marRight w:val="0"/>
      <w:marTop w:val="0"/>
      <w:marBottom w:val="0"/>
      <w:divBdr>
        <w:top w:val="none" w:sz="0" w:space="0" w:color="auto"/>
        <w:left w:val="none" w:sz="0" w:space="0" w:color="auto"/>
        <w:bottom w:val="none" w:sz="0" w:space="0" w:color="auto"/>
        <w:right w:val="none" w:sz="0" w:space="0" w:color="auto"/>
      </w:divBdr>
      <w:divsChild>
        <w:div w:id="759529077">
          <w:marLeft w:val="0"/>
          <w:marRight w:val="0"/>
          <w:marTop w:val="0"/>
          <w:marBottom w:val="0"/>
          <w:divBdr>
            <w:top w:val="none" w:sz="0" w:space="0" w:color="auto"/>
            <w:left w:val="none" w:sz="0" w:space="0" w:color="auto"/>
            <w:bottom w:val="none" w:sz="0" w:space="0" w:color="auto"/>
            <w:right w:val="none" w:sz="0" w:space="0" w:color="auto"/>
          </w:divBdr>
        </w:div>
      </w:divsChild>
    </w:div>
    <w:div w:id="27268594">
      <w:bodyDiv w:val="1"/>
      <w:marLeft w:val="0"/>
      <w:marRight w:val="0"/>
      <w:marTop w:val="0"/>
      <w:marBottom w:val="0"/>
      <w:divBdr>
        <w:top w:val="none" w:sz="0" w:space="0" w:color="auto"/>
        <w:left w:val="none" w:sz="0" w:space="0" w:color="auto"/>
        <w:bottom w:val="none" w:sz="0" w:space="0" w:color="auto"/>
        <w:right w:val="none" w:sz="0" w:space="0" w:color="auto"/>
      </w:divBdr>
    </w:div>
    <w:div w:id="28574187">
      <w:bodyDiv w:val="1"/>
      <w:marLeft w:val="0"/>
      <w:marRight w:val="0"/>
      <w:marTop w:val="0"/>
      <w:marBottom w:val="0"/>
      <w:divBdr>
        <w:top w:val="none" w:sz="0" w:space="0" w:color="auto"/>
        <w:left w:val="none" w:sz="0" w:space="0" w:color="auto"/>
        <w:bottom w:val="none" w:sz="0" w:space="0" w:color="auto"/>
        <w:right w:val="none" w:sz="0" w:space="0" w:color="auto"/>
      </w:divBdr>
      <w:divsChild>
        <w:div w:id="275521585">
          <w:marLeft w:val="0"/>
          <w:marRight w:val="0"/>
          <w:marTop w:val="0"/>
          <w:marBottom w:val="0"/>
          <w:divBdr>
            <w:top w:val="none" w:sz="0" w:space="0" w:color="auto"/>
            <w:left w:val="none" w:sz="0" w:space="0" w:color="auto"/>
            <w:bottom w:val="none" w:sz="0" w:space="0" w:color="auto"/>
            <w:right w:val="none" w:sz="0" w:space="0" w:color="auto"/>
          </w:divBdr>
          <w:divsChild>
            <w:div w:id="243882998">
              <w:marLeft w:val="0"/>
              <w:marRight w:val="0"/>
              <w:marTop w:val="0"/>
              <w:marBottom w:val="0"/>
              <w:divBdr>
                <w:top w:val="single" w:sz="2" w:space="0" w:color="FFFFFF"/>
                <w:left w:val="single" w:sz="6" w:space="0" w:color="FFFFFF"/>
                <w:bottom w:val="single" w:sz="6" w:space="0" w:color="FFFFFF"/>
                <w:right w:val="single" w:sz="6" w:space="0" w:color="FFFFFF"/>
              </w:divBdr>
              <w:divsChild>
                <w:div w:id="1348630550">
                  <w:marLeft w:val="0"/>
                  <w:marRight w:val="0"/>
                  <w:marTop w:val="0"/>
                  <w:marBottom w:val="0"/>
                  <w:divBdr>
                    <w:top w:val="single" w:sz="6" w:space="1" w:color="D3D3D3"/>
                    <w:left w:val="none" w:sz="0" w:space="0" w:color="auto"/>
                    <w:bottom w:val="none" w:sz="0" w:space="0" w:color="auto"/>
                    <w:right w:val="none" w:sz="0" w:space="0" w:color="auto"/>
                  </w:divBdr>
                  <w:divsChild>
                    <w:div w:id="1970816797">
                      <w:marLeft w:val="0"/>
                      <w:marRight w:val="0"/>
                      <w:marTop w:val="0"/>
                      <w:marBottom w:val="0"/>
                      <w:divBdr>
                        <w:top w:val="none" w:sz="0" w:space="0" w:color="auto"/>
                        <w:left w:val="none" w:sz="0" w:space="0" w:color="auto"/>
                        <w:bottom w:val="none" w:sz="0" w:space="0" w:color="auto"/>
                        <w:right w:val="none" w:sz="0" w:space="0" w:color="auto"/>
                      </w:divBdr>
                      <w:divsChild>
                        <w:div w:id="1119641596">
                          <w:marLeft w:val="0"/>
                          <w:marRight w:val="0"/>
                          <w:marTop w:val="0"/>
                          <w:marBottom w:val="0"/>
                          <w:divBdr>
                            <w:top w:val="none" w:sz="0" w:space="0" w:color="auto"/>
                            <w:left w:val="none" w:sz="0" w:space="0" w:color="auto"/>
                            <w:bottom w:val="none" w:sz="0" w:space="0" w:color="auto"/>
                            <w:right w:val="none" w:sz="0" w:space="0" w:color="auto"/>
                          </w:divBdr>
                          <w:divsChild>
                            <w:div w:id="5614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4560">
      <w:bodyDiv w:val="1"/>
      <w:marLeft w:val="0"/>
      <w:marRight w:val="0"/>
      <w:marTop w:val="0"/>
      <w:marBottom w:val="0"/>
      <w:divBdr>
        <w:top w:val="none" w:sz="0" w:space="0" w:color="auto"/>
        <w:left w:val="none" w:sz="0" w:space="0" w:color="auto"/>
        <w:bottom w:val="none" w:sz="0" w:space="0" w:color="auto"/>
        <w:right w:val="none" w:sz="0" w:space="0" w:color="auto"/>
      </w:divBdr>
    </w:div>
    <w:div w:id="273437980">
      <w:bodyDiv w:val="1"/>
      <w:marLeft w:val="0"/>
      <w:marRight w:val="0"/>
      <w:marTop w:val="0"/>
      <w:marBottom w:val="0"/>
      <w:divBdr>
        <w:top w:val="none" w:sz="0" w:space="0" w:color="auto"/>
        <w:left w:val="none" w:sz="0" w:space="0" w:color="auto"/>
        <w:bottom w:val="none" w:sz="0" w:space="0" w:color="auto"/>
        <w:right w:val="none" w:sz="0" w:space="0" w:color="auto"/>
      </w:divBdr>
    </w:div>
    <w:div w:id="294221950">
      <w:bodyDiv w:val="1"/>
      <w:marLeft w:val="0"/>
      <w:marRight w:val="0"/>
      <w:marTop w:val="0"/>
      <w:marBottom w:val="0"/>
      <w:divBdr>
        <w:top w:val="none" w:sz="0" w:space="0" w:color="auto"/>
        <w:left w:val="none" w:sz="0" w:space="0" w:color="auto"/>
        <w:bottom w:val="none" w:sz="0" w:space="0" w:color="auto"/>
        <w:right w:val="none" w:sz="0" w:space="0" w:color="auto"/>
      </w:divBdr>
    </w:div>
    <w:div w:id="321666494">
      <w:bodyDiv w:val="1"/>
      <w:marLeft w:val="0"/>
      <w:marRight w:val="0"/>
      <w:marTop w:val="0"/>
      <w:marBottom w:val="0"/>
      <w:divBdr>
        <w:top w:val="none" w:sz="0" w:space="0" w:color="auto"/>
        <w:left w:val="none" w:sz="0" w:space="0" w:color="auto"/>
        <w:bottom w:val="none" w:sz="0" w:space="0" w:color="auto"/>
        <w:right w:val="none" w:sz="0" w:space="0" w:color="auto"/>
      </w:divBdr>
    </w:div>
    <w:div w:id="347483066">
      <w:bodyDiv w:val="1"/>
      <w:marLeft w:val="0"/>
      <w:marRight w:val="0"/>
      <w:marTop w:val="0"/>
      <w:marBottom w:val="0"/>
      <w:divBdr>
        <w:top w:val="none" w:sz="0" w:space="0" w:color="auto"/>
        <w:left w:val="none" w:sz="0" w:space="0" w:color="auto"/>
        <w:bottom w:val="none" w:sz="0" w:space="0" w:color="auto"/>
        <w:right w:val="none" w:sz="0" w:space="0" w:color="auto"/>
      </w:divBdr>
      <w:divsChild>
        <w:div w:id="332150511">
          <w:marLeft w:val="60"/>
          <w:marRight w:val="0"/>
          <w:marTop w:val="15"/>
          <w:marBottom w:val="0"/>
          <w:divBdr>
            <w:top w:val="none" w:sz="0" w:space="0" w:color="auto"/>
            <w:left w:val="none" w:sz="0" w:space="0" w:color="auto"/>
            <w:bottom w:val="none" w:sz="0" w:space="0" w:color="auto"/>
            <w:right w:val="none" w:sz="0" w:space="0" w:color="auto"/>
          </w:divBdr>
        </w:div>
      </w:divsChild>
    </w:div>
    <w:div w:id="361128181">
      <w:bodyDiv w:val="1"/>
      <w:marLeft w:val="0"/>
      <w:marRight w:val="0"/>
      <w:marTop w:val="0"/>
      <w:marBottom w:val="0"/>
      <w:divBdr>
        <w:top w:val="none" w:sz="0" w:space="0" w:color="auto"/>
        <w:left w:val="none" w:sz="0" w:space="0" w:color="auto"/>
        <w:bottom w:val="none" w:sz="0" w:space="0" w:color="auto"/>
        <w:right w:val="none" w:sz="0" w:space="0" w:color="auto"/>
      </w:divBdr>
    </w:div>
    <w:div w:id="364793722">
      <w:bodyDiv w:val="1"/>
      <w:marLeft w:val="0"/>
      <w:marRight w:val="0"/>
      <w:marTop w:val="0"/>
      <w:marBottom w:val="0"/>
      <w:divBdr>
        <w:top w:val="none" w:sz="0" w:space="0" w:color="auto"/>
        <w:left w:val="none" w:sz="0" w:space="0" w:color="auto"/>
        <w:bottom w:val="none" w:sz="0" w:space="0" w:color="auto"/>
        <w:right w:val="none" w:sz="0" w:space="0" w:color="auto"/>
      </w:divBdr>
    </w:div>
    <w:div w:id="375352516">
      <w:bodyDiv w:val="1"/>
      <w:marLeft w:val="0"/>
      <w:marRight w:val="0"/>
      <w:marTop w:val="0"/>
      <w:marBottom w:val="0"/>
      <w:divBdr>
        <w:top w:val="none" w:sz="0" w:space="0" w:color="auto"/>
        <w:left w:val="none" w:sz="0" w:space="0" w:color="auto"/>
        <w:bottom w:val="none" w:sz="0" w:space="0" w:color="auto"/>
        <w:right w:val="none" w:sz="0" w:space="0" w:color="auto"/>
      </w:divBdr>
    </w:div>
    <w:div w:id="394014175">
      <w:bodyDiv w:val="1"/>
      <w:marLeft w:val="0"/>
      <w:marRight w:val="0"/>
      <w:marTop w:val="0"/>
      <w:marBottom w:val="0"/>
      <w:divBdr>
        <w:top w:val="none" w:sz="0" w:space="0" w:color="auto"/>
        <w:left w:val="none" w:sz="0" w:space="0" w:color="auto"/>
        <w:bottom w:val="none" w:sz="0" w:space="0" w:color="auto"/>
        <w:right w:val="none" w:sz="0" w:space="0" w:color="auto"/>
      </w:divBdr>
    </w:div>
    <w:div w:id="462388121">
      <w:bodyDiv w:val="1"/>
      <w:marLeft w:val="0"/>
      <w:marRight w:val="0"/>
      <w:marTop w:val="0"/>
      <w:marBottom w:val="0"/>
      <w:divBdr>
        <w:top w:val="none" w:sz="0" w:space="0" w:color="auto"/>
        <w:left w:val="none" w:sz="0" w:space="0" w:color="auto"/>
        <w:bottom w:val="none" w:sz="0" w:space="0" w:color="auto"/>
        <w:right w:val="none" w:sz="0" w:space="0" w:color="auto"/>
      </w:divBdr>
      <w:divsChild>
        <w:div w:id="2120098909">
          <w:marLeft w:val="0"/>
          <w:marRight w:val="0"/>
          <w:marTop w:val="0"/>
          <w:marBottom w:val="0"/>
          <w:divBdr>
            <w:top w:val="none" w:sz="0" w:space="0" w:color="auto"/>
            <w:left w:val="none" w:sz="0" w:space="0" w:color="auto"/>
            <w:bottom w:val="none" w:sz="0" w:space="0" w:color="auto"/>
            <w:right w:val="none" w:sz="0" w:space="0" w:color="auto"/>
          </w:divBdr>
        </w:div>
      </w:divsChild>
    </w:div>
    <w:div w:id="477263919">
      <w:bodyDiv w:val="1"/>
      <w:marLeft w:val="0"/>
      <w:marRight w:val="0"/>
      <w:marTop w:val="0"/>
      <w:marBottom w:val="0"/>
      <w:divBdr>
        <w:top w:val="none" w:sz="0" w:space="0" w:color="auto"/>
        <w:left w:val="none" w:sz="0" w:space="0" w:color="auto"/>
        <w:bottom w:val="none" w:sz="0" w:space="0" w:color="auto"/>
        <w:right w:val="none" w:sz="0" w:space="0" w:color="auto"/>
      </w:divBdr>
    </w:div>
    <w:div w:id="550196693">
      <w:bodyDiv w:val="1"/>
      <w:marLeft w:val="0"/>
      <w:marRight w:val="0"/>
      <w:marTop w:val="0"/>
      <w:marBottom w:val="0"/>
      <w:divBdr>
        <w:top w:val="none" w:sz="0" w:space="0" w:color="auto"/>
        <w:left w:val="none" w:sz="0" w:space="0" w:color="auto"/>
        <w:bottom w:val="none" w:sz="0" w:space="0" w:color="auto"/>
        <w:right w:val="none" w:sz="0" w:space="0" w:color="auto"/>
      </w:divBdr>
      <w:divsChild>
        <w:div w:id="1370908632">
          <w:marLeft w:val="60"/>
          <w:marRight w:val="0"/>
          <w:marTop w:val="15"/>
          <w:marBottom w:val="0"/>
          <w:divBdr>
            <w:top w:val="none" w:sz="0" w:space="0" w:color="auto"/>
            <w:left w:val="none" w:sz="0" w:space="0" w:color="auto"/>
            <w:bottom w:val="none" w:sz="0" w:space="0" w:color="auto"/>
            <w:right w:val="none" w:sz="0" w:space="0" w:color="auto"/>
          </w:divBdr>
        </w:div>
      </w:divsChild>
    </w:div>
    <w:div w:id="556017706">
      <w:bodyDiv w:val="1"/>
      <w:marLeft w:val="0"/>
      <w:marRight w:val="0"/>
      <w:marTop w:val="0"/>
      <w:marBottom w:val="0"/>
      <w:divBdr>
        <w:top w:val="none" w:sz="0" w:space="0" w:color="auto"/>
        <w:left w:val="none" w:sz="0" w:space="0" w:color="auto"/>
        <w:bottom w:val="none" w:sz="0" w:space="0" w:color="auto"/>
        <w:right w:val="none" w:sz="0" w:space="0" w:color="auto"/>
      </w:divBdr>
    </w:div>
    <w:div w:id="633340562">
      <w:bodyDiv w:val="1"/>
      <w:marLeft w:val="0"/>
      <w:marRight w:val="0"/>
      <w:marTop w:val="0"/>
      <w:marBottom w:val="0"/>
      <w:divBdr>
        <w:top w:val="none" w:sz="0" w:space="0" w:color="auto"/>
        <w:left w:val="none" w:sz="0" w:space="0" w:color="auto"/>
        <w:bottom w:val="none" w:sz="0" w:space="0" w:color="auto"/>
        <w:right w:val="none" w:sz="0" w:space="0" w:color="auto"/>
      </w:divBdr>
    </w:div>
    <w:div w:id="1056707457">
      <w:bodyDiv w:val="1"/>
      <w:marLeft w:val="0"/>
      <w:marRight w:val="0"/>
      <w:marTop w:val="0"/>
      <w:marBottom w:val="0"/>
      <w:divBdr>
        <w:top w:val="none" w:sz="0" w:space="0" w:color="auto"/>
        <w:left w:val="none" w:sz="0" w:space="0" w:color="auto"/>
        <w:bottom w:val="none" w:sz="0" w:space="0" w:color="auto"/>
        <w:right w:val="none" w:sz="0" w:space="0" w:color="auto"/>
      </w:divBdr>
    </w:div>
    <w:div w:id="1143306331">
      <w:bodyDiv w:val="1"/>
      <w:marLeft w:val="0"/>
      <w:marRight w:val="0"/>
      <w:marTop w:val="0"/>
      <w:marBottom w:val="0"/>
      <w:divBdr>
        <w:top w:val="none" w:sz="0" w:space="0" w:color="auto"/>
        <w:left w:val="none" w:sz="0" w:space="0" w:color="auto"/>
        <w:bottom w:val="none" w:sz="0" w:space="0" w:color="auto"/>
        <w:right w:val="none" w:sz="0" w:space="0" w:color="auto"/>
      </w:divBdr>
      <w:divsChild>
        <w:div w:id="1767968150">
          <w:marLeft w:val="0"/>
          <w:marRight w:val="0"/>
          <w:marTop w:val="0"/>
          <w:marBottom w:val="0"/>
          <w:divBdr>
            <w:top w:val="none" w:sz="0" w:space="0" w:color="auto"/>
            <w:left w:val="none" w:sz="0" w:space="0" w:color="auto"/>
            <w:bottom w:val="none" w:sz="0" w:space="0" w:color="auto"/>
            <w:right w:val="none" w:sz="0" w:space="0" w:color="auto"/>
          </w:divBdr>
        </w:div>
      </w:divsChild>
    </w:div>
    <w:div w:id="1150709615">
      <w:bodyDiv w:val="1"/>
      <w:marLeft w:val="0"/>
      <w:marRight w:val="0"/>
      <w:marTop w:val="0"/>
      <w:marBottom w:val="0"/>
      <w:divBdr>
        <w:top w:val="none" w:sz="0" w:space="0" w:color="auto"/>
        <w:left w:val="none" w:sz="0" w:space="0" w:color="auto"/>
        <w:bottom w:val="none" w:sz="0" w:space="0" w:color="auto"/>
        <w:right w:val="none" w:sz="0" w:space="0" w:color="auto"/>
      </w:divBdr>
      <w:divsChild>
        <w:div w:id="2029794146">
          <w:marLeft w:val="0"/>
          <w:marRight w:val="0"/>
          <w:marTop w:val="0"/>
          <w:marBottom w:val="0"/>
          <w:divBdr>
            <w:top w:val="none" w:sz="0" w:space="0" w:color="auto"/>
            <w:left w:val="none" w:sz="0" w:space="0" w:color="auto"/>
            <w:bottom w:val="none" w:sz="0" w:space="0" w:color="auto"/>
            <w:right w:val="none" w:sz="0" w:space="0" w:color="auto"/>
          </w:divBdr>
          <w:divsChild>
            <w:div w:id="2539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93496">
      <w:bodyDiv w:val="1"/>
      <w:marLeft w:val="0"/>
      <w:marRight w:val="0"/>
      <w:marTop w:val="0"/>
      <w:marBottom w:val="0"/>
      <w:divBdr>
        <w:top w:val="none" w:sz="0" w:space="0" w:color="auto"/>
        <w:left w:val="none" w:sz="0" w:space="0" w:color="auto"/>
        <w:bottom w:val="none" w:sz="0" w:space="0" w:color="auto"/>
        <w:right w:val="none" w:sz="0" w:space="0" w:color="auto"/>
      </w:divBdr>
    </w:div>
    <w:div w:id="1399590810">
      <w:bodyDiv w:val="1"/>
      <w:marLeft w:val="0"/>
      <w:marRight w:val="0"/>
      <w:marTop w:val="0"/>
      <w:marBottom w:val="0"/>
      <w:divBdr>
        <w:top w:val="none" w:sz="0" w:space="0" w:color="auto"/>
        <w:left w:val="none" w:sz="0" w:space="0" w:color="auto"/>
        <w:bottom w:val="none" w:sz="0" w:space="0" w:color="auto"/>
        <w:right w:val="none" w:sz="0" w:space="0" w:color="auto"/>
      </w:divBdr>
    </w:div>
    <w:div w:id="1430193882">
      <w:bodyDiv w:val="1"/>
      <w:marLeft w:val="0"/>
      <w:marRight w:val="0"/>
      <w:marTop w:val="0"/>
      <w:marBottom w:val="0"/>
      <w:divBdr>
        <w:top w:val="none" w:sz="0" w:space="0" w:color="auto"/>
        <w:left w:val="none" w:sz="0" w:space="0" w:color="auto"/>
        <w:bottom w:val="none" w:sz="0" w:space="0" w:color="auto"/>
        <w:right w:val="none" w:sz="0" w:space="0" w:color="auto"/>
      </w:divBdr>
    </w:div>
    <w:div w:id="1471704763">
      <w:bodyDiv w:val="1"/>
      <w:marLeft w:val="0"/>
      <w:marRight w:val="0"/>
      <w:marTop w:val="0"/>
      <w:marBottom w:val="0"/>
      <w:divBdr>
        <w:top w:val="none" w:sz="0" w:space="0" w:color="auto"/>
        <w:left w:val="none" w:sz="0" w:space="0" w:color="auto"/>
        <w:bottom w:val="none" w:sz="0" w:space="0" w:color="auto"/>
        <w:right w:val="none" w:sz="0" w:space="0" w:color="auto"/>
      </w:divBdr>
    </w:div>
    <w:div w:id="1495141555">
      <w:bodyDiv w:val="1"/>
      <w:marLeft w:val="0"/>
      <w:marRight w:val="0"/>
      <w:marTop w:val="0"/>
      <w:marBottom w:val="0"/>
      <w:divBdr>
        <w:top w:val="none" w:sz="0" w:space="0" w:color="auto"/>
        <w:left w:val="none" w:sz="0" w:space="0" w:color="auto"/>
        <w:bottom w:val="none" w:sz="0" w:space="0" w:color="auto"/>
        <w:right w:val="none" w:sz="0" w:space="0" w:color="auto"/>
      </w:divBdr>
    </w:div>
    <w:div w:id="1516731073">
      <w:bodyDiv w:val="1"/>
      <w:marLeft w:val="0"/>
      <w:marRight w:val="0"/>
      <w:marTop w:val="0"/>
      <w:marBottom w:val="0"/>
      <w:divBdr>
        <w:top w:val="none" w:sz="0" w:space="0" w:color="auto"/>
        <w:left w:val="none" w:sz="0" w:space="0" w:color="auto"/>
        <w:bottom w:val="none" w:sz="0" w:space="0" w:color="auto"/>
        <w:right w:val="none" w:sz="0" w:space="0" w:color="auto"/>
      </w:divBdr>
    </w:div>
    <w:div w:id="1550454815">
      <w:bodyDiv w:val="1"/>
      <w:marLeft w:val="0"/>
      <w:marRight w:val="0"/>
      <w:marTop w:val="0"/>
      <w:marBottom w:val="0"/>
      <w:divBdr>
        <w:top w:val="none" w:sz="0" w:space="0" w:color="auto"/>
        <w:left w:val="none" w:sz="0" w:space="0" w:color="auto"/>
        <w:bottom w:val="none" w:sz="0" w:space="0" w:color="auto"/>
        <w:right w:val="none" w:sz="0" w:space="0" w:color="auto"/>
      </w:divBdr>
    </w:div>
    <w:div w:id="1687291377">
      <w:bodyDiv w:val="1"/>
      <w:marLeft w:val="0"/>
      <w:marRight w:val="0"/>
      <w:marTop w:val="0"/>
      <w:marBottom w:val="0"/>
      <w:divBdr>
        <w:top w:val="none" w:sz="0" w:space="0" w:color="auto"/>
        <w:left w:val="none" w:sz="0" w:space="0" w:color="auto"/>
        <w:bottom w:val="none" w:sz="0" w:space="0" w:color="auto"/>
        <w:right w:val="none" w:sz="0" w:space="0" w:color="auto"/>
      </w:divBdr>
      <w:divsChild>
        <w:div w:id="1192452209">
          <w:marLeft w:val="0"/>
          <w:marRight w:val="0"/>
          <w:marTop w:val="0"/>
          <w:marBottom w:val="0"/>
          <w:divBdr>
            <w:top w:val="none" w:sz="0" w:space="0" w:color="auto"/>
            <w:left w:val="none" w:sz="0" w:space="0" w:color="auto"/>
            <w:bottom w:val="none" w:sz="0" w:space="0" w:color="auto"/>
            <w:right w:val="none" w:sz="0" w:space="0" w:color="auto"/>
          </w:divBdr>
          <w:divsChild>
            <w:div w:id="6171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00772">
      <w:bodyDiv w:val="1"/>
      <w:marLeft w:val="0"/>
      <w:marRight w:val="0"/>
      <w:marTop w:val="0"/>
      <w:marBottom w:val="0"/>
      <w:divBdr>
        <w:top w:val="none" w:sz="0" w:space="0" w:color="auto"/>
        <w:left w:val="none" w:sz="0" w:space="0" w:color="auto"/>
        <w:bottom w:val="none" w:sz="0" w:space="0" w:color="auto"/>
        <w:right w:val="none" w:sz="0" w:space="0" w:color="auto"/>
      </w:divBdr>
    </w:div>
    <w:div w:id="1742171020">
      <w:bodyDiv w:val="1"/>
      <w:marLeft w:val="0"/>
      <w:marRight w:val="0"/>
      <w:marTop w:val="0"/>
      <w:marBottom w:val="0"/>
      <w:divBdr>
        <w:top w:val="none" w:sz="0" w:space="0" w:color="auto"/>
        <w:left w:val="none" w:sz="0" w:space="0" w:color="auto"/>
        <w:bottom w:val="none" w:sz="0" w:space="0" w:color="auto"/>
        <w:right w:val="none" w:sz="0" w:space="0" w:color="auto"/>
      </w:divBdr>
    </w:div>
    <w:div w:id="1777217201">
      <w:bodyDiv w:val="1"/>
      <w:marLeft w:val="0"/>
      <w:marRight w:val="0"/>
      <w:marTop w:val="0"/>
      <w:marBottom w:val="0"/>
      <w:divBdr>
        <w:top w:val="none" w:sz="0" w:space="0" w:color="auto"/>
        <w:left w:val="none" w:sz="0" w:space="0" w:color="auto"/>
        <w:bottom w:val="none" w:sz="0" w:space="0" w:color="auto"/>
        <w:right w:val="none" w:sz="0" w:space="0" w:color="auto"/>
      </w:divBdr>
    </w:div>
    <w:div w:id="1828936166">
      <w:bodyDiv w:val="1"/>
      <w:marLeft w:val="0"/>
      <w:marRight w:val="0"/>
      <w:marTop w:val="0"/>
      <w:marBottom w:val="0"/>
      <w:divBdr>
        <w:top w:val="none" w:sz="0" w:space="0" w:color="auto"/>
        <w:left w:val="none" w:sz="0" w:space="0" w:color="auto"/>
        <w:bottom w:val="none" w:sz="0" w:space="0" w:color="auto"/>
        <w:right w:val="none" w:sz="0" w:space="0" w:color="auto"/>
      </w:divBdr>
    </w:div>
    <w:div w:id="1990938359">
      <w:bodyDiv w:val="1"/>
      <w:marLeft w:val="0"/>
      <w:marRight w:val="0"/>
      <w:marTop w:val="0"/>
      <w:marBottom w:val="0"/>
      <w:divBdr>
        <w:top w:val="none" w:sz="0" w:space="0" w:color="auto"/>
        <w:left w:val="none" w:sz="0" w:space="0" w:color="auto"/>
        <w:bottom w:val="none" w:sz="0" w:space="0" w:color="auto"/>
        <w:right w:val="none" w:sz="0" w:space="0" w:color="auto"/>
      </w:divBdr>
      <w:divsChild>
        <w:div w:id="1927573235">
          <w:marLeft w:val="0"/>
          <w:marRight w:val="0"/>
          <w:marTop w:val="0"/>
          <w:marBottom w:val="0"/>
          <w:divBdr>
            <w:top w:val="none" w:sz="0" w:space="0" w:color="auto"/>
            <w:left w:val="none" w:sz="0" w:space="0" w:color="auto"/>
            <w:bottom w:val="none" w:sz="0" w:space="0" w:color="auto"/>
            <w:right w:val="none" w:sz="0" w:space="0" w:color="auto"/>
          </w:divBdr>
          <w:divsChild>
            <w:div w:id="5030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1879">
      <w:bodyDiv w:val="1"/>
      <w:marLeft w:val="0"/>
      <w:marRight w:val="0"/>
      <w:marTop w:val="0"/>
      <w:marBottom w:val="0"/>
      <w:divBdr>
        <w:top w:val="none" w:sz="0" w:space="0" w:color="auto"/>
        <w:left w:val="none" w:sz="0" w:space="0" w:color="auto"/>
        <w:bottom w:val="none" w:sz="0" w:space="0" w:color="auto"/>
        <w:right w:val="none" w:sz="0" w:space="0" w:color="auto"/>
      </w:divBdr>
    </w:div>
    <w:div w:id="2086876485">
      <w:bodyDiv w:val="1"/>
      <w:marLeft w:val="0"/>
      <w:marRight w:val="0"/>
      <w:marTop w:val="0"/>
      <w:marBottom w:val="0"/>
      <w:divBdr>
        <w:top w:val="none" w:sz="0" w:space="0" w:color="auto"/>
        <w:left w:val="none" w:sz="0" w:space="0" w:color="auto"/>
        <w:bottom w:val="none" w:sz="0" w:space="0" w:color="auto"/>
        <w:right w:val="none" w:sz="0" w:space="0" w:color="auto"/>
      </w:divBdr>
      <w:divsChild>
        <w:div w:id="702288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edr.com/vol1/44-B1005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ghbeam.com/doc/1P3-637841331.html"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g.ntim@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The12</b:Tag>
    <b:SourceType>Report</b:SourceType>
    <b:Guid>{CAF24AF7-D025-4844-8E2F-16CE01E1DBDE}</b:Guid>
    <b:Title>The UK Corporate Governance Code</b:Title>
    <b:Year>2012</b:Year>
    <b:Publisher>Financial Reporting Council</b:Publisher>
    <b:City>London</b:City>
    <b:Author>
      <b:Author>
        <b:NameList>
          <b:Person>
            <b:Last>FRC</b:Last>
          </b:Person>
        </b:NameList>
      </b:Author>
    </b:Author>
    <b:RefOrder>3</b:RefOrder>
  </b:Source>
</b:Sources>
</file>

<file path=customXml/itemProps1.xml><?xml version="1.0" encoding="utf-8"?>
<ds:datastoreItem xmlns:ds="http://schemas.openxmlformats.org/officeDocument/2006/customXml" ds:itemID="{BD345CF3-E86D-49AB-B115-FDF624C2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12813</Words>
  <Characters>73040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Ntim C.G.</cp:lastModifiedBy>
  <cp:revision>2</cp:revision>
  <cp:lastPrinted>2016-02-17T09:27:00Z</cp:lastPrinted>
  <dcterms:created xsi:type="dcterms:W3CDTF">2017-03-21T11:29:00Z</dcterms:created>
  <dcterms:modified xsi:type="dcterms:W3CDTF">2017-03-21T11:29:00Z</dcterms:modified>
</cp:coreProperties>
</file>