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8C0F9A" w14:textId="77777777" w:rsidR="00043403" w:rsidRPr="00C86A03" w:rsidRDefault="00043403" w:rsidP="00043403">
      <w:pPr>
        <w:jc w:val="both"/>
        <w:rPr>
          <w:rFonts w:ascii="Calibri" w:hAnsi="Calibri"/>
          <w:b/>
        </w:rPr>
      </w:pPr>
      <w:r w:rsidRPr="00C86A03">
        <w:rPr>
          <w:rFonts w:ascii="Calibri" w:hAnsi="Calibri"/>
          <w:b/>
        </w:rPr>
        <w:t xml:space="preserve">This is the accepted version of the article published as: </w:t>
      </w:r>
    </w:p>
    <w:p w14:paraId="62AF4530" w14:textId="78FE390C" w:rsidR="00043403" w:rsidRPr="00043403" w:rsidRDefault="00043403" w:rsidP="00043403">
      <w:pPr>
        <w:jc w:val="both"/>
        <w:rPr>
          <w:rFonts w:ascii="Calibri" w:hAnsi="Calibri"/>
          <w:shd w:val="clear" w:color="auto" w:fill="FFFFFF"/>
        </w:rPr>
      </w:pPr>
      <w:r>
        <w:rPr>
          <w:rFonts w:ascii="Calibri" w:hAnsi="Calibri"/>
          <w:shd w:val="clear" w:color="auto" w:fill="FFFFFF"/>
        </w:rPr>
        <w:t>Ashton, D., Bower, G.J., Hollyman, S. and Pullinger, K. (2017</w:t>
      </w:r>
      <w:r w:rsidRPr="00C86A03">
        <w:rPr>
          <w:rFonts w:ascii="Calibri" w:hAnsi="Calibri"/>
          <w:shd w:val="clear" w:color="auto" w:fill="FFFFFF"/>
        </w:rPr>
        <w:t>) </w:t>
      </w:r>
      <w:r>
        <w:rPr>
          <w:rFonts w:ascii="Calibri" w:hAnsi="Calibri"/>
          <w:shd w:val="clear" w:color="auto" w:fill="FFFFFF"/>
        </w:rPr>
        <w:t xml:space="preserve">‘Writing digital:  Practice, performance, theory’, </w:t>
      </w:r>
      <w:r>
        <w:rPr>
          <w:rFonts w:ascii="Calibri" w:hAnsi="Calibri"/>
          <w:i/>
          <w:shd w:val="clear" w:color="auto" w:fill="FFFFFF"/>
        </w:rPr>
        <w:t xml:space="preserve">Convergence </w:t>
      </w:r>
      <w:r>
        <w:rPr>
          <w:rFonts w:ascii="Calibri" w:hAnsi="Calibri"/>
          <w:shd w:val="clear" w:color="auto" w:fill="FFFFFF"/>
        </w:rPr>
        <w:t xml:space="preserve">23(1): 3-4. </w:t>
      </w:r>
      <w:r w:rsidRPr="00043403">
        <w:rPr>
          <w:rFonts w:ascii="Calibri" w:hAnsi="Calibri"/>
        </w:rPr>
        <w:t>DOI: 10.1177/1354856516679755</w:t>
      </w:r>
      <w:bookmarkStart w:id="0" w:name="_GoBack"/>
      <w:bookmarkEnd w:id="0"/>
    </w:p>
    <w:p w14:paraId="34E4049B" w14:textId="77777777" w:rsidR="00043403" w:rsidRPr="00043403" w:rsidRDefault="00043403" w:rsidP="00043403">
      <w:pPr>
        <w:jc w:val="both"/>
        <w:rPr>
          <w:rFonts w:ascii="Calibri" w:hAnsi="Calibri"/>
          <w:shd w:val="clear" w:color="auto" w:fill="FFFFFF"/>
        </w:rPr>
      </w:pPr>
    </w:p>
    <w:p w14:paraId="3559FF7C" w14:textId="77777777" w:rsidR="00C21396" w:rsidRPr="00043403" w:rsidRDefault="005A7FE5">
      <w:pPr>
        <w:pStyle w:val="Normal1"/>
        <w:widowControl w:val="0"/>
        <w:spacing w:after="22" w:line="480" w:lineRule="auto"/>
        <w:rPr>
          <w:rFonts w:ascii="Calibri" w:hAnsi="Calibri"/>
        </w:rPr>
      </w:pPr>
      <w:r w:rsidRPr="00043403">
        <w:rPr>
          <w:rFonts w:ascii="Calibri" w:eastAsia="Calibri" w:hAnsi="Calibri" w:cs="Calibri"/>
          <w:sz w:val="24"/>
          <w:szCs w:val="24"/>
        </w:rPr>
        <w:t xml:space="preserve">This Special Issue of </w:t>
      </w:r>
      <w:r w:rsidRPr="00043403">
        <w:rPr>
          <w:rFonts w:ascii="Calibri" w:eastAsia="Calibri" w:hAnsi="Calibri" w:cs="Calibri"/>
          <w:i/>
          <w:sz w:val="24"/>
          <w:szCs w:val="24"/>
        </w:rPr>
        <w:t>Convergence</w:t>
      </w:r>
      <w:r w:rsidRPr="00043403">
        <w:rPr>
          <w:rFonts w:ascii="Calibri" w:eastAsia="Calibri" w:hAnsi="Calibri" w:cs="Calibri"/>
          <w:sz w:val="24"/>
          <w:szCs w:val="24"/>
        </w:rPr>
        <w:t xml:space="preserve"> brings together researchers, artists, writers and technologists from the interdisciplinary fields of digital writing and transmedia. Moving beyond early twenty-first century debates about the future of the book, the death of print media, and the false divide between digital and analogue, contributing scholars and practitioners re-evaluate historical continuities and re-imagine the creative potentials that exist when the traditional skills of writing and hybrid forms afforded by technology are combined. As we move across a landscape where digital is embedded throughout most of our daily lives, we discover that new platforms and genres act to revivify our experiences of writing and reading. Digital technologies enable new forms of participation which necessitate a radical overhaul in our understanding of what writerly and readerly collaboration can accomplish. </w:t>
      </w:r>
    </w:p>
    <w:p w14:paraId="58AAF76F" w14:textId="07E93DFD" w:rsidR="00C21396" w:rsidRPr="00043403" w:rsidRDefault="005A7FE5">
      <w:pPr>
        <w:pStyle w:val="Normal1"/>
        <w:widowControl w:val="0"/>
        <w:spacing w:after="22" w:line="480" w:lineRule="auto"/>
        <w:ind w:firstLine="720"/>
        <w:rPr>
          <w:rFonts w:ascii="Calibri" w:hAnsi="Calibri"/>
        </w:rPr>
      </w:pPr>
      <w:r w:rsidRPr="00043403">
        <w:rPr>
          <w:rFonts w:ascii="Calibri" w:eastAsia="Calibri" w:hAnsi="Calibri" w:cs="Calibri"/>
          <w:sz w:val="24"/>
          <w:szCs w:val="24"/>
        </w:rPr>
        <w:t>Engaging with the notion that the digital reader is also a writer, Fan focuses on mobi</w:t>
      </w:r>
      <w:r w:rsidR="00AA2A86" w:rsidRPr="00043403">
        <w:rPr>
          <w:rFonts w:ascii="Calibri" w:eastAsia="Calibri" w:hAnsi="Calibri" w:cs="Calibri"/>
          <w:sz w:val="24"/>
          <w:szCs w:val="24"/>
        </w:rPr>
        <w:t>le media to explore interactive</w:t>
      </w:r>
      <w:r w:rsidRPr="00043403">
        <w:rPr>
          <w:rFonts w:ascii="Calibri" w:eastAsia="Calibri" w:hAnsi="Calibri" w:cs="Calibri"/>
          <w:sz w:val="24"/>
          <w:szCs w:val="24"/>
        </w:rPr>
        <w:t xml:space="preserve"> locative media narratives. Through analysing several examples, the author raises questions around dynamic narratives, the singularity of texts, and notions of reading and participating. In thinking about how digital writing can be approached and researched, Fan sets out a range of instructive conceptual and practical pointers.</w:t>
      </w:r>
    </w:p>
    <w:p w14:paraId="31E350CA" w14:textId="77777777" w:rsidR="00C21396" w:rsidRPr="00043403" w:rsidRDefault="005A7FE5">
      <w:pPr>
        <w:pStyle w:val="Normal1"/>
        <w:widowControl w:val="0"/>
        <w:spacing w:after="22" w:line="480" w:lineRule="auto"/>
        <w:ind w:firstLine="720"/>
        <w:rPr>
          <w:rFonts w:ascii="Calibri" w:hAnsi="Calibri"/>
        </w:rPr>
      </w:pPr>
      <w:r w:rsidRPr="00043403">
        <w:rPr>
          <w:rFonts w:ascii="Calibri" w:eastAsia="Calibri" w:hAnsi="Calibri" w:cs="Calibri"/>
          <w:sz w:val="24"/>
          <w:szCs w:val="24"/>
          <w:highlight w:val="white"/>
        </w:rPr>
        <w:t xml:space="preserve">Segar investigates the new potentialities for narrative opened up by the blog medium. The appearance of the blogging platform created a new epistolary form for writers, with an inbuilt means of instant publication. Blog fiction could be serialised in real-time, distributed between multiple online spaces and supplemented in commentary sections by other bloggers, real and fictional. The author’s own work </w:t>
      </w:r>
      <w:r w:rsidRPr="00043403">
        <w:rPr>
          <w:rFonts w:ascii="Calibri" w:eastAsia="Calibri" w:hAnsi="Calibri" w:cs="Calibri"/>
          <w:i/>
          <w:sz w:val="24"/>
          <w:szCs w:val="24"/>
          <w:highlight w:val="white"/>
        </w:rPr>
        <w:t>Bad Influences</w:t>
      </w:r>
      <w:r w:rsidRPr="00043403">
        <w:rPr>
          <w:rFonts w:ascii="Calibri" w:eastAsia="Calibri" w:hAnsi="Calibri" w:cs="Calibri"/>
          <w:sz w:val="24"/>
          <w:szCs w:val="24"/>
          <w:highlight w:val="white"/>
        </w:rPr>
        <w:t xml:space="preserve"> (Segar, </w:t>
      </w:r>
      <w:r w:rsidRPr="00043403">
        <w:rPr>
          <w:rFonts w:ascii="Calibri" w:eastAsia="Calibri" w:hAnsi="Calibri" w:cs="Calibri"/>
          <w:sz w:val="24"/>
          <w:szCs w:val="24"/>
          <w:highlight w:val="white"/>
        </w:rPr>
        <w:lastRenderedPageBreak/>
        <w:t xml:space="preserve">2013) is an experimental blog fiction making narrative use of these distributions in time, space and authorship as well as many other formal blog characteristics, including character avatars, interactive quizzes, RSS feeds and blog design elements. This article looks at the ways in which similarly relational forms of fiction are developing on the newer social networks, particularly Twitter, and examines the implications for transmedia more broadly.  </w:t>
      </w:r>
    </w:p>
    <w:p w14:paraId="789F2BB2" w14:textId="68DA2DF3" w:rsidR="00C21396" w:rsidRPr="00043403" w:rsidRDefault="005A7FE5">
      <w:pPr>
        <w:pStyle w:val="Normal1"/>
        <w:widowControl w:val="0"/>
        <w:spacing w:after="22" w:line="480" w:lineRule="auto"/>
        <w:ind w:firstLine="720"/>
        <w:rPr>
          <w:rFonts w:ascii="Calibri" w:hAnsi="Calibri"/>
        </w:rPr>
      </w:pPr>
      <w:r w:rsidRPr="00043403">
        <w:rPr>
          <w:rFonts w:ascii="Calibri" w:eastAsia="Calibri" w:hAnsi="Calibri" w:cs="Calibri"/>
          <w:sz w:val="24"/>
          <w:szCs w:val="24"/>
          <w:highlight w:val="white"/>
        </w:rPr>
        <w:t>Andersen also looks at Twitter as a platform for fiction, tracking the digital serial via stories b</w:t>
      </w:r>
      <w:r w:rsidR="00AA2A86" w:rsidRPr="00043403">
        <w:rPr>
          <w:rFonts w:ascii="Calibri" w:eastAsia="Calibri" w:hAnsi="Calibri" w:cs="Calibri"/>
          <w:sz w:val="24"/>
          <w:szCs w:val="24"/>
          <w:highlight w:val="white"/>
        </w:rPr>
        <w:t>y</w:t>
      </w:r>
      <w:r w:rsidRPr="00043403">
        <w:rPr>
          <w:rFonts w:ascii="Calibri" w:eastAsia="Calibri" w:hAnsi="Calibri" w:cs="Calibri"/>
          <w:sz w:val="24"/>
          <w:szCs w:val="24"/>
          <w:highlight w:val="white"/>
        </w:rPr>
        <w:t xml:space="preserve"> Jennifer Eg</w:t>
      </w:r>
      <w:r w:rsidR="000F710C" w:rsidRPr="00043403">
        <w:rPr>
          <w:rFonts w:ascii="Calibri" w:eastAsia="Calibri" w:hAnsi="Calibri" w:cs="Calibri"/>
          <w:sz w:val="24"/>
          <w:szCs w:val="24"/>
          <w:highlight w:val="white"/>
        </w:rPr>
        <w:t>an and David Mitchell. The article</w:t>
      </w:r>
      <w:r w:rsidRPr="00043403">
        <w:rPr>
          <w:rFonts w:ascii="Calibri" w:eastAsia="Calibri" w:hAnsi="Calibri" w:cs="Calibri"/>
          <w:sz w:val="24"/>
          <w:szCs w:val="24"/>
          <w:highlight w:val="white"/>
        </w:rPr>
        <w:t>’s author asserts that the micro-serialisation of Twitter fiction both differs from and relies on a pre-digital tradition, focusing on two interrelated aspects of serialisation: temporality and interaction. Twitter as a promotional tool is also discussed, as legacy publishing intersects with this social media platform.</w:t>
      </w:r>
    </w:p>
    <w:p w14:paraId="0D5C5576" w14:textId="77777777" w:rsidR="00C21396" w:rsidRPr="00043403" w:rsidRDefault="005A7FE5">
      <w:pPr>
        <w:pStyle w:val="Normal1"/>
        <w:widowControl w:val="0"/>
        <w:spacing w:after="22" w:line="480" w:lineRule="auto"/>
        <w:ind w:firstLine="720"/>
        <w:rPr>
          <w:rFonts w:ascii="Calibri" w:hAnsi="Calibri"/>
        </w:rPr>
      </w:pPr>
      <w:r w:rsidRPr="00043403">
        <w:rPr>
          <w:rFonts w:ascii="Calibri" w:eastAsia="Calibri" w:hAnsi="Calibri" w:cs="Calibri"/>
          <w:sz w:val="24"/>
          <w:szCs w:val="24"/>
        </w:rPr>
        <w:t xml:space="preserve">While transmedia storytelling has been enthusiastically adopted by the Hollywood mainstream, in her paper ‘From Subject to Collaborator: Transmedia Storytelling and Social Research’, Hancox looks at how transmedia is transforming activism, enabling communities to create media artefacts that more accurately reflect their experience than the traditional media industries might have done previously. </w:t>
      </w:r>
    </w:p>
    <w:p w14:paraId="2A4744D8" w14:textId="77777777" w:rsidR="00C21396" w:rsidRPr="00043403" w:rsidRDefault="005A7FE5">
      <w:pPr>
        <w:pStyle w:val="Normal1"/>
        <w:widowControl w:val="0"/>
        <w:spacing w:after="22" w:line="480" w:lineRule="auto"/>
        <w:ind w:firstLine="720"/>
        <w:rPr>
          <w:rFonts w:ascii="Calibri" w:hAnsi="Calibri"/>
        </w:rPr>
      </w:pPr>
      <w:r w:rsidRPr="00043403">
        <w:rPr>
          <w:rFonts w:ascii="Calibri" w:eastAsia="Calibri" w:hAnsi="Calibri" w:cs="Calibri"/>
          <w:sz w:val="24"/>
          <w:szCs w:val="24"/>
        </w:rPr>
        <w:t xml:space="preserve">The book festival – a form of cultural event that remains as popular, if not more popular than ever before – might at first glance appear to be stubbornly wedded to print book sales and live events. In their joint paper, Murray and Weber take a look at the way festivals have adopted and adapted digital forms from podcasts to live-tweeting, providing an analysis of the impact these new forms of reader-writer interaction are having on festival cultures around the world. </w:t>
      </w:r>
    </w:p>
    <w:p w14:paraId="0B28D60F" w14:textId="77777777" w:rsidR="00C21396" w:rsidRPr="00043403" w:rsidRDefault="005A7FE5">
      <w:pPr>
        <w:pStyle w:val="Normal1"/>
        <w:widowControl w:val="0"/>
        <w:spacing w:after="22" w:line="480" w:lineRule="auto"/>
        <w:ind w:firstLine="720"/>
        <w:rPr>
          <w:rFonts w:ascii="Calibri" w:hAnsi="Calibri"/>
        </w:rPr>
      </w:pPr>
      <w:r w:rsidRPr="00043403">
        <w:rPr>
          <w:rFonts w:ascii="Calibri" w:eastAsia="Calibri" w:hAnsi="Calibri" w:cs="Calibri"/>
          <w:sz w:val="24"/>
          <w:szCs w:val="24"/>
        </w:rPr>
        <w:t xml:space="preserve">In contrast to the traditional encounter between books and readers provided by book festivals, blockchain provides a wholly new way to encounter books and writing. Blockchain, the technology underpinning Bitcoin, has grown in visibility with its promise of unbreakable chains of attribution and ownership. Maxwell, Speed and Pschetz undertake three creative experiments to explore how this technology might intersect with contemporary writing and storytelling practices. </w:t>
      </w:r>
    </w:p>
    <w:p w14:paraId="38A8AAC8" w14:textId="282A3DC1" w:rsidR="00C21396" w:rsidRPr="00043403" w:rsidRDefault="005A7FE5">
      <w:pPr>
        <w:pStyle w:val="Normal1"/>
        <w:widowControl w:val="0"/>
        <w:spacing w:after="22" w:line="480" w:lineRule="auto"/>
        <w:ind w:firstLine="720"/>
        <w:rPr>
          <w:rFonts w:ascii="Calibri" w:hAnsi="Calibri"/>
        </w:rPr>
      </w:pPr>
      <w:r w:rsidRPr="00043403">
        <w:rPr>
          <w:rFonts w:ascii="Calibri" w:eastAsia="Calibri" w:hAnsi="Calibri" w:cs="Calibri"/>
          <w:sz w:val="24"/>
          <w:szCs w:val="24"/>
          <w:highlight w:val="white"/>
        </w:rPr>
        <w:t>As an artist at the f</w:t>
      </w:r>
      <w:r w:rsidR="000F710C" w:rsidRPr="00043403">
        <w:rPr>
          <w:rFonts w:ascii="Calibri" w:eastAsia="Calibri" w:hAnsi="Calibri" w:cs="Calibri"/>
          <w:sz w:val="24"/>
          <w:szCs w:val="24"/>
          <w:highlight w:val="white"/>
        </w:rPr>
        <w:t xml:space="preserve">orefront of digital writing, </w:t>
      </w:r>
      <w:r w:rsidRPr="00043403">
        <w:rPr>
          <w:rFonts w:ascii="Calibri" w:eastAsia="Calibri" w:hAnsi="Calibri" w:cs="Calibri"/>
          <w:sz w:val="24"/>
          <w:szCs w:val="24"/>
          <w:highlight w:val="white"/>
        </w:rPr>
        <w:t xml:space="preserve">Carpenter argues that although spoken, written, and printed words operate within radically different temporal planes, spoken words also have thing-like properties and written and printed words also move through time. Digital writing has given rise to a new regime of signification in which written words refuse repose. This essay draws upon a diverse corpus of literary, media, and performance theories and practices to establish a critical framework for examining the </w:t>
      </w:r>
      <w:r w:rsidR="000F710C" w:rsidRPr="00043403">
        <w:rPr>
          <w:rFonts w:ascii="Calibri" w:eastAsia="Calibri" w:hAnsi="Calibri" w:cs="Calibri"/>
          <w:sz w:val="24"/>
          <w:szCs w:val="24"/>
          <w:highlight w:val="white"/>
        </w:rPr>
        <w:t xml:space="preserve">performance of variable texts, </w:t>
      </w:r>
      <w:r w:rsidRPr="00043403">
        <w:rPr>
          <w:rFonts w:ascii="Calibri" w:eastAsia="Calibri" w:hAnsi="Calibri" w:cs="Calibri"/>
          <w:sz w:val="24"/>
          <w:szCs w:val="24"/>
          <w:highlight w:val="white"/>
        </w:rPr>
        <w:t xml:space="preserve">enabling Carpenter to create new texts that build upon this history. </w:t>
      </w:r>
    </w:p>
    <w:p w14:paraId="39AC9060" w14:textId="103AE4B9" w:rsidR="00C21396" w:rsidRPr="00043403" w:rsidRDefault="005A7FE5" w:rsidP="00AA2A86">
      <w:pPr>
        <w:pStyle w:val="Normal1"/>
        <w:widowControl w:val="0"/>
        <w:spacing w:after="22" w:line="480" w:lineRule="auto"/>
        <w:ind w:firstLine="720"/>
        <w:rPr>
          <w:rFonts w:ascii="Calibri" w:eastAsia="Calibri" w:hAnsi="Calibri" w:cs="Calibri"/>
          <w:color w:val="auto"/>
          <w:sz w:val="24"/>
          <w:szCs w:val="24"/>
        </w:rPr>
      </w:pPr>
      <w:r w:rsidRPr="00043403">
        <w:rPr>
          <w:rFonts w:ascii="Calibri" w:eastAsia="Calibri" w:hAnsi="Calibri" w:cs="Calibri"/>
          <w:sz w:val="24"/>
          <w:szCs w:val="24"/>
        </w:rPr>
        <w:t>Each of these seven articles celebrates digital writing as a means of pioneering new methodologies by which to re-evaluate the complex relationships between reader, writer, collaborator, and text</w:t>
      </w:r>
      <w:r w:rsidRPr="00043403">
        <w:rPr>
          <w:rFonts w:ascii="Calibri" w:eastAsia="Calibri" w:hAnsi="Calibri" w:cs="Calibri"/>
          <w:color w:val="auto"/>
          <w:sz w:val="24"/>
          <w:szCs w:val="24"/>
        </w:rPr>
        <w:t xml:space="preserve">. </w:t>
      </w:r>
      <w:r w:rsidR="00403938" w:rsidRPr="00043403">
        <w:rPr>
          <w:rFonts w:ascii="Calibri" w:eastAsia="Calibri" w:hAnsi="Calibri" w:cs="Calibri"/>
          <w:color w:val="auto"/>
          <w:sz w:val="24"/>
          <w:szCs w:val="24"/>
        </w:rPr>
        <w:t xml:space="preserve">Guest-edited by the organisers of </w:t>
      </w:r>
      <w:r w:rsidRPr="00043403">
        <w:rPr>
          <w:rFonts w:ascii="Calibri" w:eastAsia="Calibri" w:hAnsi="Calibri" w:cs="Calibri"/>
          <w:color w:val="auto"/>
          <w:sz w:val="24"/>
          <w:szCs w:val="24"/>
        </w:rPr>
        <w:t>the MIX conference</w:t>
      </w:r>
      <w:r w:rsidR="00403938" w:rsidRPr="00043403">
        <w:rPr>
          <w:rFonts w:ascii="Calibri" w:eastAsia="Calibri" w:hAnsi="Calibri" w:cs="Calibri"/>
          <w:color w:val="auto"/>
          <w:sz w:val="24"/>
          <w:szCs w:val="24"/>
        </w:rPr>
        <w:t>s</w:t>
      </w:r>
      <w:r w:rsidRPr="00043403">
        <w:rPr>
          <w:rFonts w:ascii="Calibri" w:eastAsia="Calibri" w:hAnsi="Calibri" w:cs="Calibri"/>
          <w:sz w:val="24"/>
          <w:szCs w:val="24"/>
        </w:rPr>
        <w:t xml:space="preserve">, hosted at Bath Spa University, this Special Issue represents the cutting edge of research into the creative vistas offered by new digital platforms, and examines the vast potentialities opened up when traditional forms of narrative convergence with new media.  </w:t>
      </w:r>
    </w:p>
    <w:p w14:paraId="6DD71EED" w14:textId="77777777" w:rsidR="00C21396" w:rsidRPr="00043403" w:rsidRDefault="00C21396">
      <w:pPr>
        <w:pStyle w:val="Normal1"/>
        <w:widowControl w:val="0"/>
        <w:spacing w:after="22" w:line="480" w:lineRule="auto"/>
        <w:rPr>
          <w:rFonts w:ascii="Calibri" w:hAnsi="Calibri"/>
        </w:rPr>
      </w:pPr>
    </w:p>
    <w:p w14:paraId="70CA5E16" w14:textId="77777777" w:rsidR="00C21396" w:rsidRPr="00043403" w:rsidRDefault="00C21396">
      <w:pPr>
        <w:pStyle w:val="Normal1"/>
        <w:widowControl w:val="0"/>
        <w:spacing w:after="22" w:line="480" w:lineRule="auto"/>
        <w:rPr>
          <w:rFonts w:ascii="Calibri" w:hAnsi="Calibri"/>
        </w:rPr>
      </w:pPr>
      <w:bookmarkStart w:id="1" w:name="_gjdgxs" w:colFirst="0" w:colLast="0"/>
      <w:bookmarkEnd w:id="1"/>
    </w:p>
    <w:p w14:paraId="1E8852BA" w14:textId="77777777" w:rsidR="00C21396" w:rsidRPr="00043403" w:rsidRDefault="00C21396">
      <w:pPr>
        <w:pStyle w:val="Normal1"/>
        <w:spacing w:line="480" w:lineRule="auto"/>
        <w:rPr>
          <w:rFonts w:ascii="Calibri" w:hAnsi="Calibri"/>
        </w:rPr>
      </w:pPr>
    </w:p>
    <w:sectPr w:rsidR="00C21396" w:rsidRPr="0004340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hideSpellingErrors/>
  <w:hideGrammaticalErrors/>
  <w:revisionView w:inkAnnotations="0"/>
  <w:defaultTabStop w:val="720"/>
  <w:characterSpacingControl w:val="doNotCompress"/>
  <w:compat>
    <w:compatSetting w:name="compatibilityMode" w:uri="http://schemas.microsoft.com/office/word" w:val="14"/>
  </w:compat>
  <w:rsids>
    <w:rsidRoot w:val="00C21396"/>
    <w:rsid w:val="00043403"/>
    <w:rsid w:val="000F710C"/>
    <w:rsid w:val="003B12F2"/>
    <w:rsid w:val="00403938"/>
    <w:rsid w:val="005A7FE5"/>
    <w:rsid w:val="00804DED"/>
    <w:rsid w:val="00AA2A86"/>
    <w:rsid w:val="00C21396"/>
    <w:rsid w:val="00CD13D3"/>
    <w:rsid w:val="00E450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75B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D13D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13D3"/>
    <w:rPr>
      <w:rFonts w:ascii="Lucida Grande" w:hAnsi="Lucida Grande" w:cs="Lucida Grande"/>
      <w:sz w:val="18"/>
      <w:szCs w:val="18"/>
    </w:rPr>
  </w:style>
  <w:style w:type="paragraph" w:customStyle="1" w:styleId="p1">
    <w:name w:val="p1"/>
    <w:basedOn w:val="Normal"/>
    <w:rsid w:val="00043403"/>
    <w:pPr>
      <w:spacing w:line="240" w:lineRule="auto"/>
    </w:pPr>
    <w:rPr>
      <w:rFonts w:ascii="Helvetica" w:hAnsi="Helvetica" w:cs="Times New Roman"/>
      <w:color w:val="auto"/>
      <w:sz w:val="11"/>
      <w:szCs w:val="1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20351">
      <w:bodyDiv w:val="1"/>
      <w:marLeft w:val="0"/>
      <w:marRight w:val="0"/>
      <w:marTop w:val="0"/>
      <w:marBottom w:val="0"/>
      <w:divBdr>
        <w:top w:val="none" w:sz="0" w:space="0" w:color="auto"/>
        <w:left w:val="none" w:sz="0" w:space="0" w:color="auto"/>
        <w:bottom w:val="none" w:sz="0" w:space="0" w:color="auto"/>
        <w:right w:val="none" w:sz="0" w:space="0" w:color="auto"/>
      </w:divBdr>
    </w:div>
    <w:div w:id="1903103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808</Words>
  <Characters>4607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Tugwell F.</dc:creator>
  <cp:lastModifiedBy>Tugwell F.</cp:lastModifiedBy>
  <cp:revision>2</cp:revision>
  <dcterms:created xsi:type="dcterms:W3CDTF">2017-03-23T10:13:00Z</dcterms:created>
  <dcterms:modified xsi:type="dcterms:W3CDTF">2017-03-23T10:13:00Z</dcterms:modified>
</cp:coreProperties>
</file>