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EE8C1" w14:textId="14161674" w:rsidR="00467DF5" w:rsidRPr="008F59F3" w:rsidRDefault="00467DF5" w:rsidP="008F59F3">
      <w:pPr>
        <w:spacing w:line="480" w:lineRule="auto"/>
        <w:jc w:val="center"/>
        <w:rPr>
          <w:rFonts w:ascii="Times New Roman" w:hAnsi="Times New Roman" w:cs="Times New Roman"/>
          <w:b/>
          <w:sz w:val="24"/>
          <w:szCs w:val="24"/>
        </w:rPr>
      </w:pPr>
      <w:bookmarkStart w:id="0" w:name="_GoBack"/>
      <w:bookmarkEnd w:id="0"/>
      <w:r w:rsidRPr="008F59F3">
        <w:rPr>
          <w:rFonts w:ascii="Times New Roman" w:hAnsi="Times New Roman" w:cs="Times New Roman"/>
          <w:b/>
          <w:sz w:val="24"/>
          <w:szCs w:val="24"/>
        </w:rPr>
        <w:t xml:space="preserve">Institutional Ownership Stability and </w:t>
      </w:r>
      <w:r w:rsidR="00A55259" w:rsidRPr="008F59F3">
        <w:rPr>
          <w:rFonts w:ascii="Times New Roman" w:hAnsi="Times New Roman" w:cs="Times New Roman"/>
          <w:b/>
          <w:sz w:val="24"/>
          <w:szCs w:val="24"/>
        </w:rPr>
        <w:t>Dividend</w:t>
      </w:r>
      <w:r w:rsidRPr="008F59F3">
        <w:rPr>
          <w:rFonts w:ascii="Times New Roman" w:hAnsi="Times New Roman" w:cs="Times New Roman"/>
          <w:b/>
          <w:sz w:val="24"/>
          <w:szCs w:val="24"/>
        </w:rPr>
        <w:t xml:space="preserve"> </w:t>
      </w:r>
      <w:r w:rsidR="00277BBB">
        <w:rPr>
          <w:rFonts w:ascii="Times New Roman" w:hAnsi="Times New Roman" w:cs="Times New Roman"/>
          <w:b/>
          <w:sz w:val="24"/>
          <w:szCs w:val="24"/>
        </w:rPr>
        <w:t>Payout Policy</w:t>
      </w:r>
    </w:p>
    <w:p w14:paraId="1984C1B9" w14:textId="7EC540B3" w:rsidR="00DE7BDD" w:rsidRPr="008F59F3" w:rsidRDefault="00467DF5" w:rsidP="00485BCC">
      <w:pPr>
        <w:spacing w:line="240" w:lineRule="auto"/>
        <w:contextualSpacing/>
        <w:jc w:val="center"/>
        <w:rPr>
          <w:rFonts w:ascii="Times New Roman" w:hAnsi="Times New Roman" w:cs="Times New Roman"/>
          <w:b/>
          <w:sz w:val="24"/>
          <w:szCs w:val="24"/>
        </w:rPr>
      </w:pPr>
      <w:r w:rsidRPr="008F59F3">
        <w:rPr>
          <w:rFonts w:ascii="Times New Roman" w:hAnsi="Times New Roman" w:cs="Times New Roman"/>
          <w:b/>
          <w:sz w:val="24"/>
          <w:szCs w:val="24"/>
        </w:rPr>
        <w:t>Abstract</w:t>
      </w:r>
    </w:p>
    <w:p w14:paraId="150885DD" w14:textId="2868D918" w:rsidR="00622475" w:rsidRPr="003F2B45" w:rsidRDefault="00DE7BDD" w:rsidP="002B70C8">
      <w:pPr>
        <w:spacing w:line="240" w:lineRule="auto"/>
        <w:contextualSpacing/>
        <w:rPr>
          <w:rFonts w:ascii="Times New Roman" w:hAnsi="Times New Roman" w:cs="Times New Roman"/>
          <w:sz w:val="24"/>
          <w:szCs w:val="24"/>
        </w:rPr>
      </w:pPr>
      <w:r w:rsidRPr="003F2B45">
        <w:rPr>
          <w:rFonts w:ascii="Times New Roman" w:hAnsi="Times New Roman" w:cs="Times New Roman"/>
          <w:sz w:val="24"/>
          <w:szCs w:val="24"/>
        </w:rPr>
        <w:t xml:space="preserve">We study the link between institutional ownership stability and dividend payout </w:t>
      </w:r>
      <w:r w:rsidR="00D3391A">
        <w:rPr>
          <w:rFonts w:ascii="Times New Roman" w:hAnsi="Times New Roman" w:cs="Times New Roman"/>
          <w:sz w:val="24"/>
          <w:szCs w:val="24"/>
        </w:rPr>
        <w:t>r</w:t>
      </w:r>
      <w:r w:rsidR="00A71DA5">
        <w:rPr>
          <w:rFonts w:ascii="Times New Roman" w:hAnsi="Times New Roman" w:cs="Times New Roman"/>
          <w:sz w:val="24"/>
          <w:szCs w:val="24"/>
        </w:rPr>
        <w:t>atio</w:t>
      </w:r>
      <w:r w:rsidRPr="003F2B45">
        <w:rPr>
          <w:rFonts w:ascii="Times New Roman" w:hAnsi="Times New Roman" w:cs="Times New Roman"/>
          <w:sz w:val="24"/>
          <w:szCs w:val="24"/>
        </w:rPr>
        <w:t xml:space="preserve">. </w:t>
      </w:r>
      <w:r w:rsidR="00822F6B">
        <w:rPr>
          <w:rFonts w:ascii="Times New Roman" w:hAnsi="Times New Roman" w:cs="Times New Roman"/>
          <w:sz w:val="24"/>
          <w:szCs w:val="24"/>
        </w:rPr>
        <w:t xml:space="preserve">We find that </w:t>
      </w:r>
      <w:r w:rsidR="00822F6B" w:rsidRPr="003F2B45">
        <w:rPr>
          <w:rFonts w:ascii="Times New Roman" w:hAnsi="Times New Roman" w:cs="Times New Roman"/>
          <w:sz w:val="24"/>
          <w:szCs w:val="24"/>
        </w:rPr>
        <w:t xml:space="preserve">stable </w:t>
      </w:r>
      <w:r w:rsidRPr="003F2B45">
        <w:rPr>
          <w:rFonts w:ascii="Times New Roman" w:hAnsi="Times New Roman" w:cs="Times New Roman"/>
          <w:sz w:val="24"/>
          <w:szCs w:val="24"/>
        </w:rPr>
        <w:t>and large institutional owners favour dividend paying companies.</w:t>
      </w:r>
      <w:r w:rsidR="00622475" w:rsidRPr="003F2B45">
        <w:rPr>
          <w:rFonts w:ascii="Times New Roman" w:hAnsi="Times New Roman" w:cs="Times New Roman"/>
          <w:sz w:val="24"/>
          <w:szCs w:val="24"/>
        </w:rPr>
        <w:t xml:space="preserve"> There also exists a positive association between ownership persistence and dividend payout. Conversely, firms that change their dividend payout frequently are associated with larger deviations in </w:t>
      </w:r>
      <w:r w:rsidR="00E968CA">
        <w:rPr>
          <w:rFonts w:ascii="Times New Roman" w:hAnsi="Times New Roman" w:cs="Times New Roman"/>
          <w:sz w:val="24"/>
          <w:szCs w:val="24"/>
        </w:rPr>
        <w:t>institutional ownership</w:t>
      </w:r>
      <w:r w:rsidR="00622475" w:rsidRPr="003F2B45">
        <w:rPr>
          <w:rFonts w:ascii="Times New Roman" w:hAnsi="Times New Roman" w:cs="Times New Roman"/>
          <w:sz w:val="24"/>
          <w:szCs w:val="24"/>
        </w:rPr>
        <w:t xml:space="preserve">. </w:t>
      </w:r>
      <w:r w:rsidR="001A270F">
        <w:rPr>
          <w:rFonts w:ascii="Times New Roman" w:hAnsi="Times New Roman" w:cs="Times New Roman"/>
          <w:sz w:val="24"/>
          <w:szCs w:val="24"/>
        </w:rPr>
        <w:t>Additionally, the presence of pressure-sensitive institutional investors (i.e., investors that also hold business ties with the investee firm) is significantly linked to dividend payout policy</w:t>
      </w:r>
      <w:r w:rsidR="002B70C8" w:rsidRPr="002B70C8">
        <w:rPr>
          <w:rFonts w:ascii="Times New Roman" w:hAnsi="Times New Roman" w:cs="Times New Roman"/>
          <w:sz w:val="24"/>
          <w:szCs w:val="24"/>
        </w:rPr>
        <w:t>.</w:t>
      </w:r>
      <w:r w:rsidR="003F1A40">
        <w:rPr>
          <w:rFonts w:ascii="Times New Roman" w:hAnsi="Times New Roman" w:cs="Times New Roman"/>
          <w:sz w:val="24"/>
          <w:szCs w:val="24"/>
        </w:rPr>
        <w:t xml:space="preserve"> Conversely, pressure-insensitive investors use alternative forms of monitoring instead of requiring investee firms to pay dividends, which serve to reduce agency conflicts. </w:t>
      </w:r>
    </w:p>
    <w:p w14:paraId="583EB9FC" w14:textId="77777777" w:rsidR="00364295" w:rsidRDefault="00364295" w:rsidP="00485BCC">
      <w:pPr>
        <w:spacing w:line="240" w:lineRule="auto"/>
        <w:contextualSpacing/>
        <w:rPr>
          <w:rFonts w:ascii="Times New Roman" w:hAnsi="Times New Roman" w:cs="Times New Roman"/>
          <w:sz w:val="24"/>
          <w:szCs w:val="24"/>
        </w:rPr>
      </w:pPr>
    </w:p>
    <w:p w14:paraId="030436D9" w14:textId="77777777" w:rsidR="00467DF5" w:rsidRPr="003F2B45" w:rsidRDefault="00467DF5" w:rsidP="00485BCC">
      <w:pPr>
        <w:spacing w:line="240" w:lineRule="auto"/>
        <w:contextualSpacing/>
        <w:rPr>
          <w:rFonts w:ascii="Times New Roman" w:hAnsi="Times New Roman" w:cs="Times New Roman"/>
          <w:sz w:val="24"/>
          <w:szCs w:val="24"/>
        </w:rPr>
      </w:pPr>
      <w:r w:rsidRPr="003F2B45">
        <w:rPr>
          <w:rFonts w:ascii="Times New Roman" w:hAnsi="Times New Roman" w:cs="Times New Roman"/>
          <w:sz w:val="24"/>
          <w:szCs w:val="24"/>
        </w:rPr>
        <w:t>JEL classification: G32; G35</w:t>
      </w:r>
    </w:p>
    <w:p w14:paraId="53B8C1DA" w14:textId="475D421F" w:rsidR="00467DF5" w:rsidRPr="003F2B45" w:rsidRDefault="00467DF5" w:rsidP="00485BCC">
      <w:pPr>
        <w:spacing w:line="240" w:lineRule="auto"/>
        <w:contextualSpacing/>
        <w:rPr>
          <w:rFonts w:ascii="Times New Roman" w:hAnsi="Times New Roman" w:cs="Times New Roman"/>
          <w:sz w:val="24"/>
          <w:szCs w:val="24"/>
        </w:rPr>
      </w:pPr>
      <w:r w:rsidRPr="003F2B45">
        <w:rPr>
          <w:rFonts w:ascii="Times New Roman" w:hAnsi="Times New Roman" w:cs="Times New Roman"/>
          <w:sz w:val="24"/>
          <w:szCs w:val="24"/>
        </w:rPr>
        <w:t xml:space="preserve">Keywords: Institutional </w:t>
      </w:r>
      <w:r w:rsidR="00CA53E4" w:rsidRPr="003F2B45">
        <w:rPr>
          <w:rFonts w:ascii="Times New Roman" w:hAnsi="Times New Roman" w:cs="Times New Roman"/>
          <w:sz w:val="24"/>
          <w:szCs w:val="24"/>
        </w:rPr>
        <w:t xml:space="preserve">Ownership Stability; </w:t>
      </w:r>
      <w:r w:rsidRPr="003F2B45">
        <w:rPr>
          <w:rFonts w:ascii="Times New Roman" w:hAnsi="Times New Roman" w:cs="Times New Roman"/>
          <w:sz w:val="24"/>
          <w:szCs w:val="24"/>
        </w:rPr>
        <w:t>Dividend</w:t>
      </w:r>
      <w:r w:rsidR="00CA53E4" w:rsidRPr="003F2B45">
        <w:rPr>
          <w:rFonts w:ascii="Times New Roman" w:hAnsi="Times New Roman" w:cs="Times New Roman"/>
          <w:sz w:val="24"/>
          <w:szCs w:val="24"/>
        </w:rPr>
        <w:t>; Payout</w:t>
      </w:r>
      <w:r w:rsidR="00EE7BE1">
        <w:rPr>
          <w:rFonts w:ascii="Times New Roman" w:hAnsi="Times New Roman" w:cs="Times New Roman"/>
          <w:sz w:val="24"/>
          <w:szCs w:val="24"/>
        </w:rPr>
        <w:t xml:space="preserve"> Policy</w:t>
      </w:r>
    </w:p>
    <w:p w14:paraId="71F1A9AD" w14:textId="77777777" w:rsidR="00467DF5" w:rsidRPr="003F2B45" w:rsidRDefault="00467DF5" w:rsidP="00485BCC">
      <w:pPr>
        <w:spacing w:line="240" w:lineRule="auto"/>
        <w:contextualSpacing/>
        <w:rPr>
          <w:rFonts w:ascii="Times New Roman" w:hAnsi="Times New Roman" w:cs="Times New Roman"/>
          <w:sz w:val="24"/>
          <w:szCs w:val="24"/>
        </w:rPr>
      </w:pPr>
      <w:r w:rsidRPr="003F2B45">
        <w:rPr>
          <w:rFonts w:ascii="Times New Roman" w:hAnsi="Times New Roman" w:cs="Times New Roman"/>
          <w:sz w:val="24"/>
          <w:szCs w:val="24"/>
        </w:rPr>
        <w:tab/>
      </w:r>
    </w:p>
    <w:p w14:paraId="5F074EC0" w14:textId="77777777" w:rsidR="00A55259" w:rsidRPr="003F2B45" w:rsidRDefault="00A55259" w:rsidP="003F2B45">
      <w:pPr>
        <w:spacing w:line="480" w:lineRule="auto"/>
        <w:rPr>
          <w:rFonts w:ascii="Times New Roman" w:hAnsi="Times New Roman" w:cs="Times New Roman"/>
          <w:sz w:val="24"/>
          <w:szCs w:val="24"/>
        </w:rPr>
      </w:pPr>
      <w:r w:rsidRPr="003F2B45">
        <w:rPr>
          <w:rFonts w:ascii="Times New Roman" w:hAnsi="Times New Roman" w:cs="Times New Roman"/>
          <w:sz w:val="24"/>
          <w:szCs w:val="24"/>
        </w:rPr>
        <w:br w:type="page"/>
      </w:r>
    </w:p>
    <w:p w14:paraId="5FD1026F" w14:textId="5AAFE56E" w:rsidR="008F59F3" w:rsidRDefault="008F59F3" w:rsidP="008F59F3">
      <w:pPr>
        <w:spacing w:line="480" w:lineRule="auto"/>
        <w:jc w:val="center"/>
        <w:rPr>
          <w:rFonts w:ascii="Times New Roman" w:hAnsi="Times New Roman" w:cs="Times New Roman"/>
          <w:b/>
          <w:sz w:val="24"/>
          <w:szCs w:val="24"/>
        </w:rPr>
      </w:pPr>
      <w:r w:rsidRPr="008F59F3">
        <w:rPr>
          <w:rFonts w:ascii="Times New Roman" w:hAnsi="Times New Roman" w:cs="Times New Roman"/>
          <w:b/>
          <w:sz w:val="24"/>
          <w:szCs w:val="24"/>
        </w:rPr>
        <w:lastRenderedPageBreak/>
        <w:t xml:space="preserve">Institutional Ownership Stability and Dividend </w:t>
      </w:r>
      <w:r w:rsidR="00277BBB">
        <w:rPr>
          <w:rFonts w:ascii="Times New Roman" w:hAnsi="Times New Roman" w:cs="Times New Roman"/>
          <w:b/>
          <w:sz w:val="24"/>
          <w:szCs w:val="24"/>
        </w:rPr>
        <w:t>Payout Policy</w:t>
      </w:r>
    </w:p>
    <w:p w14:paraId="36651429" w14:textId="77777777" w:rsidR="00467DF5" w:rsidRPr="003F2B45" w:rsidRDefault="00467DF5"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Introduction</w:t>
      </w:r>
    </w:p>
    <w:p w14:paraId="5EC33EC3" w14:textId="135E933B" w:rsidR="00CB23EF" w:rsidRPr="003F2B45" w:rsidRDefault="00B1157B"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Institutional investors hold more than half of the total outstanding equity of U.S. listed companies</w:t>
      </w:r>
      <w:r w:rsidR="00CB23EF" w:rsidRPr="003F2B45">
        <w:rPr>
          <w:rFonts w:ascii="Times New Roman" w:hAnsi="Times New Roman" w:cs="Times New Roman"/>
          <w:sz w:val="24"/>
          <w:szCs w:val="24"/>
        </w:rPr>
        <w:t xml:space="preserve"> (Tonello and Rabimov, 2010). Given their increasing economic power and clout</w:t>
      </w:r>
      <w:r w:rsidR="008D401B" w:rsidRPr="003F2B45">
        <w:rPr>
          <w:rFonts w:ascii="Times New Roman" w:hAnsi="Times New Roman" w:cs="Times New Roman"/>
          <w:sz w:val="24"/>
          <w:szCs w:val="24"/>
        </w:rPr>
        <w:t>, coupled with the fact that</w:t>
      </w:r>
      <w:r w:rsidR="00046656" w:rsidRPr="003F2B45">
        <w:rPr>
          <w:rFonts w:ascii="Times New Roman" w:hAnsi="Times New Roman" w:cs="Times New Roman"/>
          <w:sz w:val="24"/>
          <w:szCs w:val="24"/>
        </w:rPr>
        <w:t xml:space="preserve"> </w:t>
      </w:r>
      <w:r w:rsidR="00CB23EF" w:rsidRPr="003F2B45">
        <w:rPr>
          <w:rFonts w:ascii="Times New Roman" w:hAnsi="Times New Roman" w:cs="Times New Roman"/>
          <w:sz w:val="24"/>
          <w:szCs w:val="24"/>
        </w:rPr>
        <w:t>many of them tend to be ardent activist investors</w:t>
      </w:r>
      <w:r w:rsidR="008D401B" w:rsidRPr="003F2B45">
        <w:rPr>
          <w:rFonts w:ascii="Times New Roman" w:hAnsi="Times New Roman" w:cs="Times New Roman"/>
          <w:sz w:val="24"/>
          <w:szCs w:val="24"/>
        </w:rPr>
        <w:t>,</w:t>
      </w:r>
      <w:r w:rsidR="00CB23EF" w:rsidRPr="003F2B45">
        <w:rPr>
          <w:rFonts w:ascii="Times New Roman" w:hAnsi="Times New Roman" w:cs="Times New Roman"/>
          <w:sz w:val="24"/>
          <w:szCs w:val="24"/>
        </w:rPr>
        <w:t xml:space="preserve"> </w:t>
      </w:r>
      <w:r w:rsidR="00E968CA">
        <w:rPr>
          <w:rFonts w:ascii="Times New Roman" w:hAnsi="Times New Roman" w:cs="Times New Roman"/>
          <w:sz w:val="24"/>
          <w:szCs w:val="24"/>
        </w:rPr>
        <w:t>the influence of institutional investors on corporate financial policies is attracting considerable academic interest</w:t>
      </w:r>
      <w:r w:rsidR="00CB23EF" w:rsidRPr="003F2B45">
        <w:rPr>
          <w:rFonts w:ascii="Times New Roman" w:hAnsi="Times New Roman" w:cs="Times New Roman"/>
          <w:sz w:val="24"/>
          <w:szCs w:val="24"/>
        </w:rPr>
        <w:t xml:space="preserve">. </w:t>
      </w:r>
      <w:r w:rsidR="00E968CA">
        <w:rPr>
          <w:rFonts w:ascii="Times New Roman" w:hAnsi="Times New Roman" w:cs="Times New Roman"/>
          <w:sz w:val="24"/>
          <w:szCs w:val="24"/>
        </w:rPr>
        <w:t>This paper examines</w:t>
      </w:r>
      <w:r w:rsidR="00CB23EF" w:rsidRPr="003F2B45">
        <w:rPr>
          <w:rFonts w:ascii="Times New Roman" w:hAnsi="Times New Roman" w:cs="Times New Roman"/>
          <w:sz w:val="24"/>
          <w:szCs w:val="24"/>
        </w:rPr>
        <w:t xml:space="preserve"> </w:t>
      </w:r>
      <w:r w:rsidR="00E968CA">
        <w:rPr>
          <w:rFonts w:ascii="Times New Roman" w:hAnsi="Times New Roman" w:cs="Times New Roman"/>
          <w:sz w:val="24"/>
          <w:szCs w:val="24"/>
        </w:rPr>
        <w:t>how the stability in institutional investors’ ownership affects dividend policy</w:t>
      </w:r>
      <w:r w:rsidR="00CB23EF" w:rsidRPr="003F2B45">
        <w:rPr>
          <w:rFonts w:ascii="Times New Roman" w:hAnsi="Times New Roman" w:cs="Times New Roman"/>
          <w:sz w:val="24"/>
          <w:szCs w:val="24"/>
        </w:rPr>
        <w:t>.</w:t>
      </w:r>
    </w:p>
    <w:p w14:paraId="034B9ED4" w14:textId="4301E9CA" w:rsidR="005114A9" w:rsidRPr="003F2B45" w:rsidRDefault="00E968CA"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Various studies postulate that the study of institutional shareholdings’ </w:t>
      </w:r>
      <w:r w:rsidRPr="006E0A4F">
        <w:rPr>
          <w:rFonts w:ascii="Times New Roman" w:hAnsi="Times New Roman" w:cs="Times New Roman"/>
          <w:b/>
          <w:i/>
          <w:sz w:val="24"/>
          <w:szCs w:val="24"/>
        </w:rPr>
        <w:t>stability</w:t>
      </w:r>
      <w:r>
        <w:rPr>
          <w:rFonts w:ascii="Times New Roman" w:hAnsi="Times New Roman" w:cs="Times New Roman"/>
          <w:sz w:val="24"/>
          <w:szCs w:val="24"/>
        </w:rPr>
        <w:t xml:space="preserve"> is important to fully appreciate the investment motives of these investors</w:t>
      </w:r>
      <w:r w:rsidR="005114A9" w:rsidRPr="003F2B45">
        <w:rPr>
          <w:rFonts w:ascii="Times New Roman" w:hAnsi="Times New Roman" w:cs="Times New Roman"/>
          <w:sz w:val="24"/>
          <w:szCs w:val="24"/>
        </w:rPr>
        <w:t xml:space="preserve"> (Gaspar </w:t>
      </w:r>
      <w:r w:rsidR="005114A9" w:rsidRPr="00485BCC">
        <w:rPr>
          <w:rFonts w:ascii="Times New Roman" w:hAnsi="Times New Roman" w:cs="Times New Roman"/>
          <w:i/>
          <w:sz w:val="24"/>
          <w:szCs w:val="24"/>
        </w:rPr>
        <w:t>et al</w:t>
      </w:r>
      <w:r w:rsidR="005114A9" w:rsidRPr="003F2B45">
        <w:rPr>
          <w:rFonts w:ascii="Times New Roman" w:hAnsi="Times New Roman" w:cs="Times New Roman"/>
          <w:sz w:val="24"/>
          <w:szCs w:val="24"/>
        </w:rPr>
        <w:t xml:space="preserve">. 2005; Chen </w:t>
      </w:r>
      <w:r w:rsidR="005114A9" w:rsidRPr="00485BCC">
        <w:rPr>
          <w:rFonts w:ascii="Times New Roman" w:hAnsi="Times New Roman" w:cs="Times New Roman"/>
          <w:i/>
          <w:sz w:val="24"/>
          <w:szCs w:val="24"/>
        </w:rPr>
        <w:t>et al</w:t>
      </w:r>
      <w:r w:rsidR="005114A9" w:rsidRPr="003F2B45">
        <w:rPr>
          <w:rFonts w:ascii="Times New Roman" w:hAnsi="Times New Roman" w:cs="Times New Roman"/>
          <w:sz w:val="24"/>
          <w:szCs w:val="24"/>
        </w:rPr>
        <w:t xml:space="preserve">., 2007; Yan and Zhang, 2010; Elyasiani and Jia, 2010; Elyasiani </w:t>
      </w:r>
      <w:r w:rsidR="005114A9" w:rsidRPr="00485BCC">
        <w:rPr>
          <w:rFonts w:ascii="Times New Roman" w:hAnsi="Times New Roman" w:cs="Times New Roman"/>
          <w:i/>
          <w:sz w:val="24"/>
          <w:szCs w:val="24"/>
        </w:rPr>
        <w:t>et al</w:t>
      </w:r>
      <w:r w:rsidR="005114A9" w:rsidRPr="003F2B45">
        <w:rPr>
          <w:rFonts w:ascii="Times New Roman" w:hAnsi="Times New Roman" w:cs="Times New Roman"/>
          <w:sz w:val="24"/>
          <w:szCs w:val="24"/>
        </w:rPr>
        <w:t xml:space="preserve">., 2010; Attig </w:t>
      </w:r>
      <w:r w:rsidR="005114A9" w:rsidRPr="00485BCC">
        <w:rPr>
          <w:rFonts w:ascii="Times New Roman" w:hAnsi="Times New Roman" w:cs="Times New Roman"/>
          <w:i/>
          <w:sz w:val="24"/>
          <w:szCs w:val="24"/>
        </w:rPr>
        <w:t>et al</w:t>
      </w:r>
      <w:r w:rsidR="005114A9" w:rsidRPr="003F2B45">
        <w:rPr>
          <w:rFonts w:ascii="Times New Roman" w:hAnsi="Times New Roman" w:cs="Times New Roman"/>
          <w:sz w:val="24"/>
          <w:szCs w:val="24"/>
        </w:rPr>
        <w:t xml:space="preserve">. 2012; Callen and Fang, 2013). Institutional investors who maintain their shareholdings </w:t>
      </w:r>
      <w:r w:rsidR="006D3318" w:rsidRPr="003F2B45">
        <w:rPr>
          <w:rFonts w:ascii="Times New Roman" w:hAnsi="Times New Roman" w:cs="Times New Roman"/>
          <w:sz w:val="24"/>
          <w:szCs w:val="24"/>
        </w:rPr>
        <w:t>at</w:t>
      </w:r>
      <w:r w:rsidR="005114A9" w:rsidRPr="003F2B45">
        <w:rPr>
          <w:rFonts w:ascii="Times New Roman" w:hAnsi="Times New Roman" w:cs="Times New Roman"/>
          <w:sz w:val="24"/>
          <w:szCs w:val="24"/>
        </w:rPr>
        <w:t xml:space="preserve"> investee firms over the long run are more incentivised to monitor managers. Their ability to force dividend policies that mitigate agency </w:t>
      </w:r>
      <w:r w:rsidR="00F56449">
        <w:rPr>
          <w:rFonts w:ascii="Times New Roman" w:hAnsi="Times New Roman" w:cs="Times New Roman"/>
          <w:sz w:val="24"/>
          <w:szCs w:val="24"/>
        </w:rPr>
        <w:t>conflict</w:t>
      </w:r>
      <w:r w:rsidR="00F56449" w:rsidRPr="003F2B45">
        <w:rPr>
          <w:rFonts w:ascii="Times New Roman" w:hAnsi="Times New Roman" w:cs="Times New Roman"/>
          <w:sz w:val="24"/>
          <w:szCs w:val="24"/>
        </w:rPr>
        <w:t xml:space="preserve"> </w:t>
      </w:r>
      <w:r w:rsidR="005114A9" w:rsidRPr="003F2B45">
        <w:rPr>
          <w:rFonts w:ascii="Times New Roman" w:hAnsi="Times New Roman" w:cs="Times New Roman"/>
          <w:sz w:val="24"/>
          <w:szCs w:val="24"/>
        </w:rPr>
        <w:t xml:space="preserve">is directly linked to both the size and the duration of their investments. </w:t>
      </w:r>
      <w:r w:rsidR="00F56449" w:rsidRPr="00F56449">
        <w:rPr>
          <w:rFonts w:ascii="Times New Roman" w:hAnsi="Times New Roman" w:cs="Times New Roman"/>
          <w:sz w:val="24"/>
          <w:szCs w:val="24"/>
        </w:rPr>
        <w:t xml:space="preserve">The literature evidences that </w:t>
      </w:r>
      <w:r w:rsidR="005114A9" w:rsidRPr="003F2B45">
        <w:rPr>
          <w:rFonts w:ascii="Times New Roman" w:hAnsi="Times New Roman" w:cs="Times New Roman"/>
          <w:sz w:val="24"/>
          <w:szCs w:val="24"/>
        </w:rPr>
        <w:t>dividend smoothing is more prevalent among firms that are closely monitored by institutional investors (Leary and Michaely, 2011). Gaspar, Massa, Matos, Patgiri and Rehman (2012) find that the frequency and amount of share repurchases</w:t>
      </w:r>
      <w:r w:rsidR="00F56449">
        <w:rPr>
          <w:rFonts w:ascii="Times New Roman" w:hAnsi="Times New Roman" w:cs="Times New Roman"/>
          <w:sz w:val="24"/>
          <w:szCs w:val="24"/>
        </w:rPr>
        <w:t xml:space="preserve"> ―</w:t>
      </w:r>
      <w:r w:rsidR="005114A9" w:rsidRPr="003F2B45">
        <w:rPr>
          <w:rFonts w:ascii="Times New Roman" w:hAnsi="Times New Roman" w:cs="Times New Roman"/>
          <w:sz w:val="24"/>
          <w:szCs w:val="24"/>
        </w:rPr>
        <w:t xml:space="preserve"> </w:t>
      </w:r>
      <w:r w:rsidR="00F56449" w:rsidRPr="00F56449">
        <w:rPr>
          <w:rFonts w:ascii="Times New Roman" w:hAnsi="Times New Roman" w:cs="Times New Roman"/>
          <w:sz w:val="24"/>
          <w:szCs w:val="24"/>
        </w:rPr>
        <w:t xml:space="preserve">to the detriment of dividends </w:t>
      </w:r>
      <w:r w:rsidR="00F56449">
        <w:rPr>
          <w:rFonts w:ascii="Times New Roman" w:hAnsi="Times New Roman" w:cs="Times New Roman"/>
          <w:sz w:val="24"/>
          <w:szCs w:val="24"/>
        </w:rPr>
        <w:t xml:space="preserve">― </w:t>
      </w:r>
      <w:r w:rsidR="005114A9" w:rsidRPr="003F2B45">
        <w:rPr>
          <w:rFonts w:ascii="Times New Roman" w:hAnsi="Times New Roman" w:cs="Times New Roman"/>
          <w:sz w:val="24"/>
          <w:szCs w:val="24"/>
        </w:rPr>
        <w:t>increase with ownership by short-term investors.</w:t>
      </w:r>
    </w:p>
    <w:p w14:paraId="5E47CE87" w14:textId="3B72C14D" w:rsidR="00B056AD" w:rsidRPr="003F2B45" w:rsidRDefault="00B056AD">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We complement the literature on the relationship between institutional ownership and dividend policy by examining the effects of institutional </w:t>
      </w:r>
      <w:r w:rsidR="00066A64" w:rsidRPr="003F2B45">
        <w:rPr>
          <w:rFonts w:ascii="Times New Roman" w:hAnsi="Times New Roman" w:cs="Times New Roman"/>
          <w:sz w:val="24"/>
          <w:szCs w:val="24"/>
        </w:rPr>
        <w:t xml:space="preserve">investors’ </w:t>
      </w:r>
      <w:r w:rsidRPr="003F2B45">
        <w:rPr>
          <w:rFonts w:ascii="Times New Roman" w:hAnsi="Times New Roman" w:cs="Times New Roman"/>
          <w:sz w:val="24"/>
          <w:szCs w:val="24"/>
        </w:rPr>
        <w:t xml:space="preserve">stability. </w:t>
      </w:r>
      <w:r w:rsidR="00B93DA1">
        <w:rPr>
          <w:rFonts w:ascii="Times New Roman" w:hAnsi="Times New Roman" w:cs="Times New Roman"/>
          <w:sz w:val="24"/>
          <w:szCs w:val="24"/>
        </w:rPr>
        <w:t xml:space="preserve">More precisely, we measure investor’s stability using two variables, i.e., </w:t>
      </w:r>
      <w:r w:rsidRPr="003F2B45">
        <w:rPr>
          <w:rFonts w:ascii="Times New Roman" w:hAnsi="Times New Roman" w:cs="Times New Roman"/>
          <w:sz w:val="24"/>
          <w:szCs w:val="24"/>
        </w:rPr>
        <w:t xml:space="preserve">volatility and persistence. Volatility is defined as the standard deviation of quarterly proportions of institutional shareholdings. Persistence is the reciprocal of volatility multiplied by the </w:t>
      </w:r>
      <w:r w:rsidR="00066A64" w:rsidRPr="003F2B45">
        <w:rPr>
          <w:rFonts w:ascii="Times New Roman" w:hAnsi="Times New Roman" w:cs="Times New Roman"/>
          <w:sz w:val="24"/>
          <w:szCs w:val="24"/>
        </w:rPr>
        <w:t>average of the</w:t>
      </w:r>
      <w:r w:rsidRPr="003F2B45">
        <w:rPr>
          <w:rFonts w:ascii="Times New Roman" w:hAnsi="Times New Roman" w:cs="Times New Roman"/>
          <w:sz w:val="24"/>
          <w:szCs w:val="24"/>
        </w:rPr>
        <w:t xml:space="preserve"> quarterly </w:t>
      </w:r>
      <w:r w:rsidRPr="003F2B45">
        <w:rPr>
          <w:rFonts w:ascii="Times New Roman" w:hAnsi="Times New Roman" w:cs="Times New Roman"/>
          <w:sz w:val="24"/>
          <w:szCs w:val="24"/>
        </w:rPr>
        <w:lastRenderedPageBreak/>
        <w:t>proportions. Thus, institutional stability is associated with lower volatility and higher persistence.</w:t>
      </w:r>
    </w:p>
    <w:p w14:paraId="1B310F4C" w14:textId="4530A5AE" w:rsidR="0086502E" w:rsidRPr="003F2B45" w:rsidRDefault="00133933">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To the extent that</w:t>
      </w:r>
      <w:r w:rsidR="00066A64" w:rsidRPr="003F2B45">
        <w:rPr>
          <w:rFonts w:ascii="Times New Roman" w:hAnsi="Times New Roman" w:cs="Times New Roman"/>
          <w:sz w:val="24"/>
          <w:szCs w:val="24"/>
        </w:rPr>
        <w:t xml:space="preserve"> institutional investors </w:t>
      </w:r>
      <w:r w:rsidR="002D5365" w:rsidRPr="003F2B45">
        <w:rPr>
          <w:rFonts w:ascii="Times New Roman" w:hAnsi="Times New Roman" w:cs="Times New Roman"/>
          <w:sz w:val="24"/>
          <w:szCs w:val="24"/>
        </w:rPr>
        <w:t>prefer</w:t>
      </w:r>
      <w:r w:rsidR="00066A64" w:rsidRPr="003F2B45">
        <w:rPr>
          <w:rFonts w:ascii="Times New Roman" w:hAnsi="Times New Roman" w:cs="Times New Roman"/>
          <w:sz w:val="24"/>
          <w:szCs w:val="24"/>
        </w:rPr>
        <w:t xml:space="preserve"> dividend</w:t>
      </w:r>
      <w:r w:rsidR="002D5365" w:rsidRPr="003F2B45">
        <w:rPr>
          <w:rFonts w:ascii="Times New Roman" w:hAnsi="Times New Roman" w:cs="Times New Roman"/>
          <w:sz w:val="24"/>
          <w:szCs w:val="24"/>
        </w:rPr>
        <w:t xml:space="preserve"> as an instrument to mitigate the agency costs of free cash flow </w:t>
      </w:r>
      <w:r w:rsidR="00711104" w:rsidRPr="003F2B45">
        <w:rPr>
          <w:rFonts w:ascii="Times New Roman" w:hAnsi="Times New Roman" w:cs="Times New Roman"/>
          <w:sz w:val="24"/>
          <w:szCs w:val="24"/>
        </w:rPr>
        <w:t>(Jensen</w:t>
      </w:r>
      <w:r w:rsidR="004344DD">
        <w:rPr>
          <w:rFonts w:ascii="Times New Roman" w:hAnsi="Times New Roman" w:cs="Times New Roman"/>
          <w:sz w:val="24"/>
          <w:szCs w:val="24"/>
        </w:rPr>
        <w:t xml:space="preserve">, </w:t>
      </w:r>
      <w:r w:rsidR="00711104" w:rsidRPr="003F2B45">
        <w:rPr>
          <w:rFonts w:ascii="Times New Roman" w:hAnsi="Times New Roman" w:cs="Times New Roman"/>
          <w:sz w:val="24"/>
          <w:szCs w:val="24"/>
        </w:rPr>
        <w:t>1986</w:t>
      </w:r>
      <w:r w:rsidR="002D5365" w:rsidRPr="003F2B45">
        <w:rPr>
          <w:rFonts w:ascii="Times New Roman" w:hAnsi="Times New Roman" w:cs="Times New Roman"/>
          <w:sz w:val="24"/>
          <w:szCs w:val="24"/>
        </w:rPr>
        <w:t>)</w:t>
      </w:r>
      <w:r w:rsidR="00066A64" w:rsidRPr="003F2B45">
        <w:rPr>
          <w:rFonts w:ascii="Times New Roman" w:hAnsi="Times New Roman" w:cs="Times New Roman"/>
          <w:sz w:val="24"/>
          <w:szCs w:val="24"/>
        </w:rPr>
        <w:t xml:space="preserve">, we expect to find a positive association between dividend payments and persistence in their quarterly holdings. </w:t>
      </w:r>
      <w:r w:rsidR="00984694" w:rsidRPr="003F2B45">
        <w:rPr>
          <w:rFonts w:ascii="Times New Roman" w:hAnsi="Times New Roman" w:cs="Times New Roman"/>
          <w:sz w:val="24"/>
          <w:szCs w:val="24"/>
        </w:rPr>
        <w:t>Equally</w:t>
      </w:r>
      <w:r w:rsidR="00066A64" w:rsidRPr="003F2B45">
        <w:rPr>
          <w:rFonts w:ascii="Times New Roman" w:hAnsi="Times New Roman" w:cs="Times New Roman"/>
          <w:sz w:val="24"/>
          <w:szCs w:val="24"/>
        </w:rPr>
        <w:t xml:space="preserve">, we expect to find higher volatility in </w:t>
      </w:r>
      <w:r w:rsidR="009A4C7E">
        <w:rPr>
          <w:rFonts w:ascii="Times New Roman" w:hAnsi="Times New Roman" w:cs="Times New Roman"/>
          <w:sz w:val="24"/>
          <w:szCs w:val="24"/>
        </w:rPr>
        <w:t>institutional ownership</w:t>
      </w:r>
      <w:r w:rsidR="00066A64" w:rsidRPr="003F2B45">
        <w:rPr>
          <w:rFonts w:ascii="Times New Roman" w:hAnsi="Times New Roman" w:cs="Times New Roman"/>
          <w:sz w:val="24"/>
          <w:szCs w:val="24"/>
        </w:rPr>
        <w:t xml:space="preserve"> proportions at companies that pay little in dividend.</w:t>
      </w:r>
      <w:r w:rsidR="00046656" w:rsidRPr="003F2B45">
        <w:rPr>
          <w:rFonts w:ascii="Times New Roman" w:hAnsi="Times New Roman" w:cs="Times New Roman"/>
          <w:sz w:val="24"/>
          <w:szCs w:val="24"/>
        </w:rPr>
        <w:t xml:space="preserve"> </w:t>
      </w:r>
      <w:r w:rsidR="00B27DF9" w:rsidRPr="00B27DF9">
        <w:rPr>
          <w:rFonts w:ascii="Times New Roman" w:hAnsi="Times New Roman" w:cs="Times New Roman"/>
          <w:sz w:val="24"/>
          <w:szCs w:val="24"/>
        </w:rPr>
        <w:t>On the contrary</w:t>
      </w:r>
      <w:r w:rsidR="00251015" w:rsidRPr="003F2B45">
        <w:rPr>
          <w:rFonts w:ascii="Times New Roman" w:hAnsi="Times New Roman" w:cs="Times New Roman"/>
          <w:sz w:val="24"/>
          <w:szCs w:val="24"/>
        </w:rPr>
        <w:t xml:space="preserve">, if the presence of institutional investors mitigates investors’ concerns that management will squander the firm’s free cash flows, </w:t>
      </w:r>
      <w:r w:rsidR="00B27DF9" w:rsidRPr="003F2B45">
        <w:rPr>
          <w:rFonts w:ascii="Times New Roman" w:hAnsi="Times New Roman" w:cs="Times New Roman"/>
          <w:sz w:val="24"/>
          <w:szCs w:val="24"/>
        </w:rPr>
        <w:t>then</w:t>
      </w:r>
      <w:r w:rsidR="00251015" w:rsidRPr="003F2B45">
        <w:rPr>
          <w:rFonts w:ascii="Times New Roman" w:hAnsi="Times New Roman" w:cs="Times New Roman"/>
          <w:sz w:val="24"/>
          <w:szCs w:val="24"/>
        </w:rPr>
        <w:t xml:space="preserve"> </w:t>
      </w:r>
      <w:r w:rsidR="00E64814">
        <w:rPr>
          <w:rFonts w:ascii="Times New Roman" w:hAnsi="Times New Roman" w:cs="Times New Roman"/>
          <w:sz w:val="24"/>
          <w:szCs w:val="24"/>
        </w:rPr>
        <w:t>investors would be indifferent to firms’ dividend policy</w:t>
      </w:r>
      <w:r w:rsidR="00251015" w:rsidRPr="003F2B45">
        <w:rPr>
          <w:rFonts w:ascii="Times New Roman" w:hAnsi="Times New Roman" w:cs="Times New Roman"/>
          <w:sz w:val="24"/>
          <w:szCs w:val="24"/>
        </w:rPr>
        <w:t xml:space="preserve"> (Zeckhauser and Pound</w:t>
      </w:r>
      <w:r w:rsidR="004E7D0D">
        <w:rPr>
          <w:rFonts w:ascii="Times New Roman" w:hAnsi="Times New Roman" w:cs="Times New Roman"/>
          <w:sz w:val="24"/>
          <w:szCs w:val="24"/>
        </w:rPr>
        <w:t xml:space="preserve">, </w:t>
      </w:r>
      <w:r w:rsidR="00251015" w:rsidRPr="003F2B45">
        <w:rPr>
          <w:rFonts w:ascii="Times New Roman" w:hAnsi="Times New Roman" w:cs="Times New Roman"/>
          <w:sz w:val="24"/>
          <w:szCs w:val="24"/>
        </w:rPr>
        <w:t xml:space="preserve">1990). Provided that the presence of institutional investors and the payment of dividend act as substitute mechanisms </w:t>
      </w:r>
      <w:r w:rsidR="00B27DF9">
        <w:rPr>
          <w:rFonts w:ascii="Times New Roman" w:hAnsi="Times New Roman" w:cs="Times New Roman"/>
          <w:sz w:val="24"/>
          <w:szCs w:val="24"/>
        </w:rPr>
        <w:t>in</w:t>
      </w:r>
      <w:r w:rsidR="00251015" w:rsidRPr="003F2B45">
        <w:rPr>
          <w:rFonts w:ascii="Times New Roman" w:hAnsi="Times New Roman" w:cs="Times New Roman"/>
          <w:sz w:val="24"/>
          <w:szCs w:val="24"/>
        </w:rPr>
        <w:t xml:space="preserve"> </w:t>
      </w:r>
      <w:r w:rsidR="00B27DF9">
        <w:rPr>
          <w:rFonts w:ascii="Times New Roman" w:hAnsi="Times New Roman" w:cs="Times New Roman"/>
          <w:sz w:val="24"/>
          <w:szCs w:val="24"/>
        </w:rPr>
        <w:t>mitigating</w:t>
      </w:r>
      <w:r w:rsidR="00251015" w:rsidRPr="003F2B45">
        <w:rPr>
          <w:rFonts w:ascii="Times New Roman" w:hAnsi="Times New Roman" w:cs="Times New Roman"/>
          <w:sz w:val="24"/>
          <w:szCs w:val="24"/>
        </w:rPr>
        <w:t xml:space="preserve"> agency concerns, then the hypothesised positive relationship between the two </w:t>
      </w:r>
      <w:r w:rsidR="00C17F6D" w:rsidRPr="003F2B45">
        <w:rPr>
          <w:rFonts w:ascii="Times New Roman" w:hAnsi="Times New Roman" w:cs="Times New Roman"/>
          <w:sz w:val="24"/>
          <w:szCs w:val="24"/>
        </w:rPr>
        <w:t>may</w:t>
      </w:r>
      <w:r w:rsidR="00251015" w:rsidRPr="003F2B45">
        <w:rPr>
          <w:rFonts w:ascii="Times New Roman" w:hAnsi="Times New Roman" w:cs="Times New Roman"/>
          <w:sz w:val="24"/>
          <w:szCs w:val="24"/>
        </w:rPr>
        <w:t xml:space="preserve"> not exist. </w:t>
      </w:r>
    </w:p>
    <w:p w14:paraId="2C97386E" w14:textId="5081E2BC" w:rsidR="00FD1777" w:rsidRPr="003F2B45" w:rsidRDefault="00B233E8" w:rsidP="00E64814">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Using quarterly data on institutional ownership and dividend payments during the period 1980 to 2013, we </w:t>
      </w:r>
      <w:r w:rsidR="00E64814">
        <w:rPr>
          <w:rFonts w:ascii="Times New Roman" w:hAnsi="Times New Roman" w:cs="Times New Roman"/>
          <w:sz w:val="24"/>
          <w:szCs w:val="24"/>
        </w:rPr>
        <w:t>document new evidence on the relationship</w:t>
      </w:r>
      <w:r w:rsidRPr="003F2B45">
        <w:rPr>
          <w:rFonts w:ascii="Times New Roman" w:hAnsi="Times New Roman" w:cs="Times New Roman"/>
          <w:sz w:val="24"/>
          <w:szCs w:val="24"/>
        </w:rPr>
        <w:t xml:space="preserve"> between institutional ownership stability and </w:t>
      </w:r>
      <w:r w:rsidR="00E64814">
        <w:rPr>
          <w:rFonts w:ascii="Times New Roman" w:hAnsi="Times New Roman" w:cs="Times New Roman"/>
          <w:sz w:val="24"/>
          <w:szCs w:val="24"/>
        </w:rPr>
        <w:t xml:space="preserve">firms’ </w:t>
      </w:r>
      <w:r w:rsidRPr="003F2B45">
        <w:rPr>
          <w:rFonts w:ascii="Times New Roman" w:hAnsi="Times New Roman" w:cs="Times New Roman"/>
          <w:sz w:val="24"/>
          <w:szCs w:val="24"/>
        </w:rPr>
        <w:t xml:space="preserve">payout policy. </w:t>
      </w:r>
      <w:r w:rsidR="00FD1777" w:rsidRPr="003F2B45">
        <w:rPr>
          <w:rFonts w:ascii="Times New Roman" w:hAnsi="Times New Roman" w:cs="Times New Roman"/>
          <w:sz w:val="24"/>
          <w:szCs w:val="24"/>
        </w:rPr>
        <w:t>First</w:t>
      </w:r>
      <w:r w:rsidRPr="003F2B45">
        <w:rPr>
          <w:rFonts w:ascii="Times New Roman" w:hAnsi="Times New Roman" w:cs="Times New Roman"/>
          <w:sz w:val="24"/>
          <w:szCs w:val="24"/>
        </w:rPr>
        <w:t xml:space="preserve">, using probit regressions, we find </w:t>
      </w:r>
      <w:r w:rsidR="00FD1777" w:rsidRPr="003F2B45">
        <w:rPr>
          <w:rFonts w:ascii="Times New Roman" w:hAnsi="Times New Roman" w:cs="Times New Roman"/>
          <w:sz w:val="24"/>
          <w:szCs w:val="24"/>
        </w:rPr>
        <w:t xml:space="preserve">that dividend paying firms are associated with </w:t>
      </w:r>
      <w:r w:rsidR="00E64814">
        <w:rPr>
          <w:rFonts w:ascii="Times New Roman" w:hAnsi="Times New Roman" w:cs="Times New Roman"/>
          <w:sz w:val="24"/>
          <w:szCs w:val="24"/>
        </w:rPr>
        <w:t xml:space="preserve">higher institutional ownership proportions and stability (i.e., lower volatility in their shareholdings). </w:t>
      </w:r>
      <w:r w:rsidR="00B93DA1">
        <w:rPr>
          <w:rFonts w:ascii="Times New Roman" w:hAnsi="Times New Roman" w:cs="Times New Roman"/>
          <w:sz w:val="24"/>
          <w:szCs w:val="24"/>
        </w:rPr>
        <w:t>Second</w:t>
      </w:r>
      <w:r w:rsidR="00FD1777" w:rsidRPr="003F2B45">
        <w:rPr>
          <w:rFonts w:ascii="Times New Roman" w:hAnsi="Times New Roman" w:cs="Times New Roman"/>
          <w:sz w:val="24"/>
          <w:szCs w:val="24"/>
        </w:rPr>
        <w:t xml:space="preserve">, higher payout ratios are associated with higher persistence and lower volatility in the proportions of shares held by </w:t>
      </w:r>
      <w:r w:rsidR="00B27DF9">
        <w:rPr>
          <w:rFonts w:ascii="Times New Roman" w:hAnsi="Times New Roman" w:cs="Times New Roman"/>
          <w:sz w:val="24"/>
          <w:szCs w:val="24"/>
        </w:rPr>
        <w:t>institutional</w:t>
      </w:r>
      <w:r w:rsidR="00FD1777" w:rsidRPr="003F2B45">
        <w:rPr>
          <w:rFonts w:ascii="Times New Roman" w:hAnsi="Times New Roman" w:cs="Times New Roman"/>
          <w:sz w:val="24"/>
          <w:szCs w:val="24"/>
        </w:rPr>
        <w:t xml:space="preserve"> investors. </w:t>
      </w:r>
    </w:p>
    <w:p w14:paraId="55F53CBC" w14:textId="47DFAE51" w:rsidR="00980217" w:rsidRDefault="00284B04"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Third, firms with </w:t>
      </w:r>
      <w:r w:rsidR="00350486" w:rsidRPr="003F2B45">
        <w:rPr>
          <w:rFonts w:ascii="Times New Roman" w:hAnsi="Times New Roman" w:cs="Times New Roman"/>
          <w:sz w:val="24"/>
          <w:szCs w:val="24"/>
        </w:rPr>
        <w:t>high</w:t>
      </w:r>
      <w:r w:rsidRPr="003F2B45">
        <w:rPr>
          <w:rFonts w:ascii="Times New Roman" w:hAnsi="Times New Roman" w:cs="Times New Roman"/>
          <w:sz w:val="24"/>
          <w:szCs w:val="24"/>
        </w:rPr>
        <w:t xml:space="preserve"> volatility in </w:t>
      </w:r>
      <w:r w:rsidR="009A4C7E">
        <w:rPr>
          <w:rFonts w:ascii="Times New Roman" w:hAnsi="Times New Roman" w:cs="Times New Roman"/>
          <w:sz w:val="24"/>
          <w:szCs w:val="24"/>
        </w:rPr>
        <w:t>institutional ownership</w:t>
      </w:r>
      <w:r w:rsidRPr="003F2B45">
        <w:rPr>
          <w:rFonts w:ascii="Times New Roman" w:hAnsi="Times New Roman" w:cs="Times New Roman"/>
          <w:sz w:val="24"/>
          <w:szCs w:val="24"/>
        </w:rPr>
        <w:t xml:space="preserve"> proportions are also associated with high volatility in their dividend payout ratios. In contrast, firms with high persistence in the proportions of shares held by institutional investors are associated with lower volatility in dividend payout ratios.</w:t>
      </w:r>
      <w:r w:rsidR="00533E56">
        <w:rPr>
          <w:rFonts w:ascii="Times New Roman" w:hAnsi="Times New Roman" w:cs="Times New Roman"/>
          <w:sz w:val="24"/>
          <w:szCs w:val="24"/>
        </w:rPr>
        <w:t xml:space="preserve"> Overall, our findings are </w:t>
      </w:r>
      <w:r w:rsidR="00B27DF9">
        <w:rPr>
          <w:rFonts w:ascii="Times New Roman" w:hAnsi="Times New Roman" w:cs="Times New Roman"/>
          <w:sz w:val="24"/>
          <w:szCs w:val="24"/>
        </w:rPr>
        <w:t xml:space="preserve">in </w:t>
      </w:r>
      <w:r w:rsidR="00854ADA">
        <w:rPr>
          <w:rFonts w:ascii="Times New Roman" w:hAnsi="Times New Roman" w:cs="Times New Roman"/>
          <w:sz w:val="24"/>
          <w:szCs w:val="24"/>
        </w:rPr>
        <w:t>agreement</w:t>
      </w:r>
      <w:r w:rsidR="00533E56">
        <w:rPr>
          <w:rFonts w:ascii="Times New Roman" w:hAnsi="Times New Roman" w:cs="Times New Roman"/>
          <w:sz w:val="24"/>
          <w:szCs w:val="24"/>
        </w:rPr>
        <w:t xml:space="preserve"> with the </w:t>
      </w:r>
      <w:r w:rsidR="00B93DA1">
        <w:rPr>
          <w:rFonts w:ascii="Times New Roman" w:hAnsi="Times New Roman" w:cs="Times New Roman"/>
          <w:sz w:val="24"/>
          <w:szCs w:val="24"/>
        </w:rPr>
        <w:lastRenderedPageBreak/>
        <w:t xml:space="preserve">agency </w:t>
      </w:r>
      <w:r w:rsidR="00533E56">
        <w:rPr>
          <w:rFonts w:ascii="Times New Roman" w:hAnsi="Times New Roman" w:cs="Times New Roman"/>
          <w:sz w:val="24"/>
          <w:szCs w:val="24"/>
        </w:rPr>
        <w:t>theory</w:t>
      </w:r>
      <w:r w:rsidR="00980217">
        <w:rPr>
          <w:rFonts w:ascii="Times New Roman" w:hAnsi="Times New Roman" w:cs="Times New Roman"/>
          <w:sz w:val="24"/>
          <w:szCs w:val="24"/>
        </w:rPr>
        <w:t xml:space="preserve"> and the view that institutional investors favour both dividend paying firms and stable dividend payouts. </w:t>
      </w:r>
    </w:p>
    <w:p w14:paraId="5039F2CA" w14:textId="0E5B3788" w:rsidR="009B7655" w:rsidRDefault="001C3E41" w:rsidP="00F36A63">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4709DB">
        <w:rPr>
          <w:rFonts w:ascii="Times New Roman" w:hAnsi="Times New Roman" w:cs="Times New Roman"/>
          <w:sz w:val="24"/>
          <w:szCs w:val="24"/>
        </w:rPr>
        <w:t>he</w:t>
      </w:r>
      <w:r w:rsidR="005366CB">
        <w:rPr>
          <w:rFonts w:ascii="Times New Roman" w:hAnsi="Times New Roman" w:cs="Times New Roman"/>
          <w:sz w:val="24"/>
          <w:szCs w:val="24"/>
        </w:rPr>
        <w:t xml:space="preserve"> extent to which institutional investors </w:t>
      </w:r>
      <w:r w:rsidR="00B93DA1">
        <w:rPr>
          <w:rFonts w:ascii="Times New Roman" w:hAnsi="Times New Roman" w:cs="Times New Roman"/>
          <w:sz w:val="24"/>
          <w:szCs w:val="24"/>
        </w:rPr>
        <w:t>are able to</w:t>
      </w:r>
      <w:r w:rsidR="00DA6615">
        <w:rPr>
          <w:rFonts w:ascii="Times New Roman" w:hAnsi="Times New Roman" w:cs="Times New Roman"/>
          <w:sz w:val="24"/>
          <w:szCs w:val="24"/>
        </w:rPr>
        <w:t xml:space="preserve"> influence dividend payout</w:t>
      </w:r>
      <w:r w:rsidR="005366CB">
        <w:rPr>
          <w:rFonts w:ascii="Times New Roman" w:hAnsi="Times New Roman" w:cs="Times New Roman"/>
          <w:sz w:val="24"/>
          <w:szCs w:val="24"/>
        </w:rPr>
        <w:t xml:space="preserve"> depends on the amount of pressure they can exert on </w:t>
      </w:r>
      <w:r w:rsidR="0057573F">
        <w:rPr>
          <w:rFonts w:ascii="Times New Roman" w:hAnsi="Times New Roman" w:cs="Times New Roman"/>
          <w:sz w:val="24"/>
          <w:szCs w:val="24"/>
        </w:rPr>
        <w:t>the managers</w:t>
      </w:r>
      <w:r w:rsidR="005366CB">
        <w:rPr>
          <w:rFonts w:ascii="Times New Roman" w:hAnsi="Times New Roman" w:cs="Times New Roman"/>
          <w:sz w:val="24"/>
          <w:szCs w:val="24"/>
        </w:rPr>
        <w:t xml:space="preserve">. Institutional investors who are </w:t>
      </w:r>
      <w:r w:rsidR="00B727A9">
        <w:rPr>
          <w:rFonts w:ascii="Times New Roman" w:hAnsi="Times New Roman" w:cs="Times New Roman"/>
          <w:sz w:val="24"/>
          <w:szCs w:val="24"/>
        </w:rPr>
        <w:t>less constrained in their ability</w:t>
      </w:r>
      <w:r w:rsidR="005366CB">
        <w:rPr>
          <w:rFonts w:ascii="Times New Roman" w:hAnsi="Times New Roman" w:cs="Times New Roman"/>
          <w:sz w:val="24"/>
          <w:szCs w:val="24"/>
        </w:rPr>
        <w:t xml:space="preserve"> to monitor, discipline, and impose controls (i.e., pressure-insensitive investors that include investment companies and independent investment advisors) rely less on the </w:t>
      </w:r>
      <w:r w:rsidR="0057573F">
        <w:rPr>
          <w:rFonts w:ascii="Times New Roman" w:hAnsi="Times New Roman" w:cs="Times New Roman"/>
          <w:sz w:val="24"/>
          <w:szCs w:val="24"/>
        </w:rPr>
        <w:t>forces</w:t>
      </w:r>
      <w:r w:rsidR="005366CB">
        <w:rPr>
          <w:rFonts w:ascii="Times New Roman" w:hAnsi="Times New Roman" w:cs="Times New Roman"/>
          <w:sz w:val="24"/>
          <w:szCs w:val="24"/>
        </w:rPr>
        <w:t xml:space="preserve"> of dividend to curtail </w:t>
      </w:r>
      <w:r w:rsidR="009B7655">
        <w:rPr>
          <w:rFonts w:ascii="Times New Roman" w:hAnsi="Times New Roman" w:cs="Times New Roman"/>
          <w:sz w:val="24"/>
          <w:szCs w:val="24"/>
        </w:rPr>
        <w:t>managers’</w:t>
      </w:r>
      <w:r w:rsidR="005366CB">
        <w:rPr>
          <w:rFonts w:ascii="Times New Roman" w:hAnsi="Times New Roman" w:cs="Times New Roman"/>
          <w:sz w:val="24"/>
          <w:szCs w:val="24"/>
        </w:rPr>
        <w:t xml:space="preserve"> largesse.</w:t>
      </w:r>
      <w:r w:rsidR="009B7655">
        <w:rPr>
          <w:rFonts w:ascii="Times New Roman" w:hAnsi="Times New Roman" w:cs="Times New Roman"/>
          <w:sz w:val="24"/>
          <w:szCs w:val="24"/>
        </w:rPr>
        <w:t xml:space="preserve"> </w:t>
      </w:r>
      <w:r w:rsidR="00767AC2">
        <w:rPr>
          <w:rFonts w:ascii="Times New Roman" w:hAnsi="Times New Roman" w:cs="Times New Roman"/>
          <w:sz w:val="24"/>
          <w:szCs w:val="24"/>
        </w:rPr>
        <w:t xml:space="preserve">We </w:t>
      </w:r>
      <w:r w:rsidR="009B7655">
        <w:rPr>
          <w:rFonts w:ascii="Times New Roman" w:hAnsi="Times New Roman" w:cs="Times New Roman"/>
          <w:sz w:val="24"/>
          <w:szCs w:val="24"/>
        </w:rPr>
        <w:t xml:space="preserve">find that the relationship between dividend and institutional ownership holds only for pressure-sensitive investors, i.e., investors that engage in other business relationships with </w:t>
      </w:r>
      <w:r w:rsidR="00767AC2">
        <w:rPr>
          <w:rFonts w:ascii="Times New Roman" w:hAnsi="Times New Roman" w:cs="Times New Roman"/>
          <w:sz w:val="24"/>
          <w:szCs w:val="24"/>
        </w:rPr>
        <w:t>the firms, which</w:t>
      </w:r>
      <w:r w:rsidR="00F36A63">
        <w:rPr>
          <w:rFonts w:ascii="Times New Roman" w:hAnsi="Times New Roman" w:cs="Times New Roman"/>
          <w:sz w:val="24"/>
          <w:szCs w:val="24"/>
        </w:rPr>
        <w:t xml:space="preserve"> include banks and insurance companies</w:t>
      </w:r>
      <w:r w:rsidR="000A274F">
        <w:rPr>
          <w:rFonts w:ascii="Times New Roman" w:hAnsi="Times New Roman" w:cs="Times New Roman"/>
          <w:sz w:val="24"/>
          <w:szCs w:val="24"/>
        </w:rPr>
        <w:t>. T</w:t>
      </w:r>
      <w:r w:rsidR="00F36A63">
        <w:rPr>
          <w:rFonts w:ascii="Times New Roman" w:hAnsi="Times New Roman" w:cs="Times New Roman"/>
          <w:sz w:val="24"/>
          <w:szCs w:val="24"/>
        </w:rPr>
        <w:t>o protect their business relationships they would not want to challenge managers’ decisions</w:t>
      </w:r>
      <w:r w:rsidR="000A274F">
        <w:rPr>
          <w:rFonts w:ascii="Times New Roman" w:hAnsi="Times New Roman" w:cs="Times New Roman"/>
          <w:sz w:val="24"/>
          <w:szCs w:val="24"/>
        </w:rPr>
        <w:t>;</w:t>
      </w:r>
      <w:r w:rsidR="00A52E0E">
        <w:rPr>
          <w:rFonts w:ascii="Times New Roman" w:hAnsi="Times New Roman" w:cs="Times New Roman"/>
          <w:sz w:val="24"/>
          <w:szCs w:val="24"/>
        </w:rPr>
        <w:t xml:space="preserve"> </w:t>
      </w:r>
      <w:r w:rsidR="000A274F">
        <w:rPr>
          <w:rFonts w:ascii="Times New Roman" w:hAnsi="Times New Roman" w:cs="Times New Roman"/>
          <w:sz w:val="24"/>
          <w:szCs w:val="24"/>
        </w:rPr>
        <w:t>i</w:t>
      </w:r>
      <w:r w:rsidR="00A52E0E">
        <w:rPr>
          <w:rFonts w:ascii="Times New Roman" w:hAnsi="Times New Roman" w:cs="Times New Roman"/>
          <w:sz w:val="24"/>
          <w:szCs w:val="24"/>
        </w:rPr>
        <w:t>nstead, they resort to dividends as a means of reigning in managerial excesses.</w:t>
      </w:r>
    </w:p>
    <w:p w14:paraId="3A2ED511" w14:textId="22E4B378" w:rsidR="00284B04" w:rsidRPr="003F2B45" w:rsidRDefault="00B27DF9"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rest of the</w:t>
      </w:r>
      <w:r w:rsidR="00F40E32" w:rsidRPr="003F2B45">
        <w:rPr>
          <w:rFonts w:ascii="Times New Roman" w:hAnsi="Times New Roman" w:cs="Times New Roman"/>
          <w:sz w:val="24"/>
          <w:szCs w:val="24"/>
        </w:rPr>
        <w:t xml:space="preserve"> paper is organized as follows. In the next section, we review the literature and develop our hypotheses. In Section III, we describe the sample, data and variables. In Section IV, we describe the methods used. We present and discuss our findings in Section V. Section VI concludes.</w:t>
      </w:r>
    </w:p>
    <w:p w14:paraId="31B0B209" w14:textId="77777777" w:rsidR="00467DF5" w:rsidRPr="003F2B45" w:rsidRDefault="00CB2D53"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 xml:space="preserve">II. </w:t>
      </w:r>
      <w:r w:rsidR="00467DF5" w:rsidRPr="003F2B45">
        <w:rPr>
          <w:rFonts w:ascii="Times New Roman" w:hAnsi="Times New Roman" w:cs="Times New Roman"/>
          <w:b/>
          <w:sz w:val="24"/>
          <w:szCs w:val="24"/>
        </w:rPr>
        <w:t>Literature review</w:t>
      </w:r>
      <w:r w:rsidRPr="003F2B45">
        <w:rPr>
          <w:rFonts w:ascii="Times New Roman" w:hAnsi="Times New Roman" w:cs="Times New Roman"/>
          <w:b/>
          <w:sz w:val="24"/>
          <w:szCs w:val="24"/>
        </w:rPr>
        <w:t xml:space="preserve"> and Hypotheses Development</w:t>
      </w:r>
    </w:p>
    <w:p w14:paraId="3C32CC58" w14:textId="2A02F67D" w:rsidR="002B70C8" w:rsidRDefault="00FC5771" w:rsidP="002B70C8">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Studies on the relationship between shareholding and dividend policy include Rozeff (</w:t>
      </w:r>
      <w:r w:rsidR="00B71462" w:rsidRPr="003F2B45">
        <w:rPr>
          <w:rFonts w:ascii="Times New Roman" w:hAnsi="Times New Roman" w:cs="Times New Roman"/>
          <w:sz w:val="24"/>
          <w:szCs w:val="24"/>
        </w:rPr>
        <w:t>1982</w:t>
      </w:r>
      <w:r w:rsidRPr="003F2B45">
        <w:rPr>
          <w:rFonts w:ascii="Times New Roman" w:hAnsi="Times New Roman" w:cs="Times New Roman"/>
          <w:sz w:val="24"/>
          <w:szCs w:val="24"/>
        </w:rPr>
        <w:t xml:space="preserve">), Dempsey and Laber </w:t>
      </w:r>
      <w:r w:rsidR="00B71462" w:rsidRPr="003F2B45">
        <w:rPr>
          <w:rFonts w:ascii="Times New Roman" w:hAnsi="Times New Roman" w:cs="Times New Roman"/>
          <w:sz w:val="24"/>
          <w:szCs w:val="24"/>
        </w:rPr>
        <w:t xml:space="preserve">(1992), Eckbo and Verma (1994), </w:t>
      </w:r>
      <w:r w:rsidR="00496A50" w:rsidRPr="003F2B45">
        <w:rPr>
          <w:rFonts w:ascii="Times New Roman" w:hAnsi="Times New Roman" w:cs="Times New Roman"/>
          <w:sz w:val="24"/>
          <w:szCs w:val="24"/>
        </w:rPr>
        <w:t xml:space="preserve">Michaely, Thaler and Womack (1995), </w:t>
      </w:r>
      <w:r w:rsidR="00B71462" w:rsidRPr="003F2B45">
        <w:rPr>
          <w:rFonts w:ascii="Times New Roman" w:hAnsi="Times New Roman" w:cs="Times New Roman"/>
          <w:sz w:val="24"/>
          <w:szCs w:val="24"/>
        </w:rPr>
        <w:t>Moh’d, Perry and Rimbey (1995)</w:t>
      </w:r>
      <w:r w:rsidR="0070725B" w:rsidRPr="003F2B45">
        <w:rPr>
          <w:rFonts w:ascii="Times New Roman" w:hAnsi="Times New Roman" w:cs="Times New Roman"/>
          <w:sz w:val="24"/>
          <w:szCs w:val="24"/>
        </w:rPr>
        <w:t xml:space="preserve">, </w:t>
      </w:r>
      <w:r w:rsidR="00496A50" w:rsidRPr="003F2B45">
        <w:rPr>
          <w:rFonts w:ascii="Times New Roman" w:hAnsi="Times New Roman" w:cs="Times New Roman"/>
          <w:sz w:val="24"/>
          <w:szCs w:val="24"/>
        </w:rPr>
        <w:t xml:space="preserve">Del Guercio (1996), Strickland (1996), Brav and Heaton (1998), Jain (1999), Binay (2001), </w:t>
      </w:r>
      <w:r w:rsidR="0070725B" w:rsidRPr="003F2B45">
        <w:rPr>
          <w:rFonts w:ascii="Times New Roman" w:hAnsi="Times New Roman" w:cs="Times New Roman"/>
          <w:sz w:val="24"/>
          <w:szCs w:val="24"/>
        </w:rPr>
        <w:t>Short, Zhang and Keasey (2002)</w:t>
      </w:r>
      <w:r w:rsidR="00EC4B28" w:rsidRPr="003F2B45">
        <w:rPr>
          <w:rFonts w:ascii="Times New Roman" w:hAnsi="Times New Roman" w:cs="Times New Roman"/>
          <w:sz w:val="24"/>
          <w:szCs w:val="24"/>
        </w:rPr>
        <w:t xml:space="preserve">, </w:t>
      </w:r>
      <w:r w:rsidR="008B7D5C" w:rsidRPr="003F2B45">
        <w:rPr>
          <w:rFonts w:ascii="Times New Roman" w:hAnsi="Times New Roman" w:cs="Times New Roman"/>
          <w:sz w:val="24"/>
          <w:szCs w:val="24"/>
        </w:rPr>
        <w:t xml:space="preserve">Perez-Gonzalez (2003), </w:t>
      </w:r>
      <w:r w:rsidR="00EC4B28" w:rsidRPr="003F2B45">
        <w:rPr>
          <w:rFonts w:ascii="Times New Roman" w:hAnsi="Times New Roman" w:cs="Times New Roman"/>
          <w:sz w:val="24"/>
          <w:szCs w:val="24"/>
        </w:rPr>
        <w:t>Grinstein</w:t>
      </w:r>
      <w:r w:rsidR="00711104" w:rsidRPr="003F2B45">
        <w:rPr>
          <w:rFonts w:ascii="Times New Roman" w:hAnsi="Times New Roman" w:cs="Times New Roman"/>
          <w:sz w:val="24"/>
          <w:szCs w:val="24"/>
        </w:rPr>
        <w:t xml:space="preserve"> and Michaely </w:t>
      </w:r>
      <w:r w:rsidR="00EC4B28" w:rsidRPr="003F2B45">
        <w:rPr>
          <w:rFonts w:ascii="Times New Roman" w:hAnsi="Times New Roman" w:cs="Times New Roman"/>
          <w:sz w:val="24"/>
          <w:szCs w:val="24"/>
        </w:rPr>
        <w:t>(2005)</w:t>
      </w:r>
      <w:r w:rsidR="007C2432" w:rsidRPr="003F2B45">
        <w:rPr>
          <w:rFonts w:ascii="Times New Roman" w:hAnsi="Times New Roman" w:cs="Times New Roman"/>
          <w:sz w:val="24"/>
          <w:szCs w:val="24"/>
        </w:rPr>
        <w:t>, Amihud and Li (2006)</w:t>
      </w:r>
      <w:r w:rsidR="006D1571" w:rsidRPr="003F2B45">
        <w:rPr>
          <w:rFonts w:ascii="Times New Roman" w:hAnsi="Times New Roman" w:cs="Times New Roman"/>
          <w:sz w:val="24"/>
          <w:szCs w:val="24"/>
        </w:rPr>
        <w:t xml:space="preserve">, </w:t>
      </w:r>
      <w:r w:rsidR="007C2432" w:rsidRPr="003F2B45">
        <w:rPr>
          <w:rFonts w:ascii="Times New Roman" w:hAnsi="Times New Roman" w:cs="Times New Roman"/>
          <w:sz w:val="24"/>
          <w:szCs w:val="24"/>
        </w:rPr>
        <w:t>Hotchkiss and Lawrence (2007)</w:t>
      </w:r>
      <w:r w:rsidR="003275F4">
        <w:rPr>
          <w:rFonts w:ascii="Times New Roman" w:hAnsi="Times New Roman" w:cs="Times New Roman"/>
          <w:sz w:val="24"/>
          <w:szCs w:val="24"/>
        </w:rPr>
        <w:t xml:space="preserve"> among others.</w:t>
      </w:r>
      <w:r w:rsidR="008160FB">
        <w:rPr>
          <w:rFonts w:ascii="Times New Roman" w:hAnsi="Times New Roman" w:cs="Times New Roman"/>
          <w:sz w:val="24"/>
          <w:szCs w:val="24"/>
        </w:rPr>
        <w:t xml:space="preserve"> </w:t>
      </w:r>
      <w:r w:rsidRPr="003F2B45">
        <w:rPr>
          <w:rFonts w:ascii="Times New Roman" w:hAnsi="Times New Roman" w:cs="Times New Roman"/>
          <w:sz w:val="24"/>
          <w:szCs w:val="24"/>
        </w:rPr>
        <w:t>Rozeff (</w:t>
      </w:r>
      <w:r w:rsidR="0009103E" w:rsidRPr="003F2B45">
        <w:rPr>
          <w:rFonts w:ascii="Times New Roman" w:hAnsi="Times New Roman" w:cs="Times New Roman"/>
          <w:sz w:val="24"/>
          <w:szCs w:val="24"/>
        </w:rPr>
        <w:t>1982)</w:t>
      </w:r>
      <w:r w:rsidRPr="003F2B45">
        <w:rPr>
          <w:rFonts w:ascii="Times New Roman" w:hAnsi="Times New Roman" w:cs="Times New Roman"/>
          <w:sz w:val="24"/>
          <w:szCs w:val="24"/>
        </w:rPr>
        <w:t xml:space="preserve"> </w:t>
      </w:r>
      <w:r w:rsidR="0009103E">
        <w:rPr>
          <w:rFonts w:ascii="Times New Roman" w:hAnsi="Times New Roman" w:cs="Times New Roman"/>
          <w:sz w:val="24"/>
          <w:szCs w:val="24"/>
        </w:rPr>
        <w:t xml:space="preserve">and </w:t>
      </w:r>
      <w:r w:rsidRPr="003F2B45">
        <w:rPr>
          <w:rFonts w:ascii="Times New Roman" w:hAnsi="Times New Roman" w:cs="Times New Roman"/>
          <w:sz w:val="24"/>
          <w:szCs w:val="24"/>
        </w:rPr>
        <w:t xml:space="preserve">Dempsey </w:t>
      </w:r>
      <w:r w:rsidR="001C3E41">
        <w:rPr>
          <w:rFonts w:ascii="Times New Roman" w:hAnsi="Times New Roman" w:cs="Times New Roman"/>
          <w:sz w:val="24"/>
          <w:szCs w:val="24"/>
        </w:rPr>
        <w:t>and</w:t>
      </w:r>
      <w:r w:rsidR="001C3E41" w:rsidRPr="003F2B45">
        <w:rPr>
          <w:rFonts w:ascii="Times New Roman" w:hAnsi="Times New Roman" w:cs="Times New Roman"/>
          <w:sz w:val="24"/>
          <w:szCs w:val="24"/>
        </w:rPr>
        <w:t xml:space="preserve"> </w:t>
      </w:r>
      <w:r w:rsidRPr="003F2B45">
        <w:rPr>
          <w:rFonts w:ascii="Times New Roman" w:hAnsi="Times New Roman" w:cs="Times New Roman"/>
          <w:sz w:val="24"/>
          <w:szCs w:val="24"/>
        </w:rPr>
        <w:t>Laber (</w:t>
      </w:r>
      <w:r w:rsidR="00B71462" w:rsidRPr="003F2B45">
        <w:rPr>
          <w:rFonts w:ascii="Times New Roman" w:hAnsi="Times New Roman" w:cs="Times New Roman"/>
          <w:sz w:val="24"/>
          <w:szCs w:val="24"/>
        </w:rPr>
        <w:t>1992</w:t>
      </w:r>
      <w:r w:rsidRPr="003F2B45">
        <w:rPr>
          <w:rFonts w:ascii="Times New Roman" w:hAnsi="Times New Roman" w:cs="Times New Roman"/>
          <w:sz w:val="24"/>
          <w:szCs w:val="24"/>
        </w:rPr>
        <w:t xml:space="preserve">) find that the percentage of stocks held by insiders adversely affects the dividend payout ratio, while the </w:t>
      </w:r>
      <w:r w:rsidRPr="003F2B45">
        <w:rPr>
          <w:rFonts w:ascii="Times New Roman" w:hAnsi="Times New Roman" w:cs="Times New Roman"/>
          <w:sz w:val="24"/>
          <w:szCs w:val="24"/>
        </w:rPr>
        <w:lastRenderedPageBreak/>
        <w:t>number of shareholders positively affects it.</w:t>
      </w:r>
      <w:r w:rsidR="0023270D" w:rsidRPr="003F2B45">
        <w:rPr>
          <w:rFonts w:ascii="Times New Roman" w:hAnsi="Times New Roman" w:cs="Times New Roman"/>
          <w:sz w:val="24"/>
          <w:szCs w:val="24"/>
        </w:rPr>
        <w:t xml:space="preserve"> Eckbo and Verma (1994) find that average cash dividend yield increases significantly with corporate/institutional shareholder</w:t>
      </w:r>
      <w:r w:rsidR="00767AC2">
        <w:rPr>
          <w:rFonts w:ascii="Times New Roman" w:hAnsi="Times New Roman" w:cs="Times New Roman"/>
          <w:sz w:val="24"/>
          <w:szCs w:val="24"/>
        </w:rPr>
        <w:t>s’</w:t>
      </w:r>
      <w:r w:rsidR="00CF6E50">
        <w:rPr>
          <w:rFonts w:ascii="Times New Roman" w:hAnsi="Times New Roman" w:cs="Times New Roman"/>
          <w:sz w:val="24"/>
          <w:szCs w:val="24"/>
        </w:rPr>
        <w:t xml:space="preserve"> ownership proportions</w:t>
      </w:r>
      <w:r w:rsidR="0023270D" w:rsidRPr="003F2B45">
        <w:rPr>
          <w:rFonts w:ascii="Times New Roman" w:hAnsi="Times New Roman" w:cs="Times New Roman"/>
          <w:sz w:val="24"/>
          <w:szCs w:val="24"/>
        </w:rPr>
        <w:t xml:space="preserve">. </w:t>
      </w:r>
      <w:r w:rsidR="00D36CBF">
        <w:rPr>
          <w:rFonts w:ascii="Times New Roman" w:hAnsi="Times New Roman" w:cs="Times New Roman"/>
          <w:sz w:val="24"/>
          <w:szCs w:val="24"/>
        </w:rPr>
        <w:t>They find that the share ownership of dividend payers is dominated by corporate or institutional investors</w:t>
      </w:r>
      <w:r w:rsidR="0023270D" w:rsidRPr="003F2B45">
        <w:rPr>
          <w:rFonts w:ascii="Times New Roman" w:hAnsi="Times New Roman" w:cs="Times New Roman"/>
          <w:sz w:val="24"/>
          <w:szCs w:val="24"/>
        </w:rPr>
        <w:t>.</w:t>
      </w:r>
      <w:r w:rsidR="00C94557" w:rsidRPr="003F2B45">
        <w:rPr>
          <w:rFonts w:ascii="Times New Roman" w:hAnsi="Times New Roman" w:cs="Times New Roman"/>
          <w:sz w:val="24"/>
          <w:szCs w:val="24"/>
        </w:rPr>
        <w:t xml:space="preserve"> Short, Zhang and Keasey (2002) </w:t>
      </w:r>
      <w:r w:rsidR="00CF6E50">
        <w:rPr>
          <w:rFonts w:ascii="Times New Roman" w:hAnsi="Times New Roman" w:cs="Times New Roman"/>
          <w:sz w:val="24"/>
          <w:szCs w:val="24"/>
        </w:rPr>
        <w:t xml:space="preserve">document </w:t>
      </w:r>
      <w:r w:rsidR="00C94557" w:rsidRPr="003F2B45">
        <w:rPr>
          <w:rFonts w:ascii="Times New Roman" w:hAnsi="Times New Roman" w:cs="Times New Roman"/>
          <w:sz w:val="24"/>
          <w:szCs w:val="24"/>
        </w:rPr>
        <w:t xml:space="preserve">a </w:t>
      </w:r>
      <w:r w:rsidR="00CF6E50">
        <w:rPr>
          <w:rFonts w:ascii="Times New Roman" w:hAnsi="Times New Roman" w:cs="Times New Roman"/>
          <w:sz w:val="24"/>
          <w:szCs w:val="24"/>
        </w:rPr>
        <w:t xml:space="preserve">strong </w:t>
      </w:r>
      <w:r w:rsidR="00C94557" w:rsidRPr="003F2B45">
        <w:rPr>
          <w:rFonts w:ascii="Times New Roman" w:hAnsi="Times New Roman" w:cs="Times New Roman"/>
          <w:sz w:val="24"/>
          <w:szCs w:val="24"/>
        </w:rPr>
        <w:t>positive association between dividend payout policy and institutional ownership.</w:t>
      </w:r>
      <w:r w:rsidR="001C3E41">
        <w:rPr>
          <w:rFonts w:ascii="Times New Roman" w:hAnsi="Times New Roman" w:cs="Times New Roman"/>
          <w:sz w:val="24"/>
          <w:szCs w:val="24"/>
        </w:rPr>
        <w:t xml:space="preserve"> </w:t>
      </w:r>
      <w:r w:rsidR="002B70C8">
        <w:rPr>
          <w:rFonts w:ascii="Times New Roman" w:hAnsi="Times New Roman" w:cs="Times New Roman"/>
          <w:sz w:val="24"/>
          <w:szCs w:val="24"/>
        </w:rPr>
        <w:t>Long</w:t>
      </w:r>
      <w:r w:rsidR="002B70C8" w:rsidRPr="002B70C8">
        <w:rPr>
          <w:rFonts w:ascii="Times New Roman" w:hAnsi="Times New Roman" w:cs="Times New Roman"/>
          <w:sz w:val="24"/>
          <w:szCs w:val="24"/>
        </w:rPr>
        <w:t>-term institutional shareholders are better incentivized and equipped (</w:t>
      </w:r>
      <w:r w:rsidR="001C3E41">
        <w:rPr>
          <w:rFonts w:ascii="Times New Roman" w:hAnsi="Times New Roman" w:cs="Times New Roman"/>
          <w:sz w:val="24"/>
          <w:szCs w:val="24"/>
        </w:rPr>
        <w:t xml:space="preserve">i.e., they face </w:t>
      </w:r>
      <w:r w:rsidR="002B70C8" w:rsidRPr="002B70C8">
        <w:rPr>
          <w:rFonts w:ascii="Times New Roman" w:hAnsi="Times New Roman" w:cs="Times New Roman"/>
          <w:sz w:val="24"/>
          <w:szCs w:val="24"/>
        </w:rPr>
        <w:t>lower costs of information gathering) to monitor firms’ managers and therefore, ensure that firms commit to paying out regular and stable dividends in order to mitigate agency costs of free cash flows (Easterbrook (1984), Jensen (</w:t>
      </w:r>
      <w:r w:rsidR="002B70C8">
        <w:rPr>
          <w:rFonts w:ascii="Times New Roman" w:hAnsi="Times New Roman" w:cs="Times New Roman"/>
          <w:sz w:val="24"/>
          <w:szCs w:val="24"/>
        </w:rPr>
        <w:t>1986</w:t>
      </w:r>
      <w:r w:rsidR="002B70C8" w:rsidRPr="002B70C8">
        <w:rPr>
          <w:rFonts w:ascii="Times New Roman" w:hAnsi="Times New Roman" w:cs="Times New Roman"/>
          <w:sz w:val="24"/>
          <w:szCs w:val="24"/>
        </w:rPr>
        <w:t>)).</w:t>
      </w:r>
    </w:p>
    <w:p w14:paraId="607FFA41" w14:textId="345F7E37" w:rsidR="001C3E41" w:rsidRDefault="001C3E41" w:rsidP="0009103E">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E1B43">
        <w:rPr>
          <w:rFonts w:ascii="Times New Roman" w:hAnsi="Times New Roman" w:cs="Times New Roman"/>
          <w:sz w:val="24"/>
          <w:szCs w:val="24"/>
        </w:rPr>
        <w:t xml:space="preserve">he </w:t>
      </w:r>
      <w:r w:rsidR="002B70C8">
        <w:rPr>
          <w:rFonts w:ascii="Times New Roman" w:hAnsi="Times New Roman" w:cs="Times New Roman"/>
          <w:sz w:val="24"/>
          <w:szCs w:val="24"/>
        </w:rPr>
        <w:t>substitution</w:t>
      </w:r>
      <w:r w:rsidR="006E1B43">
        <w:rPr>
          <w:rFonts w:ascii="Times New Roman" w:hAnsi="Times New Roman" w:cs="Times New Roman"/>
          <w:sz w:val="24"/>
          <w:szCs w:val="24"/>
        </w:rPr>
        <w:t xml:space="preserve"> hypothesis</w:t>
      </w:r>
      <w:r>
        <w:rPr>
          <w:rFonts w:ascii="Times New Roman" w:hAnsi="Times New Roman" w:cs="Times New Roman"/>
          <w:sz w:val="24"/>
          <w:szCs w:val="24"/>
        </w:rPr>
        <w:t xml:space="preserve"> </w:t>
      </w:r>
      <w:r w:rsidR="00D36CBF">
        <w:rPr>
          <w:rFonts w:ascii="Times New Roman" w:hAnsi="Times New Roman" w:cs="Times New Roman"/>
          <w:sz w:val="24"/>
          <w:szCs w:val="24"/>
        </w:rPr>
        <w:t xml:space="preserve">(see Amihud and Li, 2006) </w:t>
      </w:r>
      <w:r>
        <w:rPr>
          <w:rFonts w:ascii="Times New Roman" w:hAnsi="Times New Roman" w:cs="Times New Roman"/>
          <w:sz w:val="24"/>
          <w:szCs w:val="24"/>
        </w:rPr>
        <w:t xml:space="preserve">suggests that </w:t>
      </w:r>
      <w:r w:rsidR="006E1B43">
        <w:rPr>
          <w:rFonts w:ascii="Times New Roman" w:hAnsi="Times New Roman" w:cs="Times New Roman"/>
          <w:sz w:val="24"/>
          <w:szCs w:val="24"/>
        </w:rPr>
        <w:t xml:space="preserve">corporations </w:t>
      </w:r>
      <w:r w:rsidR="0009103E">
        <w:rPr>
          <w:rFonts w:ascii="Times New Roman" w:hAnsi="Times New Roman" w:cs="Times New Roman"/>
          <w:sz w:val="24"/>
          <w:szCs w:val="24"/>
        </w:rPr>
        <w:t xml:space="preserve">do not need to </w:t>
      </w:r>
      <w:r>
        <w:rPr>
          <w:rFonts w:ascii="Times New Roman" w:hAnsi="Times New Roman" w:cs="Times New Roman"/>
          <w:sz w:val="24"/>
          <w:szCs w:val="24"/>
        </w:rPr>
        <w:t xml:space="preserve">pay dividends </w:t>
      </w:r>
      <w:r w:rsidR="0009103E">
        <w:rPr>
          <w:rFonts w:ascii="Times New Roman" w:hAnsi="Times New Roman" w:cs="Times New Roman"/>
          <w:sz w:val="24"/>
          <w:szCs w:val="24"/>
        </w:rPr>
        <w:t>if the</w:t>
      </w:r>
      <w:r w:rsidR="0009103E" w:rsidRPr="0009103E">
        <w:rPr>
          <w:rFonts w:ascii="Times New Roman" w:hAnsi="Times New Roman" w:cs="Times New Roman"/>
          <w:sz w:val="24"/>
          <w:szCs w:val="24"/>
        </w:rPr>
        <w:t xml:space="preserve"> presence of institutional investors mitigates investors’ concerns that management will </w:t>
      </w:r>
      <w:r w:rsidR="006E1B43" w:rsidRPr="0009103E">
        <w:rPr>
          <w:rFonts w:ascii="Times New Roman" w:hAnsi="Times New Roman" w:cs="Times New Roman"/>
          <w:sz w:val="24"/>
          <w:szCs w:val="24"/>
        </w:rPr>
        <w:t>waste</w:t>
      </w:r>
      <w:r w:rsidR="0009103E" w:rsidRPr="0009103E">
        <w:rPr>
          <w:rFonts w:ascii="Times New Roman" w:hAnsi="Times New Roman" w:cs="Times New Roman"/>
          <w:sz w:val="24"/>
          <w:szCs w:val="24"/>
        </w:rPr>
        <w:t xml:space="preserve"> the firm’s free cash flows</w:t>
      </w:r>
      <w:r w:rsidR="00CC34E3">
        <w:rPr>
          <w:rFonts w:ascii="Times New Roman" w:hAnsi="Times New Roman" w:cs="Times New Roman"/>
          <w:sz w:val="24"/>
          <w:szCs w:val="24"/>
        </w:rPr>
        <w:t>. The</w:t>
      </w:r>
      <w:r w:rsidR="0009103E" w:rsidRPr="0009103E">
        <w:rPr>
          <w:rFonts w:ascii="Times New Roman" w:hAnsi="Times New Roman" w:cs="Times New Roman"/>
          <w:sz w:val="24"/>
          <w:szCs w:val="24"/>
        </w:rPr>
        <w:t xml:space="preserve"> presence of institutional investors and the payment of dividend act as substitute</w:t>
      </w:r>
      <w:r w:rsidR="0009103E">
        <w:rPr>
          <w:rFonts w:ascii="Times New Roman" w:hAnsi="Times New Roman" w:cs="Times New Roman"/>
          <w:sz w:val="24"/>
          <w:szCs w:val="24"/>
        </w:rPr>
        <w:t>s</w:t>
      </w:r>
      <w:r w:rsidR="0009103E" w:rsidRPr="0009103E">
        <w:rPr>
          <w:rFonts w:ascii="Times New Roman" w:hAnsi="Times New Roman" w:cs="Times New Roman"/>
          <w:sz w:val="24"/>
          <w:szCs w:val="24"/>
        </w:rPr>
        <w:t>.</w:t>
      </w:r>
      <w:r w:rsidR="00CB0A68" w:rsidRPr="00CB0A68">
        <w:t xml:space="preserve"> </w:t>
      </w:r>
      <w:r w:rsidR="00CB0A68" w:rsidRPr="00CB0A68">
        <w:rPr>
          <w:rFonts w:ascii="Times New Roman" w:hAnsi="Times New Roman" w:cs="Times New Roman"/>
          <w:sz w:val="24"/>
          <w:szCs w:val="24"/>
        </w:rPr>
        <w:t xml:space="preserve">By virtue of their size and the fact that they are fiduciaries and invest on behalf of others, large institutional investors can allocate more resources toward monitoring a firm’s management and perform a more comprehensive review of the firm’s prospect. </w:t>
      </w:r>
      <w:r w:rsidR="00CC34E3" w:rsidRPr="00CC34E3">
        <w:rPr>
          <w:rFonts w:ascii="Times New Roman" w:hAnsi="Times New Roman" w:cs="Times New Roman"/>
          <w:sz w:val="24"/>
          <w:szCs w:val="24"/>
        </w:rPr>
        <w:t>Nonetheless, smaller shareholders</w:t>
      </w:r>
      <w:r>
        <w:rPr>
          <w:rFonts w:ascii="Times New Roman" w:hAnsi="Times New Roman" w:cs="Times New Roman"/>
          <w:sz w:val="24"/>
          <w:szCs w:val="24"/>
        </w:rPr>
        <w:t>, who</w:t>
      </w:r>
      <w:r w:rsidR="00CC34E3" w:rsidRPr="00CC34E3">
        <w:rPr>
          <w:rFonts w:ascii="Times New Roman" w:hAnsi="Times New Roman" w:cs="Times New Roman"/>
          <w:sz w:val="24"/>
          <w:szCs w:val="24"/>
        </w:rPr>
        <w:t xml:space="preserve"> tend to free ride on the decision of larger/institutional investors</w:t>
      </w:r>
      <w:r>
        <w:rPr>
          <w:rFonts w:ascii="Times New Roman" w:hAnsi="Times New Roman" w:cs="Times New Roman"/>
          <w:sz w:val="24"/>
          <w:szCs w:val="24"/>
        </w:rPr>
        <w:t>,</w:t>
      </w:r>
      <w:r w:rsidR="00CC34E3" w:rsidRPr="00CC34E3">
        <w:rPr>
          <w:rFonts w:ascii="Times New Roman" w:hAnsi="Times New Roman" w:cs="Times New Roman"/>
          <w:sz w:val="24"/>
          <w:szCs w:val="24"/>
        </w:rPr>
        <w:t xml:space="preserve"> </w:t>
      </w:r>
      <w:r>
        <w:rPr>
          <w:rFonts w:ascii="Times New Roman" w:hAnsi="Times New Roman" w:cs="Times New Roman"/>
          <w:sz w:val="24"/>
          <w:szCs w:val="24"/>
        </w:rPr>
        <w:t>dissuade</w:t>
      </w:r>
      <w:r w:rsidR="00CC34E3" w:rsidRPr="00CC34E3">
        <w:rPr>
          <w:rFonts w:ascii="Times New Roman" w:hAnsi="Times New Roman" w:cs="Times New Roman"/>
          <w:sz w:val="24"/>
          <w:szCs w:val="24"/>
        </w:rPr>
        <w:t xml:space="preserve"> </w:t>
      </w:r>
      <w:r w:rsidR="004140A2">
        <w:rPr>
          <w:rFonts w:ascii="Times New Roman" w:hAnsi="Times New Roman" w:cs="Times New Roman"/>
          <w:sz w:val="24"/>
          <w:szCs w:val="24"/>
        </w:rPr>
        <w:t>the latter</w:t>
      </w:r>
      <w:r w:rsidR="00CC34E3" w:rsidRPr="00CC34E3">
        <w:rPr>
          <w:rFonts w:ascii="Times New Roman" w:hAnsi="Times New Roman" w:cs="Times New Roman"/>
          <w:sz w:val="24"/>
          <w:szCs w:val="24"/>
        </w:rPr>
        <w:t xml:space="preserve"> from providing direct monitoring (Short, Zhang and Keasey (2002)). </w:t>
      </w:r>
    </w:p>
    <w:p w14:paraId="32300F75" w14:textId="28B068B4" w:rsidR="006C46D4" w:rsidRDefault="00FC5771" w:rsidP="0009103E">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Moh’d, Perry and Rimbey (1995) test the effects of the following variables on the dividend payout ratio: </w:t>
      </w:r>
      <w:r w:rsidR="00E82933" w:rsidRPr="003F2B45">
        <w:rPr>
          <w:rFonts w:ascii="Times New Roman" w:hAnsi="Times New Roman" w:cs="Times New Roman"/>
          <w:sz w:val="24"/>
          <w:szCs w:val="24"/>
        </w:rPr>
        <w:t xml:space="preserve">percent of common stock held by insiders, natural log of the number of shareholders, and the percent of common stock held by </w:t>
      </w:r>
      <w:r w:rsidR="0009103E" w:rsidRPr="003F2B45">
        <w:rPr>
          <w:rFonts w:ascii="Times New Roman" w:hAnsi="Times New Roman" w:cs="Times New Roman"/>
          <w:sz w:val="24"/>
          <w:szCs w:val="24"/>
        </w:rPr>
        <w:t>institutions.</w:t>
      </w:r>
      <w:r w:rsidR="0009103E">
        <w:rPr>
          <w:rFonts w:ascii="Times New Roman" w:hAnsi="Times New Roman" w:cs="Times New Roman"/>
          <w:sz w:val="24"/>
          <w:szCs w:val="24"/>
        </w:rPr>
        <w:t xml:space="preserve"> </w:t>
      </w:r>
      <w:r w:rsidR="00787BE7" w:rsidRPr="003F2B45">
        <w:rPr>
          <w:rFonts w:ascii="Times New Roman" w:hAnsi="Times New Roman" w:cs="Times New Roman"/>
          <w:sz w:val="24"/>
          <w:szCs w:val="24"/>
        </w:rPr>
        <w:t>Based on their findings, Moh’d, Perry and Laber (</w:t>
      </w:r>
      <w:r w:rsidR="00B71462" w:rsidRPr="003F2B45">
        <w:rPr>
          <w:rFonts w:ascii="Times New Roman" w:hAnsi="Times New Roman" w:cs="Times New Roman"/>
          <w:sz w:val="24"/>
          <w:szCs w:val="24"/>
        </w:rPr>
        <w:t>1995</w:t>
      </w:r>
      <w:r w:rsidR="00787BE7" w:rsidRPr="003F2B45">
        <w:rPr>
          <w:rFonts w:ascii="Times New Roman" w:hAnsi="Times New Roman" w:cs="Times New Roman"/>
          <w:sz w:val="24"/>
          <w:szCs w:val="24"/>
        </w:rPr>
        <w:t xml:space="preserve">) </w:t>
      </w:r>
      <w:r w:rsidR="006F3BF1">
        <w:rPr>
          <w:rFonts w:ascii="Times New Roman" w:hAnsi="Times New Roman" w:cs="Times New Roman"/>
          <w:sz w:val="24"/>
          <w:szCs w:val="24"/>
        </w:rPr>
        <w:t>establish</w:t>
      </w:r>
      <w:r w:rsidR="006F3BF1" w:rsidRPr="003F2B45">
        <w:rPr>
          <w:rFonts w:ascii="Times New Roman" w:hAnsi="Times New Roman" w:cs="Times New Roman"/>
          <w:sz w:val="24"/>
          <w:szCs w:val="24"/>
        </w:rPr>
        <w:t xml:space="preserve"> </w:t>
      </w:r>
      <w:r w:rsidR="00787BE7" w:rsidRPr="003F2B45">
        <w:rPr>
          <w:rFonts w:ascii="Times New Roman" w:hAnsi="Times New Roman" w:cs="Times New Roman"/>
          <w:sz w:val="24"/>
          <w:szCs w:val="24"/>
        </w:rPr>
        <w:t xml:space="preserve">that </w:t>
      </w:r>
      <w:r w:rsidR="006F3BF1">
        <w:rPr>
          <w:rFonts w:ascii="Times New Roman" w:hAnsi="Times New Roman" w:cs="Times New Roman"/>
          <w:sz w:val="24"/>
          <w:szCs w:val="24"/>
        </w:rPr>
        <w:t xml:space="preserve">the </w:t>
      </w:r>
      <w:r w:rsidR="006F3BF1" w:rsidRPr="003F2B45">
        <w:rPr>
          <w:rFonts w:ascii="Times New Roman" w:hAnsi="Times New Roman" w:cs="Times New Roman"/>
          <w:sz w:val="24"/>
          <w:szCs w:val="24"/>
        </w:rPr>
        <w:t xml:space="preserve">payment </w:t>
      </w:r>
      <w:r w:rsidR="004708F4" w:rsidRPr="003F2B45">
        <w:rPr>
          <w:rFonts w:ascii="Times New Roman" w:hAnsi="Times New Roman" w:cs="Times New Roman"/>
          <w:sz w:val="24"/>
          <w:szCs w:val="24"/>
        </w:rPr>
        <w:t xml:space="preserve">of dividend serves two purposes: (i) to attract large and/or institutional </w:t>
      </w:r>
      <w:r w:rsidR="00ED308B" w:rsidRPr="003F2B45">
        <w:rPr>
          <w:rFonts w:ascii="Times New Roman" w:hAnsi="Times New Roman" w:cs="Times New Roman"/>
          <w:sz w:val="24"/>
          <w:szCs w:val="24"/>
        </w:rPr>
        <w:t>investors</w:t>
      </w:r>
      <w:r w:rsidR="004708F4" w:rsidRPr="003F2B45">
        <w:rPr>
          <w:rFonts w:ascii="Times New Roman" w:hAnsi="Times New Roman" w:cs="Times New Roman"/>
          <w:sz w:val="24"/>
          <w:szCs w:val="24"/>
        </w:rPr>
        <w:t xml:space="preserve"> and (ii) to limit the ability of managers to squander excess cash</w:t>
      </w:r>
      <w:r w:rsidR="00ED308B" w:rsidRPr="003F2B45">
        <w:rPr>
          <w:rFonts w:ascii="Times New Roman" w:hAnsi="Times New Roman" w:cs="Times New Roman"/>
          <w:sz w:val="24"/>
          <w:szCs w:val="24"/>
        </w:rPr>
        <w:t xml:space="preserve"> (also see Zeckhauser and Pound (1990))</w:t>
      </w:r>
      <w:r w:rsidR="004708F4" w:rsidRPr="003F2B45">
        <w:rPr>
          <w:rFonts w:ascii="Times New Roman" w:hAnsi="Times New Roman" w:cs="Times New Roman"/>
          <w:sz w:val="24"/>
          <w:szCs w:val="24"/>
        </w:rPr>
        <w:t>.</w:t>
      </w:r>
      <w:r w:rsidR="00787BE7" w:rsidRPr="003F2B45">
        <w:rPr>
          <w:rFonts w:ascii="Times New Roman" w:hAnsi="Times New Roman" w:cs="Times New Roman"/>
          <w:sz w:val="24"/>
          <w:szCs w:val="24"/>
        </w:rPr>
        <w:t xml:space="preserve"> </w:t>
      </w:r>
    </w:p>
    <w:p w14:paraId="27CF3E0D" w14:textId="356A73AB" w:rsidR="006C46D4" w:rsidRPr="003F2B45" w:rsidRDefault="00D60BD0" w:rsidP="002B70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w:t>
      </w:r>
      <w:r w:rsidR="00875F11">
        <w:rPr>
          <w:rFonts w:ascii="Times New Roman" w:hAnsi="Times New Roman" w:cs="Times New Roman"/>
          <w:sz w:val="24"/>
          <w:szCs w:val="24"/>
        </w:rPr>
        <w:t xml:space="preserve">nstitutional investors favour dividend-paying stocks for a number of reasons. </w:t>
      </w:r>
      <w:r w:rsidR="00875F11" w:rsidRPr="003F2B45">
        <w:rPr>
          <w:rFonts w:ascii="Times New Roman" w:hAnsi="Times New Roman" w:cs="Times New Roman"/>
          <w:sz w:val="24"/>
          <w:szCs w:val="24"/>
        </w:rPr>
        <w:t>Many</w:t>
      </w:r>
      <w:r w:rsidR="0023270D" w:rsidRPr="003F2B45">
        <w:rPr>
          <w:rFonts w:ascii="Times New Roman" w:hAnsi="Times New Roman" w:cs="Times New Roman"/>
          <w:sz w:val="24"/>
          <w:szCs w:val="24"/>
        </w:rPr>
        <w:t xml:space="preserve"> institutions rely on a steady stream of dividend income to </w:t>
      </w:r>
      <w:r w:rsidR="000445EB" w:rsidRPr="003F2B45">
        <w:rPr>
          <w:rFonts w:ascii="Times New Roman" w:hAnsi="Times New Roman" w:cs="Times New Roman"/>
          <w:sz w:val="24"/>
          <w:szCs w:val="24"/>
        </w:rPr>
        <w:t>meet</w:t>
      </w:r>
      <w:r w:rsidR="0023270D" w:rsidRPr="003F2B45">
        <w:rPr>
          <w:rFonts w:ascii="Times New Roman" w:hAnsi="Times New Roman" w:cs="Times New Roman"/>
          <w:sz w:val="24"/>
          <w:szCs w:val="24"/>
        </w:rPr>
        <w:t xml:space="preserve"> their ongoing liabilities</w:t>
      </w:r>
      <w:r w:rsidR="000445EB" w:rsidRPr="003F2B45">
        <w:rPr>
          <w:rFonts w:ascii="Times New Roman" w:hAnsi="Times New Roman" w:cs="Times New Roman"/>
          <w:sz w:val="24"/>
          <w:szCs w:val="24"/>
        </w:rPr>
        <w:t xml:space="preserve"> (for instance, pension funds and insurance companies)</w:t>
      </w:r>
      <w:r w:rsidR="0023270D" w:rsidRPr="003F2B45">
        <w:rPr>
          <w:rFonts w:ascii="Times New Roman" w:hAnsi="Times New Roman" w:cs="Times New Roman"/>
          <w:sz w:val="24"/>
          <w:szCs w:val="24"/>
        </w:rPr>
        <w:t xml:space="preserve">. Overreliance on capital gains can lead to income shortages in down markets. Dividend, on the other hand, is relatively more </w:t>
      </w:r>
      <w:r w:rsidR="00875F11" w:rsidRPr="003F2B45">
        <w:rPr>
          <w:rFonts w:ascii="Times New Roman" w:hAnsi="Times New Roman" w:cs="Times New Roman"/>
          <w:sz w:val="24"/>
          <w:szCs w:val="24"/>
        </w:rPr>
        <w:t>stable</w:t>
      </w:r>
      <w:r w:rsidR="00875F11">
        <w:rPr>
          <w:rFonts w:ascii="Times New Roman" w:hAnsi="Times New Roman" w:cs="Times New Roman"/>
          <w:sz w:val="24"/>
          <w:szCs w:val="24"/>
        </w:rPr>
        <w:t>.</w:t>
      </w:r>
      <w:r w:rsidR="00875F11" w:rsidRPr="006C46D4">
        <w:rPr>
          <w:rFonts w:ascii="Times New Roman" w:hAnsi="Times New Roman" w:cs="Times New Roman"/>
          <w:sz w:val="24"/>
          <w:szCs w:val="24"/>
        </w:rPr>
        <w:t xml:space="preserve"> Institutional</w:t>
      </w:r>
      <w:r w:rsidR="006C46D4" w:rsidRPr="006C46D4">
        <w:rPr>
          <w:rFonts w:ascii="Times New Roman" w:hAnsi="Times New Roman" w:cs="Times New Roman"/>
          <w:sz w:val="24"/>
          <w:szCs w:val="24"/>
        </w:rPr>
        <w:t xml:space="preserve"> investors who benefit from tax rebates (for instance, pension funds and endowment funds) </w:t>
      </w:r>
      <w:r w:rsidR="006C46D4">
        <w:rPr>
          <w:rFonts w:ascii="Times New Roman" w:hAnsi="Times New Roman" w:cs="Times New Roman"/>
          <w:sz w:val="24"/>
          <w:szCs w:val="24"/>
        </w:rPr>
        <w:t>favour</w:t>
      </w:r>
      <w:r w:rsidR="006C46D4" w:rsidRPr="006C46D4">
        <w:rPr>
          <w:rFonts w:ascii="Times New Roman" w:hAnsi="Times New Roman" w:cs="Times New Roman"/>
          <w:sz w:val="24"/>
          <w:szCs w:val="24"/>
        </w:rPr>
        <w:t xml:space="preserve"> </w:t>
      </w:r>
      <w:r w:rsidR="00875F11" w:rsidRPr="006C46D4">
        <w:rPr>
          <w:rFonts w:ascii="Times New Roman" w:hAnsi="Times New Roman" w:cs="Times New Roman"/>
          <w:sz w:val="24"/>
          <w:szCs w:val="24"/>
        </w:rPr>
        <w:t>dividend-paying</w:t>
      </w:r>
      <w:r w:rsidR="006C46D4" w:rsidRPr="006C46D4">
        <w:rPr>
          <w:rFonts w:ascii="Times New Roman" w:hAnsi="Times New Roman" w:cs="Times New Roman"/>
          <w:sz w:val="24"/>
          <w:szCs w:val="24"/>
        </w:rPr>
        <w:t xml:space="preserve"> firms </w:t>
      </w:r>
      <w:r w:rsidR="006C46D4">
        <w:rPr>
          <w:rFonts w:ascii="Times New Roman" w:hAnsi="Times New Roman" w:cs="Times New Roman"/>
          <w:sz w:val="24"/>
          <w:szCs w:val="24"/>
        </w:rPr>
        <w:t>for</w:t>
      </w:r>
      <w:r w:rsidR="006C46D4" w:rsidRPr="006C46D4">
        <w:rPr>
          <w:rFonts w:ascii="Times New Roman" w:hAnsi="Times New Roman" w:cs="Times New Roman"/>
          <w:sz w:val="24"/>
          <w:szCs w:val="24"/>
        </w:rPr>
        <w:t xml:space="preserve"> their investment portfolio</w:t>
      </w:r>
      <w:r w:rsidR="00875F11">
        <w:rPr>
          <w:rFonts w:ascii="Times New Roman" w:hAnsi="Times New Roman" w:cs="Times New Roman"/>
          <w:sz w:val="24"/>
          <w:szCs w:val="24"/>
        </w:rPr>
        <w:t xml:space="preserve">. </w:t>
      </w:r>
      <w:r w:rsidR="006C46D4" w:rsidRPr="006C46D4">
        <w:rPr>
          <w:rFonts w:ascii="Times New Roman" w:hAnsi="Times New Roman" w:cs="Times New Roman"/>
          <w:sz w:val="24"/>
          <w:szCs w:val="24"/>
        </w:rPr>
        <w:t xml:space="preserve">Allen, Bernardo and Welch (2000) </w:t>
      </w:r>
      <w:r w:rsidR="002B70C8" w:rsidRPr="002B70C8">
        <w:rPr>
          <w:rFonts w:ascii="Times New Roman" w:hAnsi="Times New Roman" w:cs="Times New Roman"/>
          <w:sz w:val="24"/>
          <w:szCs w:val="24"/>
        </w:rPr>
        <w:t>argue that firms will commit to pay out dividends in order to attract an informed clientele of institutional investors who are valued for their monitoring abilities and prefer dividends (over repurchases) due to tax and regulatory (prudent-man) reasons.</w:t>
      </w:r>
    </w:p>
    <w:p w14:paraId="4909F5E7" w14:textId="38B99282" w:rsidR="008C60D1" w:rsidRDefault="002B70C8" w:rsidP="00E152A0">
      <w:pPr>
        <w:spacing w:line="480" w:lineRule="auto"/>
        <w:ind w:firstLine="720"/>
        <w:rPr>
          <w:rFonts w:ascii="Times New Roman" w:hAnsi="Times New Roman" w:cs="Times New Roman"/>
          <w:sz w:val="24"/>
          <w:szCs w:val="24"/>
        </w:rPr>
      </w:pPr>
      <w:r w:rsidRPr="002B70C8">
        <w:rPr>
          <w:rFonts w:ascii="Times New Roman" w:hAnsi="Times New Roman" w:cs="Times New Roman"/>
          <w:sz w:val="24"/>
          <w:szCs w:val="24"/>
        </w:rPr>
        <w:t>Grinstein and Michaely (2005) find that institutions prefer dividend-paying firms to non-dividend-paying firms, but within dividend-paying firms, institutions are not</w:t>
      </w:r>
      <w:r>
        <w:rPr>
          <w:rFonts w:ascii="Times New Roman" w:hAnsi="Times New Roman" w:cs="Times New Roman"/>
          <w:sz w:val="24"/>
          <w:szCs w:val="24"/>
        </w:rPr>
        <w:t xml:space="preserve"> </w:t>
      </w:r>
      <w:r w:rsidRPr="002B70C8">
        <w:rPr>
          <w:rFonts w:ascii="Times New Roman" w:hAnsi="Times New Roman" w:cs="Times New Roman"/>
          <w:sz w:val="24"/>
          <w:szCs w:val="24"/>
        </w:rPr>
        <w:t xml:space="preserve">attracted to high dividends, which is not consistent with the clientele theory of dividends of Allen </w:t>
      </w:r>
      <w:r w:rsidRPr="006E0A4F">
        <w:rPr>
          <w:rFonts w:ascii="Times New Roman" w:hAnsi="Times New Roman" w:cs="Times New Roman"/>
          <w:i/>
          <w:sz w:val="24"/>
          <w:szCs w:val="24"/>
        </w:rPr>
        <w:t>et al</w:t>
      </w:r>
      <w:r w:rsidRPr="002B70C8">
        <w:rPr>
          <w:rFonts w:ascii="Times New Roman" w:hAnsi="Times New Roman" w:cs="Times New Roman"/>
          <w:sz w:val="24"/>
          <w:szCs w:val="24"/>
        </w:rPr>
        <w:t xml:space="preserve">. (2000). Instead, Grinstein and Michaely (2005) find a positive relation between repurchases and institutional holdings in the sense that firms that repurchase more shares attract institutions. Their results suggest that institutions are attracted to repurchasing firms, </w:t>
      </w:r>
      <w:r w:rsidR="00D81DA0">
        <w:rPr>
          <w:rFonts w:ascii="Times New Roman" w:hAnsi="Times New Roman" w:cs="Times New Roman"/>
          <w:sz w:val="24"/>
          <w:szCs w:val="24"/>
        </w:rPr>
        <w:t>and that these investors do not attempt</w:t>
      </w:r>
      <w:r w:rsidRPr="002B70C8">
        <w:rPr>
          <w:rFonts w:ascii="Times New Roman" w:hAnsi="Times New Roman" w:cs="Times New Roman"/>
          <w:sz w:val="24"/>
          <w:szCs w:val="24"/>
        </w:rPr>
        <w:t xml:space="preserve"> to </w:t>
      </w:r>
      <w:r w:rsidR="00D81DA0">
        <w:rPr>
          <w:rFonts w:ascii="Times New Roman" w:hAnsi="Times New Roman" w:cs="Times New Roman"/>
          <w:sz w:val="24"/>
          <w:szCs w:val="24"/>
        </w:rPr>
        <w:t>influence the</w:t>
      </w:r>
      <w:r w:rsidR="00D81DA0" w:rsidRPr="002B70C8">
        <w:rPr>
          <w:rFonts w:ascii="Times New Roman" w:hAnsi="Times New Roman" w:cs="Times New Roman"/>
          <w:sz w:val="24"/>
          <w:szCs w:val="24"/>
        </w:rPr>
        <w:t xml:space="preserve"> </w:t>
      </w:r>
      <w:r w:rsidRPr="002B70C8">
        <w:rPr>
          <w:rFonts w:ascii="Times New Roman" w:hAnsi="Times New Roman" w:cs="Times New Roman"/>
          <w:sz w:val="24"/>
          <w:szCs w:val="24"/>
        </w:rPr>
        <w:t>firms’ repurchase or dividend policies. In short, they conclude that institutions are attracted to firms with positive payout but find little evidence that ownership causes payout.</w:t>
      </w:r>
      <w:r w:rsidR="001C3E41">
        <w:rPr>
          <w:rFonts w:ascii="Times New Roman" w:hAnsi="Times New Roman" w:cs="Times New Roman"/>
          <w:sz w:val="24"/>
          <w:szCs w:val="24"/>
        </w:rPr>
        <w:t xml:space="preserve"> </w:t>
      </w:r>
      <w:r w:rsidR="00F40E32" w:rsidRPr="003F2B45">
        <w:rPr>
          <w:rFonts w:ascii="Times New Roman" w:hAnsi="Times New Roman" w:cs="Times New Roman"/>
          <w:sz w:val="24"/>
          <w:szCs w:val="24"/>
        </w:rPr>
        <w:t>We contribute to the literature on institutional ownership and dividend policy by examining how the long run stability in the shareholdings of institutional investors affects a firm’s dividend policy.</w:t>
      </w:r>
      <w:r w:rsidR="003474FA" w:rsidRPr="003F2B45">
        <w:rPr>
          <w:rFonts w:ascii="Times New Roman" w:hAnsi="Times New Roman" w:cs="Times New Roman"/>
          <w:sz w:val="24"/>
          <w:szCs w:val="24"/>
        </w:rPr>
        <w:t xml:space="preserve"> </w:t>
      </w:r>
    </w:p>
    <w:p w14:paraId="33F89FC0" w14:textId="354D4DC4" w:rsidR="00312330" w:rsidRDefault="00312330"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Under Jensen’s (1986) free cash flow hypothesis, managers’ mismanagement of excess cash will lead to agency conflicts. The payment of dividend can minimize these conflicts. By transferring the company’s cash to shareholders, managers are left with little money to waste</w:t>
      </w:r>
      <w:r w:rsidR="002A60F0">
        <w:rPr>
          <w:rFonts w:ascii="Times New Roman" w:hAnsi="Times New Roman" w:cs="Times New Roman"/>
          <w:sz w:val="24"/>
          <w:szCs w:val="24"/>
        </w:rPr>
        <w:t xml:space="preserve"> on suboptimal investment projects</w:t>
      </w:r>
      <w:r>
        <w:rPr>
          <w:rFonts w:ascii="Times New Roman" w:hAnsi="Times New Roman" w:cs="Times New Roman"/>
          <w:sz w:val="24"/>
          <w:szCs w:val="24"/>
        </w:rPr>
        <w:t>. Under such circumstances, dividend acts as a form of discipline on incumbent managers.</w:t>
      </w:r>
    </w:p>
    <w:p w14:paraId="12AE95C6" w14:textId="68CE7203" w:rsidR="002B70C8" w:rsidRDefault="002B70C8" w:rsidP="002B70C8">
      <w:pPr>
        <w:spacing w:line="480" w:lineRule="auto"/>
        <w:ind w:firstLine="720"/>
        <w:rPr>
          <w:rFonts w:ascii="Times New Roman" w:hAnsi="Times New Roman" w:cs="Times New Roman"/>
          <w:sz w:val="24"/>
          <w:szCs w:val="24"/>
        </w:rPr>
      </w:pPr>
      <w:r w:rsidRPr="002B70C8">
        <w:rPr>
          <w:rFonts w:ascii="Times New Roman" w:hAnsi="Times New Roman" w:cs="Times New Roman"/>
          <w:sz w:val="24"/>
          <w:szCs w:val="24"/>
        </w:rPr>
        <w:t>In a recent paper, Crane, Michenaud, and Weston (2014) use a novel identification strategy that relies on an instrument for ownership based on the annual composition of the Russell 1,000 and 2,000 indices. They find that firms pay more dividends and repurchase more shares when they have higher levels of institutional ownership, even if the institutions are not activist investors (a one percentage point “exogenous” increase in institutional ownership leads to 1% higher dividends, 4% higher repurchases, and 4% higher total payout). They argue that their results are consistent with the hypothesis that institutional ownership affects payout through a monitoring channel.</w:t>
      </w:r>
    </w:p>
    <w:p w14:paraId="1E2B8C64" w14:textId="32B43CF2" w:rsidR="008C60D1" w:rsidRPr="003F2B45" w:rsidRDefault="003E7FD0" w:rsidP="003E7F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Companies plagued with agency conflicts would constrain institutional investors’ ability to meet their fiduciary responsibilities vis-à-vis their investors. </w:t>
      </w:r>
      <w:r w:rsidR="00CB2D53" w:rsidRPr="003F2B45">
        <w:rPr>
          <w:rFonts w:ascii="Times New Roman" w:hAnsi="Times New Roman" w:cs="Times New Roman"/>
          <w:sz w:val="24"/>
          <w:szCs w:val="24"/>
        </w:rPr>
        <w:t xml:space="preserve">To the extent that payment of dividend is a show of a firm’s cash generating strength and its intolerance for conflicts, institutional investors would favour </w:t>
      </w:r>
      <w:r w:rsidRPr="003F2B45">
        <w:rPr>
          <w:rFonts w:ascii="Times New Roman" w:hAnsi="Times New Roman" w:cs="Times New Roman"/>
          <w:sz w:val="24"/>
          <w:szCs w:val="24"/>
        </w:rPr>
        <w:t>dividend-paying</w:t>
      </w:r>
      <w:r w:rsidR="00CB2D53" w:rsidRPr="003F2B45">
        <w:rPr>
          <w:rFonts w:ascii="Times New Roman" w:hAnsi="Times New Roman" w:cs="Times New Roman"/>
          <w:sz w:val="24"/>
          <w:szCs w:val="24"/>
        </w:rPr>
        <w:t xml:space="preserve"> firms as their </w:t>
      </w:r>
      <w:r>
        <w:rPr>
          <w:rFonts w:ascii="Times New Roman" w:hAnsi="Times New Roman" w:cs="Times New Roman"/>
          <w:sz w:val="24"/>
          <w:szCs w:val="24"/>
        </w:rPr>
        <w:t>investments</w:t>
      </w:r>
      <w:r w:rsidR="00CB2D53" w:rsidRPr="003F2B45">
        <w:rPr>
          <w:rFonts w:ascii="Times New Roman" w:hAnsi="Times New Roman" w:cs="Times New Roman"/>
          <w:sz w:val="24"/>
          <w:szCs w:val="24"/>
        </w:rPr>
        <w:t xml:space="preserve">. </w:t>
      </w:r>
      <w:r w:rsidR="003C2D2F">
        <w:rPr>
          <w:rFonts w:ascii="Times New Roman" w:hAnsi="Times New Roman" w:cs="Times New Roman"/>
          <w:sz w:val="24"/>
          <w:szCs w:val="24"/>
        </w:rPr>
        <w:t>Besides</w:t>
      </w:r>
      <w:r w:rsidR="008C60D1" w:rsidRPr="003F2B45">
        <w:rPr>
          <w:rFonts w:ascii="Times New Roman" w:hAnsi="Times New Roman" w:cs="Times New Roman"/>
          <w:sz w:val="24"/>
          <w:szCs w:val="24"/>
        </w:rPr>
        <w:t xml:space="preserve">, </w:t>
      </w:r>
      <w:r w:rsidR="00583CBF">
        <w:rPr>
          <w:rFonts w:ascii="Times New Roman" w:hAnsi="Times New Roman" w:cs="Times New Roman"/>
          <w:sz w:val="24"/>
          <w:szCs w:val="24"/>
        </w:rPr>
        <w:t xml:space="preserve">and as argued earlier, </w:t>
      </w:r>
      <w:r w:rsidR="008C60D1" w:rsidRPr="003F2B45">
        <w:rPr>
          <w:rFonts w:ascii="Times New Roman" w:hAnsi="Times New Roman" w:cs="Times New Roman"/>
          <w:sz w:val="24"/>
          <w:szCs w:val="24"/>
        </w:rPr>
        <w:t>c</w:t>
      </w:r>
      <w:r w:rsidR="00B06DED" w:rsidRPr="003F2B45">
        <w:rPr>
          <w:rFonts w:ascii="Times New Roman" w:hAnsi="Times New Roman" w:cs="Times New Roman"/>
          <w:sz w:val="24"/>
          <w:szCs w:val="24"/>
        </w:rPr>
        <w:t>erta</w:t>
      </w:r>
      <w:r>
        <w:rPr>
          <w:rFonts w:ascii="Times New Roman" w:hAnsi="Times New Roman" w:cs="Times New Roman"/>
          <w:sz w:val="24"/>
          <w:szCs w:val="24"/>
        </w:rPr>
        <w:t>in institutions favour dividend-</w:t>
      </w:r>
      <w:r w:rsidR="00B06DED" w:rsidRPr="003F2B45">
        <w:rPr>
          <w:rFonts w:ascii="Times New Roman" w:hAnsi="Times New Roman" w:cs="Times New Roman"/>
          <w:sz w:val="24"/>
          <w:szCs w:val="24"/>
        </w:rPr>
        <w:t>paying companies for tax reasons.</w:t>
      </w:r>
      <w:r w:rsidR="008C60D1" w:rsidRPr="003F2B45">
        <w:rPr>
          <w:rFonts w:ascii="Times New Roman" w:hAnsi="Times New Roman" w:cs="Times New Roman"/>
          <w:sz w:val="24"/>
          <w:szCs w:val="24"/>
        </w:rPr>
        <w:t xml:space="preserve"> </w:t>
      </w:r>
    </w:p>
    <w:p w14:paraId="5CEBF68C" w14:textId="3843AD51" w:rsidR="00E37210" w:rsidRPr="003F2B45" w:rsidRDefault="00CD5116"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Not all institutional investors benefit from the same tax advantages. For instance, banks and investment companies do not benefit from the same exemptions as pension funds. Banks are heavily regulated and are forced to abide by the prudent-man rules.</w:t>
      </w:r>
      <w:r w:rsidR="00E37210" w:rsidRPr="003F2B45">
        <w:rPr>
          <w:rFonts w:ascii="Times New Roman" w:hAnsi="Times New Roman" w:cs="Times New Roman"/>
          <w:sz w:val="24"/>
          <w:szCs w:val="24"/>
        </w:rPr>
        <w:t xml:space="preserve"> </w:t>
      </w:r>
      <w:r w:rsidR="00CE2647" w:rsidRPr="003F2B45">
        <w:rPr>
          <w:rFonts w:ascii="Times New Roman" w:hAnsi="Times New Roman" w:cs="Times New Roman"/>
          <w:sz w:val="24"/>
          <w:szCs w:val="24"/>
        </w:rPr>
        <w:t>These constraints will weigh heavily in their selections of target companies. Therefore</w:t>
      </w:r>
      <w:r w:rsidR="00E37210" w:rsidRPr="003F2B45">
        <w:rPr>
          <w:rFonts w:ascii="Times New Roman" w:hAnsi="Times New Roman" w:cs="Times New Roman"/>
          <w:sz w:val="24"/>
          <w:szCs w:val="24"/>
        </w:rPr>
        <w:t xml:space="preserve">, we test the relation between </w:t>
      </w:r>
      <w:r w:rsidR="008D7674">
        <w:rPr>
          <w:rFonts w:ascii="Times New Roman" w:hAnsi="Times New Roman" w:cs="Times New Roman"/>
          <w:sz w:val="24"/>
          <w:szCs w:val="24"/>
        </w:rPr>
        <w:t>the</w:t>
      </w:r>
      <w:r w:rsidR="008D7674" w:rsidRPr="003F2B45">
        <w:rPr>
          <w:rFonts w:ascii="Times New Roman" w:hAnsi="Times New Roman" w:cs="Times New Roman"/>
          <w:sz w:val="24"/>
          <w:szCs w:val="24"/>
        </w:rPr>
        <w:t xml:space="preserve"> holdings</w:t>
      </w:r>
      <w:r w:rsidR="00E37210" w:rsidRPr="003F2B45">
        <w:rPr>
          <w:rFonts w:ascii="Times New Roman" w:hAnsi="Times New Roman" w:cs="Times New Roman"/>
          <w:sz w:val="24"/>
          <w:szCs w:val="24"/>
        </w:rPr>
        <w:t xml:space="preserve"> of the different institutional groups and </w:t>
      </w:r>
      <w:r w:rsidR="008D7674">
        <w:rPr>
          <w:rFonts w:ascii="Times New Roman" w:hAnsi="Times New Roman" w:cs="Times New Roman"/>
          <w:sz w:val="24"/>
          <w:szCs w:val="24"/>
        </w:rPr>
        <w:t>the</w:t>
      </w:r>
      <w:r w:rsidR="008D7674" w:rsidRPr="003F2B45">
        <w:rPr>
          <w:rFonts w:ascii="Times New Roman" w:hAnsi="Times New Roman" w:cs="Times New Roman"/>
          <w:sz w:val="24"/>
          <w:szCs w:val="24"/>
        </w:rPr>
        <w:t xml:space="preserve"> dividend</w:t>
      </w:r>
      <w:r w:rsidR="00E37210" w:rsidRPr="003F2B45">
        <w:rPr>
          <w:rFonts w:ascii="Times New Roman" w:hAnsi="Times New Roman" w:cs="Times New Roman"/>
          <w:sz w:val="24"/>
          <w:szCs w:val="24"/>
        </w:rPr>
        <w:t xml:space="preserve"> payout policy.</w:t>
      </w:r>
    </w:p>
    <w:p w14:paraId="26FB2ACF" w14:textId="2F25580D" w:rsidR="00AD699D" w:rsidRDefault="00AD699D"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assumption that the </w:t>
      </w:r>
      <w:r w:rsidR="002B70C8">
        <w:rPr>
          <w:rFonts w:ascii="Times New Roman" w:hAnsi="Times New Roman" w:cs="Times New Roman"/>
          <w:sz w:val="24"/>
          <w:szCs w:val="24"/>
        </w:rPr>
        <w:t xml:space="preserve">substitution </w:t>
      </w:r>
      <w:r>
        <w:rPr>
          <w:rFonts w:ascii="Times New Roman" w:hAnsi="Times New Roman" w:cs="Times New Roman"/>
          <w:sz w:val="24"/>
          <w:szCs w:val="24"/>
        </w:rPr>
        <w:t>hypothesis (</w:t>
      </w:r>
      <w:r w:rsidR="003F1A40">
        <w:rPr>
          <w:rFonts w:ascii="Times New Roman" w:hAnsi="Times New Roman" w:cs="Times New Roman"/>
          <w:sz w:val="24"/>
          <w:szCs w:val="24"/>
        </w:rPr>
        <w:t xml:space="preserve">see </w:t>
      </w:r>
      <w:r>
        <w:rPr>
          <w:rFonts w:ascii="Times New Roman" w:hAnsi="Times New Roman" w:cs="Times New Roman"/>
          <w:sz w:val="24"/>
          <w:szCs w:val="24"/>
        </w:rPr>
        <w:t>Zeckhauser and Pound (1990)</w:t>
      </w:r>
      <w:r w:rsidR="003F1A40">
        <w:rPr>
          <w:rFonts w:ascii="Times New Roman" w:hAnsi="Times New Roman" w:cs="Times New Roman"/>
          <w:sz w:val="24"/>
          <w:szCs w:val="24"/>
        </w:rPr>
        <w:t>, Amihud and Li</w:t>
      </w:r>
      <w:r w:rsidR="003F1A40" w:rsidRPr="003F1A40">
        <w:rPr>
          <w:rFonts w:ascii="Times New Roman" w:hAnsi="Times New Roman" w:cs="Times New Roman"/>
          <w:sz w:val="24"/>
          <w:szCs w:val="24"/>
        </w:rPr>
        <w:t xml:space="preserve"> </w:t>
      </w:r>
      <w:r w:rsidR="003F1A40">
        <w:rPr>
          <w:rFonts w:ascii="Times New Roman" w:hAnsi="Times New Roman" w:cs="Times New Roman"/>
          <w:sz w:val="24"/>
          <w:szCs w:val="24"/>
        </w:rPr>
        <w:t>(</w:t>
      </w:r>
      <w:r w:rsidR="003F1A40" w:rsidRPr="003F1A40">
        <w:rPr>
          <w:rFonts w:ascii="Times New Roman" w:hAnsi="Times New Roman" w:cs="Times New Roman"/>
          <w:sz w:val="24"/>
          <w:szCs w:val="24"/>
        </w:rPr>
        <w:t>2006</w:t>
      </w:r>
      <w:r w:rsidR="003F1A40">
        <w:rPr>
          <w:rFonts w:ascii="Times New Roman" w:hAnsi="Times New Roman" w:cs="Times New Roman"/>
          <w:sz w:val="24"/>
          <w:szCs w:val="24"/>
        </w:rPr>
        <w:t>)</w:t>
      </w:r>
      <w:r>
        <w:rPr>
          <w:rFonts w:ascii="Times New Roman" w:hAnsi="Times New Roman" w:cs="Times New Roman"/>
          <w:sz w:val="24"/>
          <w:szCs w:val="24"/>
        </w:rPr>
        <w:t>) holds, i.e., the presence of institutional investors and the payment of dividend are substitute mechanisms to discipline managers, then it is important to differentiate between the types of institutional investors who can perform that disciplinary function.</w:t>
      </w:r>
      <w:r w:rsidR="002A60F0">
        <w:rPr>
          <w:rFonts w:ascii="Times New Roman" w:hAnsi="Times New Roman" w:cs="Times New Roman"/>
          <w:sz w:val="24"/>
          <w:szCs w:val="24"/>
        </w:rPr>
        <w:t xml:space="preserve"> </w:t>
      </w:r>
      <w:r>
        <w:rPr>
          <w:rFonts w:ascii="Times New Roman" w:hAnsi="Times New Roman" w:cs="Times New Roman"/>
          <w:sz w:val="24"/>
          <w:szCs w:val="24"/>
        </w:rPr>
        <w:t xml:space="preserve">To avoid compromising their existing or potential business dealings with the firms, banks </w:t>
      </w:r>
      <m:oMath>
        <m:r>
          <w:rPr>
            <w:rFonts w:ascii="Cambria Math" w:hAnsi="Cambria Math" w:cs="Times New Roman"/>
            <w:sz w:val="24"/>
            <w:szCs w:val="24"/>
          </w:rPr>
          <m:t>(INV1)</m:t>
        </m:r>
      </m:oMath>
      <w:r>
        <w:rPr>
          <w:rFonts w:ascii="Times New Roman" w:hAnsi="Times New Roman" w:cs="Times New Roman"/>
          <w:sz w:val="24"/>
          <w:szCs w:val="24"/>
        </w:rPr>
        <w:t xml:space="preserve"> and insurance companies </w:t>
      </w:r>
      <m:oMath>
        <m:r>
          <w:rPr>
            <w:rFonts w:ascii="Cambria Math" w:hAnsi="Cambria Math" w:cs="Times New Roman"/>
            <w:sz w:val="24"/>
            <w:szCs w:val="24"/>
          </w:rPr>
          <m:t>(INV2)</m:t>
        </m:r>
      </m:oMath>
      <w:r>
        <w:rPr>
          <w:rFonts w:ascii="Times New Roman" w:hAnsi="Times New Roman" w:cs="Times New Roman"/>
          <w:sz w:val="24"/>
          <w:szCs w:val="24"/>
        </w:rPr>
        <w:t xml:space="preserve"> are less likely to challenge management decisions (see </w:t>
      </w:r>
      <w:r w:rsidRPr="00AD699D">
        <w:rPr>
          <w:rFonts w:ascii="Times New Roman" w:hAnsi="Times New Roman" w:cs="Times New Roman"/>
          <w:sz w:val="24"/>
          <w:szCs w:val="24"/>
        </w:rPr>
        <w:t xml:space="preserve">Brickley </w:t>
      </w:r>
      <w:r w:rsidRPr="00485BCC">
        <w:rPr>
          <w:rFonts w:ascii="Times New Roman" w:hAnsi="Times New Roman" w:cs="Times New Roman"/>
          <w:i/>
          <w:sz w:val="24"/>
          <w:szCs w:val="24"/>
        </w:rPr>
        <w:t>et al</w:t>
      </w:r>
      <w:r w:rsidRPr="00AD699D">
        <w:rPr>
          <w:rFonts w:ascii="Times New Roman" w:hAnsi="Times New Roman" w:cs="Times New Roman"/>
          <w:sz w:val="24"/>
          <w:szCs w:val="24"/>
        </w:rPr>
        <w:t xml:space="preserve">., 1988, Almazan </w:t>
      </w:r>
      <w:r w:rsidRPr="00485BCC">
        <w:rPr>
          <w:rFonts w:ascii="Times New Roman" w:hAnsi="Times New Roman" w:cs="Times New Roman"/>
          <w:i/>
          <w:sz w:val="24"/>
          <w:szCs w:val="24"/>
        </w:rPr>
        <w:t>et al</w:t>
      </w:r>
      <w:r w:rsidRPr="00AD699D">
        <w:rPr>
          <w:rFonts w:ascii="Times New Roman" w:hAnsi="Times New Roman" w:cs="Times New Roman"/>
          <w:sz w:val="24"/>
          <w:szCs w:val="24"/>
        </w:rPr>
        <w:t>., 2005</w:t>
      </w:r>
      <w:r>
        <w:rPr>
          <w:rFonts w:ascii="Times New Roman" w:hAnsi="Times New Roman" w:cs="Times New Roman"/>
          <w:sz w:val="24"/>
          <w:szCs w:val="24"/>
        </w:rPr>
        <w:t>,</w:t>
      </w:r>
      <w:r w:rsidRPr="00AD699D">
        <w:rPr>
          <w:rFonts w:ascii="Times New Roman" w:hAnsi="Times New Roman" w:cs="Times New Roman"/>
          <w:sz w:val="24"/>
          <w:szCs w:val="24"/>
        </w:rPr>
        <w:t xml:space="preserve"> Chen </w:t>
      </w:r>
      <w:r w:rsidRPr="00485BCC">
        <w:rPr>
          <w:rFonts w:ascii="Times New Roman" w:hAnsi="Times New Roman" w:cs="Times New Roman"/>
          <w:i/>
          <w:sz w:val="24"/>
          <w:szCs w:val="24"/>
        </w:rPr>
        <w:t>et al</w:t>
      </w:r>
      <w:r w:rsidRPr="00AD699D">
        <w:rPr>
          <w:rFonts w:ascii="Times New Roman" w:hAnsi="Times New Roman" w:cs="Times New Roman"/>
          <w:sz w:val="24"/>
          <w:szCs w:val="24"/>
        </w:rPr>
        <w:t>., 2005</w:t>
      </w:r>
      <w:r>
        <w:rPr>
          <w:rFonts w:ascii="Times New Roman" w:hAnsi="Times New Roman" w:cs="Times New Roman"/>
          <w:sz w:val="24"/>
          <w:szCs w:val="24"/>
        </w:rPr>
        <w:t xml:space="preserve">, Cornett </w:t>
      </w:r>
      <w:r w:rsidRPr="00485BCC">
        <w:rPr>
          <w:rFonts w:ascii="Times New Roman" w:hAnsi="Times New Roman" w:cs="Times New Roman"/>
          <w:i/>
          <w:sz w:val="24"/>
          <w:szCs w:val="24"/>
        </w:rPr>
        <w:t>et al</w:t>
      </w:r>
      <w:r>
        <w:rPr>
          <w:rFonts w:ascii="Times New Roman" w:hAnsi="Times New Roman" w:cs="Times New Roman"/>
          <w:sz w:val="24"/>
          <w:szCs w:val="24"/>
        </w:rPr>
        <w:t>. 2007). They are known as pressure-sensitive investors.</w:t>
      </w:r>
      <w:r w:rsidR="002A60F0">
        <w:rPr>
          <w:rFonts w:ascii="Times New Roman" w:hAnsi="Times New Roman" w:cs="Times New Roman"/>
          <w:sz w:val="24"/>
          <w:szCs w:val="24"/>
        </w:rPr>
        <w:t xml:space="preserve"> </w:t>
      </w:r>
      <w:r>
        <w:rPr>
          <w:rFonts w:ascii="Times New Roman" w:hAnsi="Times New Roman" w:cs="Times New Roman"/>
          <w:sz w:val="24"/>
          <w:szCs w:val="24"/>
        </w:rPr>
        <w:t xml:space="preserve">On the other hand, investment companies </w:t>
      </w:r>
      <m:oMath>
        <m:r>
          <w:rPr>
            <w:rFonts w:ascii="Cambria Math" w:hAnsi="Cambria Math" w:cs="Times New Roman"/>
            <w:sz w:val="24"/>
            <w:szCs w:val="24"/>
          </w:rPr>
          <m:t>(INV3)</m:t>
        </m:r>
      </m:oMath>
      <w:r>
        <w:rPr>
          <w:rFonts w:ascii="Times New Roman" w:hAnsi="Times New Roman" w:cs="Times New Roman"/>
          <w:sz w:val="24"/>
          <w:szCs w:val="24"/>
        </w:rPr>
        <w:t xml:space="preserve"> and investment advisers </w:t>
      </w:r>
      <m:oMath>
        <m:r>
          <w:rPr>
            <w:rFonts w:ascii="Cambria Math" w:hAnsi="Cambria Math" w:cs="Times New Roman"/>
            <w:sz w:val="24"/>
            <w:szCs w:val="24"/>
          </w:rPr>
          <m:t>(INV4)</m:t>
        </m:r>
      </m:oMath>
      <w:r>
        <w:rPr>
          <w:rFonts w:ascii="Times New Roman" w:hAnsi="Times New Roman" w:cs="Times New Roman"/>
          <w:sz w:val="24"/>
          <w:szCs w:val="24"/>
        </w:rPr>
        <w:t xml:space="preserve"> are not subject to these pressures and are more able to press management for changes. They are known as pressure-insensitive investors.</w:t>
      </w:r>
      <w:r w:rsidR="00BB2DEC">
        <w:rPr>
          <w:rFonts w:ascii="Times New Roman" w:hAnsi="Times New Roman" w:cs="Times New Roman"/>
          <w:sz w:val="24"/>
          <w:szCs w:val="24"/>
        </w:rPr>
        <w:t xml:space="preserve"> Almazan </w:t>
      </w:r>
      <w:r w:rsidR="00BB2DEC" w:rsidRPr="00485BCC">
        <w:rPr>
          <w:rFonts w:ascii="Times New Roman" w:hAnsi="Times New Roman" w:cs="Times New Roman"/>
          <w:i/>
          <w:sz w:val="24"/>
          <w:szCs w:val="24"/>
        </w:rPr>
        <w:t>et al</w:t>
      </w:r>
      <w:r w:rsidR="00BB2DEC">
        <w:rPr>
          <w:rFonts w:ascii="Times New Roman" w:hAnsi="Times New Roman" w:cs="Times New Roman"/>
          <w:sz w:val="24"/>
          <w:szCs w:val="24"/>
        </w:rPr>
        <w:t>. (2005), Chen et al. (</w:t>
      </w:r>
      <w:r w:rsidR="00CB33B1">
        <w:rPr>
          <w:rFonts w:ascii="Times New Roman" w:hAnsi="Times New Roman" w:cs="Times New Roman"/>
          <w:sz w:val="24"/>
          <w:szCs w:val="24"/>
        </w:rPr>
        <w:t>2007</w:t>
      </w:r>
      <w:r w:rsidR="00BB2DEC">
        <w:rPr>
          <w:rFonts w:ascii="Times New Roman" w:hAnsi="Times New Roman" w:cs="Times New Roman"/>
          <w:sz w:val="24"/>
          <w:szCs w:val="24"/>
        </w:rPr>
        <w:t xml:space="preserve">) and Cornett </w:t>
      </w:r>
      <w:r w:rsidR="00BB2DEC" w:rsidRPr="00485BCC">
        <w:rPr>
          <w:rFonts w:ascii="Times New Roman" w:hAnsi="Times New Roman" w:cs="Times New Roman"/>
          <w:i/>
          <w:sz w:val="24"/>
          <w:szCs w:val="24"/>
        </w:rPr>
        <w:t>et al</w:t>
      </w:r>
      <w:r w:rsidR="00BB2DEC">
        <w:rPr>
          <w:rFonts w:ascii="Times New Roman" w:hAnsi="Times New Roman" w:cs="Times New Roman"/>
          <w:sz w:val="24"/>
          <w:szCs w:val="24"/>
        </w:rPr>
        <w:t>. (2007) find that better corporate decisions are positively correlated to the extent of share ownership by pressure-insensitive investors.</w:t>
      </w:r>
      <w:r w:rsidR="007E2B7C">
        <w:rPr>
          <w:rFonts w:ascii="Times New Roman" w:hAnsi="Times New Roman" w:cs="Times New Roman"/>
          <w:sz w:val="24"/>
          <w:szCs w:val="24"/>
        </w:rPr>
        <w:t xml:space="preserve"> </w:t>
      </w:r>
    </w:p>
    <w:p w14:paraId="0823408A" w14:textId="3C6B0F85" w:rsidR="002B70C8" w:rsidRDefault="003F1A40"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2B70C8" w:rsidRPr="002B70C8">
        <w:rPr>
          <w:rFonts w:ascii="Times New Roman" w:hAnsi="Times New Roman" w:cs="Times New Roman"/>
          <w:sz w:val="24"/>
          <w:szCs w:val="24"/>
        </w:rPr>
        <w:t>e hypothesize that there might be a substitution effect between the payment of dividends and the presence of “pressure-insensitive” institutional investors</w:t>
      </w:r>
      <w:r w:rsidR="001C3E41">
        <w:rPr>
          <w:rFonts w:ascii="Times New Roman" w:hAnsi="Times New Roman" w:cs="Times New Roman"/>
          <w:sz w:val="24"/>
          <w:szCs w:val="24"/>
        </w:rPr>
        <w:t>, i.e., INV3 and INV4,</w:t>
      </w:r>
      <w:r w:rsidR="002B70C8" w:rsidRPr="002B70C8">
        <w:rPr>
          <w:rFonts w:ascii="Times New Roman" w:hAnsi="Times New Roman" w:cs="Times New Roman"/>
          <w:sz w:val="24"/>
          <w:szCs w:val="24"/>
        </w:rPr>
        <w:t xml:space="preserve"> who can act as effective monitors and discipline firms’ managers to reduce agency costs by pressing for corporate policy changes through alternative means (other than forcing firms to change their dividend or payout policies). </w:t>
      </w:r>
    </w:p>
    <w:p w14:paraId="20A402E8" w14:textId="6C62A3ED" w:rsidR="002B70C8" w:rsidRDefault="002B70C8" w:rsidP="002B70C8">
      <w:pPr>
        <w:spacing w:line="480" w:lineRule="auto"/>
        <w:ind w:firstLine="720"/>
        <w:rPr>
          <w:rFonts w:ascii="Times New Roman" w:hAnsi="Times New Roman" w:cs="Times New Roman"/>
          <w:sz w:val="24"/>
          <w:szCs w:val="24"/>
        </w:rPr>
      </w:pPr>
      <w:r w:rsidRPr="002B70C8">
        <w:rPr>
          <w:rFonts w:ascii="Times New Roman" w:hAnsi="Times New Roman" w:cs="Times New Roman"/>
          <w:sz w:val="24"/>
          <w:szCs w:val="24"/>
        </w:rPr>
        <w:t xml:space="preserve">In the presence of “pressure-sensitive” institutional shareholders, however, dividend payouts may constitute an alternative form of capital market monitoring (Easterbrook 1984; Rozeff 1982). Corporations with high payout rates will be forced to go to the market relatively more often to secure funds for new investment. This subjects the investment decisions to outside scrutiny. Thus, when pressure-sensitive </w:t>
      </w:r>
      <w:r>
        <w:rPr>
          <w:rFonts w:ascii="Times New Roman" w:hAnsi="Times New Roman" w:cs="Times New Roman"/>
          <w:sz w:val="24"/>
          <w:szCs w:val="24"/>
        </w:rPr>
        <w:t>institutional investors</w:t>
      </w:r>
      <w:r w:rsidRPr="002B70C8">
        <w:rPr>
          <w:rFonts w:ascii="Times New Roman" w:hAnsi="Times New Roman" w:cs="Times New Roman"/>
          <w:sz w:val="24"/>
          <w:szCs w:val="24"/>
        </w:rPr>
        <w:t xml:space="preserve"> </w:t>
      </w:r>
      <w:r>
        <w:rPr>
          <w:rFonts w:ascii="Times New Roman" w:hAnsi="Times New Roman" w:cs="Times New Roman"/>
          <w:sz w:val="24"/>
          <w:szCs w:val="24"/>
        </w:rPr>
        <w:t>dominate</w:t>
      </w:r>
      <w:r w:rsidRPr="002B70C8">
        <w:rPr>
          <w:rFonts w:ascii="Times New Roman" w:hAnsi="Times New Roman" w:cs="Times New Roman"/>
          <w:sz w:val="24"/>
          <w:szCs w:val="24"/>
        </w:rPr>
        <w:t xml:space="preserve"> the firm’s ownership pool, the market may demand other forms of monitoring—such as dividend payouts—as substitutes. To protect their business relationships, </w:t>
      </w:r>
      <w:r w:rsidR="001C3E41">
        <w:rPr>
          <w:rFonts w:ascii="Times New Roman" w:hAnsi="Times New Roman" w:cs="Times New Roman"/>
          <w:sz w:val="24"/>
          <w:szCs w:val="24"/>
        </w:rPr>
        <w:t xml:space="preserve">pressure-sensitive </w:t>
      </w:r>
      <w:r w:rsidRPr="002B70C8">
        <w:rPr>
          <w:rFonts w:ascii="Times New Roman" w:hAnsi="Times New Roman" w:cs="Times New Roman"/>
          <w:sz w:val="24"/>
          <w:szCs w:val="24"/>
        </w:rPr>
        <w:t>institutional investors would not want to challenge managers’ decisions by pursuing various activist strategies; instead, they would just resort to the regular payout of dividends as a means of mitigating managerial agency problems.</w:t>
      </w:r>
    </w:p>
    <w:p w14:paraId="31445DC2" w14:textId="7C775A19" w:rsidR="00CC72F3" w:rsidRDefault="00205A01"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Size alone cannot sort out institutional investors who are in for the long haul versus institutional traders who are in for a quick </w:t>
      </w:r>
      <w:r w:rsidR="001F7173">
        <w:rPr>
          <w:rFonts w:ascii="Times New Roman" w:hAnsi="Times New Roman" w:cs="Times New Roman"/>
          <w:sz w:val="24"/>
          <w:szCs w:val="24"/>
        </w:rPr>
        <w:t>profit</w:t>
      </w:r>
      <w:r w:rsidRPr="003F2B45">
        <w:rPr>
          <w:rFonts w:ascii="Times New Roman" w:hAnsi="Times New Roman" w:cs="Times New Roman"/>
          <w:sz w:val="24"/>
          <w:szCs w:val="24"/>
        </w:rPr>
        <w:t xml:space="preserve">. </w:t>
      </w:r>
      <w:r w:rsidR="00CB0C65" w:rsidRPr="003F2B45">
        <w:rPr>
          <w:rFonts w:ascii="Times New Roman" w:hAnsi="Times New Roman" w:cs="Times New Roman"/>
          <w:sz w:val="24"/>
          <w:szCs w:val="24"/>
        </w:rPr>
        <w:t xml:space="preserve">Gaspar, Massa and Matos (2005) investigate how the investment horizon of a firm’s institutional shareholders impacts the market for corporate control. </w:t>
      </w:r>
      <w:r w:rsidR="003275B0" w:rsidRPr="003F2B45">
        <w:rPr>
          <w:rFonts w:ascii="Times New Roman" w:hAnsi="Times New Roman" w:cs="Times New Roman"/>
          <w:sz w:val="24"/>
          <w:szCs w:val="24"/>
        </w:rPr>
        <w:t>Target firms whose ownership is dominated by short-term shareholders receive lower premiums in M&amp;A transactions. Managers of these firms benefit from lax monitoring.</w:t>
      </w:r>
      <w:r w:rsidR="000B67CC" w:rsidRPr="003F2B45">
        <w:rPr>
          <w:rFonts w:ascii="Times New Roman" w:hAnsi="Times New Roman" w:cs="Times New Roman"/>
          <w:sz w:val="24"/>
          <w:szCs w:val="24"/>
        </w:rPr>
        <w:t xml:space="preserve"> </w:t>
      </w:r>
      <w:r w:rsidR="00BB7B6F" w:rsidRPr="003F2B45">
        <w:rPr>
          <w:rFonts w:ascii="Times New Roman" w:hAnsi="Times New Roman" w:cs="Times New Roman"/>
          <w:sz w:val="24"/>
          <w:szCs w:val="24"/>
        </w:rPr>
        <w:t xml:space="preserve">Institutional investors </w:t>
      </w:r>
      <w:r w:rsidR="00EB2793">
        <w:rPr>
          <w:rFonts w:ascii="Times New Roman" w:hAnsi="Times New Roman" w:cs="Times New Roman"/>
          <w:sz w:val="24"/>
          <w:szCs w:val="24"/>
        </w:rPr>
        <w:t>who</w:t>
      </w:r>
      <w:r w:rsidR="00BB7B6F" w:rsidRPr="003F2B45">
        <w:rPr>
          <w:rFonts w:ascii="Times New Roman" w:hAnsi="Times New Roman" w:cs="Times New Roman"/>
          <w:sz w:val="24"/>
          <w:szCs w:val="24"/>
        </w:rPr>
        <w:t xml:space="preserve"> favour high portfolio turnover, </w:t>
      </w:r>
      <w:r w:rsidR="001F7173">
        <w:rPr>
          <w:rFonts w:ascii="Times New Roman" w:hAnsi="Times New Roman" w:cs="Times New Roman"/>
          <w:sz w:val="24"/>
          <w:szCs w:val="24"/>
        </w:rPr>
        <w:t>invest for the</w:t>
      </w:r>
      <w:r w:rsidR="00BB7B6F" w:rsidRPr="003F2B45">
        <w:rPr>
          <w:rFonts w:ascii="Times New Roman" w:hAnsi="Times New Roman" w:cs="Times New Roman"/>
          <w:sz w:val="24"/>
          <w:szCs w:val="24"/>
        </w:rPr>
        <w:t xml:space="preserve"> short-term and engage in momentum trading are less inclined to commit resources to monitor managers at target firms (Bushee, 1998). To</w:t>
      </w:r>
      <w:r w:rsidR="000B67CC" w:rsidRPr="003F2B45">
        <w:rPr>
          <w:rFonts w:ascii="Times New Roman" w:hAnsi="Times New Roman" w:cs="Times New Roman"/>
          <w:sz w:val="24"/>
          <w:szCs w:val="24"/>
        </w:rPr>
        <w:t xml:space="preserve"> the extent that payment of dividend </w:t>
      </w:r>
      <w:r w:rsidR="00E632A9" w:rsidRPr="003F2B45">
        <w:rPr>
          <w:rFonts w:ascii="Times New Roman" w:hAnsi="Times New Roman" w:cs="Times New Roman"/>
          <w:sz w:val="24"/>
          <w:szCs w:val="24"/>
        </w:rPr>
        <w:t>achieves</w:t>
      </w:r>
      <w:r w:rsidR="000B67CC" w:rsidRPr="003F2B45">
        <w:rPr>
          <w:rFonts w:ascii="Times New Roman" w:hAnsi="Times New Roman" w:cs="Times New Roman"/>
          <w:sz w:val="24"/>
          <w:szCs w:val="24"/>
        </w:rPr>
        <w:t xml:space="preserve"> a disciplinary </w:t>
      </w:r>
      <w:r w:rsidR="00894476" w:rsidRPr="003F2B45">
        <w:rPr>
          <w:rFonts w:ascii="Times New Roman" w:hAnsi="Times New Roman" w:cs="Times New Roman"/>
          <w:sz w:val="24"/>
          <w:szCs w:val="24"/>
        </w:rPr>
        <w:t>function</w:t>
      </w:r>
      <w:r w:rsidR="000B67CC" w:rsidRPr="003F2B45">
        <w:rPr>
          <w:rFonts w:ascii="Times New Roman" w:hAnsi="Times New Roman" w:cs="Times New Roman"/>
          <w:sz w:val="24"/>
          <w:szCs w:val="24"/>
        </w:rPr>
        <w:t xml:space="preserve">, then these companies </w:t>
      </w:r>
      <w:r w:rsidR="00EB2793">
        <w:rPr>
          <w:rFonts w:ascii="Times New Roman" w:hAnsi="Times New Roman" w:cs="Times New Roman"/>
          <w:sz w:val="24"/>
          <w:szCs w:val="24"/>
        </w:rPr>
        <w:t>do not have to make those</w:t>
      </w:r>
      <w:r w:rsidR="00E632A9" w:rsidRPr="003F2B45">
        <w:rPr>
          <w:rFonts w:ascii="Times New Roman" w:hAnsi="Times New Roman" w:cs="Times New Roman"/>
          <w:sz w:val="24"/>
          <w:szCs w:val="24"/>
        </w:rPr>
        <w:t xml:space="preserve"> payments</w:t>
      </w:r>
      <w:r w:rsidR="000B67CC" w:rsidRPr="003F2B45">
        <w:rPr>
          <w:rFonts w:ascii="Times New Roman" w:hAnsi="Times New Roman" w:cs="Times New Roman"/>
          <w:sz w:val="24"/>
          <w:szCs w:val="24"/>
        </w:rPr>
        <w:t>.</w:t>
      </w:r>
      <w:r w:rsidR="00B463EB" w:rsidRPr="003F2B45">
        <w:rPr>
          <w:rFonts w:ascii="Times New Roman" w:hAnsi="Times New Roman" w:cs="Times New Roman"/>
          <w:sz w:val="24"/>
          <w:szCs w:val="24"/>
        </w:rPr>
        <w:t xml:space="preserve"> </w:t>
      </w:r>
      <w:r w:rsidR="00E632A9" w:rsidRPr="003F2B45">
        <w:rPr>
          <w:rFonts w:ascii="Times New Roman" w:hAnsi="Times New Roman" w:cs="Times New Roman"/>
          <w:sz w:val="24"/>
          <w:szCs w:val="24"/>
        </w:rPr>
        <w:t xml:space="preserve">It is plausible that companies that exhibit </w:t>
      </w:r>
      <w:r w:rsidR="00967FBC">
        <w:rPr>
          <w:rFonts w:ascii="Times New Roman" w:hAnsi="Times New Roman" w:cs="Times New Roman"/>
          <w:sz w:val="24"/>
          <w:szCs w:val="24"/>
        </w:rPr>
        <w:t>a</w:t>
      </w:r>
      <w:r w:rsidR="00967FBC" w:rsidRPr="003F2B45">
        <w:rPr>
          <w:rFonts w:ascii="Times New Roman" w:hAnsi="Times New Roman" w:cs="Times New Roman"/>
          <w:sz w:val="24"/>
          <w:szCs w:val="24"/>
        </w:rPr>
        <w:t xml:space="preserve"> large</w:t>
      </w:r>
      <w:r w:rsidR="00E632A9" w:rsidRPr="003F2B45">
        <w:rPr>
          <w:rFonts w:ascii="Times New Roman" w:hAnsi="Times New Roman" w:cs="Times New Roman"/>
          <w:sz w:val="24"/>
          <w:szCs w:val="24"/>
        </w:rPr>
        <w:t xml:space="preserve"> volatility in the shareholdings of institutional investors</w:t>
      </w:r>
      <w:r w:rsidR="00D95713">
        <w:rPr>
          <w:rFonts w:ascii="Times New Roman" w:hAnsi="Times New Roman" w:cs="Times New Roman"/>
          <w:sz w:val="24"/>
          <w:szCs w:val="24"/>
        </w:rPr>
        <w:t>—</w:t>
      </w:r>
      <w:r w:rsidR="00E632A9" w:rsidRPr="003F2B45">
        <w:rPr>
          <w:rFonts w:ascii="Times New Roman" w:hAnsi="Times New Roman" w:cs="Times New Roman"/>
          <w:sz w:val="24"/>
          <w:szCs w:val="24"/>
        </w:rPr>
        <w:t>a sign of short-termism</w:t>
      </w:r>
      <w:r w:rsidR="00D95713">
        <w:rPr>
          <w:rFonts w:ascii="Times New Roman" w:hAnsi="Times New Roman" w:cs="Times New Roman"/>
          <w:sz w:val="24"/>
          <w:szCs w:val="24"/>
        </w:rPr>
        <w:t>—</w:t>
      </w:r>
      <w:r w:rsidR="00E632A9" w:rsidRPr="003F2B45">
        <w:rPr>
          <w:rFonts w:ascii="Times New Roman" w:hAnsi="Times New Roman" w:cs="Times New Roman"/>
          <w:sz w:val="24"/>
          <w:szCs w:val="24"/>
        </w:rPr>
        <w:t xml:space="preserve">do not pay dividend. </w:t>
      </w:r>
    </w:p>
    <w:p w14:paraId="1CEAE95F" w14:textId="09C87E2D" w:rsidR="002B70C8" w:rsidRDefault="001F7173"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Besides</w:t>
      </w:r>
      <w:r w:rsidR="00A42D52" w:rsidRPr="003F2B45">
        <w:rPr>
          <w:rFonts w:ascii="Times New Roman" w:hAnsi="Times New Roman" w:cs="Times New Roman"/>
          <w:sz w:val="24"/>
          <w:szCs w:val="24"/>
        </w:rPr>
        <w:t>, granted that dividend acts as a draw for institutional investors</w:t>
      </w:r>
      <w:r w:rsidR="003514BD" w:rsidRPr="003F2B45">
        <w:rPr>
          <w:rFonts w:ascii="Times New Roman" w:hAnsi="Times New Roman" w:cs="Times New Roman"/>
          <w:sz w:val="24"/>
          <w:szCs w:val="24"/>
        </w:rPr>
        <w:t xml:space="preserve"> (</w:t>
      </w:r>
      <w:r>
        <w:rPr>
          <w:rFonts w:ascii="Times New Roman" w:hAnsi="Times New Roman" w:cs="Times New Roman"/>
          <w:sz w:val="24"/>
          <w:szCs w:val="24"/>
        </w:rPr>
        <w:t xml:space="preserve">consistent with </w:t>
      </w:r>
      <w:r w:rsidR="003514BD" w:rsidRPr="003F2B45">
        <w:rPr>
          <w:rFonts w:ascii="Times New Roman" w:hAnsi="Times New Roman" w:cs="Times New Roman"/>
          <w:sz w:val="24"/>
          <w:szCs w:val="24"/>
        </w:rPr>
        <w:t>the clientele effect of dividend policy)</w:t>
      </w:r>
      <w:r w:rsidR="00A42D52" w:rsidRPr="003F2B45">
        <w:rPr>
          <w:rFonts w:ascii="Times New Roman" w:hAnsi="Times New Roman" w:cs="Times New Roman"/>
          <w:sz w:val="24"/>
          <w:szCs w:val="24"/>
        </w:rPr>
        <w:t>, there should be little volatility in their shareholdings at dividend paying firms.</w:t>
      </w:r>
      <w:r w:rsidR="003514BD" w:rsidRPr="003F2B45">
        <w:rPr>
          <w:rFonts w:ascii="Times New Roman" w:hAnsi="Times New Roman" w:cs="Times New Roman"/>
          <w:sz w:val="24"/>
          <w:szCs w:val="24"/>
        </w:rPr>
        <w:t xml:space="preserve"> </w:t>
      </w:r>
      <w:r w:rsidR="00967FBC" w:rsidRPr="00967FBC">
        <w:rPr>
          <w:rFonts w:ascii="Times New Roman" w:hAnsi="Times New Roman" w:cs="Times New Roman"/>
          <w:sz w:val="24"/>
          <w:szCs w:val="24"/>
        </w:rPr>
        <w:t>Correspondingly</w:t>
      </w:r>
      <w:r w:rsidR="003514BD" w:rsidRPr="003F2B45">
        <w:rPr>
          <w:rFonts w:ascii="Times New Roman" w:hAnsi="Times New Roman" w:cs="Times New Roman"/>
          <w:sz w:val="24"/>
          <w:szCs w:val="24"/>
        </w:rPr>
        <w:t xml:space="preserve">, we should observe a direct association between dividends and the persistence in the shareholdings </w:t>
      </w:r>
      <w:r w:rsidR="00BF3325">
        <w:rPr>
          <w:rFonts w:ascii="Times New Roman" w:hAnsi="Times New Roman" w:cs="Times New Roman"/>
          <w:sz w:val="24"/>
          <w:szCs w:val="24"/>
        </w:rPr>
        <w:t>of the</w:t>
      </w:r>
      <w:r w:rsidR="003514BD" w:rsidRPr="003F2B45">
        <w:rPr>
          <w:rFonts w:ascii="Times New Roman" w:hAnsi="Times New Roman" w:cs="Times New Roman"/>
          <w:sz w:val="24"/>
          <w:szCs w:val="24"/>
        </w:rPr>
        <w:t xml:space="preserve"> institutional investors. </w:t>
      </w:r>
      <w:r w:rsidR="00335A96" w:rsidRPr="003F2B45">
        <w:rPr>
          <w:rFonts w:ascii="Times New Roman" w:hAnsi="Times New Roman" w:cs="Times New Roman"/>
          <w:sz w:val="24"/>
          <w:szCs w:val="24"/>
        </w:rPr>
        <w:t xml:space="preserve">Long-term stable institutional investors who act more as “owners” than “traders” will advocate for tools that serve to discipline managers, </w:t>
      </w:r>
      <w:r w:rsidR="00BF3325" w:rsidRPr="003F2B45">
        <w:rPr>
          <w:rFonts w:ascii="Times New Roman" w:hAnsi="Times New Roman" w:cs="Times New Roman"/>
          <w:sz w:val="24"/>
          <w:szCs w:val="24"/>
        </w:rPr>
        <w:t>such as</w:t>
      </w:r>
      <w:r w:rsidR="00335A96" w:rsidRPr="003F2B45">
        <w:rPr>
          <w:rFonts w:ascii="Times New Roman" w:hAnsi="Times New Roman" w:cs="Times New Roman"/>
          <w:sz w:val="24"/>
          <w:szCs w:val="24"/>
        </w:rPr>
        <w:t xml:space="preserve">, the payment of dividend. </w:t>
      </w:r>
    </w:p>
    <w:p w14:paraId="26CDB218" w14:textId="4EB59D0F" w:rsidR="004F15BB" w:rsidRPr="003F2B45" w:rsidRDefault="002B70C8" w:rsidP="00C00962">
      <w:pPr>
        <w:spacing w:line="480" w:lineRule="auto"/>
        <w:ind w:firstLine="720"/>
        <w:rPr>
          <w:rFonts w:ascii="Times New Roman" w:hAnsi="Times New Roman" w:cs="Times New Roman"/>
          <w:sz w:val="24"/>
          <w:szCs w:val="24"/>
        </w:rPr>
      </w:pPr>
      <w:r w:rsidRPr="002B70C8">
        <w:rPr>
          <w:rFonts w:ascii="Times New Roman" w:hAnsi="Times New Roman" w:cs="Times New Roman"/>
          <w:sz w:val="24"/>
          <w:szCs w:val="24"/>
        </w:rPr>
        <w:t xml:space="preserve">Gaspar, Masso, Matos, Patgiri, and Rehman (2012) analyse the relationship between payout policy and shareholder investment horizons. These authors infer institutional shareholders’ investment horizons using the churn rate of their overall stock portfolios prior to the payout decision. The lower the institutional shareholders’ portfolio turnover, the longer their investment horizons and the higher the stability and the persistence of their shareholdings. </w:t>
      </w:r>
      <w:r>
        <w:rPr>
          <w:rFonts w:ascii="Times New Roman" w:hAnsi="Times New Roman" w:cs="Times New Roman"/>
          <w:sz w:val="24"/>
          <w:szCs w:val="24"/>
        </w:rPr>
        <w:t>They</w:t>
      </w:r>
      <w:r w:rsidRPr="002B70C8">
        <w:rPr>
          <w:rFonts w:ascii="Times New Roman" w:hAnsi="Times New Roman" w:cs="Times New Roman"/>
          <w:sz w:val="24"/>
          <w:szCs w:val="24"/>
        </w:rPr>
        <w:t xml:space="preserve"> find that the frequency and amount of repurchases </w:t>
      </w:r>
      <w:r w:rsidR="00C00962">
        <w:rPr>
          <w:rFonts w:ascii="Times New Roman" w:hAnsi="Times New Roman" w:cs="Times New Roman"/>
          <w:sz w:val="24"/>
          <w:szCs w:val="24"/>
        </w:rPr>
        <w:t xml:space="preserve">― </w:t>
      </w:r>
      <w:r w:rsidR="00C00962" w:rsidRPr="00C00962">
        <w:rPr>
          <w:rFonts w:ascii="Times New Roman" w:hAnsi="Times New Roman" w:cs="Times New Roman"/>
          <w:sz w:val="24"/>
          <w:szCs w:val="24"/>
        </w:rPr>
        <w:t xml:space="preserve">to the detriment of dividends </w:t>
      </w:r>
      <w:r w:rsidR="00C00962">
        <w:rPr>
          <w:rFonts w:ascii="Times New Roman" w:hAnsi="Times New Roman" w:cs="Times New Roman"/>
          <w:sz w:val="24"/>
          <w:szCs w:val="24"/>
        </w:rPr>
        <w:t xml:space="preserve">― </w:t>
      </w:r>
      <w:r>
        <w:rPr>
          <w:rFonts w:ascii="Times New Roman" w:hAnsi="Times New Roman" w:cs="Times New Roman"/>
          <w:sz w:val="24"/>
          <w:szCs w:val="24"/>
        </w:rPr>
        <w:t>increase</w:t>
      </w:r>
      <w:r w:rsidRPr="002B70C8">
        <w:rPr>
          <w:rFonts w:ascii="Times New Roman" w:hAnsi="Times New Roman" w:cs="Times New Roman"/>
          <w:sz w:val="24"/>
          <w:szCs w:val="24"/>
        </w:rPr>
        <w:t xml:space="preserve"> with ownership by short-term investors</w:t>
      </w:r>
      <w:r w:rsidR="00C00962">
        <w:rPr>
          <w:rFonts w:ascii="Times New Roman" w:hAnsi="Times New Roman" w:cs="Times New Roman"/>
          <w:sz w:val="24"/>
          <w:szCs w:val="24"/>
        </w:rPr>
        <w:t>. Based on this finding, we would expect long-term institutional investors to be associated with dividend-paying firms.</w:t>
      </w:r>
      <w:r w:rsidRPr="002B70C8">
        <w:rPr>
          <w:rFonts w:ascii="Times New Roman" w:hAnsi="Times New Roman" w:cs="Times New Roman"/>
          <w:sz w:val="24"/>
          <w:szCs w:val="24"/>
        </w:rPr>
        <w:t xml:space="preserve"> </w:t>
      </w:r>
      <w:r w:rsidR="00C00962">
        <w:rPr>
          <w:rFonts w:ascii="Times New Roman" w:hAnsi="Times New Roman" w:cs="Times New Roman"/>
          <w:sz w:val="24"/>
          <w:szCs w:val="24"/>
        </w:rPr>
        <w:t xml:space="preserve">Gapsar </w:t>
      </w:r>
      <w:r w:rsidR="00C00962" w:rsidRPr="006E0A4F">
        <w:rPr>
          <w:rFonts w:ascii="Times New Roman" w:hAnsi="Times New Roman" w:cs="Times New Roman"/>
          <w:i/>
          <w:sz w:val="24"/>
          <w:szCs w:val="24"/>
        </w:rPr>
        <w:t>et al</w:t>
      </w:r>
      <w:r w:rsidR="00C00962">
        <w:rPr>
          <w:rFonts w:ascii="Times New Roman" w:hAnsi="Times New Roman" w:cs="Times New Roman"/>
          <w:sz w:val="24"/>
          <w:szCs w:val="24"/>
        </w:rPr>
        <w:t>. (2012)</w:t>
      </w:r>
      <w:r w:rsidR="00C00962" w:rsidRPr="002B70C8">
        <w:rPr>
          <w:rFonts w:ascii="Times New Roman" w:hAnsi="Times New Roman" w:cs="Times New Roman"/>
          <w:sz w:val="24"/>
          <w:szCs w:val="24"/>
        </w:rPr>
        <w:t xml:space="preserve"> </w:t>
      </w:r>
      <w:r w:rsidRPr="002B70C8">
        <w:rPr>
          <w:rFonts w:ascii="Times New Roman" w:hAnsi="Times New Roman" w:cs="Times New Roman"/>
          <w:sz w:val="24"/>
          <w:szCs w:val="24"/>
        </w:rPr>
        <w:t xml:space="preserve">find that ownership stakes of long-term institutional investors are associated with higher likelihoods of both dividend payments and share repurchases, whereas the ownership of short-term institutional investors is negatively associated with dividend payments, but positively associated with repurchases. </w:t>
      </w:r>
      <w:r w:rsidR="00C00962">
        <w:rPr>
          <w:rFonts w:ascii="Times New Roman" w:hAnsi="Times New Roman" w:cs="Times New Roman"/>
          <w:sz w:val="24"/>
          <w:szCs w:val="24"/>
        </w:rPr>
        <w:t>Their findings</w:t>
      </w:r>
      <w:r w:rsidRPr="002B70C8">
        <w:rPr>
          <w:rFonts w:ascii="Times New Roman" w:hAnsi="Times New Roman" w:cs="Times New Roman"/>
          <w:sz w:val="24"/>
          <w:szCs w:val="24"/>
        </w:rPr>
        <w:t xml:space="preserve"> are consistent with the notion that long-term investors </w:t>
      </w:r>
      <w:r w:rsidR="00C00962" w:rsidRPr="002B70C8">
        <w:rPr>
          <w:rFonts w:ascii="Times New Roman" w:hAnsi="Times New Roman" w:cs="Times New Roman"/>
          <w:sz w:val="24"/>
          <w:szCs w:val="24"/>
        </w:rPr>
        <w:t>have</w:t>
      </w:r>
      <w:r w:rsidR="00C00962">
        <w:rPr>
          <w:rFonts w:ascii="Times New Roman" w:hAnsi="Times New Roman" w:cs="Times New Roman"/>
          <w:sz w:val="24"/>
          <w:szCs w:val="24"/>
        </w:rPr>
        <w:t xml:space="preserve"> superior</w:t>
      </w:r>
      <w:r w:rsidRPr="002B70C8">
        <w:rPr>
          <w:rFonts w:ascii="Times New Roman" w:hAnsi="Times New Roman" w:cs="Times New Roman"/>
          <w:sz w:val="24"/>
          <w:szCs w:val="24"/>
        </w:rPr>
        <w:t xml:space="preserve"> monitoring abilities (Gaspar, Massa, and Matos, 2005; Chen, Harford, and Li, 2007).</w:t>
      </w:r>
    </w:p>
    <w:p w14:paraId="7DCA9576" w14:textId="15AC75C3" w:rsidR="006835F7" w:rsidRPr="003F2B45" w:rsidRDefault="009C2B02" w:rsidP="002B70C8">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There </w:t>
      </w:r>
      <w:r w:rsidR="00B5708E" w:rsidRPr="003F2B45">
        <w:rPr>
          <w:rFonts w:ascii="Times New Roman" w:hAnsi="Times New Roman" w:cs="Times New Roman"/>
          <w:sz w:val="24"/>
          <w:szCs w:val="24"/>
        </w:rPr>
        <w:t>is</w:t>
      </w:r>
      <w:r w:rsidRPr="003F2B45">
        <w:rPr>
          <w:rFonts w:ascii="Times New Roman" w:hAnsi="Times New Roman" w:cs="Times New Roman"/>
          <w:sz w:val="24"/>
          <w:szCs w:val="24"/>
        </w:rPr>
        <w:t xml:space="preserve"> a strong desire among managers to maintain dividend payments and engage in dividend smoothing. That was true </w:t>
      </w:r>
      <w:r w:rsidR="0024560D" w:rsidRPr="003F2B45">
        <w:rPr>
          <w:rFonts w:ascii="Times New Roman" w:hAnsi="Times New Roman" w:cs="Times New Roman"/>
          <w:sz w:val="24"/>
          <w:szCs w:val="24"/>
        </w:rPr>
        <w:t>decades ago</w:t>
      </w:r>
      <w:r w:rsidRPr="003F2B45">
        <w:rPr>
          <w:rFonts w:ascii="Times New Roman" w:hAnsi="Times New Roman" w:cs="Times New Roman"/>
          <w:sz w:val="24"/>
          <w:szCs w:val="24"/>
        </w:rPr>
        <w:t xml:space="preserve"> (Lintner (1956)) and is still true in the 21</w:t>
      </w:r>
      <w:r w:rsidRPr="003F2B45">
        <w:rPr>
          <w:rFonts w:ascii="Times New Roman" w:hAnsi="Times New Roman" w:cs="Times New Roman"/>
          <w:sz w:val="24"/>
          <w:szCs w:val="24"/>
          <w:vertAlign w:val="superscript"/>
        </w:rPr>
        <w:t>st</w:t>
      </w:r>
      <w:r w:rsidRPr="003F2B45">
        <w:rPr>
          <w:rFonts w:ascii="Times New Roman" w:hAnsi="Times New Roman" w:cs="Times New Roman"/>
          <w:sz w:val="24"/>
          <w:szCs w:val="24"/>
        </w:rPr>
        <w:t xml:space="preserve"> century (Brav, Graham, Harvey and Michaely (2005)). </w:t>
      </w:r>
      <w:r w:rsidR="002B70C8" w:rsidRPr="002B70C8">
        <w:rPr>
          <w:rFonts w:ascii="Times New Roman" w:hAnsi="Times New Roman" w:cs="Times New Roman"/>
          <w:sz w:val="24"/>
          <w:szCs w:val="24"/>
        </w:rPr>
        <w:t xml:space="preserve">Leary and Michaely (2011) find that dividend smoothing is most pronounced among firms with high agency costs, high dividend levels, and high institutional holdings consistent with the agency-based explanations of Easterbrook (1984), Jensen (1986), and Allen </w:t>
      </w:r>
      <w:r w:rsidR="002B70C8" w:rsidRPr="00A93133">
        <w:rPr>
          <w:rFonts w:ascii="Times New Roman" w:hAnsi="Times New Roman" w:cs="Times New Roman"/>
          <w:i/>
          <w:sz w:val="24"/>
          <w:szCs w:val="24"/>
        </w:rPr>
        <w:t>et al</w:t>
      </w:r>
      <w:r w:rsidR="002B70C8" w:rsidRPr="002B70C8">
        <w:rPr>
          <w:rFonts w:ascii="Times New Roman" w:hAnsi="Times New Roman" w:cs="Times New Roman"/>
          <w:sz w:val="24"/>
          <w:szCs w:val="24"/>
        </w:rPr>
        <w:t xml:space="preserve">. (2000). </w:t>
      </w:r>
      <w:r w:rsidRPr="003F2B45">
        <w:rPr>
          <w:rFonts w:ascii="Times New Roman" w:hAnsi="Times New Roman" w:cs="Times New Roman"/>
          <w:sz w:val="24"/>
          <w:szCs w:val="24"/>
        </w:rPr>
        <w:t xml:space="preserve">Brav </w:t>
      </w:r>
      <w:r w:rsidRPr="00485BCC">
        <w:rPr>
          <w:rFonts w:ascii="Times New Roman" w:hAnsi="Times New Roman" w:cs="Times New Roman"/>
          <w:i/>
          <w:sz w:val="24"/>
          <w:szCs w:val="24"/>
        </w:rPr>
        <w:t>et al</w:t>
      </w:r>
      <w:r w:rsidRPr="003F2B45">
        <w:rPr>
          <w:rFonts w:ascii="Times New Roman" w:hAnsi="Times New Roman" w:cs="Times New Roman"/>
          <w:sz w:val="24"/>
          <w:szCs w:val="24"/>
        </w:rPr>
        <w:t xml:space="preserve">. (2005) find that demands by institutional investors induce nonpayers to initiate dividend payments. </w:t>
      </w:r>
      <w:r w:rsidR="006835F7" w:rsidRPr="003F2B45">
        <w:rPr>
          <w:rFonts w:ascii="Times New Roman" w:hAnsi="Times New Roman" w:cs="Times New Roman"/>
          <w:sz w:val="24"/>
          <w:szCs w:val="24"/>
        </w:rPr>
        <w:t xml:space="preserve">Thus, a company that cannot maintain its dividend or adopts an inconsistent dividend policy causes great disruption to </w:t>
      </w:r>
      <w:r w:rsidR="00B5708E">
        <w:rPr>
          <w:rFonts w:ascii="Times New Roman" w:hAnsi="Times New Roman" w:cs="Times New Roman"/>
          <w:sz w:val="24"/>
          <w:szCs w:val="24"/>
        </w:rPr>
        <w:t>the</w:t>
      </w:r>
      <w:r w:rsidR="00B5708E" w:rsidRPr="003F2B45">
        <w:rPr>
          <w:rFonts w:ascii="Times New Roman" w:hAnsi="Times New Roman" w:cs="Times New Roman"/>
          <w:sz w:val="24"/>
          <w:szCs w:val="24"/>
        </w:rPr>
        <w:t xml:space="preserve"> institutional</w:t>
      </w:r>
      <w:r w:rsidR="006835F7" w:rsidRPr="003F2B45">
        <w:rPr>
          <w:rFonts w:ascii="Times New Roman" w:hAnsi="Times New Roman" w:cs="Times New Roman"/>
          <w:sz w:val="24"/>
          <w:szCs w:val="24"/>
        </w:rPr>
        <w:t xml:space="preserve"> investors. We test the hypothesis that institutional investors shun away companies with irregular dividend payments.</w:t>
      </w:r>
    </w:p>
    <w:p w14:paraId="2F499EAF" w14:textId="77777777" w:rsidR="00467DF5" w:rsidRPr="003F2B45" w:rsidRDefault="00312F4E"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 xml:space="preserve">III. </w:t>
      </w:r>
      <w:r w:rsidR="00467DF5" w:rsidRPr="003F2B45">
        <w:rPr>
          <w:rFonts w:ascii="Times New Roman" w:hAnsi="Times New Roman" w:cs="Times New Roman"/>
          <w:b/>
          <w:sz w:val="24"/>
          <w:szCs w:val="24"/>
        </w:rPr>
        <w:t xml:space="preserve">Data and </w:t>
      </w:r>
      <w:r w:rsidRPr="003F2B45">
        <w:rPr>
          <w:rFonts w:ascii="Times New Roman" w:hAnsi="Times New Roman" w:cs="Times New Roman"/>
          <w:b/>
          <w:sz w:val="24"/>
          <w:szCs w:val="24"/>
        </w:rPr>
        <w:t>Sample</w:t>
      </w:r>
    </w:p>
    <w:p w14:paraId="1ECAC941" w14:textId="5DB0723D" w:rsidR="00077259" w:rsidRPr="003F2B45" w:rsidRDefault="00AF10A6"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Our sample includes 205,847 firm-year observations covering 21,531 firms </w:t>
      </w:r>
      <w:r w:rsidR="00C95D97" w:rsidRPr="003F2B45">
        <w:rPr>
          <w:rFonts w:ascii="Times New Roman" w:hAnsi="Times New Roman" w:cs="Times New Roman"/>
          <w:sz w:val="24"/>
          <w:szCs w:val="24"/>
        </w:rPr>
        <w:t>from the COMPUSTAT database</w:t>
      </w:r>
      <w:r w:rsidR="004D0B31">
        <w:rPr>
          <w:rFonts w:ascii="Times New Roman" w:hAnsi="Times New Roman" w:cs="Times New Roman"/>
          <w:sz w:val="24"/>
          <w:szCs w:val="24"/>
        </w:rPr>
        <w:t>. The sample period starts in</w:t>
      </w:r>
      <w:r w:rsidRPr="003F2B45">
        <w:rPr>
          <w:rFonts w:ascii="Times New Roman" w:hAnsi="Times New Roman" w:cs="Times New Roman"/>
          <w:sz w:val="24"/>
          <w:szCs w:val="24"/>
        </w:rPr>
        <w:t xml:space="preserve"> 1980 </w:t>
      </w:r>
      <w:r w:rsidR="0098027D" w:rsidRPr="003F2B45">
        <w:rPr>
          <w:rFonts w:ascii="Times New Roman" w:hAnsi="Times New Roman" w:cs="Times New Roman"/>
          <w:sz w:val="24"/>
          <w:szCs w:val="24"/>
        </w:rPr>
        <w:t>and</w:t>
      </w:r>
      <w:r w:rsidR="004D0B31">
        <w:rPr>
          <w:rFonts w:ascii="Times New Roman" w:hAnsi="Times New Roman" w:cs="Times New Roman"/>
          <w:sz w:val="24"/>
          <w:szCs w:val="24"/>
        </w:rPr>
        <w:t xml:space="preserve"> ends in</w:t>
      </w:r>
      <w:r w:rsidRPr="003F2B45">
        <w:rPr>
          <w:rFonts w:ascii="Times New Roman" w:hAnsi="Times New Roman" w:cs="Times New Roman"/>
          <w:sz w:val="24"/>
          <w:szCs w:val="24"/>
        </w:rPr>
        <w:t xml:space="preserve"> 2013. We </w:t>
      </w:r>
      <w:r w:rsidR="0098027D" w:rsidRPr="003F2B45">
        <w:rPr>
          <w:rFonts w:ascii="Times New Roman" w:hAnsi="Times New Roman" w:cs="Times New Roman"/>
          <w:sz w:val="24"/>
          <w:szCs w:val="24"/>
        </w:rPr>
        <w:t xml:space="preserve">exclude financial and utility firms (i.e., SIC codes 6000-6999 and 4900-4999, respectively) as they are regulated firms. </w:t>
      </w:r>
      <w:r w:rsidR="00CC34E3" w:rsidRPr="003F2B45">
        <w:rPr>
          <w:rFonts w:ascii="Times New Roman" w:hAnsi="Times New Roman" w:cs="Times New Roman"/>
          <w:sz w:val="24"/>
          <w:szCs w:val="24"/>
        </w:rPr>
        <w:t>Data</w:t>
      </w:r>
      <w:r w:rsidR="00D61CD2" w:rsidRPr="003F2B45">
        <w:rPr>
          <w:rFonts w:ascii="Times New Roman" w:hAnsi="Times New Roman" w:cs="Times New Roman"/>
          <w:sz w:val="24"/>
          <w:szCs w:val="24"/>
        </w:rPr>
        <w:t xml:space="preserve"> </w:t>
      </w:r>
      <w:r w:rsidR="00CC34E3">
        <w:rPr>
          <w:rFonts w:ascii="Times New Roman" w:hAnsi="Times New Roman" w:cs="Times New Roman"/>
          <w:sz w:val="24"/>
          <w:szCs w:val="24"/>
        </w:rPr>
        <w:t>on</w:t>
      </w:r>
      <w:r w:rsidR="00077259" w:rsidRPr="003F2B45">
        <w:rPr>
          <w:rFonts w:ascii="Times New Roman" w:hAnsi="Times New Roman" w:cs="Times New Roman"/>
          <w:sz w:val="24"/>
          <w:szCs w:val="24"/>
        </w:rPr>
        <w:t xml:space="preserve"> quarterly institutional stock holdings for U.S. </w:t>
      </w:r>
      <w:r w:rsidR="00D61CD2" w:rsidRPr="003F2B45">
        <w:rPr>
          <w:rFonts w:ascii="Times New Roman" w:hAnsi="Times New Roman" w:cs="Times New Roman"/>
          <w:sz w:val="24"/>
          <w:szCs w:val="24"/>
        </w:rPr>
        <w:t xml:space="preserve">publicly traded </w:t>
      </w:r>
      <w:r w:rsidR="00077259" w:rsidRPr="003F2B45">
        <w:rPr>
          <w:rFonts w:ascii="Times New Roman" w:hAnsi="Times New Roman" w:cs="Times New Roman"/>
          <w:sz w:val="24"/>
          <w:szCs w:val="24"/>
        </w:rPr>
        <w:t>firm</w:t>
      </w:r>
      <w:r w:rsidR="00D61CD2" w:rsidRPr="003F2B45">
        <w:rPr>
          <w:rFonts w:ascii="Times New Roman" w:hAnsi="Times New Roman" w:cs="Times New Roman"/>
          <w:sz w:val="24"/>
          <w:szCs w:val="24"/>
        </w:rPr>
        <w:t>s</w:t>
      </w:r>
      <w:r w:rsidR="00077259" w:rsidRPr="003F2B45">
        <w:rPr>
          <w:rFonts w:ascii="Times New Roman" w:hAnsi="Times New Roman" w:cs="Times New Roman"/>
          <w:sz w:val="24"/>
          <w:szCs w:val="24"/>
        </w:rPr>
        <w:t xml:space="preserve"> </w:t>
      </w:r>
      <w:r w:rsidR="00CC34E3">
        <w:rPr>
          <w:rFonts w:ascii="Times New Roman" w:hAnsi="Times New Roman" w:cs="Times New Roman"/>
          <w:sz w:val="24"/>
          <w:szCs w:val="24"/>
        </w:rPr>
        <w:t>are</w:t>
      </w:r>
      <w:r w:rsidR="00D61CD2" w:rsidRPr="003F2B45">
        <w:rPr>
          <w:rFonts w:ascii="Times New Roman" w:hAnsi="Times New Roman" w:cs="Times New Roman"/>
          <w:sz w:val="24"/>
          <w:szCs w:val="24"/>
        </w:rPr>
        <w:t xml:space="preserve"> obtained from</w:t>
      </w:r>
      <w:r w:rsidR="00077259" w:rsidRPr="003F2B45">
        <w:rPr>
          <w:rFonts w:ascii="Times New Roman" w:hAnsi="Times New Roman" w:cs="Times New Roman"/>
          <w:sz w:val="24"/>
          <w:szCs w:val="24"/>
        </w:rPr>
        <w:t xml:space="preserve"> the </w:t>
      </w:r>
      <w:r w:rsidR="00D61CD2" w:rsidRPr="003F2B45">
        <w:rPr>
          <w:rFonts w:ascii="Times New Roman" w:hAnsi="Times New Roman" w:cs="Times New Roman"/>
          <w:sz w:val="24"/>
          <w:szCs w:val="24"/>
        </w:rPr>
        <w:t xml:space="preserve">Thomson-Reuters Institutional Holdings (13F) database </w:t>
      </w:r>
      <w:r w:rsidR="00077259" w:rsidRPr="003F2B45">
        <w:rPr>
          <w:rFonts w:ascii="Times New Roman" w:hAnsi="Times New Roman" w:cs="Times New Roman"/>
          <w:sz w:val="24"/>
          <w:szCs w:val="24"/>
        </w:rPr>
        <w:t xml:space="preserve">(formerly known as CDA spectrum). </w:t>
      </w:r>
      <w:r w:rsidR="00D61CD2" w:rsidRPr="003F2B45">
        <w:rPr>
          <w:rFonts w:ascii="Times New Roman" w:hAnsi="Times New Roman" w:cs="Times New Roman"/>
          <w:sz w:val="24"/>
          <w:szCs w:val="24"/>
        </w:rPr>
        <w:t>The shareholdings data come from Form 13F filed by institutional managers</w:t>
      </w:r>
      <w:r w:rsidR="00D55D6D">
        <w:rPr>
          <w:rFonts w:ascii="Times New Roman" w:hAnsi="Times New Roman" w:cs="Times New Roman"/>
          <w:sz w:val="24"/>
          <w:szCs w:val="24"/>
        </w:rPr>
        <w:t>—</w:t>
      </w:r>
      <w:r w:rsidR="00D61CD2" w:rsidRPr="003F2B45">
        <w:rPr>
          <w:rFonts w:ascii="Times New Roman" w:hAnsi="Times New Roman" w:cs="Times New Roman"/>
          <w:sz w:val="24"/>
          <w:szCs w:val="24"/>
        </w:rPr>
        <w:t xml:space="preserve">with $100 million or more in </w:t>
      </w:r>
      <w:r w:rsidR="00CC34E3" w:rsidRPr="003F2B45">
        <w:rPr>
          <w:rFonts w:ascii="Times New Roman" w:hAnsi="Times New Roman" w:cs="Times New Roman"/>
          <w:sz w:val="24"/>
          <w:szCs w:val="24"/>
        </w:rPr>
        <w:t>assets under management</w:t>
      </w:r>
      <w:r w:rsidR="00D55D6D">
        <w:rPr>
          <w:rFonts w:ascii="Times New Roman" w:hAnsi="Times New Roman" w:cs="Times New Roman"/>
          <w:sz w:val="24"/>
          <w:szCs w:val="24"/>
        </w:rPr>
        <w:t>—</w:t>
      </w:r>
      <w:r w:rsidR="00D61CD2" w:rsidRPr="003F2B45">
        <w:rPr>
          <w:rFonts w:ascii="Times New Roman" w:hAnsi="Times New Roman" w:cs="Times New Roman"/>
          <w:sz w:val="24"/>
          <w:szCs w:val="24"/>
        </w:rPr>
        <w:t xml:space="preserve">with the </w:t>
      </w:r>
      <w:r w:rsidR="00CC34E3" w:rsidRPr="00CC34E3">
        <w:rPr>
          <w:rFonts w:ascii="Times New Roman" w:hAnsi="Times New Roman" w:cs="Times New Roman"/>
          <w:sz w:val="24"/>
          <w:szCs w:val="24"/>
        </w:rPr>
        <w:t xml:space="preserve">U.S. Securities and Exchange Commission </w:t>
      </w:r>
      <w:r w:rsidR="00CC34E3">
        <w:rPr>
          <w:rFonts w:ascii="Times New Roman" w:hAnsi="Times New Roman" w:cs="Times New Roman"/>
          <w:sz w:val="24"/>
          <w:szCs w:val="24"/>
        </w:rPr>
        <w:t>(</w:t>
      </w:r>
      <w:r w:rsidR="00D61CD2" w:rsidRPr="003F2B45">
        <w:rPr>
          <w:rFonts w:ascii="Times New Roman" w:hAnsi="Times New Roman" w:cs="Times New Roman"/>
          <w:sz w:val="24"/>
          <w:szCs w:val="24"/>
        </w:rPr>
        <w:t>SEC</w:t>
      </w:r>
      <w:r w:rsidR="00CC34E3">
        <w:rPr>
          <w:rFonts w:ascii="Times New Roman" w:hAnsi="Times New Roman" w:cs="Times New Roman"/>
          <w:sz w:val="24"/>
          <w:szCs w:val="24"/>
        </w:rPr>
        <w:t>)</w:t>
      </w:r>
      <w:r w:rsidR="00D61CD2" w:rsidRPr="003F2B45">
        <w:rPr>
          <w:rFonts w:ascii="Times New Roman" w:hAnsi="Times New Roman" w:cs="Times New Roman"/>
          <w:sz w:val="24"/>
          <w:szCs w:val="24"/>
        </w:rPr>
        <w:t xml:space="preserve">. The institutions include </w:t>
      </w:r>
      <w:r w:rsidR="00077259" w:rsidRPr="003F2B45">
        <w:rPr>
          <w:rFonts w:ascii="Times New Roman" w:hAnsi="Times New Roman" w:cs="Times New Roman"/>
          <w:sz w:val="24"/>
          <w:szCs w:val="24"/>
        </w:rPr>
        <w:t>bank trusts, insurance companies, investment companies (mutual funds), investment advisors (most of the large brokerage firms), and “others” (pension funds and endowments) (</w:t>
      </w:r>
      <w:r w:rsidR="00D11025">
        <w:rPr>
          <w:rFonts w:ascii="Times New Roman" w:hAnsi="Times New Roman" w:cs="Times New Roman"/>
          <w:sz w:val="24"/>
          <w:szCs w:val="24"/>
        </w:rPr>
        <w:t xml:space="preserve">also see </w:t>
      </w:r>
      <w:r w:rsidR="00077259" w:rsidRPr="003F2B45">
        <w:rPr>
          <w:rFonts w:ascii="Times New Roman" w:hAnsi="Times New Roman" w:cs="Times New Roman"/>
          <w:sz w:val="24"/>
          <w:szCs w:val="24"/>
        </w:rPr>
        <w:t>Grinstein and Michaely (2005)).</w:t>
      </w:r>
    </w:p>
    <w:p w14:paraId="64978E37" w14:textId="03C05E35" w:rsidR="00FF7AE8" w:rsidRPr="003F2B45" w:rsidRDefault="00FF7AE8" w:rsidP="004D0B31">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In Table 1, we present the sample distribution by industry using the Fama-French 12-</w:t>
      </w:r>
      <w:r w:rsidR="00875D41" w:rsidRPr="003F2B45">
        <w:rPr>
          <w:rFonts w:ascii="Times New Roman" w:hAnsi="Times New Roman" w:cs="Times New Roman"/>
          <w:sz w:val="24"/>
          <w:szCs w:val="24"/>
        </w:rPr>
        <w:t>sector</w:t>
      </w:r>
      <w:r w:rsidRPr="003F2B45">
        <w:rPr>
          <w:rFonts w:ascii="Times New Roman" w:hAnsi="Times New Roman" w:cs="Times New Roman"/>
          <w:sz w:val="24"/>
          <w:szCs w:val="24"/>
        </w:rPr>
        <w:t xml:space="preserve"> classification.</w:t>
      </w:r>
      <w:r w:rsidR="00312F4E" w:rsidRPr="003F2B45">
        <w:rPr>
          <w:rStyle w:val="FootnoteReference"/>
          <w:rFonts w:ascii="Times New Roman" w:hAnsi="Times New Roman" w:cs="Times New Roman"/>
          <w:sz w:val="24"/>
          <w:szCs w:val="24"/>
        </w:rPr>
        <w:footnoteReference w:id="1"/>
      </w:r>
      <w:r w:rsidRPr="003F2B45">
        <w:rPr>
          <w:rFonts w:ascii="Times New Roman" w:hAnsi="Times New Roman" w:cs="Times New Roman"/>
          <w:sz w:val="24"/>
          <w:szCs w:val="24"/>
        </w:rPr>
        <w:t xml:space="preserve"> Business equipment, shops and manufacturing dominate the sample representing 53.21% of the </w:t>
      </w:r>
      <w:r w:rsidR="004D0B31">
        <w:rPr>
          <w:rFonts w:ascii="Times New Roman" w:hAnsi="Times New Roman" w:cs="Times New Roman"/>
          <w:sz w:val="24"/>
          <w:szCs w:val="24"/>
        </w:rPr>
        <w:t xml:space="preserve">overall </w:t>
      </w:r>
      <w:r w:rsidRPr="003F2B45">
        <w:rPr>
          <w:rFonts w:ascii="Times New Roman" w:hAnsi="Times New Roman" w:cs="Times New Roman"/>
          <w:sz w:val="24"/>
          <w:szCs w:val="24"/>
        </w:rPr>
        <w:t xml:space="preserve">sample. </w:t>
      </w:r>
      <w:r w:rsidR="004D0B31">
        <w:rPr>
          <w:rFonts w:ascii="Times New Roman" w:hAnsi="Times New Roman" w:cs="Times New Roman"/>
          <w:sz w:val="24"/>
          <w:szCs w:val="24"/>
        </w:rPr>
        <w:t>101,698 and 56,962 firm-year observations consist of nonzero values for institutional ownership proportion and dividend payment, respectively.</w:t>
      </w:r>
      <w:r w:rsidR="00875D41" w:rsidRPr="003F2B45">
        <w:rPr>
          <w:rFonts w:ascii="Times New Roman" w:hAnsi="Times New Roman" w:cs="Times New Roman"/>
          <w:sz w:val="24"/>
          <w:szCs w:val="24"/>
        </w:rPr>
        <w:t xml:space="preserve"> </w:t>
      </w:r>
      <w:r w:rsidRPr="003F2B45">
        <w:rPr>
          <w:rFonts w:ascii="Times New Roman" w:hAnsi="Times New Roman" w:cs="Times New Roman"/>
          <w:sz w:val="24"/>
          <w:szCs w:val="24"/>
        </w:rPr>
        <w:t>Panel B contains the sample distribution by year</w:t>
      </w:r>
      <w:r w:rsidR="00875D41" w:rsidRPr="003F2B45">
        <w:rPr>
          <w:rFonts w:ascii="Times New Roman" w:hAnsi="Times New Roman" w:cs="Times New Roman"/>
          <w:sz w:val="24"/>
          <w:szCs w:val="24"/>
        </w:rPr>
        <w:t xml:space="preserve"> and </w:t>
      </w:r>
      <w:r w:rsidR="004D0B31">
        <w:rPr>
          <w:rFonts w:ascii="Times New Roman" w:hAnsi="Times New Roman" w:cs="Times New Roman"/>
          <w:sz w:val="24"/>
          <w:szCs w:val="24"/>
        </w:rPr>
        <w:t>we observe that</w:t>
      </w:r>
      <w:r w:rsidR="004D0B31" w:rsidRPr="003F2B45">
        <w:rPr>
          <w:rFonts w:ascii="Times New Roman" w:hAnsi="Times New Roman" w:cs="Times New Roman"/>
          <w:sz w:val="24"/>
          <w:szCs w:val="24"/>
        </w:rPr>
        <w:t xml:space="preserve"> the</w:t>
      </w:r>
      <w:r w:rsidRPr="003F2B45">
        <w:rPr>
          <w:rFonts w:ascii="Times New Roman" w:hAnsi="Times New Roman" w:cs="Times New Roman"/>
          <w:sz w:val="24"/>
          <w:szCs w:val="24"/>
        </w:rPr>
        <w:t xml:space="preserve"> sample is evenly distributed </w:t>
      </w:r>
      <w:r w:rsidR="004D0B31" w:rsidRPr="003F2B45">
        <w:rPr>
          <w:rFonts w:ascii="Times New Roman" w:hAnsi="Times New Roman" w:cs="Times New Roman"/>
          <w:sz w:val="24"/>
          <w:szCs w:val="24"/>
        </w:rPr>
        <w:t>throughout</w:t>
      </w:r>
      <w:r w:rsidR="00875D41" w:rsidRPr="003F2B45">
        <w:rPr>
          <w:rFonts w:ascii="Times New Roman" w:hAnsi="Times New Roman" w:cs="Times New Roman"/>
          <w:sz w:val="24"/>
          <w:szCs w:val="24"/>
        </w:rPr>
        <w:t xml:space="preserve"> the years.</w:t>
      </w:r>
    </w:p>
    <w:p w14:paraId="2537B863" w14:textId="77777777" w:rsidR="00FF7AE8" w:rsidRPr="003F2B45" w:rsidRDefault="00875D41"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1 ABOUT HERE]</w:t>
      </w:r>
    </w:p>
    <w:p w14:paraId="65A970B9" w14:textId="384EFA14" w:rsidR="00875D41" w:rsidRPr="003F2B45" w:rsidRDefault="00875D41"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We divide the sample</w:t>
      </w:r>
      <w:r w:rsidR="004E6604">
        <w:rPr>
          <w:rFonts w:ascii="Times New Roman" w:hAnsi="Times New Roman" w:cs="Times New Roman"/>
          <w:sz w:val="24"/>
          <w:szCs w:val="24"/>
        </w:rPr>
        <w:t xml:space="preserve"> into two, i.e., those with non</w:t>
      </w:r>
      <w:r w:rsidR="004E6604" w:rsidRPr="003F2B45">
        <w:rPr>
          <w:rFonts w:ascii="Times New Roman" w:hAnsi="Times New Roman" w:cs="Times New Roman"/>
          <w:sz w:val="24"/>
          <w:szCs w:val="24"/>
        </w:rPr>
        <w:t>zero</w:t>
      </w:r>
      <w:r w:rsidRPr="003F2B45">
        <w:rPr>
          <w:rFonts w:ascii="Times New Roman" w:hAnsi="Times New Roman" w:cs="Times New Roman"/>
          <w:sz w:val="24"/>
          <w:szCs w:val="24"/>
        </w:rPr>
        <w:t xml:space="preserve"> reported figures for institutional </w:t>
      </w:r>
      <w:r w:rsidR="004E6604" w:rsidRPr="003F2B45">
        <w:rPr>
          <w:rFonts w:ascii="Times New Roman" w:hAnsi="Times New Roman" w:cs="Times New Roman"/>
          <w:sz w:val="24"/>
          <w:szCs w:val="24"/>
        </w:rPr>
        <w:t>owners</w:t>
      </w:r>
      <w:r w:rsidR="004E6604">
        <w:rPr>
          <w:rFonts w:ascii="Times New Roman" w:hAnsi="Times New Roman" w:cs="Times New Roman"/>
          <w:sz w:val="24"/>
          <w:szCs w:val="24"/>
        </w:rPr>
        <w:t>hip</w:t>
      </w:r>
      <w:r w:rsidRPr="003F2B45">
        <w:rPr>
          <w:rFonts w:ascii="Times New Roman" w:hAnsi="Times New Roman" w:cs="Times New Roman"/>
          <w:sz w:val="24"/>
          <w:szCs w:val="24"/>
        </w:rPr>
        <w:t xml:space="preserve"> </w:t>
      </w:r>
      <w:r w:rsidR="00495A4F" w:rsidRPr="003F2B45">
        <w:rPr>
          <w:rFonts w:ascii="Times New Roman" w:hAnsi="Times New Roman" w:cs="Times New Roman"/>
          <w:sz w:val="24"/>
          <w:szCs w:val="24"/>
        </w:rPr>
        <w:t>vs.</w:t>
      </w:r>
      <w:r w:rsidRPr="003F2B45">
        <w:rPr>
          <w:rFonts w:ascii="Times New Roman" w:hAnsi="Times New Roman" w:cs="Times New Roman"/>
          <w:sz w:val="24"/>
          <w:szCs w:val="24"/>
        </w:rPr>
        <w:t xml:space="preserve"> those without, and compare various financial characteristics between the two. We present our findings in Panel A of Table 2. We find that there exist significant differences between the two subsamples on all the reported financial characteristics. Firms with institutional owners are larger in terms of market capitalization, have higher market-to-book ratio, retained earnings-to-total equity, total equity-to-total </w:t>
      </w:r>
      <w:r w:rsidR="00524A60" w:rsidRPr="003F2B45">
        <w:rPr>
          <w:rFonts w:ascii="Times New Roman" w:hAnsi="Times New Roman" w:cs="Times New Roman"/>
          <w:sz w:val="24"/>
          <w:szCs w:val="24"/>
        </w:rPr>
        <w:t>assets,</w:t>
      </w:r>
      <w:r w:rsidRPr="003F2B45">
        <w:rPr>
          <w:rFonts w:ascii="Times New Roman" w:hAnsi="Times New Roman" w:cs="Times New Roman"/>
          <w:sz w:val="24"/>
          <w:szCs w:val="24"/>
        </w:rPr>
        <w:t xml:space="preserve"> return on assets and turnover ratio</w:t>
      </w:r>
      <w:r w:rsidR="00706408">
        <w:rPr>
          <w:rFonts w:ascii="Times New Roman" w:hAnsi="Times New Roman" w:cs="Times New Roman"/>
          <w:sz w:val="24"/>
          <w:szCs w:val="24"/>
        </w:rPr>
        <w:t>; though, their</w:t>
      </w:r>
      <w:r w:rsidR="00524A60" w:rsidRPr="003F2B45">
        <w:rPr>
          <w:rFonts w:ascii="Times New Roman" w:hAnsi="Times New Roman" w:cs="Times New Roman"/>
          <w:sz w:val="24"/>
          <w:szCs w:val="24"/>
        </w:rPr>
        <w:t xml:space="preserve"> sales growth lags </w:t>
      </w:r>
      <w:r w:rsidR="004E6604">
        <w:rPr>
          <w:rFonts w:ascii="Times New Roman" w:hAnsi="Times New Roman" w:cs="Times New Roman"/>
          <w:sz w:val="24"/>
          <w:szCs w:val="24"/>
        </w:rPr>
        <w:t>the</w:t>
      </w:r>
      <w:r w:rsidR="004E6604" w:rsidRPr="003F2B45">
        <w:rPr>
          <w:rFonts w:ascii="Times New Roman" w:hAnsi="Times New Roman" w:cs="Times New Roman"/>
          <w:sz w:val="24"/>
          <w:szCs w:val="24"/>
        </w:rPr>
        <w:t xml:space="preserve"> firms</w:t>
      </w:r>
      <w:r w:rsidR="00524A60" w:rsidRPr="003F2B45">
        <w:rPr>
          <w:rFonts w:ascii="Times New Roman" w:hAnsi="Times New Roman" w:cs="Times New Roman"/>
          <w:sz w:val="24"/>
          <w:szCs w:val="24"/>
        </w:rPr>
        <w:t xml:space="preserve"> without institutional owners. </w:t>
      </w:r>
    </w:p>
    <w:p w14:paraId="6599062C" w14:textId="3A8EB3E8" w:rsidR="00E528E4" w:rsidRPr="003F2B45" w:rsidRDefault="00E528E4"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2 ABOUT HERE]</w:t>
      </w:r>
    </w:p>
    <w:p w14:paraId="30566357" w14:textId="038D619A" w:rsidR="00524A60" w:rsidRPr="003F2B45" w:rsidRDefault="00524A60"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We perform a similar analysis between dividend paying firms and non-dividend paying ones and report our findings in Panel B of Table 2.</w:t>
      </w:r>
      <w:r w:rsidR="00495A4F" w:rsidRPr="003F2B45">
        <w:rPr>
          <w:rFonts w:ascii="Times New Roman" w:hAnsi="Times New Roman" w:cs="Times New Roman"/>
          <w:sz w:val="24"/>
          <w:szCs w:val="24"/>
        </w:rPr>
        <w:t xml:space="preserve"> Dividend paying firms are larger and more profitable. The mean values of size and the various profitability ratios are significantly higher </w:t>
      </w:r>
      <w:r w:rsidR="00E22405">
        <w:rPr>
          <w:rFonts w:ascii="Times New Roman" w:hAnsi="Times New Roman" w:cs="Times New Roman"/>
          <w:sz w:val="24"/>
          <w:szCs w:val="24"/>
        </w:rPr>
        <w:t xml:space="preserve">for </w:t>
      </w:r>
      <w:r w:rsidR="00495A4F" w:rsidRPr="003F2B45">
        <w:rPr>
          <w:rFonts w:ascii="Times New Roman" w:hAnsi="Times New Roman" w:cs="Times New Roman"/>
          <w:sz w:val="24"/>
          <w:szCs w:val="24"/>
        </w:rPr>
        <w:t>the subsample of dividend paying firms.</w:t>
      </w:r>
    </w:p>
    <w:p w14:paraId="7D2DDD4A" w14:textId="77777777" w:rsidR="00467DF5" w:rsidRPr="003F2B45" w:rsidRDefault="00312F4E"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 xml:space="preserve">IV. </w:t>
      </w:r>
      <w:r w:rsidR="00467DF5" w:rsidRPr="003F2B45">
        <w:rPr>
          <w:rFonts w:ascii="Times New Roman" w:hAnsi="Times New Roman" w:cs="Times New Roman"/>
          <w:b/>
          <w:sz w:val="24"/>
          <w:szCs w:val="24"/>
        </w:rPr>
        <w:t>Methodology</w:t>
      </w:r>
    </w:p>
    <w:p w14:paraId="638F542B" w14:textId="7E7AD1F1" w:rsidR="00467DF5" w:rsidRPr="003F2B45" w:rsidRDefault="00312F4E"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 xml:space="preserve">IV.1 </w:t>
      </w:r>
      <w:r w:rsidR="00A8455C">
        <w:rPr>
          <w:rFonts w:ascii="Times New Roman" w:hAnsi="Times New Roman" w:cs="Times New Roman"/>
          <w:b/>
          <w:sz w:val="24"/>
          <w:szCs w:val="24"/>
        </w:rPr>
        <w:t>Measures of Dividend Payout Ratio</w:t>
      </w:r>
    </w:p>
    <w:p w14:paraId="0C9CF23B" w14:textId="5457FF95" w:rsidR="00312F4E" w:rsidRPr="003F2B45" w:rsidRDefault="00D43174" w:rsidP="00D43174">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construct three alternative measures of dividend payments.</w:t>
      </w:r>
      <w:r w:rsidR="00312F4E" w:rsidRPr="003F2B45">
        <w:rPr>
          <w:rFonts w:ascii="Times New Roman" w:hAnsi="Times New Roman" w:cs="Times New Roman"/>
          <w:sz w:val="24"/>
          <w:szCs w:val="24"/>
        </w:rPr>
        <w:t xml:space="preserve"> </w:t>
      </w:r>
      <w:r w:rsidR="00650E57" w:rsidRPr="003F2B45">
        <w:rPr>
          <w:rFonts w:ascii="Times New Roman" w:hAnsi="Times New Roman" w:cs="Times New Roman"/>
          <w:sz w:val="24"/>
          <w:szCs w:val="24"/>
        </w:rPr>
        <w:t>The</w:t>
      </w:r>
      <w:r w:rsidR="00312F4E" w:rsidRPr="003F2B45">
        <w:rPr>
          <w:rFonts w:ascii="Times New Roman" w:hAnsi="Times New Roman" w:cs="Times New Roman"/>
          <w:sz w:val="24"/>
          <w:szCs w:val="24"/>
        </w:rPr>
        <w:t xml:space="preserve"> first one is a dummy variable representing dividend paying firms. The other two capture the magnitude of the dividend payment</w:t>
      </w:r>
      <w:r>
        <w:rPr>
          <w:rFonts w:ascii="Times New Roman" w:hAnsi="Times New Roman" w:cs="Times New Roman"/>
          <w:sz w:val="24"/>
          <w:szCs w:val="24"/>
        </w:rPr>
        <w:t>, i.e., the</w:t>
      </w:r>
      <w:r w:rsidR="00312F4E" w:rsidRPr="003F2B45">
        <w:rPr>
          <w:rFonts w:ascii="Times New Roman" w:hAnsi="Times New Roman" w:cs="Times New Roman"/>
          <w:sz w:val="24"/>
          <w:szCs w:val="24"/>
        </w:rPr>
        <w:t xml:space="preserve"> dividend-to-earnings </w:t>
      </w:r>
      <m:oMath>
        <m:r>
          <w:rPr>
            <w:rFonts w:ascii="Cambria Math" w:hAnsi="Cambria Math" w:cs="Times New Roman"/>
            <w:sz w:val="24"/>
            <w:szCs w:val="24"/>
          </w:rPr>
          <m:t>(DIV/EARN)</m:t>
        </m:r>
      </m:oMath>
      <w:r w:rsidR="00650E57" w:rsidRPr="003F2B45">
        <w:rPr>
          <w:rFonts w:ascii="Times New Roman" w:hAnsi="Times New Roman" w:cs="Times New Roman"/>
          <w:sz w:val="24"/>
          <w:szCs w:val="24"/>
        </w:rPr>
        <w:t xml:space="preserve"> </w:t>
      </w:r>
      <w:r w:rsidR="00312F4E" w:rsidRPr="003F2B45">
        <w:rPr>
          <w:rFonts w:ascii="Times New Roman" w:hAnsi="Times New Roman" w:cs="Times New Roman"/>
          <w:sz w:val="24"/>
          <w:szCs w:val="24"/>
        </w:rPr>
        <w:t xml:space="preserve">ratio and </w:t>
      </w:r>
      <w:r>
        <w:rPr>
          <w:rFonts w:ascii="Times New Roman" w:hAnsi="Times New Roman" w:cs="Times New Roman"/>
          <w:sz w:val="24"/>
          <w:szCs w:val="24"/>
        </w:rPr>
        <w:t xml:space="preserve">the </w:t>
      </w:r>
      <w:r w:rsidR="00312F4E" w:rsidRPr="003F2B45">
        <w:rPr>
          <w:rFonts w:ascii="Times New Roman" w:hAnsi="Times New Roman" w:cs="Times New Roman"/>
          <w:sz w:val="24"/>
          <w:szCs w:val="24"/>
        </w:rPr>
        <w:t xml:space="preserve">dividend-to-assets </w:t>
      </w:r>
      <w:r w:rsidR="00706408" w:rsidRPr="003F2B45">
        <w:rPr>
          <w:rFonts w:ascii="Times New Roman" w:hAnsi="Times New Roman" w:cs="Times New Roman"/>
          <w:sz w:val="24"/>
          <w:szCs w:val="24"/>
        </w:rPr>
        <w:t>ratio</w:t>
      </w:r>
      <m:oMath>
        <m:r>
          <w:rPr>
            <w:rFonts w:ascii="Cambria Math" w:hAnsi="Cambria Math" w:cs="Times New Roman"/>
            <w:sz w:val="24"/>
            <w:szCs w:val="24"/>
          </w:rPr>
          <m:t>(DIV/ASSET)</m:t>
        </m:r>
      </m:oMath>
      <w:r w:rsidR="00706408">
        <w:rPr>
          <w:rFonts w:ascii="Times New Roman" w:hAnsi="Times New Roman" w:cs="Times New Roman"/>
          <w:sz w:val="24"/>
          <w:szCs w:val="24"/>
        </w:rPr>
        <w:t xml:space="preserve"> ratios</w:t>
      </w:r>
      <w:r w:rsidR="00312F4E" w:rsidRPr="003F2B45">
        <w:rPr>
          <w:rFonts w:ascii="Times New Roman" w:hAnsi="Times New Roman" w:cs="Times New Roman"/>
          <w:sz w:val="24"/>
          <w:szCs w:val="24"/>
        </w:rPr>
        <w:t>.</w:t>
      </w:r>
      <w:r w:rsidR="00650E57" w:rsidRPr="003F2B45">
        <w:rPr>
          <w:rFonts w:ascii="Times New Roman" w:hAnsi="Times New Roman" w:cs="Times New Roman"/>
          <w:sz w:val="24"/>
          <w:szCs w:val="24"/>
        </w:rPr>
        <w:t xml:space="preserve"> We do not use the dividend yield ratio, i.e., the ratio of dividend per share-to-market price per share, since managers do not exert direct and spontaneous control on the share price. To address issues with outliers, we winsorize </w:t>
      </w:r>
      <m:oMath>
        <m:r>
          <w:rPr>
            <w:rFonts w:ascii="Cambria Math" w:hAnsi="Cambria Math" w:cs="Times New Roman"/>
            <w:sz w:val="24"/>
            <w:szCs w:val="24"/>
          </w:rPr>
          <m:t>DIV/EARN</m:t>
        </m:r>
      </m:oMath>
      <w:r w:rsidR="00650E57" w:rsidRPr="003F2B45">
        <w:rPr>
          <w:rFonts w:ascii="Times New Roman" w:hAnsi="Times New Roman" w:cs="Times New Roman"/>
          <w:sz w:val="24"/>
          <w:szCs w:val="24"/>
        </w:rPr>
        <w:t xml:space="preserve"> and </w:t>
      </w:r>
      <m:oMath>
        <m:r>
          <w:rPr>
            <w:rFonts w:ascii="Cambria Math" w:hAnsi="Cambria Math" w:cs="Times New Roman"/>
            <w:sz w:val="24"/>
            <w:szCs w:val="24"/>
          </w:rPr>
          <m:t>DIV/ASSET</m:t>
        </m:r>
      </m:oMath>
      <w:r w:rsidR="00650E57" w:rsidRPr="003F2B45">
        <w:rPr>
          <w:rFonts w:ascii="Times New Roman" w:hAnsi="Times New Roman" w:cs="Times New Roman"/>
          <w:sz w:val="24"/>
          <w:szCs w:val="24"/>
        </w:rPr>
        <w:t xml:space="preserve"> at the 1% and 99% percentiles.</w:t>
      </w:r>
    </w:p>
    <w:p w14:paraId="7C057787" w14:textId="77777777" w:rsidR="005A5BBE" w:rsidRPr="003F2B45" w:rsidRDefault="005A5BBE"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IV.2 Measures of Institutional Ownership Stability</w:t>
      </w:r>
    </w:p>
    <w:p w14:paraId="78C77BC9" w14:textId="4EF4E6B2" w:rsidR="00294F25" w:rsidRPr="003F2B45" w:rsidRDefault="005A5BBE"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Following Elyasiani, Jia and Mao (2010), we </w:t>
      </w:r>
      <w:r w:rsidR="0045198B" w:rsidRPr="003F2B45">
        <w:rPr>
          <w:rFonts w:ascii="Times New Roman" w:hAnsi="Times New Roman" w:cs="Times New Roman"/>
          <w:sz w:val="24"/>
          <w:szCs w:val="24"/>
        </w:rPr>
        <w:t xml:space="preserve">calculate several measures of institutional ownership </w:t>
      </w:r>
      <w:r w:rsidR="00294F25" w:rsidRPr="003F2B45">
        <w:rPr>
          <w:rFonts w:ascii="Times New Roman" w:hAnsi="Times New Roman" w:cs="Times New Roman"/>
          <w:sz w:val="24"/>
          <w:szCs w:val="24"/>
        </w:rPr>
        <w:t xml:space="preserve">based on </w:t>
      </w:r>
      <w:r w:rsidR="00154366">
        <w:rPr>
          <w:rFonts w:ascii="Times New Roman" w:hAnsi="Times New Roman" w:cs="Times New Roman"/>
          <w:sz w:val="24"/>
          <w:szCs w:val="24"/>
        </w:rPr>
        <w:t xml:space="preserve">a </w:t>
      </w:r>
      <w:r w:rsidR="00294F25" w:rsidRPr="003F2B45">
        <w:rPr>
          <w:rFonts w:ascii="Times New Roman" w:hAnsi="Times New Roman" w:cs="Times New Roman"/>
          <w:sz w:val="24"/>
          <w:szCs w:val="24"/>
        </w:rPr>
        <w:t>five-year rolling period (i.e., 20 quarters)</w:t>
      </w:r>
      <w:r w:rsidR="0045198B" w:rsidRPr="003F2B45">
        <w:rPr>
          <w:rFonts w:ascii="Times New Roman" w:hAnsi="Times New Roman" w:cs="Times New Roman"/>
          <w:sz w:val="24"/>
          <w:szCs w:val="24"/>
        </w:rPr>
        <w:t>.</w:t>
      </w:r>
      <w:r w:rsidR="00294F25" w:rsidRPr="003F2B45">
        <w:rPr>
          <w:rFonts w:ascii="Times New Roman" w:hAnsi="Times New Roman" w:cs="Times New Roman"/>
          <w:sz w:val="24"/>
          <w:szCs w:val="24"/>
        </w:rPr>
        <w:t xml:space="preserve"> To eliminate the effects of </w:t>
      </w:r>
      <w:r w:rsidR="00230CC0" w:rsidRPr="003F2B45">
        <w:rPr>
          <w:rFonts w:ascii="Times New Roman" w:hAnsi="Times New Roman" w:cs="Times New Roman"/>
          <w:sz w:val="24"/>
          <w:szCs w:val="24"/>
        </w:rPr>
        <w:t>any short</w:t>
      </w:r>
      <w:r w:rsidR="00294F25" w:rsidRPr="003F2B45">
        <w:rPr>
          <w:rFonts w:ascii="Times New Roman" w:hAnsi="Times New Roman" w:cs="Times New Roman"/>
          <w:sz w:val="24"/>
          <w:szCs w:val="24"/>
        </w:rPr>
        <w:t xml:space="preserve">-term temporary shock and to capture </w:t>
      </w:r>
      <w:r w:rsidR="00230CC0" w:rsidRPr="003F2B45">
        <w:rPr>
          <w:rFonts w:ascii="Times New Roman" w:hAnsi="Times New Roman" w:cs="Times New Roman"/>
          <w:sz w:val="24"/>
          <w:szCs w:val="24"/>
        </w:rPr>
        <w:t>the delayed</w:t>
      </w:r>
      <w:r w:rsidR="00294F25" w:rsidRPr="003F2B45">
        <w:rPr>
          <w:rFonts w:ascii="Times New Roman" w:hAnsi="Times New Roman" w:cs="Times New Roman"/>
          <w:sz w:val="24"/>
          <w:szCs w:val="24"/>
        </w:rPr>
        <w:t xml:space="preserve"> </w:t>
      </w:r>
      <w:r w:rsidR="00462BF3" w:rsidRPr="003F2B45">
        <w:rPr>
          <w:rFonts w:ascii="Times New Roman" w:hAnsi="Times New Roman" w:cs="Times New Roman"/>
          <w:sz w:val="24"/>
          <w:szCs w:val="24"/>
        </w:rPr>
        <w:t>response</w:t>
      </w:r>
      <w:r w:rsidR="00294F25" w:rsidRPr="003F2B45">
        <w:rPr>
          <w:rFonts w:ascii="Times New Roman" w:hAnsi="Times New Roman" w:cs="Times New Roman"/>
          <w:sz w:val="24"/>
          <w:szCs w:val="24"/>
        </w:rPr>
        <w:t xml:space="preserve"> of </w:t>
      </w:r>
      <w:r w:rsidR="00462BF3" w:rsidRPr="003F2B45">
        <w:rPr>
          <w:rFonts w:ascii="Times New Roman" w:hAnsi="Times New Roman" w:cs="Times New Roman"/>
          <w:sz w:val="24"/>
          <w:szCs w:val="24"/>
        </w:rPr>
        <w:t xml:space="preserve">dividend </w:t>
      </w:r>
      <w:r w:rsidR="00230CC0" w:rsidRPr="003F2B45">
        <w:rPr>
          <w:rFonts w:ascii="Times New Roman" w:hAnsi="Times New Roman" w:cs="Times New Roman"/>
          <w:sz w:val="24"/>
          <w:szCs w:val="24"/>
        </w:rPr>
        <w:t>policy</w:t>
      </w:r>
      <w:r w:rsidR="00462BF3" w:rsidRPr="003F2B45">
        <w:rPr>
          <w:rFonts w:ascii="Times New Roman" w:hAnsi="Times New Roman" w:cs="Times New Roman"/>
          <w:sz w:val="24"/>
          <w:szCs w:val="24"/>
        </w:rPr>
        <w:t xml:space="preserve"> to ownership changes</w:t>
      </w:r>
      <w:r w:rsidR="00294F25" w:rsidRPr="003F2B45">
        <w:rPr>
          <w:rFonts w:ascii="Times New Roman" w:hAnsi="Times New Roman" w:cs="Times New Roman"/>
          <w:sz w:val="24"/>
          <w:szCs w:val="24"/>
        </w:rPr>
        <w:t xml:space="preserve">, Elyasiani and Jia (2010) recommend the use of data measured over a longer term </w:t>
      </w:r>
      <w:r w:rsidR="00462BF3" w:rsidRPr="003F2B45">
        <w:rPr>
          <w:rFonts w:ascii="Times New Roman" w:hAnsi="Times New Roman" w:cs="Times New Roman"/>
          <w:sz w:val="24"/>
          <w:szCs w:val="24"/>
        </w:rPr>
        <w:t>time period, i.e., 20 quarters.</w:t>
      </w:r>
      <w:r w:rsidR="007F1BC6" w:rsidRPr="003F2B45">
        <w:rPr>
          <w:rFonts w:ascii="Times New Roman" w:hAnsi="Times New Roman" w:cs="Times New Roman"/>
          <w:sz w:val="24"/>
          <w:szCs w:val="24"/>
        </w:rPr>
        <w:t xml:space="preserve"> The variables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0"/>
        <w:gridCol w:w="496"/>
      </w:tblGrid>
      <w:tr w:rsidR="00313148" w:rsidRPr="003F2B45" w14:paraId="52B93B99" w14:textId="77777777" w:rsidTr="00313148">
        <w:tc>
          <w:tcPr>
            <w:tcW w:w="0" w:type="auto"/>
          </w:tcPr>
          <w:p w14:paraId="17E4D711" w14:textId="77777777" w:rsidR="00313148" w:rsidRPr="003F2B45" w:rsidRDefault="00313148" w:rsidP="003F2B45">
            <w:pPr>
              <w:spacing w:line="480" w:lineRule="auto"/>
              <w:rPr>
                <w:rFonts w:ascii="Times New Roman" w:hAnsi="Times New Roman" w:cs="Times New Roman"/>
                <w:sz w:val="24"/>
                <w:szCs w:val="24"/>
              </w:rPr>
            </w:pPr>
            <m:oMath>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j,t</m:t>
                  </m:r>
                </m:sub>
              </m:sSub>
            </m:oMath>
            <w:r w:rsidRPr="003F2B45">
              <w:rPr>
                <w:rFonts w:ascii="Times New Roman" w:hAnsi="Times New Roman" w:cs="Times New Roman"/>
                <w:sz w:val="24"/>
                <w:szCs w:val="24"/>
              </w:rPr>
              <w:t xml:space="preserve"> refers to the proportion of shares held by institutional investor </w:t>
            </w:r>
            <m:oMath>
              <m:r>
                <w:rPr>
                  <w:rFonts w:ascii="Cambria Math" w:hAnsi="Cambria Math" w:cs="Times New Roman"/>
                  <w:sz w:val="24"/>
                  <w:szCs w:val="24"/>
                </w:rPr>
                <m:t>j</m:t>
              </m:r>
            </m:oMath>
            <w:r w:rsidRPr="003F2B45">
              <w:rPr>
                <w:rFonts w:ascii="Times New Roman" w:hAnsi="Times New Roman" w:cs="Times New Roman"/>
                <w:sz w:val="24"/>
                <w:szCs w:val="24"/>
              </w:rPr>
              <w:t xml:space="preserve"> in quarter </w:t>
            </w:r>
            <m:oMath>
              <m:r>
                <w:rPr>
                  <w:rFonts w:ascii="Cambria Math" w:hAnsi="Cambria Math" w:cs="Times New Roman"/>
                  <w:sz w:val="24"/>
                  <w:szCs w:val="24"/>
                </w:rPr>
                <m:t>t</m:t>
              </m:r>
            </m:oMath>
          </w:p>
        </w:tc>
        <w:tc>
          <w:tcPr>
            <w:tcW w:w="0" w:type="auto"/>
            <w:vAlign w:val="center"/>
          </w:tcPr>
          <w:p w14:paraId="411B6332"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(1)</w:t>
            </w:r>
          </w:p>
        </w:tc>
      </w:tr>
      <w:tr w:rsidR="00313148" w:rsidRPr="003F2B45" w14:paraId="0D226A1B" w14:textId="77777777" w:rsidTr="00313148">
        <w:tc>
          <w:tcPr>
            <w:tcW w:w="0" w:type="auto"/>
          </w:tcPr>
          <w:p w14:paraId="27302C88" w14:textId="77777777" w:rsidR="00313148" w:rsidRPr="003F2B45" w:rsidRDefault="00313148" w:rsidP="003F2B45">
            <w:pPr>
              <w:spacing w:line="480" w:lineRule="auto"/>
              <w:rPr>
                <w:rFonts w:ascii="Times New Roman" w:hAnsi="Times New Roman" w:cs="Times New Roman"/>
                <w:sz w:val="24"/>
                <w:szCs w:val="24"/>
              </w:rPr>
            </w:pPr>
            <m:oMath>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oMath>
            <w:r w:rsidRPr="003F2B45">
              <w:rPr>
                <w:rFonts w:ascii="Times New Roman" w:hAnsi="Times New Roman" w:cs="Times New Roman"/>
                <w:sz w:val="24"/>
                <w:szCs w:val="24"/>
              </w:rPr>
              <w:t xml:space="preserve"> refers to the proportion of shares held by all institutional investors in firm </w:t>
            </w:r>
            <m:oMath>
              <m:r>
                <w:rPr>
                  <w:rFonts w:ascii="Cambria Math" w:hAnsi="Cambria Math" w:cs="Times New Roman"/>
                  <w:sz w:val="24"/>
                  <w:szCs w:val="24"/>
                </w:rPr>
                <m:t>i</m:t>
              </m:r>
            </m:oMath>
            <w:r w:rsidRPr="003F2B45">
              <w:rPr>
                <w:rFonts w:ascii="Times New Roman" w:hAnsi="Times New Roman" w:cs="Times New Roman"/>
                <w:sz w:val="24"/>
                <w:szCs w:val="24"/>
              </w:rPr>
              <w:t xml:space="preserve"> in quarter </w:t>
            </w:r>
            <m:oMath>
              <m:r>
                <w:rPr>
                  <w:rFonts w:ascii="Cambria Math" w:hAnsi="Cambria Math" w:cs="Times New Roman"/>
                  <w:sz w:val="24"/>
                  <w:szCs w:val="24"/>
                </w:rPr>
                <m:t>t</m:t>
              </m:r>
            </m:oMath>
          </w:p>
        </w:tc>
        <w:tc>
          <w:tcPr>
            <w:tcW w:w="0" w:type="auto"/>
            <w:vAlign w:val="center"/>
          </w:tcPr>
          <w:p w14:paraId="7E292FF9"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(2)</w:t>
            </w:r>
          </w:p>
        </w:tc>
      </w:tr>
      <w:tr w:rsidR="00313148" w:rsidRPr="003F2B45" w14:paraId="0FE9913C" w14:textId="77777777" w:rsidTr="00313148">
        <w:tc>
          <w:tcPr>
            <w:tcW w:w="0" w:type="auto"/>
          </w:tcPr>
          <w:p w14:paraId="7C4D5104" w14:textId="0B41EF01" w:rsidR="00313148" w:rsidRPr="003F2B45" w:rsidRDefault="00004A72" w:rsidP="00B26420">
            <w:pPr>
              <w:spacing w:line="480" w:lineRule="auto"/>
              <w:rPr>
                <w:rFonts w:ascii="Times New Roman" w:hAnsi="Times New Roman" w:cs="Times New Roman"/>
                <w:sz w:val="24"/>
                <w:szCs w:val="24"/>
              </w:rPr>
            </w:pPr>
            <m:oMath>
              <m:nary>
                <m:naryPr>
                  <m:chr m:val="∑"/>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20</m:t>
                  </m:r>
                </m:sup>
                <m:e>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e>
              </m:nary>
            </m:oMath>
            <w:r w:rsidR="00313148" w:rsidRPr="003F2B45">
              <w:rPr>
                <w:rFonts w:ascii="Times New Roman" w:hAnsi="Times New Roman" w:cs="Times New Roman"/>
                <w:sz w:val="24"/>
                <w:szCs w:val="24"/>
              </w:rPr>
              <w:t xml:space="preserve"> refers to the proportion of shares held by all institutional investors </w:t>
            </w:r>
            <w:r w:rsidR="00B26420">
              <w:rPr>
                <w:rFonts w:ascii="Times New Roman" w:hAnsi="Times New Roman" w:cs="Times New Roman"/>
                <w:sz w:val="24"/>
                <w:szCs w:val="24"/>
              </w:rPr>
              <w:t>at</w:t>
            </w:r>
            <w:r w:rsidR="00313148" w:rsidRPr="003F2B45">
              <w:rPr>
                <w:rFonts w:ascii="Times New Roman" w:hAnsi="Times New Roman" w:cs="Times New Roman"/>
                <w:sz w:val="24"/>
                <w:szCs w:val="24"/>
              </w:rPr>
              <w:t xml:space="preserve"> firm </w:t>
            </w:r>
            <m:oMath>
              <m:r>
                <w:rPr>
                  <w:rFonts w:ascii="Cambria Math" w:hAnsi="Cambria Math" w:cs="Times New Roman"/>
                  <w:sz w:val="24"/>
                  <w:szCs w:val="24"/>
                </w:rPr>
                <m:t>i</m:t>
              </m:r>
            </m:oMath>
            <w:r w:rsidR="00313148" w:rsidRPr="003F2B45">
              <w:rPr>
                <w:rFonts w:ascii="Times New Roman" w:hAnsi="Times New Roman" w:cs="Times New Roman"/>
                <w:sz w:val="24"/>
                <w:szCs w:val="24"/>
              </w:rPr>
              <w:t xml:space="preserve"> over the last 20 quarters</w:t>
            </w:r>
          </w:p>
        </w:tc>
        <w:tc>
          <w:tcPr>
            <w:tcW w:w="0" w:type="auto"/>
            <w:vAlign w:val="center"/>
          </w:tcPr>
          <w:p w14:paraId="3D2A0409"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(3)</w:t>
            </w:r>
          </w:p>
        </w:tc>
      </w:tr>
      <w:tr w:rsidR="00313148" w:rsidRPr="003F2B45" w14:paraId="7953E3F0" w14:textId="77777777" w:rsidTr="00313148">
        <w:tc>
          <w:tcPr>
            <w:tcW w:w="0" w:type="auto"/>
          </w:tcPr>
          <w:p w14:paraId="0E75549C" w14:textId="2D3CBAA8" w:rsidR="00313148" w:rsidRPr="003F2B45" w:rsidRDefault="00004A72" w:rsidP="00B26420">
            <w:pPr>
              <w:spacing w:line="480" w:lineRule="auto"/>
              <w:rPr>
                <w:rFonts w:ascii="Times New Roman" w:hAnsi="Times New Roman" w:cs="Times New Roman"/>
                <w:sz w:val="24"/>
                <w:szCs w:val="24"/>
              </w:rPr>
            </w:pPr>
            <m:oMath>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20</m:t>
                      </m:r>
                    </m:sup>
                    <m:e>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e>
                  </m:nary>
                </m:num>
                <m:den>
                  <m:r>
                    <w:rPr>
                      <w:rFonts w:ascii="Cambria Math" w:hAnsi="Cambria Math" w:cs="Times New Roman"/>
                      <w:sz w:val="24"/>
                      <w:szCs w:val="24"/>
                    </w:rPr>
                    <m:t>20</m:t>
                  </m:r>
                </m:den>
              </m:f>
            </m:oMath>
            <w:r w:rsidR="00313148" w:rsidRPr="003F2B45">
              <w:rPr>
                <w:rFonts w:ascii="Times New Roman" w:hAnsi="Times New Roman" w:cs="Times New Roman"/>
                <w:sz w:val="24"/>
                <w:szCs w:val="24"/>
              </w:rPr>
              <w:t xml:space="preserve"> refers to the average of the 20 quarterly proportions of shares held by all institutional investors </w:t>
            </w:r>
            <w:r w:rsidR="00B26420">
              <w:rPr>
                <w:rFonts w:ascii="Times New Roman" w:hAnsi="Times New Roman" w:cs="Times New Roman"/>
                <w:sz w:val="24"/>
                <w:szCs w:val="24"/>
              </w:rPr>
              <w:t>at</w:t>
            </w:r>
            <w:r w:rsidR="00313148" w:rsidRPr="003F2B45">
              <w:rPr>
                <w:rFonts w:ascii="Times New Roman" w:hAnsi="Times New Roman" w:cs="Times New Roman"/>
                <w:sz w:val="24"/>
                <w:szCs w:val="24"/>
              </w:rPr>
              <w:t xml:space="preserve"> firm </w:t>
            </w:r>
            <m:oMath>
              <m:r>
                <w:rPr>
                  <w:rFonts w:ascii="Cambria Math" w:hAnsi="Cambria Math" w:cs="Times New Roman"/>
                  <w:sz w:val="24"/>
                  <w:szCs w:val="24"/>
                </w:rPr>
                <m:t>i</m:t>
              </m:r>
            </m:oMath>
            <w:r w:rsidR="00313148" w:rsidRPr="003F2B45">
              <w:rPr>
                <w:rFonts w:ascii="Times New Roman" w:hAnsi="Times New Roman" w:cs="Times New Roman"/>
                <w:sz w:val="24"/>
                <w:szCs w:val="24"/>
              </w:rPr>
              <w:t xml:space="preserve">. We label this measure as </w:t>
            </w:r>
            <m:oMath>
              <m:r>
                <w:rPr>
                  <w:rFonts w:ascii="Cambria Math" w:hAnsi="Cambria Math" w:cs="Times New Roman"/>
                  <w:sz w:val="24"/>
                  <w:szCs w:val="24"/>
                </w:rPr>
                <m:t>PROP</m:t>
              </m:r>
            </m:oMath>
            <w:r w:rsidR="00313148" w:rsidRPr="003F2B45">
              <w:rPr>
                <w:rFonts w:ascii="Times New Roman" w:hAnsi="Times New Roman" w:cs="Times New Roman"/>
                <w:sz w:val="24"/>
                <w:szCs w:val="24"/>
              </w:rPr>
              <w:t xml:space="preserve">. </w:t>
            </w:r>
          </w:p>
        </w:tc>
        <w:tc>
          <w:tcPr>
            <w:tcW w:w="0" w:type="auto"/>
            <w:vAlign w:val="center"/>
          </w:tcPr>
          <w:p w14:paraId="463BA5C9"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(4)</w:t>
            </w:r>
          </w:p>
        </w:tc>
      </w:tr>
      <w:tr w:rsidR="00313148" w:rsidRPr="003F2B45" w14:paraId="4F4ECCC0" w14:textId="77777777" w:rsidTr="00313148">
        <w:tc>
          <w:tcPr>
            <w:tcW w:w="0" w:type="auto"/>
          </w:tcPr>
          <w:p w14:paraId="225C58D0" w14:textId="77777777" w:rsidR="00313148" w:rsidRPr="003F2B45" w:rsidRDefault="00004A72" w:rsidP="003F2B45">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oMath>
            <w:r w:rsidR="00313148" w:rsidRPr="003F2B45">
              <w:rPr>
                <w:rFonts w:ascii="Times New Roman" w:hAnsi="Times New Roman" w:cs="Times New Roman"/>
                <w:sz w:val="24"/>
                <w:szCs w:val="24"/>
              </w:rPr>
              <w:t xml:space="preserve"> refers to the standard deviation of the quarterly holdings of institutional investor </w:t>
            </w:r>
            <m:oMath>
              <m:r>
                <w:rPr>
                  <w:rFonts w:ascii="Cambria Math" w:hAnsi="Cambria Math" w:cs="Times New Roman"/>
                  <w:sz w:val="24"/>
                  <w:szCs w:val="24"/>
                </w:rPr>
                <m:t>j</m:t>
              </m:r>
            </m:oMath>
            <w:r w:rsidR="00313148" w:rsidRPr="003F2B45">
              <w:rPr>
                <w:rFonts w:ascii="Times New Roman" w:hAnsi="Times New Roman" w:cs="Times New Roman"/>
                <w:sz w:val="24"/>
                <w:szCs w:val="24"/>
              </w:rPr>
              <w:t xml:space="preserve"> over the last 20 quarters</w:t>
            </w:r>
          </w:p>
        </w:tc>
        <w:tc>
          <w:tcPr>
            <w:tcW w:w="0" w:type="auto"/>
            <w:vAlign w:val="center"/>
          </w:tcPr>
          <w:p w14:paraId="4BC7E952"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(5)</w:t>
            </w:r>
          </w:p>
        </w:tc>
      </w:tr>
      <w:tr w:rsidR="00313148" w:rsidRPr="003F2B45" w14:paraId="0D8D29E6" w14:textId="77777777" w:rsidTr="00313148">
        <w:tc>
          <w:tcPr>
            <w:tcW w:w="0" w:type="auto"/>
          </w:tcPr>
          <w:p w14:paraId="1D11B30D" w14:textId="0DD18F48" w:rsidR="00313148" w:rsidRPr="003F2B45" w:rsidRDefault="00004A72" w:rsidP="003F2B45">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e>
                  </m:nary>
                </m:num>
                <m:den>
                  <m:r>
                    <w:rPr>
                      <w:rFonts w:ascii="Cambria Math" w:hAnsi="Cambria Math" w:cs="Times New Roman"/>
                      <w:sz w:val="24"/>
                      <w:szCs w:val="24"/>
                    </w:rPr>
                    <m:t>J</m:t>
                  </m:r>
                </m:den>
              </m:f>
            </m:oMath>
            <w:r w:rsidR="00313148" w:rsidRPr="003F2B45">
              <w:rPr>
                <w:rFonts w:ascii="Times New Roman" w:hAnsi="Times New Roman" w:cs="Times New Roman"/>
                <w:sz w:val="24"/>
                <w:szCs w:val="24"/>
              </w:rPr>
              <w:t xml:space="preserve"> refers to the average </w:t>
            </w:r>
            <w:r w:rsidR="00B26420">
              <w:rPr>
                <w:rFonts w:ascii="Times New Roman" w:hAnsi="Times New Roman" w:cs="Times New Roman"/>
                <w:sz w:val="24"/>
                <w:szCs w:val="24"/>
              </w:rPr>
              <w:t xml:space="preserve">of the </w:t>
            </w:r>
            <w:r w:rsidR="00313148" w:rsidRPr="003F2B45">
              <w:rPr>
                <w:rFonts w:ascii="Times New Roman" w:hAnsi="Times New Roman" w:cs="Times New Roman"/>
                <w:sz w:val="24"/>
                <w:szCs w:val="24"/>
              </w:rPr>
              <w:t xml:space="preserve">standard deviations of all institutional investors in firm </w:t>
            </w:r>
            <m:oMath>
              <m:r>
                <w:rPr>
                  <w:rFonts w:ascii="Cambria Math" w:hAnsi="Cambria Math" w:cs="Times New Roman"/>
                  <w:sz w:val="24"/>
                  <w:szCs w:val="24"/>
                </w:rPr>
                <m:t>i</m:t>
              </m:r>
            </m:oMath>
            <w:r w:rsidR="00313148" w:rsidRPr="003F2B45">
              <w:rPr>
                <w:rFonts w:ascii="Times New Roman" w:hAnsi="Times New Roman" w:cs="Times New Roman"/>
                <w:sz w:val="24"/>
                <w:szCs w:val="24"/>
              </w:rPr>
              <w:t xml:space="preserve">. This is also our measure of institutional ownership volatility </w:t>
            </w:r>
            <m:oMath>
              <m:r>
                <w:rPr>
                  <w:rFonts w:ascii="Cambria Math" w:hAnsi="Cambria Math" w:cs="Times New Roman"/>
                  <w:sz w:val="24"/>
                  <w:szCs w:val="24"/>
                </w:rPr>
                <m:t>(IOV)</m:t>
              </m:r>
            </m:oMath>
            <w:r w:rsidR="00313148" w:rsidRPr="003F2B45">
              <w:rPr>
                <w:rFonts w:ascii="Times New Roman" w:hAnsi="Times New Roman" w:cs="Times New Roman"/>
                <w:sz w:val="24"/>
                <w:szCs w:val="24"/>
              </w:rPr>
              <w:t>.</w:t>
            </w:r>
          </w:p>
        </w:tc>
        <w:tc>
          <w:tcPr>
            <w:tcW w:w="0" w:type="auto"/>
            <w:vAlign w:val="center"/>
          </w:tcPr>
          <w:p w14:paraId="4B0EB045"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(6)</w:t>
            </w:r>
          </w:p>
        </w:tc>
      </w:tr>
      <w:tr w:rsidR="00313148" w:rsidRPr="003F2B45" w14:paraId="66A1B889" w14:textId="77777777" w:rsidTr="00313148">
        <w:tc>
          <w:tcPr>
            <w:tcW w:w="0" w:type="auto"/>
          </w:tcPr>
          <w:p w14:paraId="7B8D266E" w14:textId="77777777" w:rsidR="00313148" w:rsidRPr="003F2B45" w:rsidRDefault="00004A72" w:rsidP="003F2B45">
            <w:pPr>
              <w:spacing w:line="480" w:lineRule="auto"/>
              <w:rPr>
                <w:rFonts w:ascii="Times New Roman" w:hAnsi="Times New Roman" w:cs="Times New Roman"/>
                <w:sz w:val="24"/>
                <w:szCs w:val="24"/>
              </w:rPr>
            </w:pPr>
            <m:oMath>
              <m:f>
                <m:fPr>
                  <m:ctrlPr>
                    <w:rPr>
                      <w:rFonts w:ascii="Cambria Math" w:hAnsi="Cambria Math" w:cs="Times New Roman"/>
                      <w:i/>
                      <w:sz w:val="24"/>
                      <w:szCs w:val="24"/>
                    </w:rPr>
                  </m:ctrlPr>
                </m:fPr>
                <m:num>
                  <m:f>
                    <m:fPr>
                      <m:type m:val="skw"/>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20</m:t>
                          </m:r>
                        </m:sup>
                        <m:e>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j,t</m:t>
                              </m:r>
                            </m:sub>
                          </m:sSub>
                        </m:e>
                      </m:nary>
                    </m:num>
                    <m:den>
                      <m:r>
                        <w:rPr>
                          <w:rFonts w:ascii="Cambria Math" w:hAnsi="Cambria Math" w:cs="Times New Roman"/>
                          <w:sz w:val="24"/>
                          <w:szCs w:val="24"/>
                        </w:rPr>
                        <m:t>20</m:t>
                      </m:r>
                    </m:den>
                  </m:f>
                </m:num>
                <m:den>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den>
              </m:f>
            </m:oMath>
            <w:r w:rsidR="00313148" w:rsidRPr="003F2B45">
              <w:rPr>
                <w:rFonts w:ascii="Times New Roman" w:hAnsi="Times New Roman" w:cs="Times New Roman"/>
                <w:sz w:val="24"/>
                <w:szCs w:val="24"/>
              </w:rPr>
              <w:t xml:space="preserve"> is the measure of institutional investor </w:t>
            </w:r>
            <m:oMath>
              <m:r>
                <w:rPr>
                  <w:rFonts w:ascii="Cambria Math" w:hAnsi="Cambria Math" w:cs="Times New Roman"/>
                  <w:sz w:val="24"/>
                  <w:szCs w:val="24"/>
                </w:rPr>
                <m:t>j</m:t>
              </m:r>
            </m:oMath>
            <w:r w:rsidR="00313148" w:rsidRPr="003F2B45">
              <w:rPr>
                <w:rFonts w:ascii="Times New Roman" w:hAnsi="Times New Roman" w:cs="Times New Roman"/>
                <w:sz w:val="24"/>
                <w:szCs w:val="24"/>
              </w:rPr>
              <w:t xml:space="preserve"> ownership persistence</w:t>
            </w:r>
          </w:p>
        </w:tc>
        <w:tc>
          <w:tcPr>
            <w:tcW w:w="0" w:type="auto"/>
            <w:vAlign w:val="center"/>
          </w:tcPr>
          <w:p w14:paraId="71084DE8"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(7)</w:t>
            </w:r>
          </w:p>
        </w:tc>
      </w:tr>
      <w:tr w:rsidR="00313148" w:rsidRPr="003F2B45" w14:paraId="452C8B88" w14:textId="77777777" w:rsidTr="00313148">
        <w:tc>
          <w:tcPr>
            <w:tcW w:w="0" w:type="auto"/>
          </w:tcPr>
          <w:p w14:paraId="65315854" w14:textId="5FE82686" w:rsidR="00313148" w:rsidRPr="003F2B45" w:rsidRDefault="00004A72" w:rsidP="003F2B45">
            <w:pPr>
              <w:spacing w:line="480" w:lineRule="auto"/>
              <w:rPr>
                <w:rFonts w:ascii="Times New Roman" w:hAnsi="Times New Roman" w:cs="Times New Roman"/>
                <w:sz w:val="24"/>
                <w:szCs w:val="24"/>
              </w:rPr>
            </w:pPr>
            <m:oMath>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20</m:t>
                              </m:r>
                            </m:sup>
                            <m:e>
                              <m:f>
                                <m:fPr>
                                  <m:ctrlPr>
                                    <w:rPr>
                                      <w:rFonts w:ascii="Cambria Math" w:hAnsi="Cambria Math" w:cs="Times New Roman"/>
                                      <w:i/>
                                      <w:sz w:val="24"/>
                                      <w:szCs w:val="24"/>
                                    </w:rPr>
                                  </m:ctrlPr>
                                </m:fPr>
                                <m:num>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j,t</m:t>
                                      </m:r>
                                    </m:sub>
                                  </m:sSub>
                                </m:num>
                                <m:den>
                                  <m:r>
                                    <w:rPr>
                                      <w:rFonts w:ascii="Cambria Math" w:hAnsi="Cambria Math" w:cs="Times New Roman"/>
                                      <w:sz w:val="24"/>
                                      <w:szCs w:val="24"/>
                                    </w:rPr>
                                    <m:t>20</m:t>
                                  </m:r>
                                </m:den>
                              </m:f>
                            </m:e>
                          </m:nary>
                        </m:num>
                        <m:den>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den>
                      </m:f>
                    </m:e>
                  </m:nary>
                </m:num>
                <m:den>
                  <m:r>
                    <w:rPr>
                      <w:rFonts w:ascii="Cambria Math" w:hAnsi="Cambria Math" w:cs="Times New Roman"/>
                      <w:sz w:val="24"/>
                      <w:szCs w:val="24"/>
                    </w:rPr>
                    <m:t>J</m:t>
                  </m:r>
                </m:den>
              </m:f>
            </m:oMath>
            <w:r w:rsidR="00313148" w:rsidRPr="003F2B45">
              <w:rPr>
                <w:rFonts w:ascii="Times New Roman" w:hAnsi="Times New Roman" w:cs="Times New Roman"/>
                <w:sz w:val="24"/>
                <w:szCs w:val="24"/>
              </w:rPr>
              <w:t xml:space="preserve"> refers to the institutional ownership persistence </w:t>
            </w:r>
            <m:oMath>
              <m:r>
                <w:rPr>
                  <w:rFonts w:ascii="Cambria Math" w:hAnsi="Cambria Math" w:cs="Times New Roman"/>
                  <w:sz w:val="24"/>
                  <w:szCs w:val="24"/>
                </w:rPr>
                <m:t>(IOP)</m:t>
              </m:r>
            </m:oMath>
            <w:r w:rsidR="00313148" w:rsidRPr="003F2B45">
              <w:rPr>
                <w:rFonts w:ascii="Times New Roman" w:hAnsi="Times New Roman" w:cs="Times New Roman"/>
                <w:sz w:val="24"/>
                <w:szCs w:val="24"/>
              </w:rPr>
              <w:t xml:space="preserve"> measure for firm </w:t>
            </w:r>
            <m:oMath>
              <m:r>
                <w:rPr>
                  <w:rFonts w:ascii="Cambria Math" w:hAnsi="Cambria Math" w:cs="Times New Roman"/>
                  <w:sz w:val="24"/>
                  <w:szCs w:val="24"/>
                </w:rPr>
                <m:t>i</m:t>
              </m:r>
            </m:oMath>
            <w:r w:rsidR="00313148" w:rsidRPr="003F2B45">
              <w:rPr>
                <w:rFonts w:ascii="Times New Roman" w:hAnsi="Times New Roman" w:cs="Times New Roman"/>
                <w:sz w:val="24"/>
                <w:szCs w:val="24"/>
              </w:rPr>
              <w:t xml:space="preserve">. The firm’s </w:t>
            </w:r>
            <m:oMath>
              <m:r>
                <w:rPr>
                  <w:rFonts w:ascii="Cambria Math" w:hAnsi="Cambria Math" w:cs="Times New Roman"/>
                  <w:sz w:val="24"/>
                  <w:szCs w:val="24"/>
                </w:rPr>
                <m:t>IOP</m:t>
              </m:r>
            </m:oMath>
            <w:r w:rsidR="00313148" w:rsidRPr="003F2B45">
              <w:rPr>
                <w:rFonts w:ascii="Times New Roman" w:hAnsi="Times New Roman" w:cs="Times New Roman"/>
                <w:sz w:val="24"/>
                <w:szCs w:val="24"/>
              </w:rPr>
              <w:t xml:space="preserve"> measure is the average </w:t>
            </w:r>
            <m:oMath>
              <m:r>
                <w:rPr>
                  <w:rFonts w:ascii="Cambria Math" w:hAnsi="Cambria Math" w:cs="Times New Roman"/>
                  <w:sz w:val="24"/>
                  <w:szCs w:val="24"/>
                </w:rPr>
                <m:t>IOP</m:t>
              </m:r>
            </m:oMath>
            <w:r w:rsidR="00313148" w:rsidRPr="003F2B45">
              <w:rPr>
                <w:rFonts w:ascii="Times New Roman" w:hAnsi="Times New Roman" w:cs="Times New Roman"/>
                <w:sz w:val="24"/>
                <w:szCs w:val="24"/>
              </w:rPr>
              <w:t xml:space="preserve"> across all its institutional investors.</w:t>
            </w:r>
          </w:p>
        </w:tc>
        <w:tc>
          <w:tcPr>
            <w:tcW w:w="0" w:type="auto"/>
            <w:vAlign w:val="center"/>
          </w:tcPr>
          <w:p w14:paraId="31167252" w14:textId="77777777" w:rsidR="00313148" w:rsidRPr="003F2B45" w:rsidRDefault="00313148" w:rsidP="003F2B45">
            <w:pPr>
              <w:spacing w:line="480" w:lineRule="auto"/>
              <w:jc w:val="center"/>
              <w:rPr>
                <w:rFonts w:ascii="Times New Roman" w:eastAsia="SimSun" w:hAnsi="Times New Roman" w:cs="Times New Roman"/>
                <w:sz w:val="24"/>
                <w:szCs w:val="24"/>
              </w:rPr>
            </w:pPr>
            <w:r w:rsidRPr="003F2B45">
              <w:rPr>
                <w:rFonts w:ascii="Times New Roman" w:eastAsia="SimSun" w:hAnsi="Times New Roman" w:cs="Times New Roman"/>
                <w:sz w:val="24"/>
                <w:szCs w:val="24"/>
              </w:rPr>
              <w:t>(8)</w:t>
            </w:r>
          </w:p>
        </w:tc>
      </w:tr>
    </w:tbl>
    <w:p w14:paraId="681ACB6D" w14:textId="77777777" w:rsidR="00B26420" w:rsidRDefault="00B26420" w:rsidP="00E152A0">
      <w:pPr>
        <w:spacing w:line="480" w:lineRule="auto"/>
        <w:ind w:firstLine="720"/>
        <w:rPr>
          <w:rFonts w:ascii="Times New Roman" w:hAnsi="Times New Roman" w:cs="Times New Roman"/>
          <w:sz w:val="24"/>
          <w:szCs w:val="24"/>
        </w:rPr>
      </w:pPr>
    </w:p>
    <w:p w14:paraId="4ACB0858" w14:textId="77777777" w:rsidR="0011722D" w:rsidRPr="003F2B45" w:rsidRDefault="00971215"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The variables that we present in the rest of the analysis are: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w:t>
      </w:r>
      <m:oMath>
        <m:r>
          <w:rPr>
            <w:rFonts w:ascii="Cambria Math" w:hAnsi="Cambria Math" w:cs="Times New Roman"/>
            <w:sz w:val="24"/>
            <w:szCs w:val="24"/>
          </w:rPr>
          <m:t>IOV</m:t>
        </m:r>
      </m:oMath>
      <w:r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A higher value of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suggests that more shares are held by institutional investors. The higher the value of </w:t>
      </w:r>
      <m:oMath>
        <m:r>
          <w:rPr>
            <w:rFonts w:ascii="Cambria Math" w:hAnsi="Cambria Math" w:cs="Times New Roman"/>
            <w:sz w:val="24"/>
            <w:szCs w:val="24"/>
          </w:rPr>
          <m:t>IOV</m:t>
        </m:r>
      </m:oMath>
      <w:r w:rsidRPr="003F2B45">
        <w:rPr>
          <w:rFonts w:ascii="Times New Roman" w:hAnsi="Times New Roman" w:cs="Times New Roman"/>
          <w:sz w:val="24"/>
          <w:szCs w:val="24"/>
        </w:rPr>
        <w:t xml:space="preserve">, the less stable are the proportions of institutional shareholdings. Higher values of </w:t>
      </w:r>
      <m:oMath>
        <m:r>
          <w:rPr>
            <w:rFonts w:ascii="Cambria Math" w:hAnsi="Cambria Math" w:cs="Times New Roman"/>
            <w:sz w:val="24"/>
            <w:szCs w:val="24"/>
          </w:rPr>
          <m:t>IOP</m:t>
        </m:r>
      </m:oMath>
      <w:r w:rsidRPr="003F2B45">
        <w:rPr>
          <w:rFonts w:ascii="Times New Roman" w:hAnsi="Times New Roman" w:cs="Times New Roman"/>
          <w:sz w:val="24"/>
          <w:szCs w:val="24"/>
        </w:rPr>
        <w:t xml:space="preserve"> are associated with institutional investors holding stable and large proportions of the company’s stock.</w:t>
      </w:r>
      <w:r w:rsidR="00A325C0" w:rsidRPr="003F2B45">
        <w:rPr>
          <w:rFonts w:ascii="Times New Roman" w:hAnsi="Times New Roman" w:cs="Times New Roman"/>
          <w:sz w:val="24"/>
          <w:szCs w:val="24"/>
        </w:rPr>
        <w:t xml:space="preserve"> Institutional ownership stability is therefore associated with lower values of </w:t>
      </w:r>
      <m:oMath>
        <m:r>
          <w:rPr>
            <w:rFonts w:ascii="Cambria Math" w:hAnsi="Cambria Math" w:cs="Times New Roman"/>
            <w:sz w:val="24"/>
            <w:szCs w:val="24"/>
          </w:rPr>
          <m:t>IOV</m:t>
        </m:r>
      </m:oMath>
      <w:r w:rsidR="00A325C0" w:rsidRPr="003F2B45">
        <w:rPr>
          <w:rFonts w:ascii="Times New Roman" w:hAnsi="Times New Roman" w:cs="Times New Roman"/>
          <w:sz w:val="24"/>
          <w:szCs w:val="24"/>
        </w:rPr>
        <w:t xml:space="preserve"> and higher values of </w:t>
      </w:r>
      <m:oMath>
        <m:r>
          <w:rPr>
            <w:rFonts w:ascii="Cambria Math" w:hAnsi="Cambria Math" w:cs="Times New Roman"/>
            <w:sz w:val="24"/>
            <w:szCs w:val="24"/>
          </w:rPr>
          <m:t>IOP</m:t>
        </m:r>
      </m:oMath>
      <w:r w:rsidR="00A325C0" w:rsidRPr="003F2B45">
        <w:rPr>
          <w:rFonts w:ascii="Times New Roman" w:hAnsi="Times New Roman" w:cs="Times New Roman"/>
          <w:sz w:val="24"/>
          <w:szCs w:val="24"/>
        </w:rPr>
        <w:t>.</w:t>
      </w:r>
    </w:p>
    <w:p w14:paraId="6A0C0211" w14:textId="6971AA71" w:rsidR="00467DF5" w:rsidRPr="003F2B45" w:rsidRDefault="00A325C0"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IV.</w:t>
      </w:r>
      <w:r w:rsidR="00971215" w:rsidRPr="003F2B45">
        <w:rPr>
          <w:rFonts w:ascii="Times New Roman" w:hAnsi="Times New Roman" w:cs="Times New Roman"/>
          <w:b/>
          <w:sz w:val="24"/>
          <w:szCs w:val="24"/>
        </w:rPr>
        <w:t xml:space="preserve">3 </w:t>
      </w:r>
      <w:r w:rsidRPr="003F2B45">
        <w:rPr>
          <w:rFonts w:ascii="Times New Roman" w:hAnsi="Times New Roman" w:cs="Times New Roman"/>
          <w:b/>
          <w:sz w:val="24"/>
          <w:szCs w:val="24"/>
        </w:rPr>
        <w:t xml:space="preserve">Measuring the effects of institutional ownership stability on the firm’s propensity to </w:t>
      </w:r>
      <w:r w:rsidR="001C3E41">
        <w:rPr>
          <w:rFonts w:ascii="Times New Roman" w:hAnsi="Times New Roman" w:cs="Times New Roman"/>
          <w:b/>
          <w:sz w:val="24"/>
          <w:szCs w:val="24"/>
        </w:rPr>
        <w:t xml:space="preserve">pay dividends </w:t>
      </w:r>
      <w:r w:rsidRPr="003F2B45">
        <w:rPr>
          <w:rFonts w:ascii="Times New Roman" w:hAnsi="Times New Roman" w:cs="Times New Roman"/>
          <w:b/>
          <w:sz w:val="24"/>
          <w:szCs w:val="24"/>
        </w:rPr>
        <w:t>and the magnitude of its dividend payout ratio</w:t>
      </w:r>
    </w:p>
    <w:p w14:paraId="69B827CE" w14:textId="48A4A7D0" w:rsidR="009A51A1" w:rsidRPr="003F2B45" w:rsidRDefault="00A325C0"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We first examine how institutional ownership stability affects the firm’s decision to pay dividends. We </w:t>
      </w:r>
      <w:r w:rsidR="009A51A1" w:rsidRPr="003F2B45">
        <w:rPr>
          <w:rFonts w:ascii="Times New Roman" w:hAnsi="Times New Roman" w:cs="Times New Roman"/>
          <w:sz w:val="24"/>
          <w:szCs w:val="24"/>
        </w:rPr>
        <w:t xml:space="preserve">estimate a firm’s propensity to </w:t>
      </w:r>
      <w:r w:rsidR="001C3E41">
        <w:rPr>
          <w:rFonts w:ascii="Times New Roman" w:hAnsi="Times New Roman" w:cs="Times New Roman"/>
          <w:sz w:val="24"/>
          <w:szCs w:val="24"/>
        </w:rPr>
        <w:t xml:space="preserve">pay dividends </w:t>
      </w:r>
      <w:r w:rsidR="009A51A1" w:rsidRPr="003F2B45">
        <w:rPr>
          <w:rFonts w:ascii="Times New Roman" w:hAnsi="Times New Roman" w:cs="Times New Roman"/>
          <w:sz w:val="24"/>
          <w:szCs w:val="24"/>
        </w:rPr>
        <w:t xml:space="preserve">by using the following model adapted from Grullon </w:t>
      </w:r>
      <w:r w:rsidR="009A51A1" w:rsidRPr="00485BCC">
        <w:rPr>
          <w:rFonts w:ascii="Times New Roman" w:hAnsi="Times New Roman" w:cs="Times New Roman"/>
          <w:i/>
          <w:sz w:val="24"/>
          <w:szCs w:val="24"/>
        </w:rPr>
        <w:t>et al</w:t>
      </w:r>
      <w:r w:rsidR="009A51A1" w:rsidRPr="003F2B45">
        <w:rPr>
          <w:rFonts w:ascii="Times New Roman" w:hAnsi="Times New Roman" w:cs="Times New Roman"/>
          <w:sz w:val="24"/>
          <w:szCs w:val="24"/>
        </w:rPr>
        <w:t xml:space="preserve">. (2002), DeAngelo </w:t>
      </w:r>
      <w:r w:rsidR="009A51A1" w:rsidRPr="00485BCC">
        <w:rPr>
          <w:rFonts w:ascii="Times New Roman" w:hAnsi="Times New Roman" w:cs="Times New Roman"/>
          <w:i/>
          <w:sz w:val="24"/>
          <w:szCs w:val="24"/>
        </w:rPr>
        <w:t>et al</w:t>
      </w:r>
      <w:r w:rsidR="009A51A1" w:rsidRPr="003F2B45">
        <w:rPr>
          <w:rFonts w:ascii="Times New Roman" w:hAnsi="Times New Roman" w:cs="Times New Roman"/>
          <w:sz w:val="24"/>
          <w:szCs w:val="24"/>
        </w:rPr>
        <w:t>. (2006), and Banyi and Kahle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0"/>
        <w:gridCol w:w="496"/>
      </w:tblGrid>
      <w:tr w:rsidR="00322911" w:rsidRPr="003F2B45" w14:paraId="2A1590C5" w14:textId="77777777" w:rsidTr="00322911">
        <w:tc>
          <w:tcPr>
            <w:tcW w:w="0" w:type="auto"/>
            <w:vAlign w:val="center"/>
          </w:tcPr>
          <w:p w14:paraId="58DBFDAD" w14:textId="6A4FAEF1" w:rsidR="00322911" w:rsidRPr="003F2B45" w:rsidRDefault="00322911" w:rsidP="003F2B45">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PAYE</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MKCAP</m:t>
                            </m:r>
                          </m:e>
                        </m:d>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MKB</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SALEGROWT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SYSTEMATI</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IDIOSYNCRATI</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REtoT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e>
                </m:func>
                <m:r>
                  <w:rPr>
                    <w:rFonts w:ascii="Cambria Math" w:hAnsi="Cambria Math" w:cs="Times New Roman"/>
                    <w:sz w:val="24"/>
                    <w:szCs w:val="24"/>
                  </w:rPr>
                  <m:t>TEtoT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r>
                  <w:rPr>
                    <w:rFonts w:ascii="Cambria Math" w:hAnsi="Cambria Math" w:cs="Times New Roman"/>
                    <w:sz w:val="24"/>
                    <w:szCs w:val="24"/>
                  </w:rPr>
                  <m:t>CAS</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r>
                  <w:rPr>
                    <w:rFonts w:ascii="Cambria Math" w:hAnsi="Cambria Math" w:cs="Times New Roman"/>
                    <w:sz w:val="24"/>
                    <w:szCs w:val="24"/>
                  </w:rPr>
                  <m:t>RO</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r>
                  <w:rPr>
                    <w:rFonts w:ascii="Cambria Math" w:hAnsi="Cambria Math" w:cs="Times New Roman"/>
                    <w:sz w:val="24"/>
                    <w:szCs w:val="24"/>
                  </w:rPr>
                  <m:t>TURNOVE</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m:oMathPara>
          </w:p>
        </w:tc>
        <w:tc>
          <w:tcPr>
            <w:tcW w:w="0" w:type="auto"/>
            <w:vAlign w:val="center"/>
          </w:tcPr>
          <w:p w14:paraId="0A9FA8A6" w14:textId="77777777" w:rsidR="00322911" w:rsidRPr="003F2B45" w:rsidRDefault="00CA53E4"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(9</w:t>
            </w:r>
            <w:r w:rsidR="00322911" w:rsidRPr="003F2B45">
              <w:rPr>
                <w:rFonts w:ascii="Times New Roman" w:hAnsi="Times New Roman" w:cs="Times New Roman"/>
                <w:sz w:val="24"/>
                <w:szCs w:val="24"/>
              </w:rPr>
              <w:t>)</w:t>
            </w:r>
          </w:p>
        </w:tc>
      </w:tr>
    </w:tbl>
    <w:p w14:paraId="185F8C57" w14:textId="77777777" w:rsidR="00322911" w:rsidRPr="003F2B45" w:rsidRDefault="00322911" w:rsidP="003F2B45">
      <w:pPr>
        <w:spacing w:line="480" w:lineRule="auto"/>
        <w:rPr>
          <w:rFonts w:ascii="Times New Roman" w:hAnsi="Times New Roman" w:cs="Times New Roman"/>
          <w:sz w:val="24"/>
          <w:szCs w:val="24"/>
        </w:rPr>
      </w:pPr>
    </w:p>
    <w:p w14:paraId="2497B6FB" w14:textId="24432643" w:rsidR="00246914" w:rsidRPr="003F2B45" w:rsidRDefault="006D5E89" w:rsidP="003F2B45">
      <w:pPr>
        <w:spacing w:line="480" w:lineRule="auto"/>
        <w:rPr>
          <w:rFonts w:ascii="Times New Roman" w:hAnsi="Times New Roman" w:cs="Times New Roman"/>
          <w:sz w:val="24"/>
          <w:szCs w:val="24"/>
        </w:rPr>
      </w:pPr>
      <w:r w:rsidRPr="003F2B45">
        <w:rPr>
          <w:rFonts w:ascii="Times New Roman" w:hAnsi="Times New Roman" w:cs="Times New Roman"/>
          <w:sz w:val="24"/>
          <w:szCs w:val="24"/>
        </w:rPr>
        <w:t xml:space="preserve">where </w:t>
      </w:r>
      <m:oMath>
        <m:r>
          <w:rPr>
            <w:rFonts w:ascii="Cambria Math" w:hAnsi="Cambria Math" w:cs="Times New Roman"/>
            <w:sz w:val="24"/>
            <w:szCs w:val="24"/>
          </w:rPr>
          <m:t>PAYER</m:t>
        </m:r>
      </m:oMath>
      <w:r w:rsidRPr="003F2B45">
        <w:rPr>
          <w:rFonts w:ascii="Times New Roman" w:hAnsi="Times New Roman" w:cs="Times New Roman"/>
          <w:sz w:val="24"/>
          <w:szCs w:val="24"/>
        </w:rPr>
        <w:t xml:space="preserve"> takes a value </w:t>
      </w:r>
      <w:r w:rsidR="00B26420">
        <w:rPr>
          <w:rFonts w:ascii="Times New Roman" w:hAnsi="Times New Roman" w:cs="Times New Roman"/>
          <w:sz w:val="24"/>
          <w:szCs w:val="24"/>
        </w:rPr>
        <w:t xml:space="preserve">of one </w:t>
      </w:r>
      <w:r w:rsidR="00FF70D4">
        <w:rPr>
          <w:rFonts w:ascii="Times New Roman" w:hAnsi="Times New Roman" w:cs="Times New Roman"/>
          <w:sz w:val="24"/>
          <w:szCs w:val="24"/>
        </w:rPr>
        <w:t>for firm-year observation with nonzero cash dividend</w:t>
      </w:r>
      <w:r w:rsidRPr="003F2B45">
        <w:rPr>
          <w:rFonts w:ascii="Times New Roman" w:hAnsi="Times New Roman" w:cs="Times New Roman"/>
          <w:sz w:val="24"/>
          <w:szCs w:val="24"/>
        </w:rPr>
        <w:t xml:space="preserve">, else it takes a value of zero; </w:t>
      </w:r>
      <m:oMath>
        <m:r>
          <w:rPr>
            <w:rFonts w:ascii="Cambria Math" w:hAnsi="Cambria Math" w:cs="Times New Roman"/>
            <w:sz w:val="24"/>
            <w:szCs w:val="24"/>
          </w:rPr>
          <m:t>MKCAP</m:t>
        </m:r>
      </m:oMath>
      <w:r w:rsidRPr="003F2B45">
        <w:rPr>
          <w:rFonts w:ascii="Times New Roman" w:hAnsi="Times New Roman" w:cs="Times New Roman"/>
          <w:sz w:val="24"/>
          <w:szCs w:val="24"/>
        </w:rPr>
        <w:t xml:space="preserve"> is the firm’s market capitalization,</w:t>
      </w:r>
      <w:r w:rsidR="005A3D8B">
        <w:rPr>
          <w:rFonts w:ascii="Times New Roman" w:hAnsi="Times New Roman" w:cs="Times New Roman"/>
          <w:sz w:val="24"/>
          <w:szCs w:val="24"/>
        </w:rPr>
        <w:t xml:space="preserve"> </w:t>
      </w:r>
      <m:oMath>
        <m:r>
          <w:rPr>
            <w:rFonts w:ascii="Cambria Math" w:hAnsi="Cambria Math" w:cs="Times New Roman"/>
            <w:sz w:val="24"/>
            <w:szCs w:val="24"/>
          </w:rPr>
          <m:t>MKBK</m:t>
        </m:r>
      </m:oMath>
      <w:r w:rsidR="005A3D8B">
        <w:rPr>
          <w:rFonts w:ascii="Times New Roman" w:hAnsi="Times New Roman" w:cs="Times New Roman"/>
          <w:sz w:val="24"/>
          <w:szCs w:val="24"/>
        </w:rPr>
        <w:t xml:space="preserve"> represents the firm’s market-to-book ratio; </w:t>
      </w:r>
      <m:oMath>
        <m:r>
          <w:rPr>
            <w:rFonts w:ascii="Cambria Math" w:hAnsi="Cambria Math" w:cs="Times New Roman"/>
            <w:sz w:val="24"/>
            <w:szCs w:val="24"/>
          </w:rPr>
          <m:t>SALEGROWTH</m:t>
        </m:r>
      </m:oMath>
      <w:r w:rsidRPr="003F2B45">
        <w:rPr>
          <w:rFonts w:ascii="Times New Roman" w:hAnsi="Times New Roman" w:cs="Times New Roman"/>
          <w:sz w:val="24"/>
          <w:szCs w:val="24"/>
        </w:rPr>
        <w:t xml:space="preserve"> represent the percentage increase in sales, </w:t>
      </w:r>
      <m:oMath>
        <m:r>
          <w:rPr>
            <w:rFonts w:ascii="Cambria Math" w:hAnsi="Cambria Math" w:cs="Times New Roman"/>
            <w:sz w:val="24"/>
            <w:szCs w:val="24"/>
          </w:rPr>
          <m:t>SYSTEMATIC</m:t>
        </m:r>
      </m:oMath>
      <w:r w:rsidRPr="003F2B45">
        <w:rPr>
          <w:rFonts w:ascii="Times New Roman" w:hAnsi="Times New Roman" w:cs="Times New Roman"/>
          <w:sz w:val="24"/>
          <w:szCs w:val="24"/>
        </w:rPr>
        <w:t xml:space="preserve"> is the standard deviation of the predicted daily returns using the Fama-French </w:t>
      </w:r>
      <w:r w:rsidR="00003DD1" w:rsidRPr="003F2B45">
        <w:rPr>
          <w:rFonts w:ascii="Times New Roman" w:hAnsi="Times New Roman" w:cs="Times New Roman"/>
          <w:sz w:val="24"/>
          <w:szCs w:val="24"/>
        </w:rPr>
        <w:t xml:space="preserve">(1993) </w:t>
      </w:r>
      <w:r w:rsidRPr="003F2B45">
        <w:rPr>
          <w:rFonts w:ascii="Times New Roman" w:hAnsi="Times New Roman" w:cs="Times New Roman"/>
          <w:sz w:val="24"/>
          <w:szCs w:val="24"/>
        </w:rPr>
        <w:t xml:space="preserve">three-factor model, </w:t>
      </w:r>
      <m:oMath>
        <m:r>
          <w:rPr>
            <w:rFonts w:ascii="Cambria Math" w:hAnsi="Cambria Math" w:cs="Times New Roman"/>
            <w:sz w:val="24"/>
            <w:szCs w:val="24"/>
          </w:rPr>
          <m:t>IDIOSYNCRATIC</m:t>
        </m:r>
      </m:oMath>
      <w:r w:rsidR="004D0188" w:rsidRPr="003F2B45">
        <w:rPr>
          <w:rFonts w:ascii="Times New Roman" w:hAnsi="Times New Roman" w:cs="Times New Roman"/>
          <w:sz w:val="24"/>
          <w:szCs w:val="24"/>
        </w:rPr>
        <w:t xml:space="preserve"> refers to the standard deviation of the residuals from the three-factor model, </w:t>
      </w:r>
      <m:oMath>
        <m:r>
          <w:rPr>
            <w:rFonts w:ascii="Cambria Math" w:hAnsi="Cambria Math" w:cs="Times New Roman"/>
            <w:sz w:val="24"/>
            <w:szCs w:val="24"/>
          </w:rPr>
          <m:t>REtoTE</m:t>
        </m:r>
      </m:oMath>
      <w:r w:rsidRPr="003F2B45">
        <w:rPr>
          <w:rFonts w:ascii="Times New Roman" w:hAnsi="Times New Roman" w:cs="Times New Roman"/>
          <w:sz w:val="24"/>
          <w:szCs w:val="24"/>
        </w:rPr>
        <w:t xml:space="preserve"> represents the ratio of retained earnings-to-total equity, </w:t>
      </w:r>
      <m:oMath>
        <m:r>
          <w:rPr>
            <w:rFonts w:ascii="Cambria Math" w:hAnsi="Cambria Math" w:cs="Times New Roman"/>
            <w:sz w:val="24"/>
            <w:szCs w:val="24"/>
          </w:rPr>
          <m:t>TEtoTA</m:t>
        </m:r>
      </m:oMath>
      <w:r w:rsidRPr="003F2B45">
        <w:rPr>
          <w:rFonts w:ascii="Times New Roman" w:hAnsi="Times New Roman" w:cs="Times New Roman"/>
          <w:sz w:val="24"/>
          <w:szCs w:val="24"/>
        </w:rPr>
        <w:t xml:space="preserve"> represents the ratio of total equity-to-total assets, </w:t>
      </w:r>
      <m:oMath>
        <m:r>
          <w:rPr>
            <w:rFonts w:ascii="Cambria Math" w:hAnsi="Cambria Math" w:cs="Times New Roman"/>
            <w:sz w:val="24"/>
            <w:szCs w:val="24"/>
          </w:rPr>
          <m:t>CASH</m:t>
        </m:r>
      </m:oMath>
      <w:r w:rsidRPr="003F2B45">
        <w:rPr>
          <w:rFonts w:ascii="Times New Roman" w:hAnsi="Times New Roman" w:cs="Times New Roman"/>
          <w:sz w:val="24"/>
          <w:szCs w:val="24"/>
        </w:rPr>
        <w:t xml:space="preserve"> is the ratio of cash and bank balances-to-total assets, </w:t>
      </w:r>
      <m:oMath>
        <m:r>
          <w:rPr>
            <w:rFonts w:ascii="Cambria Math" w:hAnsi="Cambria Math" w:cs="Times New Roman"/>
            <w:sz w:val="24"/>
            <w:szCs w:val="24"/>
          </w:rPr>
          <m:t>ROA</m:t>
        </m:r>
      </m:oMath>
      <w:r w:rsidRPr="003F2B45">
        <w:rPr>
          <w:rFonts w:ascii="Times New Roman" w:hAnsi="Times New Roman" w:cs="Times New Roman"/>
          <w:sz w:val="24"/>
          <w:szCs w:val="24"/>
        </w:rPr>
        <w:t xml:space="preserve"> is the return on assets, </w:t>
      </w:r>
      <m:oMath>
        <m:r>
          <w:rPr>
            <w:rFonts w:ascii="Cambria Math" w:hAnsi="Cambria Math" w:cs="Times New Roman"/>
            <w:sz w:val="24"/>
            <w:szCs w:val="24"/>
          </w:rPr>
          <m:t>TURNOVER</m:t>
        </m:r>
      </m:oMath>
      <w:r w:rsidRPr="003F2B45">
        <w:rPr>
          <w:rFonts w:ascii="Times New Roman" w:hAnsi="Times New Roman" w:cs="Times New Roman"/>
          <w:sz w:val="24"/>
          <w:szCs w:val="24"/>
        </w:rPr>
        <w:t xml:space="preserve"> is the ratio of average trading volumes-to-total number of shares outstanding, and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w:t>
      </w:r>
      <m:oMath>
        <m:r>
          <w:rPr>
            <w:rFonts w:ascii="Cambria Math" w:hAnsi="Cambria Math" w:cs="Times New Roman"/>
            <w:sz w:val="24"/>
            <w:szCs w:val="24"/>
          </w:rPr>
          <m:t>IOV</m:t>
        </m:r>
      </m:oMath>
      <w:r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are as defined earlier.</w:t>
      </w:r>
      <w:r w:rsidR="00246914" w:rsidRPr="003F2B45">
        <w:rPr>
          <w:rFonts w:ascii="Times New Roman" w:hAnsi="Times New Roman" w:cs="Times New Roman"/>
          <w:sz w:val="24"/>
          <w:szCs w:val="24"/>
        </w:rPr>
        <w:t xml:space="preserve"> </w:t>
      </w:r>
    </w:p>
    <w:p w14:paraId="6B5378B3" w14:textId="68F0A5AA" w:rsidR="006D5E89" w:rsidRPr="003F2B45" w:rsidRDefault="00246914"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To estimate the logistic regression, we follow the methodology of Fama and McBeth (1973). We estimate the regression using all firm observations in each of the 34 years comprising the sample period. We report the average coefficients of the variables in Table 3 and report </w:t>
      </w:r>
      <m:oMath>
        <m:r>
          <w:rPr>
            <w:rFonts w:ascii="Cambria Math" w:hAnsi="Cambria Math" w:cs="Times New Roman"/>
            <w:sz w:val="24"/>
            <w:szCs w:val="24"/>
          </w:rPr>
          <m:t>t</m:t>
        </m:r>
      </m:oMath>
      <w:r w:rsidRPr="003F2B45">
        <w:rPr>
          <w:rFonts w:ascii="Times New Roman" w:hAnsi="Times New Roman" w:cs="Times New Roman"/>
          <w:sz w:val="24"/>
          <w:szCs w:val="24"/>
        </w:rPr>
        <w:t xml:space="preserve">-statistics that are adjusted for serial correlation using the Newey and West </w:t>
      </w:r>
      <w:r w:rsidR="00B26420">
        <w:rPr>
          <w:rFonts w:ascii="Times New Roman" w:hAnsi="Times New Roman" w:cs="Times New Roman"/>
          <w:sz w:val="24"/>
          <w:szCs w:val="24"/>
        </w:rPr>
        <w:t>(1987) procedure</w:t>
      </w:r>
      <w:r w:rsidRPr="003F2B45">
        <w:rPr>
          <w:rFonts w:ascii="Times New Roman" w:hAnsi="Times New Roman" w:cs="Times New Roman"/>
          <w:sz w:val="24"/>
          <w:szCs w:val="24"/>
        </w:rPr>
        <w:t>.</w:t>
      </w:r>
    </w:p>
    <w:p w14:paraId="674539C3" w14:textId="6979611A" w:rsidR="00B35829" w:rsidRDefault="00246914"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The choice of variables follows prior studies. Fama and French (2001) suggest that large firms</w:t>
      </w:r>
      <w:r w:rsidR="00037F20" w:rsidRPr="003F2B45">
        <w:rPr>
          <w:rFonts w:ascii="Times New Roman" w:hAnsi="Times New Roman" w:cs="Times New Roman"/>
          <w:sz w:val="24"/>
          <w:szCs w:val="24"/>
        </w:rPr>
        <w:t xml:space="preserve"> (</w:t>
      </w:r>
      <w:r w:rsidR="00C6198A">
        <w:rPr>
          <w:rFonts w:ascii="Times New Roman" w:hAnsi="Times New Roman" w:cs="Times New Roman"/>
          <w:sz w:val="24"/>
          <w:szCs w:val="24"/>
        </w:rPr>
        <w:t>which we proxy</w:t>
      </w:r>
      <w:r w:rsidR="00037F20" w:rsidRPr="003F2B45">
        <w:rPr>
          <w:rFonts w:ascii="Times New Roman" w:hAnsi="Times New Roman" w:cs="Times New Roman"/>
          <w:sz w:val="24"/>
          <w:szCs w:val="24"/>
        </w:rPr>
        <w:t xml:space="preserve"> by </w:t>
      </w:r>
      <m:oMath>
        <m:r>
          <w:rPr>
            <w:rFonts w:ascii="Cambria Math" w:hAnsi="Cambria Math" w:cs="Times New Roman"/>
            <w:sz w:val="24"/>
            <w:szCs w:val="24"/>
          </w:rPr>
          <m:t>MKCAP</m:t>
        </m:r>
      </m:oMath>
      <w:r w:rsidR="00037F20" w:rsidRPr="003F2B45">
        <w:rPr>
          <w:rFonts w:ascii="Times New Roman" w:hAnsi="Times New Roman" w:cs="Times New Roman"/>
          <w:sz w:val="24"/>
          <w:szCs w:val="24"/>
        </w:rPr>
        <w:t>)</w:t>
      </w:r>
      <w:r w:rsidRPr="003F2B45">
        <w:rPr>
          <w:rFonts w:ascii="Times New Roman" w:hAnsi="Times New Roman" w:cs="Times New Roman"/>
          <w:sz w:val="24"/>
          <w:szCs w:val="24"/>
        </w:rPr>
        <w:t xml:space="preserve">, profitable ones </w:t>
      </w:r>
      <w:r w:rsidR="00037F20" w:rsidRPr="003F2B45">
        <w:rPr>
          <w:rFonts w:ascii="Times New Roman" w:hAnsi="Times New Roman" w:cs="Times New Roman"/>
          <w:sz w:val="24"/>
          <w:szCs w:val="24"/>
        </w:rPr>
        <w:t>(</w:t>
      </w:r>
      <m:oMath>
        <m:r>
          <w:rPr>
            <w:rFonts w:ascii="Cambria Math" w:hAnsi="Cambria Math" w:cs="Times New Roman"/>
            <w:sz w:val="24"/>
            <w:szCs w:val="24"/>
          </w:rPr>
          <m:t>ROA</m:t>
        </m:r>
      </m:oMath>
      <w:r w:rsidR="00037F20" w:rsidRPr="003F2B45">
        <w:rPr>
          <w:rFonts w:ascii="Times New Roman" w:hAnsi="Times New Roman" w:cs="Times New Roman"/>
          <w:sz w:val="24"/>
          <w:szCs w:val="24"/>
        </w:rPr>
        <w:t xml:space="preserve">) </w:t>
      </w:r>
      <w:r w:rsidRPr="003F2B45">
        <w:rPr>
          <w:rFonts w:ascii="Times New Roman" w:hAnsi="Times New Roman" w:cs="Times New Roman"/>
          <w:sz w:val="24"/>
          <w:szCs w:val="24"/>
        </w:rPr>
        <w:t xml:space="preserve">and firms with modest growth prospects </w:t>
      </w:r>
      <w:r w:rsidR="00037F20" w:rsidRPr="003F2B45">
        <w:rPr>
          <w:rFonts w:ascii="Times New Roman" w:hAnsi="Times New Roman" w:cs="Times New Roman"/>
          <w:sz w:val="24"/>
          <w:szCs w:val="24"/>
        </w:rPr>
        <w:t>(</w:t>
      </w:r>
      <m:oMath>
        <m:r>
          <w:rPr>
            <w:rFonts w:ascii="Cambria Math" w:hAnsi="Cambria Math" w:cs="Times New Roman"/>
            <w:sz w:val="24"/>
            <w:szCs w:val="24"/>
          </w:rPr>
          <m:t>MKBK</m:t>
        </m:r>
      </m:oMath>
      <w:r w:rsidR="00037F20" w:rsidRPr="003F2B45">
        <w:rPr>
          <w:rFonts w:ascii="Times New Roman" w:hAnsi="Times New Roman" w:cs="Times New Roman"/>
          <w:sz w:val="24"/>
          <w:szCs w:val="24"/>
        </w:rPr>
        <w:t xml:space="preserve"> and </w:t>
      </w:r>
      <m:oMath>
        <m:r>
          <w:rPr>
            <w:rFonts w:ascii="Cambria Math" w:hAnsi="Cambria Math" w:cs="Times New Roman"/>
            <w:sz w:val="24"/>
            <w:szCs w:val="24"/>
          </w:rPr>
          <m:t>SALEGROWTH</m:t>
        </m:r>
      </m:oMath>
      <w:r w:rsidR="00037F20" w:rsidRPr="003F2B45">
        <w:rPr>
          <w:rFonts w:ascii="Times New Roman" w:hAnsi="Times New Roman" w:cs="Times New Roman"/>
          <w:sz w:val="24"/>
          <w:szCs w:val="24"/>
        </w:rPr>
        <w:t xml:space="preserve">) </w:t>
      </w:r>
      <w:r w:rsidRPr="003F2B45">
        <w:rPr>
          <w:rFonts w:ascii="Times New Roman" w:hAnsi="Times New Roman" w:cs="Times New Roman"/>
          <w:sz w:val="24"/>
          <w:szCs w:val="24"/>
        </w:rPr>
        <w:t xml:space="preserve">tend to pay dividend. </w:t>
      </w:r>
      <w:r w:rsidR="00037F20" w:rsidRPr="003F2B45">
        <w:rPr>
          <w:rFonts w:ascii="Times New Roman" w:hAnsi="Times New Roman" w:cs="Times New Roman"/>
          <w:sz w:val="24"/>
          <w:szCs w:val="24"/>
        </w:rPr>
        <w:t xml:space="preserve">Firms that are in the latter stages of their lifecycle will rely more on internal funds (DeAngelo </w:t>
      </w:r>
      <w:r w:rsidR="00037F20" w:rsidRPr="00485BCC">
        <w:rPr>
          <w:rFonts w:ascii="Times New Roman" w:hAnsi="Times New Roman" w:cs="Times New Roman"/>
          <w:i/>
          <w:sz w:val="24"/>
          <w:szCs w:val="24"/>
        </w:rPr>
        <w:t>et al</w:t>
      </w:r>
      <w:r w:rsidR="00037F20" w:rsidRPr="003F2B45">
        <w:rPr>
          <w:rFonts w:ascii="Times New Roman" w:hAnsi="Times New Roman" w:cs="Times New Roman"/>
          <w:sz w:val="24"/>
          <w:szCs w:val="24"/>
        </w:rPr>
        <w:t>. (2006)). We use the ratio of retained earnings-to-total equity (</w:t>
      </w:r>
      <m:oMath>
        <m:r>
          <w:rPr>
            <w:rFonts w:ascii="Cambria Math" w:hAnsi="Cambria Math" w:cs="Times New Roman"/>
            <w:sz w:val="24"/>
            <w:szCs w:val="24"/>
          </w:rPr>
          <m:t>REtoTE</m:t>
        </m:r>
      </m:oMath>
      <w:r w:rsidR="00037F20" w:rsidRPr="003F2B45">
        <w:rPr>
          <w:rFonts w:ascii="Times New Roman" w:hAnsi="Times New Roman" w:cs="Times New Roman"/>
          <w:sz w:val="24"/>
          <w:szCs w:val="24"/>
        </w:rPr>
        <w:t xml:space="preserve">) as </w:t>
      </w:r>
      <w:r w:rsidR="00B35829">
        <w:rPr>
          <w:rFonts w:ascii="Times New Roman" w:hAnsi="Times New Roman" w:cs="Times New Roman"/>
          <w:sz w:val="24"/>
          <w:szCs w:val="24"/>
        </w:rPr>
        <w:t>a</w:t>
      </w:r>
      <w:r w:rsidR="00B35829" w:rsidRPr="003F2B45">
        <w:rPr>
          <w:rFonts w:ascii="Times New Roman" w:hAnsi="Times New Roman" w:cs="Times New Roman"/>
          <w:sz w:val="24"/>
          <w:szCs w:val="24"/>
        </w:rPr>
        <w:t xml:space="preserve"> proxy</w:t>
      </w:r>
      <w:r w:rsidR="00037F20" w:rsidRPr="003F2B45">
        <w:rPr>
          <w:rFonts w:ascii="Times New Roman" w:hAnsi="Times New Roman" w:cs="Times New Roman"/>
          <w:sz w:val="24"/>
          <w:szCs w:val="24"/>
        </w:rPr>
        <w:t xml:space="preserve"> for life cycle. </w:t>
      </w:r>
      <w:r w:rsidR="00B35829">
        <w:rPr>
          <w:rFonts w:ascii="Times New Roman" w:hAnsi="Times New Roman" w:cs="Times New Roman"/>
          <w:sz w:val="24"/>
          <w:szCs w:val="24"/>
        </w:rPr>
        <w:t xml:space="preserve">Firms that are </w:t>
      </w:r>
      <w:r w:rsidR="00502AF8">
        <w:rPr>
          <w:rFonts w:ascii="Times New Roman" w:hAnsi="Times New Roman" w:cs="Times New Roman"/>
          <w:sz w:val="24"/>
          <w:szCs w:val="24"/>
        </w:rPr>
        <w:t xml:space="preserve">at an </w:t>
      </w:r>
      <w:r w:rsidR="00B35829">
        <w:rPr>
          <w:rFonts w:ascii="Times New Roman" w:hAnsi="Times New Roman" w:cs="Times New Roman"/>
          <w:sz w:val="24"/>
          <w:szCs w:val="24"/>
        </w:rPr>
        <w:t xml:space="preserve">early </w:t>
      </w:r>
      <w:r w:rsidR="00502AF8">
        <w:rPr>
          <w:rFonts w:ascii="Times New Roman" w:hAnsi="Times New Roman" w:cs="Times New Roman"/>
          <w:sz w:val="24"/>
          <w:szCs w:val="24"/>
        </w:rPr>
        <w:t xml:space="preserve">stage </w:t>
      </w:r>
      <w:r w:rsidR="00B35829">
        <w:rPr>
          <w:rFonts w:ascii="Times New Roman" w:hAnsi="Times New Roman" w:cs="Times New Roman"/>
          <w:sz w:val="24"/>
          <w:szCs w:val="24"/>
        </w:rPr>
        <w:t xml:space="preserve">in their </w:t>
      </w:r>
      <w:r w:rsidR="00D31021">
        <w:rPr>
          <w:rFonts w:ascii="Times New Roman" w:hAnsi="Times New Roman" w:cs="Times New Roman"/>
          <w:sz w:val="24"/>
          <w:szCs w:val="24"/>
        </w:rPr>
        <w:t>lifecycle</w:t>
      </w:r>
      <w:r w:rsidR="00B35829">
        <w:rPr>
          <w:rFonts w:ascii="Times New Roman" w:hAnsi="Times New Roman" w:cs="Times New Roman"/>
          <w:sz w:val="24"/>
          <w:szCs w:val="24"/>
        </w:rPr>
        <w:t xml:space="preserve"> will report low values of </w:t>
      </w:r>
      <m:oMath>
        <m:r>
          <w:rPr>
            <w:rFonts w:ascii="Cambria Math" w:hAnsi="Cambria Math" w:cs="Times New Roman"/>
            <w:sz w:val="24"/>
            <w:szCs w:val="24"/>
          </w:rPr>
          <m:t>REtoTE</m:t>
        </m:r>
      </m:oMath>
      <w:r w:rsidR="00B35829">
        <w:rPr>
          <w:rFonts w:ascii="Times New Roman" w:hAnsi="Times New Roman" w:cs="Times New Roman"/>
          <w:sz w:val="24"/>
          <w:szCs w:val="24"/>
        </w:rPr>
        <w:t xml:space="preserve">, while firms that are </w:t>
      </w:r>
      <w:r w:rsidR="00502AF8">
        <w:rPr>
          <w:rFonts w:ascii="Times New Roman" w:hAnsi="Times New Roman" w:cs="Times New Roman"/>
          <w:sz w:val="24"/>
          <w:szCs w:val="24"/>
        </w:rPr>
        <w:t xml:space="preserve">at an </w:t>
      </w:r>
      <w:r w:rsidR="00B35829">
        <w:rPr>
          <w:rFonts w:ascii="Times New Roman" w:hAnsi="Times New Roman" w:cs="Times New Roman"/>
          <w:sz w:val="24"/>
          <w:szCs w:val="24"/>
        </w:rPr>
        <w:t xml:space="preserve">advanced </w:t>
      </w:r>
      <w:r w:rsidR="00502AF8">
        <w:rPr>
          <w:rFonts w:ascii="Times New Roman" w:hAnsi="Times New Roman" w:cs="Times New Roman"/>
          <w:sz w:val="24"/>
          <w:szCs w:val="24"/>
        </w:rPr>
        <w:t xml:space="preserve">stage </w:t>
      </w:r>
      <w:r w:rsidR="00B35829">
        <w:rPr>
          <w:rFonts w:ascii="Times New Roman" w:hAnsi="Times New Roman" w:cs="Times New Roman"/>
          <w:sz w:val="24"/>
          <w:szCs w:val="24"/>
        </w:rPr>
        <w:t>will report higher values.</w:t>
      </w:r>
    </w:p>
    <w:p w14:paraId="7C4A49BC" w14:textId="3F1FABE3" w:rsidR="00037F20" w:rsidRPr="003F2B45" w:rsidRDefault="00037F20"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Hoberg and Prabhala (2009) </w:t>
      </w:r>
      <w:r w:rsidR="00B35829">
        <w:rPr>
          <w:rFonts w:ascii="Times New Roman" w:hAnsi="Times New Roman" w:cs="Times New Roman"/>
          <w:sz w:val="24"/>
          <w:szCs w:val="24"/>
        </w:rPr>
        <w:t>report</w:t>
      </w:r>
      <w:r w:rsidR="00B35829" w:rsidRPr="003F2B45">
        <w:rPr>
          <w:rFonts w:ascii="Times New Roman" w:hAnsi="Times New Roman" w:cs="Times New Roman"/>
          <w:sz w:val="24"/>
          <w:szCs w:val="24"/>
        </w:rPr>
        <w:t xml:space="preserve"> that</w:t>
      </w:r>
      <w:r w:rsidRPr="003F2B45">
        <w:rPr>
          <w:rFonts w:ascii="Times New Roman" w:hAnsi="Times New Roman" w:cs="Times New Roman"/>
          <w:sz w:val="24"/>
          <w:szCs w:val="24"/>
        </w:rPr>
        <w:t xml:space="preserve"> risk measures explain 40% of the “disappearing dividend” phenomenon. Thus, we control for a firm’s systematic and idiosyncratic risks. Market factors influence the first one, while the second one is influenced by a firm’s internal factors. Firms with little free cash flows (</w:t>
      </w:r>
      <m:oMath>
        <m:r>
          <w:rPr>
            <w:rFonts w:ascii="Cambria Math" w:hAnsi="Cambria Math" w:cs="Times New Roman"/>
            <w:sz w:val="24"/>
            <w:szCs w:val="24"/>
          </w:rPr>
          <m:t>CASH</m:t>
        </m:r>
      </m:oMath>
      <w:r w:rsidRPr="003F2B45">
        <w:rPr>
          <w:rFonts w:ascii="Times New Roman" w:hAnsi="Times New Roman" w:cs="Times New Roman"/>
          <w:sz w:val="24"/>
          <w:szCs w:val="24"/>
        </w:rPr>
        <w:t xml:space="preserve">) and </w:t>
      </w:r>
      <w:r w:rsidR="00CC5548">
        <w:rPr>
          <w:rFonts w:ascii="Times New Roman" w:hAnsi="Times New Roman" w:cs="Times New Roman"/>
          <w:sz w:val="24"/>
          <w:szCs w:val="24"/>
        </w:rPr>
        <w:t>highly levered ones</w:t>
      </w:r>
      <w:r w:rsidR="004D0188" w:rsidRPr="003F2B45">
        <w:rPr>
          <w:rFonts w:ascii="Times New Roman" w:hAnsi="Times New Roman" w:cs="Times New Roman"/>
          <w:sz w:val="24"/>
          <w:szCs w:val="24"/>
        </w:rPr>
        <w:t xml:space="preserve"> </w:t>
      </w:r>
      <w:r w:rsidR="006C15CD">
        <w:rPr>
          <w:rFonts w:ascii="Times New Roman" w:hAnsi="Times New Roman" w:cs="Times New Roman"/>
          <w:sz w:val="24"/>
          <w:szCs w:val="24"/>
        </w:rPr>
        <w:t xml:space="preserve">(i.e., associated with lower values of </w:t>
      </w:r>
      <m:oMath>
        <m:r>
          <w:rPr>
            <w:rFonts w:ascii="Cambria Math" w:hAnsi="Cambria Math" w:cs="Times New Roman"/>
            <w:sz w:val="24"/>
            <w:szCs w:val="24"/>
          </w:rPr>
          <m:t>TEtoTA</m:t>
        </m:r>
      </m:oMath>
      <w:r w:rsidR="004D0188" w:rsidRPr="003F2B45">
        <w:rPr>
          <w:rFonts w:ascii="Times New Roman" w:hAnsi="Times New Roman" w:cs="Times New Roman"/>
          <w:sz w:val="24"/>
          <w:szCs w:val="24"/>
        </w:rPr>
        <w:t xml:space="preserve">) are constrained in their ability to </w:t>
      </w:r>
      <w:r w:rsidR="001C3E41">
        <w:rPr>
          <w:rFonts w:ascii="Times New Roman" w:hAnsi="Times New Roman" w:cs="Times New Roman"/>
          <w:sz w:val="24"/>
          <w:szCs w:val="24"/>
        </w:rPr>
        <w:t xml:space="preserve">pay dividends </w:t>
      </w:r>
      <w:r w:rsidR="004D0188" w:rsidRPr="003F2B45">
        <w:rPr>
          <w:rFonts w:ascii="Times New Roman" w:hAnsi="Times New Roman" w:cs="Times New Roman"/>
          <w:sz w:val="24"/>
          <w:szCs w:val="24"/>
        </w:rPr>
        <w:t>(Fama and French, 2002). Banerjee, Gatchev and Spindt (2007) show that firms with illiquid stocks tend to maintain dividend payments (</w:t>
      </w:r>
      <m:oMath>
        <m:r>
          <w:rPr>
            <w:rFonts w:ascii="Cambria Math" w:hAnsi="Cambria Math" w:cs="Times New Roman"/>
            <w:sz w:val="24"/>
            <w:szCs w:val="24"/>
          </w:rPr>
          <m:t>TURNOVER</m:t>
        </m:r>
      </m:oMath>
      <w:r w:rsidR="004D0188" w:rsidRPr="003F2B45">
        <w:rPr>
          <w:rFonts w:ascii="Times New Roman" w:hAnsi="Times New Roman" w:cs="Times New Roman"/>
          <w:sz w:val="24"/>
          <w:szCs w:val="24"/>
        </w:rPr>
        <w:t>).</w:t>
      </w:r>
    </w:p>
    <w:p w14:paraId="48FBA1EA" w14:textId="124E6FD9" w:rsidR="00037F20" w:rsidRPr="003F2B45" w:rsidRDefault="00FD39F6"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To estimate the effect of institutional ownership stability on the </w:t>
      </w:r>
      <w:r w:rsidR="00FF70D4">
        <w:rPr>
          <w:rFonts w:ascii="Times New Roman" w:hAnsi="Times New Roman" w:cs="Times New Roman"/>
          <w:sz w:val="24"/>
          <w:szCs w:val="24"/>
        </w:rPr>
        <w:t xml:space="preserve">magnitude of the </w:t>
      </w:r>
      <w:r w:rsidRPr="003F2B45">
        <w:rPr>
          <w:rFonts w:ascii="Times New Roman" w:hAnsi="Times New Roman" w:cs="Times New Roman"/>
          <w:sz w:val="24"/>
          <w:szCs w:val="24"/>
        </w:rPr>
        <w:t>dividend payout ratio, we rerun the regression on the ratios of total dividend-to-total earnings (</w:t>
      </w:r>
      <m:oMath>
        <m:r>
          <w:rPr>
            <w:rFonts w:ascii="Cambria Math" w:hAnsi="Cambria Math" w:cs="Times New Roman"/>
            <w:sz w:val="24"/>
            <w:szCs w:val="24"/>
          </w:rPr>
          <m:t>DIV/EARN</m:t>
        </m:r>
      </m:oMath>
      <w:r w:rsidRPr="003F2B45">
        <w:rPr>
          <w:rFonts w:ascii="Times New Roman" w:hAnsi="Times New Roman" w:cs="Times New Roman"/>
          <w:sz w:val="24"/>
          <w:szCs w:val="24"/>
        </w:rPr>
        <w:t xml:space="preserve">) and total dividend-to-total assets </w:t>
      </w:r>
      <m:oMath>
        <m:r>
          <w:rPr>
            <w:rFonts w:ascii="Cambria Math" w:hAnsi="Cambria Math" w:cs="Times New Roman"/>
            <w:sz w:val="24"/>
            <w:szCs w:val="24"/>
          </w:rPr>
          <m:t>(DIV/ASSET)</m:t>
        </m:r>
      </m:oMath>
      <w:r w:rsidRPr="003F2B45">
        <w:rPr>
          <w:rFonts w:ascii="Times New Roman" w:hAnsi="Times New Roman" w:cs="Times New Roman"/>
          <w:sz w:val="24"/>
          <w:szCs w:val="24"/>
        </w:rPr>
        <w:t xml:space="preserve">, respectively. Instead of the logistic regression, we perform a panel fixed-effect regression </w:t>
      </w:r>
      <w:r w:rsidR="006A192A" w:rsidRPr="003F2B45">
        <w:rPr>
          <w:rFonts w:ascii="Times New Roman" w:hAnsi="Times New Roman" w:cs="Times New Roman"/>
          <w:sz w:val="24"/>
          <w:szCs w:val="24"/>
        </w:rPr>
        <w:t>on the dividend payout ratios.</w:t>
      </w:r>
    </w:p>
    <w:p w14:paraId="787F6825" w14:textId="0921770C" w:rsidR="00003DD1" w:rsidRPr="003F2B45" w:rsidRDefault="00003DD1"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 xml:space="preserve">VI.4 Institutional </w:t>
      </w:r>
      <w:r w:rsidR="00B95709" w:rsidRPr="003F2B45">
        <w:rPr>
          <w:rFonts w:ascii="Times New Roman" w:hAnsi="Times New Roman" w:cs="Times New Roman"/>
          <w:b/>
          <w:sz w:val="24"/>
          <w:szCs w:val="24"/>
        </w:rPr>
        <w:t xml:space="preserve">ownership </w:t>
      </w:r>
      <w:r w:rsidRPr="003F2B45">
        <w:rPr>
          <w:rFonts w:ascii="Times New Roman" w:hAnsi="Times New Roman" w:cs="Times New Roman"/>
          <w:b/>
          <w:sz w:val="24"/>
          <w:szCs w:val="24"/>
        </w:rPr>
        <w:t>between dividend paying and non-dividend paying propensity-matched firms</w:t>
      </w:r>
    </w:p>
    <w:p w14:paraId="54CAB05C" w14:textId="0114AA0C" w:rsidR="00F242FA" w:rsidRPr="003F2B45" w:rsidRDefault="00322911">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We </w:t>
      </w:r>
      <w:r w:rsidR="00CA53E4" w:rsidRPr="003F2B45">
        <w:rPr>
          <w:rFonts w:ascii="Times New Roman" w:hAnsi="Times New Roman" w:cs="Times New Roman"/>
          <w:sz w:val="24"/>
          <w:szCs w:val="24"/>
        </w:rPr>
        <w:t>use equation (9</w:t>
      </w:r>
      <w:r w:rsidRPr="003F2B45">
        <w:rPr>
          <w:rFonts w:ascii="Times New Roman" w:hAnsi="Times New Roman" w:cs="Times New Roman"/>
          <w:sz w:val="24"/>
          <w:szCs w:val="24"/>
        </w:rPr>
        <w:t xml:space="preserve">) to compute a propensity score for each firm, i.e., the likelihood that the firm will pay dividend. We then break the sample into two, i.e., between dividend and non-dividend paying firms based on actual (not predicted) outcome. For each dividend paying firm, we select a firm from the non-dividend paying sample with the closest propensity score. We end up with a sample of propensity-matched non-dividend paying firms. We then compare the proportion, volatility and persistence of institutional ownerships between the dividend paying and the propensity-matched non-dividend paying samples. </w:t>
      </w:r>
      <w:r w:rsidR="00D26C48">
        <w:rPr>
          <w:rFonts w:ascii="Times New Roman" w:hAnsi="Times New Roman" w:cs="Times New Roman"/>
          <w:sz w:val="24"/>
          <w:szCs w:val="24"/>
        </w:rPr>
        <w:t>W</w:t>
      </w:r>
      <w:r w:rsidR="00F242FA">
        <w:rPr>
          <w:rFonts w:ascii="Times New Roman" w:hAnsi="Times New Roman" w:cs="Times New Roman"/>
          <w:sz w:val="24"/>
          <w:szCs w:val="24"/>
        </w:rPr>
        <w:t>e</w:t>
      </w:r>
      <w:r w:rsidR="00D26C48">
        <w:rPr>
          <w:rFonts w:ascii="Times New Roman" w:hAnsi="Times New Roman" w:cs="Times New Roman"/>
          <w:sz w:val="24"/>
          <w:szCs w:val="24"/>
        </w:rPr>
        <w:t xml:space="preserve"> also</w:t>
      </w:r>
      <w:r w:rsidR="00F242FA">
        <w:rPr>
          <w:rFonts w:ascii="Times New Roman" w:hAnsi="Times New Roman" w:cs="Times New Roman"/>
          <w:sz w:val="24"/>
          <w:szCs w:val="24"/>
        </w:rPr>
        <w:t xml:space="preserve"> include the propensity score of all firms in the </w:t>
      </w:r>
      <w:r w:rsidR="00F242FA" w:rsidRPr="00F242FA">
        <w:rPr>
          <w:rFonts w:ascii="Times New Roman" w:hAnsi="Times New Roman" w:cs="Times New Roman"/>
          <w:sz w:val="24"/>
          <w:szCs w:val="24"/>
        </w:rPr>
        <w:t xml:space="preserve">panel fixed-effect </w:t>
      </w:r>
      <w:r w:rsidR="00F242FA">
        <w:rPr>
          <w:rFonts w:ascii="Times New Roman" w:hAnsi="Times New Roman" w:cs="Times New Roman"/>
          <w:sz w:val="24"/>
          <w:szCs w:val="24"/>
        </w:rPr>
        <w:t xml:space="preserve">regressions (represented by the variable </w:t>
      </w:r>
      <m:oMath>
        <m:r>
          <w:rPr>
            <w:rFonts w:ascii="Cambria Math" w:hAnsi="Cambria Math" w:cs="Times New Roman"/>
            <w:sz w:val="24"/>
            <w:szCs w:val="24"/>
          </w:rPr>
          <m:t>INVMILLS</m:t>
        </m:r>
      </m:oMath>
      <w:r w:rsidR="00F242FA">
        <w:rPr>
          <w:rFonts w:ascii="Times New Roman" w:hAnsi="Times New Roman" w:cs="Times New Roman"/>
          <w:sz w:val="24"/>
          <w:szCs w:val="24"/>
        </w:rPr>
        <w:t>)</w:t>
      </w:r>
      <w:r w:rsidR="00D26C48">
        <w:rPr>
          <w:rFonts w:ascii="Times New Roman" w:hAnsi="Times New Roman" w:cs="Times New Roman"/>
          <w:sz w:val="24"/>
          <w:szCs w:val="24"/>
        </w:rPr>
        <w:t xml:space="preserve"> to control for self-selection bias and endogeneity.</w:t>
      </w:r>
    </w:p>
    <w:p w14:paraId="7288F2F6" w14:textId="5AFF695C" w:rsidR="00246914" w:rsidRPr="003F2B45" w:rsidRDefault="00F21503"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The institutions for which shareholdings data are provided in Thomson-Reuters Institutional Holdings (13F) database include bank trusts</w:t>
      </w:r>
      <w:r w:rsidR="006F03BA">
        <w:rPr>
          <w:rFonts w:ascii="Times New Roman" w:hAnsi="Times New Roman" w:cs="Times New Roman"/>
          <w:sz w:val="24"/>
          <w:szCs w:val="24"/>
        </w:rPr>
        <w:t xml:space="preserve"> </w:t>
      </w:r>
      <m:oMath>
        <m:r>
          <w:rPr>
            <w:rFonts w:ascii="Cambria Math" w:hAnsi="Cambria Math" w:cs="Times New Roman"/>
            <w:sz w:val="24"/>
            <w:szCs w:val="24"/>
          </w:rPr>
          <m:t>(INV1)</m:t>
        </m:r>
      </m:oMath>
      <w:r w:rsidRPr="003F2B45">
        <w:rPr>
          <w:rFonts w:ascii="Times New Roman" w:hAnsi="Times New Roman" w:cs="Times New Roman"/>
          <w:sz w:val="24"/>
          <w:szCs w:val="24"/>
        </w:rPr>
        <w:t>, insurance companies</w:t>
      </w:r>
      <w:r w:rsidR="006F03BA">
        <w:rPr>
          <w:rFonts w:ascii="Times New Roman" w:hAnsi="Times New Roman" w:cs="Times New Roman"/>
          <w:sz w:val="24"/>
          <w:szCs w:val="24"/>
        </w:rPr>
        <w:t xml:space="preserve"> </w:t>
      </w:r>
      <m:oMath>
        <m:r>
          <w:rPr>
            <w:rFonts w:ascii="Cambria Math" w:hAnsi="Cambria Math" w:cs="Times New Roman"/>
            <w:sz w:val="24"/>
            <w:szCs w:val="24"/>
          </w:rPr>
          <m:t>(INV2)</m:t>
        </m:r>
      </m:oMath>
      <w:r w:rsidRPr="003F2B45">
        <w:rPr>
          <w:rFonts w:ascii="Times New Roman" w:hAnsi="Times New Roman" w:cs="Times New Roman"/>
          <w:sz w:val="24"/>
          <w:szCs w:val="24"/>
        </w:rPr>
        <w:t xml:space="preserve">, investment companies </w:t>
      </w:r>
      <m:oMath>
        <m:r>
          <w:rPr>
            <w:rFonts w:ascii="Cambria Math" w:hAnsi="Cambria Math" w:cs="Times New Roman"/>
            <w:sz w:val="24"/>
            <w:szCs w:val="24"/>
          </w:rPr>
          <m:t>(INV3)</m:t>
        </m:r>
      </m:oMath>
      <w:r w:rsidRPr="003F2B45">
        <w:rPr>
          <w:rFonts w:ascii="Times New Roman" w:hAnsi="Times New Roman" w:cs="Times New Roman"/>
          <w:sz w:val="24"/>
          <w:szCs w:val="24"/>
        </w:rPr>
        <w:t xml:space="preserve">, investment advisors </w:t>
      </w:r>
      <m:oMath>
        <m:r>
          <w:rPr>
            <w:rFonts w:ascii="Cambria Math" w:hAnsi="Cambria Math" w:cs="Times New Roman"/>
            <w:sz w:val="24"/>
            <w:szCs w:val="24"/>
          </w:rPr>
          <m:t>(INV4)</m:t>
        </m:r>
      </m:oMath>
      <w:r w:rsidR="006F03BA">
        <w:rPr>
          <w:rFonts w:ascii="Times New Roman" w:hAnsi="Times New Roman" w:cs="Times New Roman"/>
          <w:sz w:val="24"/>
          <w:szCs w:val="24"/>
        </w:rPr>
        <w:t xml:space="preserve">, and others including </w:t>
      </w:r>
      <w:r w:rsidRPr="003F2B45">
        <w:rPr>
          <w:rFonts w:ascii="Times New Roman" w:hAnsi="Times New Roman" w:cs="Times New Roman"/>
          <w:sz w:val="24"/>
          <w:szCs w:val="24"/>
        </w:rPr>
        <w:t>pension funds and endowments</w:t>
      </w:r>
      <w:r w:rsidR="006F03BA">
        <w:rPr>
          <w:rFonts w:ascii="Times New Roman" w:hAnsi="Times New Roman" w:cs="Times New Roman"/>
          <w:sz w:val="24"/>
          <w:szCs w:val="24"/>
        </w:rPr>
        <w:t xml:space="preserve"> </w:t>
      </w:r>
      <m:oMath>
        <m:r>
          <w:rPr>
            <w:rFonts w:ascii="Cambria Math" w:hAnsi="Cambria Math" w:cs="Times New Roman"/>
            <w:sz w:val="24"/>
            <w:szCs w:val="24"/>
          </w:rPr>
          <m:t>(INV5)</m:t>
        </m:r>
      </m:oMath>
      <w:r w:rsidRPr="003F2B45">
        <w:rPr>
          <w:rFonts w:ascii="Times New Roman" w:hAnsi="Times New Roman" w:cs="Times New Roman"/>
          <w:sz w:val="24"/>
          <w:szCs w:val="24"/>
        </w:rPr>
        <w:t>. To ensure that our findings are not driven by a particular subsample of institutional investors, we also study the effect of each subcategory separately.</w:t>
      </w:r>
    </w:p>
    <w:p w14:paraId="0ADDCB65" w14:textId="77777777" w:rsidR="00F21503" w:rsidRPr="003F2B45" w:rsidRDefault="00F21503"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VI.5 Analysing the volatility in the dividend payout ratios</w:t>
      </w:r>
    </w:p>
    <w:p w14:paraId="79D09743" w14:textId="33D797B0" w:rsidR="00F21503" w:rsidRDefault="005C406C"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We calculate the standard deviation </w:t>
      </w:r>
      <w:r w:rsidR="00CE4165">
        <w:rPr>
          <w:rFonts w:ascii="Times New Roman" w:hAnsi="Times New Roman" w:cs="Times New Roman"/>
          <w:sz w:val="24"/>
          <w:szCs w:val="24"/>
        </w:rPr>
        <w:t>of</w:t>
      </w:r>
      <w:r w:rsidRPr="003F2B45">
        <w:rPr>
          <w:rFonts w:ascii="Times New Roman" w:hAnsi="Times New Roman" w:cs="Times New Roman"/>
          <w:sz w:val="24"/>
          <w:szCs w:val="24"/>
        </w:rPr>
        <w:t xml:space="preserve"> the dividend payout ratios of sampled firms on a five-year rolling basis. The higher the value, the less stable is the firm’s dividend payments. We compare and contrast that measure between the sample</w:t>
      </w:r>
      <w:r w:rsidR="00CE4165">
        <w:rPr>
          <w:rFonts w:ascii="Times New Roman" w:hAnsi="Times New Roman" w:cs="Times New Roman"/>
          <w:sz w:val="24"/>
          <w:szCs w:val="24"/>
        </w:rPr>
        <w:t xml:space="preserve">s of firms with </w:t>
      </w:r>
      <w:r w:rsidRPr="003F2B45">
        <w:rPr>
          <w:rFonts w:ascii="Times New Roman" w:hAnsi="Times New Roman" w:cs="Times New Roman"/>
          <w:sz w:val="24"/>
          <w:szCs w:val="24"/>
        </w:rPr>
        <w:t xml:space="preserve">low </w:t>
      </w:r>
      <w:r w:rsidR="00CE4165">
        <w:rPr>
          <w:rFonts w:ascii="Times New Roman" w:hAnsi="Times New Roman" w:cs="Times New Roman"/>
          <w:sz w:val="24"/>
          <w:szCs w:val="24"/>
        </w:rPr>
        <w:t>vs.</w:t>
      </w:r>
      <w:r w:rsidRPr="003F2B45">
        <w:rPr>
          <w:rFonts w:ascii="Times New Roman" w:hAnsi="Times New Roman" w:cs="Times New Roman"/>
          <w:sz w:val="24"/>
          <w:szCs w:val="24"/>
        </w:rPr>
        <w:t xml:space="preserve"> high institutional ownerships. </w:t>
      </w:r>
      <w:r w:rsidR="00CE4165">
        <w:rPr>
          <w:rFonts w:ascii="Times New Roman" w:hAnsi="Times New Roman" w:cs="Times New Roman"/>
          <w:sz w:val="24"/>
          <w:szCs w:val="24"/>
        </w:rPr>
        <w:t>We perform a panel fixed-</w:t>
      </w:r>
      <w:r w:rsidRPr="003F2B45">
        <w:rPr>
          <w:rFonts w:ascii="Times New Roman" w:hAnsi="Times New Roman" w:cs="Times New Roman"/>
          <w:sz w:val="24"/>
          <w:szCs w:val="24"/>
        </w:rPr>
        <w:t xml:space="preserve">effect regression to establish the link between the volatility in dividend payments and the stability in the shareholdings of the institutional investors. To make all the variables in the model contemporaneous, we use rolling five-year </w:t>
      </w:r>
      <w:r w:rsidR="00E15C06">
        <w:rPr>
          <w:rFonts w:ascii="Times New Roman" w:hAnsi="Times New Roman" w:cs="Times New Roman"/>
          <w:sz w:val="24"/>
          <w:szCs w:val="24"/>
        </w:rPr>
        <w:t>averages</w:t>
      </w:r>
      <w:r w:rsidRPr="003F2B45">
        <w:rPr>
          <w:rFonts w:ascii="Times New Roman" w:hAnsi="Times New Roman" w:cs="Times New Roman"/>
          <w:sz w:val="24"/>
          <w:szCs w:val="24"/>
        </w:rPr>
        <w:t xml:space="preserve"> of the control variables in the regressions. </w:t>
      </w:r>
    </w:p>
    <w:p w14:paraId="5247E0AC" w14:textId="77777777" w:rsidR="004D0188" w:rsidRPr="003F2B45" w:rsidRDefault="00C00E40"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V. Results</w:t>
      </w:r>
    </w:p>
    <w:p w14:paraId="2A82FFBA" w14:textId="77777777" w:rsidR="00C00E40" w:rsidRPr="003F2B45" w:rsidRDefault="00C00E40"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V.1. Institutional ownership stability and the firm’s propensity to pay dividend</w:t>
      </w:r>
    </w:p>
    <w:p w14:paraId="2F07225E" w14:textId="571F4602" w:rsidR="00A379ED" w:rsidRPr="003F2B45" w:rsidRDefault="00C00E40" w:rsidP="00A379ED">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We run a logistic regression on </w:t>
      </w:r>
      <w:r w:rsidR="00CE5064">
        <w:rPr>
          <w:rFonts w:ascii="Times New Roman" w:hAnsi="Times New Roman" w:cs="Times New Roman"/>
          <w:sz w:val="24"/>
          <w:szCs w:val="24"/>
        </w:rPr>
        <w:t>the</w:t>
      </w:r>
      <w:r w:rsidR="00CE5064" w:rsidRPr="003F2B45">
        <w:rPr>
          <w:rFonts w:ascii="Times New Roman" w:hAnsi="Times New Roman" w:cs="Times New Roman"/>
          <w:sz w:val="24"/>
          <w:szCs w:val="24"/>
        </w:rPr>
        <w:t xml:space="preserve"> firms</w:t>
      </w:r>
      <w:r w:rsidRPr="003F2B45">
        <w:rPr>
          <w:rFonts w:ascii="Times New Roman" w:hAnsi="Times New Roman" w:cs="Times New Roman"/>
          <w:sz w:val="24"/>
          <w:szCs w:val="24"/>
        </w:rPr>
        <w:t xml:space="preserve">’ decision to </w:t>
      </w:r>
      <w:r w:rsidR="001C3E41">
        <w:rPr>
          <w:rFonts w:ascii="Times New Roman" w:hAnsi="Times New Roman" w:cs="Times New Roman"/>
          <w:sz w:val="24"/>
          <w:szCs w:val="24"/>
        </w:rPr>
        <w:t xml:space="preserve">pay dividends </w:t>
      </w:r>
      <w:r w:rsidRPr="003F2B45">
        <w:rPr>
          <w:rFonts w:ascii="Times New Roman" w:hAnsi="Times New Roman" w:cs="Times New Roman"/>
          <w:sz w:val="24"/>
          <w:szCs w:val="24"/>
        </w:rPr>
        <w:t>and present our findings in Table 3. The</w:t>
      </w:r>
      <w:r w:rsidR="00A379ED">
        <w:rPr>
          <w:rFonts w:ascii="Times New Roman" w:hAnsi="Times New Roman" w:cs="Times New Roman"/>
          <w:sz w:val="24"/>
          <w:szCs w:val="24"/>
        </w:rPr>
        <w:t xml:space="preserve"> </w:t>
      </w:r>
      <w:r w:rsidRPr="003F2B45">
        <w:rPr>
          <w:rFonts w:ascii="Times New Roman" w:hAnsi="Times New Roman" w:cs="Times New Roman"/>
          <w:sz w:val="24"/>
          <w:szCs w:val="24"/>
        </w:rPr>
        <w:t xml:space="preserve">coefficients of interest are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w:t>
      </w:r>
      <m:oMath>
        <m:r>
          <w:rPr>
            <w:rFonts w:ascii="Cambria Math" w:hAnsi="Cambria Math" w:cs="Times New Roman"/>
            <w:sz w:val="24"/>
            <w:szCs w:val="24"/>
          </w:rPr>
          <m:t>IOV</m:t>
        </m:r>
      </m:oMath>
      <w:r w:rsidRPr="003F2B45">
        <w:rPr>
          <w:rFonts w:ascii="Times New Roman" w:hAnsi="Times New Roman" w:cs="Times New Roman"/>
          <w:sz w:val="24"/>
          <w:szCs w:val="24"/>
        </w:rPr>
        <w:t xml:space="preserve"> </w:t>
      </w:r>
      <w:r w:rsidR="00CE5064">
        <w:rPr>
          <w:rFonts w:ascii="Times New Roman" w:hAnsi="Times New Roman" w:cs="Times New Roman"/>
          <w:sz w:val="24"/>
          <w:szCs w:val="24"/>
        </w:rPr>
        <w:t xml:space="preserve">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representing the proportions of shares held by institutional </w:t>
      </w:r>
      <w:r w:rsidR="00CE5064" w:rsidRPr="003F2B45">
        <w:rPr>
          <w:rFonts w:ascii="Times New Roman" w:hAnsi="Times New Roman" w:cs="Times New Roman"/>
          <w:sz w:val="24"/>
          <w:szCs w:val="24"/>
        </w:rPr>
        <w:t>investor</w:t>
      </w:r>
      <w:r w:rsidR="00CE5064">
        <w:rPr>
          <w:rFonts w:ascii="Times New Roman" w:hAnsi="Times New Roman" w:cs="Times New Roman"/>
          <w:sz w:val="24"/>
          <w:szCs w:val="24"/>
        </w:rPr>
        <w:t>s</w:t>
      </w:r>
      <w:r w:rsidRPr="003F2B45">
        <w:rPr>
          <w:rFonts w:ascii="Times New Roman" w:hAnsi="Times New Roman" w:cs="Times New Roman"/>
          <w:sz w:val="24"/>
          <w:szCs w:val="24"/>
        </w:rPr>
        <w:t xml:space="preserve">, institutional ownership volatility and persistence, respectively. The </w:t>
      </w:r>
      <w:r w:rsidR="00CE5064" w:rsidRPr="003F2B45">
        <w:rPr>
          <w:rFonts w:ascii="Times New Roman" w:hAnsi="Times New Roman" w:cs="Times New Roman"/>
          <w:sz w:val="24"/>
          <w:szCs w:val="24"/>
        </w:rPr>
        <w:t>coefficient</w:t>
      </w:r>
      <w:r w:rsidR="00CE5064">
        <w:rPr>
          <w:rFonts w:ascii="Times New Roman" w:hAnsi="Times New Roman" w:cs="Times New Roman"/>
          <w:sz w:val="24"/>
          <w:szCs w:val="24"/>
        </w:rPr>
        <w:t>s</w:t>
      </w:r>
      <w:r w:rsidRPr="003F2B45">
        <w:rPr>
          <w:rFonts w:ascii="Times New Roman" w:hAnsi="Times New Roman" w:cs="Times New Roman"/>
          <w:sz w:val="24"/>
          <w:szCs w:val="24"/>
        </w:rPr>
        <w:t xml:space="preserve"> of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and </w:t>
      </w:r>
      <w:r w:rsidR="00E15C06" w:rsidRPr="001C3E41">
        <w:rPr>
          <w:rFonts w:ascii="Times New Roman" w:hAnsi="Times New Roman" w:cs="Times New Roman"/>
          <w:sz w:val="24"/>
          <w:szCs w:val="24"/>
        </w:rPr>
        <w:t>IOP</w:t>
      </w:r>
      <w:r w:rsidR="00E15C06">
        <w:rPr>
          <w:rFonts w:ascii="Times New Roman" w:hAnsi="Times New Roman" w:cs="Times New Roman"/>
          <w:sz w:val="24"/>
          <w:szCs w:val="24"/>
        </w:rPr>
        <w:t xml:space="preserve"> </w:t>
      </w:r>
      <w:r w:rsidRPr="003F2B45">
        <w:rPr>
          <w:rFonts w:ascii="Times New Roman" w:hAnsi="Times New Roman" w:cs="Times New Roman"/>
          <w:sz w:val="24"/>
          <w:szCs w:val="24"/>
        </w:rPr>
        <w:t>are positive and significant</w:t>
      </w:r>
      <w:r w:rsidR="00A379ED">
        <w:rPr>
          <w:rFonts w:ascii="Times New Roman" w:hAnsi="Times New Roman" w:cs="Times New Roman"/>
          <w:sz w:val="24"/>
          <w:szCs w:val="24"/>
        </w:rPr>
        <w:t xml:space="preserve"> at the 1% level</w:t>
      </w:r>
      <w:r w:rsidRPr="003F2B45">
        <w:rPr>
          <w:rFonts w:ascii="Times New Roman" w:hAnsi="Times New Roman" w:cs="Times New Roman"/>
          <w:sz w:val="24"/>
          <w:szCs w:val="24"/>
        </w:rPr>
        <w:t>. Thus, firms with a higher proportion of outstanding shares held by institutional investors and persistence in their shareholdings are more likely to pay dividends.</w:t>
      </w:r>
      <w:r w:rsidR="00A379ED">
        <w:rPr>
          <w:rFonts w:ascii="Times New Roman" w:hAnsi="Times New Roman" w:cs="Times New Roman"/>
          <w:sz w:val="24"/>
          <w:szCs w:val="24"/>
        </w:rPr>
        <w:t xml:space="preserve"> </w:t>
      </w:r>
      <w:r w:rsidR="00A379ED" w:rsidRPr="003F2B45">
        <w:rPr>
          <w:rFonts w:ascii="Times New Roman" w:hAnsi="Times New Roman" w:cs="Times New Roman"/>
          <w:sz w:val="24"/>
          <w:szCs w:val="24"/>
        </w:rPr>
        <w:t xml:space="preserve">The coefficient of </w:t>
      </w:r>
      <m:oMath>
        <m:r>
          <w:rPr>
            <w:rFonts w:ascii="Cambria Math" w:hAnsi="Cambria Math" w:cs="Times New Roman"/>
            <w:sz w:val="24"/>
            <w:szCs w:val="24"/>
          </w:rPr>
          <m:t>IOV</m:t>
        </m:r>
      </m:oMath>
      <w:r w:rsidR="00A379ED" w:rsidRPr="003F2B45">
        <w:rPr>
          <w:rFonts w:ascii="Times New Roman" w:hAnsi="Times New Roman" w:cs="Times New Roman"/>
          <w:sz w:val="24"/>
          <w:szCs w:val="24"/>
        </w:rPr>
        <w:t xml:space="preserve"> is negative and highly significant suggesting that high volatility in the quarterly proportions of the shares held by institutional investors is associated with a lower likelihood to pay dividend.</w:t>
      </w:r>
    </w:p>
    <w:p w14:paraId="59773459" w14:textId="4D201837" w:rsidR="00D421E0" w:rsidRPr="003F2B45" w:rsidRDefault="00D421E0"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3 ABOUT HERE]</w:t>
      </w:r>
    </w:p>
    <w:p w14:paraId="110393AD" w14:textId="5800129F" w:rsidR="00C00E40" w:rsidRPr="003F2B45" w:rsidRDefault="00C00E40" w:rsidP="00D31021">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We also find that dividend payers are positively associated with size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(MKCAP)</m:t>
            </m:r>
          </m:e>
        </m:func>
      </m:oMath>
      <w:r w:rsidRPr="003F2B45">
        <w:rPr>
          <w:rFonts w:ascii="Times New Roman" w:hAnsi="Times New Roman" w:cs="Times New Roman"/>
          <w:sz w:val="24"/>
          <w:szCs w:val="24"/>
        </w:rPr>
        <w:t xml:space="preserve">), </w:t>
      </w:r>
      <w:r w:rsidR="00EF437A" w:rsidRPr="003F2B45">
        <w:rPr>
          <w:rFonts w:ascii="Times New Roman" w:hAnsi="Times New Roman" w:cs="Times New Roman"/>
          <w:sz w:val="24"/>
          <w:szCs w:val="24"/>
        </w:rPr>
        <w:t>profitability (</w:t>
      </w:r>
      <m:oMath>
        <m:r>
          <w:rPr>
            <w:rFonts w:ascii="Cambria Math" w:hAnsi="Cambria Math" w:cs="Times New Roman"/>
            <w:sz w:val="24"/>
            <w:szCs w:val="24"/>
          </w:rPr>
          <m:t>REtoTE</m:t>
        </m:r>
      </m:oMath>
      <w:r w:rsidR="00EF437A" w:rsidRPr="003F2B45">
        <w:rPr>
          <w:rFonts w:ascii="Times New Roman" w:hAnsi="Times New Roman" w:cs="Times New Roman"/>
          <w:sz w:val="24"/>
          <w:szCs w:val="24"/>
        </w:rPr>
        <w:t xml:space="preserve"> and </w:t>
      </w:r>
      <m:oMath>
        <m:r>
          <w:rPr>
            <w:rFonts w:ascii="Cambria Math" w:hAnsi="Cambria Math" w:cs="Times New Roman"/>
            <w:sz w:val="24"/>
            <w:szCs w:val="24"/>
          </w:rPr>
          <m:t>ROE</m:t>
        </m:r>
      </m:oMath>
      <w:r w:rsidR="00EF437A" w:rsidRPr="003F2B45">
        <w:rPr>
          <w:rFonts w:ascii="Times New Roman" w:hAnsi="Times New Roman" w:cs="Times New Roman"/>
          <w:sz w:val="24"/>
          <w:szCs w:val="24"/>
        </w:rPr>
        <w:t>) and lower leverage (</w:t>
      </w:r>
      <m:oMath>
        <m:r>
          <w:rPr>
            <w:rFonts w:ascii="Cambria Math" w:hAnsi="Cambria Math" w:cs="Times New Roman"/>
            <w:sz w:val="24"/>
            <w:szCs w:val="24"/>
          </w:rPr>
          <m:t>TEtoTA</m:t>
        </m:r>
      </m:oMath>
      <w:r w:rsidR="00EF437A" w:rsidRPr="003F2B45">
        <w:rPr>
          <w:rFonts w:ascii="Times New Roman" w:hAnsi="Times New Roman" w:cs="Times New Roman"/>
          <w:sz w:val="24"/>
          <w:szCs w:val="24"/>
        </w:rPr>
        <w:t>). Growth firms (</w:t>
      </w:r>
      <m:oMath>
        <m:r>
          <w:rPr>
            <w:rFonts w:ascii="Cambria Math" w:hAnsi="Cambria Math" w:cs="Times New Roman"/>
            <w:sz w:val="24"/>
            <w:szCs w:val="24"/>
          </w:rPr>
          <m:t>MKBK</m:t>
        </m:r>
      </m:oMath>
      <w:r w:rsidR="00EF437A" w:rsidRPr="003F2B45">
        <w:rPr>
          <w:rFonts w:ascii="Times New Roman" w:hAnsi="Times New Roman" w:cs="Times New Roman"/>
          <w:sz w:val="24"/>
          <w:szCs w:val="24"/>
        </w:rPr>
        <w:t xml:space="preserve"> and </w:t>
      </w:r>
      <m:oMath>
        <m:r>
          <w:rPr>
            <w:rFonts w:ascii="Cambria Math" w:hAnsi="Cambria Math" w:cs="Times New Roman"/>
            <w:sz w:val="24"/>
            <w:szCs w:val="24"/>
          </w:rPr>
          <m:t>SALEGROWTH</m:t>
        </m:r>
      </m:oMath>
      <w:r w:rsidR="00EF437A" w:rsidRPr="003F2B45">
        <w:rPr>
          <w:rFonts w:ascii="Times New Roman" w:hAnsi="Times New Roman" w:cs="Times New Roman"/>
          <w:sz w:val="24"/>
          <w:szCs w:val="24"/>
        </w:rPr>
        <w:t>) and risky firms (</w:t>
      </w:r>
      <m:oMath>
        <m:r>
          <w:rPr>
            <w:rFonts w:ascii="Cambria Math" w:hAnsi="Cambria Math" w:cs="Times New Roman"/>
            <w:sz w:val="24"/>
            <w:szCs w:val="24"/>
          </w:rPr>
          <m:t>SYSTEMATIC</m:t>
        </m:r>
      </m:oMath>
      <w:r w:rsidR="00EF437A" w:rsidRPr="003F2B45">
        <w:rPr>
          <w:rFonts w:ascii="Times New Roman" w:hAnsi="Times New Roman" w:cs="Times New Roman"/>
          <w:sz w:val="24"/>
          <w:szCs w:val="24"/>
        </w:rPr>
        <w:t xml:space="preserve"> and </w:t>
      </w:r>
      <m:oMath>
        <m:r>
          <w:rPr>
            <w:rFonts w:ascii="Cambria Math" w:hAnsi="Cambria Math" w:cs="Times New Roman"/>
            <w:sz w:val="24"/>
            <w:szCs w:val="24"/>
          </w:rPr>
          <m:t>IDIOSYNCRATIC</m:t>
        </m:r>
      </m:oMath>
      <w:r w:rsidR="00EF437A" w:rsidRPr="003F2B45">
        <w:rPr>
          <w:rFonts w:ascii="Times New Roman" w:hAnsi="Times New Roman" w:cs="Times New Roman"/>
          <w:sz w:val="24"/>
          <w:szCs w:val="24"/>
        </w:rPr>
        <w:t xml:space="preserve">) tend to be nonpayers. Firms with a lot of cash resources tend to be nonpayers too as the coefficient of </w:t>
      </w:r>
      <m:oMath>
        <m:r>
          <w:rPr>
            <w:rFonts w:ascii="Cambria Math" w:hAnsi="Cambria Math" w:cs="Times New Roman"/>
            <w:sz w:val="24"/>
            <w:szCs w:val="24"/>
          </w:rPr>
          <m:t>CASH</m:t>
        </m:r>
      </m:oMath>
      <w:r w:rsidR="00EF437A" w:rsidRPr="003F2B45">
        <w:rPr>
          <w:rFonts w:ascii="Times New Roman" w:hAnsi="Times New Roman" w:cs="Times New Roman"/>
          <w:sz w:val="24"/>
          <w:szCs w:val="24"/>
        </w:rPr>
        <w:t xml:space="preserve"> is negative and highly significant. Similarly, liquid stocks (</w:t>
      </w:r>
      <m:oMath>
        <m:r>
          <w:rPr>
            <w:rFonts w:ascii="Cambria Math" w:hAnsi="Cambria Math" w:cs="Times New Roman"/>
            <w:sz w:val="24"/>
            <w:szCs w:val="24"/>
          </w:rPr>
          <m:t>TURNOVER</m:t>
        </m:r>
      </m:oMath>
      <w:r w:rsidR="00EF437A" w:rsidRPr="003F2B45">
        <w:rPr>
          <w:rFonts w:ascii="Times New Roman" w:hAnsi="Times New Roman" w:cs="Times New Roman"/>
          <w:sz w:val="24"/>
          <w:szCs w:val="24"/>
        </w:rPr>
        <w:t>) tend not to be dividend stocks.</w:t>
      </w:r>
    </w:p>
    <w:p w14:paraId="5EF71DCF" w14:textId="217F4892" w:rsidR="00EC210F" w:rsidRPr="003F2B45" w:rsidRDefault="00EC210F"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Results based on the logistic regressions establish the link between dividend payers and institutional ownership. To ensure consistency we replace the dependent variable with the dividend pay</w:t>
      </w:r>
      <w:r w:rsidR="00356C26">
        <w:rPr>
          <w:rFonts w:ascii="Times New Roman" w:hAnsi="Times New Roman" w:cs="Times New Roman"/>
          <w:sz w:val="24"/>
          <w:szCs w:val="24"/>
        </w:rPr>
        <w:t>out ratio and run a panel fixed-</w:t>
      </w:r>
      <w:r w:rsidRPr="003F2B45">
        <w:rPr>
          <w:rFonts w:ascii="Times New Roman" w:hAnsi="Times New Roman" w:cs="Times New Roman"/>
          <w:sz w:val="24"/>
          <w:szCs w:val="24"/>
        </w:rPr>
        <w:t>effect regression involving the same independent variables and present our findings in Table 4. The</w:t>
      </w:r>
      <w:r w:rsidR="00356C26">
        <w:rPr>
          <w:rFonts w:ascii="Times New Roman" w:hAnsi="Times New Roman" w:cs="Times New Roman"/>
          <w:sz w:val="24"/>
          <w:szCs w:val="24"/>
        </w:rPr>
        <w:t xml:space="preserve"> panel fixed-</w:t>
      </w:r>
      <w:r w:rsidRPr="003F2B45">
        <w:rPr>
          <w:rFonts w:ascii="Times New Roman" w:hAnsi="Times New Roman" w:cs="Times New Roman"/>
          <w:sz w:val="24"/>
          <w:szCs w:val="24"/>
        </w:rPr>
        <w:t xml:space="preserve">effect regression also allows us to test the effect of institutional ownership on the magnitude of </w:t>
      </w:r>
      <w:r w:rsidR="00CA1893" w:rsidRPr="003F2B45">
        <w:rPr>
          <w:rFonts w:ascii="Times New Roman" w:hAnsi="Times New Roman" w:cs="Times New Roman"/>
          <w:sz w:val="24"/>
          <w:szCs w:val="24"/>
        </w:rPr>
        <w:t>the dividend</w:t>
      </w:r>
      <w:r w:rsidRPr="003F2B45">
        <w:rPr>
          <w:rFonts w:ascii="Times New Roman" w:hAnsi="Times New Roman" w:cs="Times New Roman"/>
          <w:sz w:val="24"/>
          <w:szCs w:val="24"/>
        </w:rPr>
        <w:t xml:space="preserve"> payments. In Panel A, the dependent variable is the ratio of dividend-to-total </w:t>
      </w:r>
      <w:r w:rsidR="00A379ED" w:rsidRPr="003F2B45">
        <w:rPr>
          <w:rFonts w:ascii="Times New Roman" w:hAnsi="Times New Roman" w:cs="Times New Roman"/>
          <w:sz w:val="24"/>
          <w:szCs w:val="24"/>
        </w:rPr>
        <w:t>earnings</w:t>
      </w:r>
      <m:oMath>
        <m:r>
          <w:rPr>
            <w:rFonts w:ascii="Cambria Math" w:hAnsi="Cambria Math" w:cs="Times New Roman"/>
            <w:sz w:val="24"/>
            <w:szCs w:val="24"/>
          </w:rPr>
          <m:t>(DIV/EARN)</m:t>
        </m:r>
      </m:oMath>
      <w:r w:rsidRPr="003F2B45">
        <w:rPr>
          <w:rFonts w:ascii="Times New Roman" w:hAnsi="Times New Roman" w:cs="Times New Roman"/>
          <w:sz w:val="24"/>
          <w:szCs w:val="24"/>
        </w:rPr>
        <w:t xml:space="preserve">; in panel B the dependent variable is the ratio of dividend-to-total assets </w:t>
      </w:r>
      <m:oMath>
        <m:r>
          <w:rPr>
            <w:rFonts w:ascii="Cambria Math" w:hAnsi="Cambria Math" w:cs="Times New Roman"/>
            <w:sz w:val="24"/>
            <w:szCs w:val="24"/>
          </w:rPr>
          <m:t>(DIV/ASSET)</m:t>
        </m:r>
      </m:oMath>
      <w:r w:rsidRPr="003F2B45">
        <w:rPr>
          <w:rFonts w:ascii="Times New Roman" w:hAnsi="Times New Roman" w:cs="Times New Roman"/>
          <w:sz w:val="24"/>
          <w:szCs w:val="24"/>
        </w:rPr>
        <w:t>.</w:t>
      </w:r>
    </w:p>
    <w:p w14:paraId="0F931EBB" w14:textId="77777777" w:rsidR="002A053E" w:rsidRPr="003F2B45" w:rsidRDefault="00EC210F"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4 ABOUT HERE]</w:t>
      </w:r>
      <w:r w:rsidR="002A053E" w:rsidRPr="003F2B45">
        <w:rPr>
          <w:rFonts w:ascii="Times New Roman" w:hAnsi="Times New Roman" w:cs="Times New Roman"/>
          <w:sz w:val="24"/>
          <w:szCs w:val="24"/>
        </w:rPr>
        <w:t xml:space="preserve"> </w:t>
      </w:r>
    </w:p>
    <w:p w14:paraId="035A67C7" w14:textId="2DDDEB95" w:rsidR="00EC210F" w:rsidRPr="003F2B45" w:rsidRDefault="00CA1893"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While the coefficient of </w:t>
      </w:r>
      <m:oMath>
        <m:r>
          <w:rPr>
            <w:rFonts w:ascii="Cambria Math" w:hAnsi="Cambria Math" w:cs="Times New Roman"/>
            <w:sz w:val="24"/>
            <w:szCs w:val="24"/>
          </w:rPr>
          <m:t>IOV</m:t>
        </m:r>
      </m:oMath>
      <w:r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retain their sign and significance as in the earlier regressions, the coefficient of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is not significant </w:t>
      </w:r>
      <w:r w:rsidR="00D31021" w:rsidRPr="003F2B45">
        <w:rPr>
          <w:rFonts w:ascii="Times New Roman" w:hAnsi="Times New Roman" w:cs="Times New Roman"/>
          <w:sz w:val="24"/>
          <w:szCs w:val="24"/>
        </w:rPr>
        <w:t>anymore</w:t>
      </w:r>
      <w:r w:rsidR="00D31021" w:rsidRPr="00D31021">
        <w:rPr>
          <w:rFonts w:ascii="Times New Roman" w:hAnsi="Times New Roman" w:cs="Times New Roman"/>
          <w:sz w:val="24"/>
          <w:szCs w:val="24"/>
        </w:rPr>
        <w:t xml:space="preserve"> (consistent with Del Guercio (1996), Grinstein and Michaely (2005))</w:t>
      </w:r>
      <w:r w:rsidRPr="003F2B45">
        <w:rPr>
          <w:rFonts w:ascii="Times New Roman" w:hAnsi="Times New Roman" w:cs="Times New Roman"/>
          <w:sz w:val="24"/>
          <w:szCs w:val="24"/>
        </w:rPr>
        <w:t xml:space="preserve">. Thus, the size of institutional shareholdings does not determine the amount of dividend to be paid. On the other hand, the stability of their shareholdings </w:t>
      </w:r>
      <w:r w:rsidR="00A473C8" w:rsidRPr="003F2B45">
        <w:rPr>
          <w:rFonts w:ascii="Times New Roman" w:hAnsi="Times New Roman" w:cs="Times New Roman"/>
          <w:sz w:val="24"/>
          <w:szCs w:val="24"/>
        </w:rPr>
        <w:t>exerts</w:t>
      </w:r>
      <w:r w:rsidRPr="003F2B45">
        <w:rPr>
          <w:rFonts w:ascii="Times New Roman" w:hAnsi="Times New Roman" w:cs="Times New Roman"/>
          <w:sz w:val="24"/>
          <w:szCs w:val="24"/>
        </w:rPr>
        <w:t xml:space="preserve"> a more </w:t>
      </w:r>
      <w:r w:rsidR="00A473C8" w:rsidRPr="003F2B45">
        <w:rPr>
          <w:rFonts w:ascii="Times New Roman" w:hAnsi="Times New Roman" w:cs="Times New Roman"/>
          <w:sz w:val="24"/>
          <w:szCs w:val="24"/>
        </w:rPr>
        <w:t>significant</w:t>
      </w:r>
      <w:r w:rsidRPr="003F2B45">
        <w:rPr>
          <w:rFonts w:ascii="Times New Roman" w:hAnsi="Times New Roman" w:cs="Times New Roman"/>
          <w:sz w:val="24"/>
          <w:szCs w:val="24"/>
        </w:rPr>
        <w:t xml:space="preserve"> influence.</w:t>
      </w:r>
      <w:r w:rsidR="00A473C8" w:rsidRPr="003F2B45">
        <w:rPr>
          <w:rFonts w:ascii="Times New Roman" w:hAnsi="Times New Roman" w:cs="Times New Roman"/>
          <w:sz w:val="24"/>
          <w:szCs w:val="24"/>
        </w:rPr>
        <w:t xml:space="preserve"> Volatility in the institutional shareholdings decreases the payout ratios while stability increases them. The effects of the remainder independent variables are similar to that documented in Table 3.</w:t>
      </w:r>
    </w:p>
    <w:p w14:paraId="4B70D17D" w14:textId="151966E2" w:rsidR="001A2908" w:rsidRPr="003F2B45" w:rsidRDefault="001A2908"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V.2 Comparing institutional ownership between payers and propensity matched nonpayers</w:t>
      </w:r>
    </w:p>
    <w:p w14:paraId="635E887B" w14:textId="036DE4F7" w:rsidR="00C00E40" w:rsidRPr="003F2B45" w:rsidRDefault="005F4F20" w:rsidP="00E152A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foll</w:t>
      </w:r>
      <w:r w:rsidR="00070275">
        <w:rPr>
          <w:rFonts w:ascii="Times New Roman" w:hAnsi="Times New Roman" w:cs="Times New Roman"/>
          <w:sz w:val="24"/>
          <w:szCs w:val="24"/>
        </w:rPr>
        <w:t xml:space="preserve">owing sections, we focus </w:t>
      </w:r>
      <w:r>
        <w:rPr>
          <w:rFonts w:ascii="Times New Roman" w:hAnsi="Times New Roman" w:cs="Times New Roman"/>
          <w:sz w:val="24"/>
          <w:szCs w:val="24"/>
        </w:rPr>
        <w:t>only</w:t>
      </w:r>
      <w:r w:rsidR="00070275">
        <w:rPr>
          <w:rFonts w:ascii="Times New Roman" w:hAnsi="Times New Roman" w:cs="Times New Roman"/>
          <w:sz w:val="24"/>
          <w:szCs w:val="24"/>
        </w:rPr>
        <w:t xml:space="preserve"> on</w:t>
      </w:r>
      <w:r>
        <w:rPr>
          <w:rFonts w:ascii="Times New Roman" w:hAnsi="Times New Roman" w:cs="Times New Roman"/>
          <w:sz w:val="24"/>
          <w:szCs w:val="24"/>
        </w:rPr>
        <w:t xml:space="preserve"> dividend-paying firms</w:t>
      </w:r>
      <w:r w:rsidR="00D31021">
        <w:rPr>
          <w:rFonts w:ascii="Times New Roman" w:hAnsi="Times New Roman" w:cs="Times New Roman"/>
          <w:sz w:val="24"/>
          <w:szCs w:val="24"/>
        </w:rPr>
        <w:t xml:space="preserve">, while </w:t>
      </w:r>
      <w:r>
        <w:rPr>
          <w:rFonts w:ascii="Times New Roman" w:hAnsi="Times New Roman" w:cs="Times New Roman"/>
          <w:sz w:val="24"/>
          <w:szCs w:val="24"/>
        </w:rPr>
        <w:t xml:space="preserve">non-dividend paying firms </w:t>
      </w:r>
      <w:r w:rsidR="00D31021">
        <w:rPr>
          <w:rFonts w:ascii="Times New Roman" w:hAnsi="Times New Roman" w:cs="Times New Roman"/>
          <w:sz w:val="24"/>
          <w:szCs w:val="24"/>
        </w:rPr>
        <w:t>form a</w:t>
      </w:r>
      <w:r>
        <w:rPr>
          <w:rFonts w:ascii="Times New Roman" w:hAnsi="Times New Roman" w:cs="Times New Roman"/>
          <w:sz w:val="24"/>
          <w:szCs w:val="24"/>
        </w:rPr>
        <w:t xml:space="preserve"> control group. </w:t>
      </w:r>
      <w:r w:rsidR="00387E97" w:rsidRPr="003F2B45">
        <w:rPr>
          <w:rFonts w:ascii="Times New Roman" w:hAnsi="Times New Roman" w:cs="Times New Roman"/>
          <w:sz w:val="24"/>
          <w:szCs w:val="24"/>
        </w:rPr>
        <w:t>We break the sample into two, i.e., dividend and non-dividend paying firms. For each dividend-paying firm, we select a firm from the non-dividend paying sample with the closest propensity score</w:t>
      </w:r>
      <w:r w:rsidR="00631373" w:rsidRPr="003F2B45">
        <w:rPr>
          <w:rFonts w:ascii="Times New Roman" w:hAnsi="Times New Roman" w:cs="Times New Roman"/>
          <w:sz w:val="24"/>
          <w:szCs w:val="24"/>
        </w:rPr>
        <w:t xml:space="preserve"> using equation (9). </w:t>
      </w:r>
      <w:r w:rsidR="00387E97" w:rsidRPr="003F2B45">
        <w:rPr>
          <w:rFonts w:ascii="Times New Roman" w:hAnsi="Times New Roman" w:cs="Times New Roman"/>
          <w:sz w:val="24"/>
          <w:szCs w:val="24"/>
        </w:rPr>
        <w:t xml:space="preserve">We then compare the proportion, volatility and persistence of institutional ownerships between the dividend paying and the propensity-matched non-dividend paying samples. We perform the analysis for the overall sample of institutional investors as well as by subsamples, i.e., banks (i.e., </w:t>
      </w:r>
      <m:oMath>
        <m:r>
          <w:rPr>
            <w:rFonts w:ascii="Cambria Math" w:hAnsi="Cambria Math" w:cs="Times New Roman"/>
            <w:sz w:val="24"/>
            <w:szCs w:val="24"/>
          </w:rPr>
          <m:t>INV1</m:t>
        </m:r>
      </m:oMath>
      <w:r w:rsidR="00387E97" w:rsidRPr="003F2B45">
        <w:rPr>
          <w:rFonts w:ascii="Times New Roman" w:hAnsi="Times New Roman" w:cs="Times New Roman"/>
          <w:sz w:val="24"/>
          <w:szCs w:val="24"/>
        </w:rPr>
        <w:t>), insurance companies (</w:t>
      </w:r>
      <m:oMath>
        <m:r>
          <w:rPr>
            <w:rFonts w:ascii="Cambria Math" w:hAnsi="Cambria Math" w:cs="Times New Roman"/>
            <w:sz w:val="24"/>
            <w:szCs w:val="24"/>
          </w:rPr>
          <m:t>INV2</m:t>
        </m:r>
      </m:oMath>
      <w:r w:rsidR="00387E97" w:rsidRPr="003F2B45">
        <w:rPr>
          <w:rFonts w:ascii="Times New Roman" w:hAnsi="Times New Roman" w:cs="Times New Roman"/>
          <w:sz w:val="24"/>
          <w:szCs w:val="24"/>
        </w:rPr>
        <w:t>), investment companies and their managers (</w:t>
      </w:r>
      <m:oMath>
        <m:r>
          <w:rPr>
            <w:rFonts w:ascii="Cambria Math" w:hAnsi="Cambria Math" w:cs="Times New Roman"/>
            <w:sz w:val="24"/>
            <w:szCs w:val="24"/>
          </w:rPr>
          <m:t>INV3</m:t>
        </m:r>
      </m:oMath>
      <w:r w:rsidR="00387E97" w:rsidRPr="003F2B45">
        <w:rPr>
          <w:rFonts w:ascii="Times New Roman" w:hAnsi="Times New Roman" w:cs="Times New Roman"/>
          <w:sz w:val="24"/>
          <w:szCs w:val="24"/>
        </w:rPr>
        <w:t>), independent investment advisors (</w:t>
      </w:r>
      <m:oMath>
        <m:r>
          <w:rPr>
            <w:rFonts w:ascii="Cambria Math" w:hAnsi="Cambria Math" w:cs="Times New Roman"/>
            <w:sz w:val="24"/>
            <w:szCs w:val="24"/>
          </w:rPr>
          <m:t>INV4</m:t>
        </m:r>
      </m:oMath>
      <w:r w:rsidR="00387E97" w:rsidRPr="003F2B45">
        <w:rPr>
          <w:rFonts w:ascii="Times New Roman" w:hAnsi="Times New Roman" w:cs="Times New Roman"/>
          <w:sz w:val="24"/>
          <w:szCs w:val="24"/>
        </w:rPr>
        <w:t>), and all others (</w:t>
      </w:r>
      <m:oMath>
        <m:r>
          <w:rPr>
            <w:rFonts w:ascii="Cambria Math" w:hAnsi="Cambria Math" w:cs="Times New Roman"/>
            <w:sz w:val="24"/>
            <w:szCs w:val="24"/>
          </w:rPr>
          <m:t>INV5</m:t>
        </m:r>
      </m:oMath>
      <w:r w:rsidR="00387E97" w:rsidRPr="003F2B45">
        <w:rPr>
          <w:rFonts w:ascii="Times New Roman" w:hAnsi="Times New Roman" w:cs="Times New Roman"/>
          <w:sz w:val="24"/>
          <w:szCs w:val="24"/>
        </w:rPr>
        <w:t>), respectively. We present our findings in Table 5.</w:t>
      </w:r>
    </w:p>
    <w:p w14:paraId="4E508C76" w14:textId="5994D2F3" w:rsidR="00387E97" w:rsidRPr="003F2B45" w:rsidRDefault="00387E97"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5 ABOUT HERE]</w:t>
      </w:r>
      <w:r w:rsidR="002A053E" w:rsidRPr="003F2B45">
        <w:rPr>
          <w:rFonts w:ascii="Times New Roman" w:hAnsi="Times New Roman" w:cs="Times New Roman"/>
          <w:sz w:val="24"/>
          <w:szCs w:val="24"/>
        </w:rPr>
        <w:t xml:space="preserve"> </w:t>
      </w:r>
    </w:p>
    <w:p w14:paraId="25222476" w14:textId="17F26535" w:rsidR="00387E97" w:rsidRPr="003F2B45" w:rsidRDefault="00E67260"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Irrespective of the classification of the type of the institutional investor, the mean values of the proportion of institutional shareholdings </w:t>
      </w:r>
      <m:oMath>
        <m:r>
          <w:rPr>
            <w:rFonts w:ascii="Cambria Math" w:hAnsi="Cambria Math" w:cs="Times New Roman"/>
            <w:sz w:val="24"/>
            <w:szCs w:val="24"/>
          </w:rPr>
          <m:t>(PROP)</m:t>
        </m:r>
      </m:oMath>
      <w:r w:rsidR="006C3274">
        <w:rPr>
          <w:rFonts w:ascii="Times New Roman" w:hAnsi="Times New Roman" w:cs="Times New Roman"/>
          <w:sz w:val="24"/>
          <w:szCs w:val="24"/>
        </w:rPr>
        <w:t xml:space="preserve"> </w:t>
      </w:r>
      <w:r w:rsidRPr="003F2B45">
        <w:rPr>
          <w:rFonts w:ascii="Times New Roman" w:hAnsi="Times New Roman" w:cs="Times New Roman"/>
          <w:sz w:val="24"/>
          <w:szCs w:val="24"/>
        </w:rPr>
        <w:t xml:space="preserve">and the institutional ownership </w:t>
      </w:r>
      <w:r w:rsidR="006C3274">
        <w:rPr>
          <w:rFonts w:ascii="Times New Roman" w:hAnsi="Times New Roman" w:cs="Times New Roman"/>
          <w:sz w:val="24"/>
          <w:szCs w:val="24"/>
        </w:rPr>
        <w:t xml:space="preserve">persistence </w:t>
      </w:r>
      <m:oMath>
        <m:r>
          <w:rPr>
            <w:rFonts w:ascii="Cambria Math" w:hAnsi="Cambria Math" w:cs="Times New Roman"/>
            <w:sz w:val="24"/>
            <w:szCs w:val="24"/>
          </w:rPr>
          <m:t>(IOP)</m:t>
        </m:r>
      </m:oMath>
      <w:r w:rsidRPr="003F2B45">
        <w:rPr>
          <w:rFonts w:ascii="Times New Roman" w:hAnsi="Times New Roman" w:cs="Times New Roman"/>
          <w:sz w:val="24"/>
          <w:szCs w:val="24"/>
        </w:rPr>
        <w:t xml:space="preserve"> variable are significantly higher for payers than nonpayers.</w:t>
      </w:r>
      <w:r w:rsidR="00BC4882" w:rsidRPr="003F2B45">
        <w:rPr>
          <w:rFonts w:ascii="Times New Roman" w:hAnsi="Times New Roman" w:cs="Times New Roman"/>
          <w:sz w:val="24"/>
          <w:szCs w:val="24"/>
        </w:rPr>
        <w:t xml:space="preserve"> </w:t>
      </w:r>
      <w:r w:rsidRPr="003F2B45">
        <w:rPr>
          <w:rFonts w:ascii="Times New Roman" w:hAnsi="Times New Roman" w:cs="Times New Roman"/>
          <w:sz w:val="24"/>
          <w:szCs w:val="24"/>
        </w:rPr>
        <w:t xml:space="preserve">On the other hand, the measure of institutional ownership volatility </w:t>
      </w:r>
      <m:oMath>
        <m:r>
          <w:rPr>
            <w:rFonts w:ascii="Cambria Math" w:hAnsi="Cambria Math" w:cs="Times New Roman"/>
            <w:sz w:val="24"/>
            <w:szCs w:val="24"/>
          </w:rPr>
          <m:t>(IOV)</m:t>
        </m:r>
      </m:oMath>
      <w:r w:rsidR="006C3274">
        <w:rPr>
          <w:rFonts w:ascii="Times New Roman" w:hAnsi="Times New Roman" w:cs="Times New Roman"/>
          <w:sz w:val="24"/>
          <w:szCs w:val="24"/>
        </w:rPr>
        <w:t xml:space="preserve"> </w:t>
      </w:r>
      <w:r w:rsidRPr="003F2B45">
        <w:rPr>
          <w:rFonts w:ascii="Times New Roman" w:hAnsi="Times New Roman" w:cs="Times New Roman"/>
          <w:sz w:val="24"/>
          <w:szCs w:val="24"/>
        </w:rPr>
        <w:t>is significantly lower amongst payers compared to nonpayers.</w:t>
      </w:r>
    </w:p>
    <w:p w14:paraId="6F99B842" w14:textId="5DD93A06" w:rsidR="00E67260" w:rsidRPr="003F2B45" w:rsidRDefault="00296FB0"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t xml:space="preserve">V.3 </w:t>
      </w:r>
      <w:r w:rsidR="001E0171">
        <w:rPr>
          <w:rFonts w:ascii="Times New Roman" w:hAnsi="Times New Roman" w:cs="Times New Roman"/>
          <w:b/>
          <w:sz w:val="24"/>
          <w:szCs w:val="24"/>
        </w:rPr>
        <w:t>The effects of pressure-sensitive vs. pressure-insensitive investors on dividends</w:t>
      </w:r>
    </w:p>
    <w:p w14:paraId="161652D0" w14:textId="5A4A181F" w:rsidR="00BC4882" w:rsidRPr="003F2B45" w:rsidRDefault="008023C3" w:rsidP="00E152A0">
      <w:pPr>
        <w:spacing w:line="480" w:lineRule="auto"/>
        <w:ind w:firstLine="720"/>
        <w:rPr>
          <w:rFonts w:ascii="Times New Roman" w:hAnsi="Times New Roman" w:cs="Times New Roman"/>
          <w:sz w:val="24"/>
          <w:szCs w:val="24"/>
        </w:rPr>
      </w:pPr>
      <w:r w:rsidRPr="008023C3">
        <w:rPr>
          <w:rFonts w:ascii="Times New Roman" w:hAnsi="Times New Roman" w:cs="Times New Roman"/>
          <w:sz w:val="24"/>
          <w:szCs w:val="24"/>
        </w:rPr>
        <w:t>We repeat the analysis of Table 4 using matched-firm adjusted values (i.e., we subtract the matched-firm nonpayer value from that of the dividend paying firm).</w:t>
      </w:r>
      <w:r w:rsidR="006E0A4F">
        <w:rPr>
          <w:rFonts w:ascii="Times New Roman" w:hAnsi="Times New Roman" w:cs="Times New Roman"/>
          <w:sz w:val="24"/>
          <w:szCs w:val="24"/>
        </w:rPr>
        <w:t xml:space="preserve"> </w:t>
      </w:r>
      <w:r w:rsidR="00BC4882" w:rsidRPr="003F2B45">
        <w:rPr>
          <w:rFonts w:ascii="Times New Roman" w:hAnsi="Times New Roman" w:cs="Times New Roman"/>
          <w:sz w:val="24"/>
          <w:szCs w:val="24"/>
        </w:rPr>
        <w:t xml:space="preserve">Furthermore, we include the stability measure by ownership type, (i.e., </w:t>
      </w:r>
      <m:oMath>
        <m:r>
          <w:rPr>
            <w:rFonts w:ascii="Cambria Math" w:hAnsi="Cambria Math" w:cs="Times New Roman"/>
            <w:sz w:val="24"/>
            <w:szCs w:val="24"/>
          </w:rPr>
          <m:t>INV1</m:t>
        </m:r>
        <m:r>
          <m:rPr>
            <m:sty m:val="p"/>
          </m:rPr>
          <w:rPr>
            <w:rFonts w:ascii="Cambria Math" w:hAnsi="Cambria Math" w:cs="Times New Roman"/>
            <w:sz w:val="24"/>
            <w:szCs w:val="24"/>
          </w:rPr>
          <m:t xml:space="preserve">and </m:t>
        </m:r>
        <m:r>
          <w:rPr>
            <w:rFonts w:ascii="Cambria Math" w:hAnsi="Cambria Math" w:cs="Times New Roman"/>
            <w:sz w:val="24"/>
            <w:szCs w:val="24"/>
          </w:rPr>
          <m:t>INV5</m:t>
        </m:r>
      </m:oMath>
      <w:r w:rsidR="00BC4882" w:rsidRPr="003F2B45">
        <w:rPr>
          <w:rFonts w:ascii="Times New Roman" w:hAnsi="Times New Roman" w:cs="Times New Roman"/>
          <w:sz w:val="24"/>
          <w:szCs w:val="24"/>
        </w:rPr>
        <w:t>) to see if the relationship depends on the type of the institutional owner. We present our findings in Table 6.</w:t>
      </w:r>
      <w:r w:rsidR="002A053E" w:rsidRPr="003F2B45">
        <w:rPr>
          <w:rFonts w:ascii="Times New Roman" w:hAnsi="Times New Roman" w:cs="Times New Roman"/>
          <w:sz w:val="24"/>
          <w:szCs w:val="24"/>
        </w:rPr>
        <w:t xml:space="preserve"> The </w:t>
      </w:r>
      <w:r w:rsidR="00070275">
        <w:rPr>
          <w:rFonts w:ascii="Times New Roman" w:hAnsi="Times New Roman" w:cs="Times New Roman"/>
          <w:sz w:val="24"/>
          <w:szCs w:val="24"/>
        </w:rPr>
        <w:t>analysis</w:t>
      </w:r>
      <w:r w:rsidR="002A053E" w:rsidRPr="003F2B45">
        <w:rPr>
          <w:rFonts w:ascii="Times New Roman" w:hAnsi="Times New Roman" w:cs="Times New Roman"/>
          <w:sz w:val="24"/>
          <w:szCs w:val="24"/>
        </w:rPr>
        <w:t xml:space="preserve"> is restricted to dividend paying firms. The dependent variable is </w:t>
      </w:r>
      <m:oMath>
        <m:r>
          <w:rPr>
            <w:rFonts w:ascii="Cambria Math" w:hAnsi="Cambria Math" w:cs="Times New Roman"/>
            <w:sz w:val="24"/>
            <w:szCs w:val="24"/>
          </w:rPr>
          <m:t>DIV/EARN</m:t>
        </m:r>
      </m:oMath>
      <w:r w:rsidR="002A053E" w:rsidRPr="003F2B45">
        <w:rPr>
          <w:rFonts w:ascii="Times New Roman" w:hAnsi="Times New Roman" w:cs="Times New Roman"/>
          <w:sz w:val="24"/>
          <w:szCs w:val="24"/>
        </w:rPr>
        <w:t>.</w:t>
      </w:r>
    </w:p>
    <w:p w14:paraId="38269EDD" w14:textId="45AFC446" w:rsidR="00BC4882" w:rsidRPr="003F2B45" w:rsidRDefault="00BC4882"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6 ABOUT HERE]</w:t>
      </w:r>
    </w:p>
    <w:p w14:paraId="048C03A7" w14:textId="65CDA413" w:rsidR="002A053E" w:rsidRDefault="002A053E"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In Model 1, the variable </w:t>
      </w:r>
      <m:oMath>
        <m:r>
          <w:rPr>
            <w:rFonts w:ascii="Cambria Math" w:hAnsi="Cambria Math" w:cs="Times New Roman"/>
            <w:sz w:val="24"/>
            <w:szCs w:val="24"/>
          </w:rPr>
          <m:t>IOP</m:t>
        </m:r>
      </m:oMath>
      <w:r w:rsidRPr="003F2B45">
        <w:rPr>
          <w:rFonts w:ascii="Times New Roman" w:hAnsi="Times New Roman" w:cs="Times New Roman"/>
          <w:sz w:val="24"/>
          <w:szCs w:val="24"/>
        </w:rPr>
        <w:t xml:space="preserve"> is positive and significant suggesting that the dividend payout ratio is directly </w:t>
      </w:r>
      <w:r w:rsidR="00CE03E2" w:rsidRPr="003F2B45">
        <w:rPr>
          <w:rFonts w:ascii="Times New Roman" w:hAnsi="Times New Roman" w:cs="Times New Roman"/>
          <w:sz w:val="24"/>
          <w:szCs w:val="24"/>
        </w:rPr>
        <w:t>related to</w:t>
      </w:r>
      <w:r w:rsidRPr="003F2B45">
        <w:rPr>
          <w:rFonts w:ascii="Times New Roman" w:hAnsi="Times New Roman" w:cs="Times New Roman"/>
          <w:sz w:val="24"/>
          <w:szCs w:val="24"/>
        </w:rPr>
        <w:t xml:space="preserve"> the persistence of the institutional shareholdings. In Models 2 to 6, we present the findings based on the </w:t>
      </w:r>
      <m:oMath>
        <m:r>
          <w:rPr>
            <w:rFonts w:ascii="Cambria Math" w:hAnsi="Cambria Math" w:cs="Times New Roman"/>
            <w:sz w:val="24"/>
            <w:szCs w:val="24"/>
          </w:rPr>
          <m:t>IOP</m:t>
        </m:r>
      </m:oMath>
      <w:r w:rsidRPr="003F2B45">
        <w:rPr>
          <w:rFonts w:ascii="Times New Roman" w:hAnsi="Times New Roman" w:cs="Times New Roman"/>
          <w:sz w:val="24"/>
          <w:szCs w:val="24"/>
        </w:rPr>
        <w:t xml:space="preserve">s of </w:t>
      </w:r>
      <m:oMath>
        <m:r>
          <w:rPr>
            <w:rFonts w:ascii="Cambria Math" w:hAnsi="Cambria Math" w:cs="Times New Roman"/>
            <w:sz w:val="24"/>
            <w:szCs w:val="24"/>
          </w:rPr>
          <m:t>INV1</m:t>
        </m:r>
      </m:oMath>
      <w:r w:rsidRPr="003F2B45">
        <w:rPr>
          <w:rFonts w:ascii="Times New Roman" w:hAnsi="Times New Roman" w:cs="Times New Roman"/>
          <w:sz w:val="24"/>
          <w:szCs w:val="24"/>
        </w:rPr>
        <w:t xml:space="preserve">, </w:t>
      </w:r>
      <m:oMath>
        <m:r>
          <w:rPr>
            <w:rFonts w:ascii="Cambria Math" w:hAnsi="Cambria Math" w:cs="Times New Roman"/>
            <w:sz w:val="24"/>
            <w:szCs w:val="24"/>
          </w:rPr>
          <m:t>INV2</m:t>
        </m:r>
      </m:oMath>
      <w:r w:rsidRPr="003F2B45">
        <w:rPr>
          <w:rFonts w:ascii="Times New Roman" w:hAnsi="Times New Roman" w:cs="Times New Roman"/>
          <w:sz w:val="24"/>
          <w:szCs w:val="24"/>
        </w:rPr>
        <w:t xml:space="preserve">, </w:t>
      </w:r>
      <m:oMath>
        <m:r>
          <w:rPr>
            <w:rFonts w:ascii="Cambria Math" w:hAnsi="Cambria Math" w:cs="Times New Roman"/>
            <w:sz w:val="24"/>
            <w:szCs w:val="24"/>
          </w:rPr>
          <m:t>INV3</m:t>
        </m:r>
      </m:oMath>
      <w:r w:rsidRPr="003F2B45">
        <w:rPr>
          <w:rFonts w:ascii="Times New Roman" w:hAnsi="Times New Roman" w:cs="Times New Roman"/>
          <w:sz w:val="24"/>
          <w:szCs w:val="24"/>
        </w:rPr>
        <w:t xml:space="preserve">, </w:t>
      </w:r>
      <m:oMath>
        <m:r>
          <w:rPr>
            <w:rFonts w:ascii="Cambria Math" w:hAnsi="Cambria Math" w:cs="Times New Roman"/>
            <w:sz w:val="24"/>
            <w:szCs w:val="24"/>
          </w:rPr>
          <m:t>INV4</m:t>
        </m:r>
      </m:oMath>
      <w:r w:rsidRPr="003F2B45">
        <w:rPr>
          <w:rFonts w:ascii="Times New Roman" w:hAnsi="Times New Roman" w:cs="Times New Roman"/>
          <w:sz w:val="24"/>
          <w:szCs w:val="24"/>
        </w:rPr>
        <w:t xml:space="preserve"> and </w:t>
      </w:r>
      <m:oMath>
        <m:r>
          <w:rPr>
            <w:rFonts w:ascii="Cambria Math" w:hAnsi="Cambria Math" w:cs="Times New Roman"/>
            <w:sz w:val="24"/>
            <w:szCs w:val="24"/>
          </w:rPr>
          <m:t>INV5</m:t>
        </m:r>
      </m:oMath>
      <w:r w:rsidRPr="003F2B45">
        <w:rPr>
          <w:rFonts w:ascii="Times New Roman" w:hAnsi="Times New Roman" w:cs="Times New Roman"/>
          <w:sz w:val="24"/>
          <w:szCs w:val="24"/>
        </w:rPr>
        <w:t xml:space="preserve">, respectively. We observe that the same relationship between dividend payout 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exists in each model, except that the coefficient is not significant </w:t>
      </w:r>
      <w:r w:rsidR="00CE03E2" w:rsidRPr="003F2B45">
        <w:rPr>
          <w:rFonts w:ascii="Times New Roman" w:hAnsi="Times New Roman" w:cs="Times New Roman"/>
          <w:sz w:val="24"/>
          <w:szCs w:val="24"/>
        </w:rPr>
        <w:t>for</w:t>
      </w:r>
      <w:r w:rsidRPr="003F2B45">
        <w:rPr>
          <w:rFonts w:ascii="Times New Roman" w:hAnsi="Times New Roman" w:cs="Times New Roman"/>
          <w:sz w:val="24"/>
          <w:szCs w:val="24"/>
        </w:rPr>
        <w:t xml:space="preserve"> </w:t>
      </w:r>
      <m:oMath>
        <m:r>
          <w:rPr>
            <w:rFonts w:ascii="Cambria Math" w:hAnsi="Cambria Math" w:cs="Times New Roman"/>
            <w:sz w:val="24"/>
            <w:szCs w:val="24"/>
          </w:rPr>
          <m:t>INV3</m:t>
        </m:r>
      </m:oMath>
      <w:r w:rsidR="00CE03E2" w:rsidRPr="003F2B45">
        <w:rPr>
          <w:rFonts w:ascii="Times New Roman" w:hAnsi="Times New Roman" w:cs="Times New Roman"/>
          <w:sz w:val="24"/>
          <w:szCs w:val="24"/>
        </w:rPr>
        <w:t xml:space="preserve"> and </w:t>
      </w:r>
      <m:oMath>
        <m:r>
          <w:rPr>
            <w:rFonts w:ascii="Cambria Math" w:hAnsi="Cambria Math" w:cs="Times New Roman"/>
            <w:sz w:val="24"/>
            <w:szCs w:val="24"/>
          </w:rPr>
          <m:t>INV4</m:t>
        </m:r>
      </m:oMath>
      <w:r w:rsidR="00CE03E2" w:rsidRPr="003F2B45">
        <w:rPr>
          <w:rFonts w:ascii="Times New Roman" w:hAnsi="Times New Roman" w:cs="Times New Roman"/>
          <w:sz w:val="24"/>
          <w:szCs w:val="24"/>
        </w:rPr>
        <w:t>, which represent investment companies and independent investment advisors, respectively.</w:t>
      </w:r>
      <w:r w:rsidR="00AA70D8">
        <w:rPr>
          <w:rFonts w:ascii="Times New Roman" w:hAnsi="Times New Roman" w:cs="Times New Roman"/>
          <w:sz w:val="24"/>
          <w:szCs w:val="24"/>
        </w:rPr>
        <w:t xml:space="preserve"> They are pressure-insensitive investors and can affect managerial decisions better than pressure-sensitive investors (for example, banks </w:t>
      </w:r>
      <m:oMath>
        <m:r>
          <w:rPr>
            <w:rFonts w:ascii="Cambria Math" w:hAnsi="Cambria Math" w:cs="Times New Roman"/>
            <w:sz w:val="24"/>
            <w:szCs w:val="24"/>
          </w:rPr>
          <m:t>(INV1)</m:t>
        </m:r>
      </m:oMath>
      <w:r w:rsidR="00AA70D8">
        <w:rPr>
          <w:rFonts w:ascii="Times New Roman" w:hAnsi="Times New Roman" w:cs="Times New Roman"/>
          <w:sz w:val="24"/>
          <w:szCs w:val="24"/>
        </w:rPr>
        <w:t xml:space="preserve"> and insurance companies </w:t>
      </w:r>
      <m:oMath>
        <m:r>
          <w:rPr>
            <w:rFonts w:ascii="Cambria Math" w:hAnsi="Cambria Math" w:cs="Times New Roman"/>
            <w:sz w:val="24"/>
            <w:szCs w:val="24"/>
          </w:rPr>
          <m:t>(INV2)</m:t>
        </m:r>
      </m:oMath>
      <w:r w:rsidR="00AA70D8">
        <w:rPr>
          <w:rFonts w:ascii="Times New Roman" w:hAnsi="Times New Roman" w:cs="Times New Roman"/>
          <w:sz w:val="24"/>
          <w:szCs w:val="24"/>
        </w:rPr>
        <w:t xml:space="preserve">). The </w:t>
      </w:r>
      <w:r w:rsidR="002B70C8">
        <w:rPr>
          <w:rFonts w:ascii="Times New Roman" w:hAnsi="Times New Roman" w:cs="Times New Roman"/>
          <w:sz w:val="24"/>
          <w:szCs w:val="24"/>
        </w:rPr>
        <w:t>substitution</w:t>
      </w:r>
      <w:r w:rsidR="00AA70D8">
        <w:rPr>
          <w:rFonts w:ascii="Times New Roman" w:hAnsi="Times New Roman" w:cs="Times New Roman"/>
          <w:sz w:val="24"/>
          <w:szCs w:val="24"/>
        </w:rPr>
        <w:t xml:space="preserve"> hypothesis suggests that the presence of pressure-insensitive institutional investors and dividend payment act as substitute mechanisms to discipline management and thus the presence of these investors do not require the incumbent firms to pay dividend. </w:t>
      </w:r>
      <w:r w:rsidR="008023C3">
        <w:rPr>
          <w:rFonts w:ascii="Times New Roman" w:hAnsi="Times New Roman" w:cs="Times New Roman"/>
          <w:sz w:val="24"/>
          <w:szCs w:val="24"/>
        </w:rPr>
        <w:t>It would support the findings of</w:t>
      </w:r>
      <w:r w:rsidR="00AA70D8">
        <w:rPr>
          <w:rFonts w:ascii="Times New Roman" w:hAnsi="Times New Roman" w:cs="Times New Roman"/>
          <w:sz w:val="24"/>
          <w:szCs w:val="24"/>
        </w:rPr>
        <w:t xml:space="preserve"> the </w:t>
      </w:r>
      <w:r w:rsidR="008023C3">
        <w:rPr>
          <w:rFonts w:ascii="Times New Roman" w:hAnsi="Times New Roman" w:cs="Times New Roman"/>
          <w:sz w:val="24"/>
          <w:szCs w:val="24"/>
        </w:rPr>
        <w:t xml:space="preserve">statistically insignificant </w:t>
      </w:r>
      <w:r w:rsidR="00AA70D8">
        <w:rPr>
          <w:rFonts w:ascii="Times New Roman" w:hAnsi="Times New Roman" w:cs="Times New Roman"/>
          <w:sz w:val="24"/>
          <w:szCs w:val="24"/>
        </w:rPr>
        <w:t>coefficient</w:t>
      </w:r>
      <w:r w:rsidR="008023C3">
        <w:rPr>
          <w:rFonts w:ascii="Times New Roman" w:hAnsi="Times New Roman" w:cs="Times New Roman"/>
          <w:sz w:val="24"/>
          <w:szCs w:val="24"/>
        </w:rPr>
        <w:t>s</w:t>
      </w:r>
      <w:r w:rsidR="00AA70D8">
        <w:rPr>
          <w:rFonts w:ascii="Times New Roman" w:hAnsi="Times New Roman" w:cs="Times New Roman"/>
          <w:sz w:val="24"/>
          <w:szCs w:val="24"/>
        </w:rPr>
        <w:t xml:space="preserve"> of </w:t>
      </w:r>
      <m:oMath>
        <m:r>
          <w:rPr>
            <w:rFonts w:ascii="Cambria Math" w:hAnsi="Cambria Math" w:cs="Times New Roman"/>
            <w:sz w:val="24"/>
            <w:szCs w:val="24"/>
          </w:rPr>
          <m:t>INV3IOP</m:t>
        </m:r>
      </m:oMath>
      <w:r w:rsidR="00AA70D8">
        <w:rPr>
          <w:rFonts w:ascii="Times New Roman" w:hAnsi="Times New Roman" w:cs="Times New Roman"/>
          <w:sz w:val="24"/>
          <w:szCs w:val="24"/>
        </w:rPr>
        <w:t xml:space="preserve"> and </w:t>
      </w:r>
      <m:oMath>
        <m:r>
          <w:rPr>
            <w:rFonts w:ascii="Cambria Math" w:hAnsi="Cambria Math" w:cs="Times New Roman"/>
            <w:sz w:val="24"/>
            <w:szCs w:val="24"/>
          </w:rPr>
          <m:t>INV4IOP</m:t>
        </m:r>
      </m:oMath>
      <w:r w:rsidR="00AA70D8">
        <w:rPr>
          <w:rFonts w:ascii="Times New Roman" w:hAnsi="Times New Roman" w:cs="Times New Roman"/>
          <w:sz w:val="24"/>
          <w:szCs w:val="24"/>
        </w:rPr>
        <w:t>.</w:t>
      </w:r>
    </w:p>
    <w:p w14:paraId="2A91339C" w14:textId="54838349" w:rsidR="00467DF5" w:rsidRPr="003F2B45" w:rsidRDefault="00315280" w:rsidP="003F2B45">
      <w:pPr>
        <w:spacing w:line="480" w:lineRule="auto"/>
        <w:rPr>
          <w:rFonts w:ascii="Times New Roman" w:hAnsi="Times New Roman" w:cs="Times New Roman"/>
          <w:b/>
          <w:sz w:val="24"/>
          <w:szCs w:val="24"/>
        </w:rPr>
      </w:pPr>
      <w:r>
        <w:rPr>
          <w:rFonts w:ascii="Times New Roman" w:hAnsi="Times New Roman" w:cs="Times New Roman"/>
          <w:b/>
          <w:sz w:val="24"/>
          <w:szCs w:val="24"/>
        </w:rPr>
        <w:t>V.4</w:t>
      </w:r>
      <w:r w:rsidR="00296FB0" w:rsidRPr="003F2B45">
        <w:rPr>
          <w:rFonts w:ascii="Times New Roman" w:hAnsi="Times New Roman" w:cs="Times New Roman"/>
          <w:b/>
          <w:sz w:val="24"/>
          <w:szCs w:val="24"/>
        </w:rPr>
        <w:t xml:space="preserve"> </w:t>
      </w:r>
      <w:r w:rsidR="00467DF5" w:rsidRPr="003F2B45">
        <w:rPr>
          <w:rFonts w:ascii="Times New Roman" w:hAnsi="Times New Roman" w:cs="Times New Roman"/>
          <w:b/>
          <w:sz w:val="24"/>
          <w:szCs w:val="24"/>
        </w:rPr>
        <w:t>Institutional ownership stability and dividend payout stability</w:t>
      </w:r>
    </w:p>
    <w:p w14:paraId="617B2B44" w14:textId="421D48C2" w:rsidR="00322782" w:rsidRPr="003F2B45" w:rsidRDefault="009F6D53"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In this section</w:t>
      </w:r>
      <w:r w:rsidR="00070275">
        <w:rPr>
          <w:rFonts w:ascii="Times New Roman" w:hAnsi="Times New Roman" w:cs="Times New Roman"/>
          <w:sz w:val="24"/>
          <w:szCs w:val="24"/>
        </w:rPr>
        <w:t>,</w:t>
      </w:r>
      <w:r w:rsidRPr="003F2B45">
        <w:rPr>
          <w:rFonts w:ascii="Times New Roman" w:hAnsi="Times New Roman" w:cs="Times New Roman"/>
          <w:sz w:val="24"/>
          <w:szCs w:val="24"/>
        </w:rPr>
        <w:t xml:space="preserve"> we test how volatility in the dividend payments </w:t>
      </w:r>
      <w:r w:rsidR="008023C3" w:rsidRPr="003F2B45">
        <w:rPr>
          <w:rFonts w:ascii="Times New Roman" w:hAnsi="Times New Roman" w:cs="Times New Roman"/>
          <w:sz w:val="24"/>
          <w:szCs w:val="24"/>
        </w:rPr>
        <w:t>is</w:t>
      </w:r>
      <w:r w:rsidRPr="003F2B45">
        <w:rPr>
          <w:rFonts w:ascii="Times New Roman" w:hAnsi="Times New Roman" w:cs="Times New Roman"/>
          <w:sz w:val="24"/>
          <w:szCs w:val="24"/>
        </w:rPr>
        <w:t xml:space="preserve"> related to institutional ownership stability</w:t>
      </w:r>
      <w:r w:rsidR="008023C3">
        <w:rPr>
          <w:rFonts w:ascii="Times New Roman" w:hAnsi="Times New Roman" w:cs="Times New Roman"/>
          <w:sz w:val="24"/>
          <w:szCs w:val="24"/>
        </w:rPr>
        <w:t xml:space="preserve"> amongst</w:t>
      </w:r>
      <w:r w:rsidR="00070275">
        <w:rPr>
          <w:rFonts w:ascii="Times New Roman" w:hAnsi="Times New Roman" w:cs="Times New Roman"/>
          <w:sz w:val="24"/>
          <w:szCs w:val="24"/>
        </w:rPr>
        <w:t xml:space="preserve"> dividend-paying firms.</w:t>
      </w:r>
      <w:r w:rsidRPr="003F2B45">
        <w:rPr>
          <w:rFonts w:ascii="Times New Roman" w:hAnsi="Times New Roman" w:cs="Times New Roman"/>
          <w:sz w:val="24"/>
          <w:szCs w:val="24"/>
        </w:rPr>
        <w:t xml:space="preserve"> To measure the volatility in dividend payments, we compute the five-year rolling standard deviation of the </w:t>
      </w:r>
      <m:oMath>
        <m:r>
          <w:rPr>
            <w:rFonts w:ascii="Cambria Math" w:hAnsi="Cambria Math" w:cs="Times New Roman"/>
            <w:sz w:val="24"/>
            <w:szCs w:val="24"/>
          </w:rPr>
          <m:t>DIV/EARN</m:t>
        </m:r>
      </m:oMath>
      <w:r w:rsidRPr="003F2B45">
        <w:rPr>
          <w:rFonts w:ascii="Times New Roman" w:hAnsi="Times New Roman" w:cs="Times New Roman"/>
          <w:sz w:val="24"/>
          <w:szCs w:val="24"/>
        </w:rPr>
        <w:t xml:space="preserve"> ratio. </w:t>
      </w:r>
      <w:r w:rsidR="00023AE0" w:rsidRPr="003F2B45">
        <w:rPr>
          <w:rFonts w:ascii="Times New Roman" w:hAnsi="Times New Roman" w:cs="Times New Roman"/>
          <w:sz w:val="24"/>
          <w:szCs w:val="24"/>
        </w:rPr>
        <w:t xml:space="preserve">We split the sample into two, i.e., low volatility versus high volatility based on the sample </w:t>
      </w:r>
      <w:r w:rsidR="00070275" w:rsidRPr="00485BCC">
        <w:rPr>
          <w:rFonts w:ascii="Times New Roman" w:hAnsi="Times New Roman" w:cs="Times New Roman"/>
          <w:sz w:val="24"/>
          <w:szCs w:val="24"/>
        </w:rPr>
        <w:t>mean</w:t>
      </w:r>
      <w:r w:rsidR="00023AE0" w:rsidRPr="003F2B45">
        <w:rPr>
          <w:rFonts w:ascii="Times New Roman" w:hAnsi="Times New Roman" w:cs="Times New Roman"/>
          <w:sz w:val="24"/>
          <w:szCs w:val="24"/>
        </w:rPr>
        <w:t xml:space="preserve">, and we compare and contrast </w:t>
      </w:r>
      <m:oMath>
        <m:r>
          <w:rPr>
            <w:rFonts w:ascii="Cambria Math" w:hAnsi="Cambria Math" w:cs="Times New Roman"/>
            <w:sz w:val="24"/>
            <w:szCs w:val="24"/>
          </w:rPr>
          <m:t>PROP</m:t>
        </m:r>
      </m:oMath>
      <w:r w:rsidR="00023AE0" w:rsidRPr="003F2B45">
        <w:rPr>
          <w:rFonts w:ascii="Times New Roman" w:hAnsi="Times New Roman" w:cs="Times New Roman"/>
          <w:sz w:val="24"/>
          <w:szCs w:val="24"/>
        </w:rPr>
        <w:t xml:space="preserve">, </w:t>
      </w:r>
      <m:oMath>
        <m:r>
          <w:rPr>
            <w:rFonts w:ascii="Cambria Math" w:hAnsi="Cambria Math" w:cs="Times New Roman"/>
            <w:sz w:val="24"/>
            <w:szCs w:val="24"/>
          </w:rPr>
          <m:t>IOV</m:t>
        </m:r>
      </m:oMath>
      <w:r w:rsidR="00023AE0"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00023AE0" w:rsidRPr="003F2B45">
        <w:rPr>
          <w:rFonts w:ascii="Times New Roman" w:hAnsi="Times New Roman" w:cs="Times New Roman"/>
          <w:sz w:val="24"/>
          <w:szCs w:val="24"/>
        </w:rPr>
        <w:t xml:space="preserve"> between the two.</w:t>
      </w:r>
    </w:p>
    <w:p w14:paraId="4BD69AB4" w14:textId="4515A2D4" w:rsidR="00322782" w:rsidRPr="003F2B45" w:rsidRDefault="00322782"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 xml:space="preserve">[INSERT TABLE 7 ABOUT HERE] </w:t>
      </w:r>
    </w:p>
    <w:p w14:paraId="66E840AE" w14:textId="4744D916" w:rsidR="00C3007D" w:rsidRPr="003F2B45" w:rsidRDefault="00023AE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The mean and median values of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are higher in the subsample of firms with low volatility in dividend payout, and they are lower in the subsample of firms with high volatility in dividend payout (both mean and median values of the difference in </w:t>
      </w:r>
      <m:oMath>
        <m:r>
          <w:rPr>
            <w:rFonts w:ascii="Cambria Math" w:hAnsi="Cambria Math" w:cs="Times New Roman"/>
            <w:sz w:val="24"/>
            <w:szCs w:val="24"/>
          </w:rPr>
          <m:t>PROP</m:t>
        </m:r>
      </m:oMath>
      <w:r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Pr="003F2B45">
        <w:rPr>
          <w:rFonts w:ascii="Times New Roman" w:hAnsi="Times New Roman" w:cs="Times New Roman"/>
          <w:sz w:val="24"/>
          <w:szCs w:val="24"/>
        </w:rPr>
        <w:t xml:space="preserve"> are highly significant). Thus</w:t>
      </w:r>
      <w:r w:rsidR="00DA4AA4">
        <w:rPr>
          <w:rFonts w:ascii="Times New Roman" w:hAnsi="Times New Roman" w:cs="Times New Roman"/>
          <w:sz w:val="24"/>
          <w:szCs w:val="24"/>
        </w:rPr>
        <w:t>,</w:t>
      </w:r>
      <w:r w:rsidRPr="003F2B45">
        <w:rPr>
          <w:rFonts w:ascii="Times New Roman" w:hAnsi="Times New Roman" w:cs="Times New Roman"/>
          <w:sz w:val="24"/>
          <w:szCs w:val="24"/>
        </w:rPr>
        <w:t xml:space="preserve"> institutional owners prefer firms that exhibit lo</w:t>
      </w:r>
      <w:r w:rsidR="00C3007D" w:rsidRPr="003F2B45">
        <w:rPr>
          <w:rFonts w:ascii="Times New Roman" w:hAnsi="Times New Roman" w:cs="Times New Roman"/>
          <w:sz w:val="24"/>
          <w:szCs w:val="24"/>
        </w:rPr>
        <w:t>w volatility in dividend payout</w:t>
      </w:r>
      <w:r w:rsidRPr="003F2B45">
        <w:rPr>
          <w:rFonts w:ascii="Times New Roman" w:hAnsi="Times New Roman" w:cs="Times New Roman"/>
          <w:sz w:val="24"/>
          <w:szCs w:val="24"/>
        </w:rPr>
        <w:t>.</w:t>
      </w:r>
      <w:r w:rsidR="00070275">
        <w:rPr>
          <w:rFonts w:ascii="Times New Roman" w:hAnsi="Times New Roman" w:cs="Times New Roman"/>
          <w:sz w:val="24"/>
          <w:szCs w:val="24"/>
        </w:rPr>
        <w:t xml:space="preserve"> </w:t>
      </w:r>
      <w:r w:rsidR="00C3007D" w:rsidRPr="003F2B45">
        <w:rPr>
          <w:rFonts w:ascii="Times New Roman" w:hAnsi="Times New Roman" w:cs="Times New Roman"/>
          <w:sz w:val="24"/>
          <w:szCs w:val="24"/>
        </w:rPr>
        <w:t xml:space="preserve">On the other hand, </w:t>
      </w:r>
      <m:oMath>
        <m:r>
          <w:rPr>
            <w:rFonts w:ascii="Cambria Math" w:hAnsi="Cambria Math" w:cs="Times New Roman"/>
            <w:sz w:val="24"/>
            <w:szCs w:val="24"/>
          </w:rPr>
          <m:t>IOV</m:t>
        </m:r>
      </m:oMath>
      <w:r w:rsidR="00C3007D" w:rsidRPr="003F2B45">
        <w:rPr>
          <w:rFonts w:ascii="Times New Roman" w:hAnsi="Times New Roman" w:cs="Times New Roman"/>
          <w:sz w:val="24"/>
          <w:szCs w:val="24"/>
        </w:rPr>
        <w:t xml:space="preserve"> and volatility in </w:t>
      </w:r>
      <m:oMath>
        <m:r>
          <w:rPr>
            <w:rFonts w:ascii="Cambria Math" w:hAnsi="Cambria Math" w:cs="Times New Roman"/>
            <w:sz w:val="24"/>
            <w:szCs w:val="24"/>
          </w:rPr>
          <m:t>DIV/EARN</m:t>
        </m:r>
      </m:oMath>
      <w:r w:rsidR="00C3007D" w:rsidRPr="003F2B45">
        <w:rPr>
          <w:rFonts w:ascii="Times New Roman" w:hAnsi="Times New Roman" w:cs="Times New Roman"/>
          <w:sz w:val="24"/>
          <w:szCs w:val="24"/>
        </w:rPr>
        <w:t xml:space="preserve"> are directly related. For instance, the mean and median values of </w:t>
      </w:r>
      <m:oMath>
        <m:r>
          <w:rPr>
            <w:rFonts w:ascii="Cambria Math" w:hAnsi="Cambria Math" w:cs="Times New Roman"/>
            <w:sz w:val="24"/>
            <w:szCs w:val="24"/>
          </w:rPr>
          <m:t>IOV</m:t>
        </m:r>
      </m:oMath>
      <w:r w:rsidR="00C3007D" w:rsidRPr="003F2B45">
        <w:rPr>
          <w:rFonts w:ascii="Times New Roman" w:hAnsi="Times New Roman" w:cs="Times New Roman"/>
          <w:sz w:val="24"/>
          <w:szCs w:val="24"/>
        </w:rPr>
        <w:t xml:space="preserve"> are higher (significant at the 1% level) in the subsample of firms with high volatility in </w:t>
      </w:r>
      <w:r w:rsidR="00DA4AA4">
        <w:rPr>
          <w:rFonts w:ascii="Times New Roman" w:hAnsi="Times New Roman" w:cs="Times New Roman"/>
          <w:sz w:val="24"/>
          <w:szCs w:val="24"/>
        </w:rPr>
        <w:t>the</w:t>
      </w:r>
      <w:r w:rsidR="00C3007D" w:rsidRPr="003F2B45">
        <w:rPr>
          <w:rFonts w:ascii="Times New Roman" w:hAnsi="Times New Roman" w:cs="Times New Roman"/>
          <w:sz w:val="24"/>
          <w:szCs w:val="24"/>
        </w:rPr>
        <w:t xml:space="preserve"> dividend payout ratio. The results are robust to the various classifications of </w:t>
      </w:r>
      <w:r w:rsidR="00DA4AA4">
        <w:rPr>
          <w:rFonts w:ascii="Times New Roman" w:hAnsi="Times New Roman" w:cs="Times New Roman"/>
          <w:sz w:val="24"/>
          <w:szCs w:val="24"/>
        </w:rPr>
        <w:t>the</w:t>
      </w:r>
      <w:r w:rsidR="00DA4AA4" w:rsidRPr="003F2B45">
        <w:rPr>
          <w:rFonts w:ascii="Times New Roman" w:hAnsi="Times New Roman" w:cs="Times New Roman"/>
          <w:sz w:val="24"/>
          <w:szCs w:val="24"/>
        </w:rPr>
        <w:t xml:space="preserve"> institutional</w:t>
      </w:r>
      <w:r w:rsidR="00C3007D" w:rsidRPr="003F2B45">
        <w:rPr>
          <w:rFonts w:ascii="Times New Roman" w:hAnsi="Times New Roman" w:cs="Times New Roman"/>
          <w:sz w:val="24"/>
          <w:szCs w:val="24"/>
        </w:rPr>
        <w:t xml:space="preserve"> investors.</w:t>
      </w:r>
    </w:p>
    <w:p w14:paraId="1F3E6626" w14:textId="2F6298E7" w:rsidR="00D34203" w:rsidRDefault="00D82B4C"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We perform a multiple regression on the volatility </w:t>
      </w:r>
      <w:r w:rsidR="00590BF7">
        <w:rPr>
          <w:rFonts w:ascii="Times New Roman" w:hAnsi="Times New Roman" w:cs="Times New Roman"/>
          <w:sz w:val="24"/>
          <w:szCs w:val="24"/>
        </w:rPr>
        <w:t>of</w:t>
      </w:r>
      <w:r w:rsidR="00590BF7" w:rsidRPr="003F2B45">
        <w:rPr>
          <w:rFonts w:ascii="Times New Roman" w:hAnsi="Times New Roman" w:cs="Times New Roman"/>
          <w:sz w:val="24"/>
          <w:szCs w:val="24"/>
        </w:rPr>
        <w:t xml:space="preserve"> </w:t>
      </w:r>
      <w:r w:rsidRPr="003F2B45">
        <w:rPr>
          <w:rFonts w:ascii="Times New Roman" w:hAnsi="Times New Roman" w:cs="Times New Roman"/>
          <w:sz w:val="24"/>
          <w:szCs w:val="24"/>
        </w:rPr>
        <w:t xml:space="preserve">the </w:t>
      </w:r>
      <w:r w:rsidR="00590BF7" w:rsidRPr="00590BF7">
        <w:rPr>
          <w:rFonts w:ascii="Times New Roman" w:hAnsi="Times New Roman" w:cs="Times New Roman"/>
          <w:sz w:val="24"/>
          <w:szCs w:val="24"/>
        </w:rPr>
        <w:t>dividend paying firms</w:t>
      </w:r>
      <w:r w:rsidR="00590BF7">
        <w:rPr>
          <w:rFonts w:ascii="Times New Roman" w:hAnsi="Times New Roman" w:cs="Times New Roman"/>
          <w:sz w:val="24"/>
          <w:szCs w:val="24"/>
        </w:rPr>
        <w:t>’</w:t>
      </w:r>
      <w:r w:rsidR="00590BF7" w:rsidRPr="00590BF7">
        <w:rPr>
          <w:rFonts w:ascii="Times New Roman" w:hAnsi="Times New Roman" w:cs="Times New Roman"/>
          <w:sz w:val="24"/>
          <w:szCs w:val="24"/>
        </w:rPr>
        <w:t xml:space="preserve"> </w:t>
      </w:r>
      <m:oMath>
        <m:r>
          <w:rPr>
            <w:rFonts w:ascii="Cambria Math" w:hAnsi="Cambria Math" w:cs="Times New Roman"/>
            <w:sz w:val="24"/>
            <w:szCs w:val="24"/>
          </w:rPr>
          <m:t>DIV/EARN</m:t>
        </m:r>
      </m:oMath>
      <w:r w:rsidRPr="003F2B45">
        <w:rPr>
          <w:rFonts w:ascii="Times New Roman" w:hAnsi="Times New Roman" w:cs="Times New Roman"/>
          <w:sz w:val="24"/>
          <w:szCs w:val="24"/>
        </w:rPr>
        <w:t xml:space="preserve"> ratios and present our findings in Table 8. </w:t>
      </w:r>
      <w:r w:rsidR="00B21AF9">
        <w:rPr>
          <w:rFonts w:ascii="Times New Roman" w:hAnsi="Times New Roman" w:cs="Times New Roman"/>
          <w:sz w:val="24"/>
          <w:szCs w:val="24"/>
        </w:rPr>
        <w:t xml:space="preserve">In Panel A, we </w:t>
      </w:r>
      <w:r w:rsidR="00590BF7">
        <w:rPr>
          <w:rFonts w:ascii="Times New Roman" w:hAnsi="Times New Roman" w:cs="Times New Roman"/>
          <w:sz w:val="24"/>
          <w:szCs w:val="24"/>
        </w:rPr>
        <w:t>include</w:t>
      </w:r>
      <w:r w:rsidR="00B21AF9">
        <w:rPr>
          <w:rFonts w:ascii="Times New Roman" w:hAnsi="Times New Roman" w:cs="Times New Roman"/>
          <w:sz w:val="24"/>
          <w:szCs w:val="24"/>
        </w:rPr>
        <w:t xml:space="preserve"> all institutional owners. </w:t>
      </w:r>
      <w:r w:rsidR="00D34203">
        <w:rPr>
          <w:rFonts w:ascii="Times New Roman" w:hAnsi="Times New Roman" w:cs="Times New Roman"/>
          <w:sz w:val="24"/>
          <w:szCs w:val="24"/>
        </w:rPr>
        <w:t xml:space="preserve">We find that </w:t>
      </w:r>
      <m:oMath>
        <m:r>
          <w:rPr>
            <w:rFonts w:ascii="Cambria Math" w:hAnsi="Cambria Math" w:cs="Times New Roman"/>
            <w:sz w:val="24"/>
            <w:szCs w:val="24"/>
          </w:rPr>
          <m:t>PROP</m:t>
        </m:r>
      </m:oMath>
      <w:r w:rsidR="00D34203">
        <w:rPr>
          <w:rFonts w:ascii="Times New Roman" w:hAnsi="Times New Roman" w:cs="Times New Roman"/>
          <w:sz w:val="24"/>
          <w:szCs w:val="24"/>
        </w:rPr>
        <w:t xml:space="preserve"> is inversely related to the standard deviation in the dividend payout ratio while </w:t>
      </w:r>
      <m:oMath>
        <m:r>
          <w:rPr>
            <w:rFonts w:ascii="Cambria Math" w:hAnsi="Cambria Math" w:cs="Times New Roman"/>
            <w:sz w:val="24"/>
            <w:szCs w:val="24"/>
          </w:rPr>
          <m:t>IOV</m:t>
        </m:r>
      </m:oMath>
      <w:r w:rsidR="00D34203">
        <w:rPr>
          <w:rFonts w:ascii="Times New Roman" w:hAnsi="Times New Roman" w:cs="Times New Roman"/>
          <w:sz w:val="24"/>
          <w:szCs w:val="24"/>
        </w:rPr>
        <w:t xml:space="preserve"> is positively related to the ratio. The coefficient of </w:t>
      </w:r>
      <m:oMath>
        <m:r>
          <w:rPr>
            <w:rFonts w:ascii="Cambria Math" w:hAnsi="Cambria Math" w:cs="Times New Roman"/>
            <w:sz w:val="24"/>
            <w:szCs w:val="24"/>
          </w:rPr>
          <m:t>PROP</m:t>
        </m:r>
      </m:oMath>
      <w:r w:rsidR="00D34203">
        <w:rPr>
          <w:rFonts w:ascii="Times New Roman" w:hAnsi="Times New Roman" w:cs="Times New Roman"/>
          <w:sz w:val="24"/>
          <w:szCs w:val="24"/>
        </w:rPr>
        <w:t xml:space="preserve"> is positive and highly significant. The coefficient of </w:t>
      </w:r>
      <m:oMath>
        <m:r>
          <w:rPr>
            <w:rFonts w:ascii="Cambria Math" w:hAnsi="Cambria Math" w:cs="Times New Roman"/>
            <w:sz w:val="24"/>
            <w:szCs w:val="24"/>
          </w:rPr>
          <m:t>IOV</m:t>
        </m:r>
      </m:oMath>
      <w:r w:rsidR="00D34203">
        <w:rPr>
          <w:rFonts w:ascii="Times New Roman" w:hAnsi="Times New Roman" w:cs="Times New Roman"/>
          <w:sz w:val="24"/>
          <w:szCs w:val="24"/>
        </w:rPr>
        <w:t xml:space="preserve"> is negative and significant at the 0.01 level. The </w:t>
      </w:r>
      <w:r w:rsidR="007B3B5D">
        <w:rPr>
          <w:rFonts w:ascii="Times New Roman" w:hAnsi="Times New Roman" w:cs="Times New Roman"/>
          <w:sz w:val="24"/>
          <w:szCs w:val="24"/>
        </w:rPr>
        <w:t>results suggest</w:t>
      </w:r>
      <w:r w:rsidR="00D34203">
        <w:rPr>
          <w:rFonts w:ascii="Times New Roman" w:hAnsi="Times New Roman" w:cs="Times New Roman"/>
          <w:sz w:val="24"/>
          <w:szCs w:val="24"/>
        </w:rPr>
        <w:t xml:space="preserve"> that institutional investors avoid firms with volatile dividend payments and there is a high turnover in the proportions of the shares held by institutional investors at these firms.</w:t>
      </w:r>
    </w:p>
    <w:p w14:paraId="68D35EF4" w14:textId="56E6BA78" w:rsidR="002939A7" w:rsidRPr="003F2B45" w:rsidRDefault="002939A7" w:rsidP="003F2B45">
      <w:pPr>
        <w:spacing w:line="480" w:lineRule="auto"/>
        <w:jc w:val="center"/>
        <w:rPr>
          <w:rFonts w:ascii="Times New Roman" w:hAnsi="Times New Roman" w:cs="Times New Roman"/>
          <w:sz w:val="24"/>
          <w:szCs w:val="24"/>
        </w:rPr>
      </w:pPr>
      <w:r w:rsidRPr="003F2B45">
        <w:rPr>
          <w:rFonts w:ascii="Times New Roman" w:hAnsi="Times New Roman" w:cs="Times New Roman"/>
          <w:sz w:val="24"/>
          <w:szCs w:val="24"/>
        </w:rPr>
        <w:t>[INSERT TABLE 8 ABOUT HERE]</w:t>
      </w:r>
    </w:p>
    <w:p w14:paraId="2964B72F" w14:textId="1D1C5594" w:rsidR="000D0342" w:rsidRDefault="001E15B2" w:rsidP="00E152A0">
      <w:pPr>
        <w:spacing w:line="480" w:lineRule="auto"/>
        <w:ind w:firstLine="720"/>
        <w:rPr>
          <w:rFonts w:ascii="Times New Roman" w:hAnsi="Times New Roman" w:cs="Times New Roman"/>
          <w:sz w:val="24"/>
          <w:szCs w:val="24"/>
        </w:rPr>
      </w:pPr>
      <w:r w:rsidRPr="003F2B45">
        <w:rPr>
          <w:rFonts w:ascii="Times New Roman" w:hAnsi="Times New Roman" w:cs="Times New Roman"/>
          <w:sz w:val="24"/>
          <w:szCs w:val="24"/>
        </w:rPr>
        <w:t xml:space="preserve">In Model 2, the variable </w:t>
      </w:r>
      <m:oMath>
        <m:r>
          <w:rPr>
            <w:rFonts w:ascii="Cambria Math" w:hAnsi="Cambria Math" w:cs="Times New Roman"/>
            <w:sz w:val="24"/>
            <w:szCs w:val="24"/>
          </w:rPr>
          <m:t>IOP</m:t>
        </m:r>
      </m:oMath>
      <w:r w:rsidRPr="003F2B45">
        <w:rPr>
          <w:rFonts w:ascii="Times New Roman" w:hAnsi="Times New Roman" w:cs="Times New Roman"/>
          <w:sz w:val="24"/>
          <w:szCs w:val="24"/>
        </w:rPr>
        <w:t xml:space="preserve"> is negative and significant suggesting that volatility in the dividend payout ratio is inversely related to the persistence of the institutional shareholdings. </w:t>
      </w:r>
      <w:r w:rsidR="002939A7" w:rsidRPr="003F2B45">
        <w:rPr>
          <w:rFonts w:ascii="Times New Roman" w:hAnsi="Times New Roman" w:cs="Times New Roman"/>
          <w:sz w:val="24"/>
          <w:szCs w:val="24"/>
        </w:rPr>
        <w:t>In Panel B</w:t>
      </w:r>
      <w:r w:rsidR="00D82B4C" w:rsidRPr="003F2B45">
        <w:rPr>
          <w:rFonts w:ascii="Times New Roman" w:hAnsi="Times New Roman" w:cs="Times New Roman"/>
          <w:sz w:val="24"/>
          <w:szCs w:val="24"/>
        </w:rPr>
        <w:t xml:space="preserve">, we present the findings based </w:t>
      </w:r>
      <w:r w:rsidR="00B21AF9">
        <w:rPr>
          <w:rFonts w:ascii="Times New Roman" w:hAnsi="Times New Roman" w:cs="Times New Roman"/>
          <w:sz w:val="24"/>
          <w:szCs w:val="24"/>
        </w:rPr>
        <w:t>on the types of institutional owners</w:t>
      </w:r>
      <w:r w:rsidR="00D82B4C" w:rsidRPr="003F2B45">
        <w:rPr>
          <w:rFonts w:ascii="Times New Roman" w:hAnsi="Times New Roman" w:cs="Times New Roman"/>
          <w:sz w:val="24"/>
          <w:szCs w:val="24"/>
        </w:rPr>
        <w:t xml:space="preserve">. We observe that the same relationship between </w:t>
      </w:r>
      <m:oMath>
        <m:r>
          <w:rPr>
            <w:rFonts w:ascii="Cambria Math" w:hAnsi="Cambria Math" w:cs="Times New Roman"/>
            <w:sz w:val="24"/>
            <w:szCs w:val="24"/>
          </w:rPr>
          <m:t>DIV/EARN</m:t>
        </m:r>
      </m:oMath>
      <w:r w:rsidR="002939A7" w:rsidRPr="003F2B45">
        <w:rPr>
          <w:rFonts w:ascii="Times New Roman" w:hAnsi="Times New Roman" w:cs="Times New Roman"/>
          <w:sz w:val="24"/>
          <w:szCs w:val="24"/>
        </w:rPr>
        <w:t xml:space="preserve"> volatility</w:t>
      </w:r>
      <w:r w:rsidR="00D82B4C" w:rsidRPr="003F2B45">
        <w:rPr>
          <w:rFonts w:ascii="Times New Roman" w:hAnsi="Times New Roman" w:cs="Times New Roman"/>
          <w:sz w:val="24"/>
          <w:szCs w:val="24"/>
        </w:rPr>
        <w:t xml:space="preserve"> and </w:t>
      </w:r>
      <m:oMath>
        <m:r>
          <w:rPr>
            <w:rFonts w:ascii="Cambria Math" w:hAnsi="Cambria Math" w:cs="Times New Roman"/>
            <w:sz w:val="24"/>
            <w:szCs w:val="24"/>
          </w:rPr>
          <m:t>IOP</m:t>
        </m:r>
      </m:oMath>
      <w:r w:rsidR="00D82B4C" w:rsidRPr="003F2B45">
        <w:rPr>
          <w:rFonts w:ascii="Times New Roman" w:hAnsi="Times New Roman" w:cs="Times New Roman"/>
          <w:sz w:val="24"/>
          <w:szCs w:val="24"/>
        </w:rPr>
        <w:t xml:space="preserve"> exists in each model, except that the coefficient is not significant for </w:t>
      </w:r>
      <m:oMath>
        <m:r>
          <w:rPr>
            <w:rFonts w:ascii="Cambria Math" w:hAnsi="Cambria Math" w:cs="Times New Roman"/>
            <w:sz w:val="24"/>
            <w:szCs w:val="24"/>
          </w:rPr>
          <m:t>INV3</m:t>
        </m:r>
      </m:oMath>
      <w:r w:rsidR="00D82B4C" w:rsidRPr="003F2B45">
        <w:rPr>
          <w:rFonts w:ascii="Times New Roman" w:hAnsi="Times New Roman" w:cs="Times New Roman"/>
          <w:sz w:val="24"/>
          <w:szCs w:val="24"/>
        </w:rPr>
        <w:t xml:space="preserve"> and </w:t>
      </w:r>
      <m:oMath>
        <m:r>
          <w:rPr>
            <w:rFonts w:ascii="Cambria Math" w:hAnsi="Cambria Math" w:cs="Times New Roman"/>
            <w:sz w:val="24"/>
            <w:szCs w:val="24"/>
          </w:rPr>
          <m:t>INV4</m:t>
        </m:r>
      </m:oMath>
      <w:r w:rsidR="00D82B4C" w:rsidRPr="003F2B45">
        <w:rPr>
          <w:rFonts w:ascii="Times New Roman" w:hAnsi="Times New Roman" w:cs="Times New Roman"/>
          <w:sz w:val="24"/>
          <w:szCs w:val="24"/>
        </w:rPr>
        <w:t>, which represent investment companies and independent investment advisors, respectively.</w:t>
      </w:r>
      <w:r>
        <w:rPr>
          <w:rFonts w:ascii="Times New Roman" w:hAnsi="Times New Roman" w:cs="Times New Roman"/>
          <w:sz w:val="24"/>
          <w:szCs w:val="24"/>
        </w:rPr>
        <w:t xml:space="preserve"> </w:t>
      </w:r>
      <w:r w:rsidR="000D0342">
        <w:rPr>
          <w:rFonts w:ascii="Times New Roman" w:hAnsi="Times New Roman" w:cs="Times New Roman"/>
          <w:sz w:val="24"/>
          <w:szCs w:val="24"/>
        </w:rPr>
        <w:t xml:space="preserve">Consistent with the </w:t>
      </w:r>
      <w:r w:rsidR="002B70C8">
        <w:rPr>
          <w:rFonts w:ascii="Times New Roman" w:hAnsi="Times New Roman" w:cs="Times New Roman"/>
          <w:sz w:val="24"/>
          <w:szCs w:val="24"/>
        </w:rPr>
        <w:t>substitution</w:t>
      </w:r>
      <w:r w:rsidR="000D0342">
        <w:rPr>
          <w:rFonts w:ascii="Times New Roman" w:hAnsi="Times New Roman" w:cs="Times New Roman"/>
          <w:sz w:val="24"/>
          <w:szCs w:val="24"/>
        </w:rPr>
        <w:t xml:space="preserve"> hypothesis, pressure-insensitive investors (</w:t>
      </w:r>
      <m:oMath>
        <m:r>
          <w:rPr>
            <w:rFonts w:ascii="Cambria Math" w:hAnsi="Cambria Math" w:cs="Times New Roman"/>
            <w:sz w:val="24"/>
            <w:szCs w:val="24"/>
          </w:rPr>
          <m:t>INV3</m:t>
        </m:r>
      </m:oMath>
      <w:r w:rsidR="000D0342">
        <w:rPr>
          <w:rFonts w:ascii="Times New Roman" w:hAnsi="Times New Roman" w:cs="Times New Roman"/>
          <w:sz w:val="24"/>
          <w:szCs w:val="24"/>
        </w:rPr>
        <w:t xml:space="preserve"> and </w:t>
      </w:r>
      <m:oMath>
        <m:r>
          <w:rPr>
            <w:rFonts w:ascii="Cambria Math" w:hAnsi="Cambria Math" w:cs="Times New Roman"/>
            <w:sz w:val="24"/>
            <w:szCs w:val="24"/>
          </w:rPr>
          <m:t>INV4</m:t>
        </m:r>
      </m:oMath>
      <w:r w:rsidR="000D0342">
        <w:rPr>
          <w:rFonts w:ascii="Times New Roman" w:hAnsi="Times New Roman" w:cs="Times New Roman"/>
          <w:sz w:val="24"/>
          <w:szCs w:val="24"/>
        </w:rPr>
        <w:t>) can force disciplinary actions on managers without having recourse to dividends.</w:t>
      </w:r>
    </w:p>
    <w:p w14:paraId="296FED54" w14:textId="27C10FC6" w:rsidR="00467DF5" w:rsidRPr="00B9531B" w:rsidRDefault="00F3316E" w:rsidP="003F2B45">
      <w:pPr>
        <w:spacing w:line="480" w:lineRule="auto"/>
        <w:rPr>
          <w:rFonts w:ascii="Times New Roman" w:hAnsi="Times New Roman" w:cs="Times New Roman"/>
          <w:b/>
          <w:sz w:val="24"/>
          <w:szCs w:val="24"/>
        </w:rPr>
      </w:pPr>
      <w:r w:rsidRPr="00B9531B">
        <w:rPr>
          <w:rFonts w:ascii="Times New Roman" w:hAnsi="Times New Roman" w:cs="Times New Roman"/>
          <w:b/>
          <w:sz w:val="24"/>
          <w:szCs w:val="24"/>
        </w:rPr>
        <w:t xml:space="preserve">VI. </w:t>
      </w:r>
      <w:r w:rsidR="00467DF5" w:rsidRPr="00B9531B">
        <w:rPr>
          <w:rFonts w:ascii="Times New Roman" w:hAnsi="Times New Roman" w:cs="Times New Roman"/>
          <w:b/>
          <w:sz w:val="24"/>
          <w:szCs w:val="24"/>
        </w:rPr>
        <w:t>Conclusion</w:t>
      </w:r>
    </w:p>
    <w:p w14:paraId="36E96435" w14:textId="2E7EB818" w:rsidR="00467DF5" w:rsidRDefault="00FF5A2F" w:rsidP="005400C6">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study</w:t>
      </w:r>
      <w:r w:rsidR="00A814D2">
        <w:rPr>
          <w:rFonts w:ascii="Times New Roman" w:hAnsi="Times New Roman" w:cs="Times New Roman"/>
          <w:sz w:val="24"/>
          <w:szCs w:val="24"/>
        </w:rPr>
        <w:t xml:space="preserve"> the link between the stability of institutional ownership and dividend payments at </w:t>
      </w:r>
      <w:r>
        <w:rPr>
          <w:rFonts w:ascii="Times New Roman" w:hAnsi="Times New Roman" w:cs="Times New Roman"/>
          <w:sz w:val="24"/>
          <w:szCs w:val="24"/>
        </w:rPr>
        <w:t xml:space="preserve">U.S. </w:t>
      </w:r>
      <w:r w:rsidR="00A814D2">
        <w:rPr>
          <w:rFonts w:ascii="Times New Roman" w:hAnsi="Times New Roman" w:cs="Times New Roman"/>
          <w:sz w:val="24"/>
          <w:szCs w:val="24"/>
        </w:rPr>
        <w:t xml:space="preserve">corporations. We consistently find that persistence (defined as mean over standard deviation) in the quarterly proportions of shares held by institutional investors </w:t>
      </w:r>
      <w:r>
        <w:rPr>
          <w:rFonts w:ascii="Times New Roman" w:hAnsi="Times New Roman" w:cs="Times New Roman"/>
          <w:sz w:val="24"/>
          <w:szCs w:val="24"/>
        </w:rPr>
        <w:t>is</w:t>
      </w:r>
      <w:r w:rsidR="00B9531B">
        <w:rPr>
          <w:rFonts w:ascii="Times New Roman" w:hAnsi="Times New Roman" w:cs="Times New Roman"/>
          <w:sz w:val="24"/>
          <w:szCs w:val="24"/>
        </w:rPr>
        <w:t xml:space="preserve"> </w:t>
      </w:r>
      <w:r>
        <w:rPr>
          <w:rFonts w:ascii="Times New Roman" w:hAnsi="Times New Roman" w:cs="Times New Roman"/>
          <w:sz w:val="24"/>
          <w:szCs w:val="24"/>
        </w:rPr>
        <w:t>positively associated</w:t>
      </w:r>
      <w:r w:rsidR="00B9531B">
        <w:rPr>
          <w:rFonts w:ascii="Times New Roman" w:hAnsi="Times New Roman" w:cs="Times New Roman"/>
          <w:sz w:val="24"/>
          <w:szCs w:val="24"/>
        </w:rPr>
        <w:t xml:space="preserve"> with (i) dividend paying firms, (ii) higher dividend payout ratios and (iii) lower volatility in the dividend payout ratios. Thus, companies that pay stable dividend over </w:t>
      </w:r>
      <w:r w:rsidR="001C162E">
        <w:rPr>
          <w:rFonts w:ascii="Times New Roman" w:hAnsi="Times New Roman" w:cs="Times New Roman"/>
          <w:sz w:val="24"/>
          <w:szCs w:val="24"/>
        </w:rPr>
        <w:t>time</w:t>
      </w:r>
      <w:r w:rsidR="00B9531B">
        <w:rPr>
          <w:rFonts w:ascii="Times New Roman" w:hAnsi="Times New Roman" w:cs="Times New Roman"/>
          <w:sz w:val="24"/>
          <w:szCs w:val="24"/>
        </w:rPr>
        <w:t xml:space="preserve"> tend to attract long-term institutional investors.</w:t>
      </w:r>
    </w:p>
    <w:p w14:paraId="68F8D676" w14:textId="67F5B3B4" w:rsidR="00AA34EB" w:rsidRDefault="005400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likelihood of a firm </w:t>
      </w:r>
      <w:r w:rsidR="00FA7191">
        <w:rPr>
          <w:rFonts w:ascii="Times New Roman" w:hAnsi="Times New Roman" w:cs="Times New Roman"/>
          <w:sz w:val="24"/>
          <w:szCs w:val="24"/>
        </w:rPr>
        <w:t>paying</w:t>
      </w:r>
      <w:r>
        <w:rPr>
          <w:rFonts w:ascii="Times New Roman" w:hAnsi="Times New Roman" w:cs="Times New Roman"/>
          <w:sz w:val="24"/>
          <w:szCs w:val="24"/>
        </w:rPr>
        <w:t xml:space="preserve"> dividend is positively linked to the proportion </w:t>
      </w:r>
      <w:r w:rsidR="00FA7191">
        <w:rPr>
          <w:rFonts w:ascii="Times New Roman" w:hAnsi="Times New Roman" w:cs="Times New Roman"/>
          <w:sz w:val="24"/>
          <w:szCs w:val="24"/>
        </w:rPr>
        <w:t xml:space="preserve">and stability </w:t>
      </w:r>
      <w:r>
        <w:rPr>
          <w:rFonts w:ascii="Times New Roman" w:hAnsi="Times New Roman" w:cs="Times New Roman"/>
          <w:sz w:val="24"/>
          <w:szCs w:val="24"/>
        </w:rPr>
        <w:t xml:space="preserve">of </w:t>
      </w:r>
      <w:r w:rsidR="00FA7191">
        <w:rPr>
          <w:rFonts w:ascii="Times New Roman" w:hAnsi="Times New Roman" w:cs="Times New Roman"/>
          <w:sz w:val="24"/>
          <w:szCs w:val="24"/>
        </w:rPr>
        <w:t>the</w:t>
      </w:r>
      <w:r>
        <w:rPr>
          <w:rFonts w:ascii="Times New Roman" w:hAnsi="Times New Roman" w:cs="Times New Roman"/>
          <w:sz w:val="24"/>
          <w:szCs w:val="24"/>
        </w:rPr>
        <w:t xml:space="preserve"> shares held by </w:t>
      </w:r>
      <w:r w:rsidR="00FA7191">
        <w:rPr>
          <w:rFonts w:ascii="Times New Roman" w:hAnsi="Times New Roman" w:cs="Times New Roman"/>
          <w:sz w:val="24"/>
          <w:szCs w:val="24"/>
        </w:rPr>
        <w:t>the institutional</w:t>
      </w:r>
      <w:r>
        <w:rPr>
          <w:rFonts w:ascii="Times New Roman" w:hAnsi="Times New Roman" w:cs="Times New Roman"/>
          <w:sz w:val="24"/>
          <w:szCs w:val="24"/>
        </w:rPr>
        <w:t xml:space="preserve"> investors and is inversely linked to the volatility in the </w:t>
      </w:r>
      <w:r w:rsidR="006F1F49">
        <w:rPr>
          <w:rFonts w:ascii="Times New Roman" w:hAnsi="Times New Roman" w:cs="Times New Roman"/>
          <w:sz w:val="24"/>
          <w:szCs w:val="24"/>
        </w:rPr>
        <w:t>institutional shareholdings.</w:t>
      </w:r>
      <w:r>
        <w:rPr>
          <w:rFonts w:ascii="Times New Roman" w:hAnsi="Times New Roman" w:cs="Times New Roman"/>
          <w:sz w:val="24"/>
          <w:szCs w:val="24"/>
        </w:rPr>
        <w:t xml:space="preserve"> </w:t>
      </w:r>
      <w:r w:rsidR="006F1F49">
        <w:rPr>
          <w:rFonts w:ascii="Times New Roman" w:hAnsi="Times New Roman" w:cs="Times New Roman"/>
          <w:sz w:val="24"/>
          <w:szCs w:val="24"/>
        </w:rPr>
        <w:t xml:space="preserve">The size of the shareholding is not linked to the amount of dividend paid. </w:t>
      </w:r>
      <w:r w:rsidR="00FF5A2F">
        <w:rPr>
          <w:rFonts w:ascii="Times New Roman" w:hAnsi="Times New Roman" w:cs="Times New Roman"/>
          <w:sz w:val="24"/>
          <w:szCs w:val="24"/>
        </w:rPr>
        <w:t>Instead</w:t>
      </w:r>
      <w:r w:rsidR="006F1F49">
        <w:rPr>
          <w:rFonts w:ascii="Times New Roman" w:hAnsi="Times New Roman" w:cs="Times New Roman"/>
          <w:sz w:val="24"/>
          <w:szCs w:val="24"/>
        </w:rPr>
        <w:t xml:space="preserve">, volatility is inversely linked to </w:t>
      </w:r>
      <w:r w:rsidR="00FA7191">
        <w:rPr>
          <w:rFonts w:ascii="Times New Roman" w:hAnsi="Times New Roman" w:cs="Times New Roman"/>
          <w:sz w:val="24"/>
          <w:szCs w:val="24"/>
        </w:rPr>
        <w:t>the</w:t>
      </w:r>
      <w:r w:rsidR="006F1F49">
        <w:rPr>
          <w:rFonts w:ascii="Times New Roman" w:hAnsi="Times New Roman" w:cs="Times New Roman"/>
          <w:sz w:val="24"/>
          <w:szCs w:val="24"/>
        </w:rPr>
        <w:t xml:space="preserve"> firm’s dividend payout ratio </w:t>
      </w:r>
      <w:r w:rsidR="00FA7191">
        <w:rPr>
          <w:rFonts w:ascii="Times New Roman" w:hAnsi="Times New Roman" w:cs="Times New Roman"/>
          <w:sz w:val="24"/>
          <w:szCs w:val="24"/>
        </w:rPr>
        <w:t>while</w:t>
      </w:r>
      <w:r w:rsidR="006F1F49">
        <w:rPr>
          <w:rFonts w:ascii="Times New Roman" w:hAnsi="Times New Roman" w:cs="Times New Roman"/>
          <w:sz w:val="24"/>
          <w:szCs w:val="24"/>
        </w:rPr>
        <w:t xml:space="preserve"> persistence is positively linked to </w:t>
      </w:r>
      <w:r w:rsidR="009439C0">
        <w:rPr>
          <w:rFonts w:ascii="Times New Roman" w:hAnsi="Times New Roman" w:cs="Times New Roman"/>
          <w:sz w:val="24"/>
          <w:szCs w:val="24"/>
        </w:rPr>
        <w:t>it</w:t>
      </w:r>
      <w:r w:rsidR="006F1F49">
        <w:rPr>
          <w:rFonts w:ascii="Times New Roman" w:hAnsi="Times New Roman" w:cs="Times New Roman"/>
          <w:sz w:val="24"/>
          <w:szCs w:val="24"/>
        </w:rPr>
        <w:t>.</w:t>
      </w:r>
      <w:r w:rsidR="00D57CE1">
        <w:rPr>
          <w:rFonts w:ascii="Times New Roman" w:hAnsi="Times New Roman" w:cs="Times New Roman"/>
          <w:sz w:val="24"/>
          <w:szCs w:val="24"/>
        </w:rPr>
        <w:t xml:space="preserve"> </w:t>
      </w:r>
      <w:r w:rsidR="00AA34EB">
        <w:rPr>
          <w:rFonts w:ascii="Times New Roman" w:hAnsi="Times New Roman" w:cs="Times New Roman"/>
          <w:sz w:val="24"/>
          <w:szCs w:val="24"/>
        </w:rPr>
        <w:t xml:space="preserve">The substitution effect between the payment of dividend and the presence of institutional investors only holds for pressure-insensitive investors (i.e., investment companies and </w:t>
      </w:r>
      <w:r w:rsidR="000A6BE6">
        <w:rPr>
          <w:rFonts w:ascii="Times New Roman" w:hAnsi="Times New Roman" w:cs="Times New Roman"/>
          <w:sz w:val="24"/>
          <w:szCs w:val="24"/>
        </w:rPr>
        <w:t>advisors</w:t>
      </w:r>
      <w:r w:rsidR="00AA34EB">
        <w:rPr>
          <w:rFonts w:ascii="Times New Roman" w:hAnsi="Times New Roman" w:cs="Times New Roman"/>
          <w:sz w:val="24"/>
          <w:szCs w:val="24"/>
        </w:rPr>
        <w:t xml:space="preserve">). We find no significant relationship between either the dividend payout ratio or the volatility in </w:t>
      </w:r>
      <w:r w:rsidR="00FC60AC">
        <w:rPr>
          <w:rFonts w:ascii="Times New Roman" w:hAnsi="Times New Roman" w:cs="Times New Roman"/>
          <w:sz w:val="24"/>
          <w:szCs w:val="24"/>
        </w:rPr>
        <w:t>that</w:t>
      </w:r>
      <w:r w:rsidR="00AA34EB">
        <w:rPr>
          <w:rFonts w:ascii="Times New Roman" w:hAnsi="Times New Roman" w:cs="Times New Roman"/>
          <w:sz w:val="24"/>
          <w:szCs w:val="24"/>
        </w:rPr>
        <w:t xml:space="preserve"> ratio and the </w:t>
      </w:r>
      <w:r w:rsidR="001E1519">
        <w:rPr>
          <w:rFonts w:ascii="Times New Roman" w:hAnsi="Times New Roman" w:cs="Times New Roman"/>
          <w:sz w:val="24"/>
          <w:szCs w:val="24"/>
        </w:rPr>
        <w:t xml:space="preserve">persistence in the shareholdings of </w:t>
      </w:r>
      <w:r w:rsidR="00AA34EB">
        <w:rPr>
          <w:rFonts w:ascii="Times New Roman" w:hAnsi="Times New Roman" w:cs="Times New Roman"/>
          <w:sz w:val="24"/>
          <w:szCs w:val="24"/>
        </w:rPr>
        <w:t>pressure-insensitive investors.</w:t>
      </w:r>
    </w:p>
    <w:p w14:paraId="10A574CD" w14:textId="469158B9" w:rsidR="00FF5A2F" w:rsidRDefault="009439C0" w:rsidP="005400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document evidence that institutional shareholders prefer less volatility in the dividend payout ratios. Both the size and persistence of institutional shareholdings are lower amongst firms with </w:t>
      </w:r>
      <w:r w:rsidR="00FF5A2F">
        <w:rPr>
          <w:rFonts w:ascii="Times New Roman" w:hAnsi="Times New Roman" w:cs="Times New Roman"/>
          <w:sz w:val="24"/>
          <w:szCs w:val="24"/>
        </w:rPr>
        <w:t>high</w:t>
      </w:r>
      <w:r>
        <w:rPr>
          <w:rFonts w:ascii="Times New Roman" w:hAnsi="Times New Roman" w:cs="Times New Roman"/>
          <w:sz w:val="24"/>
          <w:szCs w:val="24"/>
        </w:rPr>
        <w:t xml:space="preserve"> volatility in dividend payout ratio.</w:t>
      </w:r>
      <w:r w:rsidR="004630B3">
        <w:rPr>
          <w:rFonts w:ascii="Times New Roman" w:hAnsi="Times New Roman" w:cs="Times New Roman"/>
          <w:sz w:val="24"/>
          <w:szCs w:val="24"/>
        </w:rPr>
        <w:t xml:space="preserve"> </w:t>
      </w:r>
      <w:r w:rsidR="001C162E">
        <w:rPr>
          <w:rFonts w:ascii="Times New Roman" w:hAnsi="Times New Roman" w:cs="Times New Roman"/>
          <w:sz w:val="24"/>
          <w:szCs w:val="24"/>
        </w:rPr>
        <w:t>We</w:t>
      </w:r>
      <w:r w:rsidR="00FF5A2F">
        <w:rPr>
          <w:rFonts w:ascii="Times New Roman" w:hAnsi="Times New Roman" w:cs="Times New Roman"/>
          <w:sz w:val="24"/>
          <w:szCs w:val="24"/>
        </w:rPr>
        <w:t xml:space="preserve"> observe less stability in the proportions of shares held by institutional investors amongst firms with above average volatility in the dividend payout ratio.</w:t>
      </w:r>
    </w:p>
    <w:p w14:paraId="32B6132E" w14:textId="77777777" w:rsidR="00D32054" w:rsidRPr="003F2B45" w:rsidRDefault="00D32054" w:rsidP="003F2B45">
      <w:pPr>
        <w:spacing w:line="480" w:lineRule="auto"/>
        <w:rPr>
          <w:rFonts w:ascii="Times New Roman" w:hAnsi="Times New Roman" w:cs="Times New Roman"/>
          <w:sz w:val="24"/>
          <w:szCs w:val="24"/>
        </w:rPr>
      </w:pPr>
    </w:p>
    <w:p w14:paraId="1EF27E40" w14:textId="77777777" w:rsidR="002939A7" w:rsidRPr="003F2B45" w:rsidRDefault="002939A7" w:rsidP="003F2B45">
      <w:pPr>
        <w:spacing w:line="480" w:lineRule="auto"/>
        <w:rPr>
          <w:rFonts w:ascii="Times New Roman" w:hAnsi="Times New Roman" w:cs="Times New Roman"/>
          <w:b/>
          <w:sz w:val="24"/>
          <w:szCs w:val="24"/>
        </w:rPr>
      </w:pPr>
      <w:r w:rsidRPr="003F2B45">
        <w:rPr>
          <w:rFonts w:ascii="Times New Roman" w:hAnsi="Times New Roman" w:cs="Times New Roman"/>
          <w:b/>
          <w:sz w:val="24"/>
          <w:szCs w:val="24"/>
        </w:rPr>
        <w:br w:type="page"/>
      </w:r>
    </w:p>
    <w:p w14:paraId="0E0AA1F5" w14:textId="30A75848" w:rsidR="00D32054" w:rsidRPr="003F2B45" w:rsidRDefault="00D32054" w:rsidP="00485BCC">
      <w:pPr>
        <w:spacing w:line="240" w:lineRule="auto"/>
        <w:rPr>
          <w:rFonts w:ascii="Times New Roman" w:hAnsi="Times New Roman" w:cs="Times New Roman"/>
          <w:b/>
          <w:sz w:val="24"/>
          <w:szCs w:val="24"/>
        </w:rPr>
      </w:pPr>
      <w:r w:rsidRPr="003F2B45">
        <w:rPr>
          <w:rFonts w:ascii="Times New Roman" w:hAnsi="Times New Roman" w:cs="Times New Roman"/>
          <w:b/>
          <w:sz w:val="24"/>
          <w:szCs w:val="24"/>
        </w:rPr>
        <w:t>References</w:t>
      </w:r>
    </w:p>
    <w:p w14:paraId="48F3EA1A" w14:textId="77777777" w:rsidR="00D32054"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Allen, Franklin, Antonio E. Bernardo, and Ivo Welch, 2000, A theory of dividends based on tax clienteles, Journal of Finance 55, 2499-2536.</w:t>
      </w:r>
    </w:p>
    <w:p w14:paraId="4D860CDC" w14:textId="61C93ACA" w:rsidR="00CB33B1" w:rsidRPr="003F2B45" w:rsidRDefault="00CB33B1" w:rsidP="00485BCC">
      <w:pPr>
        <w:spacing w:line="240" w:lineRule="auto"/>
        <w:rPr>
          <w:rFonts w:ascii="Times New Roman" w:hAnsi="Times New Roman" w:cs="Times New Roman"/>
          <w:sz w:val="24"/>
          <w:szCs w:val="24"/>
        </w:rPr>
      </w:pPr>
      <w:r w:rsidRPr="00CB33B1">
        <w:rPr>
          <w:rFonts w:ascii="Times New Roman" w:hAnsi="Times New Roman" w:cs="Times New Roman"/>
          <w:sz w:val="24"/>
          <w:szCs w:val="24"/>
        </w:rPr>
        <w:t>Almazan, A., Hartzell, J. C., &amp; Starks, L. T. (2005). Active institutional shareholders and costs of monitoring: Evidence from executive compensation. Financial Management, 34(4), 5-34.</w:t>
      </w:r>
    </w:p>
    <w:p w14:paraId="5068C6D4"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Amihud, Y., &amp; Li, K. (2006). The declining information content of dividend announcements and the effects of institutional holdings. Journal of Financial and Quantitative Analysis, 41(03), 637-660.</w:t>
      </w:r>
    </w:p>
    <w:p w14:paraId="5EA0959F"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Attig N., S. Cleary, S. El Ghoul and O. Guedhami, 2012. Institutional investment horizon and investment-cash flow sensitivity. Journal of Banking and Finance 36, 1164-1180.</w:t>
      </w:r>
    </w:p>
    <w:p w14:paraId="5198D019"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Banerjee, S., Gatchev, V. A., &amp; Spindt, P. A. (2007). Stock market liquidity and firm dividend policy. Journal of Financial and Quantitative Analysis, 42(02), 369-397.</w:t>
      </w:r>
    </w:p>
    <w:p w14:paraId="6E743907"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Banyi, M. and Kahle, K., 2014. Declining propensity to pay? A re-examination of the lifecycle theory, Journal of Corporate Finance 27, 345-366.</w:t>
      </w:r>
    </w:p>
    <w:p w14:paraId="7BBCBB99"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Binay, Murat, 2001, Do dividend clienteles exist? Institutional investor reaction to dividend events, Working paper, University of Texas, Austin.</w:t>
      </w:r>
    </w:p>
    <w:p w14:paraId="1275D8BE"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Brav, A., Graham, J. R., Harvey, C. R.  and Michaely, R., 2005. Payout policy in the 21</w:t>
      </w:r>
      <w:r w:rsidRPr="003F2B45">
        <w:rPr>
          <w:rFonts w:ascii="Times New Roman" w:hAnsi="Times New Roman" w:cs="Times New Roman"/>
          <w:sz w:val="24"/>
          <w:szCs w:val="24"/>
          <w:vertAlign w:val="superscript"/>
        </w:rPr>
        <w:t>st</w:t>
      </w:r>
      <w:r w:rsidRPr="003F2B45">
        <w:rPr>
          <w:rFonts w:ascii="Times New Roman" w:hAnsi="Times New Roman" w:cs="Times New Roman"/>
          <w:sz w:val="24"/>
          <w:szCs w:val="24"/>
        </w:rPr>
        <w:t xml:space="preserve"> century. Journal of Financial Economics 77, 483-527.</w:t>
      </w:r>
    </w:p>
    <w:p w14:paraId="4E08A3C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 xml:space="preserve">Brav, Alon and Heaton, J.B., Did ERISA's Prudent Man Rule Change the Pricing of Dividend Omitting Firms? (May 1998). Available at SSRN: http://ssrn.com/abstract=98568 or </w:t>
      </w:r>
      <w:hyperlink r:id="rId7" w:history="1">
        <w:r w:rsidRPr="003F2B45">
          <w:rPr>
            <w:rStyle w:val="Hyperlink"/>
            <w:rFonts w:ascii="Times New Roman" w:hAnsi="Times New Roman" w:cs="Times New Roman"/>
            <w:sz w:val="24"/>
            <w:szCs w:val="24"/>
          </w:rPr>
          <w:t>http://dx.doi.org/10.2139/ssrn.98568</w:t>
        </w:r>
      </w:hyperlink>
      <w:r w:rsidRPr="003F2B45">
        <w:rPr>
          <w:rFonts w:ascii="Times New Roman" w:hAnsi="Times New Roman" w:cs="Times New Roman"/>
          <w:sz w:val="24"/>
          <w:szCs w:val="24"/>
        </w:rPr>
        <w:t xml:space="preserve"> </w:t>
      </w:r>
    </w:p>
    <w:p w14:paraId="7FE14D04" w14:textId="64D3C388" w:rsidR="00CB33B1" w:rsidRDefault="00CB33B1" w:rsidP="00485BCC">
      <w:pPr>
        <w:spacing w:line="240" w:lineRule="auto"/>
        <w:rPr>
          <w:rFonts w:ascii="Times New Roman" w:hAnsi="Times New Roman" w:cs="Times New Roman"/>
          <w:sz w:val="24"/>
          <w:szCs w:val="24"/>
        </w:rPr>
      </w:pPr>
      <w:r w:rsidRPr="00CB33B1">
        <w:rPr>
          <w:rFonts w:ascii="Times New Roman" w:hAnsi="Times New Roman" w:cs="Times New Roman"/>
          <w:sz w:val="24"/>
          <w:szCs w:val="24"/>
        </w:rPr>
        <w:t>Brickley, J. A., Lease, R. C., &amp; Smith Jr, C. W. (1988). Ownership structure and voting on antitakeover amendments. Journal of financial economics, 20, 267-291.</w:t>
      </w:r>
    </w:p>
    <w:p w14:paraId="3C7ED577"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Bushee, B. J. (1998). The influence of institutional investors on myopic R&amp;D investment behavior. Accounting review, 305-333.</w:t>
      </w:r>
    </w:p>
    <w:p w14:paraId="68D01277"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Callen J.L. and X. Fang, 2013. Institutional investor stability and crash risk: Monitoring versus short-termism? Journal of Banking and Finance 37, 3047-3063.</w:t>
      </w:r>
    </w:p>
    <w:p w14:paraId="11615013" w14:textId="77777777" w:rsidR="00D32054"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Chen, X., Harford, J., Li, K., 2007. Monitoring: which institutions matter? Journal of Financial Economics 86, 279–305.</w:t>
      </w:r>
    </w:p>
    <w:p w14:paraId="4D4367EA" w14:textId="031689E0" w:rsidR="00CB33B1" w:rsidRDefault="00CB33B1" w:rsidP="00485BCC">
      <w:pPr>
        <w:spacing w:line="240" w:lineRule="auto"/>
        <w:rPr>
          <w:rFonts w:ascii="Times New Roman" w:hAnsi="Times New Roman" w:cs="Times New Roman"/>
          <w:sz w:val="24"/>
          <w:szCs w:val="24"/>
        </w:rPr>
      </w:pPr>
      <w:r w:rsidRPr="00CB33B1">
        <w:rPr>
          <w:rFonts w:ascii="Times New Roman" w:hAnsi="Times New Roman" w:cs="Times New Roman"/>
          <w:sz w:val="24"/>
          <w:szCs w:val="24"/>
        </w:rPr>
        <w:t>Cornett, M. M., Marcus, A. J., Saunders, A., &amp; Tehranian, H. (2007). The impact of institutional ownership on corporate operating performance. Journal of Banking &amp; Finance, 31(6), 1771-1794.</w:t>
      </w:r>
    </w:p>
    <w:p w14:paraId="52F8D9B2" w14:textId="4C7418DE" w:rsidR="002B70C8" w:rsidRPr="003F2B45" w:rsidRDefault="002B70C8" w:rsidP="00485BCC">
      <w:pPr>
        <w:spacing w:line="240" w:lineRule="auto"/>
        <w:rPr>
          <w:rFonts w:ascii="Times New Roman" w:hAnsi="Times New Roman" w:cs="Times New Roman"/>
          <w:sz w:val="24"/>
          <w:szCs w:val="24"/>
        </w:rPr>
      </w:pPr>
      <w:r w:rsidRPr="002B70C8">
        <w:rPr>
          <w:rFonts w:ascii="Times New Roman" w:hAnsi="Times New Roman" w:cs="Times New Roman"/>
          <w:sz w:val="24"/>
          <w:szCs w:val="24"/>
        </w:rPr>
        <w:t>Crane, A. D., Michenaud, S., &amp; Weston, J. (2014). The effect of institutional ownership on payout policy: Evidence from index thresholds. Available at SSRN 2102822.</w:t>
      </w:r>
    </w:p>
    <w:p w14:paraId="5D49B182"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DeAngelo, H., DeAngelo, L. and Stulz, R., 2006, Dividend policy and the earned / contributed capital mix: a test of the life-cycle theory, Journal of Financial Economics 81, 227-254.</w:t>
      </w:r>
    </w:p>
    <w:p w14:paraId="6F2BA27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Del Guercio, D. (1996). The distorting effect of the prudent-man laws on institutional equity investments. Journal of Financial Economics, 40(1), 31-62.</w:t>
      </w:r>
    </w:p>
    <w:p w14:paraId="78039733" w14:textId="77777777" w:rsidR="00D32054"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Dempsey, S. J., &amp; Laber, G. (1992). Effects of agency and transaction costs on dividend payout ratios: further evidence of the agency-transaction cost hypothesis. Journal of Financial Research, 15(4), 317-21.</w:t>
      </w:r>
    </w:p>
    <w:p w14:paraId="39ADF413" w14:textId="5CE2231A" w:rsidR="002B70C8" w:rsidRPr="003F2B45" w:rsidRDefault="002B70C8" w:rsidP="00485BCC">
      <w:pPr>
        <w:spacing w:line="240" w:lineRule="auto"/>
        <w:rPr>
          <w:rFonts w:ascii="Times New Roman" w:hAnsi="Times New Roman" w:cs="Times New Roman"/>
          <w:sz w:val="24"/>
          <w:szCs w:val="24"/>
        </w:rPr>
      </w:pPr>
      <w:r w:rsidRPr="002B70C8">
        <w:rPr>
          <w:rFonts w:ascii="Times New Roman" w:hAnsi="Times New Roman" w:cs="Times New Roman"/>
          <w:sz w:val="24"/>
          <w:szCs w:val="24"/>
        </w:rPr>
        <w:t>Easterbrook, F. H. (1984). Two agency-cost explanations of dividends. The American Economic Review, 650-659.</w:t>
      </w:r>
    </w:p>
    <w:p w14:paraId="3CCC6AC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Elyasiani, E and J. Jia, 2010. Distribution of institutional ownership and corporate firm performance. Journal of Banking and Finance 34, 606-620.</w:t>
      </w:r>
    </w:p>
    <w:p w14:paraId="09281EE5"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Elyasiani, E., Jia, J. J., &amp; Mao, C. X. (2010). Institutional ownership stability and the cost of debt. Journal of Financial Markets, 13(4), 475-500.</w:t>
      </w:r>
    </w:p>
    <w:p w14:paraId="6335F42E"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Espen Eckbo, B., &amp; Verma, S. (1994). Managerial shareownership, voting power, and cash dividend policy. Journal of Corporate Finance, 1(1), 33-62.</w:t>
      </w:r>
    </w:p>
    <w:p w14:paraId="27E5835F"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Fama, E. F., &amp; French, K. R. (1993). Common risk factors in the returns on stocks and bonds. Journal of financial economics, 33(1), 3-56.</w:t>
      </w:r>
    </w:p>
    <w:p w14:paraId="2AED944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Fama, E. F., &amp; French, K. R. (2001). Disappearing dividends: changing firm characteristics or lower propensity to pay?. Journal of Financial economics, 60(1), 3-43.</w:t>
      </w:r>
    </w:p>
    <w:p w14:paraId="775D32B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Fama, E. F., &amp; French, K. R. (2002). Testing trade</w:t>
      </w:r>
      <w:r w:rsidRPr="003F2B45">
        <w:rPr>
          <w:rFonts w:ascii="Cambria Math" w:hAnsi="Cambria Math" w:cs="Cambria Math"/>
          <w:sz w:val="24"/>
          <w:szCs w:val="24"/>
        </w:rPr>
        <w:t>‐</w:t>
      </w:r>
      <w:r w:rsidRPr="003F2B45">
        <w:rPr>
          <w:rFonts w:ascii="Times New Roman" w:hAnsi="Times New Roman" w:cs="Times New Roman"/>
          <w:sz w:val="24"/>
          <w:szCs w:val="24"/>
        </w:rPr>
        <w:t>off and pecking order predictions about dividends and debt. Review of financial studies, 15(1), 1-33.</w:t>
      </w:r>
    </w:p>
    <w:p w14:paraId="4D6E892A"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Fama, E. and MacBeth, J., 1973. Risk, return, and equilibrium: empirical tests. Journal of Political Economy 81, 607–636.</w:t>
      </w:r>
    </w:p>
    <w:p w14:paraId="2490FA95"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Gaspar, J. M., Massa, M., &amp; Matos, P. (2005). Shareholder investment horizons and the market for corporate control. Journal of Financial Economics, 76(1), 135-165.</w:t>
      </w:r>
    </w:p>
    <w:p w14:paraId="68E9F64D"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Gaspar, J. M., Massa, M., Matos, P., Patgiri, R., &amp; Rehman, Z. (2012). Payout policy choices and shareholder investment horizons. Review of Finance, rfr040.</w:t>
      </w:r>
    </w:p>
    <w:p w14:paraId="729ACF72"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Grinstein, Y., &amp; Michaely, R. (2005). Institutional holdings and payout policy. The Journal of Finance, 60(3), 1389-1426.</w:t>
      </w:r>
    </w:p>
    <w:p w14:paraId="381542B3" w14:textId="77777777" w:rsidR="00D32054"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Grullon, G., Michaely, R. and Swaminathan, B. 2002, Are dividend changes a sign of firm maturity? Journal of Business 75 (3), 387-424.</w:t>
      </w:r>
    </w:p>
    <w:p w14:paraId="4A08512A" w14:textId="4A4E9977" w:rsidR="006E72FE" w:rsidRPr="003F2B45" w:rsidRDefault="006E72FE" w:rsidP="00485BCC">
      <w:pPr>
        <w:spacing w:line="240" w:lineRule="auto"/>
        <w:rPr>
          <w:rFonts w:ascii="Times New Roman" w:hAnsi="Times New Roman" w:cs="Times New Roman"/>
          <w:sz w:val="24"/>
          <w:szCs w:val="24"/>
        </w:rPr>
      </w:pPr>
      <w:r w:rsidRPr="006E72FE">
        <w:rPr>
          <w:rFonts w:ascii="Times New Roman" w:hAnsi="Times New Roman" w:cs="Times New Roman"/>
          <w:sz w:val="24"/>
          <w:szCs w:val="24"/>
        </w:rPr>
        <w:t>Heckman, J. 1979.</w:t>
      </w:r>
      <w:r>
        <w:rPr>
          <w:rFonts w:ascii="Times New Roman" w:hAnsi="Times New Roman" w:cs="Times New Roman"/>
          <w:sz w:val="24"/>
          <w:szCs w:val="24"/>
        </w:rPr>
        <w:t xml:space="preserve"> </w:t>
      </w:r>
      <w:r w:rsidRPr="006E72FE">
        <w:rPr>
          <w:rFonts w:ascii="Times New Roman" w:hAnsi="Times New Roman" w:cs="Times New Roman"/>
          <w:sz w:val="24"/>
          <w:szCs w:val="24"/>
        </w:rPr>
        <w:t>Sample selection bias as a specification error. Econometrica 47: 153–161.</w:t>
      </w:r>
    </w:p>
    <w:p w14:paraId="22AC914A"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Hoberg, G., &amp; Prabhala, N. R. (2009). Disappearing dividends, catering, and risk. Review of Financial Studies, 22(1), 79-116.</w:t>
      </w:r>
    </w:p>
    <w:p w14:paraId="514E8991"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 xml:space="preserve">Hotchkiss, Edith S. and Lawrence, Stephen, Empirical Evidence on the Existence of Dividend Clienteles (July 2007). Available at SSRN: http://ssrn.com/abstract=1001429 or </w:t>
      </w:r>
      <w:hyperlink r:id="rId8" w:history="1">
        <w:r w:rsidRPr="003F2B45">
          <w:rPr>
            <w:rStyle w:val="Hyperlink"/>
            <w:rFonts w:ascii="Times New Roman" w:hAnsi="Times New Roman" w:cs="Times New Roman"/>
            <w:sz w:val="24"/>
            <w:szCs w:val="24"/>
          </w:rPr>
          <w:t>http://dx.doi.org/10.2139/ssrn.1001429</w:t>
        </w:r>
      </w:hyperlink>
      <w:r w:rsidRPr="003F2B45">
        <w:rPr>
          <w:rFonts w:ascii="Times New Roman" w:hAnsi="Times New Roman" w:cs="Times New Roman"/>
          <w:sz w:val="24"/>
          <w:szCs w:val="24"/>
        </w:rPr>
        <w:t xml:space="preserve">  </w:t>
      </w:r>
    </w:p>
    <w:p w14:paraId="4D0056AB"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Jain, R. (1999). Institutional investors do not prefer dividends: individual investors do. National University of Singapore, Working Paper Series, 1-51.</w:t>
      </w:r>
    </w:p>
    <w:p w14:paraId="2109B38B"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Jensen, M. C. (1986). Agency costs of free cash flow, corporate finance, and takeovers. The American economic review, 323-329.</w:t>
      </w:r>
    </w:p>
    <w:p w14:paraId="0C3991AC"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Leary, M. T., &amp; Michaely, R. (2011). Determinants of dividend smoothing: Empirical evidence. Review of Financial Studies, 24(10), 3197-3249.</w:t>
      </w:r>
    </w:p>
    <w:p w14:paraId="1796337A"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Lintner, J. (1956). Distribution of incomes of corporations among dividends, retained earnings, and taxes. The American Economic Review, 97-113.</w:t>
      </w:r>
    </w:p>
    <w:p w14:paraId="7841877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Michaely, R., Thaler, R. H., &amp; Womack, K. L. (1995). Price reactions to dividend initiations and omissions: overreaction or drift?. The Journal of Finance, 50(2), 573-608.</w:t>
      </w:r>
    </w:p>
    <w:p w14:paraId="04F5D5C4"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Moh'd, M. A., Perry, L. G., &amp; Rimbey, J. N. (1995). An investigation of the dynamic relationship between agency theory and dividend policy. Financial Review, 30(2), 367-385.</w:t>
      </w:r>
    </w:p>
    <w:p w14:paraId="66168044"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Newey, W. K., &amp; West, K. D. (1987). Hypothesis testing with efficient method of moments estimation. International Economic Review, 777-787.</w:t>
      </w:r>
    </w:p>
    <w:p w14:paraId="08439629"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 xml:space="preserve">Perez-Gonzalez, F. (2003). Large shareholders and dividends: Evidence from US tax reforms. unpublished paper, Columbia University, New York. </w:t>
      </w:r>
    </w:p>
    <w:p w14:paraId="23E45420" w14:textId="77777777" w:rsidR="00D32054"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Rozeff, M. S. (1982). Growth, beta and agency costs as determinants of dividend payout ratios. Journal of financial Research, 5(3), 249-259.</w:t>
      </w:r>
    </w:p>
    <w:p w14:paraId="25F50DEA" w14:textId="3E30F990" w:rsidR="001C3E41" w:rsidRPr="003F2B45" w:rsidRDefault="001C3E41" w:rsidP="00485BCC">
      <w:pPr>
        <w:spacing w:line="240" w:lineRule="auto"/>
        <w:rPr>
          <w:rFonts w:ascii="Times New Roman" w:hAnsi="Times New Roman" w:cs="Times New Roman"/>
          <w:sz w:val="24"/>
          <w:szCs w:val="24"/>
        </w:rPr>
      </w:pPr>
      <w:r w:rsidRPr="001C3E41">
        <w:rPr>
          <w:rFonts w:ascii="Times New Roman" w:hAnsi="Times New Roman" w:cs="Times New Roman"/>
          <w:sz w:val="24"/>
          <w:szCs w:val="24"/>
        </w:rPr>
        <w:t>Short, H., Zhang, H., &amp; Keasey, K. (2002). The link between dividend policy and institutional ownership. Journal of Corporate Finance, 8(2), 105-122.</w:t>
      </w:r>
    </w:p>
    <w:p w14:paraId="097C1011"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Shleifer, A., &amp; Vishny, R. W. (1986). Large shareholders and corporate control. The Journal of Political Economy, 461-488.</w:t>
      </w:r>
    </w:p>
    <w:p w14:paraId="778117BE"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 xml:space="preserve">Strickland, Deon, Determinants of Institutional Ownership: Implications for Dividend Clienteles (October 1996). Working Papers Series #96-20. Available at SSRN: </w:t>
      </w:r>
      <w:hyperlink r:id="rId9" w:history="1">
        <w:r w:rsidRPr="003F2B45">
          <w:rPr>
            <w:rStyle w:val="Hyperlink"/>
            <w:rFonts w:ascii="Times New Roman" w:hAnsi="Times New Roman" w:cs="Times New Roman"/>
            <w:sz w:val="24"/>
            <w:szCs w:val="24"/>
          </w:rPr>
          <w:t>http://ssrn.com/abstract=8204</w:t>
        </w:r>
      </w:hyperlink>
      <w:r w:rsidRPr="003F2B45">
        <w:rPr>
          <w:rFonts w:ascii="Times New Roman" w:hAnsi="Times New Roman" w:cs="Times New Roman"/>
          <w:sz w:val="24"/>
          <w:szCs w:val="24"/>
        </w:rPr>
        <w:t xml:space="preserve"> </w:t>
      </w:r>
    </w:p>
    <w:p w14:paraId="2E78BD60"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 xml:space="preserve">Tonello, Matteo and Rabimov, Stephan Rahim, The 2010 Institutional Investment Report: Trends in Asset Allocation and Portfolio Composition (November 11, 2010). The Conference Board Research Report, No. R-1468-10-RR, 2010. Available at SSRN: </w:t>
      </w:r>
      <w:hyperlink r:id="rId10" w:history="1">
        <w:r w:rsidRPr="003F2B45">
          <w:rPr>
            <w:rStyle w:val="Hyperlink"/>
            <w:rFonts w:ascii="Times New Roman" w:hAnsi="Times New Roman" w:cs="Times New Roman"/>
            <w:sz w:val="24"/>
            <w:szCs w:val="24"/>
          </w:rPr>
          <w:t>http://ssrn.com/abstract=1707512</w:t>
        </w:r>
      </w:hyperlink>
    </w:p>
    <w:p w14:paraId="6905CE56"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Yan, X., Zhang, Z., 2009. Institutional investors and equity returns: are short-term institutions better informed? Review of Financial Studies 22, 893–924.</w:t>
      </w:r>
    </w:p>
    <w:p w14:paraId="1EC99781" w14:textId="77777777" w:rsidR="00D32054" w:rsidRPr="003F2B45" w:rsidRDefault="00D32054" w:rsidP="00485BCC">
      <w:pPr>
        <w:spacing w:line="240" w:lineRule="auto"/>
        <w:rPr>
          <w:rFonts w:ascii="Times New Roman" w:hAnsi="Times New Roman" w:cs="Times New Roman"/>
          <w:sz w:val="24"/>
          <w:szCs w:val="24"/>
        </w:rPr>
      </w:pPr>
      <w:r w:rsidRPr="003F2B45">
        <w:rPr>
          <w:rFonts w:ascii="Times New Roman" w:hAnsi="Times New Roman" w:cs="Times New Roman"/>
          <w:sz w:val="24"/>
          <w:szCs w:val="24"/>
        </w:rPr>
        <w:t>Zeckhauser, R. J., &amp; Pound, J. (1990). Are large shareholders effective monitors? An investigation of share ownership and corporate performance. In Asymmetric information, corporate finance, and investment (pp. 149-180). University of Chicago Press, 1990.</w:t>
      </w:r>
    </w:p>
    <w:p w14:paraId="36C5F6AC" w14:textId="77777777" w:rsidR="006A517E" w:rsidRDefault="006A517E" w:rsidP="003F2B45">
      <w:pPr>
        <w:spacing w:line="480" w:lineRule="auto"/>
        <w:rPr>
          <w:rFonts w:ascii="Times New Roman" w:hAnsi="Times New Roman" w:cs="Times New Roman"/>
          <w:sz w:val="24"/>
          <w:szCs w:val="24"/>
        </w:rPr>
      </w:pPr>
    </w:p>
    <w:p w14:paraId="08BEDB21" w14:textId="77777777" w:rsidR="00C502AA" w:rsidRDefault="00C502AA" w:rsidP="003F2B45">
      <w:pPr>
        <w:spacing w:line="480" w:lineRule="auto"/>
        <w:rPr>
          <w:rFonts w:ascii="Times New Roman" w:hAnsi="Times New Roman" w:cs="Times New Roman"/>
          <w:sz w:val="24"/>
          <w:szCs w:val="24"/>
        </w:rPr>
      </w:pPr>
    </w:p>
    <w:p w14:paraId="3B9C933C" w14:textId="77777777" w:rsidR="00C502AA" w:rsidRDefault="00C502AA" w:rsidP="003F2B45">
      <w:pPr>
        <w:spacing w:line="480" w:lineRule="auto"/>
        <w:rPr>
          <w:rFonts w:ascii="Times New Roman" w:hAnsi="Times New Roman" w:cs="Times New Roman"/>
          <w:sz w:val="24"/>
          <w:szCs w:val="24"/>
        </w:rPr>
      </w:pPr>
    </w:p>
    <w:sectPr w:rsidR="00C502AA" w:rsidSect="00F31A9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DC3DE" w14:textId="77777777" w:rsidR="00BE273B" w:rsidRDefault="00BE273B" w:rsidP="00312F4E">
      <w:pPr>
        <w:spacing w:after="0" w:line="240" w:lineRule="auto"/>
      </w:pPr>
      <w:r>
        <w:separator/>
      </w:r>
    </w:p>
  </w:endnote>
  <w:endnote w:type="continuationSeparator" w:id="0">
    <w:p w14:paraId="5D117B67" w14:textId="77777777" w:rsidR="00BE273B" w:rsidRDefault="00BE273B" w:rsidP="0031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838471"/>
      <w:docPartObj>
        <w:docPartGallery w:val="Page Numbers (Bottom of Page)"/>
        <w:docPartUnique/>
      </w:docPartObj>
    </w:sdtPr>
    <w:sdtEndPr>
      <w:rPr>
        <w:noProof/>
      </w:rPr>
    </w:sdtEndPr>
    <w:sdtContent>
      <w:p w14:paraId="3E165DAA" w14:textId="4B160839" w:rsidR="00F31A9C" w:rsidRDefault="00F31A9C">
        <w:pPr>
          <w:pStyle w:val="Footer"/>
          <w:jc w:val="center"/>
        </w:pPr>
        <w:r>
          <w:fldChar w:fldCharType="begin"/>
        </w:r>
        <w:r>
          <w:instrText xml:space="preserve"> PAGE   \* MERGEFORMAT </w:instrText>
        </w:r>
        <w:r>
          <w:fldChar w:fldCharType="separate"/>
        </w:r>
        <w:r w:rsidR="00004A72">
          <w:rPr>
            <w:noProof/>
          </w:rPr>
          <w:t>1</w:t>
        </w:r>
        <w:r>
          <w:rPr>
            <w:noProof/>
          </w:rPr>
          <w:fldChar w:fldCharType="end"/>
        </w:r>
      </w:p>
    </w:sdtContent>
  </w:sdt>
  <w:p w14:paraId="7F3BD39E" w14:textId="77777777" w:rsidR="00F31A9C" w:rsidRDefault="00F3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E6F59" w14:textId="77777777" w:rsidR="00BE273B" w:rsidRDefault="00BE273B" w:rsidP="00312F4E">
      <w:pPr>
        <w:spacing w:after="0" w:line="240" w:lineRule="auto"/>
      </w:pPr>
      <w:r>
        <w:separator/>
      </w:r>
    </w:p>
  </w:footnote>
  <w:footnote w:type="continuationSeparator" w:id="0">
    <w:p w14:paraId="6CB7F122" w14:textId="77777777" w:rsidR="00BE273B" w:rsidRDefault="00BE273B" w:rsidP="00312F4E">
      <w:pPr>
        <w:spacing w:after="0" w:line="240" w:lineRule="auto"/>
      </w:pPr>
      <w:r>
        <w:continuationSeparator/>
      </w:r>
    </w:p>
  </w:footnote>
  <w:footnote w:id="1">
    <w:p w14:paraId="5C4D2262" w14:textId="77777777" w:rsidR="00767AC2" w:rsidRDefault="00767AC2">
      <w:pPr>
        <w:pStyle w:val="FootnoteText"/>
      </w:pPr>
      <w:r>
        <w:rPr>
          <w:rStyle w:val="FootnoteReference"/>
        </w:rPr>
        <w:footnoteRef/>
      </w:r>
      <w:r>
        <w:t xml:space="preserve"> </w:t>
      </w:r>
      <w:hyperlink r:id="rId1" w:history="1">
        <w:r w:rsidRPr="005E2D9E">
          <w:rPr>
            <w:rStyle w:val="Hyperlink"/>
          </w:rPr>
          <w:t>http://mba.tuck.dartmouth.edu/pages/faculty/ken.french/Data_Library/det_12_ind_port.html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IwNTMyBRLmJpYmRko6SsGpxcWZ+XkgBca1ACBpgq4sAAAA"/>
  </w:docVars>
  <w:rsids>
    <w:rsidRoot w:val="00467DF5"/>
    <w:rsid w:val="00003DD1"/>
    <w:rsid w:val="00004A72"/>
    <w:rsid w:val="0001470D"/>
    <w:rsid w:val="00023AE0"/>
    <w:rsid w:val="00037F20"/>
    <w:rsid w:val="000445EB"/>
    <w:rsid w:val="00046656"/>
    <w:rsid w:val="00051D6B"/>
    <w:rsid w:val="0005328C"/>
    <w:rsid w:val="00061066"/>
    <w:rsid w:val="00065FC6"/>
    <w:rsid w:val="00066A64"/>
    <w:rsid w:val="00070275"/>
    <w:rsid w:val="00077259"/>
    <w:rsid w:val="0009103E"/>
    <w:rsid w:val="00092362"/>
    <w:rsid w:val="00097AF6"/>
    <w:rsid w:val="000A274F"/>
    <w:rsid w:val="000A532C"/>
    <w:rsid w:val="000A6BE6"/>
    <w:rsid w:val="000B04A0"/>
    <w:rsid w:val="000B67CC"/>
    <w:rsid w:val="000C2F9A"/>
    <w:rsid w:val="000C7E4C"/>
    <w:rsid w:val="000D0342"/>
    <w:rsid w:val="000E3629"/>
    <w:rsid w:val="00102D11"/>
    <w:rsid w:val="0011722D"/>
    <w:rsid w:val="00127D89"/>
    <w:rsid w:val="00133933"/>
    <w:rsid w:val="00133DA3"/>
    <w:rsid w:val="001458DD"/>
    <w:rsid w:val="0015013B"/>
    <w:rsid w:val="00154366"/>
    <w:rsid w:val="001A270F"/>
    <w:rsid w:val="001A2908"/>
    <w:rsid w:val="001A2BB9"/>
    <w:rsid w:val="001C162E"/>
    <w:rsid w:val="001C3E41"/>
    <w:rsid w:val="001E0171"/>
    <w:rsid w:val="001E1519"/>
    <w:rsid w:val="001E15B2"/>
    <w:rsid w:val="001E7BE0"/>
    <w:rsid w:val="001F419C"/>
    <w:rsid w:val="001F5E3A"/>
    <w:rsid w:val="001F7173"/>
    <w:rsid w:val="00205A01"/>
    <w:rsid w:val="00206B7A"/>
    <w:rsid w:val="00230CC0"/>
    <w:rsid w:val="0023270D"/>
    <w:rsid w:val="00241415"/>
    <w:rsid w:val="0024560D"/>
    <w:rsid w:val="00246914"/>
    <w:rsid w:val="00251015"/>
    <w:rsid w:val="00253BDA"/>
    <w:rsid w:val="00264020"/>
    <w:rsid w:val="00265A88"/>
    <w:rsid w:val="00277BBB"/>
    <w:rsid w:val="00277FBC"/>
    <w:rsid w:val="00284B04"/>
    <w:rsid w:val="002939A7"/>
    <w:rsid w:val="00294F25"/>
    <w:rsid w:val="00296FB0"/>
    <w:rsid w:val="002A053E"/>
    <w:rsid w:val="002A60F0"/>
    <w:rsid w:val="002B70C8"/>
    <w:rsid w:val="002D21CB"/>
    <w:rsid w:val="002D26ED"/>
    <w:rsid w:val="002D5365"/>
    <w:rsid w:val="002D5FF9"/>
    <w:rsid w:val="002E70AE"/>
    <w:rsid w:val="00312330"/>
    <w:rsid w:val="00312F4E"/>
    <w:rsid w:val="00313148"/>
    <w:rsid w:val="003139EF"/>
    <w:rsid w:val="00315280"/>
    <w:rsid w:val="00321357"/>
    <w:rsid w:val="00322782"/>
    <w:rsid w:val="00322911"/>
    <w:rsid w:val="003275B0"/>
    <w:rsid w:val="003275F4"/>
    <w:rsid w:val="00334E99"/>
    <w:rsid w:val="00335A96"/>
    <w:rsid w:val="003474FA"/>
    <w:rsid w:val="00350486"/>
    <w:rsid w:val="003514BD"/>
    <w:rsid w:val="00356C26"/>
    <w:rsid w:val="003572B4"/>
    <w:rsid w:val="00364295"/>
    <w:rsid w:val="0037007D"/>
    <w:rsid w:val="00386E50"/>
    <w:rsid w:val="00387E97"/>
    <w:rsid w:val="003956B5"/>
    <w:rsid w:val="003B08EC"/>
    <w:rsid w:val="003B3011"/>
    <w:rsid w:val="003C1601"/>
    <w:rsid w:val="003C1FE8"/>
    <w:rsid w:val="003C2D2F"/>
    <w:rsid w:val="003C647A"/>
    <w:rsid w:val="003D6E98"/>
    <w:rsid w:val="003E7D3A"/>
    <w:rsid w:val="003E7FD0"/>
    <w:rsid w:val="003F1A40"/>
    <w:rsid w:val="003F2B45"/>
    <w:rsid w:val="00410EE6"/>
    <w:rsid w:val="004140A2"/>
    <w:rsid w:val="004344DD"/>
    <w:rsid w:val="00451739"/>
    <w:rsid w:val="0045198B"/>
    <w:rsid w:val="00460617"/>
    <w:rsid w:val="00462BF3"/>
    <w:rsid w:val="004630B3"/>
    <w:rsid w:val="00467DF5"/>
    <w:rsid w:val="004708F4"/>
    <w:rsid w:val="004709DB"/>
    <w:rsid w:val="0047797C"/>
    <w:rsid w:val="00485BCC"/>
    <w:rsid w:val="00495A4F"/>
    <w:rsid w:val="00496A50"/>
    <w:rsid w:val="004A0234"/>
    <w:rsid w:val="004A69BC"/>
    <w:rsid w:val="004D0188"/>
    <w:rsid w:val="004D0B31"/>
    <w:rsid w:val="004E61DF"/>
    <w:rsid w:val="004E6604"/>
    <w:rsid w:val="004E7D0D"/>
    <w:rsid w:val="004F15BB"/>
    <w:rsid w:val="00502AF8"/>
    <w:rsid w:val="005114A9"/>
    <w:rsid w:val="00517B52"/>
    <w:rsid w:val="00523558"/>
    <w:rsid w:val="00523947"/>
    <w:rsid w:val="00524A60"/>
    <w:rsid w:val="00533E56"/>
    <w:rsid w:val="005366CB"/>
    <w:rsid w:val="005400C6"/>
    <w:rsid w:val="00540A1A"/>
    <w:rsid w:val="005461AD"/>
    <w:rsid w:val="00571E79"/>
    <w:rsid w:val="0057573F"/>
    <w:rsid w:val="00583CBF"/>
    <w:rsid w:val="00590BF7"/>
    <w:rsid w:val="00594F31"/>
    <w:rsid w:val="005953A1"/>
    <w:rsid w:val="0059577D"/>
    <w:rsid w:val="005A3D8B"/>
    <w:rsid w:val="005A5BBE"/>
    <w:rsid w:val="005C406C"/>
    <w:rsid w:val="005D1E81"/>
    <w:rsid w:val="005F4F20"/>
    <w:rsid w:val="0061132D"/>
    <w:rsid w:val="0061238D"/>
    <w:rsid w:val="00622475"/>
    <w:rsid w:val="00631373"/>
    <w:rsid w:val="006416F6"/>
    <w:rsid w:val="00645F93"/>
    <w:rsid w:val="00650E57"/>
    <w:rsid w:val="00651BA0"/>
    <w:rsid w:val="00672AF3"/>
    <w:rsid w:val="006835F7"/>
    <w:rsid w:val="006A192A"/>
    <w:rsid w:val="006A517E"/>
    <w:rsid w:val="006C15CD"/>
    <w:rsid w:val="006C3274"/>
    <w:rsid w:val="006C46D4"/>
    <w:rsid w:val="006D1571"/>
    <w:rsid w:val="006D3318"/>
    <w:rsid w:val="006D5E89"/>
    <w:rsid w:val="006E0A4F"/>
    <w:rsid w:val="006E1B43"/>
    <w:rsid w:val="006E6761"/>
    <w:rsid w:val="006E72FE"/>
    <w:rsid w:val="006F03BA"/>
    <w:rsid w:val="006F1F49"/>
    <w:rsid w:val="006F2A73"/>
    <w:rsid w:val="006F3BF1"/>
    <w:rsid w:val="00706408"/>
    <w:rsid w:val="0070725B"/>
    <w:rsid w:val="00710062"/>
    <w:rsid w:val="00711104"/>
    <w:rsid w:val="00721FCE"/>
    <w:rsid w:val="0072462E"/>
    <w:rsid w:val="00725FA4"/>
    <w:rsid w:val="00736AE1"/>
    <w:rsid w:val="00746330"/>
    <w:rsid w:val="00750090"/>
    <w:rsid w:val="00761147"/>
    <w:rsid w:val="00766A59"/>
    <w:rsid w:val="00767AC2"/>
    <w:rsid w:val="00784288"/>
    <w:rsid w:val="00787BE7"/>
    <w:rsid w:val="007B3B5D"/>
    <w:rsid w:val="007B41D5"/>
    <w:rsid w:val="007C08B1"/>
    <w:rsid w:val="007C2432"/>
    <w:rsid w:val="007C36F6"/>
    <w:rsid w:val="007D1E60"/>
    <w:rsid w:val="007E2B7C"/>
    <w:rsid w:val="007E693E"/>
    <w:rsid w:val="007F02AD"/>
    <w:rsid w:val="007F1BC6"/>
    <w:rsid w:val="007F4CCE"/>
    <w:rsid w:val="00800A66"/>
    <w:rsid w:val="008023C3"/>
    <w:rsid w:val="008160FB"/>
    <w:rsid w:val="00822F6B"/>
    <w:rsid w:val="008278C4"/>
    <w:rsid w:val="008311A4"/>
    <w:rsid w:val="0084367B"/>
    <w:rsid w:val="00854ADA"/>
    <w:rsid w:val="00856715"/>
    <w:rsid w:val="0086502E"/>
    <w:rsid w:val="00871DD8"/>
    <w:rsid w:val="00873996"/>
    <w:rsid w:val="00875D41"/>
    <w:rsid w:val="00875F11"/>
    <w:rsid w:val="0088243E"/>
    <w:rsid w:val="00885A5B"/>
    <w:rsid w:val="00894476"/>
    <w:rsid w:val="008A6CB6"/>
    <w:rsid w:val="008B6DBA"/>
    <w:rsid w:val="008B7D5C"/>
    <w:rsid w:val="008C60D1"/>
    <w:rsid w:val="008D401B"/>
    <w:rsid w:val="008D7674"/>
    <w:rsid w:val="008F59F3"/>
    <w:rsid w:val="00902FE9"/>
    <w:rsid w:val="0090312B"/>
    <w:rsid w:val="00903F8E"/>
    <w:rsid w:val="00915419"/>
    <w:rsid w:val="00920AAF"/>
    <w:rsid w:val="00920E69"/>
    <w:rsid w:val="009350D0"/>
    <w:rsid w:val="0094125D"/>
    <w:rsid w:val="009439C0"/>
    <w:rsid w:val="009451D8"/>
    <w:rsid w:val="0095032F"/>
    <w:rsid w:val="00967FBC"/>
    <w:rsid w:val="00971215"/>
    <w:rsid w:val="00977667"/>
    <w:rsid w:val="00980217"/>
    <w:rsid w:val="0098027D"/>
    <w:rsid w:val="00984694"/>
    <w:rsid w:val="00984C8D"/>
    <w:rsid w:val="009A4C7E"/>
    <w:rsid w:val="009A51A1"/>
    <w:rsid w:val="009B42FB"/>
    <w:rsid w:val="009B7655"/>
    <w:rsid w:val="009C20CB"/>
    <w:rsid w:val="009C2B02"/>
    <w:rsid w:val="009D0456"/>
    <w:rsid w:val="009E7BFB"/>
    <w:rsid w:val="009F6D53"/>
    <w:rsid w:val="009F7B0C"/>
    <w:rsid w:val="00A325C0"/>
    <w:rsid w:val="00A33832"/>
    <w:rsid w:val="00A379ED"/>
    <w:rsid w:val="00A42D52"/>
    <w:rsid w:val="00A473C8"/>
    <w:rsid w:val="00A52E0E"/>
    <w:rsid w:val="00A55259"/>
    <w:rsid w:val="00A71DA5"/>
    <w:rsid w:val="00A814D2"/>
    <w:rsid w:val="00A84316"/>
    <w:rsid w:val="00A8455C"/>
    <w:rsid w:val="00A86081"/>
    <w:rsid w:val="00A93133"/>
    <w:rsid w:val="00A9333C"/>
    <w:rsid w:val="00AA34EB"/>
    <w:rsid w:val="00AA70D8"/>
    <w:rsid w:val="00AC68E4"/>
    <w:rsid w:val="00AD118B"/>
    <w:rsid w:val="00AD2F9C"/>
    <w:rsid w:val="00AD6891"/>
    <w:rsid w:val="00AD699D"/>
    <w:rsid w:val="00AF10A6"/>
    <w:rsid w:val="00AF5E05"/>
    <w:rsid w:val="00B056AD"/>
    <w:rsid w:val="00B06DED"/>
    <w:rsid w:val="00B1157B"/>
    <w:rsid w:val="00B12D2E"/>
    <w:rsid w:val="00B21AF9"/>
    <w:rsid w:val="00B233E8"/>
    <w:rsid w:val="00B26420"/>
    <w:rsid w:val="00B27DF9"/>
    <w:rsid w:val="00B303FB"/>
    <w:rsid w:val="00B35829"/>
    <w:rsid w:val="00B429DA"/>
    <w:rsid w:val="00B463EB"/>
    <w:rsid w:val="00B5708E"/>
    <w:rsid w:val="00B61485"/>
    <w:rsid w:val="00B6709B"/>
    <w:rsid w:val="00B71462"/>
    <w:rsid w:val="00B727A9"/>
    <w:rsid w:val="00B77CDA"/>
    <w:rsid w:val="00B93DA1"/>
    <w:rsid w:val="00B9531B"/>
    <w:rsid w:val="00B95709"/>
    <w:rsid w:val="00B97FB4"/>
    <w:rsid w:val="00BB2DEC"/>
    <w:rsid w:val="00BB6C5D"/>
    <w:rsid w:val="00BB7B6F"/>
    <w:rsid w:val="00BC4882"/>
    <w:rsid w:val="00BD2B77"/>
    <w:rsid w:val="00BE273B"/>
    <w:rsid w:val="00BE47D2"/>
    <w:rsid w:val="00BE4DA1"/>
    <w:rsid w:val="00BF3325"/>
    <w:rsid w:val="00BF33C5"/>
    <w:rsid w:val="00C00962"/>
    <w:rsid w:val="00C00E40"/>
    <w:rsid w:val="00C17F6D"/>
    <w:rsid w:val="00C3007D"/>
    <w:rsid w:val="00C364CF"/>
    <w:rsid w:val="00C4118D"/>
    <w:rsid w:val="00C502AA"/>
    <w:rsid w:val="00C52E61"/>
    <w:rsid w:val="00C566BB"/>
    <w:rsid w:val="00C57050"/>
    <w:rsid w:val="00C6198A"/>
    <w:rsid w:val="00C667D1"/>
    <w:rsid w:val="00C71D4C"/>
    <w:rsid w:val="00C94557"/>
    <w:rsid w:val="00C95D97"/>
    <w:rsid w:val="00CA1893"/>
    <w:rsid w:val="00CA53E4"/>
    <w:rsid w:val="00CB0A68"/>
    <w:rsid w:val="00CB0C65"/>
    <w:rsid w:val="00CB23EF"/>
    <w:rsid w:val="00CB2D53"/>
    <w:rsid w:val="00CB33B1"/>
    <w:rsid w:val="00CC34E3"/>
    <w:rsid w:val="00CC5199"/>
    <w:rsid w:val="00CC5548"/>
    <w:rsid w:val="00CC72F3"/>
    <w:rsid w:val="00CD5116"/>
    <w:rsid w:val="00CE03E2"/>
    <w:rsid w:val="00CE2647"/>
    <w:rsid w:val="00CE338F"/>
    <w:rsid w:val="00CE4165"/>
    <w:rsid w:val="00CE5064"/>
    <w:rsid w:val="00CF6E50"/>
    <w:rsid w:val="00D11025"/>
    <w:rsid w:val="00D14938"/>
    <w:rsid w:val="00D26C48"/>
    <w:rsid w:val="00D31021"/>
    <w:rsid w:val="00D32054"/>
    <w:rsid w:val="00D3391A"/>
    <w:rsid w:val="00D34203"/>
    <w:rsid w:val="00D36CBF"/>
    <w:rsid w:val="00D421E0"/>
    <w:rsid w:val="00D43174"/>
    <w:rsid w:val="00D50795"/>
    <w:rsid w:val="00D55D6D"/>
    <w:rsid w:val="00D57CE1"/>
    <w:rsid w:val="00D57D4F"/>
    <w:rsid w:val="00D60BD0"/>
    <w:rsid w:val="00D61CD2"/>
    <w:rsid w:val="00D7564A"/>
    <w:rsid w:val="00D81DA0"/>
    <w:rsid w:val="00D82B4C"/>
    <w:rsid w:val="00D82C14"/>
    <w:rsid w:val="00D83B07"/>
    <w:rsid w:val="00D95713"/>
    <w:rsid w:val="00DA4AA4"/>
    <w:rsid w:val="00DA6615"/>
    <w:rsid w:val="00DC541B"/>
    <w:rsid w:val="00DD2C27"/>
    <w:rsid w:val="00DE7BDD"/>
    <w:rsid w:val="00E117E5"/>
    <w:rsid w:val="00E152A0"/>
    <w:rsid w:val="00E15C06"/>
    <w:rsid w:val="00E22405"/>
    <w:rsid w:val="00E27608"/>
    <w:rsid w:val="00E37210"/>
    <w:rsid w:val="00E455AD"/>
    <w:rsid w:val="00E45FE2"/>
    <w:rsid w:val="00E528E4"/>
    <w:rsid w:val="00E632A9"/>
    <w:rsid w:val="00E64814"/>
    <w:rsid w:val="00E67260"/>
    <w:rsid w:val="00E82933"/>
    <w:rsid w:val="00E92FE3"/>
    <w:rsid w:val="00E968CA"/>
    <w:rsid w:val="00EB2793"/>
    <w:rsid w:val="00EC210F"/>
    <w:rsid w:val="00EC4B28"/>
    <w:rsid w:val="00ED308B"/>
    <w:rsid w:val="00ED55CA"/>
    <w:rsid w:val="00EE744D"/>
    <w:rsid w:val="00EE7BE1"/>
    <w:rsid w:val="00EF437A"/>
    <w:rsid w:val="00F21503"/>
    <w:rsid w:val="00F21C80"/>
    <w:rsid w:val="00F242FA"/>
    <w:rsid w:val="00F278EA"/>
    <w:rsid w:val="00F30FAB"/>
    <w:rsid w:val="00F31A9C"/>
    <w:rsid w:val="00F3316E"/>
    <w:rsid w:val="00F36A63"/>
    <w:rsid w:val="00F40E32"/>
    <w:rsid w:val="00F44A40"/>
    <w:rsid w:val="00F54DF9"/>
    <w:rsid w:val="00F55D1B"/>
    <w:rsid w:val="00F56449"/>
    <w:rsid w:val="00F633A3"/>
    <w:rsid w:val="00F758BC"/>
    <w:rsid w:val="00F80584"/>
    <w:rsid w:val="00F87362"/>
    <w:rsid w:val="00FA7191"/>
    <w:rsid w:val="00FC5771"/>
    <w:rsid w:val="00FC60AC"/>
    <w:rsid w:val="00FD1777"/>
    <w:rsid w:val="00FD39F6"/>
    <w:rsid w:val="00FE1893"/>
    <w:rsid w:val="00FF59E3"/>
    <w:rsid w:val="00FF5A2F"/>
    <w:rsid w:val="00FF695E"/>
    <w:rsid w:val="00FF70D4"/>
    <w:rsid w:val="00FF7A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2260C"/>
  <w15:docId w15:val="{7C074A88-A646-4BBA-AF29-D93BD7B6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08B"/>
    <w:rPr>
      <w:color w:val="0000FF" w:themeColor="hyperlink"/>
      <w:u w:val="single"/>
    </w:rPr>
  </w:style>
  <w:style w:type="paragraph" w:styleId="FootnoteText">
    <w:name w:val="footnote text"/>
    <w:basedOn w:val="Normal"/>
    <w:link w:val="FootnoteTextChar"/>
    <w:uiPriority w:val="99"/>
    <w:semiHidden/>
    <w:unhideWhenUsed/>
    <w:rsid w:val="00312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F4E"/>
    <w:rPr>
      <w:sz w:val="20"/>
      <w:szCs w:val="20"/>
    </w:rPr>
  </w:style>
  <w:style w:type="character" w:styleId="FootnoteReference">
    <w:name w:val="footnote reference"/>
    <w:basedOn w:val="DefaultParagraphFont"/>
    <w:uiPriority w:val="99"/>
    <w:semiHidden/>
    <w:unhideWhenUsed/>
    <w:rsid w:val="00312F4E"/>
    <w:rPr>
      <w:vertAlign w:val="superscript"/>
    </w:rPr>
  </w:style>
  <w:style w:type="paragraph" w:styleId="BalloonText">
    <w:name w:val="Balloon Text"/>
    <w:basedOn w:val="Normal"/>
    <w:link w:val="BalloonTextChar"/>
    <w:uiPriority w:val="99"/>
    <w:semiHidden/>
    <w:unhideWhenUsed/>
    <w:rsid w:val="005A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BBE"/>
    <w:rPr>
      <w:rFonts w:ascii="Tahoma" w:hAnsi="Tahoma" w:cs="Tahoma"/>
      <w:sz w:val="16"/>
      <w:szCs w:val="16"/>
    </w:rPr>
  </w:style>
  <w:style w:type="character" w:styleId="PlaceholderText">
    <w:name w:val="Placeholder Text"/>
    <w:basedOn w:val="DefaultParagraphFont"/>
    <w:uiPriority w:val="99"/>
    <w:semiHidden/>
    <w:rsid w:val="007F02AD"/>
    <w:rPr>
      <w:color w:val="808080"/>
    </w:rPr>
  </w:style>
  <w:style w:type="table" w:styleId="TableGrid">
    <w:name w:val="Table Grid"/>
    <w:basedOn w:val="TableNormal"/>
    <w:uiPriority w:val="59"/>
    <w:rsid w:val="0032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B45"/>
  </w:style>
  <w:style w:type="paragraph" w:styleId="Footer">
    <w:name w:val="footer"/>
    <w:basedOn w:val="Normal"/>
    <w:link w:val="FooterChar"/>
    <w:uiPriority w:val="99"/>
    <w:unhideWhenUsed/>
    <w:rsid w:val="003F2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B45"/>
  </w:style>
  <w:style w:type="character" w:styleId="CommentReference">
    <w:name w:val="annotation reference"/>
    <w:basedOn w:val="DefaultParagraphFont"/>
    <w:uiPriority w:val="99"/>
    <w:semiHidden/>
    <w:unhideWhenUsed/>
    <w:rsid w:val="00BD2B77"/>
    <w:rPr>
      <w:sz w:val="16"/>
      <w:szCs w:val="16"/>
    </w:rPr>
  </w:style>
  <w:style w:type="paragraph" w:styleId="CommentText">
    <w:name w:val="annotation text"/>
    <w:basedOn w:val="Normal"/>
    <w:link w:val="CommentTextChar"/>
    <w:uiPriority w:val="99"/>
    <w:semiHidden/>
    <w:unhideWhenUsed/>
    <w:rsid w:val="00BD2B77"/>
    <w:pPr>
      <w:spacing w:line="240" w:lineRule="auto"/>
    </w:pPr>
    <w:rPr>
      <w:sz w:val="20"/>
      <w:szCs w:val="20"/>
    </w:rPr>
  </w:style>
  <w:style w:type="character" w:customStyle="1" w:styleId="CommentTextChar">
    <w:name w:val="Comment Text Char"/>
    <w:basedOn w:val="DefaultParagraphFont"/>
    <w:link w:val="CommentText"/>
    <w:uiPriority w:val="99"/>
    <w:semiHidden/>
    <w:rsid w:val="00BD2B77"/>
    <w:rPr>
      <w:sz w:val="20"/>
      <w:szCs w:val="20"/>
    </w:rPr>
  </w:style>
  <w:style w:type="paragraph" w:styleId="CommentSubject">
    <w:name w:val="annotation subject"/>
    <w:basedOn w:val="CommentText"/>
    <w:next w:val="CommentText"/>
    <w:link w:val="CommentSubjectChar"/>
    <w:uiPriority w:val="99"/>
    <w:semiHidden/>
    <w:unhideWhenUsed/>
    <w:rsid w:val="00BD2B77"/>
    <w:rPr>
      <w:b/>
      <w:bCs/>
    </w:rPr>
  </w:style>
  <w:style w:type="character" w:customStyle="1" w:styleId="CommentSubjectChar">
    <w:name w:val="Comment Subject Char"/>
    <w:basedOn w:val="CommentTextChar"/>
    <w:link w:val="CommentSubject"/>
    <w:uiPriority w:val="99"/>
    <w:semiHidden/>
    <w:rsid w:val="00BD2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4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9/ssrn.10014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2139/ssrn.985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rn.com/abstract=1707512" TargetMode="External"/><Relationship Id="rId4" Type="http://schemas.openxmlformats.org/officeDocument/2006/relationships/webSettings" Target="webSettings.xml"/><Relationship Id="rId9" Type="http://schemas.openxmlformats.org/officeDocument/2006/relationships/hyperlink" Target="http://ssrn.com/abstract=82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ba.tuck.dartmouth.edu/pages/faculty/ken.french/Data_Library/det_12_ind_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4F32-766D-4105-ACF4-1076A0E9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7083</Words>
  <Characters>40377</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47366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Balfour S.</cp:lastModifiedBy>
  <cp:revision>2</cp:revision>
  <cp:lastPrinted>2014-12-23T01:03:00Z</cp:lastPrinted>
  <dcterms:created xsi:type="dcterms:W3CDTF">2017-03-20T12:19:00Z</dcterms:created>
  <dcterms:modified xsi:type="dcterms:W3CDTF">2017-03-20T12:19:00Z</dcterms:modified>
</cp:coreProperties>
</file>