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8E" w:rsidRPr="005E028E" w:rsidRDefault="005E028E" w:rsidP="005E028E">
      <w:pPr>
        <w:spacing w:after="0" w:line="240" w:lineRule="auto"/>
        <w:jc w:val="both"/>
        <w:rPr>
          <w:b/>
        </w:rPr>
      </w:pPr>
      <w:bookmarkStart w:id="0" w:name="_GoBack"/>
      <w:bookmarkEnd w:id="0"/>
      <w:r w:rsidRPr="005E028E">
        <w:rPr>
          <w:b/>
        </w:rPr>
        <w:t>Achievement of NICE Quality Standards for patients with new presentation of inflammatory arthritis:</w:t>
      </w:r>
      <w:r w:rsidRPr="005E028E">
        <w:t xml:space="preserve"> </w:t>
      </w:r>
      <w:r w:rsidRPr="005E028E">
        <w:rPr>
          <w:b/>
        </w:rPr>
        <w:t>observations from the National Clinical Audit for Rheumatoid and Early Inflammatory Arthritis</w:t>
      </w:r>
    </w:p>
    <w:p w:rsidR="005E028E" w:rsidRPr="005E028E" w:rsidRDefault="005E028E" w:rsidP="005E028E">
      <w:pPr>
        <w:spacing w:after="0" w:line="240" w:lineRule="auto"/>
        <w:jc w:val="both"/>
        <w:rPr>
          <w:b/>
        </w:rPr>
      </w:pPr>
    </w:p>
    <w:p w:rsidR="005E028E" w:rsidRPr="005E028E" w:rsidRDefault="005E028E" w:rsidP="005E028E">
      <w:pPr>
        <w:spacing w:after="0" w:line="240" w:lineRule="auto"/>
        <w:jc w:val="both"/>
      </w:pPr>
      <w:r w:rsidRPr="005E028E">
        <w:rPr>
          <w:b/>
        </w:rPr>
        <w:t>Ledingham JM</w:t>
      </w:r>
      <w:r w:rsidRPr="005E028E">
        <w:rPr>
          <w:vertAlign w:val="superscript"/>
        </w:rPr>
        <w:t>1</w:t>
      </w:r>
      <w:r w:rsidRPr="005E028E">
        <w:rPr>
          <w:b/>
        </w:rPr>
        <w:t>, Snowden N</w:t>
      </w:r>
      <w:r w:rsidRPr="005E028E">
        <w:rPr>
          <w:vertAlign w:val="superscript"/>
        </w:rPr>
        <w:t>2</w:t>
      </w:r>
      <w:r w:rsidRPr="005E028E">
        <w:rPr>
          <w:b/>
        </w:rPr>
        <w:t>, Rivett A</w:t>
      </w:r>
      <w:r w:rsidRPr="005E028E">
        <w:rPr>
          <w:vertAlign w:val="superscript"/>
        </w:rPr>
        <w:t>3</w:t>
      </w:r>
      <w:r w:rsidRPr="005E028E">
        <w:rPr>
          <w:b/>
        </w:rPr>
        <w:t>, Galloway J</w:t>
      </w:r>
      <w:r w:rsidRPr="005E028E">
        <w:rPr>
          <w:vertAlign w:val="superscript"/>
        </w:rPr>
        <w:t>4</w:t>
      </w:r>
      <w:r w:rsidRPr="005E028E">
        <w:rPr>
          <w:b/>
        </w:rPr>
        <w:t>, Ide Z</w:t>
      </w:r>
      <w:r w:rsidRPr="005E028E">
        <w:rPr>
          <w:vertAlign w:val="superscript"/>
        </w:rPr>
        <w:t>3</w:t>
      </w:r>
      <w:r w:rsidRPr="005E028E">
        <w:rPr>
          <w:b/>
        </w:rPr>
        <w:t>, Firth J</w:t>
      </w:r>
      <w:r w:rsidRPr="005E028E">
        <w:rPr>
          <w:vertAlign w:val="superscript"/>
        </w:rPr>
        <w:t>2</w:t>
      </w:r>
      <w:r w:rsidRPr="005E028E">
        <w:rPr>
          <w:b/>
        </w:rPr>
        <w:t>, MacPhie E</w:t>
      </w:r>
      <w:r w:rsidRPr="005E028E">
        <w:rPr>
          <w:vertAlign w:val="superscript"/>
        </w:rPr>
        <w:t>5</w:t>
      </w:r>
      <w:r w:rsidRPr="005E028E">
        <w:rPr>
          <w:b/>
        </w:rPr>
        <w:t>, Kandala N</w:t>
      </w:r>
      <w:r w:rsidRPr="005E028E">
        <w:rPr>
          <w:vertAlign w:val="superscript"/>
        </w:rPr>
        <w:t>6</w:t>
      </w:r>
      <w:r w:rsidRPr="005E028E">
        <w:rPr>
          <w:b/>
        </w:rPr>
        <w:t>, Dennison EM</w:t>
      </w:r>
      <w:r w:rsidRPr="005E028E">
        <w:rPr>
          <w:vertAlign w:val="superscript"/>
        </w:rPr>
        <w:t>6</w:t>
      </w:r>
      <w:r w:rsidRPr="005E028E">
        <w:rPr>
          <w:b/>
        </w:rPr>
        <w:t>, Rowe I</w:t>
      </w:r>
      <w:r w:rsidRPr="005E028E">
        <w:rPr>
          <w:vertAlign w:val="superscript"/>
        </w:rPr>
        <w:t>3</w:t>
      </w:r>
      <w:r w:rsidRPr="005E028E">
        <w:rPr>
          <w:b/>
        </w:rPr>
        <w:t xml:space="preserve"> on behalf of the BSR national audit Project Working Group</w:t>
      </w:r>
    </w:p>
    <w:p w:rsidR="005E028E" w:rsidRPr="005E028E" w:rsidRDefault="005E028E" w:rsidP="005E028E">
      <w:pPr>
        <w:spacing w:after="0" w:line="240" w:lineRule="auto"/>
        <w:jc w:val="both"/>
        <w:rPr>
          <w:vertAlign w:val="superscript"/>
        </w:rPr>
      </w:pPr>
    </w:p>
    <w:p w:rsidR="005E028E" w:rsidRPr="005E028E" w:rsidRDefault="005E028E" w:rsidP="005E028E">
      <w:pPr>
        <w:spacing w:after="0" w:line="240" w:lineRule="auto"/>
        <w:jc w:val="both"/>
      </w:pPr>
      <w:r w:rsidRPr="005E028E">
        <w:rPr>
          <w:vertAlign w:val="superscript"/>
        </w:rPr>
        <w:t>1</w:t>
      </w:r>
      <w:r w:rsidRPr="005E028E">
        <w:t xml:space="preserve">Rheumatology Department, Portsmouth Hospitals NHS Trust, Portsmouth, UNITED KINGDOM, </w:t>
      </w:r>
      <w:r w:rsidRPr="005E028E">
        <w:rPr>
          <w:vertAlign w:val="superscript"/>
        </w:rPr>
        <w:t>2</w:t>
      </w:r>
      <w:r w:rsidRPr="005E028E">
        <w:t xml:space="preserve">Rheumatology Department, Pennine MSK Partnership, Oldham, UNITED KINGDOM, </w:t>
      </w:r>
    </w:p>
    <w:p w:rsidR="005E028E" w:rsidRPr="005E028E" w:rsidRDefault="005E028E" w:rsidP="005E028E">
      <w:pPr>
        <w:spacing w:after="0" w:line="240" w:lineRule="auto"/>
        <w:jc w:val="both"/>
      </w:pPr>
      <w:r w:rsidRPr="005E028E">
        <w:rPr>
          <w:vertAlign w:val="superscript"/>
        </w:rPr>
        <w:t>3</w:t>
      </w:r>
      <w:r w:rsidRPr="005E028E">
        <w:t xml:space="preserve">Clinical Affairs Department, British Society for Rheumatology, London, UNITED KINGDOM, </w:t>
      </w:r>
    </w:p>
    <w:p w:rsidR="005E028E" w:rsidRPr="005E028E" w:rsidRDefault="005E028E" w:rsidP="005E028E">
      <w:pPr>
        <w:spacing w:after="0" w:line="240" w:lineRule="auto"/>
        <w:jc w:val="both"/>
      </w:pPr>
      <w:r w:rsidRPr="005E028E">
        <w:rPr>
          <w:vertAlign w:val="superscript"/>
        </w:rPr>
        <w:t>4</w:t>
      </w:r>
      <w:r w:rsidRPr="005E028E">
        <w:t>Rheumatology Department, Kings College Hospital, London, UNITED KINGDOM</w:t>
      </w:r>
    </w:p>
    <w:p w:rsidR="005E028E" w:rsidRPr="005E028E" w:rsidRDefault="005E028E" w:rsidP="005E028E">
      <w:pPr>
        <w:spacing w:after="0" w:line="240" w:lineRule="auto"/>
        <w:jc w:val="both"/>
        <w:rPr>
          <w:b/>
        </w:rPr>
      </w:pPr>
      <w:r w:rsidRPr="005E028E">
        <w:rPr>
          <w:vertAlign w:val="superscript"/>
        </w:rPr>
        <w:t>5</w:t>
      </w:r>
      <w:r w:rsidRPr="005E028E">
        <w:t xml:space="preserve">Rheumatology Department, Lancashire Care NHS Foundation Trust, Preston, UNITED KINGDOM, </w:t>
      </w:r>
      <w:r w:rsidRPr="005E028E">
        <w:rPr>
          <w:vertAlign w:val="superscript"/>
        </w:rPr>
        <w:t>6</w:t>
      </w:r>
      <w:r w:rsidRPr="005E028E">
        <w:t>MRC Lifecourse Epidemiology Unit, Southampton University, Southampton, UNITED KINGDOM.</w:t>
      </w:r>
    </w:p>
    <w:p w:rsidR="005E028E" w:rsidRPr="005E028E" w:rsidRDefault="005E028E" w:rsidP="005E028E">
      <w:pPr>
        <w:spacing w:after="0" w:line="240" w:lineRule="auto"/>
        <w:jc w:val="both"/>
        <w:rPr>
          <w:b/>
        </w:rPr>
      </w:pPr>
    </w:p>
    <w:p w:rsidR="005E028E" w:rsidRPr="005E028E" w:rsidRDefault="005E028E" w:rsidP="005E028E">
      <w:pPr>
        <w:spacing w:after="0" w:line="240" w:lineRule="auto"/>
        <w:jc w:val="both"/>
        <w:rPr>
          <w:b/>
          <w:u w:val="single"/>
        </w:rPr>
      </w:pPr>
    </w:p>
    <w:p w:rsidR="005E028E" w:rsidRPr="005E028E" w:rsidRDefault="005E028E" w:rsidP="005E028E">
      <w:pPr>
        <w:spacing w:after="0" w:line="240" w:lineRule="auto"/>
        <w:jc w:val="both"/>
      </w:pPr>
      <w:r w:rsidRPr="005E028E">
        <w:t>Corresponding author</w:t>
      </w:r>
    </w:p>
    <w:p w:rsidR="005E028E" w:rsidRPr="005E028E" w:rsidRDefault="005E028E" w:rsidP="005E028E">
      <w:pPr>
        <w:spacing w:after="0" w:line="240" w:lineRule="auto"/>
        <w:ind w:firstLine="720"/>
        <w:jc w:val="both"/>
      </w:pPr>
      <w:r w:rsidRPr="005E028E">
        <w:t>Dr JM Ledingham</w:t>
      </w:r>
    </w:p>
    <w:p w:rsidR="005E028E" w:rsidRPr="005E028E" w:rsidRDefault="005E028E" w:rsidP="005E028E">
      <w:pPr>
        <w:spacing w:after="0" w:line="240" w:lineRule="auto"/>
        <w:ind w:firstLine="720"/>
        <w:jc w:val="both"/>
      </w:pPr>
      <w:r w:rsidRPr="005E028E">
        <w:t>Rheumatology Department</w:t>
      </w:r>
    </w:p>
    <w:p w:rsidR="005E028E" w:rsidRPr="005E028E" w:rsidRDefault="005E028E" w:rsidP="005E028E">
      <w:pPr>
        <w:spacing w:after="0" w:line="240" w:lineRule="auto"/>
        <w:ind w:firstLine="720"/>
        <w:jc w:val="both"/>
      </w:pPr>
      <w:r w:rsidRPr="005E028E">
        <w:t>Queen Alexandra Hospital, Cosham,</w:t>
      </w:r>
    </w:p>
    <w:p w:rsidR="005E028E" w:rsidRPr="005E028E" w:rsidRDefault="005E028E" w:rsidP="005E028E">
      <w:pPr>
        <w:spacing w:after="0" w:line="240" w:lineRule="auto"/>
        <w:ind w:firstLine="720"/>
        <w:jc w:val="both"/>
      </w:pPr>
      <w:r w:rsidRPr="005E028E">
        <w:t>Portsmouth,</w:t>
      </w:r>
    </w:p>
    <w:p w:rsidR="005E028E" w:rsidRPr="005E028E" w:rsidRDefault="005E028E" w:rsidP="005E028E">
      <w:pPr>
        <w:spacing w:after="0" w:line="240" w:lineRule="auto"/>
        <w:ind w:firstLine="720"/>
        <w:jc w:val="both"/>
      </w:pPr>
      <w:r w:rsidRPr="005E028E">
        <w:t>PO6 3LY</w:t>
      </w:r>
    </w:p>
    <w:p w:rsidR="005E028E" w:rsidRPr="005E028E" w:rsidRDefault="005E028E" w:rsidP="005E028E">
      <w:pPr>
        <w:spacing w:after="0" w:line="240" w:lineRule="auto"/>
        <w:ind w:firstLine="720"/>
        <w:jc w:val="both"/>
      </w:pPr>
      <w:r w:rsidRPr="005E028E">
        <w:t xml:space="preserve">E-mail: </w:t>
      </w:r>
      <w:hyperlink r:id="rId6" w:history="1">
        <w:r w:rsidRPr="005E028E">
          <w:rPr>
            <w:color w:val="0563C1"/>
          </w:rPr>
          <w:t>Jo.ledingham@porthosp.mhs.uk</w:t>
        </w:r>
      </w:hyperlink>
    </w:p>
    <w:p w:rsidR="00E9045F" w:rsidRPr="005E028E" w:rsidRDefault="00E9045F" w:rsidP="00E9045F">
      <w:pPr>
        <w:shd w:val="clear" w:color="auto" w:fill="FFFFFF"/>
        <w:spacing w:before="100" w:beforeAutospacing="1" w:after="100" w:afterAutospacing="1" w:line="408" w:lineRule="atLeast"/>
        <w:rPr>
          <w:rFonts w:eastAsia="Times New Roman" w:cs="Times New Roman"/>
          <w:b/>
          <w:bCs/>
          <w:color w:val="2A2A2A"/>
          <w:lang w:val="en" w:eastAsia="en-GB"/>
        </w:rPr>
      </w:pPr>
      <w:r w:rsidRPr="005E028E">
        <w:rPr>
          <w:rFonts w:eastAsia="Times New Roman" w:cs="Times New Roman"/>
          <w:b/>
          <w:bCs/>
          <w:color w:val="2A2A2A"/>
          <w:lang w:val="en" w:eastAsia="en-GB"/>
        </w:rPr>
        <w:t>Abstract</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5E028E">
        <w:rPr>
          <w:rFonts w:eastAsia="Times New Roman" w:cs="Times New Roman"/>
          <w:b/>
          <w:bCs/>
          <w:color w:val="2A2A2A"/>
          <w:lang w:val="en" w:eastAsia="en-GB"/>
        </w:rPr>
        <w:t>Objectives.</w:t>
      </w:r>
      <w:r w:rsidRPr="00E9045F">
        <w:rPr>
          <w:rFonts w:eastAsia="Times New Roman" w:cs="Times New Roman"/>
          <w:color w:val="2A2A2A"/>
          <w:lang w:val="en" w:eastAsia="en-GB"/>
        </w:rPr>
        <w:t xml:space="preserve"> A national audit was performed assessing the early management of suspected inflammatory arthritis by English and Welsh rheumatology units. The aim of this audit was to measure the performance of rheumatology services against National Institute for Health and Care Excellence (NICE) quality standards (QSs) for the management of early inflammatory arthritis benchmarked to regional and national comparators for the first time in the UK. </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5E028E">
        <w:rPr>
          <w:rFonts w:eastAsia="Times New Roman" w:cs="Times New Roman"/>
          <w:b/>
          <w:bCs/>
          <w:color w:val="2A2A2A"/>
          <w:lang w:val="en" w:eastAsia="en-GB"/>
        </w:rPr>
        <w:t>Methods.</w:t>
      </w:r>
      <w:r w:rsidRPr="00E9045F">
        <w:rPr>
          <w:rFonts w:eastAsia="Times New Roman" w:cs="Times New Roman"/>
          <w:color w:val="2A2A2A"/>
          <w:lang w:val="en" w:eastAsia="en-GB"/>
        </w:rPr>
        <w:t xml:space="preserve"> All individuals &gt;16 years of age presenting to rheumatology services in England and Wales with suspected new-onset inflammatory arthritis were included in the audit. Information was collected against six NICE QSs that pertain to early inflammatory arthritis management.</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5E028E">
        <w:rPr>
          <w:rFonts w:eastAsia="Times New Roman" w:cs="Times New Roman"/>
          <w:b/>
          <w:bCs/>
          <w:color w:val="2A2A2A"/>
          <w:lang w:val="en" w:eastAsia="en-GB"/>
        </w:rPr>
        <w:t>Results.</w:t>
      </w:r>
      <w:r w:rsidRPr="00E9045F">
        <w:rPr>
          <w:rFonts w:eastAsia="Times New Roman" w:cs="Times New Roman"/>
          <w:color w:val="2A2A2A"/>
          <w:lang w:val="en" w:eastAsia="en-GB"/>
        </w:rPr>
        <w:t xml:space="preserve"> We present national data for the 6354 patients recruited from 1 February 2014 to 31 January 2015; 97% of trusts and health boards in England and Wales participated in this audit. Only 17% of patients were referred by their general practitioner within 3 days of first presentation. Specialist rheumatology assessment occurred within 3 weeks of referral in 38% of patients. The target of DMARD initiation within 6 weeks of referral was achieved in 53% of RA patients; 36% were treated with combination DMARDs and 82% with steroids within the first 3 months of specialist care. Fifty-nine per cent of patients received structured education on their arthritis within 1 month of </w:t>
      </w:r>
      <w:r w:rsidRPr="00E9045F">
        <w:rPr>
          <w:rFonts w:eastAsia="Times New Roman" w:cs="Times New Roman"/>
          <w:color w:val="2A2A2A"/>
          <w:lang w:val="en" w:eastAsia="en-GB"/>
        </w:rPr>
        <w:lastRenderedPageBreak/>
        <w:t>diagnosis. In total, 91% of patients had a treatment target set; the agreed target was achieved within 3 months of specialist review in only 27% of patients. Access to urgent advice via a telephone helpline was reported to be available in 96% of trusts.</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5E028E">
        <w:rPr>
          <w:rFonts w:eastAsia="Times New Roman" w:cs="Times New Roman"/>
          <w:b/>
          <w:bCs/>
          <w:color w:val="2A2A2A"/>
          <w:lang w:val="en" w:eastAsia="en-GB"/>
        </w:rPr>
        <w:t>Conclusion.</w:t>
      </w:r>
      <w:r w:rsidRPr="00E9045F">
        <w:rPr>
          <w:rFonts w:eastAsia="Times New Roman" w:cs="Times New Roman"/>
          <w:color w:val="2A2A2A"/>
          <w:lang w:val="en" w:eastAsia="en-GB"/>
        </w:rPr>
        <w:t xml:space="preserve"> The audit has highlighted gaps between NICE standards and delivery of care, as well as substantial geographic variability.</w:t>
      </w:r>
    </w:p>
    <w:p w:rsidR="00E9045F" w:rsidRPr="005E028E" w:rsidRDefault="00E9045F" w:rsidP="00E9045F">
      <w:pPr>
        <w:shd w:val="clear" w:color="auto" w:fill="FFFFFF"/>
        <w:spacing w:before="100" w:beforeAutospacing="1" w:after="100" w:afterAutospacing="1" w:line="408" w:lineRule="atLeast"/>
        <w:rPr>
          <w:rFonts w:eastAsia="Times New Roman" w:cs="Times New Roman"/>
          <w:b/>
          <w:color w:val="2A2A2A"/>
          <w:lang w:val="en" w:eastAsia="en-GB"/>
        </w:rPr>
      </w:pPr>
      <w:r w:rsidRPr="005E028E">
        <w:rPr>
          <w:rFonts w:eastAsia="Times New Roman" w:cs="Times New Roman"/>
          <w:b/>
          <w:color w:val="2A2A2A"/>
          <w:lang w:val="en" w:eastAsia="en-GB"/>
        </w:rPr>
        <w:t>Introduction</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There is compelling evidence that the outcome of RA is dramatically improved by early diagnosis followed by prompt and intensive treatment. However, there is also evidence that most health systems in wealthy/developed nations struggle to provide early assessment and rapid access to treatment for people with RA. In 2009, the UK National Audit Office reported the cost-effectiveness of early aggressive treatment of RA as well as acknowledging significant geographical variation in RA care across the UK [1]. In the same year, the UK National Institute for Health and Care Excellence (NICE) published clinical guidance (CG79) for the treatment of RA [2] emphasizing the importance of early diagnosis and treatment. In 2013, NICE published quality standards (QSs) for the diagnosis and treatment of RA (QS33) that summarize the principles of rapid and intensive patient-centred treatment [3].</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QS1, general practitioner (GP) referral time, states that people with suspected persistent synovitis (swelling) affecting the small joints of the hands or feet, or more than one joint, should be referred to a rheumatology service within 3 working days of presentation to their GP.</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QS2, waiting time, states that people with suspected persistent synovitis (swelling) should be assessed in a rheumatology service within 3 weeks of referral.</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QS3, time to DMARD, states that people with newly diagnosed RA should be offered short-term glucocorticoids (steroids) and a combination of DMARDs by a rheumatology service within 6 weeks of referral.</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QS4, education and self-management, states that people with RA should be offered educational and self-management activities within 1 month of diagnosis.</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QS5, treat to target, states that people who have active RA should be offered monthly treatment escalation until the disease is controlled to an agreed low disease activity target.</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lastRenderedPageBreak/>
        <w:t>QS6, urgent access, states that people with RA and disease flares or possible drug-related side effects should receive advice within 1 working day of contacting the rheumatology service.</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QS7, annual review, states that people with RA should have a comprehensive annual review that is co-ordinated by the rheumatology service.</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However, NICE clinical guidelines and QSs do not place any statutory obligations on National Health Service (NHS) organizations in the UK. The provision of services is determined at local level, and anecdotal and local audit data suggest that there is widespread variation in rheumatologic practice across the NHS. Hitherto there have been no robust measures of this variation at national and local levels.</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For this reason, a national audit of the management of RA and early inflammatory arthritis (EIA) was commissioned by the Healthcare Quality Improvement Partnership (HQIP) as part of the NHS National Clinical Audit and Patient Outcome Programme. These audits generally assess quality of care against nationally approved guidelines and provide detailed information on clinical and patient-reported outcomes to inform the wider NHS. For information about the background of the audit, please see the</w:t>
      </w:r>
      <w:r w:rsidRPr="00E9045F">
        <w:rPr>
          <w:rFonts w:eastAsia="Times New Roman" w:cs="Times New Roman"/>
          <w:lang w:val="en" w:eastAsia="en-GB"/>
        </w:rPr>
        <w:t xml:space="preserve"> </w:t>
      </w:r>
      <w:hyperlink r:id="rId7" w:history="1">
        <w:r w:rsidRPr="005E028E">
          <w:rPr>
            <w:rFonts w:eastAsia="Times New Roman" w:cs="Times New Roman"/>
            <w:lang w:val="en" w:eastAsia="en-GB"/>
          </w:rPr>
          <w:t>supplementary data</w:t>
        </w:r>
      </w:hyperlink>
      <w:r w:rsidRPr="005E028E">
        <w:rPr>
          <w:rFonts w:eastAsia="Times New Roman" w:cs="Times New Roman"/>
          <w:color w:val="2A2A2A"/>
          <w:lang w:val="en" w:eastAsia="en-GB"/>
        </w:rPr>
        <w:t xml:space="preserve">  </w:t>
      </w:r>
      <w:r w:rsidRPr="00E9045F">
        <w:rPr>
          <w:rFonts w:eastAsia="Times New Roman" w:cs="Times New Roman"/>
          <w:color w:val="2A2A2A"/>
          <w:lang w:val="en" w:eastAsia="en-GB"/>
        </w:rPr>
        <w:t xml:space="preserve">section on ‘Background and methodology for the UK national clinical audit for rheumatoid and EIA’, available at </w:t>
      </w:r>
      <w:r w:rsidRPr="005E028E">
        <w:rPr>
          <w:rFonts w:eastAsia="Times New Roman" w:cs="Times New Roman"/>
          <w:i/>
          <w:iCs/>
          <w:color w:val="2A2A2A"/>
          <w:lang w:val="en" w:eastAsia="en-GB"/>
        </w:rPr>
        <w:t>Rheumatology</w:t>
      </w:r>
      <w:r w:rsidRPr="00E9045F">
        <w:rPr>
          <w:rFonts w:eastAsia="Times New Roman" w:cs="Times New Roman"/>
          <w:color w:val="2A2A2A"/>
          <w:lang w:val="en" w:eastAsia="en-GB"/>
        </w:rPr>
        <w:t xml:space="preserve"> Online.</w:t>
      </w:r>
    </w:p>
    <w:p w:rsidR="00E9045F" w:rsidRPr="00E9045F" w:rsidRDefault="00E9045F" w:rsidP="00E9045F">
      <w:pPr>
        <w:shd w:val="clear" w:color="auto" w:fill="FFFFFF"/>
        <w:spacing w:before="100" w:beforeAutospacing="1" w:after="100" w:afterAutospacing="1" w:line="408" w:lineRule="atLeast"/>
        <w:rPr>
          <w:rFonts w:eastAsia="Times New Roman" w:cs="Times New Roman"/>
          <w:color w:val="2A2A2A"/>
          <w:lang w:val="en" w:eastAsia="en-GB"/>
        </w:rPr>
      </w:pPr>
      <w:r w:rsidRPr="00E9045F">
        <w:rPr>
          <w:rFonts w:eastAsia="Times New Roman" w:cs="Times New Roman"/>
          <w:color w:val="2A2A2A"/>
          <w:lang w:val="en" w:eastAsia="en-GB"/>
        </w:rPr>
        <w:t>This audit aims to assess the early management of patients referred to English and Welsh rheumatology trusts with suspected inflammatory arthritis and to enable patients to provide feedback on the services provided to them and on the impact of their arthritis on their lives. The audit enables rheumatology services to measure their performance against NICE QSs, benchmarked to regional and national comparators for the first time. All NHS provider organizations have a contractual obligation to participate in the National Clinical Audit and Patient Outcome Programme and hence the audit provides the first effective national lever to improve RA services within the UK.</w:t>
      </w:r>
    </w:p>
    <w:p w:rsidR="00E9045F" w:rsidRPr="005E028E" w:rsidRDefault="005E028E" w:rsidP="00E9045F">
      <w:pPr>
        <w:rPr>
          <w:b/>
          <w:lang w:val="en"/>
        </w:rPr>
      </w:pPr>
      <w:r>
        <w:rPr>
          <w:b/>
        </w:rPr>
        <w:t>M</w:t>
      </w:r>
      <w:r w:rsidR="00E9045F" w:rsidRPr="005E028E">
        <w:rPr>
          <w:b/>
        </w:rPr>
        <w:t>ethods</w:t>
      </w:r>
    </w:p>
    <w:p w:rsidR="00E9045F" w:rsidRPr="0057435F" w:rsidRDefault="00E9045F" w:rsidP="00E9045F">
      <w:r w:rsidRPr="0057435F">
        <w:t xml:space="preserve">The data collection tools were developed by the audit project working group, following extensive consultation, and were approved for use by HQIP and the NHS Review of Central Returns (now the Burden Advice and Assessment Service), who provide recommendations to minimize the burden of data collection. Ethical approval was not required and further information on governance structures, the information technology (IT) tool and on data security can be found in the </w:t>
      </w:r>
      <w:hyperlink r:id="rId8" w:history="1">
        <w:r w:rsidRPr="0057435F">
          <w:t>supplementary data</w:t>
        </w:r>
      </w:hyperlink>
      <w:r w:rsidRPr="0057435F">
        <w:t>, available at Rheumatology Online.</w:t>
      </w:r>
    </w:p>
    <w:p w:rsidR="00E9045F" w:rsidRPr="0057435F" w:rsidRDefault="00E9045F" w:rsidP="00E9045F">
      <w:r w:rsidRPr="0057435F">
        <w:t xml:space="preserve">The questionnaires and web-based IT tool were piloted prior to the national audit launch in February 2014. Patient consent, using HQIP- and Review of Central Returns–approved processes, was </w:t>
      </w:r>
      <w:r w:rsidRPr="0057435F">
        <w:lastRenderedPageBreak/>
        <w:t>obtained for all analysed data. This was sought from patients at the first appointment and recorded on the baseline audit form. Consent guidance was provided to patients explaining the implications of agreeing to participate in the audit, how any personal details would be used and that data would be anonymized for analysis and publication.</w:t>
      </w:r>
    </w:p>
    <w:p w:rsidR="00E9045F" w:rsidRPr="0057435F" w:rsidRDefault="00E9045F" w:rsidP="00E9045F">
      <w:r w:rsidRPr="0057435F">
        <w:t xml:space="preserve">All individuals &gt;16 years of age presenting to specialist rheumatology services in England and Wales with new-onset peripheral joint polyarthritis were eligible for inclusion in the audit. Patients were recruited if they had RA, PsA, peripheral arthritis linked with SpA (not pure axial SpA) and undifferentiated arthritis, but were excluded if they had crystal arthritis or arthritis caused by infection (viral or septic arthritis) or linked with CTDs/vasculitis. Clinician-derived data were collected for 3 months from recruitment of each patient with an RA pattern of disease in relation to the NICE QSs. Patient-reported outcome and experience measures and information on each patient’s ability to work were also collected. In addition, organizational data were collected, including catchment population, staff numbers and availability of EIA clinics. Further details on the key measures are available as </w:t>
      </w:r>
      <w:hyperlink r:id="rId9" w:history="1">
        <w:r w:rsidRPr="0057435F">
          <w:t>supplementary data</w:t>
        </w:r>
      </w:hyperlink>
      <w:r w:rsidRPr="0057435F">
        <w:t>, available at Rheumatology Online.</w:t>
      </w:r>
    </w:p>
    <w:p w:rsidR="00E9045F" w:rsidRPr="00E9045F" w:rsidRDefault="00E9045F" w:rsidP="00E9045F">
      <w:pPr>
        <w:rPr>
          <w:b/>
        </w:rPr>
      </w:pPr>
      <w:r w:rsidRPr="00E9045F">
        <w:rPr>
          <w:b/>
        </w:rPr>
        <w:t>Results</w:t>
      </w:r>
    </w:p>
    <w:p w:rsidR="00E9045F" w:rsidRPr="0057435F" w:rsidRDefault="00E9045F" w:rsidP="00E9045F">
      <w:r w:rsidRPr="0057435F">
        <w:t>Data are presented for patients recruited from 1 February 2014 to 31 January 2015. One hundred and forty-three of 148 eligible NHS rheumatology providers in England and Wales registered to participate in the audit and 94% of these supplied data. Data from 6354 patients were analysed, representing &gt;40% of expected incident RA cases based on an expected incidence from previous studies of 15/100 000 [4, 5].</w:t>
      </w:r>
    </w:p>
    <w:p w:rsidR="00E9045F" w:rsidRPr="0057435F" w:rsidRDefault="00E9045F" w:rsidP="00E9045F">
      <w:r w:rsidRPr="0057435F">
        <w:t xml:space="preserve">Tables 1 and 2 show the age, gender and ethnicity of patients. Patients were predominantly women (66%) and 70% were of working age (16–65 years). A higher proportion of men were found in the &gt;65 year age group (39%). By far the majority of patients recruited were of white British origin (79%), but there was significant geographical variation in ethnicity, as shown in Table 2. </w:t>
      </w:r>
    </w:p>
    <w:p w:rsidR="00E9045F" w:rsidRPr="0057435F" w:rsidRDefault="00E9045F" w:rsidP="00E9045F">
      <w:r w:rsidRPr="0057435F">
        <w:t>Table 1</w:t>
      </w:r>
    </w:p>
    <w:p w:rsidR="00E9045F" w:rsidRPr="0057435F" w:rsidRDefault="00E9045F" w:rsidP="00E9045F">
      <w:r w:rsidRPr="0057435F">
        <w:t xml:space="preserve">Age and gender of participants </w:t>
      </w:r>
    </w:p>
    <w:tbl>
      <w:tblPr>
        <w:tblW w:w="0" w:type="auto"/>
        <w:tblBorders>
          <w:top w:val="single" w:sz="6" w:space="0" w:color="CFD5E4"/>
        </w:tblBorders>
        <w:tblCellMar>
          <w:top w:w="15" w:type="dxa"/>
          <w:left w:w="15" w:type="dxa"/>
          <w:bottom w:w="15" w:type="dxa"/>
          <w:right w:w="15" w:type="dxa"/>
        </w:tblCellMar>
        <w:tblLook w:val="04A0" w:firstRow="1" w:lastRow="0" w:firstColumn="1" w:lastColumn="0" w:noHBand="0" w:noVBand="1"/>
      </w:tblPr>
      <w:tblGrid>
        <w:gridCol w:w="3102"/>
        <w:gridCol w:w="1549"/>
        <w:gridCol w:w="1742"/>
        <w:gridCol w:w="1661"/>
      </w:tblGrid>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Age group </w:t>
            </w:r>
          </w:p>
        </w:tc>
        <w:tc>
          <w:tcPr>
            <w:tcW w:w="0" w:type="auto"/>
            <w:gridSpan w:val="3"/>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Total recruited during time window (12 months) </w:t>
            </w:r>
          </w:p>
        </w:tc>
      </w:tr>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Male,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Female,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Total,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All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2078 (33.6)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4108 (66.4)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6186 (100.0)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Working age (16–65 years)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1353 (31.1)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2993 (68.9)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4346 (70.3)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Non-working age (&gt;65 years)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725 (39.4)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1115 (60.6)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1840 (29.7) </w:t>
            </w:r>
          </w:p>
        </w:tc>
      </w:tr>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lastRenderedPageBreak/>
              <w:t>Age group </w:t>
            </w:r>
          </w:p>
        </w:tc>
        <w:tc>
          <w:tcPr>
            <w:tcW w:w="0" w:type="auto"/>
            <w:gridSpan w:val="3"/>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Total recruited during time window (12 months) </w:t>
            </w:r>
          </w:p>
        </w:tc>
      </w:tr>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Male,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Female,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Total,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All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2078 (33.6)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4108 (66.4)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6186 (100.0)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Working age (16–65 years)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1353 (31.1)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2993 (68.9)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4346 (70.3)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Non-working age (&gt;65 years)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725 (39.4)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1115 (60.6)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1840 (29.7) </w:t>
            </w:r>
          </w:p>
        </w:tc>
      </w:tr>
    </w:tbl>
    <w:p w:rsidR="00E9045F" w:rsidRPr="0057435F" w:rsidRDefault="00E9045F" w:rsidP="00E9045F">
      <w:r w:rsidRPr="0057435F">
        <w:t>Table 2</w:t>
      </w:r>
    </w:p>
    <w:p w:rsidR="00E9045F" w:rsidRPr="0057435F" w:rsidRDefault="00E9045F" w:rsidP="00E9045F">
      <w:r w:rsidRPr="0057435F">
        <w:t>Ethnicity of participants across NHS regions and Wales</w:t>
      </w:r>
    </w:p>
    <w:tbl>
      <w:tblPr>
        <w:tblW w:w="0" w:type="auto"/>
        <w:tblBorders>
          <w:top w:val="single" w:sz="6" w:space="0" w:color="CFD5E4"/>
        </w:tblBorders>
        <w:tblCellMar>
          <w:top w:w="15" w:type="dxa"/>
          <w:left w:w="15" w:type="dxa"/>
          <w:bottom w:w="15" w:type="dxa"/>
          <w:right w:w="15" w:type="dxa"/>
        </w:tblCellMar>
        <w:tblLook w:val="04A0" w:firstRow="1" w:lastRow="0" w:firstColumn="1" w:lastColumn="0" w:noHBand="0" w:noVBand="1"/>
      </w:tblPr>
      <w:tblGrid>
        <w:gridCol w:w="1442"/>
        <w:gridCol w:w="1461"/>
        <w:gridCol w:w="1374"/>
        <w:gridCol w:w="1530"/>
        <w:gridCol w:w="1226"/>
        <w:gridCol w:w="1224"/>
        <w:gridCol w:w="1249"/>
      </w:tblGrid>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Ethnicity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National,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London,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Midlands,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North,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South,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Wales,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All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6354 (100)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809 (12.7)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1374 (21.6)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2129 (33.5)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1676 (26.4)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366 (5.8)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White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4987 (78.5)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376 (46.5)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1149 (83.6)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1705 (80.1)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1435 (85.6)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322 (88)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Black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175 (2.8)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130 (16.1)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27 (2.0)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 (0.5)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 (0.4)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0 (0.0)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Asian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336 (5.3)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131 (16.2)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74 (5.4)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85 (4.0)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43 (2.6)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 (0.8)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Mixed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106 (1.7)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41 (5.1)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27 (2.0)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 (0.8)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19 (1.1)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 (0.6)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Not provided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750 (11.8)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131 (16.2)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97 (7.1)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311 (14.6)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172 (10.3)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39 (10.7) </w:t>
            </w:r>
          </w:p>
        </w:tc>
      </w:tr>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lastRenderedPageBreak/>
              <w:t>Ethnicity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National,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London,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Midlands,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North,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South,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Wales,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All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6354 (100)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809 (12.7)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1374 (21.6)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2129 (33.5)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1676 (26.4)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366 (5.8)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White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4987 (78.5)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376 (46.5)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1149 (83.6)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1705 (80.1)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1435 (85.6)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322 (88)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Black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175 (2.8)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130 (16.1)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27 (2.0)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 (0.5)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 (0.4)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0 (0.0)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Asian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336 (5.3)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131 (16.2)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74 (5.4)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85 (4.0)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43 (2.6)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 (0.8)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Mixed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106 (1.7)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41 (5.1)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27 (2.0)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 (0.8)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19 (1.1)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 (0.6)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Not provided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750 (11.8)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131 (16.2)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97 (7.1)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311 (14.6)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172 (10.3)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39 (10.7) </w:t>
            </w:r>
          </w:p>
        </w:tc>
      </w:tr>
    </w:tbl>
    <w:p w:rsidR="00E9045F" w:rsidRPr="0057435F" w:rsidRDefault="00E9045F" w:rsidP="00E9045F">
      <w:r w:rsidRPr="0057435F">
        <w:t>At the first point of data collection, 46% of patients had an established diagnosis of RA, 16% had undifferentiated EIA, 10% had PsA, 3% had peripheral joint disease linked with AS, 9% had other forms of EIA and 16% had no data provided.</w:t>
      </w:r>
    </w:p>
    <w:p w:rsidR="00E9045F" w:rsidRPr="0057435F" w:rsidRDefault="00E9045F" w:rsidP="00E9045F">
      <w:r w:rsidRPr="0057435F">
        <w:t>There was wide variation in the number of consultants per 100 000 population, with a mean nationally (England and Wales) of 1.1, which is below the Royal College of Physicians recommended levels of 1.16 [6]; the range was 0.8 (South of England)–1.2 (Wales and the North of England). Higher numbers of specialist nurses per 100 000 population (national average 1.1) were employed in regions with lower numbers of consultants.</w:t>
      </w:r>
    </w:p>
    <w:p w:rsidR="00E9045F" w:rsidRPr="0057435F" w:rsidRDefault="00E9045F" w:rsidP="00E9045F">
      <w:r w:rsidRPr="0057435F">
        <w:t>Nationally only 75% of trusts reported access to specialist physiotherapy (range 44–86%), 77% to specialist occupational therapy (range 44–89%) and 55% to specialist podiatry services (range 42–83%).</w:t>
      </w:r>
    </w:p>
    <w:p w:rsidR="00E9045F" w:rsidRPr="0057435F" w:rsidRDefault="00E9045F" w:rsidP="00E9045F">
      <w:r w:rsidRPr="0057435F">
        <w:t>QS 1: GP referral time</w:t>
      </w:r>
    </w:p>
    <w:p w:rsidR="00E9045F" w:rsidRPr="0057435F" w:rsidRDefault="00E9045F" w:rsidP="00E9045F">
      <w:r w:rsidRPr="0057435F">
        <w:t>Nationally only 17% of patients were referred by their GP to rheumatology within 3 days of first presentation. A quarter of patients waited &gt;3 months to be referred and the median time from first GP contact to referral was 34 days.</w:t>
      </w:r>
    </w:p>
    <w:p w:rsidR="00E9045F" w:rsidRPr="0057435F" w:rsidRDefault="00E9045F" w:rsidP="00E9045F">
      <w:r w:rsidRPr="0057435F">
        <w:lastRenderedPageBreak/>
        <w:t xml:space="preserve">There was wide variation in the time intervals reported for this QS, with 40% of patients in Wales but only 11% in the Midlands and East of England meeting this QS. The median and interquartile range (IQR) for the time from GP presentation to rheumatology referral for each region and nationally are shown in Fig. 1, and was lowest in Wales [11 days (IQR 1–64)] and highest in the Midlands and East of England [47 days (IQR 18–124)]. Several trusts could not meet this QS for any patient. There were patients in all NHS regions that waited &gt;1 year to be referred to rheumatology after presenting to their GP. Equally there were patients from all NHS regions that were referred on the day of presentation to their GP. </w:t>
      </w:r>
    </w:p>
    <w:p w:rsidR="00E9045F" w:rsidRPr="00A630BC" w:rsidRDefault="00E9045F" w:rsidP="00E9045F">
      <w:pPr>
        <w:spacing w:after="0" w:line="240" w:lineRule="auto"/>
        <w:jc w:val="both"/>
        <w:rPr>
          <w:rFonts w:ascii="Arial" w:eastAsia="Arial Unicode MS" w:hAnsi="Arial" w:cs="Arial"/>
          <w:i/>
          <w:color w:val="000000"/>
          <w:lang w:val="en-US" w:eastAsia="en-GB"/>
        </w:rPr>
      </w:pPr>
      <w:r w:rsidRPr="00A630BC">
        <w:rPr>
          <w:rFonts w:ascii="Arial" w:eastAsia="Arial Unicode MS" w:hAnsi="Arial" w:cs="Arial"/>
          <w:b/>
          <w:i/>
          <w:color w:val="000000"/>
          <w:lang w:val="en-US" w:eastAsia="en-GB"/>
        </w:rPr>
        <w:t xml:space="preserve">Figure 1 - </w:t>
      </w:r>
      <w:r w:rsidRPr="00A630BC">
        <w:rPr>
          <w:rFonts w:ascii="Arial" w:eastAsia="Arial Unicode MS" w:hAnsi="Arial" w:cs="Arial"/>
          <w:i/>
          <w:color w:val="000000"/>
          <w:lang w:val="en-US" w:eastAsia="en-GB"/>
        </w:rPr>
        <w:t>variability for NICE Quality Standard 1 across NHS regions</w:t>
      </w:r>
      <w:r w:rsidRPr="00A630BC">
        <w:rPr>
          <w:rFonts w:ascii="Arial" w:eastAsia="SimSun" w:hAnsi="Arial" w:cs="Arial"/>
          <w:i/>
          <w:lang w:eastAsia="zh-CN"/>
        </w:rPr>
        <w:t xml:space="preserve"> and Wales</w:t>
      </w:r>
      <w:r w:rsidRPr="00A630BC">
        <w:rPr>
          <w:rFonts w:ascii="Arial" w:eastAsia="Arial Unicode MS" w:hAnsi="Arial" w:cs="Arial"/>
          <w:i/>
          <w:color w:val="000000"/>
          <w:lang w:val="en-US" w:eastAsia="en-GB"/>
        </w:rPr>
        <w:t>. Red line shows national median waiting time. Boxes show median (blue line) and interquartile range (IQR). Whiskers show 1.5x IQR and blue dots show outlying values.</w:t>
      </w:r>
    </w:p>
    <w:p w:rsidR="00E9045F" w:rsidRPr="00A630BC" w:rsidRDefault="00E9045F" w:rsidP="00E9045F">
      <w:pPr>
        <w:spacing w:after="0" w:line="240" w:lineRule="auto"/>
        <w:jc w:val="both"/>
        <w:rPr>
          <w:rFonts w:ascii="Arial" w:eastAsia="Arial Unicode MS" w:hAnsi="Arial" w:cs="Arial"/>
          <w:i/>
          <w:color w:val="000000"/>
          <w:lang w:val="en-US" w:eastAsia="en-GB"/>
        </w:rPr>
      </w:pPr>
    </w:p>
    <w:p w:rsidR="00E9045F" w:rsidRPr="00A630BC" w:rsidRDefault="00E9045F" w:rsidP="00E9045F">
      <w:pPr>
        <w:spacing w:after="0" w:line="240" w:lineRule="auto"/>
        <w:ind w:firstLine="720"/>
        <w:jc w:val="both"/>
        <w:rPr>
          <w:rFonts w:ascii="Arial" w:eastAsia="Arial Unicode MS" w:hAnsi="Arial" w:cs="Arial"/>
          <w:color w:val="000000"/>
          <w:lang w:val="en-US" w:eastAsia="en-GB"/>
        </w:rPr>
      </w:pPr>
    </w:p>
    <w:p w:rsidR="00E9045F" w:rsidRPr="00A630BC" w:rsidRDefault="00E9045F" w:rsidP="00E9045F">
      <w:pPr>
        <w:spacing w:after="0" w:line="240" w:lineRule="auto"/>
        <w:jc w:val="both"/>
        <w:rPr>
          <w:rFonts w:ascii="Arial" w:eastAsia="Arial Unicode MS" w:hAnsi="Arial" w:cs="Arial"/>
          <w:noProof/>
          <w:color w:val="000000"/>
          <w:lang w:eastAsia="en-GB"/>
        </w:rPr>
      </w:pPr>
      <w:r w:rsidRPr="00A630BC">
        <w:rPr>
          <w:rFonts w:ascii="Arial" w:eastAsia="Arial Unicode MS" w:hAnsi="Arial" w:cs="Arial"/>
          <w:noProof/>
          <w:color w:val="000000"/>
          <w:lang w:eastAsia="en-GB"/>
        </w:rPr>
        <mc:AlternateContent>
          <mc:Choice Requires="wps">
            <w:drawing>
              <wp:anchor distT="0" distB="0" distL="114300" distR="114300" simplePos="0" relativeHeight="251659264" behindDoc="0" locked="0" layoutInCell="1" allowOverlap="1" wp14:anchorId="34D04549" wp14:editId="34FECEB3">
                <wp:simplePos x="0" y="0"/>
                <wp:positionH relativeFrom="column">
                  <wp:posOffset>2133600</wp:posOffset>
                </wp:positionH>
                <wp:positionV relativeFrom="paragraph">
                  <wp:posOffset>3272790</wp:posOffset>
                </wp:positionV>
                <wp:extent cx="1525270" cy="377190"/>
                <wp:effectExtent l="0" t="0" r="0" b="0"/>
                <wp:wrapNone/>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377190"/>
                        </a:xfrm>
                        <a:prstGeom prst="rect">
                          <a:avLst/>
                        </a:prstGeom>
                        <a:noFill/>
                      </wps:spPr>
                      <wps:txbx>
                        <w:txbxContent>
                          <w:p w:rsidR="00E9045F" w:rsidRPr="002F43A9" w:rsidRDefault="00E9045F" w:rsidP="00E9045F">
                            <w:pPr>
                              <w:pStyle w:val="NormalWeb"/>
                              <w:rPr>
                                <w:b/>
                              </w:rPr>
                            </w:pPr>
                            <w:r w:rsidRPr="002F43A9">
                              <w:rPr>
                                <w:rFonts w:asciiTheme="minorHAnsi" w:hAnsi="Calibri" w:cstheme="minorBidi"/>
                                <w:b/>
                                <w:color w:val="000000" w:themeColor="text1"/>
                                <w:kern w:val="24"/>
                                <w:sz w:val="22"/>
                                <w:szCs w:val="22"/>
                              </w:rPr>
                              <w:t>NHS regions and Wales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68pt;margin-top:257.7pt;width:120.1pt;height:2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" filled="f" stroked="f">
                <v:path arrowok="t"/>
                <v:textbox style="mso-fit-shape-to-text:t">
                  <w:txbxContent>
                    <w:p w:rsidR="00E9045F" w:rsidRPr="002F43A9" w:rsidRDefault="00E9045F" w:rsidP="00E9045F">
                      <w:pPr>
                        <w:pStyle w:val="NormalWeb"/>
                        <w:rPr>
                          <w:b/>
                        </w:rPr>
                      </w:pPr>
                      <w:r w:rsidRPr="002F43A9">
                        <w:rPr>
                          <w:rFonts w:asciiTheme="minorHAnsi" w:hAnsi="Calibri" w:cstheme="minorBidi"/>
                          <w:b/>
                          <w:color w:val="000000" w:themeColor="text1"/>
                          <w:kern w:val="24"/>
                          <w:sz w:val="22"/>
                          <w:szCs w:val="22"/>
                        </w:rPr>
                        <w:t>NHS regions and Wales</w:t>
                      </w:r>
                    </w:p>
                  </w:txbxContent>
                </v:textbox>
              </v:shape>
            </w:pict>
          </mc:Fallback>
        </mc:AlternateContent>
      </w:r>
    </w:p>
    <w:p w:rsidR="00E9045F" w:rsidRPr="00A630BC" w:rsidRDefault="00E9045F" w:rsidP="00E9045F">
      <w:pPr>
        <w:spacing w:after="0" w:line="240" w:lineRule="auto"/>
        <w:jc w:val="both"/>
        <w:rPr>
          <w:rFonts w:ascii="Arial" w:eastAsia="SimSun" w:hAnsi="Arial" w:cs="Arial"/>
          <w:lang w:eastAsia="zh-CN"/>
        </w:rPr>
      </w:pPr>
      <w:r w:rsidRPr="00A630BC">
        <w:rPr>
          <w:rFonts w:ascii="Arial" w:eastAsia="Arial Unicode MS" w:hAnsi="Arial" w:cs="Arial"/>
          <w:noProof/>
          <w:color w:val="000000"/>
          <w:lang w:eastAsia="en-GB"/>
        </w:rPr>
        <w:drawing>
          <wp:inline distT="0" distB="0" distL="0" distR="0" wp14:anchorId="2E4C76F4" wp14:editId="467C44E2">
            <wp:extent cx="5676900" cy="3743325"/>
            <wp:effectExtent l="0" t="0" r="0" b="9525"/>
            <wp:docPr id="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3743325"/>
                    </a:xfrm>
                    <a:prstGeom prst="rect">
                      <a:avLst/>
                    </a:prstGeom>
                    <a:noFill/>
                    <a:ln>
                      <a:noFill/>
                    </a:ln>
                  </pic:spPr>
                </pic:pic>
              </a:graphicData>
            </a:graphic>
          </wp:inline>
        </w:drawing>
      </w:r>
    </w:p>
    <w:p w:rsidR="00E9045F" w:rsidRPr="00A630BC" w:rsidRDefault="00E9045F" w:rsidP="00E9045F">
      <w:pPr>
        <w:spacing w:after="0" w:line="240" w:lineRule="auto"/>
        <w:jc w:val="both"/>
        <w:rPr>
          <w:rFonts w:ascii="Arial" w:eastAsia="SimSun" w:hAnsi="Arial" w:cs="Arial"/>
          <w:lang w:eastAsia="zh-CN"/>
        </w:rPr>
      </w:pPr>
    </w:p>
    <w:p w:rsidR="00E9045F" w:rsidRDefault="00E9045F" w:rsidP="00E9045F"/>
    <w:p w:rsidR="00E9045F" w:rsidRDefault="00E9045F" w:rsidP="00E9045F"/>
    <w:p w:rsidR="00E9045F" w:rsidRPr="0057435F" w:rsidRDefault="00E9045F" w:rsidP="00E9045F">
      <w:r w:rsidRPr="0057435F">
        <w:t>QS 2: waiting time</w:t>
      </w:r>
    </w:p>
    <w:p w:rsidR="00E9045F" w:rsidRDefault="00E9045F" w:rsidP="00E9045F">
      <w:r w:rsidRPr="0057435F">
        <w:t xml:space="preserve">Nationally only 38% of patients met this QS. The median waiting time nationally was 4 weeks and 25% of patients waited &gt;7 weeks to be seen. Again there was wide variation in results across individual trusts and across NHS regions; 55% of patients seen in London and 28% seen in Wales achieved this QS. The median and IQR for each NHS region are shown in Fig. 2. All NHS regions had patients seen on the same day as receipt of GP referral and all with the exception of Wales had </w:t>
      </w:r>
      <w:r w:rsidRPr="0057435F">
        <w:lastRenderedPageBreak/>
        <w:t xml:space="preserve">patients waiting times of &gt;60 days. Twelve per cent of referral letters did not indicate that EIA was suspected. </w:t>
      </w:r>
    </w:p>
    <w:p w:rsidR="00E9045F" w:rsidRPr="00A630BC" w:rsidRDefault="00E9045F" w:rsidP="00E9045F">
      <w:pPr>
        <w:spacing w:after="0" w:line="240" w:lineRule="auto"/>
        <w:jc w:val="both"/>
        <w:rPr>
          <w:rFonts w:ascii="Arial" w:eastAsia="Arial Unicode MS" w:hAnsi="Arial" w:cs="Arial"/>
          <w:i/>
          <w:color w:val="000000"/>
          <w:lang w:val="en-US" w:eastAsia="en-GB"/>
        </w:rPr>
      </w:pPr>
      <w:r w:rsidRPr="00A630BC">
        <w:rPr>
          <w:rFonts w:ascii="Arial" w:hAnsi="Arial" w:cs="Arial"/>
          <w:b/>
          <w:i/>
        </w:rPr>
        <w:t xml:space="preserve">Figure 2 - </w:t>
      </w:r>
      <w:r w:rsidRPr="00A630BC">
        <w:rPr>
          <w:rFonts w:ascii="Arial" w:hAnsi="Arial" w:cs="Arial"/>
          <w:i/>
        </w:rPr>
        <w:t xml:space="preserve">variability in NICE Quality Standard 2 by NHS region </w:t>
      </w:r>
      <w:r w:rsidRPr="00A630BC">
        <w:rPr>
          <w:rFonts w:ascii="Arial" w:eastAsia="SimSun" w:hAnsi="Arial" w:cs="Arial"/>
          <w:i/>
          <w:lang w:eastAsia="zh-CN"/>
        </w:rPr>
        <w:t xml:space="preserve">and Wales. </w:t>
      </w:r>
      <w:r w:rsidRPr="00A630BC">
        <w:rPr>
          <w:rFonts w:ascii="Arial" w:eastAsia="Arial Unicode MS" w:hAnsi="Arial" w:cs="Arial"/>
          <w:i/>
          <w:color w:val="000000"/>
          <w:lang w:eastAsia="en-GB"/>
        </w:rPr>
        <w:t xml:space="preserve">The red line represents the overall national median (4 weeks). </w:t>
      </w:r>
      <w:r w:rsidRPr="00A630BC">
        <w:rPr>
          <w:rFonts w:ascii="Arial" w:eastAsia="Arial Unicode MS" w:hAnsi="Arial" w:cs="Arial"/>
          <w:i/>
          <w:color w:val="000000"/>
          <w:lang w:val="en-US" w:eastAsia="en-GB"/>
        </w:rPr>
        <w:t xml:space="preserve"> Boxes show median (blue line) and interquartile range (IQR). Whiskers show 1.5xIQR and blue dots show outlying values.</w:t>
      </w:r>
      <w:r w:rsidRPr="00A630BC">
        <w:rPr>
          <w:rFonts w:ascii="Arial" w:eastAsia="SimSun" w:hAnsi="Arial" w:cs="Arial"/>
          <w:i/>
          <w:noProof/>
          <w:lang w:eastAsia="en-GB"/>
        </w:rPr>
        <w:t xml:space="preserve"> </w:t>
      </w:r>
    </w:p>
    <w:p w:rsidR="00E9045F" w:rsidRPr="00A630BC" w:rsidRDefault="00E9045F" w:rsidP="00E9045F">
      <w:pPr>
        <w:spacing w:after="0" w:line="240" w:lineRule="auto"/>
        <w:rPr>
          <w:rFonts w:ascii="Arial" w:hAnsi="Arial" w:cs="Arial"/>
        </w:rPr>
      </w:pPr>
    </w:p>
    <w:p w:rsidR="00E9045F" w:rsidRPr="00A630BC" w:rsidRDefault="00E9045F" w:rsidP="00E9045F">
      <w:pPr>
        <w:spacing w:after="0" w:line="240" w:lineRule="auto"/>
        <w:jc w:val="both"/>
        <w:rPr>
          <w:rFonts w:ascii="Arial" w:eastAsia="Arial Unicode MS" w:hAnsi="Arial" w:cs="Arial"/>
          <w:color w:val="000000"/>
          <w:lang w:val="en-US" w:eastAsia="en-GB"/>
        </w:rPr>
      </w:pPr>
      <w:r w:rsidRPr="00A630BC">
        <w:rPr>
          <w:rFonts w:ascii="Arial" w:eastAsia="Arial Unicode MS" w:hAnsi="Arial" w:cs="Arial"/>
          <w:noProof/>
          <w:color w:val="000000"/>
          <w:lang w:eastAsia="en-GB"/>
        </w:rPr>
        <mc:AlternateContent>
          <mc:Choice Requires="wps">
            <w:drawing>
              <wp:anchor distT="0" distB="0" distL="114300" distR="114300" simplePos="0" relativeHeight="251661312" behindDoc="0" locked="0" layoutInCell="1" allowOverlap="1" wp14:anchorId="7036B54A" wp14:editId="7DD5C4FA">
                <wp:simplePos x="0" y="0"/>
                <wp:positionH relativeFrom="column">
                  <wp:posOffset>2247900</wp:posOffset>
                </wp:positionH>
                <wp:positionV relativeFrom="paragraph">
                  <wp:posOffset>3241040</wp:posOffset>
                </wp:positionV>
                <wp:extent cx="1525270" cy="377190"/>
                <wp:effectExtent l="0" t="0" r="0" b="0"/>
                <wp:wrapNone/>
                <wp:docPr id="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377190"/>
                        </a:xfrm>
                        <a:prstGeom prst="rect">
                          <a:avLst/>
                        </a:prstGeom>
                        <a:noFill/>
                      </wps:spPr>
                      <wps:txbx>
                        <w:txbxContent>
                          <w:p w:rsidR="00E9045F" w:rsidRPr="002F43A9" w:rsidRDefault="00E9045F" w:rsidP="00E9045F">
                            <w:pPr>
                              <w:pStyle w:val="NormalWeb"/>
                              <w:rPr>
                                <w:b/>
                              </w:rPr>
                            </w:pPr>
                            <w:r w:rsidRPr="002F43A9">
                              <w:rPr>
                                <w:rFonts w:asciiTheme="minorHAnsi" w:hAnsi="Calibri" w:cstheme="minorBidi"/>
                                <w:b/>
                                <w:color w:val="000000" w:themeColor="text1"/>
                                <w:kern w:val="24"/>
                                <w:sz w:val="22"/>
                                <w:szCs w:val="22"/>
                              </w:rPr>
                              <w:t>NHS regions and Wales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77pt;margin-top:255.2pt;width:120.1pt;height:29.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" filled="f" stroked="f">
                <v:path arrowok="t"/>
                <v:textbox style="mso-fit-shape-to-text:t">
                  <w:txbxContent>
                    <w:p w:rsidR="00E9045F" w:rsidRPr="002F43A9" w:rsidRDefault="00E9045F" w:rsidP="00E9045F">
                      <w:pPr>
                        <w:pStyle w:val="NormalWeb"/>
                        <w:rPr>
                          <w:b/>
                        </w:rPr>
                      </w:pPr>
                      <w:r w:rsidRPr="002F43A9">
                        <w:rPr>
                          <w:rFonts w:asciiTheme="minorHAnsi" w:hAnsi="Calibri" w:cstheme="minorBidi"/>
                          <w:b/>
                          <w:color w:val="000000" w:themeColor="text1"/>
                          <w:kern w:val="24"/>
                          <w:sz w:val="22"/>
                          <w:szCs w:val="22"/>
                        </w:rPr>
                        <w:t>NHS regions and Wales</w:t>
                      </w:r>
                    </w:p>
                  </w:txbxContent>
                </v:textbox>
              </v:shape>
            </w:pict>
          </mc:Fallback>
        </mc:AlternateContent>
      </w:r>
      <w:r w:rsidRPr="00A630BC">
        <w:rPr>
          <w:rFonts w:ascii="Arial" w:eastAsia="Arial Unicode MS" w:hAnsi="Arial" w:cs="Arial"/>
          <w:noProof/>
          <w:color w:val="000000"/>
          <w:lang w:eastAsia="en-GB"/>
        </w:rPr>
        <w:drawing>
          <wp:inline distT="0" distB="0" distL="0" distR="0" wp14:anchorId="0CF296A5" wp14:editId="5189FA1A">
            <wp:extent cx="5676900" cy="3743325"/>
            <wp:effectExtent l="0" t="0" r="0" b="9525"/>
            <wp:docPr id="3"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3743325"/>
                    </a:xfrm>
                    <a:prstGeom prst="rect">
                      <a:avLst/>
                    </a:prstGeom>
                    <a:noFill/>
                    <a:ln>
                      <a:noFill/>
                    </a:ln>
                  </pic:spPr>
                </pic:pic>
              </a:graphicData>
            </a:graphic>
          </wp:inline>
        </w:drawing>
      </w:r>
    </w:p>
    <w:p w:rsidR="00E9045F" w:rsidRDefault="00E9045F" w:rsidP="00E9045F"/>
    <w:p w:rsidR="00E9045F" w:rsidRPr="0057435F" w:rsidRDefault="00E9045F" w:rsidP="00E9045F">
      <w:r w:rsidRPr="0057435F">
        <w:t>For the subsequent QSs (3–5) data were analysed only for RA patients (defined by the presence of polyarticular disease (more than five joints involved) or pauci-articular disease with positive CCP antibodies.</w:t>
      </w:r>
    </w:p>
    <w:p w:rsidR="00E9045F" w:rsidRPr="0057435F" w:rsidRDefault="00E9045F" w:rsidP="00E9045F">
      <w:r w:rsidRPr="0057435F">
        <w:t>QS3: time to DMARD</w:t>
      </w:r>
    </w:p>
    <w:p w:rsidR="00E9045F" w:rsidRPr="0057435F" w:rsidRDefault="00E9045F" w:rsidP="00E9045F">
      <w:r w:rsidRPr="0057435F">
        <w:t xml:space="preserve">Table 3 summarizes the data for this QS. Fifty-three per cent of RA patients were treated with DMARDs within 6 weeks of referral. This QS was achieved for the lowest proportion of patients in Wales (48%) and for the highest proportion of patients in the North of England (56%); one trust was unable to meet this QS for any patient. </w:t>
      </w:r>
    </w:p>
    <w:p w:rsidR="00E9045F" w:rsidRPr="0057435F" w:rsidRDefault="00E9045F" w:rsidP="00E9045F">
      <w:r w:rsidRPr="0057435F">
        <w:t>Table 3</w:t>
      </w:r>
    </w:p>
    <w:p w:rsidR="00E9045F" w:rsidRPr="0057435F" w:rsidRDefault="00E9045F" w:rsidP="00E9045F">
      <w:r w:rsidRPr="0057435F">
        <w:t>Number and proportion of RA patients started on DMARD/steroids nationally and within NHS regions and Wales</w:t>
      </w:r>
    </w:p>
    <w:tbl>
      <w:tblPr>
        <w:tblW w:w="0" w:type="auto"/>
        <w:tblBorders>
          <w:top w:val="single" w:sz="6" w:space="0" w:color="CFD5E4"/>
        </w:tblBorders>
        <w:tblCellMar>
          <w:top w:w="15" w:type="dxa"/>
          <w:left w:w="15" w:type="dxa"/>
          <w:bottom w:w="15" w:type="dxa"/>
          <w:right w:w="15" w:type="dxa"/>
        </w:tblCellMar>
        <w:tblLook w:val="04A0" w:firstRow="1" w:lastRow="0" w:firstColumn="1" w:lastColumn="0" w:noHBand="0" w:noVBand="1"/>
      </w:tblPr>
      <w:tblGrid>
        <w:gridCol w:w="1453"/>
        <w:gridCol w:w="1796"/>
        <w:gridCol w:w="2065"/>
        <w:gridCol w:w="2027"/>
        <w:gridCol w:w="2165"/>
      </w:tblGrid>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lastRenderedPageBreak/>
              <w:t>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diagnosed at baseline or follow-up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DMARDs within 6 weeks,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steroids at any time,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combination DMARDs at any time,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National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3268 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1727 (53)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2689 (82)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1183 (36)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London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318 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166 (52)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231 (73)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133 (42)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Midland and East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798 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388 (49)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646 (82)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308 (39)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North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1067 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601 (56)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893 (84)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408 (38)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South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867 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464 (54)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722 (83)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294 (34)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Wales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223 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108 (48)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197 (88)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40 (18) </w:t>
            </w:r>
          </w:p>
        </w:tc>
      </w:tr>
      <w:tr w:rsidR="00E9045F" w:rsidRPr="0057435F" w:rsidTr="00E9045F">
        <w:trPr>
          <w:tblHeader/>
        </w:trPr>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diagnosed at baseline or follow-up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DMARDs within 6 weeks,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steroids at any time, n (%) </w:t>
            </w:r>
          </w:p>
        </w:tc>
        <w:tc>
          <w:tcPr>
            <w:tcW w:w="0" w:type="auto"/>
            <w:tcBorders>
              <w:bottom w:val="single" w:sz="6" w:space="0" w:color="CFD5E4"/>
            </w:tcBorders>
            <w:shd w:val="clear" w:color="auto" w:fill="F2F5F9"/>
            <w:tcMar>
              <w:top w:w="192" w:type="dxa"/>
              <w:left w:w="240" w:type="dxa"/>
              <w:bottom w:w="192" w:type="dxa"/>
              <w:right w:w="240" w:type="dxa"/>
            </w:tcMar>
            <w:vAlign w:val="center"/>
            <w:hideMark/>
          </w:tcPr>
          <w:p w:rsidR="00E9045F" w:rsidRPr="0057435F" w:rsidRDefault="00E9045F" w:rsidP="0057435F">
            <w:r w:rsidRPr="0057435F">
              <w:t>Number of RA patients commenced on combination DMARDs at any time, n (%)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National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3268 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1727 (53)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2689 (82)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1183 (36)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London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318 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166 (52)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231 (73)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133 (42)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lastRenderedPageBreak/>
              <w:t>Midland and East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798 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388 (49)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646 (82)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308 (39)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North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1067 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601 (56)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893 (84)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408 (38)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South of England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867 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464 (54)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722 (83)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294 (34) </w:t>
            </w:r>
          </w:p>
        </w:tc>
      </w:tr>
      <w:tr w:rsidR="00E9045F" w:rsidRPr="0057435F" w:rsidTr="00E9045F">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Wales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223 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108 (48)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197 (88) </w:t>
            </w:r>
          </w:p>
        </w:tc>
        <w:tc>
          <w:tcPr>
            <w:tcW w:w="0" w:type="auto"/>
            <w:tcBorders>
              <w:bottom w:val="single" w:sz="6" w:space="0" w:color="CFD5E4"/>
            </w:tcBorders>
            <w:tcMar>
              <w:top w:w="192" w:type="dxa"/>
              <w:left w:w="240" w:type="dxa"/>
              <w:bottom w:w="192" w:type="dxa"/>
              <w:right w:w="240" w:type="dxa"/>
            </w:tcMar>
            <w:vAlign w:val="center"/>
            <w:hideMark/>
          </w:tcPr>
          <w:p w:rsidR="00E9045F" w:rsidRPr="0057435F" w:rsidRDefault="00E9045F" w:rsidP="0057435F">
            <w:r w:rsidRPr="0057435F">
              <w:t>40 (18) </w:t>
            </w:r>
          </w:p>
        </w:tc>
      </w:tr>
    </w:tbl>
    <w:p w:rsidR="00E9045F" w:rsidRPr="0057435F" w:rsidRDefault="00E9045F" w:rsidP="00E9045F">
      <w:r w:rsidRPr="0057435F">
        <w:t>Nationally the reported use of combination DMARDs within the first 3 months of specialist care was relatively low, at 36%; combination DMARD use was lowest in Wales (18%) and highest in London (42%). Some trusts reported no use of combination DMARDs.</w:t>
      </w:r>
    </w:p>
    <w:p w:rsidR="00E9045F" w:rsidRPr="0057435F" w:rsidRDefault="00E9045F" w:rsidP="00E9045F">
      <w:r w:rsidRPr="0057435F">
        <w:t>Eighty-two per cent of RA patients were reported to have been treated with steroids at some point during the audit. London and Wales used steroids for the lowest (73%) and highest (88%) proportion of patients, respectively.</w:t>
      </w:r>
    </w:p>
    <w:p w:rsidR="00E9045F" w:rsidRPr="0057435F" w:rsidRDefault="00E9045F" w:rsidP="00E9045F">
      <w:r w:rsidRPr="0057435F">
        <w:t>QS4: education and self-management</w:t>
      </w:r>
    </w:p>
    <w:p w:rsidR="00E9045F" w:rsidRPr="0057435F" w:rsidRDefault="00E9045F" w:rsidP="00E9045F">
      <w:r w:rsidRPr="0057435F">
        <w:t>Nationally 59% of patients were reported through clinician-derived follow-up data to have received structured education on their arthritis within 1 month of diagnosis. Data from London indicated that this QS was met for only 38% of patients; the North of England was able to achieve this QS for the highest proportion of patients (63%). Interestingly, London struggled to achieve this QS despite reporting the highest number of specialist nurses per 100 000 population (1.2) and the North of England achieved this QS in the highest proportion of patients despite having the lowest number of nurses per 100 000 population (0.8). Again some trusts failed to meet this QS for any patient.</w:t>
      </w:r>
    </w:p>
    <w:p w:rsidR="00E9045F" w:rsidRPr="0057435F" w:rsidRDefault="00E9045F" w:rsidP="00E9045F">
      <w:r w:rsidRPr="0057435F">
        <w:t>QS5: treat to target</w:t>
      </w:r>
    </w:p>
    <w:p w:rsidR="00E9045F" w:rsidRPr="0057435F" w:rsidRDefault="00E9045F" w:rsidP="00E9045F">
      <w:r w:rsidRPr="0057435F">
        <w:t xml:space="preserve">Data on setting and agreeing to treatment targets with patients were assessed for this QS. Potential targets included remission, low disease activity or a functional target. Details on the actual target set </w:t>
      </w:r>
      <w:r w:rsidRPr="0057435F">
        <w:lastRenderedPageBreak/>
        <w:t>have not been analysed within the audit but are available to the individual trusts that provided data. Ninety-one per cent of patients nationally had a treatment target set. Wales set treatment targets in the lowest proportion of patients (82%) and the South of England and the Midlands and East of England achieved this in the highest proportion of patients (97%).</w:t>
      </w:r>
    </w:p>
    <w:p w:rsidR="00E9045F" w:rsidRPr="0057435F" w:rsidRDefault="00E9045F" w:rsidP="00E9045F">
      <w:r w:rsidRPr="0057435F">
        <w:t>Nationally 90% of treatment targets set were reported to have been agreed with patients, with agreement reported for the lowest proportion of patients in the Midlands and East of England (87%) and for the highest proportion of patients in Wales (94%).</w:t>
      </w:r>
    </w:p>
    <w:p w:rsidR="00E9045F" w:rsidRPr="0057435F" w:rsidRDefault="00E9045F" w:rsidP="00E9045F">
      <w:r w:rsidRPr="0057435F">
        <w:t xml:space="preserve">When set from the first appointment for patients with a confirmed EIA diagnosis, this treatment target was achieved by 3 months of specialist review in only 27% of patients nationally, as shown in Fig. 3. Treatment targets were met for the lowest proportion of patients in London (23%) and for the highest proportion in the South of England, North of England and in the Midlands and East of England (27%). Again there were trusts that were unable to meet this QS for any patient. </w:t>
      </w:r>
    </w:p>
    <w:p w:rsidR="005E028E" w:rsidRPr="00A630BC" w:rsidRDefault="005E028E" w:rsidP="005E028E">
      <w:pPr>
        <w:rPr>
          <w:rFonts w:ascii="Arial" w:eastAsia="Times New Roman" w:hAnsi="Arial" w:cs="Arial"/>
          <w:b/>
          <w:i/>
          <w:color w:val="000000"/>
          <w:lang w:eastAsia="en-GB"/>
        </w:rPr>
      </w:pPr>
      <w:r w:rsidRPr="00A630BC">
        <w:rPr>
          <w:rFonts w:ascii="Arial" w:eastAsia="Times New Roman" w:hAnsi="Arial" w:cs="Arial"/>
          <w:b/>
          <w:i/>
          <w:color w:val="000000"/>
          <w:lang w:eastAsia="en-GB"/>
        </w:rPr>
        <w:t xml:space="preserve">Figure 3 - </w:t>
      </w:r>
      <w:r w:rsidRPr="00A630BC">
        <w:rPr>
          <w:rFonts w:ascii="Arial" w:eastAsia="Times New Roman" w:hAnsi="Arial" w:cs="Arial"/>
          <w:i/>
          <w:color w:val="000000"/>
          <w:lang w:eastAsia="en-GB"/>
        </w:rPr>
        <w:t>proportion of RA patients who achieved a treatment target set at an earlier visit with whiskers showing 95% confidence intervals</w:t>
      </w:r>
    </w:p>
    <w:p w:rsidR="005E028E" w:rsidRPr="00A630BC" w:rsidRDefault="005E028E" w:rsidP="005E028E">
      <w:pPr>
        <w:spacing w:after="0" w:line="240" w:lineRule="auto"/>
        <w:rPr>
          <w:rFonts w:ascii="Arial" w:eastAsia="Times New Roman" w:hAnsi="Arial" w:cs="Arial"/>
          <w:color w:val="000000"/>
          <w:lang w:eastAsia="en-GB"/>
        </w:rPr>
      </w:pPr>
    </w:p>
    <w:p w:rsidR="005E028E" w:rsidRPr="00A630BC" w:rsidRDefault="005E028E" w:rsidP="005E028E">
      <w:pPr>
        <w:spacing w:after="0" w:line="240" w:lineRule="auto"/>
        <w:jc w:val="center"/>
        <w:rPr>
          <w:rFonts w:ascii="Arial" w:eastAsia="Times New Roman" w:hAnsi="Arial" w:cs="Arial"/>
          <w:color w:val="000000"/>
          <w:lang w:eastAsia="en-GB"/>
        </w:rPr>
      </w:pPr>
      <w:r w:rsidRPr="00A630BC">
        <w:rPr>
          <w:rFonts w:ascii="Arial" w:eastAsia="SimSun" w:hAnsi="Arial" w:cs="Arial"/>
          <w:noProof/>
          <w:lang w:eastAsia="en-GB"/>
        </w:rPr>
        <mc:AlternateContent>
          <mc:Choice Requires="wps">
            <w:drawing>
              <wp:anchor distT="0" distB="0" distL="114300" distR="114300" simplePos="0" relativeHeight="251663360" behindDoc="0" locked="0" layoutInCell="1" allowOverlap="1" wp14:anchorId="3073392A" wp14:editId="4F64D587">
                <wp:simplePos x="0" y="0"/>
                <wp:positionH relativeFrom="column">
                  <wp:posOffset>2247900</wp:posOffset>
                </wp:positionH>
                <wp:positionV relativeFrom="paragraph">
                  <wp:posOffset>2741295</wp:posOffset>
                </wp:positionV>
                <wp:extent cx="1525270" cy="377190"/>
                <wp:effectExtent l="0" t="0" r="0" b="0"/>
                <wp:wrapNone/>
                <wp:docPr id="1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377190"/>
                        </a:xfrm>
                        <a:prstGeom prst="rect">
                          <a:avLst/>
                        </a:prstGeom>
                        <a:noFill/>
                      </wps:spPr>
                      <wps:txbx>
                        <w:txbxContent>
                          <w:p w:rsidR="005E028E" w:rsidRPr="002F43A9" w:rsidRDefault="005E028E" w:rsidP="005E028E">
                            <w:pPr>
                              <w:pStyle w:val="NormalWeb"/>
                              <w:rPr>
                                <w:b/>
                              </w:rPr>
                            </w:pPr>
                            <w:r w:rsidRPr="002F43A9">
                              <w:rPr>
                                <w:rFonts w:asciiTheme="minorHAnsi" w:hAnsi="Calibri" w:cstheme="minorBidi"/>
                                <w:b/>
                                <w:color w:val="000000" w:themeColor="text1"/>
                                <w:kern w:val="24"/>
                                <w:sz w:val="22"/>
                                <w:szCs w:val="22"/>
                              </w:rPr>
                              <w:t>NHS regions and Wales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77pt;margin-top:215.85pt;width:120.1pt;height:29.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" filled="f" stroked="f">
                <v:path arrowok="t"/>
                <v:textbox style="mso-fit-shape-to-text:t">
                  <w:txbxContent>
                    <w:p w:rsidR="005E028E" w:rsidRPr="002F43A9" w:rsidRDefault="005E028E" w:rsidP="005E028E">
                      <w:pPr>
                        <w:pStyle w:val="NormalWeb"/>
                        <w:rPr>
                          <w:b/>
                        </w:rPr>
                      </w:pPr>
                      <w:r w:rsidRPr="002F43A9">
                        <w:rPr>
                          <w:rFonts w:asciiTheme="minorHAnsi" w:hAnsi="Calibri" w:cstheme="minorBidi"/>
                          <w:b/>
                          <w:color w:val="000000" w:themeColor="text1"/>
                          <w:kern w:val="24"/>
                          <w:sz w:val="22"/>
                          <w:szCs w:val="22"/>
                        </w:rPr>
                        <w:t>NHS regions and Wales</w:t>
                      </w:r>
                    </w:p>
                  </w:txbxContent>
                </v:textbox>
              </v:shape>
            </w:pict>
          </mc:Fallback>
        </mc:AlternateContent>
      </w:r>
      <w:r w:rsidRPr="00A630BC">
        <w:rPr>
          <w:rFonts w:ascii="Arial" w:eastAsia="SimSun" w:hAnsi="Arial" w:cs="Arial"/>
          <w:noProof/>
          <w:lang w:eastAsia="en-GB"/>
        </w:rPr>
        <w:drawing>
          <wp:inline distT="0" distB="0" distL="0" distR="0" wp14:anchorId="6A606AA4" wp14:editId="0FE8042D">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028E" w:rsidRDefault="005E028E" w:rsidP="005E028E"/>
    <w:p w:rsidR="005E028E" w:rsidRDefault="005E028E" w:rsidP="00E9045F"/>
    <w:p w:rsidR="00E9045F" w:rsidRPr="0057435F" w:rsidRDefault="00E9045F" w:rsidP="00E9045F">
      <w:r w:rsidRPr="0057435F">
        <w:t>QS6: urgent access</w:t>
      </w:r>
    </w:p>
    <w:p w:rsidR="00E9045F" w:rsidRPr="0057435F" w:rsidRDefault="00E9045F" w:rsidP="00E9045F">
      <w:r w:rsidRPr="0057435F">
        <w:t>This standard was determined at the department level (rather than the individual patient level). Clinicians reported access to urgent advice via a telephone helpline in 96% of trusts, with very little national variation.</w:t>
      </w:r>
    </w:p>
    <w:p w:rsidR="00E9045F" w:rsidRPr="0057435F" w:rsidRDefault="00E9045F" w:rsidP="00E9045F">
      <w:r w:rsidRPr="0057435F">
        <w:t>QS7: annual review</w:t>
      </w:r>
    </w:p>
    <w:p w:rsidR="00E9045F" w:rsidRPr="0057435F" w:rsidRDefault="00E9045F" w:rsidP="00E9045F">
      <w:r w:rsidRPr="0057435F">
        <w:t>All providers reported that they offered an annual review service.</w:t>
      </w:r>
    </w:p>
    <w:p w:rsidR="00E9045F" w:rsidRPr="00E9045F" w:rsidRDefault="00E9045F" w:rsidP="00E9045F">
      <w:pPr>
        <w:rPr>
          <w:b/>
        </w:rPr>
      </w:pPr>
      <w:r w:rsidRPr="00E9045F">
        <w:rPr>
          <w:b/>
        </w:rPr>
        <w:t>Discussion</w:t>
      </w:r>
    </w:p>
    <w:p w:rsidR="00E9045F" w:rsidRPr="0057435F" w:rsidRDefault="00E9045F" w:rsidP="00E9045F">
      <w:r w:rsidRPr="0057435F">
        <w:lastRenderedPageBreak/>
        <w:t>This audit has allowed the first comprehensive national benchmarking of care given to people with newly diagnosed inflammatory arthritis in England and Wales. Data quality was generally good, with data collected from the vast majority of trusts. Missing data (detailed below) need to be borne in mind when interpreting the results; very few baseline data were missing, but follow-up data capture was more challenging.</w:t>
      </w:r>
    </w:p>
    <w:p w:rsidR="00E9045F" w:rsidRPr="0057435F" w:rsidRDefault="00E9045F" w:rsidP="00E9045F">
      <w:r w:rsidRPr="0057435F">
        <w:t>Forty-two trusts did not achieve the numbers of patients anticipated by their catchment population and five trusts did not participate. Data collection for the audit was complex and time consuming and difficult to accommodate in a busy clinical setting. Feedback suggests poor staffing levels and a lack of resources made it difficult for some units to participate in the audit.</w:t>
      </w:r>
    </w:p>
    <w:p w:rsidR="00E9045F" w:rsidRPr="0057435F" w:rsidRDefault="00E9045F" w:rsidP="00E9045F">
      <w:r w:rsidRPr="0057435F">
        <w:t>The population of patients recruited to this audit was largely as anticipated from epidemiological studies [4, 5]. The data support recent evidence for an increasing age of onset of disease and possible increasing incidence in men.</w:t>
      </w:r>
    </w:p>
    <w:p w:rsidR="00E9045F" w:rsidRPr="0057435F" w:rsidRDefault="00E9045F" w:rsidP="00E9045F">
      <w:r w:rsidRPr="0057435F">
        <w:t>The spread of confirmed diagnoses at the first appointment was also largely as anticipated. The vast majority of patients had RA, with the next biggest group having undifferentiated arthritis, presumably reflecting diagnostic uncertainty at the time of presentation. Very few patients had spondylitis when presenting for the first time with a peripheral arthritis.</w:t>
      </w:r>
    </w:p>
    <w:p w:rsidR="00E9045F" w:rsidRPr="0057435F" w:rsidRDefault="00E9045F" w:rsidP="00E9045F">
      <w:r w:rsidRPr="0057435F">
        <w:t>Data for QS1 (referral &lt;3 working days) were available for 6220 patients (98%); working days were not distinguished from non-working days. Data on the date of first GP presentation relied on a combination of patient recall and the record in the GP referral letter. The record of the date of referral letter receipt was complicated by the many and varied systems used by trusts for processing referrals/booking appointments. Despite these considerations, there is clear evidence of significant delay between first presentation to a GP and referral to rheumatology for most patients in England and Wales. These delays are consistent with data from other more limited studies [7]. The wide variation in results is likely to reflect considerable variations in awareness of this QS among GPs, along with barriers within some localities to referral to rheumatology. The fact that referral was made for some patients on the day of presentation to a GP in all NHS regions suggests that for some patients and some GPs the decision to initiate referral is clearer than for others. This highlights the need for rheumatology units to promote the importance of early referral for specialist assessment and to help remove organizational barriers to timely referral.</w:t>
      </w:r>
    </w:p>
    <w:p w:rsidR="00E9045F" w:rsidRPr="0057435F" w:rsidRDefault="00E9045F" w:rsidP="00E9045F">
      <w:r w:rsidRPr="0057435F">
        <w:t>Data for QS2 (assessment by rheumatology within 3 weeks) were available for 6331 patients (&gt;99.5%). Again there was noteworthy variation in the ability to meet this QS. The data highlight that even after referral is initiated, there is significant delay in gaining a specialist assessment for a large proportion of patients, and this impacts on the ability to meet other QSs and potentially on the ability to preserve joint integrity and function. Higher levels of consultant staffing (&gt;1 consultant per 100 000 population served) and the presence of specific EIA clinics were found to significantly associate with shorter waiting times for a specialist appointment [odds ratio 1.3 (95% CI 1.1, 1.4) and 1.6 (1.4, 1.7), respectively].</w:t>
      </w:r>
    </w:p>
    <w:p w:rsidR="00E9045F" w:rsidRPr="0057435F" w:rsidRDefault="00E9045F" w:rsidP="00E9045F">
      <w:r w:rsidRPr="0057435F">
        <w:t xml:space="preserve">To assist in the processes for booking an urgent appointment, rheumatology units are encouraged to work with primary care colleagues to establish systems promoting the provision of important information in referral letters so that any potential for an inflammatory arthritis is clearly highlighted. Although not directly assessed in this audit, processes in some trusts that do not allow </w:t>
      </w:r>
      <w:r w:rsidRPr="0057435F">
        <w:lastRenderedPageBreak/>
        <w:t>clinicians to see referral letters, and hence influence waiting times, are factors that are likely to impact on the ability to meet this QS that may warrant review. This audit confirms that staffing levels can impact on the timeliness of appointments, but how the configuration of staff and EIA clinics improve waiting times is yet to be elucidated and is a recommended topic for future research.</w:t>
      </w:r>
    </w:p>
    <w:p w:rsidR="00E9045F" w:rsidRPr="0057435F" w:rsidRDefault="00E9045F" w:rsidP="00E9045F">
      <w:r w:rsidRPr="0057435F">
        <w:t>Data for QS3 (treatment with glucocorticoids and combination DMARDs within 6 weeks) were missing for 1813 clinician baseline forms (29%), so this needs to be borne in mind when interpreting the results. While the overall statistic of slightly more than half of RA patients starting one or more DMARDS within 6 weeks of referral might seem disappointing, the fact that only 38% of patients are seen within 3 weeks of GP referral suggests that most rheumatology services are swiftly starting DMARD treatment once a patient is diagnosed. Steroids are much more widely used in the early stages of disease management than DMARDs and clinicians use some form of disease-modifying treatment (steroids and/or DMARDs) for the vast majority of RA patients at the point of diagnosis and within the first 3 months of specialist care. There is some suggestion that the approach to early management of RA differs across NHS regions; for example, Wales had the highest use of steroids but the lowest use of DMARDs within 6 weeks and of combination DMARDs. This would be a further potential topic for future research. There are a huge number of factors that influence how rapidly RA treatment can be safely commenced and these need to be considered when looking at the results for QS3.</w:t>
      </w:r>
    </w:p>
    <w:p w:rsidR="00E9045F" w:rsidRPr="0057435F" w:rsidRDefault="00E9045F" w:rsidP="00E9045F">
      <w:r w:rsidRPr="0057435F">
        <w:t>There may be inadequate time available at initial appointments to provide patients with sufficient information to safely initiate treatment. The increasing requirement to establish a diagnosis, supply adequate information to patients and gain consent to commence treatment at a single appointment has not been accompanied by an increase in appointment duration in most units. The importance of giving sufficient information about treatment risks and of gaining consent for treatment has been emphasized with recent high-profile UK court rulings such as the ‘Montgomery’ case [8, 9]. Unless a one-stop service is available, a further appointment with a specialist nurse at a later date is usually required to implement shared decision making prior to DMARD initiation. The lack of availability of baseline investigations, particularly in patients with co-morbidities, will also delay DMARD initiation for some patients.</w:t>
      </w:r>
    </w:p>
    <w:p w:rsidR="00E9045F" w:rsidRPr="0057435F" w:rsidRDefault="00E9045F" w:rsidP="00E9045F">
      <w:r w:rsidRPr="0057435F">
        <w:t>Staffing levels and the availability of timely follow-up appointments become crucial if treatment is not initiated at the first appointment; only 6% of RA patients had timely (within 6 weeks of referral) initiation of DMARD therapy from a follow-up appointment. The reasons for this are clear: by the time most patients had their first follow-up appointment they had already passed the 6 week benchmark for QS3.</w:t>
      </w:r>
    </w:p>
    <w:p w:rsidR="00E9045F" w:rsidRPr="0057435F" w:rsidRDefault="00E9045F" w:rsidP="00E9045F">
      <w:r w:rsidRPr="0057435F">
        <w:t>Of interest, slightly more than one-third of RA patients were started on combination DMARDs. The 2013 European guidelines for the treatment of RA [10] allow the use of monotherapy. The reasons for this audit finding warrant further research, but clinicians and patients may prefer the sequential introduction of DMARD treatment to the immediate initiation of combination DMARDs. An inability to see patients monthly for treatment escalation may have prevented initiation of combination DMARDs within the 3 month time frame assessed with this audit. Clinicians and patients may have reservations about combination therapy for patients with milder disease at presentation.</w:t>
      </w:r>
    </w:p>
    <w:p w:rsidR="00E9045F" w:rsidRPr="0057435F" w:rsidRDefault="00E9045F" w:rsidP="00E9045F">
      <w:r w:rsidRPr="0057435F">
        <w:t xml:space="preserve">Data for QS4 (structured self-management and education within 1 month) were available for 2499 patients (80%) of those attending for follow-up. Approximately one-third of providers could not offer </w:t>
      </w:r>
      <w:r w:rsidRPr="0057435F">
        <w:lastRenderedPageBreak/>
        <w:t>a structured patient education and self-management service within 1 month of diagnosis (QS4). It should be noted, however, that wide CIs were observed for NHS regions and trusts with lower achievement rates for this QS. No comment can be made on whether the problem when not achieving this QS was with availability of education, its format or the ability to provide education within 1 month. As nursing staff are most likely to provide this service, this relationship warrants further investigation.</w:t>
      </w:r>
    </w:p>
    <w:p w:rsidR="00E9045F" w:rsidRPr="0057435F" w:rsidRDefault="00E9045F" w:rsidP="00E9045F">
      <w:r w:rsidRPr="0057435F">
        <w:t>Data were available on initial treatment target setting (component of QS5) for 6097 patients (96%). Reassuringly, the vast majority of clinicians report that they are setting treatment targets and agreeing to these with their patients as a measure of compliance with QS5. No verification of these data has been undertaken and no comment can be made on how reliably any such treatment target is set and documented. The reasons for not agreeing to a treatment target with patients cannot be derived from the data, but this may relate to time pressures within clinics. Patient verification of agreed upon targets was not possible from the audit data.</w:t>
      </w:r>
    </w:p>
    <w:p w:rsidR="00E9045F" w:rsidRPr="0057435F" w:rsidRDefault="00E9045F" w:rsidP="00E9045F">
      <w:r w:rsidRPr="0057435F">
        <w:t>Since early control of inflammation is crucial in determining longer-term outcomes, it is of concern that only slightly more than one-quarter of patients achieve the treatment target set from their first appointment within 3 months of follow-up. However, data were missing at follow-up for 1658 patients (47%). The reasons for the low achievement of treatment targets are not clear from the audit data. One possible explanation is that the time frame for response was too short to truly assess response. Other factors might include a limited capacity for intensive follow-up; the use of suboptimal treatment regimes, including the underuse of combination DMARDs and steroids; problems of compliance with treatment and/or tolerance of treatment.</w:t>
      </w:r>
    </w:p>
    <w:p w:rsidR="00E9045F" w:rsidRPr="0057435F" w:rsidRDefault="00E9045F" w:rsidP="00E9045F">
      <w:r w:rsidRPr="0057435F">
        <w:t>Data were available for 6338 patients (&gt;99.5%) for QS6. Virtually all patients were considered by their clinicians to have rapid access to advice if needed, although it was not possible to determine the extent and quality of the facilities offered by individual trusts from the data gathered.</w:t>
      </w:r>
    </w:p>
    <w:p w:rsidR="00E9045F" w:rsidRPr="0057435F" w:rsidRDefault="00E9045F" w:rsidP="00E9045F">
      <w:r w:rsidRPr="0057435F">
        <w:t>In summary, these data should prove invaluable to English and Welsh trusts when assessing any requirement for service improvements and there are a number of examples where the data have already been used to deliver improvements to patient care.</w:t>
      </w:r>
    </w:p>
    <w:p w:rsidR="00E9045F" w:rsidRPr="0057435F" w:rsidRDefault="00E9045F" w:rsidP="00E9045F">
      <w:r w:rsidRPr="0057435F">
        <w:t>The key recommendations arising from this first year’s data include that rheumatology health professionals need to work closely with primary care colleagues to raise awareness of the symptoms and signs of EIA and of the importance of early referral for diagnosis and treatment; that mechanisms for ensuring key information are provided in referral letters from primary care should be explored, as this should help rheumatology departments to prioritize appointments; that processes and capacity within rheumatology services should be reviewed to ensure first appointments are available within 3 weeks; that intensive treatment can be delivered in the crucial early stages of disease; that patients receive appropriate and timely education packages and have access to rapid advice when needed and that further work is needed to improve recruitment in low-recruiting areas and to improve the quality of data collected.</w:t>
      </w:r>
    </w:p>
    <w:p w:rsidR="00E9045F" w:rsidRPr="0057435F" w:rsidRDefault="00E9045F" w:rsidP="00E9045F">
      <w:r w:rsidRPr="0057435F">
        <w:t>Acknowledgements</w:t>
      </w:r>
    </w:p>
    <w:p w:rsidR="00E9045F" w:rsidRPr="0057435F" w:rsidRDefault="00E9045F" w:rsidP="00E9045F">
      <w:r w:rsidRPr="0057435F">
        <w:t xml:space="preserve">The authors acknowledge and express their thanks to all clinicians, audit departments and patients that have submitted data to the audit, to HQIP for commissioning the audit, to Northgate Public </w:t>
      </w:r>
      <w:r w:rsidRPr="0057435F">
        <w:lastRenderedPageBreak/>
        <w:t>Services for providing the IT platform for data collection, to the Medical Research Council Lifecourse Epidemiology Unit in Southampton for the statistical analysis and to all members of the National Audit Project Working Group and Steering Committee. The audit data are owned by HQIP and are held by HQIP in a secure repository.</w:t>
      </w:r>
    </w:p>
    <w:p w:rsidR="00E9045F" w:rsidRPr="0057435F" w:rsidRDefault="00E9045F" w:rsidP="00E9045F">
      <w:r w:rsidRPr="0057435F">
        <w:t>Funding: The national clinical audit for RA and EIA was commissioned by the Healthcare Quality Improvement Partnership (HQIP) as part of the National Clinical Audit Programme. HQIP is led by a consortium of the Academy of Medical Royal Colleges, the Royal College of Nursing and National Voices. The programme is funded by NHS England, the Welsh government and, with some individual audits, by the Health Department of the Scottish government, Department of Health, Social Services and Public Safety Northern Ireland and the Channel Islands.</w:t>
      </w:r>
    </w:p>
    <w:p w:rsidR="00E9045F" w:rsidRPr="0057435F" w:rsidRDefault="00E9045F" w:rsidP="00E9045F">
      <w:r w:rsidRPr="0057435F">
        <w:t>Disclosure statement: E.M. has been sponsored to attend international meetings by Pfizer and Roche and has accepted honoraria for educational meetings from Pfizer and Roche; her department has received sponsorships from Pfizer, AbbVie and MSD to support clinical meetings. J.G. has received an honorarium from Pfizer for an educational talk and holds an Inflammation Competitive Research Programme (i-CRP) grant to study polypharmacy in RA. All other authors have declared no conflicts of interest.</w:t>
      </w:r>
    </w:p>
    <w:p w:rsidR="00E9045F" w:rsidRPr="0057435F" w:rsidRDefault="00E9045F" w:rsidP="00E9045F">
      <w:r w:rsidRPr="0057435F">
        <w:t>Supplementary data</w:t>
      </w:r>
      <w:r>
        <w:t xml:space="preserve"> </w:t>
      </w:r>
      <w:r w:rsidRPr="0057435F">
        <w:t>are available at Rheumatology Online.</w:t>
      </w:r>
    </w:p>
    <w:p w:rsidR="00E9045F" w:rsidRPr="0057435F" w:rsidRDefault="00E9045F" w:rsidP="00E9045F">
      <w:r w:rsidRPr="0057435F">
        <w:t>References</w:t>
      </w:r>
    </w:p>
    <w:p w:rsidR="00E9045F" w:rsidRPr="00E9045F" w:rsidRDefault="00E9045F" w:rsidP="00E9045F">
      <w:pPr>
        <w:numPr>
          <w:ilvl w:val="0"/>
          <w:numId w:val="1"/>
        </w:numPr>
        <w:spacing w:after="0" w:line="240" w:lineRule="auto"/>
        <w:jc w:val="both"/>
        <w:rPr>
          <w:rFonts w:eastAsia="SimSun" w:cs="Arial"/>
          <w:lang w:eastAsia="zh-CN"/>
        </w:rPr>
      </w:pPr>
      <w:r w:rsidRPr="00E9045F">
        <w:t> </w:t>
      </w:r>
      <w:r w:rsidRPr="00E9045F">
        <w:rPr>
          <w:rFonts w:eastAsia="SimSun" w:cs="Arial"/>
          <w:lang w:eastAsia="zh-CN"/>
        </w:rPr>
        <w:t xml:space="preserve">National Audit Office. Services for people with rheumatoid arthritis. In. </w:t>
      </w:r>
      <w:hyperlink r:id="rId13" w:history="1">
        <w:r w:rsidRPr="00E9045F">
          <w:rPr>
            <w:rFonts w:eastAsia="SimSun" w:cs="Arial"/>
            <w:color w:val="0563C1"/>
            <w:u w:val="single"/>
            <w:lang w:eastAsia="zh-CN"/>
          </w:rPr>
          <w:t>http://www.nao.org.uk/report/services-for-people-with-rheumatoid-arthritis;</w:t>
        </w:r>
      </w:hyperlink>
      <w:r w:rsidRPr="00E9045F">
        <w:rPr>
          <w:rFonts w:eastAsia="SimSun" w:cs="Arial"/>
          <w:lang w:eastAsia="zh-CN"/>
        </w:rPr>
        <w:t xml:space="preserve"> 2009.</w:t>
      </w:r>
    </w:p>
    <w:p w:rsidR="00E9045F" w:rsidRPr="00E9045F" w:rsidRDefault="00E9045F" w:rsidP="00E9045F">
      <w:pPr>
        <w:spacing w:after="0" w:line="240" w:lineRule="auto"/>
        <w:ind w:left="720"/>
        <w:jc w:val="both"/>
        <w:rPr>
          <w:rFonts w:eastAsia="SimSun" w:cs="Arial"/>
          <w:lang w:eastAsia="zh-CN"/>
        </w:rPr>
      </w:pPr>
    </w:p>
    <w:p w:rsidR="00E9045F" w:rsidRPr="00E9045F" w:rsidRDefault="00E9045F" w:rsidP="00E9045F">
      <w:pPr>
        <w:numPr>
          <w:ilvl w:val="0"/>
          <w:numId w:val="1"/>
        </w:numPr>
        <w:spacing w:after="0" w:line="240" w:lineRule="auto"/>
        <w:jc w:val="both"/>
        <w:rPr>
          <w:rFonts w:eastAsia="SimSun" w:cs="Arial"/>
          <w:lang w:eastAsia="zh-CN"/>
        </w:rPr>
      </w:pPr>
      <w:r w:rsidRPr="00E9045F">
        <w:rPr>
          <w:rFonts w:eastAsia="SimSun" w:cs="Arial"/>
          <w:lang w:eastAsia="zh-CN"/>
        </w:rPr>
        <w:t xml:space="preserve">National Institute for Health and Clinical Excellence. Rheumatoid arthritis: The management of rheumatoid arthritis in adults. </w:t>
      </w:r>
      <w:hyperlink r:id="rId14" w:history="1">
        <w:r w:rsidRPr="00E9045F">
          <w:rPr>
            <w:rFonts w:eastAsia="SimSun" w:cs="Arial"/>
            <w:color w:val="0563C1"/>
            <w:u w:val="single"/>
            <w:lang w:eastAsia="zh-CN"/>
          </w:rPr>
          <w:t>https://www.nice.org.uk/guidance/cg79</w:t>
        </w:r>
      </w:hyperlink>
      <w:r w:rsidRPr="00E9045F">
        <w:rPr>
          <w:rFonts w:eastAsia="SimSun" w:cs="Arial"/>
          <w:lang w:eastAsia="zh-CN"/>
        </w:rPr>
        <w:t xml:space="preserve"> 2009 [accessed August 2015].</w:t>
      </w:r>
    </w:p>
    <w:p w:rsidR="00E9045F" w:rsidRPr="00E9045F" w:rsidRDefault="00E9045F" w:rsidP="00E9045F">
      <w:pPr>
        <w:spacing w:after="0" w:line="240" w:lineRule="auto"/>
        <w:jc w:val="both"/>
        <w:rPr>
          <w:rFonts w:eastAsia="SimSun" w:cs="Arial"/>
          <w:lang w:eastAsia="zh-CN"/>
        </w:rPr>
      </w:pPr>
    </w:p>
    <w:p w:rsidR="00E9045F" w:rsidRPr="00E9045F" w:rsidRDefault="00E9045F" w:rsidP="00E9045F">
      <w:pPr>
        <w:numPr>
          <w:ilvl w:val="0"/>
          <w:numId w:val="1"/>
        </w:numPr>
        <w:spacing w:after="0" w:line="240" w:lineRule="auto"/>
        <w:jc w:val="both"/>
        <w:rPr>
          <w:rFonts w:eastAsia="SimSun" w:cs="Arial"/>
          <w:lang w:eastAsia="zh-CN"/>
        </w:rPr>
      </w:pPr>
      <w:r w:rsidRPr="00E9045F">
        <w:rPr>
          <w:rFonts w:eastAsia="SimSun" w:cs="Arial"/>
          <w:lang w:eastAsia="zh-CN"/>
        </w:rPr>
        <w:t xml:space="preserve">National Institute for Health and Care Excellence. Rheumatoid Arthritis: NICE Quality Standard [QS33]. </w:t>
      </w:r>
      <w:hyperlink r:id="rId15" w:history="1">
        <w:r w:rsidRPr="00E9045F">
          <w:rPr>
            <w:rFonts w:eastAsia="SimSun" w:cs="Arial"/>
            <w:color w:val="0563C1"/>
            <w:u w:val="single"/>
            <w:lang w:eastAsia="zh-CN"/>
          </w:rPr>
          <w:t>https://www.nice.org.uk/guidance/qs33</w:t>
        </w:r>
      </w:hyperlink>
      <w:r w:rsidRPr="00E9045F">
        <w:rPr>
          <w:rFonts w:eastAsia="SimSun" w:cs="Arial"/>
          <w:lang w:eastAsia="zh-CN"/>
        </w:rPr>
        <w:t xml:space="preserve"> [accessed August 2015] 2013 [accessed August 2015].</w:t>
      </w:r>
    </w:p>
    <w:p w:rsidR="00E9045F" w:rsidRPr="00E9045F" w:rsidRDefault="00E9045F" w:rsidP="00E9045F">
      <w:pPr>
        <w:spacing w:after="0" w:line="240" w:lineRule="auto"/>
        <w:ind w:left="720"/>
        <w:jc w:val="both"/>
        <w:rPr>
          <w:rFonts w:eastAsia="SimSun" w:cs="Arial"/>
          <w:lang w:eastAsia="zh-CN"/>
        </w:rPr>
      </w:pPr>
    </w:p>
    <w:p w:rsidR="00E9045F" w:rsidRPr="00E9045F" w:rsidRDefault="00E9045F" w:rsidP="00E9045F">
      <w:pPr>
        <w:numPr>
          <w:ilvl w:val="0"/>
          <w:numId w:val="1"/>
        </w:numPr>
        <w:spacing w:after="0" w:line="240" w:lineRule="auto"/>
        <w:jc w:val="both"/>
        <w:rPr>
          <w:rFonts w:eastAsia="SimSun" w:cs="Arial"/>
          <w:lang w:eastAsia="zh-CN"/>
        </w:rPr>
      </w:pPr>
      <w:r w:rsidRPr="00E9045F">
        <w:rPr>
          <w:rFonts w:eastAsia="SimSun" w:cs="Arial"/>
          <w:lang w:eastAsia="zh-CN"/>
        </w:rPr>
        <w:t>Rodriguez LA, Tolosa LB, Ruigomez A, Johansson S, Wallander MA. Rheumatoid arthritis in UK primary care: incidence and prior morbidity. Scand J Rheumatol 2009;38(3):173-7.</w:t>
      </w:r>
    </w:p>
    <w:p w:rsidR="00E9045F" w:rsidRPr="00E9045F" w:rsidRDefault="00E9045F" w:rsidP="00E9045F">
      <w:pPr>
        <w:spacing w:after="0" w:line="240" w:lineRule="auto"/>
        <w:ind w:left="720"/>
        <w:jc w:val="both"/>
        <w:rPr>
          <w:rFonts w:eastAsia="SimSun" w:cs="Arial"/>
          <w:lang w:eastAsia="zh-CN"/>
        </w:rPr>
      </w:pPr>
    </w:p>
    <w:p w:rsidR="00E9045F" w:rsidRPr="00E9045F" w:rsidRDefault="00E9045F" w:rsidP="00E9045F">
      <w:pPr>
        <w:numPr>
          <w:ilvl w:val="0"/>
          <w:numId w:val="1"/>
        </w:numPr>
        <w:spacing w:after="0" w:line="240" w:lineRule="auto"/>
        <w:contextualSpacing/>
        <w:jc w:val="both"/>
        <w:rPr>
          <w:rFonts w:cs="Arial"/>
          <w:bCs/>
          <w:lang w:eastAsia="en-GB"/>
        </w:rPr>
      </w:pPr>
      <w:r w:rsidRPr="00E9045F">
        <w:rPr>
          <w:rFonts w:eastAsia="SimSun" w:cs="Arial"/>
          <w:lang w:eastAsia="zh-CN"/>
        </w:rPr>
        <w:t>Humphreys JH, Verstappen SM, Hyrich KL, Chipping JR, Marshall T, Symmons DP. The incidence of rheumatoid arthritis in the UK: comparisons using the 2010 ACR/EULAR classification criteria and the 1987 ACR classification criteria. Results from the Norfolk Arthritis Register. Ann Rheum Dis 2013; 72(8):1315-20.</w:t>
      </w:r>
    </w:p>
    <w:p w:rsidR="00E9045F" w:rsidRPr="00E9045F" w:rsidRDefault="00E9045F" w:rsidP="00E9045F">
      <w:pPr>
        <w:spacing w:after="160" w:line="259" w:lineRule="auto"/>
        <w:ind w:left="720"/>
        <w:contextualSpacing/>
        <w:rPr>
          <w:rFonts w:cs="Arial"/>
          <w:bCs/>
          <w:lang w:eastAsia="en-GB"/>
        </w:rPr>
      </w:pPr>
    </w:p>
    <w:p w:rsidR="00E9045F" w:rsidRPr="00E9045F" w:rsidRDefault="00E9045F" w:rsidP="00E9045F">
      <w:pPr>
        <w:numPr>
          <w:ilvl w:val="0"/>
          <w:numId w:val="1"/>
        </w:numPr>
        <w:spacing w:after="0" w:line="240" w:lineRule="auto"/>
        <w:jc w:val="both"/>
        <w:rPr>
          <w:rFonts w:eastAsia="SimSun" w:cs="Arial"/>
          <w:lang w:eastAsia="zh-CN"/>
        </w:rPr>
      </w:pPr>
      <w:r w:rsidRPr="00E9045F">
        <w:rPr>
          <w:rFonts w:eastAsia="SimSun" w:cs="Arial"/>
          <w:lang w:eastAsia="zh-CN"/>
        </w:rPr>
        <w:t>Royal College of Physicians. Consultant physicians working with patients. 2013; 5th Edition: 243.</w:t>
      </w:r>
    </w:p>
    <w:p w:rsidR="00E9045F" w:rsidRPr="00E9045F" w:rsidRDefault="00E9045F" w:rsidP="00E9045F">
      <w:pPr>
        <w:spacing w:after="0" w:line="240" w:lineRule="auto"/>
        <w:ind w:left="720"/>
        <w:contextualSpacing/>
        <w:jc w:val="both"/>
        <w:rPr>
          <w:rFonts w:cs="Arial"/>
          <w:bCs/>
          <w:lang w:eastAsia="en-GB"/>
        </w:rPr>
      </w:pPr>
    </w:p>
    <w:p w:rsidR="00E9045F" w:rsidRPr="00E9045F" w:rsidRDefault="00E9045F" w:rsidP="00E9045F">
      <w:pPr>
        <w:spacing w:after="0" w:line="240" w:lineRule="auto"/>
        <w:jc w:val="both"/>
        <w:rPr>
          <w:rFonts w:cs="Arial"/>
          <w:bCs/>
          <w:lang w:eastAsia="en-GB"/>
        </w:rPr>
      </w:pPr>
    </w:p>
    <w:p w:rsidR="00E9045F" w:rsidRPr="00E9045F" w:rsidRDefault="00E9045F" w:rsidP="00E9045F">
      <w:pPr>
        <w:numPr>
          <w:ilvl w:val="0"/>
          <w:numId w:val="1"/>
        </w:numPr>
        <w:spacing w:after="0" w:line="240" w:lineRule="auto"/>
        <w:jc w:val="both"/>
        <w:rPr>
          <w:rFonts w:eastAsia="SimSun" w:cs="Arial"/>
          <w:lang w:eastAsia="zh-CN"/>
        </w:rPr>
      </w:pPr>
      <w:r w:rsidRPr="00E9045F">
        <w:rPr>
          <w:rFonts w:eastAsia="SimSun" w:cs="Arial"/>
          <w:lang w:eastAsia="zh-CN"/>
        </w:rPr>
        <w:t xml:space="preserve">Raza K, Filer A. The therapeutic window of opportunity in rheumatoid arthritis: does it ever close? Ann Rheum Dis 2015; 74(5):793-4. </w:t>
      </w:r>
    </w:p>
    <w:p w:rsidR="00E9045F" w:rsidRPr="00E9045F" w:rsidRDefault="00E9045F" w:rsidP="00E9045F">
      <w:pPr>
        <w:spacing w:after="160" w:line="259" w:lineRule="auto"/>
        <w:ind w:left="720"/>
        <w:contextualSpacing/>
        <w:jc w:val="both"/>
        <w:rPr>
          <w:rFonts w:eastAsia="SimSun" w:cs="Arial"/>
          <w:lang w:eastAsia="zh-CN"/>
        </w:rPr>
      </w:pPr>
    </w:p>
    <w:p w:rsidR="00E9045F" w:rsidRPr="00E9045F" w:rsidRDefault="00E9045F" w:rsidP="00E9045F">
      <w:pPr>
        <w:numPr>
          <w:ilvl w:val="0"/>
          <w:numId w:val="1"/>
        </w:numPr>
        <w:spacing w:after="160" w:line="259" w:lineRule="auto"/>
        <w:contextualSpacing/>
        <w:jc w:val="both"/>
        <w:rPr>
          <w:rFonts w:eastAsia="Times New Roman" w:cs="Arial"/>
          <w:color w:val="000000"/>
          <w:lang w:eastAsia="zh-CN"/>
        </w:rPr>
      </w:pPr>
      <w:r w:rsidRPr="00E9045F">
        <w:rPr>
          <w:rFonts w:eastAsia="Times New Roman" w:cs="Arial"/>
          <w:color w:val="000000"/>
          <w:lang w:eastAsia="zh-CN"/>
        </w:rPr>
        <w:t xml:space="preserve">Montgomery v Lanarkshire Health Board [2015] UKSC 11. </w:t>
      </w:r>
    </w:p>
    <w:p w:rsidR="00E9045F" w:rsidRPr="00E9045F" w:rsidRDefault="00E9045F" w:rsidP="00E9045F">
      <w:pPr>
        <w:spacing w:after="160" w:line="259" w:lineRule="auto"/>
        <w:ind w:left="720"/>
        <w:contextualSpacing/>
        <w:jc w:val="both"/>
        <w:rPr>
          <w:rFonts w:eastAsia="Times New Roman" w:cs="Arial"/>
          <w:color w:val="000000"/>
          <w:lang w:eastAsia="zh-CN"/>
        </w:rPr>
      </w:pPr>
    </w:p>
    <w:p w:rsidR="00E9045F" w:rsidRPr="00E9045F" w:rsidRDefault="00E9045F" w:rsidP="00E9045F">
      <w:pPr>
        <w:numPr>
          <w:ilvl w:val="0"/>
          <w:numId w:val="1"/>
        </w:numPr>
        <w:spacing w:after="160" w:line="259" w:lineRule="auto"/>
        <w:contextualSpacing/>
        <w:jc w:val="both"/>
        <w:rPr>
          <w:rFonts w:eastAsia="Times New Roman" w:cs="Arial"/>
          <w:color w:val="000000"/>
          <w:lang w:eastAsia="zh-CN"/>
        </w:rPr>
      </w:pPr>
      <w:r w:rsidRPr="00E9045F">
        <w:rPr>
          <w:rFonts w:eastAsia="Times New Roman" w:cs="Arial"/>
          <w:color w:val="000000"/>
          <w:lang w:eastAsia="zh-CN"/>
        </w:rPr>
        <w:t xml:space="preserve">Sokol D Update on UK Law on consent </w:t>
      </w:r>
      <w:r w:rsidRPr="00E9045F">
        <w:rPr>
          <w:rFonts w:eastAsia="Times New Roman" w:cs="Arial"/>
          <w:i/>
          <w:iCs/>
          <w:color w:val="000000"/>
          <w:lang w:eastAsia="zh-CN"/>
        </w:rPr>
        <w:t xml:space="preserve">BMJ 2015; 350 doi: </w:t>
      </w:r>
      <w:hyperlink r:id="rId16" w:history="1">
        <w:r w:rsidRPr="00E9045F">
          <w:rPr>
            <w:rFonts w:eastAsia="Times New Roman" w:cs="Arial"/>
            <w:i/>
            <w:iCs/>
            <w:color w:val="0563C1"/>
            <w:u w:val="single"/>
            <w:lang w:eastAsia="zh-CN"/>
          </w:rPr>
          <w:t>http://dx.doi.org/10.1136/bmj.h1481</w:t>
        </w:r>
      </w:hyperlink>
      <w:r w:rsidRPr="00E9045F">
        <w:rPr>
          <w:rFonts w:eastAsia="Times New Roman" w:cs="Arial"/>
          <w:i/>
          <w:iCs/>
          <w:color w:val="000000"/>
          <w:lang w:eastAsia="zh-CN"/>
        </w:rPr>
        <w:t xml:space="preserve"> (Published 16 March 2015) </w:t>
      </w:r>
    </w:p>
    <w:p w:rsidR="00E9045F" w:rsidRPr="00E9045F" w:rsidRDefault="00E9045F" w:rsidP="00E9045F">
      <w:pPr>
        <w:spacing w:after="160" w:line="259" w:lineRule="auto"/>
        <w:ind w:left="720"/>
        <w:contextualSpacing/>
        <w:jc w:val="both"/>
        <w:rPr>
          <w:rFonts w:eastAsia="Times New Roman" w:cs="Arial"/>
          <w:color w:val="000000"/>
          <w:lang w:eastAsia="zh-CN"/>
        </w:rPr>
      </w:pPr>
    </w:p>
    <w:p w:rsidR="00E9045F" w:rsidRPr="00E9045F" w:rsidRDefault="00E9045F" w:rsidP="00E9045F">
      <w:pPr>
        <w:numPr>
          <w:ilvl w:val="0"/>
          <w:numId w:val="1"/>
        </w:numPr>
        <w:spacing w:after="0" w:line="240" w:lineRule="auto"/>
        <w:contextualSpacing/>
        <w:jc w:val="both"/>
        <w:rPr>
          <w:rFonts w:eastAsia="SimSun" w:cs="Arial"/>
          <w:lang w:eastAsia="zh-CN"/>
        </w:rPr>
      </w:pPr>
      <w:r w:rsidRPr="00E9045F">
        <w:rPr>
          <w:rFonts w:eastAsia="SimSun" w:cs="Arial"/>
          <w:lang w:eastAsia="zh-CN"/>
        </w:rPr>
        <w:t>Smolen JS, Landewe R, Breedveld FC, et al. EULAR recommendations for the management of rheumatoid arthritis with synthetic and biological disease-modifying antirheumatic drugs: 2013 update. Ann Rheum Dis 2014; 73(3):492-509.</w:t>
      </w:r>
    </w:p>
    <w:p w:rsidR="00E9045F" w:rsidRPr="00E9045F" w:rsidRDefault="00E9045F" w:rsidP="00E9045F"/>
    <w:p w:rsidR="00E9045F" w:rsidRPr="00E9045F" w:rsidRDefault="00E9045F" w:rsidP="00E9045F"/>
    <w:p w:rsidR="00F10D95" w:rsidRPr="00E9045F" w:rsidRDefault="00F10D95"/>
    <w:sectPr w:rsidR="00F10D95" w:rsidRPr="00E90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B112D"/>
    <w:multiLevelType w:val="hybridMultilevel"/>
    <w:tmpl w:val="F4A2B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5F"/>
    <w:rsid w:val="002C0E2E"/>
    <w:rsid w:val="005E028E"/>
    <w:rsid w:val="00E9045F"/>
    <w:rsid w:val="00F1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45F"/>
    <w:rPr>
      <w:b/>
      <w:bCs/>
    </w:rPr>
  </w:style>
  <w:style w:type="character" w:styleId="Hyperlink">
    <w:name w:val="Hyperlink"/>
    <w:basedOn w:val="DefaultParagraphFont"/>
    <w:uiPriority w:val="99"/>
    <w:semiHidden/>
    <w:unhideWhenUsed/>
    <w:rsid w:val="00E9045F"/>
    <w:rPr>
      <w:strike w:val="0"/>
      <w:dstrike w:val="0"/>
      <w:color w:val="006FB7"/>
      <w:u w:val="none"/>
      <w:effect w:val="none"/>
    </w:rPr>
  </w:style>
  <w:style w:type="character" w:styleId="Emphasis">
    <w:name w:val="Emphasis"/>
    <w:basedOn w:val="DefaultParagraphFont"/>
    <w:uiPriority w:val="20"/>
    <w:qFormat/>
    <w:rsid w:val="00E9045F"/>
    <w:rPr>
      <w:i/>
      <w:iCs/>
    </w:rPr>
  </w:style>
  <w:style w:type="paragraph" w:styleId="NormalWeb">
    <w:name w:val="Normal (Web)"/>
    <w:basedOn w:val="Normal"/>
    <w:uiPriority w:val="99"/>
    <w:semiHidden/>
    <w:unhideWhenUsed/>
    <w:rsid w:val="00E9045F"/>
    <w:pPr>
      <w:spacing w:after="160" w:line="259"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90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45F"/>
    <w:rPr>
      <w:b/>
      <w:bCs/>
    </w:rPr>
  </w:style>
  <w:style w:type="character" w:styleId="Hyperlink">
    <w:name w:val="Hyperlink"/>
    <w:basedOn w:val="DefaultParagraphFont"/>
    <w:uiPriority w:val="99"/>
    <w:semiHidden/>
    <w:unhideWhenUsed/>
    <w:rsid w:val="00E9045F"/>
    <w:rPr>
      <w:strike w:val="0"/>
      <w:dstrike w:val="0"/>
      <w:color w:val="006FB7"/>
      <w:u w:val="none"/>
      <w:effect w:val="none"/>
    </w:rPr>
  </w:style>
  <w:style w:type="character" w:styleId="Emphasis">
    <w:name w:val="Emphasis"/>
    <w:basedOn w:val="DefaultParagraphFont"/>
    <w:uiPriority w:val="20"/>
    <w:qFormat/>
    <w:rsid w:val="00E9045F"/>
    <w:rPr>
      <w:i/>
      <w:iCs/>
    </w:rPr>
  </w:style>
  <w:style w:type="paragraph" w:styleId="NormalWeb">
    <w:name w:val="Normal (Web)"/>
    <w:basedOn w:val="Normal"/>
    <w:uiPriority w:val="99"/>
    <w:semiHidden/>
    <w:unhideWhenUsed/>
    <w:rsid w:val="00E9045F"/>
    <w:pPr>
      <w:spacing w:after="160" w:line="259"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90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4358">
      <w:bodyDiv w:val="1"/>
      <w:marLeft w:val="0"/>
      <w:marRight w:val="0"/>
      <w:marTop w:val="0"/>
      <w:marBottom w:val="0"/>
      <w:divBdr>
        <w:top w:val="none" w:sz="0" w:space="0" w:color="auto"/>
        <w:left w:val="none" w:sz="0" w:space="0" w:color="auto"/>
        <w:bottom w:val="none" w:sz="0" w:space="0" w:color="auto"/>
        <w:right w:val="none" w:sz="0" w:space="0" w:color="auto"/>
      </w:divBdr>
      <w:divsChild>
        <w:div w:id="409230756">
          <w:marLeft w:val="0"/>
          <w:marRight w:val="0"/>
          <w:marTop w:val="0"/>
          <w:marBottom w:val="0"/>
          <w:divBdr>
            <w:top w:val="none" w:sz="0" w:space="0" w:color="auto"/>
            <w:left w:val="none" w:sz="0" w:space="0" w:color="auto"/>
            <w:bottom w:val="none" w:sz="0" w:space="0" w:color="auto"/>
            <w:right w:val="none" w:sz="0" w:space="0" w:color="auto"/>
          </w:divBdr>
          <w:divsChild>
            <w:div w:id="1322276370">
              <w:marLeft w:val="0"/>
              <w:marRight w:val="0"/>
              <w:marTop w:val="0"/>
              <w:marBottom w:val="0"/>
              <w:divBdr>
                <w:top w:val="none" w:sz="0" w:space="0" w:color="auto"/>
                <w:left w:val="none" w:sz="0" w:space="0" w:color="auto"/>
                <w:bottom w:val="none" w:sz="0" w:space="0" w:color="auto"/>
                <w:right w:val="none" w:sz="0" w:space="0" w:color="auto"/>
              </w:divBdr>
              <w:divsChild>
                <w:div w:id="810512484">
                  <w:marLeft w:val="0"/>
                  <w:marRight w:val="0"/>
                  <w:marTop w:val="0"/>
                  <w:marBottom w:val="0"/>
                  <w:divBdr>
                    <w:top w:val="none" w:sz="0" w:space="0" w:color="auto"/>
                    <w:left w:val="none" w:sz="0" w:space="0" w:color="auto"/>
                    <w:bottom w:val="none" w:sz="0" w:space="0" w:color="auto"/>
                    <w:right w:val="none" w:sz="0" w:space="0" w:color="auto"/>
                  </w:divBdr>
                  <w:divsChild>
                    <w:div w:id="729814048">
                      <w:marLeft w:val="0"/>
                      <w:marRight w:val="0"/>
                      <w:marTop w:val="0"/>
                      <w:marBottom w:val="0"/>
                      <w:divBdr>
                        <w:top w:val="none" w:sz="0" w:space="0" w:color="auto"/>
                        <w:left w:val="none" w:sz="0" w:space="0" w:color="auto"/>
                        <w:bottom w:val="none" w:sz="0" w:space="0" w:color="auto"/>
                        <w:right w:val="none" w:sz="0" w:space="0" w:color="auto"/>
                      </w:divBdr>
                      <w:divsChild>
                        <w:div w:id="718550748">
                          <w:marLeft w:val="0"/>
                          <w:marRight w:val="0"/>
                          <w:marTop w:val="0"/>
                          <w:marBottom w:val="0"/>
                          <w:divBdr>
                            <w:top w:val="none" w:sz="0" w:space="0" w:color="auto"/>
                            <w:left w:val="none" w:sz="0" w:space="0" w:color="auto"/>
                            <w:bottom w:val="none" w:sz="0" w:space="0" w:color="auto"/>
                            <w:right w:val="none" w:sz="0" w:space="0" w:color="auto"/>
                          </w:divBdr>
                          <w:divsChild>
                            <w:div w:id="1318847786">
                              <w:marLeft w:val="0"/>
                              <w:marRight w:val="0"/>
                              <w:marTop w:val="0"/>
                              <w:marBottom w:val="0"/>
                              <w:divBdr>
                                <w:top w:val="none" w:sz="0" w:space="0" w:color="auto"/>
                                <w:left w:val="none" w:sz="0" w:space="0" w:color="auto"/>
                                <w:bottom w:val="none" w:sz="0" w:space="0" w:color="auto"/>
                                <w:right w:val="none" w:sz="0" w:space="0" w:color="auto"/>
                              </w:divBdr>
                              <w:divsChild>
                                <w:div w:id="1698583026">
                                  <w:marLeft w:val="0"/>
                                  <w:marRight w:val="0"/>
                                  <w:marTop w:val="0"/>
                                  <w:marBottom w:val="0"/>
                                  <w:divBdr>
                                    <w:top w:val="none" w:sz="0" w:space="0" w:color="auto"/>
                                    <w:left w:val="none" w:sz="0" w:space="0" w:color="auto"/>
                                    <w:bottom w:val="none" w:sz="0" w:space="0" w:color="auto"/>
                                    <w:right w:val="none" w:sz="0" w:space="0" w:color="auto"/>
                                  </w:divBdr>
                                  <w:divsChild>
                                    <w:div w:id="997267787">
                                      <w:marLeft w:val="0"/>
                                      <w:marRight w:val="0"/>
                                      <w:marTop w:val="0"/>
                                      <w:marBottom w:val="0"/>
                                      <w:divBdr>
                                        <w:top w:val="none" w:sz="0" w:space="0" w:color="auto"/>
                                        <w:left w:val="none" w:sz="0" w:space="0" w:color="auto"/>
                                        <w:bottom w:val="none" w:sz="0" w:space="0" w:color="auto"/>
                                        <w:right w:val="none" w:sz="0" w:space="0" w:color="auto"/>
                                      </w:divBdr>
                                      <w:divsChild>
                                        <w:div w:id="569269456">
                                          <w:marLeft w:val="0"/>
                                          <w:marRight w:val="0"/>
                                          <w:marTop w:val="0"/>
                                          <w:marBottom w:val="0"/>
                                          <w:divBdr>
                                            <w:top w:val="none" w:sz="0" w:space="0" w:color="auto"/>
                                            <w:left w:val="none" w:sz="0" w:space="0" w:color="auto"/>
                                            <w:bottom w:val="none" w:sz="0" w:space="0" w:color="auto"/>
                                            <w:right w:val="none" w:sz="0" w:space="0" w:color="auto"/>
                                          </w:divBdr>
                                          <w:divsChild>
                                            <w:div w:id="622537712">
                                              <w:marLeft w:val="0"/>
                                              <w:marRight w:val="0"/>
                                              <w:marTop w:val="0"/>
                                              <w:marBottom w:val="0"/>
                                              <w:divBdr>
                                                <w:top w:val="none" w:sz="0" w:space="0" w:color="auto"/>
                                                <w:left w:val="none" w:sz="0" w:space="0" w:color="auto"/>
                                                <w:bottom w:val="none" w:sz="0" w:space="0" w:color="auto"/>
                                                <w:right w:val="none" w:sz="0" w:space="0" w:color="auto"/>
                                              </w:divBdr>
                                              <w:divsChild>
                                                <w:div w:id="7426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1614">
      <w:bodyDiv w:val="1"/>
      <w:marLeft w:val="0"/>
      <w:marRight w:val="0"/>
      <w:marTop w:val="0"/>
      <w:marBottom w:val="0"/>
      <w:divBdr>
        <w:top w:val="none" w:sz="0" w:space="0" w:color="auto"/>
        <w:left w:val="none" w:sz="0" w:space="0" w:color="auto"/>
        <w:bottom w:val="none" w:sz="0" w:space="0" w:color="auto"/>
        <w:right w:val="none" w:sz="0" w:space="0" w:color="auto"/>
      </w:divBdr>
      <w:divsChild>
        <w:div w:id="1746565524">
          <w:marLeft w:val="0"/>
          <w:marRight w:val="0"/>
          <w:marTop w:val="0"/>
          <w:marBottom w:val="0"/>
          <w:divBdr>
            <w:top w:val="none" w:sz="0" w:space="0" w:color="auto"/>
            <w:left w:val="none" w:sz="0" w:space="0" w:color="auto"/>
            <w:bottom w:val="none" w:sz="0" w:space="0" w:color="auto"/>
            <w:right w:val="none" w:sz="0" w:space="0" w:color="auto"/>
          </w:divBdr>
          <w:divsChild>
            <w:div w:id="1912693099">
              <w:marLeft w:val="0"/>
              <w:marRight w:val="0"/>
              <w:marTop w:val="0"/>
              <w:marBottom w:val="0"/>
              <w:divBdr>
                <w:top w:val="none" w:sz="0" w:space="0" w:color="auto"/>
                <w:left w:val="none" w:sz="0" w:space="0" w:color="auto"/>
                <w:bottom w:val="none" w:sz="0" w:space="0" w:color="auto"/>
                <w:right w:val="none" w:sz="0" w:space="0" w:color="auto"/>
              </w:divBdr>
              <w:divsChild>
                <w:div w:id="534585563">
                  <w:marLeft w:val="0"/>
                  <w:marRight w:val="0"/>
                  <w:marTop w:val="0"/>
                  <w:marBottom w:val="0"/>
                  <w:divBdr>
                    <w:top w:val="none" w:sz="0" w:space="0" w:color="auto"/>
                    <w:left w:val="none" w:sz="0" w:space="0" w:color="auto"/>
                    <w:bottom w:val="none" w:sz="0" w:space="0" w:color="auto"/>
                    <w:right w:val="none" w:sz="0" w:space="0" w:color="auto"/>
                  </w:divBdr>
                  <w:divsChild>
                    <w:div w:id="2122645525">
                      <w:marLeft w:val="0"/>
                      <w:marRight w:val="0"/>
                      <w:marTop w:val="0"/>
                      <w:marBottom w:val="0"/>
                      <w:divBdr>
                        <w:top w:val="none" w:sz="0" w:space="0" w:color="auto"/>
                        <w:left w:val="none" w:sz="0" w:space="0" w:color="auto"/>
                        <w:bottom w:val="none" w:sz="0" w:space="0" w:color="auto"/>
                        <w:right w:val="none" w:sz="0" w:space="0" w:color="auto"/>
                      </w:divBdr>
                      <w:divsChild>
                        <w:div w:id="1755202655">
                          <w:marLeft w:val="0"/>
                          <w:marRight w:val="0"/>
                          <w:marTop w:val="0"/>
                          <w:marBottom w:val="0"/>
                          <w:divBdr>
                            <w:top w:val="none" w:sz="0" w:space="0" w:color="auto"/>
                            <w:left w:val="none" w:sz="0" w:space="0" w:color="auto"/>
                            <w:bottom w:val="none" w:sz="0" w:space="0" w:color="auto"/>
                            <w:right w:val="none" w:sz="0" w:space="0" w:color="auto"/>
                          </w:divBdr>
                          <w:divsChild>
                            <w:div w:id="1397782786">
                              <w:marLeft w:val="0"/>
                              <w:marRight w:val="0"/>
                              <w:marTop w:val="0"/>
                              <w:marBottom w:val="0"/>
                              <w:divBdr>
                                <w:top w:val="none" w:sz="0" w:space="0" w:color="auto"/>
                                <w:left w:val="none" w:sz="0" w:space="0" w:color="auto"/>
                                <w:bottom w:val="none" w:sz="0" w:space="0" w:color="auto"/>
                                <w:right w:val="none" w:sz="0" w:space="0" w:color="auto"/>
                              </w:divBdr>
                              <w:divsChild>
                                <w:div w:id="1193615101">
                                  <w:marLeft w:val="0"/>
                                  <w:marRight w:val="0"/>
                                  <w:marTop w:val="0"/>
                                  <w:marBottom w:val="0"/>
                                  <w:divBdr>
                                    <w:top w:val="none" w:sz="0" w:space="0" w:color="auto"/>
                                    <w:left w:val="none" w:sz="0" w:space="0" w:color="auto"/>
                                    <w:bottom w:val="none" w:sz="0" w:space="0" w:color="auto"/>
                                    <w:right w:val="none" w:sz="0" w:space="0" w:color="auto"/>
                                  </w:divBdr>
                                  <w:divsChild>
                                    <w:div w:id="468090587">
                                      <w:marLeft w:val="0"/>
                                      <w:marRight w:val="0"/>
                                      <w:marTop w:val="0"/>
                                      <w:marBottom w:val="0"/>
                                      <w:divBdr>
                                        <w:top w:val="none" w:sz="0" w:space="0" w:color="auto"/>
                                        <w:left w:val="none" w:sz="0" w:space="0" w:color="auto"/>
                                        <w:bottom w:val="none" w:sz="0" w:space="0" w:color="auto"/>
                                        <w:right w:val="none" w:sz="0" w:space="0" w:color="auto"/>
                                      </w:divBdr>
                                      <w:divsChild>
                                        <w:div w:id="1515420057">
                                          <w:marLeft w:val="0"/>
                                          <w:marRight w:val="0"/>
                                          <w:marTop w:val="0"/>
                                          <w:marBottom w:val="0"/>
                                          <w:divBdr>
                                            <w:top w:val="none" w:sz="0" w:space="0" w:color="auto"/>
                                            <w:left w:val="none" w:sz="0" w:space="0" w:color="auto"/>
                                            <w:bottom w:val="none" w:sz="0" w:space="0" w:color="auto"/>
                                            <w:right w:val="none" w:sz="0" w:space="0" w:color="auto"/>
                                          </w:divBdr>
                                          <w:divsChild>
                                            <w:div w:id="2074620930">
                                              <w:marLeft w:val="0"/>
                                              <w:marRight w:val="0"/>
                                              <w:marTop w:val="0"/>
                                              <w:marBottom w:val="0"/>
                                              <w:divBdr>
                                                <w:top w:val="none" w:sz="0" w:space="0" w:color="auto"/>
                                                <w:left w:val="none" w:sz="0" w:space="0" w:color="auto"/>
                                                <w:bottom w:val="none" w:sz="0" w:space="0" w:color="auto"/>
                                                <w:right w:val="none" w:sz="0" w:space="0" w:color="auto"/>
                                              </w:divBdr>
                                              <w:divsChild>
                                                <w:div w:id="448202444">
                                                  <w:marLeft w:val="0"/>
                                                  <w:marRight w:val="0"/>
                                                  <w:marTop w:val="0"/>
                                                  <w:marBottom w:val="0"/>
                                                  <w:divBdr>
                                                    <w:top w:val="none" w:sz="0" w:space="0" w:color="auto"/>
                                                    <w:left w:val="none" w:sz="0" w:space="0" w:color="auto"/>
                                                    <w:bottom w:val="none" w:sz="0" w:space="0" w:color="auto"/>
                                                    <w:right w:val="none" w:sz="0" w:space="0" w:color="auto"/>
                                                  </w:divBdr>
                                                </w:div>
                                                <w:div w:id="1555313362">
                                                  <w:marLeft w:val="0"/>
                                                  <w:marRight w:val="0"/>
                                                  <w:marTop w:val="0"/>
                                                  <w:marBottom w:val="0"/>
                                                  <w:divBdr>
                                                    <w:top w:val="none" w:sz="0" w:space="0" w:color="auto"/>
                                                    <w:left w:val="none" w:sz="0" w:space="0" w:color="auto"/>
                                                    <w:bottom w:val="none" w:sz="0" w:space="0" w:color="auto"/>
                                                    <w:right w:val="none" w:sz="0" w:space="0" w:color="auto"/>
                                                  </w:divBdr>
                                                </w:div>
                                                <w:div w:id="1388453929">
                                                  <w:marLeft w:val="0"/>
                                                  <w:marRight w:val="0"/>
                                                  <w:marTop w:val="0"/>
                                                  <w:marBottom w:val="0"/>
                                                  <w:divBdr>
                                                    <w:top w:val="none" w:sz="0" w:space="0" w:color="auto"/>
                                                    <w:left w:val="none" w:sz="0" w:space="0" w:color="auto"/>
                                                    <w:bottom w:val="none" w:sz="0" w:space="0" w:color="auto"/>
                                                    <w:right w:val="none" w:sz="0" w:space="0" w:color="auto"/>
                                                  </w:divBdr>
                                                  <w:divsChild>
                                                    <w:div w:id="194083705">
                                                      <w:marLeft w:val="0"/>
                                                      <w:marRight w:val="0"/>
                                                      <w:marTop w:val="0"/>
                                                      <w:marBottom w:val="0"/>
                                                      <w:divBdr>
                                                        <w:top w:val="none" w:sz="0" w:space="0" w:color="auto"/>
                                                        <w:left w:val="none" w:sz="0" w:space="0" w:color="auto"/>
                                                        <w:bottom w:val="none" w:sz="0" w:space="0" w:color="auto"/>
                                                        <w:right w:val="none" w:sz="0" w:space="0" w:color="auto"/>
                                                      </w:divBdr>
                                                      <w:divsChild>
                                                        <w:div w:id="677192189">
                                                          <w:marLeft w:val="0"/>
                                                          <w:marRight w:val="75"/>
                                                          <w:marTop w:val="0"/>
                                                          <w:marBottom w:val="0"/>
                                                          <w:divBdr>
                                                            <w:top w:val="none" w:sz="0" w:space="0" w:color="auto"/>
                                                            <w:left w:val="none" w:sz="0" w:space="0" w:color="auto"/>
                                                            <w:bottom w:val="none" w:sz="0" w:space="0" w:color="auto"/>
                                                            <w:right w:val="none" w:sz="0" w:space="0" w:color="auto"/>
                                                          </w:divBdr>
                                                        </w:div>
                                                        <w:div w:id="130027745">
                                                          <w:marLeft w:val="0"/>
                                                          <w:marRight w:val="0"/>
                                                          <w:marTop w:val="0"/>
                                                          <w:marBottom w:val="180"/>
                                                          <w:divBdr>
                                                            <w:top w:val="none" w:sz="0" w:space="0" w:color="auto"/>
                                                            <w:left w:val="none" w:sz="0" w:space="0" w:color="auto"/>
                                                            <w:bottom w:val="none" w:sz="0" w:space="0" w:color="auto"/>
                                                            <w:right w:val="none" w:sz="0" w:space="0" w:color="auto"/>
                                                          </w:divBdr>
                                                        </w:div>
                                                      </w:divsChild>
                                                    </w:div>
                                                    <w:div w:id="4866379">
                                                      <w:marLeft w:val="0"/>
                                                      <w:marRight w:val="0"/>
                                                      <w:marTop w:val="0"/>
                                                      <w:marBottom w:val="120"/>
                                                      <w:divBdr>
                                                        <w:top w:val="none" w:sz="0" w:space="0" w:color="auto"/>
                                                        <w:left w:val="none" w:sz="0" w:space="0" w:color="auto"/>
                                                        <w:bottom w:val="none" w:sz="0" w:space="0" w:color="auto"/>
                                                        <w:right w:val="none" w:sz="0" w:space="0" w:color="auto"/>
                                                      </w:divBdr>
                                                    </w:div>
                                                  </w:divsChild>
                                                </w:div>
                                                <w:div w:id="1955477495">
                                                  <w:marLeft w:val="0"/>
                                                  <w:marRight w:val="0"/>
                                                  <w:marTop w:val="0"/>
                                                  <w:marBottom w:val="0"/>
                                                  <w:divBdr>
                                                    <w:top w:val="none" w:sz="0" w:space="0" w:color="auto"/>
                                                    <w:left w:val="none" w:sz="0" w:space="0" w:color="auto"/>
                                                    <w:bottom w:val="none" w:sz="0" w:space="0" w:color="auto"/>
                                                    <w:right w:val="none" w:sz="0" w:space="0" w:color="auto"/>
                                                  </w:divBdr>
                                                  <w:divsChild>
                                                    <w:div w:id="830213245">
                                                      <w:marLeft w:val="0"/>
                                                      <w:marRight w:val="0"/>
                                                      <w:marTop w:val="0"/>
                                                      <w:marBottom w:val="0"/>
                                                      <w:divBdr>
                                                        <w:top w:val="none" w:sz="0" w:space="0" w:color="auto"/>
                                                        <w:left w:val="none" w:sz="0" w:space="0" w:color="auto"/>
                                                        <w:bottom w:val="none" w:sz="0" w:space="0" w:color="auto"/>
                                                        <w:right w:val="none" w:sz="0" w:space="0" w:color="auto"/>
                                                      </w:divBdr>
                                                      <w:divsChild>
                                                        <w:div w:id="1320425694">
                                                          <w:marLeft w:val="0"/>
                                                          <w:marRight w:val="75"/>
                                                          <w:marTop w:val="0"/>
                                                          <w:marBottom w:val="0"/>
                                                          <w:divBdr>
                                                            <w:top w:val="none" w:sz="0" w:space="0" w:color="auto"/>
                                                            <w:left w:val="none" w:sz="0" w:space="0" w:color="auto"/>
                                                            <w:bottom w:val="none" w:sz="0" w:space="0" w:color="auto"/>
                                                            <w:right w:val="none" w:sz="0" w:space="0" w:color="auto"/>
                                                          </w:divBdr>
                                                        </w:div>
                                                        <w:div w:id="280115268">
                                                          <w:marLeft w:val="0"/>
                                                          <w:marRight w:val="0"/>
                                                          <w:marTop w:val="0"/>
                                                          <w:marBottom w:val="180"/>
                                                          <w:divBdr>
                                                            <w:top w:val="none" w:sz="0" w:space="0" w:color="auto"/>
                                                            <w:left w:val="none" w:sz="0" w:space="0" w:color="auto"/>
                                                            <w:bottom w:val="none" w:sz="0" w:space="0" w:color="auto"/>
                                                            <w:right w:val="none" w:sz="0" w:space="0" w:color="auto"/>
                                                          </w:divBdr>
                                                        </w:div>
                                                      </w:divsChild>
                                                    </w:div>
                                                    <w:div w:id="513885993">
                                                      <w:marLeft w:val="0"/>
                                                      <w:marRight w:val="0"/>
                                                      <w:marTop w:val="0"/>
                                                      <w:marBottom w:val="120"/>
                                                      <w:divBdr>
                                                        <w:top w:val="none" w:sz="0" w:space="0" w:color="auto"/>
                                                        <w:left w:val="none" w:sz="0" w:space="0" w:color="auto"/>
                                                        <w:bottom w:val="none" w:sz="0" w:space="0" w:color="auto"/>
                                                        <w:right w:val="none" w:sz="0" w:space="0" w:color="auto"/>
                                                      </w:divBdr>
                                                    </w:div>
                                                  </w:divsChild>
                                                </w:div>
                                                <w:div w:id="2068453509">
                                                  <w:marLeft w:val="0"/>
                                                  <w:marRight w:val="0"/>
                                                  <w:marTop w:val="0"/>
                                                  <w:marBottom w:val="0"/>
                                                  <w:divBdr>
                                                    <w:top w:val="none" w:sz="0" w:space="0" w:color="auto"/>
                                                    <w:left w:val="none" w:sz="0" w:space="0" w:color="auto"/>
                                                    <w:bottom w:val="none" w:sz="0" w:space="0" w:color="auto"/>
                                                    <w:right w:val="none" w:sz="0" w:space="0" w:color="auto"/>
                                                  </w:divBdr>
                                                  <w:divsChild>
                                                    <w:div w:id="566183486">
                                                      <w:marLeft w:val="0"/>
                                                      <w:marRight w:val="75"/>
                                                      <w:marTop w:val="0"/>
                                                      <w:marBottom w:val="0"/>
                                                      <w:divBdr>
                                                        <w:top w:val="none" w:sz="0" w:space="0" w:color="auto"/>
                                                        <w:left w:val="none" w:sz="0" w:space="0" w:color="auto"/>
                                                        <w:bottom w:val="none" w:sz="0" w:space="0" w:color="auto"/>
                                                        <w:right w:val="none" w:sz="0" w:space="0" w:color="auto"/>
                                                      </w:divBdr>
                                                    </w:div>
                                                    <w:div w:id="866481906">
                                                      <w:marLeft w:val="0"/>
                                                      <w:marRight w:val="0"/>
                                                      <w:marTop w:val="0"/>
                                                      <w:marBottom w:val="225"/>
                                                      <w:divBdr>
                                                        <w:top w:val="none" w:sz="0" w:space="0" w:color="auto"/>
                                                        <w:left w:val="none" w:sz="0" w:space="0" w:color="auto"/>
                                                        <w:bottom w:val="none" w:sz="0" w:space="0" w:color="auto"/>
                                                        <w:right w:val="none" w:sz="0" w:space="0" w:color="auto"/>
                                                      </w:divBdr>
                                                      <w:divsChild>
                                                        <w:div w:id="1493714987">
                                                          <w:marLeft w:val="0"/>
                                                          <w:marRight w:val="0"/>
                                                          <w:marTop w:val="150"/>
                                                          <w:marBottom w:val="150"/>
                                                          <w:divBdr>
                                                            <w:top w:val="none" w:sz="0" w:space="0" w:color="auto"/>
                                                            <w:left w:val="none" w:sz="0" w:space="0" w:color="auto"/>
                                                            <w:bottom w:val="none" w:sz="0" w:space="0" w:color="auto"/>
                                                            <w:right w:val="none" w:sz="0" w:space="0" w:color="auto"/>
                                                          </w:divBdr>
                                                        </w:div>
                                                      </w:divsChild>
                                                    </w:div>
                                                    <w:div w:id="1239635443">
                                                      <w:marLeft w:val="0"/>
                                                      <w:marRight w:val="0"/>
                                                      <w:marTop w:val="0"/>
                                                      <w:marBottom w:val="180"/>
                                                      <w:divBdr>
                                                        <w:top w:val="none" w:sz="0" w:space="0" w:color="auto"/>
                                                        <w:left w:val="none" w:sz="0" w:space="0" w:color="auto"/>
                                                        <w:bottom w:val="none" w:sz="0" w:space="0" w:color="auto"/>
                                                        <w:right w:val="none" w:sz="0" w:space="0" w:color="auto"/>
                                                      </w:divBdr>
                                                    </w:div>
                                                  </w:divsChild>
                                                </w:div>
                                                <w:div w:id="461654806">
                                                  <w:marLeft w:val="0"/>
                                                  <w:marRight w:val="0"/>
                                                  <w:marTop w:val="0"/>
                                                  <w:marBottom w:val="0"/>
                                                  <w:divBdr>
                                                    <w:top w:val="none" w:sz="0" w:space="0" w:color="auto"/>
                                                    <w:left w:val="none" w:sz="0" w:space="0" w:color="auto"/>
                                                    <w:bottom w:val="none" w:sz="0" w:space="0" w:color="auto"/>
                                                    <w:right w:val="none" w:sz="0" w:space="0" w:color="auto"/>
                                                  </w:divBdr>
                                                  <w:divsChild>
                                                    <w:div w:id="643703368">
                                                      <w:marLeft w:val="0"/>
                                                      <w:marRight w:val="75"/>
                                                      <w:marTop w:val="0"/>
                                                      <w:marBottom w:val="0"/>
                                                      <w:divBdr>
                                                        <w:top w:val="none" w:sz="0" w:space="0" w:color="auto"/>
                                                        <w:left w:val="none" w:sz="0" w:space="0" w:color="auto"/>
                                                        <w:bottom w:val="none" w:sz="0" w:space="0" w:color="auto"/>
                                                        <w:right w:val="none" w:sz="0" w:space="0" w:color="auto"/>
                                                      </w:divBdr>
                                                    </w:div>
                                                    <w:div w:id="425536793">
                                                      <w:marLeft w:val="0"/>
                                                      <w:marRight w:val="0"/>
                                                      <w:marTop w:val="0"/>
                                                      <w:marBottom w:val="225"/>
                                                      <w:divBdr>
                                                        <w:top w:val="none" w:sz="0" w:space="0" w:color="auto"/>
                                                        <w:left w:val="none" w:sz="0" w:space="0" w:color="auto"/>
                                                        <w:bottom w:val="none" w:sz="0" w:space="0" w:color="auto"/>
                                                        <w:right w:val="none" w:sz="0" w:space="0" w:color="auto"/>
                                                      </w:divBdr>
                                                      <w:divsChild>
                                                        <w:div w:id="812067336">
                                                          <w:marLeft w:val="0"/>
                                                          <w:marRight w:val="0"/>
                                                          <w:marTop w:val="150"/>
                                                          <w:marBottom w:val="150"/>
                                                          <w:divBdr>
                                                            <w:top w:val="none" w:sz="0" w:space="0" w:color="auto"/>
                                                            <w:left w:val="none" w:sz="0" w:space="0" w:color="auto"/>
                                                            <w:bottom w:val="none" w:sz="0" w:space="0" w:color="auto"/>
                                                            <w:right w:val="none" w:sz="0" w:space="0" w:color="auto"/>
                                                          </w:divBdr>
                                                        </w:div>
                                                      </w:divsChild>
                                                    </w:div>
                                                    <w:div w:id="741680848">
                                                      <w:marLeft w:val="0"/>
                                                      <w:marRight w:val="0"/>
                                                      <w:marTop w:val="0"/>
                                                      <w:marBottom w:val="180"/>
                                                      <w:divBdr>
                                                        <w:top w:val="none" w:sz="0" w:space="0" w:color="auto"/>
                                                        <w:left w:val="none" w:sz="0" w:space="0" w:color="auto"/>
                                                        <w:bottom w:val="none" w:sz="0" w:space="0" w:color="auto"/>
                                                        <w:right w:val="none" w:sz="0" w:space="0" w:color="auto"/>
                                                      </w:divBdr>
                                                    </w:div>
                                                  </w:divsChild>
                                                </w:div>
                                                <w:div w:id="1596479782">
                                                  <w:marLeft w:val="0"/>
                                                  <w:marRight w:val="0"/>
                                                  <w:marTop w:val="0"/>
                                                  <w:marBottom w:val="0"/>
                                                  <w:divBdr>
                                                    <w:top w:val="none" w:sz="0" w:space="0" w:color="auto"/>
                                                    <w:left w:val="none" w:sz="0" w:space="0" w:color="auto"/>
                                                    <w:bottom w:val="none" w:sz="0" w:space="0" w:color="auto"/>
                                                    <w:right w:val="none" w:sz="0" w:space="0" w:color="auto"/>
                                                  </w:divBdr>
                                                  <w:divsChild>
                                                    <w:div w:id="735204199">
                                                      <w:marLeft w:val="0"/>
                                                      <w:marRight w:val="75"/>
                                                      <w:marTop w:val="0"/>
                                                      <w:marBottom w:val="0"/>
                                                      <w:divBdr>
                                                        <w:top w:val="none" w:sz="0" w:space="0" w:color="auto"/>
                                                        <w:left w:val="none" w:sz="0" w:space="0" w:color="auto"/>
                                                        <w:bottom w:val="none" w:sz="0" w:space="0" w:color="auto"/>
                                                        <w:right w:val="none" w:sz="0" w:space="0" w:color="auto"/>
                                                      </w:divBdr>
                                                    </w:div>
                                                    <w:div w:id="861168720">
                                                      <w:marLeft w:val="0"/>
                                                      <w:marRight w:val="0"/>
                                                      <w:marTop w:val="0"/>
                                                      <w:marBottom w:val="225"/>
                                                      <w:divBdr>
                                                        <w:top w:val="none" w:sz="0" w:space="0" w:color="auto"/>
                                                        <w:left w:val="none" w:sz="0" w:space="0" w:color="auto"/>
                                                        <w:bottom w:val="none" w:sz="0" w:space="0" w:color="auto"/>
                                                        <w:right w:val="none" w:sz="0" w:space="0" w:color="auto"/>
                                                      </w:divBdr>
                                                      <w:divsChild>
                                                        <w:div w:id="1234268403">
                                                          <w:marLeft w:val="0"/>
                                                          <w:marRight w:val="0"/>
                                                          <w:marTop w:val="150"/>
                                                          <w:marBottom w:val="150"/>
                                                          <w:divBdr>
                                                            <w:top w:val="none" w:sz="0" w:space="0" w:color="auto"/>
                                                            <w:left w:val="none" w:sz="0" w:space="0" w:color="auto"/>
                                                            <w:bottom w:val="none" w:sz="0" w:space="0" w:color="auto"/>
                                                            <w:right w:val="none" w:sz="0" w:space="0" w:color="auto"/>
                                                          </w:divBdr>
                                                        </w:div>
                                                      </w:divsChild>
                                                    </w:div>
                                                    <w:div w:id="1881088175">
                                                      <w:marLeft w:val="0"/>
                                                      <w:marRight w:val="0"/>
                                                      <w:marTop w:val="0"/>
                                                      <w:marBottom w:val="180"/>
                                                      <w:divBdr>
                                                        <w:top w:val="none" w:sz="0" w:space="0" w:color="auto"/>
                                                        <w:left w:val="none" w:sz="0" w:space="0" w:color="auto"/>
                                                        <w:bottom w:val="none" w:sz="0" w:space="0" w:color="auto"/>
                                                        <w:right w:val="none" w:sz="0" w:space="0" w:color="auto"/>
                                                      </w:divBdr>
                                                    </w:div>
                                                  </w:divsChild>
                                                </w:div>
                                                <w:div w:id="860237714">
                                                  <w:marLeft w:val="0"/>
                                                  <w:marRight w:val="0"/>
                                                  <w:marTop w:val="0"/>
                                                  <w:marBottom w:val="0"/>
                                                  <w:divBdr>
                                                    <w:top w:val="none" w:sz="0" w:space="0" w:color="auto"/>
                                                    <w:left w:val="none" w:sz="0" w:space="0" w:color="auto"/>
                                                    <w:bottom w:val="none" w:sz="0" w:space="0" w:color="auto"/>
                                                    <w:right w:val="none" w:sz="0" w:space="0" w:color="auto"/>
                                                  </w:divBdr>
                                                  <w:divsChild>
                                                    <w:div w:id="862792951">
                                                      <w:marLeft w:val="0"/>
                                                      <w:marRight w:val="75"/>
                                                      <w:marTop w:val="0"/>
                                                      <w:marBottom w:val="0"/>
                                                      <w:divBdr>
                                                        <w:top w:val="none" w:sz="0" w:space="0" w:color="auto"/>
                                                        <w:left w:val="none" w:sz="0" w:space="0" w:color="auto"/>
                                                        <w:bottom w:val="none" w:sz="0" w:space="0" w:color="auto"/>
                                                        <w:right w:val="none" w:sz="0" w:space="0" w:color="auto"/>
                                                      </w:divBdr>
                                                    </w:div>
                                                    <w:div w:id="671301776">
                                                      <w:marLeft w:val="0"/>
                                                      <w:marRight w:val="0"/>
                                                      <w:marTop w:val="0"/>
                                                      <w:marBottom w:val="225"/>
                                                      <w:divBdr>
                                                        <w:top w:val="none" w:sz="0" w:space="0" w:color="auto"/>
                                                        <w:left w:val="none" w:sz="0" w:space="0" w:color="auto"/>
                                                        <w:bottom w:val="none" w:sz="0" w:space="0" w:color="auto"/>
                                                        <w:right w:val="none" w:sz="0" w:space="0" w:color="auto"/>
                                                      </w:divBdr>
                                                      <w:divsChild>
                                                        <w:div w:id="408887863">
                                                          <w:marLeft w:val="0"/>
                                                          <w:marRight w:val="0"/>
                                                          <w:marTop w:val="150"/>
                                                          <w:marBottom w:val="150"/>
                                                          <w:divBdr>
                                                            <w:top w:val="none" w:sz="0" w:space="0" w:color="auto"/>
                                                            <w:left w:val="none" w:sz="0" w:space="0" w:color="auto"/>
                                                            <w:bottom w:val="none" w:sz="0" w:space="0" w:color="auto"/>
                                                            <w:right w:val="none" w:sz="0" w:space="0" w:color="auto"/>
                                                          </w:divBdr>
                                                        </w:div>
                                                      </w:divsChild>
                                                    </w:div>
                                                    <w:div w:id="34282292">
                                                      <w:marLeft w:val="0"/>
                                                      <w:marRight w:val="0"/>
                                                      <w:marTop w:val="0"/>
                                                      <w:marBottom w:val="180"/>
                                                      <w:divBdr>
                                                        <w:top w:val="none" w:sz="0" w:space="0" w:color="auto"/>
                                                        <w:left w:val="none" w:sz="0" w:space="0" w:color="auto"/>
                                                        <w:bottom w:val="none" w:sz="0" w:space="0" w:color="auto"/>
                                                        <w:right w:val="none" w:sz="0" w:space="0" w:color="auto"/>
                                                      </w:divBdr>
                                                    </w:div>
                                                  </w:divsChild>
                                                </w:div>
                                                <w:div w:id="798837169">
                                                  <w:marLeft w:val="0"/>
                                                  <w:marRight w:val="0"/>
                                                  <w:marTop w:val="0"/>
                                                  <w:marBottom w:val="0"/>
                                                  <w:divBdr>
                                                    <w:top w:val="none" w:sz="0" w:space="0" w:color="auto"/>
                                                    <w:left w:val="none" w:sz="0" w:space="0" w:color="auto"/>
                                                    <w:bottom w:val="none" w:sz="0" w:space="0" w:color="auto"/>
                                                    <w:right w:val="none" w:sz="0" w:space="0" w:color="auto"/>
                                                  </w:divBdr>
                                                  <w:divsChild>
                                                    <w:div w:id="99571476">
                                                      <w:marLeft w:val="0"/>
                                                      <w:marRight w:val="0"/>
                                                      <w:marTop w:val="0"/>
                                                      <w:marBottom w:val="0"/>
                                                      <w:divBdr>
                                                        <w:top w:val="none" w:sz="0" w:space="0" w:color="auto"/>
                                                        <w:left w:val="none" w:sz="0" w:space="0" w:color="auto"/>
                                                        <w:bottom w:val="none" w:sz="0" w:space="0" w:color="auto"/>
                                                        <w:right w:val="none" w:sz="0" w:space="0" w:color="auto"/>
                                                      </w:divBdr>
                                                      <w:divsChild>
                                                        <w:div w:id="400443358">
                                                          <w:marLeft w:val="0"/>
                                                          <w:marRight w:val="75"/>
                                                          <w:marTop w:val="0"/>
                                                          <w:marBottom w:val="0"/>
                                                          <w:divBdr>
                                                            <w:top w:val="none" w:sz="0" w:space="0" w:color="auto"/>
                                                            <w:left w:val="none" w:sz="0" w:space="0" w:color="auto"/>
                                                            <w:bottom w:val="none" w:sz="0" w:space="0" w:color="auto"/>
                                                            <w:right w:val="none" w:sz="0" w:space="0" w:color="auto"/>
                                                          </w:divBdr>
                                                        </w:div>
                                                        <w:div w:id="609510654">
                                                          <w:marLeft w:val="0"/>
                                                          <w:marRight w:val="0"/>
                                                          <w:marTop w:val="0"/>
                                                          <w:marBottom w:val="180"/>
                                                          <w:divBdr>
                                                            <w:top w:val="none" w:sz="0" w:space="0" w:color="auto"/>
                                                            <w:left w:val="none" w:sz="0" w:space="0" w:color="auto"/>
                                                            <w:bottom w:val="none" w:sz="0" w:space="0" w:color="auto"/>
                                                            <w:right w:val="none" w:sz="0" w:space="0" w:color="auto"/>
                                                          </w:divBdr>
                                                        </w:div>
                                                      </w:divsChild>
                                                    </w:div>
                                                    <w:div w:id="1997150912">
                                                      <w:marLeft w:val="0"/>
                                                      <w:marRight w:val="0"/>
                                                      <w:marTop w:val="0"/>
                                                      <w:marBottom w:val="120"/>
                                                      <w:divBdr>
                                                        <w:top w:val="none" w:sz="0" w:space="0" w:color="auto"/>
                                                        <w:left w:val="none" w:sz="0" w:space="0" w:color="auto"/>
                                                        <w:bottom w:val="none" w:sz="0" w:space="0" w:color="auto"/>
                                                        <w:right w:val="none" w:sz="0" w:space="0" w:color="auto"/>
                                                      </w:divBdr>
                                                    </w:div>
                                                  </w:divsChild>
                                                </w:div>
                                                <w:div w:id="218514532">
                                                  <w:marLeft w:val="0"/>
                                                  <w:marRight w:val="0"/>
                                                  <w:marTop w:val="0"/>
                                                  <w:marBottom w:val="0"/>
                                                  <w:divBdr>
                                                    <w:top w:val="none" w:sz="0" w:space="0" w:color="auto"/>
                                                    <w:left w:val="none" w:sz="0" w:space="0" w:color="auto"/>
                                                    <w:bottom w:val="none" w:sz="0" w:space="0" w:color="auto"/>
                                                    <w:right w:val="none" w:sz="0" w:space="0" w:color="auto"/>
                                                  </w:divBdr>
                                                  <w:divsChild>
                                                    <w:div w:id="603071291">
                                                      <w:marLeft w:val="0"/>
                                                      <w:marRight w:val="75"/>
                                                      <w:marTop w:val="0"/>
                                                      <w:marBottom w:val="0"/>
                                                      <w:divBdr>
                                                        <w:top w:val="none" w:sz="0" w:space="0" w:color="auto"/>
                                                        <w:left w:val="none" w:sz="0" w:space="0" w:color="auto"/>
                                                        <w:bottom w:val="none" w:sz="0" w:space="0" w:color="auto"/>
                                                        <w:right w:val="none" w:sz="0" w:space="0" w:color="auto"/>
                                                      </w:divBdr>
                                                    </w:div>
                                                    <w:div w:id="1032070804">
                                                      <w:marLeft w:val="0"/>
                                                      <w:marRight w:val="0"/>
                                                      <w:marTop w:val="0"/>
                                                      <w:marBottom w:val="225"/>
                                                      <w:divBdr>
                                                        <w:top w:val="none" w:sz="0" w:space="0" w:color="auto"/>
                                                        <w:left w:val="none" w:sz="0" w:space="0" w:color="auto"/>
                                                        <w:bottom w:val="none" w:sz="0" w:space="0" w:color="auto"/>
                                                        <w:right w:val="none" w:sz="0" w:space="0" w:color="auto"/>
                                                      </w:divBdr>
                                                      <w:divsChild>
                                                        <w:div w:id="762994926">
                                                          <w:marLeft w:val="0"/>
                                                          <w:marRight w:val="0"/>
                                                          <w:marTop w:val="150"/>
                                                          <w:marBottom w:val="150"/>
                                                          <w:divBdr>
                                                            <w:top w:val="none" w:sz="0" w:space="0" w:color="auto"/>
                                                            <w:left w:val="none" w:sz="0" w:space="0" w:color="auto"/>
                                                            <w:bottom w:val="none" w:sz="0" w:space="0" w:color="auto"/>
                                                            <w:right w:val="none" w:sz="0" w:space="0" w:color="auto"/>
                                                          </w:divBdr>
                                                        </w:div>
                                                      </w:divsChild>
                                                    </w:div>
                                                    <w:div w:id="93869923">
                                                      <w:marLeft w:val="0"/>
                                                      <w:marRight w:val="0"/>
                                                      <w:marTop w:val="0"/>
                                                      <w:marBottom w:val="180"/>
                                                      <w:divBdr>
                                                        <w:top w:val="none" w:sz="0" w:space="0" w:color="auto"/>
                                                        <w:left w:val="none" w:sz="0" w:space="0" w:color="auto"/>
                                                        <w:bottom w:val="none" w:sz="0" w:space="0" w:color="auto"/>
                                                        <w:right w:val="none" w:sz="0" w:space="0" w:color="auto"/>
                                                      </w:divBdr>
                                                    </w:div>
                                                  </w:divsChild>
                                                </w:div>
                                                <w:div w:id="10844802">
                                                  <w:marLeft w:val="0"/>
                                                  <w:marRight w:val="0"/>
                                                  <w:marTop w:val="0"/>
                                                  <w:marBottom w:val="0"/>
                                                  <w:divBdr>
                                                    <w:top w:val="none" w:sz="0" w:space="0" w:color="auto"/>
                                                    <w:left w:val="none" w:sz="0" w:space="0" w:color="auto"/>
                                                    <w:bottom w:val="none" w:sz="0" w:space="0" w:color="auto"/>
                                                    <w:right w:val="none" w:sz="0" w:space="0" w:color="auto"/>
                                                  </w:divBdr>
                                                  <w:divsChild>
                                                    <w:div w:id="1086996014">
                                                      <w:marLeft w:val="0"/>
                                                      <w:marRight w:val="75"/>
                                                      <w:marTop w:val="0"/>
                                                      <w:marBottom w:val="0"/>
                                                      <w:divBdr>
                                                        <w:top w:val="none" w:sz="0" w:space="0" w:color="auto"/>
                                                        <w:left w:val="none" w:sz="0" w:space="0" w:color="auto"/>
                                                        <w:bottom w:val="none" w:sz="0" w:space="0" w:color="auto"/>
                                                        <w:right w:val="none" w:sz="0" w:space="0" w:color="auto"/>
                                                      </w:divBdr>
                                                    </w:div>
                                                    <w:div w:id="1911114197">
                                                      <w:marLeft w:val="0"/>
                                                      <w:marRight w:val="0"/>
                                                      <w:marTop w:val="0"/>
                                                      <w:marBottom w:val="225"/>
                                                      <w:divBdr>
                                                        <w:top w:val="none" w:sz="0" w:space="0" w:color="auto"/>
                                                        <w:left w:val="none" w:sz="0" w:space="0" w:color="auto"/>
                                                        <w:bottom w:val="none" w:sz="0" w:space="0" w:color="auto"/>
                                                        <w:right w:val="none" w:sz="0" w:space="0" w:color="auto"/>
                                                      </w:divBdr>
                                                      <w:divsChild>
                                                        <w:div w:id="143550634">
                                                          <w:marLeft w:val="0"/>
                                                          <w:marRight w:val="0"/>
                                                          <w:marTop w:val="150"/>
                                                          <w:marBottom w:val="150"/>
                                                          <w:divBdr>
                                                            <w:top w:val="none" w:sz="0" w:space="0" w:color="auto"/>
                                                            <w:left w:val="none" w:sz="0" w:space="0" w:color="auto"/>
                                                            <w:bottom w:val="none" w:sz="0" w:space="0" w:color="auto"/>
                                                            <w:right w:val="none" w:sz="0" w:space="0" w:color="auto"/>
                                                          </w:divBdr>
                                                        </w:div>
                                                      </w:divsChild>
                                                    </w:div>
                                                    <w:div w:id="468787793">
                                                      <w:marLeft w:val="0"/>
                                                      <w:marRight w:val="0"/>
                                                      <w:marTop w:val="0"/>
                                                      <w:marBottom w:val="180"/>
                                                      <w:divBdr>
                                                        <w:top w:val="none" w:sz="0" w:space="0" w:color="auto"/>
                                                        <w:left w:val="none" w:sz="0" w:space="0" w:color="auto"/>
                                                        <w:bottom w:val="none" w:sz="0" w:space="0" w:color="auto"/>
                                                        <w:right w:val="none" w:sz="0" w:space="0" w:color="auto"/>
                                                      </w:divBdr>
                                                    </w:div>
                                                  </w:divsChild>
                                                </w:div>
                                                <w:div w:id="66919730">
                                                  <w:marLeft w:val="0"/>
                                                  <w:marRight w:val="0"/>
                                                  <w:marTop w:val="0"/>
                                                  <w:marBottom w:val="0"/>
                                                  <w:divBdr>
                                                    <w:top w:val="none" w:sz="0" w:space="0" w:color="auto"/>
                                                    <w:left w:val="none" w:sz="0" w:space="0" w:color="auto"/>
                                                    <w:bottom w:val="none" w:sz="0" w:space="0" w:color="auto"/>
                                                    <w:right w:val="none" w:sz="0" w:space="0" w:color="auto"/>
                                                  </w:divBdr>
                                                </w:div>
                                                <w:div w:id="231670304">
                                                  <w:marLeft w:val="0"/>
                                                  <w:marRight w:val="0"/>
                                                  <w:marTop w:val="0"/>
                                                  <w:marBottom w:val="225"/>
                                                  <w:divBdr>
                                                    <w:top w:val="none" w:sz="0" w:space="0" w:color="auto"/>
                                                    <w:left w:val="none" w:sz="0" w:space="0" w:color="auto"/>
                                                    <w:bottom w:val="none" w:sz="0" w:space="0" w:color="auto"/>
                                                    <w:right w:val="none" w:sz="0" w:space="0" w:color="auto"/>
                                                  </w:divBdr>
                                                  <w:divsChild>
                                                    <w:div w:id="1830823207">
                                                      <w:marLeft w:val="0"/>
                                                      <w:marRight w:val="0"/>
                                                      <w:marTop w:val="0"/>
                                                      <w:marBottom w:val="0"/>
                                                      <w:divBdr>
                                                        <w:top w:val="none" w:sz="0" w:space="0" w:color="auto"/>
                                                        <w:left w:val="none" w:sz="0" w:space="0" w:color="auto"/>
                                                        <w:bottom w:val="none" w:sz="0" w:space="0" w:color="auto"/>
                                                        <w:right w:val="none" w:sz="0" w:space="0" w:color="auto"/>
                                                      </w:divBdr>
                                                      <w:divsChild>
                                                        <w:div w:id="1933201136">
                                                          <w:marLeft w:val="0"/>
                                                          <w:marRight w:val="0"/>
                                                          <w:marTop w:val="0"/>
                                                          <w:marBottom w:val="0"/>
                                                          <w:divBdr>
                                                            <w:top w:val="none" w:sz="0" w:space="0" w:color="auto"/>
                                                            <w:left w:val="none" w:sz="0" w:space="0" w:color="auto"/>
                                                            <w:bottom w:val="none" w:sz="0" w:space="0" w:color="auto"/>
                                                            <w:right w:val="none" w:sz="0" w:space="0" w:color="auto"/>
                                                          </w:divBdr>
                                                          <w:divsChild>
                                                            <w:div w:id="1038819256">
                                                              <w:marLeft w:val="0"/>
                                                              <w:marRight w:val="0"/>
                                                              <w:marTop w:val="0"/>
                                                              <w:marBottom w:val="0"/>
                                                              <w:divBdr>
                                                                <w:top w:val="none" w:sz="0" w:space="0" w:color="auto"/>
                                                                <w:left w:val="none" w:sz="0" w:space="0" w:color="auto"/>
                                                                <w:bottom w:val="none" w:sz="0" w:space="0" w:color="auto"/>
                                                                <w:right w:val="none" w:sz="0" w:space="0" w:color="auto"/>
                                                              </w:divBdr>
                                                              <w:divsChild>
                                                                <w:div w:id="343628254">
                                                                  <w:marLeft w:val="0"/>
                                                                  <w:marRight w:val="75"/>
                                                                  <w:marTop w:val="0"/>
                                                                  <w:marBottom w:val="0"/>
                                                                  <w:divBdr>
                                                                    <w:top w:val="none" w:sz="0" w:space="0" w:color="auto"/>
                                                                    <w:left w:val="none" w:sz="0" w:space="0" w:color="auto"/>
                                                                    <w:bottom w:val="none" w:sz="0" w:space="0" w:color="auto"/>
                                                                    <w:right w:val="none" w:sz="0" w:space="0" w:color="auto"/>
                                                                  </w:divBdr>
                                                                </w:div>
                                                                <w:div w:id="1264417946">
                                                                  <w:marLeft w:val="0"/>
                                                                  <w:marRight w:val="0"/>
                                                                  <w:marTop w:val="0"/>
                                                                  <w:marBottom w:val="0"/>
                                                                  <w:divBdr>
                                                                    <w:top w:val="none" w:sz="0" w:space="0" w:color="auto"/>
                                                                    <w:left w:val="none" w:sz="0" w:space="0" w:color="auto"/>
                                                                    <w:bottom w:val="none" w:sz="0" w:space="0" w:color="auto"/>
                                                                    <w:right w:val="none" w:sz="0" w:space="0" w:color="auto"/>
                                                                  </w:divBdr>
                                                                  <w:divsChild>
                                                                    <w:div w:id="749935418">
                                                                      <w:marLeft w:val="0"/>
                                                                      <w:marRight w:val="0"/>
                                                                      <w:marTop w:val="0"/>
                                                                      <w:marBottom w:val="0"/>
                                                                      <w:divBdr>
                                                                        <w:top w:val="none" w:sz="0" w:space="0" w:color="auto"/>
                                                                        <w:left w:val="none" w:sz="0" w:space="0" w:color="auto"/>
                                                                        <w:bottom w:val="none" w:sz="0" w:space="0" w:color="auto"/>
                                                                        <w:right w:val="none" w:sz="0" w:space="0" w:color="auto"/>
                                                                      </w:divBdr>
                                                                    </w:div>
                                                                    <w:div w:id="5290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1733">
                                                      <w:marLeft w:val="0"/>
                                                      <w:marRight w:val="0"/>
                                                      <w:marTop w:val="0"/>
                                                      <w:marBottom w:val="0"/>
                                                      <w:divBdr>
                                                        <w:top w:val="none" w:sz="0" w:space="0" w:color="auto"/>
                                                        <w:left w:val="none" w:sz="0" w:space="0" w:color="auto"/>
                                                        <w:bottom w:val="none" w:sz="0" w:space="0" w:color="auto"/>
                                                        <w:right w:val="none" w:sz="0" w:space="0" w:color="auto"/>
                                                      </w:divBdr>
                                                      <w:divsChild>
                                                        <w:div w:id="633491211">
                                                          <w:marLeft w:val="0"/>
                                                          <w:marRight w:val="0"/>
                                                          <w:marTop w:val="0"/>
                                                          <w:marBottom w:val="0"/>
                                                          <w:divBdr>
                                                            <w:top w:val="none" w:sz="0" w:space="0" w:color="auto"/>
                                                            <w:left w:val="none" w:sz="0" w:space="0" w:color="auto"/>
                                                            <w:bottom w:val="none" w:sz="0" w:space="0" w:color="auto"/>
                                                            <w:right w:val="none" w:sz="0" w:space="0" w:color="auto"/>
                                                          </w:divBdr>
                                                          <w:divsChild>
                                                            <w:div w:id="1963068965">
                                                              <w:marLeft w:val="0"/>
                                                              <w:marRight w:val="0"/>
                                                              <w:marTop w:val="0"/>
                                                              <w:marBottom w:val="0"/>
                                                              <w:divBdr>
                                                                <w:top w:val="none" w:sz="0" w:space="0" w:color="auto"/>
                                                                <w:left w:val="none" w:sz="0" w:space="0" w:color="auto"/>
                                                                <w:bottom w:val="none" w:sz="0" w:space="0" w:color="auto"/>
                                                                <w:right w:val="none" w:sz="0" w:space="0" w:color="auto"/>
                                                              </w:divBdr>
                                                              <w:divsChild>
                                                                <w:div w:id="1653410455">
                                                                  <w:marLeft w:val="0"/>
                                                                  <w:marRight w:val="75"/>
                                                                  <w:marTop w:val="0"/>
                                                                  <w:marBottom w:val="0"/>
                                                                  <w:divBdr>
                                                                    <w:top w:val="none" w:sz="0" w:space="0" w:color="auto"/>
                                                                    <w:left w:val="none" w:sz="0" w:space="0" w:color="auto"/>
                                                                    <w:bottom w:val="none" w:sz="0" w:space="0" w:color="auto"/>
                                                                    <w:right w:val="none" w:sz="0" w:space="0" w:color="auto"/>
                                                                  </w:divBdr>
                                                                </w:div>
                                                                <w:div w:id="79452373">
                                                                  <w:marLeft w:val="0"/>
                                                                  <w:marRight w:val="0"/>
                                                                  <w:marTop w:val="0"/>
                                                                  <w:marBottom w:val="0"/>
                                                                  <w:divBdr>
                                                                    <w:top w:val="none" w:sz="0" w:space="0" w:color="auto"/>
                                                                    <w:left w:val="none" w:sz="0" w:space="0" w:color="auto"/>
                                                                    <w:bottom w:val="none" w:sz="0" w:space="0" w:color="auto"/>
                                                                    <w:right w:val="none" w:sz="0" w:space="0" w:color="auto"/>
                                                                  </w:divBdr>
                                                                  <w:divsChild>
                                                                    <w:div w:id="1098677626">
                                                                      <w:marLeft w:val="0"/>
                                                                      <w:marRight w:val="0"/>
                                                                      <w:marTop w:val="0"/>
                                                                      <w:marBottom w:val="0"/>
                                                                      <w:divBdr>
                                                                        <w:top w:val="none" w:sz="0" w:space="0" w:color="auto"/>
                                                                        <w:left w:val="none" w:sz="0" w:space="0" w:color="auto"/>
                                                                        <w:bottom w:val="none" w:sz="0" w:space="0" w:color="auto"/>
                                                                        <w:right w:val="none" w:sz="0" w:space="0" w:color="auto"/>
                                                                      </w:divBdr>
                                                                    </w:div>
                                                                    <w:div w:id="16211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10914">
                                                      <w:marLeft w:val="0"/>
                                                      <w:marRight w:val="0"/>
                                                      <w:marTop w:val="0"/>
                                                      <w:marBottom w:val="0"/>
                                                      <w:divBdr>
                                                        <w:top w:val="none" w:sz="0" w:space="0" w:color="auto"/>
                                                        <w:left w:val="none" w:sz="0" w:space="0" w:color="auto"/>
                                                        <w:bottom w:val="none" w:sz="0" w:space="0" w:color="auto"/>
                                                        <w:right w:val="none" w:sz="0" w:space="0" w:color="auto"/>
                                                      </w:divBdr>
                                                      <w:divsChild>
                                                        <w:div w:id="102116345">
                                                          <w:marLeft w:val="0"/>
                                                          <w:marRight w:val="0"/>
                                                          <w:marTop w:val="0"/>
                                                          <w:marBottom w:val="0"/>
                                                          <w:divBdr>
                                                            <w:top w:val="none" w:sz="0" w:space="0" w:color="auto"/>
                                                            <w:left w:val="none" w:sz="0" w:space="0" w:color="auto"/>
                                                            <w:bottom w:val="none" w:sz="0" w:space="0" w:color="auto"/>
                                                            <w:right w:val="none" w:sz="0" w:space="0" w:color="auto"/>
                                                          </w:divBdr>
                                                          <w:divsChild>
                                                            <w:div w:id="1907840676">
                                                              <w:marLeft w:val="0"/>
                                                              <w:marRight w:val="0"/>
                                                              <w:marTop w:val="0"/>
                                                              <w:marBottom w:val="0"/>
                                                              <w:divBdr>
                                                                <w:top w:val="none" w:sz="0" w:space="0" w:color="auto"/>
                                                                <w:left w:val="none" w:sz="0" w:space="0" w:color="auto"/>
                                                                <w:bottom w:val="none" w:sz="0" w:space="0" w:color="auto"/>
                                                                <w:right w:val="none" w:sz="0" w:space="0" w:color="auto"/>
                                                              </w:divBdr>
                                                              <w:divsChild>
                                                                <w:div w:id="817960460">
                                                                  <w:marLeft w:val="0"/>
                                                                  <w:marRight w:val="75"/>
                                                                  <w:marTop w:val="0"/>
                                                                  <w:marBottom w:val="0"/>
                                                                  <w:divBdr>
                                                                    <w:top w:val="none" w:sz="0" w:space="0" w:color="auto"/>
                                                                    <w:left w:val="none" w:sz="0" w:space="0" w:color="auto"/>
                                                                    <w:bottom w:val="none" w:sz="0" w:space="0" w:color="auto"/>
                                                                    <w:right w:val="none" w:sz="0" w:space="0" w:color="auto"/>
                                                                  </w:divBdr>
                                                                </w:div>
                                                                <w:div w:id="2032682385">
                                                                  <w:marLeft w:val="0"/>
                                                                  <w:marRight w:val="0"/>
                                                                  <w:marTop w:val="0"/>
                                                                  <w:marBottom w:val="0"/>
                                                                  <w:divBdr>
                                                                    <w:top w:val="none" w:sz="0" w:space="0" w:color="auto"/>
                                                                    <w:left w:val="none" w:sz="0" w:space="0" w:color="auto"/>
                                                                    <w:bottom w:val="none" w:sz="0" w:space="0" w:color="auto"/>
                                                                    <w:right w:val="none" w:sz="0" w:space="0" w:color="auto"/>
                                                                  </w:divBdr>
                                                                  <w:divsChild>
                                                                    <w:div w:id="14976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2598">
                                                      <w:marLeft w:val="0"/>
                                                      <w:marRight w:val="0"/>
                                                      <w:marTop w:val="0"/>
                                                      <w:marBottom w:val="0"/>
                                                      <w:divBdr>
                                                        <w:top w:val="none" w:sz="0" w:space="0" w:color="auto"/>
                                                        <w:left w:val="none" w:sz="0" w:space="0" w:color="auto"/>
                                                        <w:bottom w:val="none" w:sz="0" w:space="0" w:color="auto"/>
                                                        <w:right w:val="none" w:sz="0" w:space="0" w:color="auto"/>
                                                      </w:divBdr>
                                                      <w:divsChild>
                                                        <w:div w:id="686373505">
                                                          <w:marLeft w:val="0"/>
                                                          <w:marRight w:val="0"/>
                                                          <w:marTop w:val="0"/>
                                                          <w:marBottom w:val="0"/>
                                                          <w:divBdr>
                                                            <w:top w:val="none" w:sz="0" w:space="0" w:color="auto"/>
                                                            <w:left w:val="none" w:sz="0" w:space="0" w:color="auto"/>
                                                            <w:bottom w:val="none" w:sz="0" w:space="0" w:color="auto"/>
                                                            <w:right w:val="none" w:sz="0" w:space="0" w:color="auto"/>
                                                          </w:divBdr>
                                                          <w:divsChild>
                                                            <w:div w:id="1904943010">
                                                              <w:marLeft w:val="0"/>
                                                              <w:marRight w:val="0"/>
                                                              <w:marTop w:val="0"/>
                                                              <w:marBottom w:val="0"/>
                                                              <w:divBdr>
                                                                <w:top w:val="none" w:sz="0" w:space="0" w:color="auto"/>
                                                                <w:left w:val="none" w:sz="0" w:space="0" w:color="auto"/>
                                                                <w:bottom w:val="none" w:sz="0" w:space="0" w:color="auto"/>
                                                                <w:right w:val="none" w:sz="0" w:space="0" w:color="auto"/>
                                                              </w:divBdr>
                                                              <w:divsChild>
                                                                <w:div w:id="219639652">
                                                                  <w:marLeft w:val="0"/>
                                                                  <w:marRight w:val="75"/>
                                                                  <w:marTop w:val="0"/>
                                                                  <w:marBottom w:val="0"/>
                                                                  <w:divBdr>
                                                                    <w:top w:val="none" w:sz="0" w:space="0" w:color="auto"/>
                                                                    <w:left w:val="none" w:sz="0" w:space="0" w:color="auto"/>
                                                                    <w:bottom w:val="none" w:sz="0" w:space="0" w:color="auto"/>
                                                                    <w:right w:val="none" w:sz="0" w:space="0" w:color="auto"/>
                                                                  </w:divBdr>
                                                                </w:div>
                                                                <w:div w:id="1055085009">
                                                                  <w:marLeft w:val="0"/>
                                                                  <w:marRight w:val="0"/>
                                                                  <w:marTop w:val="0"/>
                                                                  <w:marBottom w:val="0"/>
                                                                  <w:divBdr>
                                                                    <w:top w:val="none" w:sz="0" w:space="0" w:color="auto"/>
                                                                    <w:left w:val="none" w:sz="0" w:space="0" w:color="auto"/>
                                                                    <w:bottom w:val="none" w:sz="0" w:space="0" w:color="auto"/>
                                                                    <w:right w:val="none" w:sz="0" w:space="0" w:color="auto"/>
                                                                  </w:divBdr>
                                                                  <w:divsChild>
                                                                    <w:div w:id="1263300304">
                                                                      <w:marLeft w:val="0"/>
                                                                      <w:marRight w:val="0"/>
                                                                      <w:marTop w:val="0"/>
                                                                      <w:marBottom w:val="0"/>
                                                                      <w:divBdr>
                                                                        <w:top w:val="none" w:sz="0" w:space="0" w:color="auto"/>
                                                                        <w:left w:val="none" w:sz="0" w:space="0" w:color="auto"/>
                                                                        <w:bottom w:val="none" w:sz="0" w:space="0" w:color="auto"/>
                                                                        <w:right w:val="none" w:sz="0" w:space="0" w:color="auto"/>
                                                                      </w:divBdr>
                                                                      <w:divsChild>
                                                                        <w:div w:id="1426000839">
                                                                          <w:marLeft w:val="0"/>
                                                                          <w:marRight w:val="0"/>
                                                                          <w:marTop w:val="0"/>
                                                                          <w:marBottom w:val="0"/>
                                                                          <w:divBdr>
                                                                            <w:top w:val="none" w:sz="0" w:space="0" w:color="auto"/>
                                                                            <w:left w:val="none" w:sz="0" w:space="0" w:color="auto"/>
                                                                            <w:bottom w:val="none" w:sz="0" w:space="0" w:color="auto"/>
                                                                            <w:right w:val="none" w:sz="0" w:space="0" w:color="auto"/>
                                                                          </w:divBdr>
                                                                          <w:divsChild>
                                                                            <w:div w:id="2129546133">
                                                                              <w:marLeft w:val="0"/>
                                                                              <w:marRight w:val="0"/>
                                                                              <w:marTop w:val="0"/>
                                                                              <w:marBottom w:val="0"/>
                                                                              <w:divBdr>
                                                                                <w:top w:val="none" w:sz="0" w:space="0" w:color="auto"/>
                                                                                <w:left w:val="none" w:sz="0" w:space="0" w:color="auto"/>
                                                                                <w:bottom w:val="none" w:sz="0" w:space="0" w:color="auto"/>
                                                                                <w:right w:val="none" w:sz="0" w:space="0" w:color="auto"/>
                                                                              </w:divBdr>
                                                                            </w:div>
                                                                            <w:div w:id="1108887632">
                                                                              <w:marLeft w:val="0"/>
                                                                              <w:marRight w:val="0"/>
                                                                              <w:marTop w:val="0"/>
                                                                              <w:marBottom w:val="0"/>
                                                                              <w:divBdr>
                                                                                <w:top w:val="none" w:sz="0" w:space="0" w:color="auto"/>
                                                                                <w:left w:val="none" w:sz="0" w:space="0" w:color="auto"/>
                                                                                <w:bottom w:val="none" w:sz="0" w:space="0" w:color="auto"/>
                                                                                <w:right w:val="none" w:sz="0" w:space="0" w:color="auto"/>
                                                                              </w:divBdr>
                                                                            </w:div>
                                                                          </w:divsChild>
                                                                        </w:div>
                                                                        <w:div w:id="785075690">
                                                                          <w:marLeft w:val="0"/>
                                                                          <w:marRight w:val="0"/>
                                                                          <w:marTop w:val="0"/>
                                                                          <w:marBottom w:val="0"/>
                                                                          <w:divBdr>
                                                                            <w:top w:val="none" w:sz="0" w:space="0" w:color="auto"/>
                                                                            <w:left w:val="none" w:sz="0" w:space="0" w:color="auto"/>
                                                                            <w:bottom w:val="none" w:sz="0" w:space="0" w:color="auto"/>
                                                                            <w:right w:val="none" w:sz="0" w:space="0" w:color="auto"/>
                                                                          </w:divBdr>
                                                                          <w:divsChild>
                                                                            <w:div w:id="1823039196">
                                                                              <w:marLeft w:val="0"/>
                                                                              <w:marRight w:val="0"/>
                                                                              <w:marTop w:val="0"/>
                                                                              <w:marBottom w:val="0"/>
                                                                              <w:divBdr>
                                                                                <w:top w:val="none" w:sz="0" w:space="0" w:color="auto"/>
                                                                                <w:left w:val="none" w:sz="0" w:space="0" w:color="auto"/>
                                                                                <w:bottom w:val="none" w:sz="0" w:space="0" w:color="auto"/>
                                                                                <w:right w:val="none" w:sz="0" w:space="0" w:color="auto"/>
                                                                              </w:divBdr>
                                                                            </w:div>
                                                                            <w:div w:id="1083917541">
                                                                              <w:marLeft w:val="0"/>
                                                                              <w:marRight w:val="0"/>
                                                                              <w:marTop w:val="0"/>
                                                                              <w:marBottom w:val="0"/>
                                                                              <w:divBdr>
                                                                                <w:top w:val="none" w:sz="0" w:space="0" w:color="auto"/>
                                                                                <w:left w:val="none" w:sz="0" w:space="0" w:color="auto"/>
                                                                                <w:bottom w:val="none" w:sz="0" w:space="0" w:color="auto"/>
                                                                                <w:right w:val="none" w:sz="0" w:space="0" w:color="auto"/>
                                                                              </w:divBdr>
                                                                            </w:div>
                                                                          </w:divsChild>
                                                                        </w:div>
                                                                        <w:div w:id="707074713">
                                                                          <w:marLeft w:val="0"/>
                                                                          <w:marRight w:val="0"/>
                                                                          <w:marTop w:val="0"/>
                                                                          <w:marBottom w:val="0"/>
                                                                          <w:divBdr>
                                                                            <w:top w:val="none" w:sz="0" w:space="0" w:color="auto"/>
                                                                            <w:left w:val="none" w:sz="0" w:space="0" w:color="auto"/>
                                                                            <w:bottom w:val="none" w:sz="0" w:space="0" w:color="auto"/>
                                                                            <w:right w:val="none" w:sz="0" w:space="0" w:color="auto"/>
                                                                          </w:divBdr>
                                                                          <w:divsChild>
                                                                            <w:div w:id="467433629">
                                                                              <w:marLeft w:val="0"/>
                                                                              <w:marRight w:val="0"/>
                                                                              <w:marTop w:val="0"/>
                                                                              <w:marBottom w:val="0"/>
                                                                              <w:divBdr>
                                                                                <w:top w:val="none" w:sz="0" w:space="0" w:color="auto"/>
                                                                                <w:left w:val="none" w:sz="0" w:space="0" w:color="auto"/>
                                                                                <w:bottom w:val="none" w:sz="0" w:space="0" w:color="auto"/>
                                                                                <w:right w:val="none" w:sz="0" w:space="0" w:color="auto"/>
                                                                              </w:divBdr>
                                                                            </w:div>
                                                                            <w:div w:id="1176070122">
                                                                              <w:marLeft w:val="0"/>
                                                                              <w:marRight w:val="0"/>
                                                                              <w:marTop w:val="0"/>
                                                                              <w:marBottom w:val="0"/>
                                                                              <w:divBdr>
                                                                                <w:top w:val="none" w:sz="0" w:space="0" w:color="auto"/>
                                                                                <w:left w:val="none" w:sz="0" w:space="0" w:color="auto"/>
                                                                                <w:bottom w:val="none" w:sz="0" w:space="0" w:color="auto"/>
                                                                                <w:right w:val="none" w:sz="0" w:space="0" w:color="auto"/>
                                                                              </w:divBdr>
                                                                            </w:div>
                                                                          </w:divsChild>
                                                                        </w:div>
                                                                        <w:div w:id="1891722077">
                                                                          <w:marLeft w:val="0"/>
                                                                          <w:marRight w:val="0"/>
                                                                          <w:marTop w:val="0"/>
                                                                          <w:marBottom w:val="0"/>
                                                                          <w:divBdr>
                                                                            <w:top w:val="none" w:sz="0" w:space="0" w:color="auto"/>
                                                                            <w:left w:val="none" w:sz="0" w:space="0" w:color="auto"/>
                                                                            <w:bottom w:val="none" w:sz="0" w:space="0" w:color="auto"/>
                                                                            <w:right w:val="none" w:sz="0" w:space="0" w:color="auto"/>
                                                                          </w:divBdr>
                                                                          <w:divsChild>
                                                                            <w:div w:id="2070567926">
                                                                              <w:marLeft w:val="0"/>
                                                                              <w:marRight w:val="0"/>
                                                                              <w:marTop w:val="0"/>
                                                                              <w:marBottom w:val="0"/>
                                                                              <w:divBdr>
                                                                                <w:top w:val="none" w:sz="0" w:space="0" w:color="auto"/>
                                                                                <w:left w:val="none" w:sz="0" w:space="0" w:color="auto"/>
                                                                                <w:bottom w:val="none" w:sz="0" w:space="0" w:color="auto"/>
                                                                                <w:right w:val="none" w:sz="0" w:space="0" w:color="auto"/>
                                                                              </w:divBdr>
                                                                            </w:div>
                                                                            <w:div w:id="64035308">
                                                                              <w:marLeft w:val="0"/>
                                                                              <w:marRight w:val="0"/>
                                                                              <w:marTop w:val="0"/>
                                                                              <w:marBottom w:val="0"/>
                                                                              <w:divBdr>
                                                                                <w:top w:val="none" w:sz="0" w:space="0" w:color="auto"/>
                                                                                <w:left w:val="none" w:sz="0" w:space="0" w:color="auto"/>
                                                                                <w:bottom w:val="none" w:sz="0" w:space="0" w:color="auto"/>
                                                                                <w:right w:val="none" w:sz="0" w:space="0" w:color="auto"/>
                                                                              </w:divBdr>
                                                                            </w:div>
                                                                          </w:divsChild>
                                                                        </w:div>
                                                                        <w:div w:id="1429307189">
                                                                          <w:marLeft w:val="0"/>
                                                                          <w:marRight w:val="0"/>
                                                                          <w:marTop w:val="0"/>
                                                                          <w:marBottom w:val="0"/>
                                                                          <w:divBdr>
                                                                            <w:top w:val="none" w:sz="0" w:space="0" w:color="auto"/>
                                                                            <w:left w:val="none" w:sz="0" w:space="0" w:color="auto"/>
                                                                            <w:bottom w:val="none" w:sz="0" w:space="0" w:color="auto"/>
                                                                            <w:right w:val="none" w:sz="0" w:space="0" w:color="auto"/>
                                                                          </w:divBdr>
                                                                          <w:divsChild>
                                                                            <w:div w:id="173343319">
                                                                              <w:marLeft w:val="0"/>
                                                                              <w:marRight w:val="0"/>
                                                                              <w:marTop w:val="0"/>
                                                                              <w:marBottom w:val="0"/>
                                                                              <w:divBdr>
                                                                                <w:top w:val="none" w:sz="0" w:space="0" w:color="auto"/>
                                                                                <w:left w:val="none" w:sz="0" w:space="0" w:color="auto"/>
                                                                                <w:bottom w:val="none" w:sz="0" w:space="0" w:color="auto"/>
                                                                                <w:right w:val="none" w:sz="0" w:space="0" w:color="auto"/>
                                                                              </w:divBdr>
                                                                            </w:div>
                                                                            <w:div w:id="13915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7320">
                                                                      <w:marLeft w:val="0"/>
                                                                      <w:marRight w:val="0"/>
                                                                      <w:marTop w:val="0"/>
                                                                      <w:marBottom w:val="0"/>
                                                                      <w:divBdr>
                                                                        <w:top w:val="none" w:sz="0" w:space="0" w:color="auto"/>
                                                                        <w:left w:val="none" w:sz="0" w:space="0" w:color="auto"/>
                                                                        <w:bottom w:val="none" w:sz="0" w:space="0" w:color="auto"/>
                                                                        <w:right w:val="none" w:sz="0" w:space="0" w:color="auto"/>
                                                                      </w:divBdr>
                                                                    </w:div>
                                                                    <w:div w:id="973755272">
                                                                      <w:marLeft w:val="0"/>
                                                                      <w:marRight w:val="0"/>
                                                                      <w:marTop w:val="0"/>
                                                                      <w:marBottom w:val="0"/>
                                                                      <w:divBdr>
                                                                        <w:top w:val="none" w:sz="0" w:space="0" w:color="auto"/>
                                                                        <w:left w:val="none" w:sz="0" w:space="0" w:color="auto"/>
                                                                        <w:bottom w:val="none" w:sz="0" w:space="0" w:color="auto"/>
                                                                        <w:right w:val="none" w:sz="0" w:space="0" w:color="auto"/>
                                                                      </w:divBdr>
                                                                    </w:div>
                                                                    <w:div w:id="981008647">
                                                                      <w:marLeft w:val="0"/>
                                                                      <w:marRight w:val="0"/>
                                                                      <w:marTop w:val="0"/>
                                                                      <w:marBottom w:val="0"/>
                                                                      <w:divBdr>
                                                                        <w:top w:val="none" w:sz="0" w:space="0" w:color="auto"/>
                                                                        <w:left w:val="none" w:sz="0" w:space="0" w:color="auto"/>
                                                                        <w:bottom w:val="none" w:sz="0" w:space="0" w:color="auto"/>
                                                                        <w:right w:val="none" w:sz="0" w:space="0" w:color="auto"/>
                                                                      </w:divBdr>
                                                                    </w:div>
                                                                    <w:div w:id="1692337906">
                                                                      <w:marLeft w:val="0"/>
                                                                      <w:marRight w:val="0"/>
                                                                      <w:marTop w:val="0"/>
                                                                      <w:marBottom w:val="0"/>
                                                                      <w:divBdr>
                                                                        <w:top w:val="none" w:sz="0" w:space="0" w:color="auto"/>
                                                                        <w:left w:val="none" w:sz="0" w:space="0" w:color="auto"/>
                                                                        <w:bottom w:val="none" w:sz="0" w:space="0" w:color="auto"/>
                                                                        <w:right w:val="none" w:sz="0" w:space="0" w:color="auto"/>
                                                                      </w:divBdr>
                                                                    </w:div>
                                                                    <w:div w:id="2060275037">
                                                                      <w:marLeft w:val="0"/>
                                                                      <w:marRight w:val="0"/>
                                                                      <w:marTop w:val="0"/>
                                                                      <w:marBottom w:val="0"/>
                                                                      <w:divBdr>
                                                                        <w:top w:val="none" w:sz="0" w:space="0" w:color="auto"/>
                                                                        <w:left w:val="none" w:sz="0" w:space="0" w:color="auto"/>
                                                                        <w:bottom w:val="none" w:sz="0" w:space="0" w:color="auto"/>
                                                                        <w:right w:val="none" w:sz="0" w:space="0" w:color="auto"/>
                                                                      </w:divBdr>
                                                                    </w:div>
                                                                    <w:div w:id="353042497">
                                                                      <w:marLeft w:val="0"/>
                                                                      <w:marRight w:val="0"/>
                                                                      <w:marTop w:val="0"/>
                                                                      <w:marBottom w:val="0"/>
                                                                      <w:divBdr>
                                                                        <w:top w:val="none" w:sz="0" w:space="0" w:color="auto"/>
                                                                        <w:left w:val="none" w:sz="0" w:space="0" w:color="auto"/>
                                                                        <w:bottom w:val="none" w:sz="0" w:space="0" w:color="auto"/>
                                                                        <w:right w:val="none" w:sz="0" w:space="0" w:color="auto"/>
                                                                      </w:divBdr>
                                                                    </w:div>
                                                                    <w:div w:id="1901554150">
                                                                      <w:marLeft w:val="0"/>
                                                                      <w:marRight w:val="0"/>
                                                                      <w:marTop w:val="0"/>
                                                                      <w:marBottom w:val="0"/>
                                                                      <w:divBdr>
                                                                        <w:top w:val="none" w:sz="0" w:space="0" w:color="auto"/>
                                                                        <w:left w:val="none" w:sz="0" w:space="0" w:color="auto"/>
                                                                        <w:bottom w:val="none" w:sz="0" w:space="0" w:color="auto"/>
                                                                        <w:right w:val="none" w:sz="0" w:space="0" w:color="auto"/>
                                                                      </w:divBdr>
                                                                      <w:divsChild>
                                                                        <w:div w:id="1323045255">
                                                                          <w:marLeft w:val="0"/>
                                                                          <w:marRight w:val="0"/>
                                                                          <w:marTop w:val="0"/>
                                                                          <w:marBottom w:val="0"/>
                                                                          <w:divBdr>
                                                                            <w:top w:val="none" w:sz="0" w:space="0" w:color="auto"/>
                                                                            <w:left w:val="none" w:sz="0" w:space="0" w:color="auto"/>
                                                                            <w:bottom w:val="none" w:sz="0" w:space="0" w:color="auto"/>
                                                                            <w:right w:val="none" w:sz="0" w:space="0" w:color="auto"/>
                                                                          </w:divBdr>
                                                                        </w:div>
                                                                        <w:div w:id="1740208254">
                                                                          <w:marLeft w:val="0"/>
                                                                          <w:marRight w:val="0"/>
                                                                          <w:marTop w:val="0"/>
                                                                          <w:marBottom w:val="0"/>
                                                                          <w:divBdr>
                                                                            <w:top w:val="none" w:sz="0" w:space="0" w:color="auto"/>
                                                                            <w:left w:val="none" w:sz="0" w:space="0" w:color="auto"/>
                                                                            <w:bottom w:val="none" w:sz="0" w:space="0" w:color="auto"/>
                                                                            <w:right w:val="none" w:sz="0" w:space="0" w:color="auto"/>
                                                                          </w:divBdr>
                                                                        </w:div>
                                                                        <w:div w:id="405345997">
                                                                          <w:marLeft w:val="0"/>
                                                                          <w:marRight w:val="0"/>
                                                                          <w:marTop w:val="0"/>
                                                                          <w:marBottom w:val="0"/>
                                                                          <w:divBdr>
                                                                            <w:top w:val="none" w:sz="0" w:space="0" w:color="auto"/>
                                                                            <w:left w:val="none" w:sz="0" w:space="0" w:color="auto"/>
                                                                            <w:bottom w:val="none" w:sz="0" w:space="0" w:color="auto"/>
                                                                            <w:right w:val="none" w:sz="0" w:space="0" w:color="auto"/>
                                                                          </w:divBdr>
                                                                        </w:div>
                                                                        <w:div w:id="13515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3867">
                                                      <w:marLeft w:val="0"/>
                                                      <w:marRight w:val="0"/>
                                                      <w:marTop w:val="0"/>
                                                      <w:marBottom w:val="0"/>
                                                      <w:divBdr>
                                                        <w:top w:val="none" w:sz="0" w:space="0" w:color="auto"/>
                                                        <w:left w:val="none" w:sz="0" w:space="0" w:color="auto"/>
                                                        <w:bottom w:val="none" w:sz="0" w:space="0" w:color="auto"/>
                                                        <w:right w:val="none" w:sz="0" w:space="0" w:color="auto"/>
                                                      </w:divBdr>
                                                      <w:divsChild>
                                                        <w:div w:id="1234782116">
                                                          <w:marLeft w:val="0"/>
                                                          <w:marRight w:val="0"/>
                                                          <w:marTop w:val="0"/>
                                                          <w:marBottom w:val="0"/>
                                                          <w:divBdr>
                                                            <w:top w:val="none" w:sz="0" w:space="0" w:color="auto"/>
                                                            <w:left w:val="none" w:sz="0" w:space="0" w:color="auto"/>
                                                            <w:bottom w:val="none" w:sz="0" w:space="0" w:color="auto"/>
                                                            <w:right w:val="none" w:sz="0" w:space="0" w:color="auto"/>
                                                          </w:divBdr>
                                                          <w:divsChild>
                                                            <w:div w:id="847251115">
                                                              <w:marLeft w:val="0"/>
                                                              <w:marRight w:val="0"/>
                                                              <w:marTop w:val="0"/>
                                                              <w:marBottom w:val="0"/>
                                                              <w:divBdr>
                                                                <w:top w:val="none" w:sz="0" w:space="0" w:color="auto"/>
                                                                <w:left w:val="none" w:sz="0" w:space="0" w:color="auto"/>
                                                                <w:bottom w:val="none" w:sz="0" w:space="0" w:color="auto"/>
                                                                <w:right w:val="none" w:sz="0" w:space="0" w:color="auto"/>
                                                              </w:divBdr>
                                                              <w:divsChild>
                                                                <w:div w:id="853962251">
                                                                  <w:marLeft w:val="0"/>
                                                                  <w:marRight w:val="75"/>
                                                                  <w:marTop w:val="0"/>
                                                                  <w:marBottom w:val="0"/>
                                                                  <w:divBdr>
                                                                    <w:top w:val="none" w:sz="0" w:space="0" w:color="auto"/>
                                                                    <w:left w:val="none" w:sz="0" w:space="0" w:color="auto"/>
                                                                    <w:bottom w:val="none" w:sz="0" w:space="0" w:color="auto"/>
                                                                    <w:right w:val="none" w:sz="0" w:space="0" w:color="auto"/>
                                                                  </w:divBdr>
                                                                </w:div>
                                                                <w:div w:id="623537401">
                                                                  <w:marLeft w:val="0"/>
                                                                  <w:marRight w:val="0"/>
                                                                  <w:marTop w:val="0"/>
                                                                  <w:marBottom w:val="0"/>
                                                                  <w:divBdr>
                                                                    <w:top w:val="none" w:sz="0" w:space="0" w:color="auto"/>
                                                                    <w:left w:val="none" w:sz="0" w:space="0" w:color="auto"/>
                                                                    <w:bottom w:val="none" w:sz="0" w:space="0" w:color="auto"/>
                                                                    <w:right w:val="none" w:sz="0" w:space="0" w:color="auto"/>
                                                                  </w:divBdr>
                                                                  <w:divsChild>
                                                                    <w:div w:id="510099367">
                                                                      <w:marLeft w:val="0"/>
                                                                      <w:marRight w:val="0"/>
                                                                      <w:marTop w:val="0"/>
                                                                      <w:marBottom w:val="0"/>
                                                                      <w:divBdr>
                                                                        <w:top w:val="none" w:sz="0" w:space="0" w:color="auto"/>
                                                                        <w:left w:val="none" w:sz="0" w:space="0" w:color="auto"/>
                                                                        <w:bottom w:val="none" w:sz="0" w:space="0" w:color="auto"/>
                                                                        <w:right w:val="none" w:sz="0" w:space="0" w:color="auto"/>
                                                                      </w:divBdr>
                                                                      <w:divsChild>
                                                                        <w:div w:id="1799295694">
                                                                          <w:marLeft w:val="0"/>
                                                                          <w:marRight w:val="0"/>
                                                                          <w:marTop w:val="0"/>
                                                                          <w:marBottom w:val="0"/>
                                                                          <w:divBdr>
                                                                            <w:top w:val="none" w:sz="0" w:space="0" w:color="auto"/>
                                                                            <w:left w:val="none" w:sz="0" w:space="0" w:color="auto"/>
                                                                            <w:bottom w:val="none" w:sz="0" w:space="0" w:color="auto"/>
                                                                            <w:right w:val="none" w:sz="0" w:space="0" w:color="auto"/>
                                                                          </w:divBdr>
                                                                          <w:divsChild>
                                                                            <w:div w:id="1422288377">
                                                                              <w:marLeft w:val="0"/>
                                                                              <w:marRight w:val="0"/>
                                                                              <w:marTop w:val="0"/>
                                                                              <w:marBottom w:val="0"/>
                                                                              <w:divBdr>
                                                                                <w:top w:val="none" w:sz="0" w:space="0" w:color="auto"/>
                                                                                <w:left w:val="none" w:sz="0" w:space="0" w:color="auto"/>
                                                                                <w:bottom w:val="none" w:sz="0" w:space="0" w:color="auto"/>
                                                                                <w:right w:val="none" w:sz="0" w:space="0" w:color="auto"/>
                                                                              </w:divBdr>
                                                                            </w:div>
                                                                            <w:div w:id="687023933">
                                                                              <w:marLeft w:val="0"/>
                                                                              <w:marRight w:val="0"/>
                                                                              <w:marTop w:val="0"/>
                                                                              <w:marBottom w:val="0"/>
                                                                              <w:divBdr>
                                                                                <w:top w:val="none" w:sz="0" w:space="0" w:color="auto"/>
                                                                                <w:left w:val="none" w:sz="0" w:space="0" w:color="auto"/>
                                                                                <w:bottom w:val="none" w:sz="0" w:space="0" w:color="auto"/>
                                                                                <w:right w:val="none" w:sz="0" w:space="0" w:color="auto"/>
                                                                              </w:divBdr>
                                                                            </w:div>
                                                                          </w:divsChild>
                                                                        </w:div>
                                                                        <w:div w:id="1786079945">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 w:id="942693035">
                                                                              <w:marLeft w:val="0"/>
                                                                              <w:marRight w:val="0"/>
                                                                              <w:marTop w:val="0"/>
                                                                              <w:marBottom w:val="0"/>
                                                                              <w:divBdr>
                                                                                <w:top w:val="none" w:sz="0" w:space="0" w:color="auto"/>
                                                                                <w:left w:val="none" w:sz="0" w:space="0" w:color="auto"/>
                                                                                <w:bottom w:val="none" w:sz="0" w:space="0" w:color="auto"/>
                                                                                <w:right w:val="none" w:sz="0" w:space="0" w:color="auto"/>
                                                                              </w:divBdr>
                                                                            </w:div>
                                                                          </w:divsChild>
                                                                        </w:div>
                                                                        <w:div w:id="204752932">
                                                                          <w:marLeft w:val="0"/>
                                                                          <w:marRight w:val="0"/>
                                                                          <w:marTop w:val="0"/>
                                                                          <w:marBottom w:val="0"/>
                                                                          <w:divBdr>
                                                                            <w:top w:val="none" w:sz="0" w:space="0" w:color="auto"/>
                                                                            <w:left w:val="none" w:sz="0" w:space="0" w:color="auto"/>
                                                                            <w:bottom w:val="none" w:sz="0" w:space="0" w:color="auto"/>
                                                                            <w:right w:val="none" w:sz="0" w:space="0" w:color="auto"/>
                                                                          </w:divBdr>
                                                                          <w:divsChild>
                                                                            <w:div w:id="1532180381">
                                                                              <w:marLeft w:val="0"/>
                                                                              <w:marRight w:val="0"/>
                                                                              <w:marTop w:val="0"/>
                                                                              <w:marBottom w:val="0"/>
                                                                              <w:divBdr>
                                                                                <w:top w:val="none" w:sz="0" w:space="0" w:color="auto"/>
                                                                                <w:left w:val="none" w:sz="0" w:space="0" w:color="auto"/>
                                                                                <w:bottom w:val="none" w:sz="0" w:space="0" w:color="auto"/>
                                                                                <w:right w:val="none" w:sz="0" w:space="0" w:color="auto"/>
                                                                              </w:divBdr>
                                                                            </w:div>
                                                                            <w:div w:id="5532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145">
                                                                      <w:marLeft w:val="0"/>
                                                                      <w:marRight w:val="0"/>
                                                                      <w:marTop w:val="0"/>
                                                                      <w:marBottom w:val="0"/>
                                                                      <w:divBdr>
                                                                        <w:top w:val="none" w:sz="0" w:space="0" w:color="auto"/>
                                                                        <w:left w:val="none" w:sz="0" w:space="0" w:color="auto"/>
                                                                        <w:bottom w:val="none" w:sz="0" w:space="0" w:color="auto"/>
                                                                        <w:right w:val="none" w:sz="0" w:space="0" w:color="auto"/>
                                                                      </w:divBdr>
                                                                    </w:div>
                                                                    <w:div w:id="1665283110">
                                                                      <w:marLeft w:val="0"/>
                                                                      <w:marRight w:val="0"/>
                                                                      <w:marTop w:val="0"/>
                                                                      <w:marBottom w:val="0"/>
                                                                      <w:divBdr>
                                                                        <w:top w:val="none" w:sz="0" w:space="0" w:color="auto"/>
                                                                        <w:left w:val="none" w:sz="0" w:space="0" w:color="auto"/>
                                                                        <w:bottom w:val="none" w:sz="0" w:space="0" w:color="auto"/>
                                                                        <w:right w:val="none" w:sz="0" w:space="0" w:color="auto"/>
                                                                      </w:divBdr>
                                                                    </w:div>
                                                                    <w:div w:id="960064840">
                                                                      <w:marLeft w:val="0"/>
                                                                      <w:marRight w:val="0"/>
                                                                      <w:marTop w:val="0"/>
                                                                      <w:marBottom w:val="0"/>
                                                                      <w:divBdr>
                                                                        <w:top w:val="none" w:sz="0" w:space="0" w:color="auto"/>
                                                                        <w:left w:val="none" w:sz="0" w:space="0" w:color="auto"/>
                                                                        <w:bottom w:val="none" w:sz="0" w:space="0" w:color="auto"/>
                                                                        <w:right w:val="none" w:sz="0" w:space="0" w:color="auto"/>
                                                                      </w:divBdr>
                                                                    </w:div>
                                                                    <w:div w:id="16585001">
                                                                      <w:marLeft w:val="0"/>
                                                                      <w:marRight w:val="0"/>
                                                                      <w:marTop w:val="0"/>
                                                                      <w:marBottom w:val="0"/>
                                                                      <w:divBdr>
                                                                        <w:top w:val="none" w:sz="0" w:space="0" w:color="auto"/>
                                                                        <w:left w:val="none" w:sz="0" w:space="0" w:color="auto"/>
                                                                        <w:bottom w:val="none" w:sz="0" w:space="0" w:color="auto"/>
                                                                        <w:right w:val="none" w:sz="0" w:space="0" w:color="auto"/>
                                                                      </w:divBdr>
                                                                    </w:div>
                                                                    <w:div w:id="1364987320">
                                                                      <w:marLeft w:val="0"/>
                                                                      <w:marRight w:val="0"/>
                                                                      <w:marTop w:val="0"/>
                                                                      <w:marBottom w:val="0"/>
                                                                      <w:divBdr>
                                                                        <w:top w:val="none" w:sz="0" w:space="0" w:color="auto"/>
                                                                        <w:left w:val="none" w:sz="0" w:space="0" w:color="auto"/>
                                                                        <w:bottom w:val="none" w:sz="0" w:space="0" w:color="auto"/>
                                                                        <w:right w:val="none" w:sz="0" w:space="0" w:color="auto"/>
                                                                      </w:divBdr>
                                                                    </w:div>
                                                                    <w:div w:id="1437409161">
                                                                      <w:marLeft w:val="0"/>
                                                                      <w:marRight w:val="0"/>
                                                                      <w:marTop w:val="0"/>
                                                                      <w:marBottom w:val="0"/>
                                                                      <w:divBdr>
                                                                        <w:top w:val="none" w:sz="0" w:space="0" w:color="auto"/>
                                                                        <w:left w:val="none" w:sz="0" w:space="0" w:color="auto"/>
                                                                        <w:bottom w:val="none" w:sz="0" w:space="0" w:color="auto"/>
                                                                        <w:right w:val="none" w:sz="0" w:space="0" w:color="auto"/>
                                                                      </w:divBdr>
                                                                    </w:div>
                                                                    <w:div w:id="693728478">
                                                                      <w:marLeft w:val="0"/>
                                                                      <w:marRight w:val="0"/>
                                                                      <w:marTop w:val="0"/>
                                                                      <w:marBottom w:val="0"/>
                                                                      <w:divBdr>
                                                                        <w:top w:val="none" w:sz="0" w:space="0" w:color="auto"/>
                                                                        <w:left w:val="none" w:sz="0" w:space="0" w:color="auto"/>
                                                                        <w:bottom w:val="none" w:sz="0" w:space="0" w:color="auto"/>
                                                                        <w:right w:val="none" w:sz="0" w:space="0" w:color="auto"/>
                                                                      </w:divBdr>
                                                                      <w:divsChild>
                                                                        <w:div w:id="1847867635">
                                                                          <w:marLeft w:val="0"/>
                                                                          <w:marRight w:val="0"/>
                                                                          <w:marTop w:val="0"/>
                                                                          <w:marBottom w:val="0"/>
                                                                          <w:divBdr>
                                                                            <w:top w:val="none" w:sz="0" w:space="0" w:color="auto"/>
                                                                            <w:left w:val="none" w:sz="0" w:space="0" w:color="auto"/>
                                                                            <w:bottom w:val="none" w:sz="0" w:space="0" w:color="auto"/>
                                                                            <w:right w:val="none" w:sz="0" w:space="0" w:color="auto"/>
                                                                          </w:divBdr>
                                                                        </w:div>
                                                                        <w:div w:id="1476675677">
                                                                          <w:marLeft w:val="0"/>
                                                                          <w:marRight w:val="0"/>
                                                                          <w:marTop w:val="0"/>
                                                                          <w:marBottom w:val="0"/>
                                                                          <w:divBdr>
                                                                            <w:top w:val="none" w:sz="0" w:space="0" w:color="auto"/>
                                                                            <w:left w:val="none" w:sz="0" w:space="0" w:color="auto"/>
                                                                            <w:bottom w:val="none" w:sz="0" w:space="0" w:color="auto"/>
                                                                            <w:right w:val="none" w:sz="0" w:space="0" w:color="auto"/>
                                                                          </w:divBdr>
                                                                        </w:div>
                                                                        <w:div w:id="829099471">
                                                                          <w:marLeft w:val="0"/>
                                                                          <w:marRight w:val="0"/>
                                                                          <w:marTop w:val="0"/>
                                                                          <w:marBottom w:val="0"/>
                                                                          <w:divBdr>
                                                                            <w:top w:val="none" w:sz="0" w:space="0" w:color="auto"/>
                                                                            <w:left w:val="none" w:sz="0" w:space="0" w:color="auto"/>
                                                                            <w:bottom w:val="none" w:sz="0" w:space="0" w:color="auto"/>
                                                                            <w:right w:val="none" w:sz="0" w:space="0" w:color="auto"/>
                                                                          </w:divBdr>
                                                                        </w:div>
                                                                        <w:div w:id="14005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8320">
                                                      <w:marLeft w:val="0"/>
                                                      <w:marRight w:val="0"/>
                                                      <w:marTop w:val="0"/>
                                                      <w:marBottom w:val="0"/>
                                                      <w:divBdr>
                                                        <w:top w:val="none" w:sz="0" w:space="0" w:color="auto"/>
                                                        <w:left w:val="none" w:sz="0" w:space="0" w:color="auto"/>
                                                        <w:bottom w:val="none" w:sz="0" w:space="0" w:color="auto"/>
                                                        <w:right w:val="none" w:sz="0" w:space="0" w:color="auto"/>
                                                      </w:divBdr>
                                                      <w:divsChild>
                                                        <w:div w:id="1978341715">
                                                          <w:marLeft w:val="0"/>
                                                          <w:marRight w:val="0"/>
                                                          <w:marTop w:val="0"/>
                                                          <w:marBottom w:val="0"/>
                                                          <w:divBdr>
                                                            <w:top w:val="none" w:sz="0" w:space="0" w:color="auto"/>
                                                            <w:left w:val="none" w:sz="0" w:space="0" w:color="auto"/>
                                                            <w:bottom w:val="none" w:sz="0" w:space="0" w:color="auto"/>
                                                            <w:right w:val="none" w:sz="0" w:space="0" w:color="auto"/>
                                                          </w:divBdr>
                                                          <w:divsChild>
                                                            <w:div w:id="1300916775">
                                                              <w:marLeft w:val="0"/>
                                                              <w:marRight w:val="0"/>
                                                              <w:marTop w:val="0"/>
                                                              <w:marBottom w:val="0"/>
                                                              <w:divBdr>
                                                                <w:top w:val="none" w:sz="0" w:space="0" w:color="auto"/>
                                                                <w:left w:val="none" w:sz="0" w:space="0" w:color="auto"/>
                                                                <w:bottom w:val="none" w:sz="0" w:space="0" w:color="auto"/>
                                                                <w:right w:val="none" w:sz="0" w:space="0" w:color="auto"/>
                                                              </w:divBdr>
                                                              <w:divsChild>
                                                                <w:div w:id="659193270">
                                                                  <w:marLeft w:val="0"/>
                                                                  <w:marRight w:val="75"/>
                                                                  <w:marTop w:val="0"/>
                                                                  <w:marBottom w:val="0"/>
                                                                  <w:divBdr>
                                                                    <w:top w:val="none" w:sz="0" w:space="0" w:color="auto"/>
                                                                    <w:left w:val="none" w:sz="0" w:space="0" w:color="auto"/>
                                                                    <w:bottom w:val="none" w:sz="0" w:space="0" w:color="auto"/>
                                                                    <w:right w:val="none" w:sz="0" w:space="0" w:color="auto"/>
                                                                  </w:divBdr>
                                                                </w:div>
                                                                <w:div w:id="432168905">
                                                                  <w:marLeft w:val="0"/>
                                                                  <w:marRight w:val="0"/>
                                                                  <w:marTop w:val="0"/>
                                                                  <w:marBottom w:val="0"/>
                                                                  <w:divBdr>
                                                                    <w:top w:val="none" w:sz="0" w:space="0" w:color="auto"/>
                                                                    <w:left w:val="none" w:sz="0" w:space="0" w:color="auto"/>
                                                                    <w:bottom w:val="none" w:sz="0" w:space="0" w:color="auto"/>
                                                                    <w:right w:val="none" w:sz="0" w:space="0" w:color="auto"/>
                                                                  </w:divBdr>
                                                                  <w:divsChild>
                                                                    <w:div w:id="1302885884">
                                                                      <w:marLeft w:val="0"/>
                                                                      <w:marRight w:val="0"/>
                                                                      <w:marTop w:val="0"/>
                                                                      <w:marBottom w:val="0"/>
                                                                      <w:divBdr>
                                                                        <w:top w:val="none" w:sz="0" w:space="0" w:color="auto"/>
                                                                        <w:left w:val="none" w:sz="0" w:space="0" w:color="auto"/>
                                                                        <w:bottom w:val="none" w:sz="0" w:space="0" w:color="auto"/>
                                                                        <w:right w:val="none" w:sz="0" w:space="0" w:color="auto"/>
                                                                      </w:divBdr>
                                                                    </w:div>
                                                                    <w:div w:id="1792940382">
                                                                      <w:marLeft w:val="0"/>
                                                                      <w:marRight w:val="0"/>
                                                                      <w:marTop w:val="0"/>
                                                                      <w:marBottom w:val="0"/>
                                                                      <w:divBdr>
                                                                        <w:top w:val="none" w:sz="0" w:space="0" w:color="auto"/>
                                                                        <w:left w:val="none" w:sz="0" w:space="0" w:color="auto"/>
                                                                        <w:bottom w:val="none" w:sz="0" w:space="0" w:color="auto"/>
                                                                        <w:right w:val="none" w:sz="0" w:space="0" w:color="auto"/>
                                                                      </w:divBdr>
                                                                    </w:div>
                                                                    <w:div w:id="1008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8491">
                                                      <w:marLeft w:val="0"/>
                                                      <w:marRight w:val="0"/>
                                                      <w:marTop w:val="0"/>
                                                      <w:marBottom w:val="0"/>
                                                      <w:divBdr>
                                                        <w:top w:val="none" w:sz="0" w:space="0" w:color="auto"/>
                                                        <w:left w:val="none" w:sz="0" w:space="0" w:color="auto"/>
                                                        <w:bottom w:val="none" w:sz="0" w:space="0" w:color="auto"/>
                                                        <w:right w:val="none" w:sz="0" w:space="0" w:color="auto"/>
                                                      </w:divBdr>
                                                      <w:divsChild>
                                                        <w:div w:id="550844167">
                                                          <w:marLeft w:val="0"/>
                                                          <w:marRight w:val="0"/>
                                                          <w:marTop w:val="0"/>
                                                          <w:marBottom w:val="0"/>
                                                          <w:divBdr>
                                                            <w:top w:val="none" w:sz="0" w:space="0" w:color="auto"/>
                                                            <w:left w:val="none" w:sz="0" w:space="0" w:color="auto"/>
                                                            <w:bottom w:val="none" w:sz="0" w:space="0" w:color="auto"/>
                                                            <w:right w:val="none" w:sz="0" w:space="0" w:color="auto"/>
                                                          </w:divBdr>
                                                          <w:divsChild>
                                                            <w:div w:id="15924242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75"/>
                                                                  <w:marTop w:val="0"/>
                                                                  <w:marBottom w:val="0"/>
                                                                  <w:divBdr>
                                                                    <w:top w:val="none" w:sz="0" w:space="0" w:color="auto"/>
                                                                    <w:left w:val="none" w:sz="0" w:space="0" w:color="auto"/>
                                                                    <w:bottom w:val="none" w:sz="0" w:space="0" w:color="auto"/>
                                                                    <w:right w:val="none" w:sz="0" w:space="0" w:color="auto"/>
                                                                  </w:divBdr>
                                                                </w:div>
                                                                <w:div w:id="1320961054">
                                                                  <w:marLeft w:val="0"/>
                                                                  <w:marRight w:val="0"/>
                                                                  <w:marTop w:val="0"/>
                                                                  <w:marBottom w:val="0"/>
                                                                  <w:divBdr>
                                                                    <w:top w:val="none" w:sz="0" w:space="0" w:color="auto"/>
                                                                    <w:left w:val="none" w:sz="0" w:space="0" w:color="auto"/>
                                                                    <w:bottom w:val="none" w:sz="0" w:space="0" w:color="auto"/>
                                                                    <w:right w:val="none" w:sz="0" w:space="0" w:color="auto"/>
                                                                  </w:divBdr>
                                                                  <w:divsChild>
                                                                    <w:div w:id="1755778715">
                                                                      <w:marLeft w:val="0"/>
                                                                      <w:marRight w:val="0"/>
                                                                      <w:marTop w:val="0"/>
                                                                      <w:marBottom w:val="0"/>
                                                                      <w:divBdr>
                                                                        <w:top w:val="none" w:sz="0" w:space="0" w:color="auto"/>
                                                                        <w:left w:val="none" w:sz="0" w:space="0" w:color="auto"/>
                                                                        <w:bottom w:val="none" w:sz="0" w:space="0" w:color="auto"/>
                                                                        <w:right w:val="none" w:sz="0" w:space="0" w:color="auto"/>
                                                                      </w:divBdr>
                                                                      <w:divsChild>
                                                                        <w:div w:id="1500077870">
                                                                          <w:marLeft w:val="0"/>
                                                                          <w:marRight w:val="0"/>
                                                                          <w:marTop w:val="0"/>
                                                                          <w:marBottom w:val="0"/>
                                                                          <w:divBdr>
                                                                            <w:top w:val="none" w:sz="0" w:space="0" w:color="auto"/>
                                                                            <w:left w:val="none" w:sz="0" w:space="0" w:color="auto"/>
                                                                            <w:bottom w:val="none" w:sz="0" w:space="0" w:color="auto"/>
                                                                            <w:right w:val="none" w:sz="0" w:space="0" w:color="auto"/>
                                                                          </w:divBdr>
                                                                          <w:divsChild>
                                                                            <w:div w:id="2080786578">
                                                                              <w:marLeft w:val="0"/>
                                                                              <w:marRight w:val="0"/>
                                                                              <w:marTop w:val="0"/>
                                                                              <w:marBottom w:val="0"/>
                                                                              <w:divBdr>
                                                                                <w:top w:val="none" w:sz="0" w:space="0" w:color="auto"/>
                                                                                <w:left w:val="none" w:sz="0" w:space="0" w:color="auto"/>
                                                                                <w:bottom w:val="none" w:sz="0" w:space="0" w:color="auto"/>
                                                                                <w:right w:val="none" w:sz="0" w:space="0" w:color="auto"/>
                                                                              </w:divBdr>
                                                                            </w:div>
                                                                            <w:div w:id="779840729">
                                                                              <w:marLeft w:val="0"/>
                                                                              <w:marRight w:val="0"/>
                                                                              <w:marTop w:val="0"/>
                                                                              <w:marBottom w:val="0"/>
                                                                              <w:divBdr>
                                                                                <w:top w:val="none" w:sz="0" w:space="0" w:color="auto"/>
                                                                                <w:left w:val="none" w:sz="0" w:space="0" w:color="auto"/>
                                                                                <w:bottom w:val="none" w:sz="0" w:space="0" w:color="auto"/>
                                                                                <w:right w:val="none" w:sz="0" w:space="0" w:color="auto"/>
                                                                              </w:divBdr>
                                                                            </w:div>
                                                                          </w:divsChild>
                                                                        </w:div>
                                                                        <w:div w:id="60257998">
                                                                          <w:marLeft w:val="0"/>
                                                                          <w:marRight w:val="0"/>
                                                                          <w:marTop w:val="0"/>
                                                                          <w:marBottom w:val="0"/>
                                                                          <w:divBdr>
                                                                            <w:top w:val="none" w:sz="0" w:space="0" w:color="auto"/>
                                                                            <w:left w:val="none" w:sz="0" w:space="0" w:color="auto"/>
                                                                            <w:bottom w:val="none" w:sz="0" w:space="0" w:color="auto"/>
                                                                            <w:right w:val="none" w:sz="0" w:space="0" w:color="auto"/>
                                                                          </w:divBdr>
                                                                          <w:divsChild>
                                                                            <w:div w:id="126359809">
                                                                              <w:marLeft w:val="0"/>
                                                                              <w:marRight w:val="0"/>
                                                                              <w:marTop w:val="0"/>
                                                                              <w:marBottom w:val="0"/>
                                                                              <w:divBdr>
                                                                                <w:top w:val="none" w:sz="0" w:space="0" w:color="auto"/>
                                                                                <w:left w:val="none" w:sz="0" w:space="0" w:color="auto"/>
                                                                                <w:bottom w:val="none" w:sz="0" w:space="0" w:color="auto"/>
                                                                                <w:right w:val="none" w:sz="0" w:space="0" w:color="auto"/>
                                                                              </w:divBdr>
                                                                            </w:div>
                                                                            <w:div w:id="12940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5207">
                                                                      <w:marLeft w:val="0"/>
                                                                      <w:marRight w:val="0"/>
                                                                      <w:marTop w:val="0"/>
                                                                      <w:marBottom w:val="0"/>
                                                                      <w:divBdr>
                                                                        <w:top w:val="none" w:sz="0" w:space="0" w:color="auto"/>
                                                                        <w:left w:val="none" w:sz="0" w:space="0" w:color="auto"/>
                                                                        <w:bottom w:val="none" w:sz="0" w:space="0" w:color="auto"/>
                                                                        <w:right w:val="none" w:sz="0" w:space="0" w:color="auto"/>
                                                                      </w:divBdr>
                                                                    </w:div>
                                                                    <w:div w:id="25450496">
                                                                      <w:marLeft w:val="0"/>
                                                                      <w:marRight w:val="0"/>
                                                                      <w:marTop w:val="0"/>
                                                                      <w:marBottom w:val="0"/>
                                                                      <w:divBdr>
                                                                        <w:top w:val="none" w:sz="0" w:space="0" w:color="auto"/>
                                                                        <w:left w:val="none" w:sz="0" w:space="0" w:color="auto"/>
                                                                        <w:bottom w:val="none" w:sz="0" w:space="0" w:color="auto"/>
                                                                        <w:right w:val="none" w:sz="0" w:space="0" w:color="auto"/>
                                                                      </w:divBdr>
                                                                    </w:div>
                                                                    <w:div w:id="410543331">
                                                                      <w:marLeft w:val="0"/>
                                                                      <w:marRight w:val="0"/>
                                                                      <w:marTop w:val="0"/>
                                                                      <w:marBottom w:val="0"/>
                                                                      <w:divBdr>
                                                                        <w:top w:val="none" w:sz="0" w:space="0" w:color="auto"/>
                                                                        <w:left w:val="none" w:sz="0" w:space="0" w:color="auto"/>
                                                                        <w:bottom w:val="none" w:sz="0" w:space="0" w:color="auto"/>
                                                                        <w:right w:val="none" w:sz="0" w:space="0" w:color="auto"/>
                                                                      </w:divBdr>
                                                                    </w:div>
                                                                    <w:div w:id="595252">
                                                                      <w:marLeft w:val="0"/>
                                                                      <w:marRight w:val="0"/>
                                                                      <w:marTop w:val="0"/>
                                                                      <w:marBottom w:val="0"/>
                                                                      <w:divBdr>
                                                                        <w:top w:val="none" w:sz="0" w:space="0" w:color="auto"/>
                                                                        <w:left w:val="none" w:sz="0" w:space="0" w:color="auto"/>
                                                                        <w:bottom w:val="none" w:sz="0" w:space="0" w:color="auto"/>
                                                                        <w:right w:val="none" w:sz="0" w:space="0" w:color="auto"/>
                                                                      </w:divBdr>
                                                                    </w:div>
                                                                    <w:div w:id="160508839">
                                                                      <w:marLeft w:val="0"/>
                                                                      <w:marRight w:val="0"/>
                                                                      <w:marTop w:val="0"/>
                                                                      <w:marBottom w:val="0"/>
                                                                      <w:divBdr>
                                                                        <w:top w:val="none" w:sz="0" w:space="0" w:color="auto"/>
                                                                        <w:left w:val="none" w:sz="0" w:space="0" w:color="auto"/>
                                                                        <w:bottom w:val="none" w:sz="0" w:space="0" w:color="auto"/>
                                                                        <w:right w:val="none" w:sz="0" w:space="0" w:color="auto"/>
                                                                      </w:divBdr>
                                                                    </w:div>
                                                                    <w:div w:id="787120023">
                                                                      <w:marLeft w:val="0"/>
                                                                      <w:marRight w:val="0"/>
                                                                      <w:marTop w:val="0"/>
                                                                      <w:marBottom w:val="0"/>
                                                                      <w:divBdr>
                                                                        <w:top w:val="none" w:sz="0" w:space="0" w:color="auto"/>
                                                                        <w:left w:val="none" w:sz="0" w:space="0" w:color="auto"/>
                                                                        <w:bottom w:val="none" w:sz="0" w:space="0" w:color="auto"/>
                                                                        <w:right w:val="none" w:sz="0" w:space="0" w:color="auto"/>
                                                                      </w:divBdr>
                                                                    </w:div>
                                                                    <w:div w:id="1638338690">
                                                                      <w:marLeft w:val="0"/>
                                                                      <w:marRight w:val="0"/>
                                                                      <w:marTop w:val="0"/>
                                                                      <w:marBottom w:val="0"/>
                                                                      <w:divBdr>
                                                                        <w:top w:val="none" w:sz="0" w:space="0" w:color="auto"/>
                                                                        <w:left w:val="none" w:sz="0" w:space="0" w:color="auto"/>
                                                                        <w:bottom w:val="none" w:sz="0" w:space="0" w:color="auto"/>
                                                                        <w:right w:val="none" w:sz="0" w:space="0" w:color="auto"/>
                                                                      </w:divBdr>
                                                                      <w:divsChild>
                                                                        <w:div w:id="2051999264">
                                                                          <w:marLeft w:val="0"/>
                                                                          <w:marRight w:val="0"/>
                                                                          <w:marTop w:val="0"/>
                                                                          <w:marBottom w:val="0"/>
                                                                          <w:divBdr>
                                                                            <w:top w:val="none" w:sz="0" w:space="0" w:color="auto"/>
                                                                            <w:left w:val="none" w:sz="0" w:space="0" w:color="auto"/>
                                                                            <w:bottom w:val="none" w:sz="0" w:space="0" w:color="auto"/>
                                                                            <w:right w:val="none" w:sz="0" w:space="0" w:color="auto"/>
                                                                          </w:divBdr>
                                                                        </w:div>
                                                                        <w:div w:id="198707147">
                                                                          <w:marLeft w:val="0"/>
                                                                          <w:marRight w:val="0"/>
                                                                          <w:marTop w:val="0"/>
                                                                          <w:marBottom w:val="0"/>
                                                                          <w:divBdr>
                                                                            <w:top w:val="none" w:sz="0" w:space="0" w:color="auto"/>
                                                                            <w:left w:val="none" w:sz="0" w:space="0" w:color="auto"/>
                                                                            <w:bottom w:val="none" w:sz="0" w:space="0" w:color="auto"/>
                                                                            <w:right w:val="none" w:sz="0" w:space="0" w:color="auto"/>
                                                                          </w:divBdr>
                                                                        </w:div>
                                                                        <w:div w:id="2060592092">
                                                                          <w:marLeft w:val="0"/>
                                                                          <w:marRight w:val="0"/>
                                                                          <w:marTop w:val="0"/>
                                                                          <w:marBottom w:val="0"/>
                                                                          <w:divBdr>
                                                                            <w:top w:val="none" w:sz="0" w:space="0" w:color="auto"/>
                                                                            <w:left w:val="none" w:sz="0" w:space="0" w:color="auto"/>
                                                                            <w:bottom w:val="none" w:sz="0" w:space="0" w:color="auto"/>
                                                                            <w:right w:val="none" w:sz="0" w:space="0" w:color="auto"/>
                                                                          </w:divBdr>
                                                                        </w:div>
                                                                        <w:div w:id="1147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125478">
                                                      <w:marLeft w:val="0"/>
                                                      <w:marRight w:val="0"/>
                                                      <w:marTop w:val="0"/>
                                                      <w:marBottom w:val="0"/>
                                                      <w:divBdr>
                                                        <w:top w:val="none" w:sz="0" w:space="0" w:color="auto"/>
                                                        <w:left w:val="none" w:sz="0" w:space="0" w:color="auto"/>
                                                        <w:bottom w:val="none" w:sz="0" w:space="0" w:color="auto"/>
                                                        <w:right w:val="none" w:sz="0" w:space="0" w:color="auto"/>
                                                      </w:divBdr>
                                                      <w:divsChild>
                                                        <w:div w:id="2137868825">
                                                          <w:marLeft w:val="0"/>
                                                          <w:marRight w:val="0"/>
                                                          <w:marTop w:val="0"/>
                                                          <w:marBottom w:val="0"/>
                                                          <w:divBdr>
                                                            <w:top w:val="none" w:sz="0" w:space="0" w:color="auto"/>
                                                            <w:left w:val="none" w:sz="0" w:space="0" w:color="auto"/>
                                                            <w:bottom w:val="none" w:sz="0" w:space="0" w:color="auto"/>
                                                            <w:right w:val="none" w:sz="0" w:space="0" w:color="auto"/>
                                                          </w:divBdr>
                                                          <w:divsChild>
                                                            <w:div w:id="325204212">
                                                              <w:marLeft w:val="0"/>
                                                              <w:marRight w:val="0"/>
                                                              <w:marTop w:val="0"/>
                                                              <w:marBottom w:val="0"/>
                                                              <w:divBdr>
                                                                <w:top w:val="none" w:sz="0" w:space="0" w:color="auto"/>
                                                                <w:left w:val="none" w:sz="0" w:space="0" w:color="auto"/>
                                                                <w:bottom w:val="none" w:sz="0" w:space="0" w:color="auto"/>
                                                                <w:right w:val="none" w:sz="0" w:space="0" w:color="auto"/>
                                                              </w:divBdr>
                                                              <w:divsChild>
                                                                <w:div w:id="1578242350">
                                                                  <w:marLeft w:val="0"/>
                                                                  <w:marRight w:val="75"/>
                                                                  <w:marTop w:val="0"/>
                                                                  <w:marBottom w:val="0"/>
                                                                  <w:divBdr>
                                                                    <w:top w:val="none" w:sz="0" w:space="0" w:color="auto"/>
                                                                    <w:left w:val="none" w:sz="0" w:space="0" w:color="auto"/>
                                                                    <w:bottom w:val="none" w:sz="0" w:space="0" w:color="auto"/>
                                                                    <w:right w:val="none" w:sz="0" w:space="0" w:color="auto"/>
                                                                  </w:divBdr>
                                                                </w:div>
                                                                <w:div w:id="238254599">
                                                                  <w:marLeft w:val="0"/>
                                                                  <w:marRight w:val="0"/>
                                                                  <w:marTop w:val="0"/>
                                                                  <w:marBottom w:val="0"/>
                                                                  <w:divBdr>
                                                                    <w:top w:val="none" w:sz="0" w:space="0" w:color="auto"/>
                                                                    <w:left w:val="none" w:sz="0" w:space="0" w:color="auto"/>
                                                                    <w:bottom w:val="none" w:sz="0" w:space="0" w:color="auto"/>
                                                                    <w:right w:val="none" w:sz="0" w:space="0" w:color="auto"/>
                                                                  </w:divBdr>
                                                                  <w:divsChild>
                                                                    <w:div w:id="5917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4333">
                                                      <w:marLeft w:val="0"/>
                                                      <w:marRight w:val="0"/>
                                                      <w:marTop w:val="0"/>
                                                      <w:marBottom w:val="0"/>
                                                      <w:divBdr>
                                                        <w:top w:val="none" w:sz="0" w:space="0" w:color="auto"/>
                                                        <w:left w:val="none" w:sz="0" w:space="0" w:color="auto"/>
                                                        <w:bottom w:val="none" w:sz="0" w:space="0" w:color="auto"/>
                                                        <w:right w:val="none" w:sz="0" w:space="0" w:color="auto"/>
                                                      </w:divBdr>
                                                      <w:divsChild>
                                                        <w:div w:id="1757748313">
                                                          <w:marLeft w:val="0"/>
                                                          <w:marRight w:val="0"/>
                                                          <w:marTop w:val="0"/>
                                                          <w:marBottom w:val="0"/>
                                                          <w:divBdr>
                                                            <w:top w:val="none" w:sz="0" w:space="0" w:color="auto"/>
                                                            <w:left w:val="none" w:sz="0" w:space="0" w:color="auto"/>
                                                            <w:bottom w:val="none" w:sz="0" w:space="0" w:color="auto"/>
                                                            <w:right w:val="none" w:sz="0" w:space="0" w:color="auto"/>
                                                          </w:divBdr>
                                                          <w:divsChild>
                                                            <w:div w:id="829054682">
                                                              <w:marLeft w:val="0"/>
                                                              <w:marRight w:val="0"/>
                                                              <w:marTop w:val="0"/>
                                                              <w:marBottom w:val="0"/>
                                                              <w:divBdr>
                                                                <w:top w:val="none" w:sz="0" w:space="0" w:color="auto"/>
                                                                <w:left w:val="none" w:sz="0" w:space="0" w:color="auto"/>
                                                                <w:bottom w:val="none" w:sz="0" w:space="0" w:color="auto"/>
                                                                <w:right w:val="none" w:sz="0" w:space="0" w:color="auto"/>
                                                              </w:divBdr>
                                                              <w:divsChild>
                                                                <w:div w:id="237516958">
                                                                  <w:marLeft w:val="0"/>
                                                                  <w:marRight w:val="75"/>
                                                                  <w:marTop w:val="0"/>
                                                                  <w:marBottom w:val="0"/>
                                                                  <w:divBdr>
                                                                    <w:top w:val="none" w:sz="0" w:space="0" w:color="auto"/>
                                                                    <w:left w:val="none" w:sz="0" w:space="0" w:color="auto"/>
                                                                    <w:bottom w:val="none" w:sz="0" w:space="0" w:color="auto"/>
                                                                    <w:right w:val="none" w:sz="0" w:space="0" w:color="auto"/>
                                                                  </w:divBdr>
                                                                </w:div>
                                                                <w:div w:id="2077121737">
                                                                  <w:marLeft w:val="0"/>
                                                                  <w:marRight w:val="0"/>
                                                                  <w:marTop w:val="0"/>
                                                                  <w:marBottom w:val="0"/>
                                                                  <w:divBdr>
                                                                    <w:top w:val="none" w:sz="0" w:space="0" w:color="auto"/>
                                                                    <w:left w:val="none" w:sz="0" w:space="0" w:color="auto"/>
                                                                    <w:bottom w:val="none" w:sz="0" w:space="0" w:color="auto"/>
                                                                    <w:right w:val="none" w:sz="0" w:space="0" w:color="auto"/>
                                                                  </w:divBdr>
                                                                  <w:divsChild>
                                                                    <w:div w:id="501094175">
                                                                      <w:marLeft w:val="0"/>
                                                                      <w:marRight w:val="0"/>
                                                                      <w:marTop w:val="0"/>
                                                                      <w:marBottom w:val="0"/>
                                                                      <w:divBdr>
                                                                        <w:top w:val="none" w:sz="0" w:space="0" w:color="auto"/>
                                                                        <w:left w:val="none" w:sz="0" w:space="0" w:color="auto"/>
                                                                        <w:bottom w:val="none" w:sz="0" w:space="0" w:color="auto"/>
                                                                        <w:right w:val="none" w:sz="0" w:space="0" w:color="auto"/>
                                                                      </w:divBdr>
                                                                      <w:divsChild>
                                                                        <w:div w:id="39937078">
                                                                          <w:marLeft w:val="0"/>
                                                                          <w:marRight w:val="0"/>
                                                                          <w:marTop w:val="0"/>
                                                                          <w:marBottom w:val="0"/>
                                                                          <w:divBdr>
                                                                            <w:top w:val="none" w:sz="0" w:space="0" w:color="auto"/>
                                                                            <w:left w:val="none" w:sz="0" w:space="0" w:color="auto"/>
                                                                            <w:bottom w:val="none" w:sz="0" w:space="0" w:color="auto"/>
                                                                            <w:right w:val="none" w:sz="0" w:space="0" w:color="auto"/>
                                                                          </w:divBdr>
                                                                          <w:divsChild>
                                                                            <w:div w:id="634413954">
                                                                              <w:marLeft w:val="0"/>
                                                                              <w:marRight w:val="0"/>
                                                                              <w:marTop w:val="0"/>
                                                                              <w:marBottom w:val="0"/>
                                                                              <w:divBdr>
                                                                                <w:top w:val="none" w:sz="0" w:space="0" w:color="auto"/>
                                                                                <w:left w:val="none" w:sz="0" w:space="0" w:color="auto"/>
                                                                                <w:bottom w:val="none" w:sz="0" w:space="0" w:color="auto"/>
                                                                                <w:right w:val="none" w:sz="0" w:space="0" w:color="auto"/>
                                                                              </w:divBdr>
                                                                            </w:div>
                                                                            <w:div w:id="526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9329">
                                                                      <w:marLeft w:val="0"/>
                                                                      <w:marRight w:val="0"/>
                                                                      <w:marTop w:val="0"/>
                                                                      <w:marBottom w:val="0"/>
                                                                      <w:divBdr>
                                                                        <w:top w:val="none" w:sz="0" w:space="0" w:color="auto"/>
                                                                        <w:left w:val="none" w:sz="0" w:space="0" w:color="auto"/>
                                                                        <w:bottom w:val="none" w:sz="0" w:space="0" w:color="auto"/>
                                                                        <w:right w:val="none" w:sz="0" w:space="0" w:color="auto"/>
                                                                      </w:divBdr>
                                                                    </w:div>
                                                                    <w:div w:id="294678714">
                                                                      <w:marLeft w:val="0"/>
                                                                      <w:marRight w:val="0"/>
                                                                      <w:marTop w:val="0"/>
                                                                      <w:marBottom w:val="0"/>
                                                                      <w:divBdr>
                                                                        <w:top w:val="none" w:sz="0" w:space="0" w:color="auto"/>
                                                                        <w:left w:val="none" w:sz="0" w:space="0" w:color="auto"/>
                                                                        <w:bottom w:val="none" w:sz="0" w:space="0" w:color="auto"/>
                                                                        <w:right w:val="none" w:sz="0" w:space="0" w:color="auto"/>
                                                                      </w:divBdr>
                                                                    </w:div>
                                                                    <w:div w:id="974221325">
                                                                      <w:marLeft w:val="0"/>
                                                                      <w:marRight w:val="0"/>
                                                                      <w:marTop w:val="0"/>
                                                                      <w:marBottom w:val="0"/>
                                                                      <w:divBdr>
                                                                        <w:top w:val="none" w:sz="0" w:space="0" w:color="auto"/>
                                                                        <w:left w:val="none" w:sz="0" w:space="0" w:color="auto"/>
                                                                        <w:bottom w:val="none" w:sz="0" w:space="0" w:color="auto"/>
                                                                        <w:right w:val="none" w:sz="0" w:space="0" w:color="auto"/>
                                                                      </w:divBdr>
                                                                    </w:div>
                                                                    <w:div w:id="15582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16086">
                                                      <w:marLeft w:val="0"/>
                                                      <w:marRight w:val="0"/>
                                                      <w:marTop w:val="0"/>
                                                      <w:marBottom w:val="0"/>
                                                      <w:divBdr>
                                                        <w:top w:val="none" w:sz="0" w:space="0" w:color="auto"/>
                                                        <w:left w:val="none" w:sz="0" w:space="0" w:color="auto"/>
                                                        <w:bottom w:val="none" w:sz="0" w:space="0" w:color="auto"/>
                                                        <w:right w:val="none" w:sz="0" w:space="0" w:color="auto"/>
                                                      </w:divBdr>
                                                      <w:divsChild>
                                                        <w:div w:id="2059013038">
                                                          <w:marLeft w:val="0"/>
                                                          <w:marRight w:val="0"/>
                                                          <w:marTop w:val="0"/>
                                                          <w:marBottom w:val="0"/>
                                                          <w:divBdr>
                                                            <w:top w:val="none" w:sz="0" w:space="0" w:color="auto"/>
                                                            <w:left w:val="none" w:sz="0" w:space="0" w:color="auto"/>
                                                            <w:bottom w:val="none" w:sz="0" w:space="0" w:color="auto"/>
                                                            <w:right w:val="none" w:sz="0" w:space="0" w:color="auto"/>
                                                          </w:divBdr>
                                                          <w:divsChild>
                                                            <w:div w:id="1414276172">
                                                              <w:marLeft w:val="0"/>
                                                              <w:marRight w:val="0"/>
                                                              <w:marTop w:val="0"/>
                                                              <w:marBottom w:val="0"/>
                                                              <w:divBdr>
                                                                <w:top w:val="none" w:sz="0" w:space="0" w:color="auto"/>
                                                                <w:left w:val="none" w:sz="0" w:space="0" w:color="auto"/>
                                                                <w:bottom w:val="none" w:sz="0" w:space="0" w:color="auto"/>
                                                                <w:right w:val="none" w:sz="0" w:space="0" w:color="auto"/>
                                                              </w:divBdr>
                                                              <w:divsChild>
                                                                <w:div w:id="493569928">
                                                                  <w:marLeft w:val="0"/>
                                                                  <w:marRight w:val="75"/>
                                                                  <w:marTop w:val="0"/>
                                                                  <w:marBottom w:val="0"/>
                                                                  <w:divBdr>
                                                                    <w:top w:val="none" w:sz="0" w:space="0" w:color="auto"/>
                                                                    <w:left w:val="none" w:sz="0" w:space="0" w:color="auto"/>
                                                                    <w:bottom w:val="none" w:sz="0" w:space="0" w:color="auto"/>
                                                                    <w:right w:val="none" w:sz="0" w:space="0" w:color="auto"/>
                                                                  </w:divBdr>
                                                                </w:div>
                                                                <w:div w:id="732850539">
                                                                  <w:marLeft w:val="0"/>
                                                                  <w:marRight w:val="0"/>
                                                                  <w:marTop w:val="0"/>
                                                                  <w:marBottom w:val="0"/>
                                                                  <w:divBdr>
                                                                    <w:top w:val="none" w:sz="0" w:space="0" w:color="auto"/>
                                                                    <w:left w:val="none" w:sz="0" w:space="0" w:color="auto"/>
                                                                    <w:bottom w:val="none" w:sz="0" w:space="0" w:color="auto"/>
                                                                    <w:right w:val="none" w:sz="0" w:space="0" w:color="auto"/>
                                                                  </w:divBdr>
                                                                  <w:divsChild>
                                                                    <w:div w:id="129639288">
                                                                      <w:marLeft w:val="0"/>
                                                                      <w:marRight w:val="0"/>
                                                                      <w:marTop w:val="0"/>
                                                                      <w:marBottom w:val="0"/>
                                                                      <w:divBdr>
                                                                        <w:top w:val="none" w:sz="0" w:space="0" w:color="auto"/>
                                                                        <w:left w:val="none" w:sz="0" w:space="0" w:color="auto"/>
                                                                        <w:bottom w:val="none" w:sz="0" w:space="0" w:color="auto"/>
                                                                        <w:right w:val="none" w:sz="0" w:space="0" w:color="auto"/>
                                                                      </w:divBdr>
                                                                      <w:divsChild>
                                                                        <w:div w:id="2064595734">
                                                                          <w:marLeft w:val="0"/>
                                                                          <w:marRight w:val="0"/>
                                                                          <w:marTop w:val="0"/>
                                                                          <w:marBottom w:val="0"/>
                                                                          <w:divBdr>
                                                                            <w:top w:val="none" w:sz="0" w:space="0" w:color="auto"/>
                                                                            <w:left w:val="none" w:sz="0" w:space="0" w:color="auto"/>
                                                                            <w:bottom w:val="none" w:sz="0" w:space="0" w:color="auto"/>
                                                                            <w:right w:val="none" w:sz="0" w:space="0" w:color="auto"/>
                                                                          </w:divBdr>
                                                                          <w:divsChild>
                                                                            <w:div w:id="1412461658">
                                                                              <w:marLeft w:val="0"/>
                                                                              <w:marRight w:val="0"/>
                                                                              <w:marTop w:val="0"/>
                                                                              <w:marBottom w:val="0"/>
                                                                              <w:divBdr>
                                                                                <w:top w:val="none" w:sz="0" w:space="0" w:color="auto"/>
                                                                                <w:left w:val="none" w:sz="0" w:space="0" w:color="auto"/>
                                                                                <w:bottom w:val="none" w:sz="0" w:space="0" w:color="auto"/>
                                                                                <w:right w:val="none" w:sz="0" w:space="0" w:color="auto"/>
                                                                              </w:divBdr>
                                                                            </w:div>
                                                                            <w:div w:id="1311599280">
                                                                              <w:marLeft w:val="0"/>
                                                                              <w:marRight w:val="0"/>
                                                                              <w:marTop w:val="0"/>
                                                                              <w:marBottom w:val="0"/>
                                                                              <w:divBdr>
                                                                                <w:top w:val="none" w:sz="0" w:space="0" w:color="auto"/>
                                                                                <w:left w:val="none" w:sz="0" w:space="0" w:color="auto"/>
                                                                                <w:bottom w:val="none" w:sz="0" w:space="0" w:color="auto"/>
                                                                                <w:right w:val="none" w:sz="0" w:space="0" w:color="auto"/>
                                                                              </w:divBdr>
                                                                            </w:div>
                                                                          </w:divsChild>
                                                                        </w:div>
                                                                        <w:div w:id="653686122">
                                                                          <w:marLeft w:val="0"/>
                                                                          <w:marRight w:val="0"/>
                                                                          <w:marTop w:val="0"/>
                                                                          <w:marBottom w:val="0"/>
                                                                          <w:divBdr>
                                                                            <w:top w:val="none" w:sz="0" w:space="0" w:color="auto"/>
                                                                            <w:left w:val="none" w:sz="0" w:space="0" w:color="auto"/>
                                                                            <w:bottom w:val="none" w:sz="0" w:space="0" w:color="auto"/>
                                                                            <w:right w:val="none" w:sz="0" w:space="0" w:color="auto"/>
                                                                          </w:divBdr>
                                                                          <w:divsChild>
                                                                            <w:div w:id="1700012418">
                                                                              <w:marLeft w:val="0"/>
                                                                              <w:marRight w:val="0"/>
                                                                              <w:marTop w:val="0"/>
                                                                              <w:marBottom w:val="0"/>
                                                                              <w:divBdr>
                                                                                <w:top w:val="none" w:sz="0" w:space="0" w:color="auto"/>
                                                                                <w:left w:val="none" w:sz="0" w:space="0" w:color="auto"/>
                                                                                <w:bottom w:val="none" w:sz="0" w:space="0" w:color="auto"/>
                                                                                <w:right w:val="none" w:sz="0" w:space="0" w:color="auto"/>
                                                                              </w:divBdr>
                                                                            </w:div>
                                                                            <w:div w:id="298608455">
                                                                              <w:marLeft w:val="0"/>
                                                                              <w:marRight w:val="0"/>
                                                                              <w:marTop w:val="0"/>
                                                                              <w:marBottom w:val="0"/>
                                                                              <w:divBdr>
                                                                                <w:top w:val="none" w:sz="0" w:space="0" w:color="auto"/>
                                                                                <w:left w:val="none" w:sz="0" w:space="0" w:color="auto"/>
                                                                                <w:bottom w:val="none" w:sz="0" w:space="0" w:color="auto"/>
                                                                                <w:right w:val="none" w:sz="0" w:space="0" w:color="auto"/>
                                                                              </w:divBdr>
                                                                            </w:div>
                                                                          </w:divsChild>
                                                                        </w:div>
                                                                        <w:div w:id="706178846">
                                                                          <w:marLeft w:val="0"/>
                                                                          <w:marRight w:val="0"/>
                                                                          <w:marTop w:val="0"/>
                                                                          <w:marBottom w:val="0"/>
                                                                          <w:divBdr>
                                                                            <w:top w:val="none" w:sz="0" w:space="0" w:color="auto"/>
                                                                            <w:left w:val="none" w:sz="0" w:space="0" w:color="auto"/>
                                                                            <w:bottom w:val="none" w:sz="0" w:space="0" w:color="auto"/>
                                                                            <w:right w:val="none" w:sz="0" w:space="0" w:color="auto"/>
                                                                          </w:divBdr>
                                                                          <w:divsChild>
                                                                            <w:div w:id="479661018">
                                                                              <w:marLeft w:val="0"/>
                                                                              <w:marRight w:val="0"/>
                                                                              <w:marTop w:val="0"/>
                                                                              <w:marBottom w:val="0"/>
                                                                              <w:divBdr>
                                                                                <w:top w:val="none" w:sz="0" w:space="0" w:color="auto"/>
                                                                                <w:left w:val="none" w:sz="0" w:space="0" w:color="auto"/>
                                                                                <w:bottom w:val="none" w:sz="0" w:space="0" w:color="auto"/>
                                                                                <w:right w:val="none" w:sz="0" w:space="0" w:color="auto"/>
                                                                              </w:divBdr>
                                                                            </w:div>
                                                                            <w:div w:id="10291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4799">
                                                                      <w:marLeft w:val="0"/>
                                                                      <w:marRight w:val="0"/>
                                                                      <w:marTop w:val="0"/>
                                                                      <w:marBottom w:val="0"/>
                                                                      <w:divBdr>
                                                                        <w:top w:val="none" w:sz="0" w:space="0" w:color="auto"/>
                                                                        <w:left w:val="none" w:sz="0" w:space="0" w:color="auto"/>
                                                                        <w:bottom w:val="none" w:sz="0" w:space="0" w:color="auto"/>
                                                                        <w:right w:val="none" w:sz="0" w:space="0" w:color="auto"/>
                                                                      </w:divBdr>
                                                                    </w:div>
                                                                    <w:div w:id="1502429593">
                                                                      <w:marLeft w:val="0"/>
                                                                      <w:marRight w:val="0"/>
                                                                      <w:marTop w:val="0"/>
                                                                      <w:marBottom w:val="0"/>
                                                                      <w:divBdr>
                                                                        <w:top w:val="none" w:sz="0" w:space="0" w:color="auto"/>
                                                                        <w:left w:val="none" w:sz="0" w:space="0" w:color="auto"/>
                                                                        <w:bottom w:val="none" w:sz="0" w:space="0" w:color="auto"/>
                                                                        <w:right w:val="none" w:sz="0" w:space="0" w:color="auto"/>
                                                                      </w:divBdr>
                                                                    </w:div>
                                                                    <w:div w:id="540898554">
                                                                      <w:marLeft w:val="0"/>
                                                                      <w:marRight w:val="0"/>
                                                                      <w:marTop w:val="0"/>
                                                                      <w:marBottom w:val="0"/>
                                                                      <w:divBdr>
                                                                        <w:top w:val="none" w:sz="0" w:space="0" w:color="auto"/>
                                                                        <w:left w:val="none" w:sz="0" w:space="0" w:color="auto"/>
                                                                        <w:bottom w:val="none" w:sz="0" w:space="0" w:color="auto"/>
                                                                        <w:right w:val="none" w:sz="0" w:space="0" w:color="auto"/>
                                                                      </w:divBdr>
                                                                    </w:div>
                                                                    <w:div w:id="1455951993">
                                                                      <w:marLeft w:val="0"/>
                                                                      <w:marRight w:val="0"/>
                                                                      <w:marTop w:val="0"/>
                                                                      <w:marBottom w:val="0"/>
                                                                      <w:divBdr>
                                                                        <w:top w:val="none" w:sz="0" w:space="0" w:color="auto"/>
                                                                        <w:left w:val="none" w:sz="0" w:space="0" w:color="auto"/>
                                                                        <w:bottom w:val="none" w:sz="0" w:space="0" w:color="auto"/>
                                                                        <w:right w:val="none" w:sz="0" w:space="0" w:color="auto"/>
                                                                      </w:divBdr>
                                                                    </w:div>
                                                                    <w:div w:id="2142648979">
                                                                      <w:marLeft w:val="0"/>
                                                                      <w:marRight w:val="0"/>
                                                                      <w:marTop w:val="0"/>
                                                                      <w:marBottom w:val="0"/>
                                                                      <w:divBdr>
                                                                        <w:top w:val="none" w:sz="0" w:space="0" w:color="auto"/>
                                                                        <w:left w:val="none" w:sz="0" w:space="0" w:color="auto"/>
                                                                        <w:bottom w:val="none" w:sz="0" w:space="0" w:color="auto"/>
                                                                        <w:right w:val="none" w:sz="0" w:space="0" w:color="auto"/>
                                                                      </w:divBdr>
                                                                    </w:div>
                                                                    <w:div w:id="608512444">
                                                                      <w:marLeft w:val="0"/>
                                                                      <w:marRight w:val="0"/>
                                                                      <w:marTop w:val="0"/>
                                                                      <w:marBottom w:val="0"/>
                                                                      <w:divBdr>
                                                                        <w:top w:val="none" w:sz="0" w:space="0" w:color="auto"/>
                                                                        <w:left w:val="none" w:sz="0" w:space="0" w:color="auto"/>
                                                                        <w:bottom w:val="none" w:sz="0" w:space="0" w:color="auto"/>
                                                                        <w:right w:val="none" w:sz="0" w:space="0" w:color="auto"/>
                                                                      </w:divBdr>
                                                                    </w:div>
                                                                    <w:div w:id="406804314">
                                                                      <w:marLeft w:val="0"/>
                                                                      <w:marRight w:val="0"/>
                                                                      <w:marTop w:val="0"/>
                                                                      <w:marBottom w:val="0"/>
                                                                      <w:divBdr>
                                                                        <w:top w:val="none" w:sz="0" w:space="0" w:color="auto"/>
                                                                        <w:left w:val="none" w:sz="0" w:space="0" w:color="auto"/>
                                                                        <w:bottom w:val="none" w:sz="0" w:space="0" w:color="auto"/>
                                                                        <w:right w:val="none" w:sz="0" w:space="0" w:color="auto"/>
                                                                      </w:divBdr>
                                                                      <w:divsChild>
                                                                        <w:div w:id="460198174">
                                                                          <w:marLeft w:val="0"/>
                                                                          <w:marRight w:val="0"/>
                                                                          <w:marTop w:val="0"/>
                                                                          <w:marBottom w:val="0"/>
                                                                          <w:divBdr>
                                                                            <w:top w:val="none" w:sz="0" w:space="0" w:color="auto"/>
                                                                            <w:left w:val="none" w:sz="0" w:space="0" w:color="auto"/>
                                                                            <w:bottom w:val="none" w:sz="0" w:space="0" w:color="auto"/>
                                                                            <w:right w:val="none" w:sz="0" w:space="0" w:color="auto"/>
                                                                          </w:divBdr>
                                                                        </w:div>
                                                                        <w:div w:id="842285645">
                                                                          <w:marLeft w:val="0"/>
                                                                          <w:marRight w:val="0"/>
                                                                          <w:marTop w:val="0"/>
                                                                          <w:marBottom w:val="0"/>
                                                                          <w:divBdr>
                                                                            <w:top w:val="none" w:sz="0" w:space="0" w:color="auto"/>
                                                                            <w:left w:val="none" w:sz="0" w:space="0" w:color="auto"/>
                                                                            <w:bottom w:val="none" w:sz="0" w:space="0" w:color="auto"/>
                                                                            <w:right w:val="none" w:sz="0" w:space="0" w:color="auto"/>
                                                                          </w:divBdr>
                                                                        </w:div>
                                                                        <w:div w:id="750977848">
                                                                          <w:marLeft w:val="0"/>
                                                                          <w:marRight w:val="0"/>
                                                                          <w:marTop w:val="0"/>
                                                                          <w:marBottom w:val="0"/>
                                                                          <w:divBdr>
                                                                            <w:top w:val="none" w:sz="0" w:space="0" w:color="auto"/>
                                                                            <w:left w:val="none" w:sz="0" w:space="0" w:color="auto"/>
                                                                            <w:bottom w:val="none" w:sz="0" w:space="0" w:color="auto"/>
                                                                            <w:right w:val="none" w:sz="0" w:space="0" w:color="auto"/>
                                                                          </w:divBdr>
                                                                        </w:div>
                                                                        <w:div w:id="3615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822694">
      <w:bodyDiv w:val="1"/>
      <w:marLeft w:val="0"/>
      <w:marRight w:val="0"/>
      <w:marTop w:val="0"/>
      <w:marBottom w:val="0"/>
      <w:divBdr>
        <w:top w:val="none" w:sz="0" w:space="0" w:color="auto"/>
        <w:left w:val="none" w:sz="0" w:space="0" w:color="auto"/>
        <w:bottom w:val="none" w:sz="0" w:space="0" w:color="auto"/>
        <w:right w:val="none" w:sz="0" w:space="0" w:color="auto"/>
      </w:divBdr>
      <w:divsChild>
        <w:div w:id="1057899763">
          <w:marLeft w:val="0"/>
          <w:marRight w:val="0"/>
          <w:marTop w:val="0"/>
          <w:marBottom w:val="0"/>
          <w:divBdr>
            <w:top w:val="none" w:sz="0" w:space="0" w:color="auto"/>
            <w:left w:val="none" w:sz="0" w:space="0" w:color="auto"/>
            <w:bottom w:val="none" w:sz="0" w:space="0" w:color="auto"/>
            <w:right w:val="none" w:sz="0" w:space="0" w:color="auto"/>
          </w:divBdr>
          <w:divsChild>
            <w:div w:id="411900798">
              <w:marLeft w:val="0"/>
              <w:marRight w:val="0"/>
              <w:marTop w:val="0"/>
              <w:marBottom w:val="0"/>
              <w:divBdr>
                <w:top w:val="none" w:sz="0" w:space="0" w:color="auto"/>
                <w:left w:val="none" w:sz="0" w:space="0" w:color="auto"/>
                <w:bottom w:val="none" w:sz="0" w:space="0" w:color="auto"/>
                <w:right w:val="none" w:sz="0" w:space="0" w:color="auto"/>
              </w:divBdr>
              <w:divsChild>
                <w:div w:id="1024746240">
                  <w:marLeft w:val="0"/>
                  <w:marRight w:val="0"/>
                  <w:marTop w:val="0"/>
                  <w:marBottom w:val="0"/>
                  <w:divBdr>
                    <w:top w:val="none" w:sz="0" w:space="0" w:color="auto"/>
                    <w:left w:val="none" w:sz="0" w:space="0" w:color="auto"/>
                    <w:bottom w:val="none" w:sz="0" w:space="0" w:color="auto"/>
                    <w:right w:val="none" w:sz="0" w:space="0" w:color="auto"/>
                  </w:divBdr>
                  <w:divsChild>
                    <w:div w:id="553660307">
                      <w:marLeft w:val="0"/>
                      <w:marRight w:val="0"/>
                      <w:marTop w:val="0"/>
                      <w:marBottom w:val="0"/>
                      <w:divBdr>
                        <w:top w:val="none" w:sz="0" w:space="0" w:color="auto"/>
                        <w:left w:val="none" w:sz="0" w:space="0" w:color="auto"/>
                        <w:bottom w:val="none" w:sz="0" w:space="0" w:color="auto"/>
                        <w:right w:val="none" w:sz="0" w:space="0" w:color="auto"/>
                      </w:divBdr>
                      <w:divsChild>
                        <w:div w:id="1025599483">
                          <w:marLeft w:val="0"/>
                          <w:marRight w:val="0"/>
                          <w:marTop w:val="0"/>
                          <w:marBottom w:val="0"/>
                          <w:divBdr>
                            <w:top w:val="none" w:sz="0" w:space="0" w:color="auto"/>
                            <w:left w:val="none" w:sz="0" w:space="0" w:color="auto"/>
                            <w:bottom w:val="none" w:sz="0" w:space="0" w:color="auto"/>
                            <w:right w:val="none" w:sz="0" w:space="0" w:color="auto"/>
                          </w:divBdr>
                          <w:divsChild>
                            <w:div w:id="467671944">
                              <w:marLeft w:val="0"/>
                              <w:marRight w:val="0"/>
                              <w:marTop w:val="0"/>
                              <w:marBottom w:val="0"/>
                              <w:divBdr>
                                <w:top w:val="none" w:sz="0" w:space="0" w:color="auto"/>
                                <w:left w:val="none" w:sz="0" w:space="0" w:color="auto"/>
                                <w:bottom w:val="none" w:sz="0" w:space="0" w:color="auto"/>
                                <w:right w:val="none" w:sz="0" w:space="0" w:color="auto"/>
                              </w:divBdr>
                              <w:divsChild>
                                <w:div w:id="1661739004">
                                  <w:marLeft w:val="0"/>
                                  <w:marRight w:val="0"/>
                                  <w:marTop w:val="0"/>
                                  <w:marBottom w:val="0"/>
                                  <w:divBdr>
                                    <w:top w:val="none" w:sz="0" w:space="0" w:color="auto"/>
                                    <w:left w:val="none" w:sz="0" w:space="0" w:color="auto"/>
                                    <w:bottom w:val="none" w:sz="0" w:space="0" w:color="auto"/>
                                    <w:right w:val="none" w:sz="0" w:space="0" w:color="auto"/>
                                  </w:divBdr>
                                  <w:divsChild>
                                    <w:div w:id="763961132">
                                      <w:marLeft w:val="0"/>
                                      <w:marRight w:val="0"/>
                                      <w:marTop w:val="0"/>
                                      <w:marBottom w:val="0"/>
                                      <w:divBdr>
                                        <w:top w:val="none" w:sz="0" w:space="0" w:color="auto"/>
                                        <w:left w:val="none" w:sz="0" w:space="0" w:color="auto"/>
                                        <w:bottom w:val="none" w:sz="0" w:space="0" w:color="auto"/>
                                        <w:right w:val="none" w:sz="0" w:space="0" w:color="auto"/>
                                      </w:divBdr>
                                      <w:divsChild>
                                        <w:div w:id="1761483889">
                                          <w:marLeft w:val="0"/>
                                          <w:marRight w:val="0"/>
                                          <w:marTop w:val="0"/>
                                          <w:marBottom w:val="0"/>
                                          <w:divBdr>
                                            <w:top w:val="none" w:sz="0" w:space="0" w:color="auto"/>
                                            <w:left w:val="none" w:sz="0" w:space="0" w:color="auto"/>
                                            <w:bottom w:val="none" w:sz="0" w:space="0" w:color="auto"/>
                                            <w:right w:val="none" w:sz="0" w:space="0" w:color="auto"/>
                                          </w:divBdr>
                                          <w:divsChild>
                                            <w:div w:id="768895757">
                                              <w:marLeft w:val="0"/>
                                              <w:marRight w:val="0"/>
                                              <w:marTop w:val="0"/>
                                              <w:marBottom w:val="0"/>
                                              <w:divBdr>
                                                <w:top w:val="none" w:sz="0" w:space="0" w:color="auto"/>
                                                <w:left w:val="none" w:sz="0" w:space="0" w:color="auto"/>
                                                <w:bottom w:val="none" w:sz="0" w:space="0" w:color="auto"/>
                                                <w:right w:val="none" w:sz="0" w:space="0" w:color="auto"/>
                                              </w:divBdr>
                                              <w:divsChild>
                                                <w:div w:id="10400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7283">
      <w:bodyDiv w:val="1"/>
      <w:marLeft w:val="0"/>
      <w:marRight w:val="0"/>
      <w:marTop w:val="0"/>
      <w:marBottom w:val="0"/>
      <w:divBdr>
        <w:top w:val="none" w:sz="0" w:space="0" w:color="auto"/>
        <w:left w:val="none" w:sz="0" w:space="0" w:color="auto"/>
        <w:bottom w:val="none" w:sz="0" w:space="0" w:color="auto"/>
        <w:right w:val="none" w:sz="0" w:space="0" w:color="auto"/>
      </w:divBdr>
      <w:divsChild>
        <w:div w:id="741486574">
          <w:marLeft w:val="0"/>
          <w:marRight w:val="0"/>
          <w:marTop w:val="0"/>
          <w:marBottom w:val="0"/>
          <w:divBdr>
            <w:top w:val="none" w:sz="0" w:space="0" w:color="auto"/>
            <w:left w:val="none" w:sz="0" w:space="0" w:color="auto"/>
            <w:bottom w:val="none" w:sz="0" w:space="0" w:color="auto"/>
            <w:right w:val="none" w:sz="0" w:space="0" w:color="auto"/>
          </w:divBdr>
          <w:divsChild>
            <w:div w:id="796991988">
              <w:marLeft w:val="0"/>
              <w:marRight w:val="0"/>
              <w:marTop w:val="0"/>
              <w:marBottom w:val="0"/>
              <w:divBdr>
                <w:top w:val="none" w:sz="0" w:space="0" w:color="auto"/>
                <w:left w:val="none" w:sz="0" w:space="0" w:color="auto"/>
                <w:bottom w:val="none" w:sz="0" w:space="0" w:color="auto"/>
                <w:right w:val="none" w:sz="0" w:space="0" w:color="auto"/>
              </w:divBdr>
              <w:divsChild>
                <w:div w:id="1634018898">
                  <w:marLeft w:val="0"/>
                  <w:marRight w:val="0"/>
                  <w:marTop w:val="0"/>
                  <w:marBottom w:val="0"/>
                  <w:divBdr>
                    <w:top w:val="none" w:sz="0" w:space="0" w:color="auto"/>
                    <w:left w:val="none" w:sz="0" w:space="0" w:color="auto"/>
                    <w:bottom w:val="none" w:sz="0" w:space="0" w:color="auto"/>
                    <w:right w:val="none" w:sz="0" w:space="0" w:color="auto"/>
                  </w:divBdr>
                  <w:divsChild>
                    <w:div w:id="297956292">
                      <w:marLeft w:val="0"/>
                      <w:marRight w:val="0"/>
                      <w:marTop w:val="0"/>
                      <w:marBottom w:val="0"/>
                      <w:divBdr>
                        <w:top w:val="none" w:sz="0" w:space="0" w:color="auto"/>
                        <w:left w:val="none" w:sz="0" w:space="0" w:color="auto"/>
                        <w:bottom w:val="none" w:sz="0" w:space="0" w:color="auto"/>
                        <w:right w:val="none" w:sz="0" w:space="0" w:color="auto"/>
                      </w:divBdr>
                      <w:divsChild>
                        <w:div w:id="2076858585">
                          <w:marLeft w:val="0"/>
                          <w:marRight w:val="0"/>
                          <w:marTop w:val="0"/>
                          <w:marBottom w:val="0"/>
                          <w:divBdr>
                            <w:top w:val="none" w:sz="0" w:space="0" w:color="auto"/>
                            <w:left w:val="none" w:sz="0" w:space="0" w:color="auto"/>
                            <w:bottom w:val="none" w:sz="0" w:space="0" w:color="auto"/>
                            <w:right w:val="none" w:sz="0" w:space="0" w:color="auto"/>
                          </w:divBdr>
                          <w:divsChild>
                            <w:div w:id="2134520689">
                              <w:marLeft w:val="0"/>
                              <w:marRight w:val="0"/>
                              <w:marTop w:val="0"/>
                              <w:marBottom w:val="0"/>
                              <w:divBdr>
                                <w:top w:val="none" w:sz="0" w:space="0" w:color="auto"/>
                                <w:left w:val="none" w:sz="0" w:space="0" w:color="auto"/>
                                <w:bottom w:val="none" w:sz="0" w:space="0" w:color="auto"/>
                                <w:right w:val="none" w:sz="0" w:space="0" w:color="auto"/>
                              </w:divBdr>
                              <w:divsChild>
                                <w:div w:id="204828776">
                                  <w:marLeft w:val="0"/>
                                  <w:marRight w:val="0"/>
                                  <w:marTop w:val="0"/>
                                  <w:marBottom w:val="0"/>
                                  <w:divBdr>
                                    <w:top w:val="none" w:sz="0" w:space="0" w:color="auto"/>
                                    <w:left w:val="none" w:sz="0" w:space="0" w:color="auto"/>
                                    <w:bottom w:val="none" w:sz="0" w:space="0" w:color="auto"/>
                                    <w:right w:val="none" w:sz="0" w:space="0" w:color="auto"/>
                                  </w:divBdr>
                                  <w:divsChild>
                                    <w:div w:id="838665700">
                                      <w:marLeft w:val="0"/>
                                      <w:marRight w:val="0"/>
                                      <w:marTop w:val="0"/>
                                      <w:marBottom w:val="0"/>
                                      <w:divBdr>
                                        <w:top w:val="none" w:sz="0" w:space="0" w:color="auto"/>
                                        <w:left w:val="none" w:sz="0" w:space="0" w:color="auto"/>
                                        <w:bottom w:val="none" w:sz="0" w:space="0" w:color="auto"/>
                                        <w:right w:val="none" w:sz="0" w:space="0" w:color="auto"/>
                                      </w:divBdr>
                                      <w:divsChild>
                                        <w:div w:id="678969847">
                                          <w:marLeft w:val="0"/>
                                          <w:marRight w:val="0"/>
                                          <w:marTop w:val="0"/>
                                          <w:marBottom w:val="0"/>
                                          <w:divBdr>
                                            <w:top w:val="none" w:sz="0" w:space="0" w:color="auto"/>
                                            <w:left w:val="none" w:sz="0" w:space="0" w:color="auto"/>
                                            <w:bottom w:val="none" w:sz="0" w:space="0" w:color="auto"/>
                                            <w:right w:val="none" w:sz="0" w:space="0" w:color="auto"/>
                                          </w:divBdr>
                                          <w:divsChild>
                                            <w:div w:id="1631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p.silverchair-cdn.com/oup/backfile/Content_public/Journal/rheumatology/56/2/10.1093_rheumatology_kew308/3/kew308_Supp.docx?Expires=1490895644&amp;Signature=J-6qP8jmdNIop8bEK5WKFJhZM5nJnFytXN-yqb8MqiHbHMVhFPpEQixl2UeuHJLpFNfDtNUOSYDau7Ermp7S1g5Ce-rHbBOvPXL7DF05T8zU4mavuIaiNj6rKU3YnObdCyfuWJfWG7L2tMg7dcnNEmGGNDjGIytm~p3dbTqkRHykzxRm7chHrHU7jD4z8sTEn49~EbhrUWYKSQqeDZKpqHDYDSwHt0q5oKXIuZg0PQiIv72wdbDoNRfiErR4uu0tHqMWYn5LicYWId6kNia5KlV6y4MdzuYb9e8aUaxlOypwD6uFDzg85ugMCwSU1RTseKGlJ0IdgKdZgYX9Ji58uQ__&amp;Key-Pair-Id=APKAIUCZBIA4LVPAVW3Q" TargetMode="External"/><Relationship Id="rId13" Type="http://schemas.openxmlformats.org/officeDocument/2006/relationships/hyperlink" Target="http://www.nao.org.uk/report/services-for-people-with-rheumatoid-arthriti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up.silverchair-cdn.com/oup/backfile/Content_public/Journal/rheumatology/56/2/10.1093_rheumatology_kew308/3/kew308_Supp.docx?Expires=1490895644&amp;Signature=J-6qP8jmdNIop8bEK5WKFJhZM5nJnFytXN-yqb8MqiHbHMVhFPpEQixl2UeuHJLpFNfDtNUOSYDau7Ermp7S1g5Ce-rHbBOvPXL7DF05T8zU4mavuIaiNj6rKU3YnObdCyfuWJfWG7L2tMg7dcnNEmGGNDjGIytm~p3dbTqkRHykzxRm7chHrHU7jD4z8sTEn49~EbhrUWYKSQqeDZKpqHDYDSwHt0q5oKXIuZg0PQiIv72wdbDoNRfiErR4uu0tHqMWYn5LicYWId6kNia5KlV6y4MdzuYb9e8aUaxlOypwD6uFDzg85ugMCwSU1RTseKGlJ0IdgKdZgYX9Ji58uQ__&amp;Key-Pair-Id=APKAIUCZBIA4LVPAVW3Q"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136/bmj.h1481" TargetMode="External"/><Relationship Id="rId1" Type="http://schemas.openxmlformats.org/officeDocument/2006/relationships/numbering" Target="numbering.xml"/><Relationship Id="rId6" Type="http://schemas.openxmlformats.org/officeDocument/2006/relationships/hyperlink" Target="mailto:Jo.ledingham@porthosp.mhs.uk"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ice.org.uk/guidance/qs33"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p.silverchair-cdn.com/oup/backfile/Content_public/Journal/rheumatology/56/2/10.1093_rheumatology_kew308/3/kew308_Supp.docx?Expires=1490895644&amp;Signature=J-6qP8jmdNIop8bEK5WKFJhZM5nJnFytXN-yqb8MqiHbHMVhFPpEQixl2UeuHJLpFNfDtNUOSYDau7Ermp7S1g5Ce-rHbBOvPXL7DF05T8zU4mavuIaiNj6rKU3YnObdCyfuWJfWG7L2tMg7dcnNEmGGNDjGIytm~p3dbTqkRHykzxRm7chHrHU7jD4z8sTEn49~EbhrUWYKSQqeDZKpqHDYDSwHt0q5oKXIuZg0PQiIv72wdbDoNRfiErR4uu0tHqMWYn5LicYWId6kNia5KlV6y4MdzuYb9e8aUaxlOypwD6uFDzg85ugMCwSU1RTseKGlJ0IdgKdZgYX9Ji58uQ__&amp;Key-Pair-Id=APKAIUCZBIA4LVPAVW3Q" TargetMode="External"/><Relationship Id="rId14" Type="http://schemas.openxmlformats.org/officeDocument/2006/relationships/hyperlink" Target="https://www.nice.org.uk/guidance/cg79"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Word]NEW TABLES'!$B$311</c:f>
              <c:strCache>
                <c:ptCount val="1"/>
                <c:pt idx="0">
                  <c:v>Target Achieved</c:v>
                </c:pt>
              </c:strCache>
            </c:strRef>
          </c:tx>
          <c:spPr>
            <a:solidFill>
              <a:srgbClr val="4F81BD"/>
            </a:solidFill>
            <a:ln w="25400">
              <a:noFill/>
            </a:ln>
          </c:spPr>
          <c:invertIfNegative val="0"/>
          <c:errBars>
            <c:errBarType val="both"/>
            <c:errValType val="cust"/>
            <c:noEndCap val="0"/>
            <c:plus>
              <c:numRef>
                <c:f>'[Chart in Microsoft Word]NEW TABLES'!$E$312:$E$317</c:f>
                <c:numCache>
                  <c:formatCode>General</c:formatCode>
                  <c:ptCount val="6"/>
                  <c:pt idx="0">
                    <c:v>2.9381099999999978</c:v>
                  </c:pt>
                  <c:pt idx="1">
                    <c:v>9.6667000000000023</c:v>
                  </c:pt>
                  <c:pt idx="2">
                    <c:v>5.9419300000000002</c:v>
                  </c:pt>
                  <c:pt idx="3">
                    <c:v>5.1138999999999966</c:v>
                  </c:pt>
                  <c:pt idx="4">
                    <c:v>5.696670000000001</c:v>
                  </c:pt>
                  <c:pt idx="5">
                    <c:v>11.32385</c:v>
                  </c:pt>
                </c:numCache>
              </c:numRef>
            </c:plus>
            <c:minus>
              <c:numRef>
                <c:f>'[Chart in Microsoft Word]NEW TABLES'!$F$312:$F$317</c:f>
                <c:numCache>
                  <c:formatCode>General</c:formatCode>
                  <c:ptCount val="6"/>
                  <c:pt idx="0">
                    <c:v>2.9381100000000022</c:v>
                  </c:pt>
                  <c:pt idx="1">
                    <c:v>9.6667000000000023</c:v>
                  </c:pt>
                  <c:pt idx="2">
                    <c:v>5.9419300000000002</c:v>
                  </c:pt>
                  <c:pt idx="3">
                    <c:v>5.1138999999999966</c:v>
                  </c:pt>
                  <c:pt idx="4">
                    <c:v>5.6966699999999939</c:v>
                  </c:pt>
                  <c:pt idx="5">
                    <c:v>11.32385</c:v>
                  </c:pt>
                </c:numCache>
              </c:numRef>
            </c:minus>
            <c:spPr>
              <a:noFill/>
              <a:ln w="9525" cap="flat" cmpd="sng" algn="ctr">
                <a:solidFill>
                  <a:schemeClr val="tx1">
                    <a:lumMod val="65000"/>
                    <a:lumOff val="35000"/>
                  </a:schemeClr>
                </a:solidFill>
                <a:round/>
              </a:ln>
              <a:effectLst/>
            </c:spPr>
          </c:errBars>
          <c:cat>
            <c:strRef>
              <c:f>'[Chart in Microsoft Word]NEW TABLES'!$A$312:$A$317</c:f>
              <c:strCache>
                <c:ptCount val="6"/>
                <c:pt idx="0">
                  <c:v>National</c:v>
                </c:pt>
                <c:pt idx="1">
                  <c:v>London</c:v>
                </c:pt>
                <c:pt idx="2">
                  <c:v>Midland &amp; East of England</c:v>
                </c:pt>
                <c:pt idx="3">
                  <c:v>North of England</c:v>
                </c:pt>
                <c:pt idx="4">
                  <c:v>South of England</c:v>
                </c:pt>
                <c:pt idx="5">
                  <c:v>Wales</c:v>
                </c:pt>
              </c:strCache>
            </c:strRef>
          </c:cat>
          <c:val>
            <c:numRef>
              <c:f>'[Chart in Microsoft Word]NEW TABLES'!$B$312:$B$317</c:f>
              <c:numCache>
                <c:formatCode>General</c:formatCode>
                <c:ptCount val="6"/>
                <c:pt idx="0">
                  <c:v>26.56</c:v>
                </c:pt>
                <c:pt idx="1">
                  <c:v>22.64</c:v>
                </c:pt>
                <c:pt idx="2">
                  <c:v>27.11</c:v>
                </c:pt>
                <c:pt idx="3">
                  <c:v>27.37</c:v>
                </c:pt>
                <c:pt idx="4">
                  <c:v>26.76</c:v>
                </c:pt>
                <c:pt idx="5">
                  <c:v>25.56</c:v>
                </c:pt>
              </c:numCache>
            </c:numRef>
          </c:val>
        </c:ser>
        <c:dLbls>
          <c:showLegendKey val="0"/>
          <c:showVal val="0"/>
          <c:showCatName val="0"/>
          <c:showSerName val="0"/>
          <c:showPercent val="0"/>
          <c:showBubbleSize val="0"/>
        </c:dLbls>
        <c:gapWidth val="219"/>
        <c:overlap val="-27"/>
        <c:axId val="39781888"/>
        <c:axId val="39783424"/>
      </c:barChart>
      <c:catAx>
        <c:axId val="3978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9783424"/>
        <c:crosses val="autoZero"/>
        <c:auto val="1"/>
        <c:lblAlgn val="ctr"/>
        <c:lblOffset val="100"/>
        <c:noMultiLvlLbl val="0"/>
      </c:catAx>
      <c:valAx>
        <c:axId val="3978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lang="en-GB"/>
                </a:pPr>
                <a:r>
                  <a:rPr lang="en-US"/>
                  <a:t>Percentage (%)</a:t>
                </a:r>
              </a:p>
            </c:rich>
          </c:tx>
          <c:overlay val="0"/>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978188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5289</Words>
  <Characters>30150</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Ledingham Jo - Consultant</dc:creator>
  <cp:lastModifiedBy>Karen Drake</cp:lastModifiedBy>
  <cp:revision>2</cp:revision>
  <dcterms:created xsi:type="dcterms:W3CDTF">2017-03-30T08:11:00Z</dcterms:created>
  <dcterms:modified xsi:type="dcterms:W3CDTF">2017-03-30T08:11:00Z</dcterms:modified>
</cp:coreProperties>
</file>