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93C40" w14:textId="77777777" w:rsidR="00886953" w:rsidRPr="00B46DCF" w:rsidRDefault="00886953" w:rsidP="00DF6C1B">
      <w:pPr>
        <w:spacing w:after="0" w:line="360" w:lineRule="auto"/>
        <w:jc w:val="both"/>
        <w:rPr>
          <w:rFonts w:ascii="Times New Roman" w:hAnsi="Times New Roman"/>
          <w:b/>
          <w:sz w:val="32"/>
          <w:szCs w:val="32"/>
        </w:rPr>
      </w:pPr>
      <w:r w:rsidRPr="00A23F27">
        <w:rPr>
          <w:rFonts w:ascii="Times New Roman" w:hAnsi="Times New Roman"/>
          <w:b/>
          <w:sz w:val="32"/>
          <w:szCs w:val="32"/>
        </w:rPr>
        <w:t>Introduction</w:t>
      </w:r>
    </w:p>
    <w:p w14:paraId="33895046" w14:textId="7CDFCA2F" w:rsidR="00886953" w:rsidRDefault="00886953" w:rsidP="00DF6C1B">
      <w:pPr>
        <w:spacing w:after="0" w:line="360" w:lineRule="auto"/>
        <w:jc w:val="both"/>
        <w:rPr>
          <w:rFonts w:ascii="Times New Roman" w:hAnsi="Times New Roman"/>
          <w:sz w:val="24"/>
          <w:szCs w:val="24"/>
        </w:rPr>
      </w:pPr>
      <w:r w:rsidRPr="00A23F27">
        <w:rPr>
          <w:rFonts w:ascii="Times New Roman" w:hAnsi="Times New Roman"/>
          <w:sz w:val="24"/>
          <w:szCs w:val="24"/>
        </w:rPr>
        <w:t>Osteoarthritis (OA) is the most common joint disorder in the elderly</w:t>
      </w:r>
      <w:r>
        <w:rPr>
          <w:rFonts w:ascii="Times New Roman" w:hAnsi="Times New Roman"/>
          <w:sz w:val="24"/>
          <w:szCs w:val="24"/>
        </w:rPr>
        <w:t xml:space="preserve"> and</w:t>
      </w:r>
      <w:r w:rsidRPr="00A23F27">
        <w:rPr>
          <w:rFonts w:ascii="Times New Roman" w:hAnsi="Times New Roman"/>
          <w:sz w:val="24"/>
          <w:szCs w:val="24"/>
        </w:rPr>
        <w:t xml:space="preserve"> is characterized by cartilage degradation, new bone formation, and changes in subchondral bone [</w:t>
      </w:r>
      <w:r>
        <w:rPr>
          <w:rFonts w:ascii="Times New Roman" w:hAnsi="Times New Roman"/>
          <w:sz w:val="24"/>
          <w:szCs w:val="24"/>
        </w:rPr>
        <w:t>1] with bone playing a key role in pathogenesis. Population-based</w:t>
      </w:r>
      <w:r w:rsidRPr="00A23F27">
        <w:rPr>
          <w:rFonts w:ascii="Times New Roman" w:hAnsi="Times New Roman"/>
          <w:sz w:val="24"/>
          <w:szCs w:val="24"/>
        </w:rPr>
        <w:t xml:space="preserve"> studies have established that </w:t>
      </w:r>
      <w:r>
        <w:rPr>
          <w:rFonts w:ascii="Times New Roman" w:hAnsi="Times New Roman"/>
          <w:sz w:val="24"/>
          <w:szCs w:val="24"/>
        </w:rPr>
        <w:t>patients with radiological findings of</w:t>
      </w:r>
      <w:r w:rsidRPr="00A23F27">
        <w:rPr>
          <w:rFonts w:ascii="Times New Roman" w:hAnsi="Times New Roman"/>
          <w:sz w:val="24"/>
          <w:szCs w:val="24"/>
        </w:rPr>
        <w:t xml:space="preserve"> hip and knee OA have an elevated bone mass </w:t>
      </w:r>
      <w:r>
        <w:rPr>
          <w:rFonts w:ascii="Times New Roman" w:hAnsi="Times New Roman"/>
          <w:sz w:val="24"/>
          <w:szCs w:val="24"/>
        </w:rPr>
        <w:t xml:space="preserve">of 3–6% (depending on </w:t>
      </w:r>
      <w:r w:rsidRPr="009C43BE">
        <w:rPr>
          <w:rFonts w:ascii="Times New Roman" w:hAnsi="Times New Roman"/>
          <w:sz w:val="24"/>
          <w:szCs w:val="24"/>
        </w:rPr>
        <w:t xml:space="preserve">site of OA and </w:t>
      </w:r>
      <w:r w:rsidR="004055B9">
        <w:rPr>
          <w:rFonts w:ascii="Times New Roman" w:hAnsi="Times New Roman"/>
          <w:sz w:val="24"/>
          <w:szCs w:val="24"/>
        </w:rPr>
        <w:t>areal bone mineral density (</w:t>
      </w:r>
      <w:r w:rsidRPr="009C43BE">
        <w:rPr>
          <w:rFonts w:ascii="Times New Roman" w:hAnsi="Times New Roman"/>
          <w:sz w:val="24"/>
          <w:szCs w:val="24"/>
        </w:rPr>
        <w:t>BMD</w:t>
      </w:r>
      <w:r w:rsidR="004055B9">
        <w:rPr>
          <w:rFonts w:ascii="Times New Roman" w:hAnsi="Times New Roman"/>
          <w:sz w:val="24"/>
          <w:szCs w:val="24"/>
        </w:rPr>
        <w:t>)</w:t>
      </w:r>
      <w:r w:rsidRPr="009C43BE">
        <w:rPr>
          <w:rFonts w:ascii="Times New Roman" w:hAnsi="Times New Roman"/>
          <w:sz w:val="24"/>
          <w:szCs w:val="24"/>
        </w:rPr>
        <w:t xml:space="preserve"> measurement)</w:t>
      </w:r>
      <w:r>
        <w:rPr>
          <w:rFonts w:ascii="Times New Roman" w:hAnsi="Times New Roman"/>
          <w:sz w:val="24"/>
          <w:szCs w:val="24"/>
        </w:rPr>
        <w:t xml:space="preserve"> </w:t>
      </w:r>
      <w:r w:rsidRPr="009C43BE">
        <w:rPr>
          <w:rFonts w:ascii="Times New Roman" w:hAnsi="Times New Roman"/>
          <w:sz w:val="24"/>
          <w:szCs w:val="24"/>
        </w:rPr>
        <w:t>compared with control subjects</w:t>
      </w:r>
      <w:r>
        <w:rPr>
          <w:rFonts w:ascii="Times New Roman" w:hAnsi="Times New Roman"/>
          <w:sz w:val="24"/>
          <w:szCs w:val="24"/>
        </w:rPr>
        <w:t xml:space="preserve"> </w:t>
      </w:r>
      <w:r w:rsidRPr="00A23F27">
        <w:rPr>
          <w:rFonts w:ascii="Times New Roman" w:hAnsi="Times New Roman"/>
          <w:sz w:val="24"/>
          <w:szCs w:val="24"/>
        </w:rPr>
        <w:t>[</w:t>
      </w:r>
      <w:r>
        <w:rPr>
          <w:rFonts w:ascii="Times New Roman" w:hAnsi="Times New Roman"/>
          <w:sz w:val="24"/>
          <w:szCs w:val="24"/>
        </w:rPr>
        <w:t>2</w:t>
      </w:r>
      <w:r w:rsidRPr="00A23F27">
        <w:rPr>
          <w:rFonts w:ascii="Times New Roman" w:hAnsi="Times New Roman"/>
          <w:sz w:val="24"/>
          <w:szCs w:val="24"/>
        </w:rPr>
        <w:t xml:space="preserve">]. </w:t>
      </w:r>
      <w:r>
        <w:rPr>
          <w:rFonts w:ascii="Times New Roman" w:hAnsi="Times New Roman"/>
          <w:sz w:val="24"/>
          <w:szCs w:val="24"/>
        </w:rPr>
        <w:t xml:space="preserve">Furthermore, some studies show </w:t>
      </w:r>
      <w:r w:rsidRPr="0078049C">
        <w:rPr>
          <w:rFonts w:ascii="Times New Roman" w:hAnsi="Times New Roman"/>
          <w:sz w:val="24"/>
          <w:szCs w:val="24"/>
        </w:rPr>
        <w:t xml:space="preserve">patients with OA </w:t>
      </w:r>
      <w:r w:rsidR="00E42631">
        <w:rPr>
          <w:rFonts w:ascii="Times New Roman" w:hAnsi="Times New Roman"/>
          <w:sz w:val="24"/>
          <w:szCs w:val="24"/>
        </w:rPr>
        <w:t xml:space="preserve">to </w:t>
      </w:r>
      <w:r w:rsidRPr="0078049C">
        <w:rPr>
          <w:rFonts w:ascii="Times New Roman" w:hAnsi="Times New Roman"/>
          <w:sz w:val="24"/>
          <w:szCs w:val="24"/>
        </w:rPr>
        <w:t>ha</w:t>
      </w:r>
      <w:r>
        <w:rPr>
          <w:rFonts w:ascii="Times New Roman" w:hAnsi="Times New Roman"/>
          <w:sz w:val="24"/>
          <w:szCs w:val="24"/>
        </w:rPr>
        <w:t>ve</w:t>
      </w:r>
      <w:r w:rsidRPr="0078049C">
        <w:rPr>
          <w:rFonts w:ascii="Times New Roman" w:hAnsi="Times New Roman"/>
          <w:sz w:val="24"/>
          <w:szCs w:val="24"/>
        </w:rPr>
        <w:t xml:space="preserve"> a decrease</w:t>
      </w:r>
      <w:r w:rsidR="00E42631">
        <w:rPr>
          <w:rFonts w:ascii="Times New Roman" w:hAnsi="Times New Roman"/>
          <w:sz w:val="24"/>
          <w:szCs w:val="24"/>
        </w:rPr>
        <w:t>d</w:t>
      </w:r>
      <w:r w:rsidRPr="0078049C">
        <w:rPr>
          <w:rFonts w:ascii="Times New Roman" w:hAnsi="Times New Roman"/>
          <w:sz w:val="24"/>
          <w:szCs w:val="24"/>
        </w:rPr>
        <w:t xml:space="preserve"> risk of fracture</w:t>
      </w:r>
      <w:r>
        <w:rPr>
          <w:rFonts w:ascii="Times New Roman" w:hAnsi="Times New Roman"/>
          <w:sz w:val="24"/>
          <w:szCs w:val="24"/>
        </w:rPr>
        <w:t xml:space="preserve"> </w:t>
      </w:r>
      <w:r w:rsidRPr="00A23F27">
        <w:rPr>
          <w:rFonts w:ascii="Times New Roman" w:hAnsi="Times New Roman"/>
          <w:sz w:val="24"/>
          <w:szCs w:val="24"/>
        </w:rPr>
        <w:t>[</w:t>
      </w:r>
      <w:r w:rsidR="00D54A6C">
        <w:rPr>
          <w:rFonts w:ascii="Times New Roman" w:hAnsi="Times New Roman"/>
          <w:sz w:val="24"/>
          <w:szCs w:val="24"/>
        </w:rPr>
        <w:t>3</w:t>
      </w:r>
      <w:r w:rsidRPr="00A23F27">
        <w:rPr>
          <w:rFonts w:ascii="Times New Roman" w:hAnsi="Times New Roman"/>
          <w:sz w:val="24"/>
          <w:szCs w:val="24"/>
        </w:rPr>
        <w:t>]</w:t>
      </w:r>
      <w:r>
        <w:rPr>
          <w:rFonts w:ascii="Times New Roman" w:hAnsi="Times New Roman"/>
          <w:sz w:val="24"/>
          <w:szCs w:val="24"/>
        </w:rPr>
        <w:t xml:space="preserve"> although others</w:t>
      </w:r>
      <w:r w:rsidRPr="00B46268">
        <w:rPr>
          <w:rFonts w:ascii="Times New Roman" w:hAnsi="Times New Roman"/>
          <w:sz w:val="24"/>
          <w:szCs w:val="24"/>
        </w:rPr>
        <w:t xml:space="preserve"> demonstrat</w:t>
      </w:r>
      <w:r>
        <w:rPr>
          <w:rFonts w:ascii="Times New Roman" w:hAnsi="Times New Roman"/>
          <w:sz w:val="24"/>
          <w:szCs w:val="24"/>
        </w:rPr>
        <w:t>e</w:t>
      </w:r>
      <w:r w:rsidRPr="00B46268">
        <w:rPr>
          <w:rFonts w:ascii="Times New Roman" w:hAnsi="Times New Roman"/>
          <w:sz w:val="24"/>
          <w:szCs w:val="24"/>
        </w:rPr>
        <w:t xml:space="preserve"> no association or even an increased fracture</w:t>
      </w:r>
      <w:r w:rsidR="00E42631">
        <w:rPr>
          <w:rFonts w:ascii="Times New Roman" w:hAnsi="Times New Roman"/>
          <w:sz w:val="24"/>
          <w:szCs w:val="24"/>
        </w:rPr>
        <w:t xml:space="preserve"> risk</w:t>
      </w:r>
      <w:r w:rsidRPr="00A23F27">
        <w:rPr>
          <w:rFonts w:ascii="Times New Roman" w:hAnsi="Times New Roman"/>
          <w:sz w:val="24"/>
          <w:szCs w:val="24"/>
        </w:rPr>
        <w:t xml:space="preserve"> [</w:t>
      </w:r>
      <w:r w:rsidR="00D54A6C">
        <w:rPr>
          <w:rFonts w:ascii="Times New Roman" w:hAnsi="Times New Roman"/>
          <w:sz w:val="24"/>
          <w:szCs w:val="24"/>
        </w:rPr>
        <w:t>5</w:t>
      </w:r>
      <w:r w:rsidRPr="00A23F27">
        <w:rPr>
          <w:rFonts w:ascii="Times New Roman" w:hAnsi="Times New Roman"/>
          <w:sz w:val="24"/>
          <w:szCs w:val="24"/>
        </w:rPr>
        <w:t xml:space="preserve">]. </w:t>
      </w:r>
    </w:p>
    <w:p w14:paraId="35D94BEC" w14:textId="77777777" w:rsidR="00886953" w:rsidRDefault="00886953" w:rsidP="00DF6C1B">
      <w:pPr>
        <w:spacing w:after="0" w:line="360" w:lineRule="auto"/>
        <w:jc w:val="both"/>
        <w:rPr>
          <w:rFonts w:ascii="Times New Roman" w:hAnsi="Times New Roman"/>
          <w:sz w:val="24"/>
          <w:szCs w:val="24"/>
        </w:rPr>
      </w:pPr>
    </w:p>
    <w:p w14:paraId="6C4262F1" w14:textId="305C60D7" w:rsidR="00886953" w:rsidRDefault="00886953" w:rsidP="00DF6C1B">
      <w:pPr>
        <w:spacing w:after="0" w:line="360" w:lineRule="auto"/>
        <w:jc w:val="both"/>
        <w:rPr>
          <w:rFonts w:ascii="Times New Roman" w:hAnsi="Times New Roman"/>
          <w:sz w:val="24"/>
          <w:szCs w:val="24"/>
        </w:rPr>
      </w:pPr>
      <w:r w:rsidRPr="00E60C41">
        <w:rPr>
          <w:rFonts w:ascii="Times New Roman" w:hAnsi="Times New Roman"/>
          <w:sz w:val="24"/>
          <w:szCs w:val="24"/>
        </w:rPr>
        <w:t>Association</w:t>
      </w:r>
      <w:r>
        <w:rPr>
          <w:rFonts w:ascii="Times New Roman" w:hAnsi="Times New Roman"/>
          <w:sz w:val="24"/>
          <w:szCs w:val="24"/>
        </w:rPr>
        <w:t>s</w:t>
      </w:r>
      <w:r w:rsidRPr="00E60C41">
        <w:rPr>
          <w:rFonts w:ascii="Times New Roman" w:hAnsi="Times New Roman"/>
          <w:sz w:val="24"/>
          <w:szCs w:val="24"/>
        </w:rPr>
        <w:t xml:space="preserve"> between </w:t>
      </w:r>
      <w:proofErr w:type="spellStart"/>
      <w:r w:rsidR="004055B9">
        <w:rPr>
          <w:rFonts w:ascii="Times New Roman" w:hAnsi="Times New Roman"/>
          <w:sz w:val="24"/>
          <w:szCs w:val="24"/>
        </w:rPr>
        <w:t>a</w:t>
      </w:r>
      <w:r w:rsidRPr="00E60C41">
        <w:rPr>
          <w:rFonts w:ascii="Times New Roman" w:hAnsi="Times New Roman"/>
          <w:sz w:val="24"/>
          <w:szCs w:val="24"/>
        </w:rPr>
        <w:t>BMD</w:t>
      </w:r>
      <w:proofErr w:type="spellEnd"/>
      <w:r w:rsidRPr="00E60C41">
        <w:rPr>
          <w:rFonts w:ascii="Times New Roman" w:hAnsi="Times New Roman"/>
          <w:sz w:val="24"/>
          <w:szCs w:val="24"/>
        </w:rPr>
        <w:t xml:space="preserve"> and radiographic OA appear strongest for the bony features of OA</w:t>
      </w:r>
      <w:r>
        <w:rPr>
          <w:rFonts w:ascii="Times New Roman" w:hAnsi="Times New Roman"/>
          <w:sz w:val="24"/>
          <w:szCs w:val="24"/>
        </w:rPr>
        <w:t>,</w:t>
      </w:r>
      <w:r w:rsidRPr="00E60C41">
        <w:rPr>
          <w:rFonts w:ascii="Times New Roman" w:hAnsi="Times New Roman"/>
          <w:sz w:val="24"/>
          <w:szCs w:val="24"/>
        </w:rPr>
        <w:t xml:space="preserve"> such as osteophytes</w:t>
      </w:r>
      <w:r>
        <w:rPr>
          <w:rFonts w:ascii="Times New Roman" w:hAnsi="Times New Roman"/>
          <w:sz w:val="24"/>
          <w:szCs w:val="24"/>
        </w:rPr>
        <w:t xml:space="preserve">, rather than with joint </w:t>
      </w:r>
      <w:r w:rsidRPr="005F2DD2">
        <w:rPr>
          <w:rFonts w:ascii="Times New Roman" w:hAnsi="Times New Roman"/>
          <w:sz w:val="24"/>
          <w:szCs w:val="24"/>
        </w:rPr>
        <w:t xml:space="preserve">space narrowing (JSN) </w:t>
      </w:r>
      <w:r w:rsidRPr="00E60C41">
        <w:rPr>
          <w:rFonts w:ascii="Times New Roman" w:hAnsi="Times New Roman"/>
          <w:sz w:val="24"/>
          <w:szCs w:val="24"/>
        </w:rPr>
        <w:t>[</w:t>
      </w:r>
      <w:r w:rsidR="00D54A6C">
        <w:rPr>
          <w:rFonts w:ascii="Times New Roman" w:hAnsi="Times New Roman"/>
          <w:sz w:val="24"/>
          <w:szCs w:val="24"/>
        </w:rPr>
        <w:t>5, 6</w:t>
      </w:r>
      <w:r w:rsidRPr="00E60C41">
        <w:rPr>
          <w:rFonts w:ascii="Times New Roman" w:hAnsi="Times New Roman"/>
          <w:sz w:val="24"/>
          <w:szCs w:val="24"/>
        </w:rPr>
        <w:t>].</w:t>
      </w:r>
      <w:r>
        <w:rPr>
          <w:rFonts w:ascii="Times New Roman" w:hAnsi="Times New Roman"/>
          <w:sz w:val="24"/>
          <w:szCs w:val="24"/>
        </w:rPr>
        <w:t xml:space="preserve"> Similarly, </w:t>
      </w:r>
      <w:r w:rsidRPr="00253A27">
        <w:rPr>
          <w:rFonts w:ascii="Times New Roman" w:hAnsi="Times New Roman"/>
          <w:sz w:val="24"/>
          <w:szCs w:val="24"/>
        </w:rPr>
        <w:t xml:space="preserve">features of OA reflecting excess bone formation </w:t>
      </w:r>
      <w:r>
        <w:rPr>
          <w:rFonts w:ascii="Times New Roman" w:hAnsi="Times New Roman"/>
          <w:sz w:val="24"/>
          <w:szCs w:val="24"/>
        </w:rPr>
        <w:t>(</w:t>
      </w:r>
      <w:r w:rsidRPr="00253A27">
        <w:rPr>
          <w:rFonts w:ascii="Times New Roman" w:hAnsi="Times New Roman"/>
          <w:sz w:val="24"/>
          <w:szCs w:val="24"/>
        </w:rPr>
        <w:t>osteophytes and sclerosis)</w:t>
      </w:r>
      <w:r>
        <w:rPr>
          <w:rFonts w:ascii="Times New Roman" w:hAnsi="Times New Roman"/>
          <w:sz w:val="24"/>
          <w:szCs w:val="24"/>
        </w:rPr>
        <w:t xml:space="preserve"> </w:t>
      </w:r>
      <w:r w:rsidRPr="00253A27">
        <w:rPr>
          <w:rFonts w:ascii="Times New Roman" w:hAnsi="Times New Roman"/>
          <w:sz w:val="24"/>
          <w:szCs w:val="24"/>
        </w:rPr>
        <w:t>were</w:t>
      </w:r>
      <w:r>
        <w:rPr>
          <w:rFonts w:ascii="Times New Roman" w:hAnsi="Times New Roman"/>
          <w:sz w:val="24"/>
          <w:szCs w:val="24"/>
        </w:rPr>
        <w:t xml:space="preserve"> also more </w:t>
      </w:r>
      <w:r w:rsidRPr="00253A27">
        <w:rPr>
          <w:rFonts w:ascii="Times New Roman" w:hAnsi="Times New Roman"/>
          <w:sz w:val="24"/>
          <w:szCs w:val="24"/>
        </w:rPr>
        <w:t xml:space="preserve">strongly associated with </w:t>
      </w:r>
      <w:r w:rsidR="00D54A6C">
        <w:rPr>
          <w:rFonts w:ascii="Times New Roman" w:hAnsi="Times New Roman"/>
          <w:sz w:val="24"/>
          <w:szCs w:val="24"/>
        </w:rPr>
        <w:t>high bone mass [7</w:t>
      </w:r>
      <w:r>
        <w:rPr>
          <w:rFonts w:ascii="Times New Roman" w:hAnsi="Times New Roman"/>
          <w:sz w:val="24"/>
          <w:szCs w:val="24"/>
        </w:rPr>
        <w:t xml:space="preserve">]. Taken together, these results suggest that the relationship between OA and bone health may be driven mainly through associations with osteophytes and sclerosis.  </w:t>
      </w:r>
    </w:p>
    <w:p w14:paraId="49DA98F5" w14:textId="77777777" w:rsidR="00886953" w:rsidRDefault="00886953" w:rsidP="00DF6C1B">
      <w:pPr>
        <w:spacing w:after="0" w:line="360" w:lineRule="auto"/>
        <w:jc w:val="both"/>
        <w:rPr>
          <w:rFonts w:ascii="Times New Roman" w:hAnsi="Times New Roman"/>
          <w:sz w:val="24"/>
          <w:szCs w:val="24"/>
        </w:rPr>
      </w:pPr>
    </w:p>
    <w:p w14:paraId="622ACDF0" w14:textId="19B05CE1" w:rsidR="00C47D12" w:rsidRDefault="004055B9" w:rsidP="00C47D12">
      <w:pPr>
        <w:spacing w:after="0" w:line="360" w:lineRule="auto"/>
        <w:jc w:val="both"/>
        <w:rPr>
          <w:rFonts w:ascii="Times New Roman" w:hAnsi="Times New Roman"/>
          <w:sz w:val="24"/>
          <w:szCs w:val="24"/>
        </w:rPr>
      </w:pPr>
      <w:r>
        <w:rPr>
          <w:rFonts w:ascii="Times New Roman" w:hAnsi="Times New Roman"/>
          <w:sz w:val="24"/>
          <w:szCs w:val="24"/>
        </w:rPr>
        <w:t xml:space="preserve">As higher </w:t>
      </w:r>
      <w:proofErr w:type="spellStart"/>
      <w:r>
        <w:rPr>
          <w:rFonts w:ascii="Times New Roman" w:hAnsi="Times New Roman"/>
          <w:sz w:val="24"/>
          <w:szCs w:val="24"/>
        </w:rPr>
        <w:t>aBMD</w:t>
      </w:r>
      <w:proofErr w:type="spellEnd"/>
      <w:r>
        <w:rPr>
          <w:rFonts w:ascii="Times New Roman" w:hAnsi="Times New Roman"/>
          <w:sz w:val="24"/>
          <w:szCs w:val="24"/>
        </w:rPr>
        <w:t xml:space="preserve"> in individuals with</w:t>
      </w:r>
      <w:r w:rsidR="00C47D12">
        <w:rPr>
          <w:rFonts w:ascii="Times New Roman" w:hAnsi="Times New Roman"/>
          <w:sz w:val="24"/>
          <w:szCs w:val="24"/>
        </w:rPr>
        <w:t xml:space="preserve"> osteoarthritis </w:t>
      </w:r>
      <w:r>
        <w:rPr>
          <w:rFonts w:ascii="Times New Roman" w:hAnsi="Times New Roman"/>
          <w:sz w:val="24"/>
          <w:szCs w:val="24"/>
        </w:rPr>
        <w:t xml:space="preserve">is not only found within the affected joint, </w:t>
      </w:r>
      <w:r w:rsidR="00C47D12">
        <w:rPr>
          <w:rFonts w:ascii="Times New Roman" w:hAnsi="Times New Roman"/>
          <w:sz w:val="24"/>
          <w:szCs w:val="24"/>
        </w:rPr>
        <w:t>w</w:t>
      </w:r>
      <w:r w:rsidR="00C47D12" w:rsidRPr="00282FF6">
        <w:rPr>
          <w:rFonts w:ascii="Times New Roman" w:hAnsi="Times New Roman"/>
          <w:sz w:val="24"/>
          <w:szCs w:val="24"/>
        </w:rPr>
        <w:t>e hypothesised that</w:t>
      </w:r>
      <w:r w:rsidR="00C47D12">
        <w:rPr>
          <w:rFonts w:ascii="Times New Roman" w:hAnsi="Times New Roman"/>
          <w:sz w:val="24"/>
          <w:szCs w:val="24"/>
        </w:rPr>
        <w:t xml:space="preserve"> volumetric BMD </w:t>
      </w:r>
      <w:r>
        <w:rPr>
          <w:rFonts w:ascii="Times New Roman" w:hAnsi="Times New Roman"/>
          <w:sz w:val="24"/>
          <w:szCs w:val="24"/>
        </w:rPr>
        <w:t>(</w:t>
      </w:r>
      <w:proofErr w:type="spellStart"/>
      <w:r>
        <w:rPr>
          <w:rFonts w:ascii="Times New Roman" w:hAnsi="Times New Roman"/>
          <w:sz w:val="24"/>
          <w:szCs w:val="24"/>
        </w:rPr>
        <w:t>vBMD</w:t>
      </w:r>
      <w:proofErr w:type="spellEnd"/>
      <w:r>
        <w:rPr>
          <w:rFonts w:ascii="Times New Roman" w:hAnsi="Times New Roman"/>
          <w:sz w:val="24"/>
          <w:szCs w:val="24"/>
        </w:rPr>
        <w:t xml:space="preserve">) </w:t>
      </w:r>
      <w:r w:rsidR="00C47D12">
        <w:rPr>
          <w:rFonts w:ascii="Times New Roman" w:hAnsi="Times New Roman"/>
          <w:sz w:val="24"/>
          <w:szCs w:val="24"/>
        </w:rPr>
        <w:t>at site</w:t>
      </w:r>
      <w:r>
        <w:rPr>
          <w:rFonts w:ascii="Times New Roman" w:hAnsi="Times New Roman"/>
          <w:sz w:val="24"/>
          <w:szCs w:val="24"/>
        </w:rPr>
        <w:t>s</w:t>
      </w:r>
      <w:r w:rsidR="00C47D12">
        <w:rPr>
          <w:rFonts w:ascii="Times New Roman" w:hAnsi="Times New Roman"/>
          <w:sz w:val="24"/>
          <w:szCs w:val="24"/>
        </w:rPr>
        <w:t xml:space="preserve"> distant to the hip </w:t>
      </w:r>
      <w:r w:rsidR="00C47D12" w:rsidRPr="00282FF6">
        <w:rPr>
          <w:rFonts w:ascii="Times New Roman" w:hAnsi="Times New Roman"/>
          <w:sz w:val="24"/>
          <w:szCs w:val="24"/>
        </w:rPr>
        <w:t xml:space="preserve">would be </w:t>
      </w:r>
      <w:r w:rsidR="00C47D12">
        <w:rPr>
          <w:rFonts w:ascii="Times New Roman" w:hAnsi="Times New Roman"/>
          <w:sz w:val="24"/>
          <w:szCs w:val="24"/>
        </w:rPr>
        <w:t xml:space="preserve">higher and bone microarchitecture may be modified in participants with </w:t>
      </w:r>
      <w:r w:rsidR="00C47D12" w:rsidRPr="00282FF6">
        <w:rPr>
          <w:rFonts w:ascii="Times New Roman" w:hAnsi="Times New Roman"/>
          <w:sz w:val="24"/>
          <w:szCs w:val="24"/>
        </w:rPr>
        <w:t xml:space="preserve">radiographic </w:t>
      </w:r>
      <w:r w:rsidR="00C47D12">
        <w:rPr>
          <w:rFonts w:ascii="Times New Roman" w:hAnsi="Times New Roman"/>
          <w:sz w:val="24"/>
          <w:szCs w:val="24"/>
        </w:rPr>
        <w:t>oste</w:t>
      </w:r>
      <w:r w:rsidR="00C47D12" w:rsidRPr="00282FF6">
        <w:rPr>
          <w:rFonts w:ascii="Times New Roman" w:hAnsi="Times New Roman"/>
          <w:sz w:val="24"/>
          <w:szCs w:val="24"/>
        </w:rPr>
        <w:t xml:space="preserve">ophytes </w:t>
      </w:r>
      <w:r w:rsidR="00C47D12">
        <w:rPr>
          <w:rFonts w:ascii="Times New Roman" w:hAnsi="Times New Roman"/>
          <w:sz w:val="24"/>
          <w:szCs w:val="24"/>
        </w:rPr>
        <w:t xml:space="preserve">and sclerosis, </w:t>
      </w:r>
      <w:r w:rsidR="00C47D12" w:rsidRPr="00282FF6">
        <w:rPr>
          <w:rFonts w:ascii="Times New Roman" w:hAnsi="Times New Roman"/>
          <w:sz w:val="24"/>
          <w:szCs w:val="24"/>
        </w:rPr>
        <w:t xml:space="preserve"> reflecting a</w:t>
      </w:r>
      <w:r w:rsidR="00C47D12">
        <w:rPr>
          <w:rFonts w:ascii="Times New Roman" w:hAnsi="Times New Roman"/>
          <w:sz w:val="24"/>
          <w:szCs w:val="24"/>
        </w:rPr>
        <w:t xml:space="preserve"> </w:t>
      </w:r>
      <w:r w:rsidR="00C47D12" w:rsidRPr="00282FF6">
        <w:rPr>
          <w:rFonts w:ascii="Times New Roman" w:hAnsi="Times New Roman"/>
          <w:sz w:val="24"/>
          <w:szCs w:val="24"/>
        </w:rPr>
        <w:t>tendency to</w:t>
      </w:r>
      <w:r w:rsidR="00C47D12">
        <w:rPr>
          <w:rFonts w:ascii="Times New Roman" w:hAnsi="Times New Roman"/>
          <w:sz w:val="24"/>
          <w:szCs w:val="24"/>
        </w:rPr>
        <w:t xml:space="preserve">wards a </w:t>
      </w:r>
      <w:r>
        <w:rPr>
          <w:rFonts w:ascii="Times New Roman" w:hAnsi="Times New Roman"/>
          <w:sz w:val="24"/>
          <w:szCs w:val="24"/>
        </w:rPr>
        <w:t xml:space="preserve">systemic </w:t>
      </w:r>
      <w:r w:rsidR="00C47D12">
        <w:rPr>
          <w:rFonts w:ascii="Times New Roman" w:hAnsi="Times New Roman"/>
          <w:sz w:val="24"/>
          <w:szCs w:val="24"/>
        </w:rPr>
        <w:t>bone-</w:t>
      </w:r>
      <w:r w:rsidR="00C47D12" w:rsidRPr="00282FF6">
        <w:rPr>
          <w:rFonts w:ascii="Times New Roman" w:hAnsi="Times New Roman"/>
          <w:sz w:val="24"/>
          <w:szCs w:val="24"/>
        </w:rPr>
        <w:t>form</w:t>
      </w:r>
      <w:r w:rsidR="00C47D12">
        <w:rPr>
          <w:rFonts w:ascii="Times New Roman" w:hAnsi="Times New Roman"/>
          <w:sz w:val="24"/>
          <w:szCs w:val="24"/>
        </w:rPr>
        <w:t>ing phenotype.</w:t>
      </w:r>
      <w:r>
        <w:rPr>
          <w:rFonts w:ascii="Times New Roman" w:hAnsi="Times New Roman"/>
          <w:sz w:val="24"/>
          <w:szCs w:val="24"/>
        </w:rPr>
        <w:t xml:space="preserve">  Furthermore,</w:t>
      </w:r>
      <w:r w:rsidR="001C10EF">
        <w:rPr>
          <w:rFonts w:ascii="Times New Roman" w:hAnsi="Times New Roman"/>
          <w:sz w:val="24"/>
          <w:szCs w:val="24"/>
        </w:rPr>
        <w:t xml:space="preserve"> in this exploratory study,</w:t>
      </w:r>
      <w:r>
        <w:rPr>
          <w:rFonts w:ascii="Times New Roman" w:hAnsi="Times New Roman"/>
          <w:sz w:val="24"/>
          <w:szCs w:val="24"/>
        </w:rPr>
        <w:t xml:space="preserve"> we aimed to investigate whether these differences would be found solely within weight bearing bones, such as the tibia, or additionally in non-weight bearing bones, such as the radius.</w:t>
      </w:r>
      <w:bookmarkStart w:id="0" w:name="_GoBack"/>
      <w:bookmarkEnd w:id="0"/>
    </w:p>
    <w:p w14:paraId="19D7C284" w14:textId="77777777" w:rsidR="00642E4D" w:rsidRDefault="00642E4D" w:rsidP="00C47D12">
      <w:pPr>
        <w:spacing w:after="0" w:line="360" w:lineRule="auto"/>
        <w:jc w:val="both"/>
        <w:rPr>
          <w:rFonts w:ascii="Times New Roman" w:hAnsi="Times New Roman"/>
          <w:sz w:val="24"/>
          <w:szCs w:val="24"/>
        </w:rPr>
      </w:pPr>
    </w:p>
    <w:p w14:paraId="48638E07" w14:textId="77777777" w:rsidR="00642E4D" w:rsidRDefault="00642E4D" w:rsidP="00C47D12">
      <w:pPr>
        <w:spacing w:after="0" w:line="360" w:lineRule="auto"/>
        <w:jc w:val="both"/>
        <w:rPr>
          <w:rFonts w:ascii="Times New Roman" w:hAnsi="Times New Roman"/>
          <w:sz w:val="24"/>
          <w:szCs w:val="24"/>
        </w:rPr>
      </w:pPr>
    </w:p>
    <w:p w14:paraId="75CCBE36" w14:textId="77777777" w:rsidR="00642E4D" w:rsidRDefault="00642E4D" w:rsidP="00C47D12">
      <w:pPr>
        <w:spacing w:after="0" w:line="360" w:lineRule="auto"/>
        <w:jc w:val="both"/>
        <w:rPr>
          <w:rFonts w:ascii="Times New Roman" w:hAnsi="Times New Roman"/>
          <w:sz w:val="24"/>
          <w:szCs w:val="24"/>
        </w:rPr>
      </w:pPr>
    </w:p>
    <w:p w14:paraId="420A24C7" w14:textId="77777777" w:rsidR="00642E4D" w:rsidRDefault="00642E4D" w:rsidP="00C47D12">
      <w:pPr>
        <w:spacing w:after="0" w:line="360" w:lineRule="auto"/>
        <w:jc w:val="both"/>
        <w:rPr>
          <w:rFonts w:ascii="Times New Roman" w:hAnsi="Times New Roman"/>
          <w:sz w:val="24"/>
          <w:szCs w:val="24"/>
        </w:rPr>
      </w:pPr>
    </w:p>
    <w:p w14:paraId="2B04676D" w14:textId="77777777" w:rsidR="00642E4D" w:rsidRDefault="00642E4D" w:rsidP="00C47D12">
      <w:pPr>
        <w:spacing w:after="0" w:line="360" w:lineRule="auto"/>
        <w:jc w:val="both"/>
        <w:rPr>
          <w:rFonts w:ascii="Times New Roman" w:hAnsi="Times New Roman"/>
          <w:sz w:val="24"/>
          <w:szCs w:val="24"/>
        </w:rPr>
      </w:pPr>
    </w:p>
    <w:p w14:paraId="4BE92162" w14:textId="77777777" w:rsidR="00642E4D" w:rsidRDefault="00642E4D" w:rsidP="00C47D12">
      <w:pPr>
        <w:spacing w:after="0" w:line="360" w:lineRule="auto"/>
        <w:jc w:val="both"/>
        <w:rPr>
          <w:rFonts w:ascii="Times New Roman" w:hAnsi="Times New Roman"/>
          <w:sz w:val="24"/>
          <w:szCs w:val="24"/>
        </w:rPr>
      </w:pPr>
    </w:p>
    <w:p w14:paraId="4A4F94E8" w14:textId="77777777" w:rsidR="00642E4D" w:rsidRDefault="00642E4D" w:rsidP="00C47D12">
      <w:pPr>
        <w:spacing w:after="0" w:line="360" w:lineRule="auto"/>
        <w:jc w:val="both"/>
        <w:rPr>
          <w:rFonts w:ascii="Times New Roman" w:hAnsi="Times New Roman"/>
          <w:sz w:val="24"/>
          <w:szCs w:val="24"/>
        </w:rPr>
      </w:pPr>
    </w:p>
    <w:p w14:paraId="320718D7" w14:textId="77777777" w:rsidR="00642E4D" w:rsidRDefault="00642E4D" w:rsidP="00C47D12">
      <w:pPr>
        <w:spacing w:after="0" w:line="360" w:lineRule="auto"/>
        <w:jc w:val="both"/>
        <w:rPr>
          <w:rFonts w:ascii="Times New Roman" w:hAnsi="Times New Roman"/>
          <w:sz w:val="24"/>
          <w:szCs w:val="24"/>
        </w:rPr>
      </w:pPr>
    </w:p>
    <w:p w14:paraId="30735122" w14:textId="77777777" w:rsidR="00642E4D" w:rsidRDefault="00642E4D" w:rsidP="00C47D12">
      <w:pPr>
        <w:spacing w:after="0" w:line="360" w:lineRule="auto"/>
        <w:jc w:val="both"/>
        <w:rPr>
          <w:rFonts w:ascii="Times New Roman" w:hAnsi="Times New Roman"/>
          <w:sz w:val="24"/>
          <w:szCs w:val="24"/>
        </w:rPr>
      </w:pPr>
    </w:p>
    <w:p w14:paraId="40704A9D" w14:textId="77777777" w:rsidR="00886953" w:rsidRPr="00EE3C31" w:rsidRDefault="00561B02" w:rsidP="00DF6C1B">
      <w:pPr>
        <w:spacing w:after="0" w:line="480" w:lineRule="auto"/>
        <w:jc w:val="both"/>
        <w:rPr>
          <w:rFonts w:ascii="Times New Roman" w:hAnsi="Times New Roman"/>
          <w:b/>
          <w:sz w:val="32"/>
          <w:szCs w:val="32"/>
        </w:rPr>
      </w:pPr>
      <w:r>
        <w:rPr>
          <w:rFonts w:ascii="Times New Roman" w:hAnsi="Times New Roman"/>
          <w:b/>
          <w:sz w:val="32"/>
          <w:szCs w:val="32"/>
        </w:rPr>
        <w:lastRenderedPageBreak/>
        <w:t>Method</w:t>
      </w:r>
    </w:p>
    <w:p w14:paraId="2EEB2FD8" w14:textId="77777777" w:rsidR="00886953" w:rsidRDefault="00886953" w:rsidP="00DF6C1B">
      <w:pPr>
        <w:spacing w:after="0" w:line="480" w:lineRule="auto"/>
        <w:jc w:val="both"/>
        <w:rPr>
          <w:rFonts w:ascii="Times New Roman" w:hAnsi="Times New Roman"/>
          <w:b/>
          <w:sz w:val="24"/>
          <w:szCs w:val="24"/>
        </w:rPr>
      </w:pPr>
      <w:r w:rsidRPr="00EE3C31">
        <w:rPr>
          <w:rFonts w:ascii="Times New Roman" w:hAnsi="Times New Roman"/>
          <w:b/>
          <w:sz w:val="24"/>
          <w:szCs w:val="24"/>
        </w:rPr>
        <w:t>Study population</w:t>
      </w:r>
    </w:p>
    <w:p w14:paraId="0F973DE6" w14:textId="77777777" w:rsidR="00886953" w:rsidRDefault="00886953" w:rsidP="00DF6C1B">
      <w:pPr>
        <w:spacing w:after="0" w:line="360" w:lineRule="auto"/>
        <w:jc w:val="both"/>
        <w:rPr>
          <w:rFonts w:ascii="Times New Roman" w:hAnsi="Times New Roman"/>
          <w:sz w:val="24"/>
          <w:szCs w:val="24"/>
        </w:rPr>
      </w:pPr>
      <w:r w:rsidRPr="00EE3C31">
        <w:rPr>
          <w:rFonts w:ascii="Times New Roman" w:hAnsi="Times New Roman"/>
          <w:sz w:val="24"/>
          <w:szCs w:val="24"/>
        </w:rPr>
        <w:t xml:space="preserve">The Hertfordshire Cohort Study (HCS) is a population-based </w:t>
      </w:r>
      <w:smartTag w:uri="urn:schemas-microsoft-com:office:smarttags" w:element="place">
        <w:smartTag w:uri="urn:schemas-microsoft-com:office:smarttags" w:element="country-region">
          <w:r w:rsidRPr="00EE3C31">
            <w:rPr>
              <w:rFonts w:ascii="Times New Roman" w:hAnsi="Times New Roman"/>
              <w:sz w:val="24"/>
              <w:szCs w:val="24"/>
            </w:rPr>
            <w:t>UK</w:t>
          </w:r>
        </w:smartTag>
      </w:smartTag>
      <w:r w:rsidRPr="00EE3C31">
        <w:rPr>
          <w:rFonts w:ascii="Times New Roman" w:hAnsi="Times New Roman"/>
          <w:sz w:val="24"/>
          <w:szCs w:val="24"/>
        </w:rPr>
        <w:t xml:space="preserve"> cohort </w:t>
      </w:r>
      <w:r>
        <w:rPr>
          <w:rFonts w:ascii="Times New Roman" w:hAnsi="Times New Roman"/>
          <w:sz w:val="24"/>
          <w:szCs w:val="24"/>
        </w:rPr>
        <w:t xml:space="preserve">of older adults.  </w:t>
      </w:r>
      <w:r w:rsidRPr="00EE3C31">
        <w:rPr>
          <w:rFonts w:ascii="Times New Roman" w:hAnsi="Times New Roman"/>
          <w:sz w:val="24"/>
          <w:szCs w:val="24"/>
        </w:rPr>
        <w:t>Study design and recruitment have been described in detail previously [</w:t>
      </w:r>
      <w:r w:rsidR="00D54A6C">
        <w:rPr>
          <w:rFonts w:ascii="Times New Roman" w:hAnsi="Times New Roman"/>
          <w:sz w:val="24"/>
          <w:szCs w:val="24"/>
        </w:rPr>
        <w:t>8</w:t>
      </w:r>
      <w:r w:rsidRPr="00EE3C31">
        <w:rPr>
          <w:rFonts w:ascii="Times New Roman" w:hAnsi="Times New Roman"/>
          <w:sz w:val="24"/>
          <w:szCs w:val="24"/>
        </w:rPr>
        <w:t>]. In brief, w</w:t>
      </w:r>
      <w:r>
        <w:rPr>
          <w:rFonts w:ascii="Times New Roman" w:hAnsi="Times New Roman"/>
          <w:sz w:val="24"/>
          <w:szCs w:val="24"/>
        </w:rPr>
        <w:t xml:space="preserve">e traced men and </w:t>
      </w:r>
      <w:r w:rsidRPr="008C0EC9">
        <w:rPr>
          <w:rFonts w:ascii="Times New Roman" w:hAnsi="Times New Roman"/>
          <w:sz w:val="24"/>
          <w:szCs w:val="24"/>
        </w:rPr>
        <w:t xml:space="preserve">women born between 1931 and </w:t>
      </w:r>
      <w:smartTag w:uri="urn:schemas-microsoft-com:office:smarttags" w:element="metricconverter">
        <w:smartTagPr>
          <w:attr w:name="ProductID" w:val="1939 in"/>
        </w:smartTagPr>
        <w:r w:rsidRPr="008C0EC9">
          <w:rPr>
            <w:rFonts w:ascii="Times New Roman" w:hAnsi="Times New Roman"/>
            <w:sz w:val="24"/>
            <w:szCs w:val="24"/>
          </w:rPr>
          <w:t>1939 in</w:t>
        </w:r>
      </w:smartTag>
      <w:r w:rsidRPr="008C0EC9">
        <w:rPr>
          <w:rFonts w:ascii="Times New Roman" w:hAnsi="Times New Roman"/>
          <w:sz w:val="24"/>
          <w:szCs w:val="24"/>
        </w:rPr>
        <w:t xml:space="preserve"> Hertfordshire and who still lived there in 1998–2003 when a nurse-administered questionnaire and clinic visit were carried out.</w:t>
      </w:r>
      <w:r w:rsidR="008C0EC9" w:rsidRPr="008C0EC9">
        <w:rPr>
          <w:rFonts w:ascii="Times New Roman" w:hAnsi="Times New Roman"/>
          <w:sz w:val="24"/>
          <w:szCs w:val="24"/>
        </w:rPr>
        <w:t xml:space="preserve">  Participants were not selected on the basis of musculoskeletal pathology, but represented individuals born in a geographic region who continued to live there. </w:t>
      </w:r>
      <w:r w:rsidRPr="008C0EC9">
        <w:rPr>
          <w:rFonts w:ascii="Times New Roman" w:hAnsi="Times New Roman"/>
          <w:sz w:val="24"/>
          <w:szCs w:val="24"/>
        </w:rPr>
        <w:t xml:space="preserve"> In 2011-2012, 592 men and women from the geographical area of East Hertfordshire were invited to take part in an OA study</w:t>
      </w:r>
      <w:r w:rsidR="008C0EC9" w:rsidRPr="008C0EC9">
        <w:rPr>
          <w:rFonts w:ascii="Times New Roman" w:hAnsi="Times New Roman"/>
          <w:sz w:val="24"/>
          <w:szCs w:val="24"/>
        </w:rPr>
        <w:t xml:space="preserve"> that was designed to consider the personal burden of OA</w:t>
      </w:r>
      <w:r w:rsidRPr="008C0EC9">
        <w:rPr>
          <w:rFonts w:ascii="Times New Roman" w:hAnsi="Times New Roman"/>
          <w:sz w:val="24"/>
          <w:szCs w:val="24"/>
        </w:rPr>
        <w:t>. A home visit which included a structured interview was conducted in 443 patients and bilateral hip radiographs were performed. Of these, 350 agreed</w:t>
      </w:r>
      <w:r w:rsidRPr="000617F3">
        <w:rPr>
          <w:rFonts w:ascii="Times New Roman" w:hAnsi="Times New Roman"/>
          <w:sz w:val="24"/>
          <w:szCs w:val="24"/>
        </w:rPr>
        <w:t xml:space="preserve"> to have a </w:t>
      </w:r>
      <w:proofErr w:type="spellStart"/>
      <w:r w:rsidRPr="000617F3">
        <w:rPr>
          <w:rFonts w:ascii="Times New Roman" w:hAnsi="Times New Roman"/>
          <w:sz w:val="24"/>
          <w:szCs w:val="24"/>
        </w:rPr>
        <w:t>HRpQCT</w:t>
      </w:r>
      <w:proofErr w:type="spellEnd"/>
      <w:r w:rsidRPr="000617F3">
        <w:rPr>
          <w:rFonts w:ascii="Times New Roman" w:hAnsi="Times New Roman"/>
          <w:sz w:val="24"/>
          <w:szCs w:val="24"/>
        </w:rPr>
        <w:t xml:space="preserve"> scan </w:t>
      </w:r>
      <w:r>
        <w:rPr>
          <w:rFonts w:ascii="Times New Roman" w:hAnsi="Times New Roman"/>
          <w:sz w:val="24"/>
          <w:szCs w:val="24"/>
        </w:rPr>
        <w:t>one year later</w:t>
      </w:r>
      <w:r w:rsidRPr="00A551F3">
        <w:rPr>
          <w:rFonts w:ascii="Times New Roman" w:hAnsi="Times New Roman"/>
          <w:sz w:val="24"/>
          <w:szCs w:val="24"/>
        </w:rPr>
        <w:t xml:space="preserve"> </w:t>
      </w:r>
      <w:r>
        <w:rPr>
          <w:rFonts w:ascii="Times New Roman" w:hAnsi="Times New Roman"/>
          <w:sz w:val="24"/>
          <w:szCs w:val="24"/>
        </w:rPr>
        <w:t>(in 2012-3)</w:t>
      </w:r>
      <w:r w:rsidRPr="00EE3C31">
        <w:rPr>
          <w:rFonts w:ascii="Times New Roman" w:hAnsi="Times New Roman"/>
          <w:sz w:val="24"/>
          <w:szCs w:val="24"/>
        </w:rPr>
        <w:t xml:space="preserve">. </w:t>
      </w:r>
      <w:r>
        <w:rPr>
          <w:rFonts w:ascii="Times New Roman" w:hAnsi="Times New Roman"/>
          <w:sz w:val="24"/>
          <w:szCs w:val="24"/>
        </w:rPr>
        <w:t xml:space="preserve">A total of 318 participants had both hip radiographs and </w:t>
      </w:r>
      <w:proofErr w:type="spellStart"/>
      <w:r>
        <w:rPr>
          <w:rFonts w:ascii="Times New Roman" w:hAnsi="Times New Roman"/>
          <w:sz w:val="24"/>
          <w:szCs w:val="24"/>
        </w:rPr>
        <w:t>HRpQCT</w:t>
      </w:r>
      <w:proofErr w:type="spellEnd"/>
      <w:r>
        <w:rPr>
          <w:rFonts w:ascii="Times New Roman" w:hAnsi="Times New Roman"/>
          <w:sz w:val="24"/>
          <w:szCs w:val="24"/>
        </w:rPr>
        <w:t xml:space="preserve"> undertaken. </w:t>
      </w:r>
      <w:r w:rsidRPr="00EE3C31">
        <w:rPr>
          <w:rFonts w:ascii="Times New Roman" w:hAnsi="Times New Roman"/>
          <w:sz w:val="24"/>
          <w:szCs w:val="24"/>
        </w:rPr>
        <w:t>The East and North Hertfordshire Eth</w:t>
      </w:r>
      <w:r>
        <w:rPr>
          <w:rFonts w:ascii="Times New Roman" w:hAnsi="Times New Roman"/>
          <w:sz w:val="24"/>
          <w:szCs w:val="24"/>
        </w:rPr>
        <w:t xml:space="preserve">ical Committees granted approval for the study. </w:t>
      </w:r>
    </w:p>
    <w:p w14:paraId="382E5E85" w14:textId="77777777" w:rsidR="00886953" w:rsidRPr="00EE3C31" w:rsidRDefault="00886953" w:rsidP="00DF6C1B">
      <w:pPr>
        <w:spacing w:after="0" w:line="360" w:lineRule="auto"/>
        <w:jc w:val="both"/>
        <w:rPr>
          <w:rFonts w:ascii="Times New Roman" w:hAnsi="Times New Roman"/>
          <w:sz w:val="24"/>
          <w:szCs w:val="24"/>
        </w:rPr>
      </w:pPr>
    </w:p>
    <w:p w14:paraId="65ECF678" w14:textId="77777777" w:rsidR="00886953" w:rsidRDefault="00886953" w:rsidP="00DF6C1B">
      <w:pPr>
        <w:spacing w:after="0" w:line="360" w:lineRule="auto"/>
        <w:jc w:val="both"/>
        <w:rPr>
          <w:rFonts w:ascii="Times New Roman" w:hAnsi="Times New Roman"/>
          <w:b/>
          <w:sz w:val="24"/>
          <w:szCs w:val="24"/>
        </w:rPr>
      </w:pPr>
      <w:r w:rsidRPr="007A75EC">
        <w:rPr>
          <w:rFonts w:ascii="Times New Roman" w:hAnsi="Times New Roman"/>
          <w:b/>
          <w:sz w:val="24"/>
          <w:szCs w:val="24"/>
        </w:rPr>
        <w:t>Radiographic asse</w:t>
      </w:r>
      <w:r>
        <w:rPr>
          <w:rFonts w:ascii="Times New Roman" w:hAnsi="Times New Roman"/>
          <w:b/>
          <w:sz w:val="24"/>
          <w:szCs w:val="24"/>
        </w:rPr>
        <w:t>ssment and definition of hip OA</w:t>
      </w:r>
    </w:p>
    <w:p w14:paraId="4EB857D9" w14:textId="6B95C125" w:rsidR="00886953" w:rsidRPr="003A65F0" w:rsidRDefault="00886953" w:rsidP="00DF6C1B">
      <w:pPr>
        <w:spacing w:after="0" w:line="360" w:lineRule="auto"/>
        <w:jc w:val="both"/>
        <w:rPr>
          <w:rFonts w:ascii="Times New Roman" w:hAnsi="Times New Roman"/>
          <w:sz w:val="24"/>
          <w:szCs w:val="24"/>
        </w:rPr>
      </w:pPr>
      <w:r>
        <w:rPr>
          <w:rFonts w:ascii="Times New Roman" w:hAnsi="Times New Roman"/>
          <w:sz w:val="24"/>
          <w:szCs w:val="24"/>
        </w:rPr>
        <w:t>B</w:t>
      </w:r>
      <w:r w:rsidRPr="00A26CC1">
        <w:rPr>
          <w:rFonts w:ascii="Times New Roman" w:hAnsi="Times New Roman"/>
          <w:sz w:val="24"/>
          <w:szCs w:val="24"/>
        </w:rPr>
        <w:t xml:space="preserve">ilateral </w:t>
      </w:r>
      <w:r>
        <w:rPr>
          <w:rFonts w:ascii="Times New Roman" w:hAnsi="Times New Roman"/>
          <w:sz w:val="24"/>
          <w:szCs w:val="24"/>
        </w:rPr>
        <w:t>r</w:t>
      </w:r>
      <w:r w:rsidRPr="00E56D12">
        <w:rPr>
          <w:rFonts w:ascii="Times New Roman" w:hAnsi="Times New Roman"/>
          <w:sz w:val="24"/>
          <w:szCs w:val="24"/>
        </w:rPr>
        <w:t xml:space="preserve">adiographs of </w:t>
      </w:r>
      <w:r>
        <w:rPr>
          <w:rFonts w:ascii="Times New Roman" w:hAnsi="Times New Roman"/>
          <w:sz w:val="24"/>
          <w:szCs w:val="24"/>
        </w:rPr>
        <w:t xml:space="preserve">the </w:t>
      </w:r>
      <w:r w:rsidRPr="00E56D12">
        <w:rPr>
          <w:rFonts w:ascii="Times New Roman" w:hAnsi="Times New Roman"/>
          <w:sz w:val="24"/>
          <w:szCs w:val="24"/>
        </w:rPr>
        <w:t xml:space="preserve">hips (standing </w:t>
      </w:r>
      <w:r>
        <w:rPr>
          <w:rFonts w:ascii="Times New Roman" w:hAnsi="Times New Roman"/>
          <w:sz w:val="24"/>
          <w:szCs w:val="24"/>
        </w:rPr>
        <w:t>anteroposterior) were obtained and</w:t>
      </w:r>
      <w:r w:rsidR="00581B23">
        <w:rPr>
          <w:rFonts w:ascii="Times New Roman" w:hAnsi="Times New Roman"/>
          <w:sz w:val="24"/>
          <w:szCs w:val="24"/>
        </w:rPr>
        <w:t xml:space="preserve"> </w:t>
      </w:r>
      <w:r w:rsidRPr="00025AAE">
        <w:rPr>
          <w:rFonts w:ascii="Times New Roman" w:hAnsi="Times New Roman"/>
          <w:sz w:val="24"/>
          <w:szCs w:val="24"/>
        </w:rPr>
        <w:t xml:space="preserve">graded by </w:t>
      </w:r>
      <w:r>
        <w:rPr>
          <w:rFonts w:ascii="Times New Roman" w:hAnsi="Times New Roman"/>
          <w:sz w:val="24"/>
          <w:szCs w:val="24"/>
        </w:rPr>
        <w:t>experienced reviewers</w:t>
      </w:r>
      <w:r w:rsidRPr="00025AAE">
        <w:rPr>
          <w:rFonts w:ascii="Times New Roman" w:hAnsi="Times New Roman"/>
          <w:sz w:val="24"/>
          <w:szCs w:val="24"/>
        </w:rPr>
        <w:t xml:space="preserve"> following focussed training.</w:t>
      </w:r>
      <w:r w:rsidR="00581B23">
        <w:rPr>
          <w:rFonts w:ascii="Times New Roman" w:hAnsi="Times New Roman"/>
          <w:sz w:val="24"/>
          <w:szCs w:val="24"/>
        </w:rPr>
        <w:t xml:space="preserve"> </w:t>
      </w:r>
      <w:r w:rsidRPr="00BE4980">
        <w:rPr>
          <w:rFonts w:ascii="Times New Roman" w:hAnsi="Times New Roman"/>
          <w:sz w:val="24"/>
          <w:szCs w:val="24"/>
        </w:rPr>
        <w:t>Semi</w:t>
      </w:r>
      <w:r>
        <w:rPr>
          <w:rFonts w:ascii="Times New Roman" w:hAnsi="Times New Roman"/>
          <w:sz w:val="24"/>
          <w:szCs w:val="24"/>
        </w:rPr>
        <w:t>-</w:t>
      </w:r>
      <w:r w:rsidRPr="00BE4980">
        <w:rPr>
          <w:rFonts w:ascii="Times New Roman" w:hAnsi="Times New Roman"/>
          <w:sz w:val="24"/>
          <w:szCs w:val="24"/>
        </w:rPr>
        <w:t>quantitative scores for the Croft</w:t>
      </w:r>
      <w:r w:rsidR="00581B23">
        <w:rPr>
          <w:rFonts w:ascii="Times New Roman" w:hAnsi="Times New Roman"/>
          <w:sz w:val="24"/>
          <w:szCs w:val="24"/>
        </w:rPr>
        <w:t xml:space="preserve"> </w:t>
      </w:r>
      <w:r w:rsidRPr="00BE4980">
        <w:rPr>
          <w:rFonts w:ascii="Times New Roman" w:hAnsi="Times New Roman"/>
          <w:sz w:val="24"/>
          <w:szCs w:val="24"/>
        </w:rPr>
        <w:t>grade were converted to binary variables for</w:t>
      </w:r>
      <w:r w:rsidR="00581B23">
        <w:rPr>
          <w:rFonts w:ascii="Times New Roman" w:hAnsi="Times New Roman"/>
          <w:sz w:val="24"/>
          <w:szCs w:val="24"/>
        </w:rPr>
        <w:t xml:space="preserve"> </w:t>
      </w:r>
      <w:r w:rsidRPr="00BE4980">
        <w:rPr>
          <w:rFonts w:ascii="Times New Roman" w:hAnsi="Times New Roman"/>
          <w:sz w:val="24"/>
          <w:szCs w:val="24"/>
        </w:rPr>
        <w:t xml:space="preserve">analysis; a Croft grade of ≥3 defined the presence of </w:t>
      </w:r>
      <w:r>
        <w:rPr>
          <w:rFonts w:ascii="Times New Roman" w:hAnsi="Times New Roman"/>
          <w:sz w:val="24"/>
          <w:szCs w:val="24"/>
        </w:rPr>
        <w:t xml:space="preserve">radiographic </w:t>
      </w:r>
      <w:r w:rsidRPr="00BE4980">
        <w:rPr>
          <w:rFonts w:ascii="Times New Roman" w:hAnsi="Times New Roman"/>
          <w:sz w:val="24"/>
          <w:szCs w:val="24"/>
        </w:rPr>
        <w:t>OA.</w:t>
      </w:r>
      <w:r w:rsidR="00740025">
        <w:rPr>
          <w:rFonts w:ascii="Times New Roman" w:hAnsi="Times New Roman"/>
          <w:sz w:val="24"/>
          <w:szCs w:val="24"/>
        </w:rPr>
        <w:t xml:space="preserve">  </w:t>
      </w:r>
      <w:r w:rsidRPr="0053714D">
        <w:rPr>
          <w:rFonts w:ascii="Times New Roman" w:hAnsi="Times New Roman"/>
          <w:sz w:val="24"/>
          <w:szCs w:val="24"/>
        </w:rPr>
        <w:t xml:space="preserve">The </w:t>
      </w:r>
      <w:r>
        <w:rPr>
          <w:rFonts w:ascii="Times New Roman" w:hAnsi="Times New Roman"/>
          <w:sz w:val="24"/>
          <w:szCs w:val="24"/>
        </w:rPr>
        <w:t>presence of JSN, sclerosis</w:t>
      </w:r>
      <w:r w:rsidRPr="0053714D">
        <w:rPr>
          <w:rFonts w:ascii="Times New Roman" w:hAnsi="Times New Roman"/>
          <w:sz w:val="24"/>
          <w:szCs w:val="24"/>
        </w:rPr>
        <w:t xml:space="preserve"> and osteophyte</w:t>
      </w:r>
      <w:r>
        <w:rPr>
          <w:rFonts w:ascii="Times New Roman" w:hAnsi="Times New Roman"/>
          <w:sz w:val="24"/>
          <w:szCs w:val="24"/>
        </w:rPr>
        <w:t>s</w:t>
      </w:r>
      <w:r w:rsidRPr="0053714D">
        <w:rPr>
          <w:rFonts w:ascii="Times New Roman" w:hAnsi="Times New Roman"/>
          <w:sz w:val="24"/>
          <w:szCs w:val="24"/>
        </w:rPr>
        <w:t xml:space="preserve"> were assessed in accordance </w:t>
      </w:r>
      <w:r w:rsidRPr="003A65F0">
        <w:rPr>
          <w:rFonts w:ascii="Times New Roman" w:hAnsi="Times New Roman"/>
          <w:sz w:val="24"/>
          <w:szCs w:val="24"/>
        </w:rPr>
        <w:t>with the OARSI atlas</w:t>
      </w:r>
      <w:r w:rsidR="00D54A6C" w:rsidRPr="003A65F0">
        <w:rPr>
          <w:rFonts w:ascii="Times New Roman" w:hAnsi="Times New Roman"/>
          <w:sz w:val="24"/>
          <w:szCs w:val="24"/>
        </w:rPr>
        <w:t xml:space="preserve"> as binary variables [9</w:t>
      </w:r>
      <w:r w:rsidRPr="003A65F0">
        <w:rPr>
          <w:rFonts w:ascii="Times New Roman" w:hAnsi="Times New Roman"/>
          <w:sz w:val="24"/>
          <w:szCs w:val="24"/>
        </w:rPr>
        <w:t>].</w:t>
      </w:r>
      <w:r w:rsidR="002272FB" w:rsidRPr="003A65F0">
        <w:rPr>
          <w:rFonts w:ascii="Times New Roman" w:hAnsi="Times New Roman"/>
          <w:sz w:val="24"/>
          <w:szCs w:val="24"/>
        </w:rPr>
        <w:t xml:space="preserve">  </w:t>
      </w:r>
      <w:r w:rsidR="006777B4" w:rsidRPr="003A65F0">
        <w:rPr>
          <w:rFonts w:ascii="Times New Roman" w:hAnsi="Times New Roman"/>
          <w:color w:val="000000" w:themeColor="text1"/>
          <w:sz w:val="24"/>
          <w:szCs w:val="24"/>
        </w:rPr>
        <w:t>Hip x-rays were assessed by 4 experienced reviewers.  For hip OA, inter-observer agreement was 72% with a kappa statistic of 0.46 consistent with moderate agreement.  For individual components of OA, inter-observer agreement ranged from 67-100% with between fair and perfect agreement.</w:t>
      </w:r>
      <w:r w:rsidR="006777B4" w:rsidRPr="003A65F0">
        <w:rPr>
          <w:rFonts w:ascii="Times New Roman" w:hAnsi="Times New Roman"/>
          <w:i/>
          <w:color w:val="000000" w:themeColor="text1"/>
          <w:sz w:val="24"/>
          <w:szCs w:val="24"/>
        </w:rPr>
        <w:t xml:space="preserve">  </w:t>
      </w:r>
    </w:p>
    <w:p w14:paraId="110EFC26" w14:textId="77777777" w:rsidR="00886953" w:rsidRPr="003A65F0" w:rsidRDefault="00886953" w:rsidP="00DF6C1B">
      <w:pPr>
        <w:spacing w:after="0" w:line="360" w:lineRule="auto"/>
        <w:jc w:val="both"/>
        <w:rPr>
          <w:rFonts w:ascii="Times New Roman" w:hAnsi="Times New Roman"/>
          <w:sz w:val="24"/>
          <w:szCs w:val="24"/>
        </w:rPr>
      </w:pPr>
    </w:p>
    <w:p w14:paraId="06EBE8E4" w14:textId="77777777" w:rsidR="00886953" w:rsidRPr="003A65F0" w:rsidRDefault="00886953" w:rsidP="00DF6C1B">
      <w:pPr>
        <w:spacing w:after="0" w:line="360" w:lineRule="auto"/>
        <w:jc w:val="both"/>
        <w:rPr>
          <w:rFonts w:ascii="Times New Roman" w:hAnsi="Times New Roman"/>
          <w:b/>
          <w:sz w:val="24"/>
          <w:szCs w:val="24"/>
        </w:rPr>
      </w:pPr>
      <w:r w:rsidRPr="003A65F0">
        <w:rPr>
          <w:rFonts w:ascii="Times New Roman" w:hAnsi="Times New Roman"/>
          <w:b/>
          <w:sz w:val="24"/>
          <w:szCs w:val="24"/>
        </w:rPr>
        <w:t>High-resolution peripheral quantitative computed tomography</w:t>
      </w:r>
    </w:p>
    <w:p w14:paraId="23523751" w14:textId="77777777" w:rsidR="00886953" w:rsidRDefault="00886953" w:rsidP="00DF6C1B">
      <w:pPr>
        <w:spacing w:after="0" w:line="360" w:lineRule="auto"/>
        <w:jc w:val="both"/>
        <w:rPr>
          <w:rFonts w:ascii="Times New Roman" w:hAnsi="Times New Roman"/>
          <w:sz w:val="24"/>
          <w:szCs w:val="24"/>
        </w:rPr>
      </w:pPr>
      <w:r w:rsidRPr="003A65F0">
        <w:rPr>
          <w:rFonts w:ascii="Times New Roman" w:hAnsi="Times New Roman"/>
          <w:sz w:val="24"/>
          <w:szCs w:val="24"/>
        </w:rPr>
        <w:t>Distal radial</w:t>
      </w:r>
      <w:r w:rsidR="00581B23" w:rsidRPr="003A65F0">
        <w:rPr>
          <w:rFonts w:ascii="Times New Roman" w:hAnsi="Times New Roman"/>
          <w:sz w:val="24"/>
          <w:szCs w:val="24"/>
        </w:rPr>
        <w:t xml:space="preserve"> </w:t>
      </w:r>
      <w:r w:rsidRPr="003A65F0">
        <w:rPr>
          <w:rFonts w:ascii="Times New Roman" w:hAnsi="Times New Roman"/>
          <w:sz w:val="24"/>
          <w:szCs w:val="24"/>
        </w:rPr>
        <w:t xml:space="preserve">and </w:t>
      </w:r>
      <w:proofErr w:type="spellStart"/>
      <w:r w:rsidRPr="003A65F0">
        <w:rPr>
          <w:rFonts w:ascii="Times New Roman" w:hAnsi="Times New Roman"/>
          <w:sz w:val="24"/>
          <w:szCs w:val="24"/>
        </w:rPr>
        <w:t>tibial</w:t>
      </w:r>
      <w:proofErr w:type="spellEnd"/>
      <w:r>
        <w:rPr>
          <w:rFonts w:ascii="Times New Roman" w:hAnsi="Times New Roman"/>
          <w:sz w:val="24"/>
          <w:szCs w:val="24"/>
        </w:rPr>
        <w:t xml:space="preserve"> </w:t>
      </w:r>
      <w:proofErr w:type="spellStart"/>
      <w:r w:rsidRPr="00360C2C">
        <w:rPr>
          <w:rFonts w:ascii="Times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Pr>
          <w:rFonts w:ascii="Times New Roman" w:hAnsi="Times New Roman"/>
          <w:sz w:val="24"/>
          <w:szCs w:val="24"/>
        </w:rPr>
        <w:t>XtremeCT</w:t>
      </w:r>
      <w:proofErr w:type="spellEnd"/>
      <w:r w:rsidRPr="00360C2C">
        <w:rPr>
          <w:rFonts w:ascii="Times New Roman" w:hAnsi="Times New Roman"/>
          <w:sz w:val="24"/>
          <w:szCs w:val="24"/>
        </w:rPr>
        <w:t xml:space="preserve">, </w:t>
      </w:r>
      <w:proofErr w:type="spellStart"/>
      <w:r w:rsidRPr="00360C2C">
        <w:rPr>
          <w:rFonts w:ascii="Times New Roman" w:hAnsi="Times New Roman"/>
          <w:sz w:val="24"/>
          <w:szCs w:val="24"/>
        </w:rPr>
        <w:t>Scanco</w:t>
      </w:r>
      <w:proofErr w:type="spellEnd"/>
      <w:r w:rsidRPr="00360C2C">
        <w:rPr>
          <w:rFonts w:ascii="Times New Roman" w:hAnsi="Times New Roman"/>
          <w:sz w:val="24"/>
          <w:szCs w:val="24"/>
        </w:rPr>
        <w:t xml:space="preserve"> Medical AG, Switzerland) </w:t>
      </w:r>
      <w:r>
        <w:rPr>
          <w:rFonts w:ascii="Times New Roman" w:hAnsi="Times New Roman"/>
          <w:sz w:val="24"/>
          <w:szCs w:val="24"/>
        </w:rPr>
        <w:t xml:space="preserve">scans were carried out of the non-dominant side </w:t>
      </w:r>
      <w:r w:rsidRPr="00360C2C">
        <w:rPr>
          <w:rFonts w:ascii="Times New Roman" w:hAnsi="Times New Roman"/>
          <w:sz w:val="24"/>
          <w:szCs w:val="24"/>
        </w:rPr>
        <w:t xml:space="preserve">except when it had previously fractured. Antero-posterior 2D scout views were performed to determine the region to be </w:t>
      </w:r>
      <w:r>
        <w:rPr>
          <w:rFonts w:ascii="Times New Roman" w:hAnsi="Times New Roman"/>
          <w:sz w:val="24"/>
          <w:szCs w:val="24"/>
        </w:rPr>
        <w:t>imaged</w:t>
      </w:r>
      <w:r w:rsidRPr="00360C2C">
        <w:rPr>
          <w:rFonts w:ascii="Times New Roman" w:hAnsi="Times New Roman"/>
          <w:sz w:val="24"/>
          <w:szCs w:val="24"/>
        </w:rPr>
        <w:t xml:space="preserve">. All scans were acquired in keeping with the manufacturer’s guidelines and as described by </w:t>
      </w:r>
      <w:proofErr w:type="spellStart"/>
      <w:r w:rsidRPr="00360C2C">
        <w:rPr>
          <w:rFonts w:ascii="Times New Roman" w:hAnsi="Times New Roman"/>
          <w:sz w:val="24"/>
          <w:szCs w:val="24"/>
        </w:rPr>
        <w:t>Boutroy</w:t>
      </w:r>
      <w:proofErr w:type="spellEnd"/>
      <w:r w:rsidRPr="00360C2C">
        <w:rPr>
          <w:rFonts w:ascii="Times New Roman" w:hAnsi="Times New Roman"/>
          <w:sz w:val="24"/>
          <w:szCs w:val="24"/>
        </w:rPr>
        <w:t xml:space="preserve"> </w:t>
      </w:r>
      <w:r w:rsidRPr="00BE33D8">
        <w:rPr>
          <w:rFonts w:ascii="Times New Roman" w:hAnsi="Times New Roman"/>
          <w:i/>
          <w:sz w:val="24"/>
          <w:szCs w:val="24"/>
        </w:rPr>
        <w:t>et al.</w:t>
      </w:r>
      <w:r w:rsidR="00740025">
        <w:rPr>
          <w:rFonts w:ascii="Times New Roman" w:hAnsi="Times New Roman"/>
          <w:i/>
          <w:sz w:val="24"/>
          <w:szCs w:val="24"/>
        </w:rPr>
        <w:t xml:space="preserve"> </w:t>
      </w:r>
      <w:r>
        <w:rPr>
          <w:rFonts w:ascii="Times New Roman" w:hAnsi="Times New Roman"/>
          <w:szCs w:val="24"/>
        </w:rPr>
        <w:t>[</w:t>
      </w:r>
      <w:r w:rsidR="00D54A6C">
        <w:rPr>
          <w:rFonts w:ascii="Times New Roman" w:hAnsi="Times New Roman"/>
          <w:sz w:val="24"/>
          <w:szCs w:val="24"/>
        </w:rPr>
        <w:t>10</w:t>
      </w:r>
      <w:r>
        <w:rPr>
          <w:rFonts w:ascii="Times New Roman" w:hAnsi="Times New Roman"/>
          <w:sz w:val="24"/>
          <w:szCs w:val="24"/>
        </w:rPr>
        <w:t xml:space="preserve">], </w:t>
      </w:r>
      <w:r w:rsidRPr="00360C2C">
        <w:rPr>
          <w:rFonts w:ascii="Times New Roman" w:hAnsi="Times New Roman"/>
          <w:sz w:val="24"/>
          <w:szCs w:val="24"/>
        </w:rPr>
        <w:t>assessed for motion artefact</w:t>
      </w:r>
      <w:r>
        <w:rPr>
          <w:rFonts w:ascii="Times New Roman" w:hAnsi="Times New Roman"/>
          <w:sz w:val="24"/>
          <w:szCs w:val="24"/>
        </w:rPr>
        <w:t xml:space="preserve"> and repeated if necessary. </w:t>
      </w:r>
      <w:r w:rsidR="00CA3E10">
        <w:rPr>
          <w:rFonts w:ascii="Times New Roman" w:hAnsi="Times New Roman"/>
          <w:sz w:val="24"/>
          <w:szCs w:val="24"/>
        </w:rPr>
        <w:t xml:space="preserve">Eight </w:t>
      </w:r>
      <w:proofErr w:type="spellStart"/>
      <w:r w:rsidR="00CA3E10">
        <w:rPr>
          <w:rFonts w:ascii="Times New Roman" w:hAnsi="Times New Roman"/>
          <w:sz w:val="24"/>
          <w:szCs w:val="24"/>
        </w:rPr>
        <w:t>tibial</w:t>
      </w:r>
      <w:proofErr w:type="spellEnd"/>
      <w:r w:rsidR="00CA3E10">
        <w:rPr>
          <w:rFonts w:ascii="Times New Roman" w:hAnsi="Times New Roman"/>
          <w:sz w:val="24"/>
          <w:szCs w:val="24"/>
        </w:rPr>
        <w:t xml:space="preserve"> scans and 39 radial scans</w:t>
      </w:r>
      <w:r>
        <w:rPr>
          <w:rFonts w:ascii="Times New Roman" w:hAnsi="Times New Roman"/>
          <w:sz w:val="24"/>
          <w:szCs w:val="24"/>
        </w:rPr>
        <w:t xml:space="preserve"> were excluded due to excessive motion artefact.</w:t>
      </w:r>
    </w:p>
    <w:p w14:paraId="2420D2A7" w14:textId="77777777" w:rsidR="00886953" w:rsidRDefault="00886953" w:rsidP="00DF6C1B">
      <w:pPr>
        <w:spacing w:after="0" w:line="360" w:lineRule="auto"/>
        <w:jc w:val="both"/>
        <w:rPr>
          <w:rFonts w:ascii="Times New Roman" w:hAnsi="Times New Roman"/>
          <w:sz w:val="24"/>
          <w:szCs w:val="24"/>
        </w:rPr>
      </w:pPr>
    </w:p>
    <w:p w14:paraId="1A3E1B4D" w14:textId="77777777" w:rsidR="00886953" w:rsidRPr="00BE4980" w:rsidRDefault="00886953" w:rsidP="00DF6C1B">
      <w:pPr>
        <w:spacing w:after="0" w:line="360" w:lineRule="auto"/>
        <w:jc w:val="both"/>
        <w:rPr>
          <w:rFonts w:ascii="Times New Roman" w:hAnsi="Times New Roman"/>
          <w:sz w:val="24"/>
          <w:szCs w:val="24"/>
        </w:rPr>
      </w:pPr>
      <w:r w:rsidRPr="00460A0F">
        <w:rPr>
          <w:rFonts w:ascii="Times New Roman" w:hAnsi="Times New Roman"/>
          <w:sz w:val="24"/>
          <w:szCs w:val="24"/>
        </w:rPr>
        <w:t>Image</w:t>
      </w:r>
      <w:r w:rsidRPr="00360C2C">
        <w:rPr>
          <w:rFonts w:ascii="Times New Roman" w:hAnsi="Times New Roman"/>
          <w:sz w:val="24"/>
          <w:szCs w:val="24"/>
        </w:rPr>
        <w:t xml:space="preserve"> analysis was carried out using the standard manufacturer’s method which has been described in detail previously </w:t>
      </w:r>
      <w:r w:rsidR="00D54A6C">
        <w:rPr>
          <w:rFonts w:ascii="Times New Roman" w:hAnsi="Times New Roman"/>
          <w:sz w:val="24"/>
          <w:szCs w:val="24"/>
        </w:rPr>
        <w:t>[11</w:t>
      </w:r>
      <w:r>
        <w:rPr>
          <w:rFonts w:ascii="Times New Roman" w:hAnsi="Times New Roman"/>
          <w:sz w:val="24"/>
          <w:szCs w:val="24"/>
        </w:rPr>
        <w:t>]</w:t>
      </w:r>
      <w:r w:rsidRPr="00360C2C">
        <w:rPr>
          <w:rFonts w:ascii="Times New Roman" w:hAnsi="Times New Roman"/>
          <w:sz w:val="24"/>
          <w:szCs w:val="24"/>
        </w:rPr>
        <w:t>. Standard morphologic analysis produced trabecular BMD (</w:t>
      </w:r>
      <w:proofErr w:type="spellStart"/>
      <w:r w:rsidR="00AA4887" w:rsidRPr="00360C2C">
        <w:rPr>
          <w:rFonts w:ascii="Times New Roman" w:hAnsi="Times New Roman"/>
          <w:sz w:val="24"/>
          <w:szCs w:val="24"/>
        </w:rPr>
        <w:t>T</w:t>
      </w:r>
      <w:r w:rsidR="00AA4887">
        <w:rPr>
          <w:rFonts w:ascii="Times New Roman" w:hAnsi="Times New Roman"/>
          <w:sz w:val="24"/>
          <w:szCs w:val="24"/>
        </w:rPr>
        <w:t>b</w:t>
      </w:r>
      <w:r w:rsidRPr="00360C2C">
        <w:rPr>
          <w:rFonts w:ascii="Times New Roman" w:hAnsi="Times New Roman"/>
          <w:sz w:val="24"/>
          <w:szCs w:val="24"/>
        </w:rPr>
        <w:t>.vBMD</w:t>
      </w:r>
      <w:proofErr w:type="spellEnd"/>
      <w:r w:rsidRPr="00360C2C">
        <w:rPr>
          <w:rFonts w:ascii="Times New Roman" w:hAnsi="Times New Roman"/>
          <w:sz w:val="24"/>
          <w:szCs w:val="24"/>
        </w:rPr>
        <w:t xml:space="preserve">, </w:t>
      </w:r>
      <w:r w:rsidR="00AA4887">
        <w:rPr>
          <w:rFonts w:ascii="Times New Roman" w:hAnsi="Times New Roman"/>
          <w:sz w:val="24"/>
          <w:szCs w:val="24"/>
        </w:rPr>
        <w:t>m</w:t>
      </w:r>
      <w:r w:rsidRPr="00360C2C">
        <w:rPr>
          <w:rFonts w:ascii="Times New Roman" w:hAnsi="Times New Roman"/>
          <w:sz w:val="24"/>
          <w:szCs w:val="24"/>
        </w:rPr>
        <w:t>g/cm³)</w:t>
      </w:r>
      <w:r>
        <w:rPr>
          <w:rFonts w:ascii="Times New Roman" w:hAnsi="Times New Roman"/>
          <w:sz w:val="24"/>
          <w:szCs w:val="24"/>
        </w:rPr>
        <w:t>, t</w:t>
      </w:r>
      <w:r w:rsidRPr="00360C2C">
        <w:rPr>
          <w:rFonts w:ascii="Times New Roman" w:hAnsi="Times New Roman"/>
          <w:sz w:val="24"/>
          <w:szCs w:val="24"/>
        </w:rPr>
        <w:t>rabecular number (</w:t>
      </w:r>
      <w:proofErr w:type="spellStart"/>
      <w:r w:rsidRPr="00360C2C">
        <w:rPr>
          <w:rFonts w:ascii="Times New Roman" w:hAnsi="Times New Roman"/>
          <w:sz w:val="24"/>
          <w:szCs w:val="24"/>
        </w:rPr>
        <w:t>Tb.N</w:t>
      </w:r>
      <w:proofErr w:type="spellEnd"/>
      <w:r w:rsidRPr="00360C2C">
        <w:rPr>
          <w:rFonts w:ascii="Times New Roman" w:hAnsi="Times New Roman"/>
          <w:sz w:val="24"/>
          <w:szCs w:val="24"/>
        </w:rPr>
        <w:t xml:space="preserve">, per </w:t>
      </w:r>
      <w:r w:rsidR="00AA4887">
        <w:rPr>
          <w:rFonts w:ascii="Times New Roman" w:hAnsi="Times New Roman"/>
          <w:sz w:val="24"/>
          <w:szCs w:val="24"/>
        </w:rPr>
        <w:t>c</w:t>
      </w:r>
      <w:r w:rsidRPr="00360C2C">
        <w:rPr>
          <w:rFonts w:ascii="Times New Roman" w:hAnsi="Times New Roman"/>
          <w:sz w:val="24"/>
          <w:szCs w:val="24"/>
        </w:rPr>
        <w:t>m)</w:t>
      </w:r>
      <w:r>
        <w:rPr>
          <w:rFonts w:ascii="Times New Roman" w:hAnsi="Times New Roman"/>
          <w:sz w:val="24"/>
          <w:szCs w:val="24"/>
        </w:rPr>
        <w:t>, trabecular thickness</w:t>
      </w:r>
      <w:r w:rsidRPr="00360C2C">
        <w:rPr>
          <w:rFonts w:ascii="Times New Roman" w:hAnsi="Times New Roman"/>
          <w:sz w:val="24"/>
          <w:szCs w:val="24"/>
        </w:rPr>
        <w:t xml:space="preserve"> (</w:t>
      </w:r>
      <w:proofErr w:type="spellStart"/>
      <w:r w:rsidRPr="00360C2C">
        <w:rPr>
          <w:rFonts w:ascii="Times New Roman" w:hAnsi="Times New Roman"/>
          <w:sz w:val="24"/>
          <w:szCs w:val="24"/>
        </w:rPr>
        <w:t>Tb.Th</w:t>
      </w:r>
      <w:proofErr w:type="spellEnd"/>
      <w:r w:rsidRPr="00360C2C">
        <w:rPr>
          <w:rFonts w:ascii="Times New Roman" w:hAnsi="Times New Roman"/>
          <w:sz w:val="24"/>
          <w:szCs w:val="24"/>
        </w:rPr>
        <w:t xml:space="preserve">, </w:t>
      </w:r>
      <w:r w:rsidR="00AA4887">
        <w:rPr>
          <w:rFonts w:ascii="Times New Roman" w:hAnsi="Times New Roman"/>
          <w:sz w:val="24"/>
          <w:szCs w:val="24"/>
        </w:rPr>
        <w:t>µ</w:t>
      </w:r>
      <w:r w:rsidR="00AA4887" w:rsidRPr="00360C2C">
        <w:rPr>
          <w:rFonts w:ascii="Times New Roman" w:hAnsi="Times New Roman"/>
          <w:sz w:val="24"/>
          <w:szCs w:val="24"/>
        </w:rPr>
        <w:t>m</w:t>
      </w:r>
      <w:r w:rsidRPr="00360C2C">
        <w:rPr>
          <w:rFonts w:ascii="Times New Roman" w:hAnsi="Times New Roman"/>
          <w:sz w:val="24"/>
          <w:szCs w:val="24"/>
        </w:rPr>
        <w:t xml:space="preserve">) and </w:t>
      </w:r>
      <w:r>
        <w:rPr>
          <w:rFonts w:ascii="Times New Roman" w:hAnsi="Times New Roman"/>
          <w:sz w:val="24"/>
          <w:szCs w:val="24"/>
        </w:rPr>
        <w:t xml:space="preserve">trabecular </w:t>
      </w:r>
      <w:r w:rsidRPr="00360C2C">
        <w:rPr>
          <w:rFonts w:ascii="Times New Roman" w:hAnsi="Times New Roman"/>
          <w:sz w:val="24"/>
          <w:szCs w:val="24"/>
        </w:rPr>
        <w:t>separation (</w:t>
      </w:r>
      <w:proofErr w:type="spellStart"/>
      <w:r w:rsidRPr="00360C2C">
        <w:rPr>
          <w:rFonts w:ascii="Times New Roman" w:hAnsi="Times New Roman"/>
          <w:sz w:val="24"/>
          <w:szCs w:val="24"/>
        </w:rPr>
        <w:t>Tb.Sp</w:t>
      </w:r>
      <w:proofErr w:type="spellEnd"/>
      <w:r w:rsidRPr="00360C2C">
        <w:rPr>
          <w:rFonts w:ascii="Times New Roman" w:hAnsi="Times New Roman"/>
          <w:sz w:val="24"/>
          <w:szCs w:val="24"/>
        </w:rPr>
        <w:t xml:space="preserve">, </w:t>
      </w:r>
      <w:r w:rsidR="00AA4887">
        <w:rPr>
          <w:rFonts w:ascii="Times New Roman" w:hAnsi="Times New Roman"/>
          <w:sz w:val="24"/>
          <w:szCs w:val="24"/>
        </w:rPr>
        <w:t>µ</w:t>
      </w:r>
      <w:r w:rsidR="00AA4887" w:rsidRPr="00360C2C">
        <w:rPr>
          <w:rFonts w:ascii="Times New Roman" w:hAnsi="Times New Roman"/>
          <w:sz w:val="24"/>
          <w:szCs w:val="24"/>
        </w:rPr>
        <w:t>m</w:t>
      </w:r>
      <w:r w:rsidRPr="00360C2C">
        <w:rPr>
          <w:rFonts w:ascii="Times New Roman" w:hAnsi="Times New Roman"/>
          <w:sz w:val="24"/>
          <w:szCs w:val="24"/>
        </w:rPr>
        <w:t>)</w:t>
      </w:r>
      <w:r>
        <w:rPr>
          <w:rFonts w:ascii="Times New Roman" w:hAnsi="Times New Roman"/>
          <w:sz w:val="24"/>
          <w:szCs w:val="24"/>
        </w:rPr>
        <w:t>.</w:t>
      </w:r>
      <w:r w:rsidRPr="00360C2C">
        <w:rPr>
          <w:rFonts w:ascii="Times New Roman" w:hAnsi="Times New Roman"/>
          <w:sz w:val="24"/>
          <w:szCs w:val="24"/>
        </w:rPr>
        <w:t xml:space="preserve"> Each measure has been val</w:t>
      </w:r>
      <w:r w:rsidR="00D54A6C">
        <w:rPr>
          <w:rFonts w:ascii="Times New Roman" w:hAnsi="Times New Roman"/>
          <w:sz w:val="24"/>
          <w:szCs w:val="24"/>
        </w:rPr>
        <w:t>idated against micro-CT imaging</w:t>
      </w:r>
      <w:r w:rsidRPr="00360C2C">
        <w:rPr>
          <w:rFonts w:ascii="Times New Roman" w:hAnsi="Times New Roman"/>
          <w:sz w:val="24"/>
          <w:szCs w:val="24"/>
        </w:rPr>
        <w:t>.</w:t>
      </w:r>
      <w:r w:rsidR="00AA4887">
        <w:rPr>
          <w:rFonts w:ascii="Times New Roman" w:hAnsi="Times New Roman"/>
          <w:sz w:val="24"/>
          <w:szCs w:val="24"/>
        </w:rPr>
        <w:t xml:space="preserve"> </w:t>
      </w:r>
      <w:r w:rsidRPr="00360C2C">
        <w:rPr>
          <w:rFonts w:ascii="Times New Roman" w:hAnsi="Times New Roman"/>
          <w:sz w:val="24"/>
          <w:szCs w:val="24"/>
        </w:rPr>
        <w:t>Further analysis was performed using an a</w:t>
      </w:r>
      <w:r>
        <w:rPr>
          <w:rFonts w:ascii="Times New Roman" w:hAnsi="Times New Roman"/>
          <w:sz w:val="24"/>
          <w:szCs w:val="24"/>
        </w:rPr>
        <w:t>utomated segmentation algorithm</w:t>
      </w:r>
      <w:r w:rsidRPr="00360C2C">
        <w:rPr>
          <w:rFonts w:ascii="Times New Roman" w:hAnsi="Times New Roman"/>
          <w:sz w:val="24"/>
          <w:szCs w:val="24"/>
        </w:rPr>
        <w:t>.  Assessments were made of cortical area (Ct. Area, mm²), cortical density (</w:t>
      </w:r>
      <w:proofErr w:type="spellStart"/>
      <w:r w:rsidRPr="00360C2C">
        <w:rPr>
          <w:rFonts w:ascii="Times New Roman" w:hAnsi="Times New Roman"/>
          <w:sz w:val="24"/>
          <w:szCs w:val="24"/>
        </w:rPr>
        <w:t>Ct.vBMD</w:t>
      </w:r>
      <w:proofErr w:type="spellEnd"/>
      <w:r w:rsidRPr="00360C2C">
        <w:rPr>
          <w:rFonts w:ascii="Times New Roman" w:hAnsi="Times New Roman"/>
          <w:sz w:val="24"/>
          <w:szCs w:val="24"/>
        </w:rPr>
        <w:t xml:space="preserve">, </w:t>
      </w:r>
      <w:r w:rsidR="00AA4887">
        <w:rPr>
          <w:rFonts w:ascii="Times New Roman" w:hAnsi="Times New Roman"/>
          <w:sz w:val="24"/>
          <w:szCs w:val="24"/>
        </w:rPr>
        <w:t>m</w:t>
      </w:r>
      <w:r w:rsidRPr="00360C2C">
        <w:rPr>
          <w:rFonts w:ascii="Times New Roman" w:hAnsi="Times New Roman"/>
          <w:sz w:val="24"/>
          <w:szCs w:val="24"/>
        </w:rPr>
        <w:t>g/cm³)</w:t>
      </w:r>
      <w:r>
        <w:rPr>
          <w:rFonts w:ascii="Times New Roman" w:hAnsi="Times New Roman"/>
          <w:sz w:val="24"/>
          <w:szCs w:val="24"/>
        </w:rPr>
        <w:t xml:space="preserve">, </w:t>
      </w:r>
      <w:r w:rsidR="002272FB">
        <w:rPr>
          <w:rFonts w:ascii="Times New Roman" w:hAnsi="Times New Roman"/>
          <w:sz w:val="24"/>
          <w:szCs w:val="24"/>
        </w:rPr>
        <w:t xml:space="preserve">and </w:t>
      </w:r>
      <w:r w:rsidRPr="00360C2C">
        <w:rPr>
          <w:rFonts w:ascii="Times New Roman" w:hAnsi="Times New Roman"/>
          <w:sz w:val="24"/>
          <w:szCs w:val="24"/>
        </w:rPr>
        <w:t>cortical porosity (</w:t>
      </w:r>
      <w:proofErr w:type="spellStart"/>
      <w:r w:rsidRPr="00360C2C">
        <w:rPr>
          <w:rFonts w:ascii="Times New Roman" w:hAnsi="Times New Roman"/>
          <w:sz w:val="24"/>
          <w:szCs w:val="24"/>
        </w:rPr>
        <w:t>Ct.Po</w:t>
      </w:r>
      <w:proofErr w:type="spellEnd"/>
      <w:r w:rsidRPr="00360C2C">
        <w:rPr>
          <w:rFonts w:ascii="Times New Roman" w:hAnsi="Times New Roman"/>
          <w:sz w:val="24"/>
          <w:szCs w:val="24"/>
        </w:rPr>
        <w:t>, %)</w:t>
      </w:r>
      <w:r w:rsidR="002272FB">
        <w:rPr>
          <w:rFonts w:ascii="Times New Roman" w:hAnsi="Times New Roman"/>
          <w:sz w:val="24"/>
          <w:szCs w:val="24"/>
        </w:rPr>
        <w:t>.  C</w:t>
      </w:r>
      <w:r w:rsidRPr="00360C2C">
        <w:rPr>
          <w:rFonts w:ascii="Times New Roman" w:hAnsi="Times New Roman"/>
          <w:sz w:val="24"/>
          <w:szCs w:val="24"/>
        </w:rPr>
        <w:t>ortical thickness (</w:t>
      </w:r>
      <w:proofErr w:type="spellStart"/>
      <w:r w:rsidRPr="00360C2C">
        <w:rPr>
          <w:rFonts w:ascii="Times New Roman" w:hAnsi="Times New Roman"/>
          <w:sz w:val="24"/>
          <w:szCs w:val="24"/>
        </w:rPr>
        <w:t>Ct.Th</w:t>
      </w:r>
      <w:proofErr w:type="spellEnd"/>
      <w:r w:rsidRPr="00360C2C">
        <w:rPr>
          <w:rFonts w:ascii="Times New Roman" w:hAnsi="Times New Roman"/>
          <w:sz w:val="24"/>
          <w:szCs w:val="24"/>
        </w:rPr>
        <w:t xml:space="preserve">, </w:t>
      </w:r>
      <w:r w:rsidR="00AA4887">
        <w:rPr>
          <w:rFonts w:ascii="Times New Roman" w:hAnsi="Times New Roman"/>
          <w:sz w:val="24"/>
          <w:szCs w:val="24"/>
        </w:rPr>
        <w:t>µ</w:t>
      </w:r>
      <w:r w:rsidR="00AA4887" w:rsidRPr="00360C2C">
        <w:rPr>
          <w:rFonts w:ascii="Times New Roman" w:hAnsi="Times New Roman"/>
          <w:sz w:val="24"/>
          <w:szCs w:val="24"/>
        </w:rPr>
        <w:t>m</w:t>
      </w:r>
      <w:r w:rsidRPr="00360C2C">
        <w:rPr>
          <w:rFonts w:ascii="Times New Roman" w:hAnsi="Times New Roman"/>
          <w:sz w:val="24"/>
          <w:szCs w:val="24"/>
        </w:rPr>
        <w:t>) was determined from the threshold cortex image using a distance transform after</w:t>
      </w:r>
      <w:r w:rsidR="00D54A6C">
        <w:rPr>
          <w:rFonts w:ascii="Times New Roman" w:hAnsi="Times New Roman"/>
          <w:sz w:val="24"/>
          <w:szCs w:val="24"/>
        </w:rPr>
        <w:t xml:space="preserve"> removal of </w:t>
      </w:r>
      <w:proofErr w:type="spellStart"/>
      <w:r w:rsidR="00D54A6C">
        <w:rPr>
          <w:rFonts w:ascii="Times New Roman" w:hAnsi="Times New Roman"/>
          <w:sz w:val="24"/>
          <w:szCs w:val="24"/>
        </w:rPr>
        <w:t>intracortical</w:t>
      </w:r>
      <w:proofErr w:type="spellEnd"/>
      <w:r w:rsidR="00D54A6C">
        <w:rPr>
          <w:rFonts w:ascii="Times New Roman" w:hAnsi="Times New Roman"/>
          <w:sz w:val="24"/>
          <w:szCs w:val="24"/>
        </w:rPr>
        <w:t xml:space="preserve"> pores</w:t>
      </w:r>
      <w:r w:rsidRPr="00360C2C">
        <w:rPr>
          <w:rFonts w:ascii="Times New Roman" w:hAnsi="Times New Roman"/>
          <w:sz w:val="24"/>
          <w:szCs w:val="24"/>
        </w:rPr>
        <w:t xml:space="preserve">. Short term precision values (% CV) for cortical and trabecular BMD have been shown to range from 0.3 to 1.2 </w:t>
      </w:r>
      <w:r w:rsidR="00D54A6C">
        <w:rPr>
          <w:rFonts w:ascii="Times New Roman" w:hAnsi="Times New Roman"/>
          <w:sz w:val="24"/>
          <w:szCs w:val="24"/>
        </w:rPr>
        <w:t>[12</w:t>
      </w:r>
      <w:r>
        <w:rPr>
          <w:rFonts w:ascii="Times New Roman" w:hAnsi="Times New Roman"/>
          <w:sz w:val="24"/>
          <w:szCs w:val="24"/>
        </w:rPr>
        <w:t>]</w:t>
      </w:r>
      <w:r w:rsidRPr="00360C2C">
        <w:rPr>
          <w:rFonts w:ascii="Times New Roman" w:hAnsi="Times New Roman"/>
          <w:sz w:val="24"/>
          <w:szCs w:val="24"/>
        </w:rPr>
        <w:t>. The effective dose to the subject during each scan was &lt;3μSv.</w:t>
      </w:r>
    </w:p>
    <w:p w14:paraId="5BAA0926" w14:textId="77777777" w:rsidR="00886953" w:rsidRDefault="00886953" w:rsidP="00DF6C1B">
      <w:pPr>
        <w:spacing w:after="0" w:line="360" w:lineRule="auto"/>
        <w:jc w:val="both"/>
        <w:rPr>
          <w:rFonts w:ascii="Times New Roman" w:hAnsi="Times New Roman"/>
          <w:b/>
          <w:sz w:val="24"/>
          <w:szCs w:val="24"/>
        </w:rPr>
      </w:pPr>
    </w:p>
    <w:p w14:paraId="252DEF24" w14:textId="77777777" w:rsidR="00886953" w:rsidRPr="00025AAE" w:rsidRDefault="009558ED" w:rsidP="00DF6C1B">
      <w:pPr>
        <w:spacing w:after="0" w:line="360" w:lineRule="auto"/>
        <w:jc w:val="both"/>
        <w:rPr>
          <w:rFonts w:ascii="Times New Roman" w:hAnsi="Times New Roman"/>
          <w:b/>
          <w:sz w:val="24"/>
          <w:szCs w:val="24"/>
        </w:rPr>
      </w:pPr>
      <w:r>
        <w:rPr>
          <w:rFonts w:ascii="Times New Roman" w:hAnsi="Times New Roman"/>
          <w:b/>
          <w:sz w:val="24"/>
          <w:szCs w:val="24"/>
        </w:rPr>
        <w:t>Assessment of demographic and lifestyle variables</w:t>
      </w:r>
    </w:p>
    <w:p w14:paraId="6E3C06FA" w14:textId="77777777" w:rsidR="00886953" w:rsidRDefault="009558ED" w:rsidP="00DF6C1B">
      <w:pPr>
        <w:spacing w:after="0" w:line="360" w:lineRule="auto"/>
        <w:jc w:val="both"/>
        <w:rPr>
          <w:rFonts w:ascii="Times New Roman" w:hAnsi="Times New Roman"/>
          <w:sz w:val="24"/>
          <w:szCs w:val="24"/>
        </w:rPr>
      </w:pPr>
      <w:r>
        <w:rPr>
          <w:rFonts w:ascii="Times New Roman" w:hAnsi="Times New Roman"/>
          <w:sz w:val="24"/>
          <w:szCs w:val="24"/>
        </w:rPr>
        <w:t>H</w:t>
      </w:r>
      <w:r w:rsidRPr="00025AAE">
        <w:rPr>
          <w:rFonts w:ascii="Times New Roman" w:hAnsi="Times New Roman"/>
          <w:sz w:val="24"/>
          <w:szCs w:val="24"/>
        </w:rPr>
        <w:t xml:space="preserve">eight was measured to the nearest 0.1 cm using a wall-mounted SECA </w:t>
      </w:r>
      <w:proofErr w:type="spellStart"/>
      <w:r w:rsidRPr="00025AAE">
        <w:rPr>
          <w:rFonts w:ascii="Times New Roman" w:hAnsi="Times New Roman"/>
          <w:sz w:val="24"/>
          <w:szCs w:val="24"/>
        </w:rPr>
        <w:t>stadiometer</w:t>
      </w:r>
      <w:proofErr w:type="spellEnd"/>
      <w:r w:rsidRPr="00025AAE">
        <w:rPr>
          <w:rFonts w:ascii="Times New Roman" w:hAnsi="Times New Roman"/>
          <w:sz w:val="24"/>
          <w:szCs w:val="24"/>
        </w:rPr>
        <w:t xml:space="preserve"> and weight using electronic scales to the nearest 0.1kg</w:t>
      </w:r>
      <w:r w:rsidR="00740025">
        <w:rPr>
          <w:rFonts w:ascii="Times New Roman" w:hAnsi="Times New Roman"/>
          <w:sz w:val="24"/>
          <w:szCs w:val="24"/>
        </w:rPr>
        <w:t xml:space="preserve">, </w:t>
      </w:r>
      <w:r w:rsidR="00740025" w:rsidRPr="00025AAE">
        <w:rPr>
          <w:rFonts w:ascii="Times New Roman" w:hAnsi="Times New Roman"/>
          <w:sz w:val="24"/>
          <w:szCs w:val="24"/>
        </w:rPr>
        <w:t>on the day of scanning</w:t>
      </w:r>
      <w:r w:rsidRPr="00025AAE">
        <w:rPr>
          <w:rFonts w:ascii="Times New Roman" w:hAnsi="Times New Roman"/>
          <w:sz w:val="24"/>
          <w:szCs w:val="24"/>
        </w:rPr>
        <w:t xml:space="preserve">. Body Mass Index (BMI) was calculated as weight/height² (kg/m²). </w:t>
      </w:r>
      <w:r w:rsidR="00886953">
        <w:rPr>
          <w:rFonts w:ascii="Times New Roman" w:hAnsi="Times New Roman"/>
          <w:sz w:val="24"/>
          <w:szCs w:val="24"/>
        </w:rPr>
        <w:t>Smoking status and alcohol consumption</w:t>
      </w:r>
      <w:r w:rsidR="00AA4887">
        <w:rPr>
          <w:rFonts w:ascii="Times New Roman" w:hAnsi="Times New Roman"/>
          <w:sz w:val="24"/>
          <w:szCs w:val="24"/>
        </w:rPr>
        <w:t xml:space="preserve"> </w:t>
      </w:r>
      <w:r w:rsidR="00886953" w:rsidRPr="00025AAE">
        <w:rPr>
          <w:rFonts w:ascii="Times New Roman" w:hAnsi="Times New Roman"/>
          <w:sz w:val="24"/>
          <w:szCs w:val="24"/>
        </w:rPr>
        <w:t>were</w:t>
      </w:r>
      <w:r w:rsidR="00886953" w:rsidRPr="00BE33D8">
        <w:rPr>
          <w:rFonts w:ascii="Times New Roman" w:hAnsi="Times New Roman"/>
          <w:sz w:val="24"/>
          <w:szCs w:val="24"/>
        </w:rPr>
        <w:t xml:space="preserve"> available from </w:t>
      </w:r>
      <w:r w:rsidR="00234492">
        <w:rPr>
          <w:rFonts w:ascii="Times New Roman" w:hAnsi="Times New Roman"/>
          <w:sz w:val="24"/>
          <w:szCs w:val="24"/>
        </w:rPr>
        <w:t xml:space="preserve">the </w:t>
      </w:r>
      <w:r w:rsidR="00886953" w:rsidRPr="00BE33D8">
        <w:rPr>
          <w:rFonts w:ascii="Times New Roman" w:hAnsi="Times New Roman"/>
          <w:sz w:val="24"/>
          <w:szCs w:val="24"/>
        </w:rPr>
        <w:t>nurse-admi</w:t>
      </w:r>
      <w:r>
        <w:rPr>
          <w:rFonts w:ascii="Times New Roman" w:hAnsi="Times New Roman"/>
          <w:sz w:val="24"/>
          <w:szCs w:val="24"/>
        </w:rPr>
        <w:t>nistered questionnaire as part of the OA study</w:t>
      </w:r>
      <w:r w:rsidR="00886953" w:rsidRPr="00025AAE">
        <w:rPr>
          <w:rFonts w:ascii="Times New Roman" w:hAnsi="Times New Roman"/>
          <w:sz w:val="24"/>
          <w:szCs w:val="24"/>
        </w:rPr>
        <w:t xml:space="preserve">. </w:t>
      </w:r>
    </w:p>
    <w:p w14:paraId="0FE488EE" w14:textId="77777777" w:rsidR="00886953" w:rsidRDefault="00886953" w:rsidP="00DF6C1B">
      <w:pPr>
        <w:spacing w:after="0" w:line="360" w:lineRule="auto"/>
        <w:jc w:val="both"/>
        <w:rPr>
          <w:rFonts w:ascii="Times New Roman" w:hAnsi="Times New Roman"/>
          <w:sz w:val="24"/>
          <w:szCs w:val="24"/>
        </w:rPr>
      </w:pPr>
    </w:p>
    <w:p w14:paraId="4D65B959" w14:textId="77777777" w:rsidR="00886953" w:rsidRPr="00CE7F1D" w:rsidRDefault="00886953" w:rsidP="00DF6C1B">
      <w:pPr>
        <w:spacing w:after="0" w:line="360" w:lineRule="auto"/>
        <w:jc w:val="both"/>
        <w:rPr>
          <w:rFonts w:ascii="Times New Roman" w:hAnsi="Times New Roman"/>
          <w:b/>
          <w:sz w:val="24"/>
          <w:szCs w:val="24"/>
        </w:rPr>
      </w:pPr>
      <w:r w:rsidRPr="00CE7F1D">
        <w:rPr>
          <w:rFonts w:ascii="Times New Roman" w:hAnsi="Times New Roman"/>
          <w:b/>
          <w:sz w:val="24"/>
          <w:szCs w:val="24"/>
        </w:rPr>
        <w:t>Statistical methods</w:t>
      </w:r>
    </w:p>
    <w:p w14:paraId="52846F96" w14:textId="2EFA8206" w:rsidR="00886953" w:rsidRDefault="00886953" w:rsidP="00DF6C1B">
      <w:pPr>
        <w:spacing w:after="0" w:line="360" w:lineRule="auto"/>
        <w:jc w:val="both"/>
        <w:rPr>
          <w:rFonts w:ascii="Times New Roman" w:hAnsi="Times New Roman"/>
          <w:sz w:val="24"/>
          <w:szCs w:val="24"/>
        </w:rPr>
      </w:pPr>
      <w:r w:rsidRPr="00CE7F1D">
        <w:rPr>
          <w:rFonts w:ascii="Times New Roman" w:hAnsi="Times New Roman"/>
          <w:sz w:val="24"/>
          <w:szCs w:val="24"/>
        </w:rPr>
        <w:t>Statistical analyses wer</w:t>
      </w:r>
      <w:r>
        <w:rPr>
          <w:rFonts w:ascii="Times New Roman" w:hAnsi="Times New Roman"/>
          <w:sz w:val="24"/>
          <w:szCs w:val="24"/>
        </w:rPr>
        <w:t xml:space="preserve">e performed using STATA </w:t>
      </w:r>
      <w:r w:rsidRPr="00CE7F1D">
        <w:rPr>
          <w:rFonts w:ascii="Times New Roman" w:hAnsi="Times New Roman"/>
          <w:sz w:val="24"/>
          <w:szCs w:val="24"/>
        </w:rPr>
        <w:t>13.1. Descriptive statistics for continuous variables are expressed as mean</w:t>
      </w:r>
      <w:r>
        <w:rPr>
          <w:rFonts w:ascii="Times New Roman" w:hAnsi="Times New Roman"/>
          <w:sz w:val="24"/>
          <w:szCs w:val="24"/>
        </w:rPr>
        <w:t xml:space="preserve"> (</w:t>
      </w:r>
      <w:r w:rsidRPr="00CE7F1D">
        <w:rPr>
          <w:rFonts w:ascii="Times New Roman" w:hAnsi="Times New Roman"/>
          <w:sz w:val="24"/>
          <w:szCs w:val="24"/>
        </w:rPr>
        <w:t>standard deviation</w:t>
      </w:r>
      <w:r>
        <w:rPr>
          <w:rFonts w:ascii="Times New Roman" w:hAnsi="Times New Roman"/>
          <w:sz w:val="24"/>
          <w:szCs w:val="24"/>
        </w:rPr>
        <w:t>)</w:t>
      </w:r>
      <w:r w:rsidRPr="00CE7F1D">
        <w:rPr>
          <w:rFonts w:ascii="Times New Roman" w:hAnsi="Times New Roman"/>
          <w:sz w:val="24"/>
          <w:szCs w:val="24"/>
        </w:rPr>
        <w:t xml:space="preserve"> and categorical variables as frequency </w:t>
      </w:r>
      <w:r>
        <w:rPr>
          <w:rFonts w:ascii="Times New Roman" w:hAnsi="Times New Roman"/>
          <w:sz w:val="24"/>
          <w:szCs w:val="24"/>
        </w:rPr>
        <w:t>(</w:t>
      </w:r>
      <w:r w:rsidRPr="00CE7F1D">
        <w:rPr>
          <w:rFonts w:ascii="Times New Roman" w:hAnsi="Times New Roman"/>
          <w:sz w:val="24"/>
          <w:szCs w:val="24"/>
        </w:rPr>
        <w:t>percentage</w:t>
      </w:r>
      <w:r>
        <w:rPr>
          <w:rFonts w:ascii="Times New Roman" w:hAnsi="Times New Roman"/>
          <w:sz w:val="24"/>
          <w:szCs w:val="24"/>
        </w:rPr>
        <w:t>)</w:t>
      </w:r>
      <w:r w:rsidRPr="00CE7F1D">
        <w:rPr>
          <w:rFonts w:ascii="Times New Roman" w:hAnsi="Times New Roman"/>
          <w:sz w:val="24"/>
          <w:szCs w:val="24"/>
        </w:rPr>
        <w:t>.</w:t>
      </w:r>
      <w:r w:rsidR="00AA4887">
        <w:rPr>
          <w:rFonts w:ascii="Times New Roman" w:hAnsi="Times New Roman"/>
          <w:sz w:val="24"/>
          <w:szCs w:val="24"/>
        </w:rPr>
        <w:t xml:space="preserve"> </w:t>
      </w:r>
      <w:r w:rsidRPr="00CE7F1D">
        <w:rPr>
          <w:rFonts w:ascii="Times New Roman" w:hAnsi="Times New Roman"/>
          <w:sz w:val="24"/>
          <w:szCs w:val="24"/>
        </w:rPr>
        <w:t>Differences in continuous variables between men and women were assessed using Student’s t-tests and in categorical variables using Pearson’s Χ² t</w:t>
      </w:r>
      <w:r>
        <w:rPr>
          <w:rFonts w:ascii="Times New Roman" w:hAnsi="Times New Roman"/>
          <w:sz w:val="24"/>
          <w:szCs w:val="24"/>
        </w:rPr>
        <w:t>est</w:t>
      </w:r>
      <w:r w:rsidR="00A00536">
        <w:rPr>
          <w:rFonts w:ascii="Times New Roman" w:hAnsi="Times New Roman"/>
          <w:sz w:val="24"/>
          <w:szCs w:val="24"/>
        </w:rPr>
        <w:t xml:space="preserve"> or Fisher’s exact test, as appropriate</w:t>
      </w:r>
      <w:r w:rsidRPr="00CE7F1D">
        <w:rPr>
          <w:rFonts w:ascii="Times New Roman" w:hAnsi="Times New Roman"/>
          <w:sz w:val="24"/>
          <w:szCs w:val="24"/>
        </w:rPr>
        <w:t>.</w:t>
      </w:r>
      <w:r>
        <w:rPr>
          <w:rFonts w:ascii="Times New Roman" w:hAnsi="Times New Roman"/>
          <w:sz w:val="24"/>
          <w:szCs w:val="24"/>
        </w:rPr>
        <w:t xml:space="preserve">  L</w:t>
      </w:r>
      <w:r w:rsidRPr="00D01601">
        <w:rPr>
          <w:rFonts w:ascii="Times New Roman" w:hAnsi="Times New Roman"/>
          <w:sz w:val="24"/>
          <w:szCs w:val="24"/>
        </w:rPr>
        <w:t>inear regression</w:t>
      </w:r>
      <w:r>
        <w:rPr>
          <w:rFonts w:ascii="Times New Roman" w:hAnsi="Times New Roman"/>
          <w:sz w:val="24"/>
          <w:szCs w:val="24"/>
        </w:rPr>
        <w:t xml:space="preserve"> was used</w:t>
      </w:r>
      <w:r w:rsidRPr="00D01601">
        <w:rPr>
          <w:rFonts w:ascii="Times New Roman" w:hAnsi="Times New Roman"/>
          <w:sz w:val="24"/>
          <w:szCs w:val="24"/>
        </w:rPr>
        <w:t xml:space="preserve"> to examine the associations between </w:t>
      </w:r>
      <w:r>
        <w:rPr>
          <w:rFonts w:ascii="Times New Roman" w:hAnsi="Times New Roman"/>
          <w:sz w:val="24"/>
          <w:szCs w:val="24"/>
        </w:rPr>
        <w:t>the presence of</w:t>
      </w:r>
      <w:r w:rsidR="002272FB">
        <w:rPr>
          <w:rFonts w:ascii="Times New Roman" w:hAnsi="Times New Roman"/>
          <w:sz w:val="24"/>
          <w:szCs w:val="24"/>
        </w:rPr>
        <w:t xml:space="preserve"> JSN and</w:t>
      </w:r>
      <w:r>
        <w:rPr>
          <w:rFonts w:ascii="Times New Roman" w:hAnsi="Times New Roman"/>
          <w:sz w:val="24"/>
          <w:szCs w:val="24"/>
        </w:rPr>
        <w:t xml:space="preserve"> </w:t>
      </w:r>
      <w:proofErr w:type="spellStart"/>
      <w:r w:rsidR="002272FB">
        <w:rPr>
          <w:rFonts w:ascii="Times New Roman" w:hAnsi="Times New Roman"/>
          <w:sz w:val="24"/>
          <w:szCs w:val="24"/>
        </w:rPr>
        <w:t>HR</w:t>
      </w:r>
      <w:r w:rsidRPr="00D01601">
        <w:rPr>
          <w:rFonts w:ascii="Times New Roman" w:hAnsi="Times New Roman"/>
          <w:sz w:val="24"/>
          <w:szCs w:val="24"/>
        </w:rPr>
        <w:t>pQCT</w:t>
      </w:r>
      <w:proofErr w:type="spellEnd"/>
      <w:r w:rsidRPr="00D01601">
        <w:rPr>
          <w:rFonts w:ascii="Times New Roman" w:hAnsi="Times New Roman"/>
          <w:sz w:val="24"/>
          <w:szCs w:val="24"/>
        </w:rPr>
        <w:t xml:space="preserve"> bone</w:t>
      </w:r>
      <w:r>
        <w:rPr>
          <w:rFonts w:ascii="Times New Roman" w:hAnsi="Times New Roman"/>
          <w:sz w:val="24"/>
          <w:szCs w:val="24"/>
        </w:rPr>
        <w:t xml:space="preserve"> parameters</w:t>
      </w:r>
      <w:r w:rsidRPr="00D01601">
        <w:rPr>
          <w:rFonts w:ascii="Times New Roman" w:hAnsi="Times New Roman"/>
          <w:sz w:val="24"/>
          <w:szCs w:val="24"/>
        </w:rPr>
        <w:t xml:space="preserve">. </w:t>
      </w:r>
      <w:r w:rsidR="002272FB">
        <w:rPr>
          <w:rFonts w:ascii="Times New Roman" w:hAnsi="Times New Roman"/>
          <w:sz w:val="24"/>
          <w:szCs w:val="24"/>
        </w:rPr>
        <w:t xml:space="preserve"> Participants were then grouped into those with no bony changes, osteophytes alone, and both osteophytes and sclerosis.  Linear regression was used to assess for differences in </w:t>
      </w:r>
      <w:proofErr w:type="spellStart"/>
      <w:r w:rsidR="002272FB">
        <w:rPr>
          <w:rFonts w:ascii="Times New Roman" w:hAnsi="Times New Roman"/>
          <w:sz w:val="24"/>
          <w:szCs w:val="24"/>
        </w:rPr>
        <w:t>HRpQCT</w:t>
      </w:r>
      <w:proofErr w:type="spellEnd"/>
      <w:r w:rsidR="002272FB">
        <w:rPr>
          <w:rFonts w:ascii="Times New Roman" w:hAnsi="Times New Roman"/>
          <w:sz w:val="24"/>
          <w:szCs w:val="24"/>
        </w:rPr>
        <w:t xml:space="preserve"> bone parameters between each of these three groups separately.  All regression</w:t>
      </w:r>
      <w:r w:rsidRPr="00D01601">
        <w:rPr>
          <w:rFonts w:ascii="Times New Roman" w:hAnsi="Times New Roman"/>
          <w:sz w:val="24"/>
          <w:szCs w:val="24"/>
        </w:rPr>
        <w:t xml:space="preserve"> analyses were undertaken with and without adjustment for</w:t>
      </w:r>
      <w:r w:rsidR="009C4360">
        <w:rPr>
          <w:rFonts w:ascii="Times New Roman" w:hAnsi="Times New Roman"/>
          <w:sz w:val="24"/>
          <w:szCs w:val="24"/>
        </w:rPr>
        <w:t xml:space="preserve"> </w:t>
      </w:r>
      <w:r w:rsidR="009C4360" w:rsidRPr="00457CE6">
        <w:rPr>
          <w:rFonts w:ascii="Times New Roman" w:hAnsi="Times New Roman"/>
          <w:sz w:val="24"/>
          <w:szCs w:val="24"/>
        </w:rPr>
        <w:t>the</w:t>
      </w:r>
      <w:r w:rsidRPr="00457CE6">
        <w:rPr>
          <w:rFonts w:ascii="Times New Roman" w:hAnsi="Times New Roman"/>
          <w:sz w:val="24"/>
          <w:szCs w:val="24"/>
        </w:rPr>
        <w:t xml:space="preserve"> </w:t>
      </w:r>
      <w:r w:rsidR="00F95598" w:rsidRPr="00457CE6">
        <w:rPr>
          <w:rFonts w:ascii="Times New Roman" w:hAnsi="Times New Roman"/>
          <w:sz w:val="24"/>
          <w:szCs w:val="24"/>
        </w:rPr>
        <w:t xml:space="preserve">a priori </w:t>
      </w:r>
      <w:r w:rsidR="009C4360" w:rsidRPr="00457CE6">
        <w:rPr>
          <w:rFonts w:ascii="Times New Roman" w:hAnsi="Times New Roman"/>
          <w:sz w:val="24"/>
          <w:szCs w:val="24"/>
        </w:rPr>
        <w:t>covariates</w:t>
      </w:r>
      <w:r w:rsidR="00F95598">
        <w:rPr>
          <w:rFonts w:ascii="Times New Roman" w:hAnsi="Times New Roman"/>
          <w:sz w:val="24"/>
          <w:szCs w:val="24"/>
        </w:rPr>
        <w:t xml:space="preserve"> of </w:t>
      </w:r>
      <w:r w:rsidRPr="00F95598">
        <w:rPr>
          <w:rFonts w:ascii="Times New Roman" w:hAnsi="Times New Roman"/>
          <w:sz w:val="24"/>
          <w:szCs w:val="24"/>
        </w:rPr>
        <w:t>age</w:t>
      </w:r>
      <w:r w:rsidRPr="00D01601">
        <w:rPr>
          <w:rFonts w:ascii="Times New Roman" w:hAnsi="Times New Roman"/>
          <w:sz w:val="24"/>
          <w:szCs w:val="24"/>
        </w:rPr>
        <w:t xml:space="preserve"> and BMI.</w:t>
      </w:r>
    </w:p>
    <w:p w14:paraId="3DB9A8AE" w14:textId="77777777" w:rsidR="00886953" w:rsidRDefault="00886953" w:rsidP="00DF6C1B">
      <w:pPr>
        <w:spacing w:after="0" w:line="360" w:lineRule="auto"/>
        <w:jc w:val="both"/>
        <w:rPr>
          <w:rFonts w:ascii="Times New Roman" w:hAnsi="Times New Roman"/>
          <w:sz w:val="24"/>
          <w:szCs w:val="24"/>
        </w:rPr>
      </w:pPr>
    </w:p>
    <w:p w14:paraId="1688F73A" w14:textId="77777777" w:rsidR="00886953" w:rsidRDefault="00886953" w:rsidP="00DF6C1B">
      <w:pPr>
        <w:spacing w:after="0" w:line="360" w:lineRule="auto"/>
        <w:jc w:val="both"/>
        <w:rPr>
          <w:rFonts w:ascii="Times New Roman" w:hAnsi="Times New Roman"/>
          <w:sz w:val="24"/>
          <w:szCs w:val="24"/>
        </w:rPr>
      </w:pPr>
    </w:p>
    <w:p w14:paraId="1F8121A5" w14:textId="77777777" w:rsidR="00886953" w:rsidRDefault="00886953" w:rsidP="00DF6C1B">
      <w:pPr>
        <w:spacing w:after="0" w:line="360" w:lineRule="auto"/>
        <w:jc w:val="both"/>
        <w:rPr>
          <w:rFonts w:ascii="Times New Roman" w:hAnsi="Times New Roman"/>
          <w:sz w:val="24"/>
          <w:szCs w:val="24"/>
        </w:rPr>
      </w:pPr>
    </w:p>
    <w:p w14:paraId="5D87F253" w14:textId="77777777" w:rsidR="00886953" w:rsidRDefault="00886953" w:rsidP="00DF6C1B">
      <w:pPr>
        <w:spacing w:after="0" w:line="360" w:lineRule="auto"/>
        <w:jc w:val="both"/>
        <w:rPr>
          <w:rFonts w:ascii="Times New Roman" w:hAnsi="Times New Roman"/>
          <w:sz w:val="24"/>
          <w:szCs w:val="24"/>
        </w:rPr>
      </w:pPr>
    </w:p>
    <w:p w14:paraId="43684AFF" w14:textId="77777777" w:rsidR="00886953" w:rsidRDefault="00886953" w:rsidP="00DF6C1B">
      <w:pPr>
        <w:spacing w:after="0" w:line="360" w:lineRule="auto"/>
        <w:jc w:val="both"/>
        <w:rPr>
          <w:rFonts w:ascii="Times New Roman" w:hAnsi="Times New Roman"/>
          <w:b/>
          <w:sz w:val="32"/>
          <w:szCs w:val="32"/>
        </w:rPr>
      </w:pPr>
      <w:r w:rsidRPr="001F491D">
        <w:rPr>
          <w:rFonts w:ascii="Times New Roman" w:hAnsi="Times New Roman"/>
          <w:b/>
          <w:sz w:val="32"/>
          <w:szCs w:val="32"/>
        </w:rPr>
        <w:t>Results</w:t>
      </w:r>
    </w:p>
    <w:p w14:paraId="1311E13F" w14:textId="77777777" w:rsidR="00886953" w:rsidRPr="001F491D" w:rsidRDefault="00886953" w:rsidP="00DF6C1B">
      <w:pPr>
        <w:spacing w:after="0" w:line="360" w:lineRule="auto"/>
        <w:jc w:val="both"/>
        <w:rPr>
          <w:rFonts w:ascii="Times New Roman" w:hAnsi="Times New Roman"/>
          <w:b/>
          <w:sz w:val="32"/>
          <w:szCs w:val="32"/>
        </w:rPr>
      </w:pPr>
    </w:p>
    <w:p w14:paraId="2FFAE1BD" w14:textId="77777777" w:rsidR="00886953" w:rsidRPr="001F491D" w:rsidRDefault="00886953" w:rsidP="00DF6C1B">
      <w:pPr>
        <w:spacing w:after="0" w:line="360" w:lineRule="auto"/>
        <w:jc w:val="both"/>
        <w:rPr>
          <w:rFonts w:ascii="Times New Roman" w:hAnsi="Times New Roman"/>
          <w:b/>
          <w:sz w:val="24"/>
          <w:szCs w:val="24"/>
        </w:rPr>
      </w:pPr>
      <w:r w:rsidRPr="001F491D">
        <w:rPr>
          <w:rFonts w:ascii="Times New Roman" w:hAnsi="Times New Roman"/>
          <w:b/>
          <w:sz w:val="24"/>
          <w:szCs w:val="24"/>
        </w:rPr>
        <w:t>Characteristics of study participants</w:t>
      </w:r>
    </w:p>
    <w:p w14:paraId="46B2DDCF" w14:textId="63A016D0" w:rsidR="00886953" w:rsidRDefault="00886953" w:rsidP="00DF6C1B">
      <w:pPr>
        <w:spacing w:after="0" w:line="360" w:lineRule="auto"/>
        <w:jc w:val="both"/>
        <w:rPr>
          <w:rFonts w:ascii="Times New Roman" w:hAnsi="Times New Roman"/>
          <w:sz w:val="24"/>
          <w:szCs w:val="24"/>
        </w:rPr>
      </w:pPr>
      <w:r w:rsidRPr="001F491D">
        <w:rPr>
          <w:rFonts w:ascii="Times New Roman" w:hAnsi="Times New Roman"/>
          <w:sz w:val="24"/>
          <w:szCs w:val="24"/>
        </w:rPr>
        <w:t>The mean</w:t>
      </w:r>
      <w:r w:rsidR="00070F52">
        <w:rPr>
          <w:rFonts w:ascii="Times New Roman" w:hAnsi="Times New Roman"/>
          <w:sz w:val="24"/>
          <w:szCs w:val="24"/>
        </w:rPr>
        <w:t>(SD)</w:t>
      </w:r>
      <w:r w:rsidRPr="001F491D">
        <w:rPr>
          <w:rFonts w:ascii="Times New Roman" w:hAnsi="Times New Roman"/>
          <w:sz w:val="24"/>
          <w:szCs w:val="24"/>
        </w:rPr>
        <w:t xml:space="preserve"> age of participants was 7</w:t>
      </w:r>
      <w:r w:rsidR="00070F52">
        <w:rPr>
          <w:rFonts w:ascii="Times New Roman" w:hAnsi="Times New Roman"/>
          <w:sz w:val="24"/>
          <w:szCs w:val="24"/>
        </w:rPr>
        <w:t>6.1(2.5)</w:t>
      </w:r>
      <w:r w:rsidRPr="001F491D">
        <w:rPr>
          <w:rFonts w:ascii="Times New Roman" w:hAnsi="Times New Roman"/>
          <w:sz w:val="24"/>
          <w:szCs w:val="24"/>
        </w:rPr>
        <w:t xml:space="preserve"> and 7</w:t>
      </w:r>
      <w:r w:rsidR="00070F52">
        <w:rPr>
          <w:rFonts w:ascii="Times New Roman" w:hAnsi="Times New Roman"/>
          <w:sz w:val="24"/>
          <w:szCs w:val="24"/>
        </w:rPr>
        <w:t>6</w:t>
      </w:r>
      <w:r w:rsidRPr="001F491D">
        <w:rPr>
          <w:rFonts w:ascii="Times New Roman" w:hAnsi="Times New Roman"/>
          <w:sz w:val="24"/>
          <w:szCs w:val="24"/>
        </w:rPr>
        <w:t>.</w:t>
      </w:r>
      <w:r w:rsidR="00070F52">
        <w:rPr>
          <w:rFonts w:ascii="Times New Roman" w:hAnsi="Times New Roman"/>
          <w:sz w:val="24"/>
          <w:szCs w:val="24"/>
        </w:rPr>
        <w:t xml:space="preserve">4(2.6) years in </w:t>
      </w:r>
      <w:r w:rsidRPr="001F491D">
        <w:rPr>
          <w:rFonts w:ascii="Times New Roman" w:hAnsi="Times New Roman"/>
          <w:sz w:val="24"/>
          <w:szCs w:val="24"/>
        </w:rPr>
        <w:t xml:space="preserve">men and </w:t>
      </w:r>
      <w:r w:rsidR="00070F52">
        <w:rPr>
          <w:rFonts w:ascii="Times New Roman" w:hAnsi="Times New Roman"/>
          <w:sz w:val="24"/>
          <w:szCs w:val="24"/>
        </w:rPr>
        <w:t>wo</w:t>
      </w:r>
      <w:r w:rsidRPr="001F491D">
        <w:rPr>
          <w:rFonts w:ascii="Times New Roman" w:hAnsi="Times New Roman"/>
          <w:sz w:val="24"/>
          <w:szCs w:val="24"/>
        </w:rPr>
        <w:t>men, respectively (Table 1). Rates of smoking were higher in men than women (p&lt;0.001); 58.</w:t>
      </w:r>
      <w:r>
        <w:rPr>
          <w:rFonts w:ascii="Times New Roman" w:hAnsi="Times New Roman"/>
          <w:sz w:val="24"/>
          <w:szCs w:val="24"/>
        </w:rPr>
        <w:t>2</w:t>
      </w:r>
      <w:r w:rsidRPr="001F491D">
        <w:rPr>
          <w:rFonts w:ascii="Times New Roman" w:hAnsi="Times New Roman"/>
          <w:sz w:val="24"/>
          <w:szCs w:val="24"/>
        </w:rPr>
        <w:t>% of men (n=</w:t>
      </w:r>
      <w:r>
        <w:rPr>
          <w:rFonts w:ascii="Times New Roman" w:hAnsi="Times New Roman"/>
          <w:sz w:val="24"/>
          <w:szCs w:val="24"/>
        </w:rPr>
        <w:t>99</w:t>
      </w:r>
      <w:r w:rsidRPr="001F491D">
        <w:rPr>
          <w:rFonts w:ascii="Times New Roman" w:hAnsi="Times New Roman"/>
          <w:sz w:val="24"/>
          <w:szCs w:val="24"/>
        </w:rPr>
        <w:t>) and 37</w:t>
      </w:r>
      <w:r>
        <w:rPr>
          <w:rFonts w:ascii="Times New Roman" w:hAnsi="Times New Roman"/>
          <w:sz w:val="24"/>
          <w:szCs w:val="24"/>
        </w:rPr>
        <w:t>.8</w:t>
      </w:r>
      <w:r w:rsidRPr="001F491D">
        <w:rPr>
          <w:rFonts w:ascii="Times New Roman" w:hAnsi="Times New Roman"/>
          <w:sz w:val="24"/>
          <w:szCs w:val="24"/>
        </w:rPr>
        <w:t>% of women (n</w:t>
      </w:r>
      <w:r w:rsidRPr="00381DBE">
        <w:rPr>
          <w:rFonts w:ascii="Times New Roman" w:hAnsi="Times New Roman"/>
          <w:sz w:val="24"/>
          <w:szCs w:val="24"/>
        </w:rPr>
        <w:t>=56) were current or ex-smokers. Alcohol consumption was also greater in men (p&lt;0.001). Prevalence of radiographic hip</w:t>
      </w:r>
      <w:r>
        <w:rPr>
          <w:rFonts w:ascii="Times New Roman" w:hAnsi="Times New Roman"/>
          <w:sz w:val="24"/>
          <w:szCs w:val="24"/>
        </w:rPr>
        <w:t xml:space="preserve"> OA (Croft score</w:t>
      </w:r>
      <w:r w:rsidR="00AA4887">
        <w:rPr>
          <w:rFonts w:ascii="Times New Roman" w:hAnsi="Times New Roman"/>
          <w:sz w:val="24"/>
          <w:szCs w:val="24"/>
        </w:rPr>
        <w:t xml:space="preserve"> </w:t>
      </w:r>
      <w:r>
        <w:rPr>
          <w:rFonts w:ascii="Times New Roman" w:hAnsi="Times New Roman"/>
          <w:sz w:val="24"/>
          <w:szCs w:val="24"/>
        </w:rPr>
        <w:t xml:space="preserve">≥3), sclerosis and JSN did not differ significantly by sex whereas osteophytes </w:t>
      </w:r>
      <w:r w:rsidR="001C54C9">
        <w:rPr>
          <w:rFonts w:ascii="Times New Roman" w:hAnsi="Times New Roman"/>
          <w:sz w:val="24"/>
          <w:szCs w:val="24"/>
        </w:rPr>
        <w:t>were more common</w:t>
      </w:r>
      <w:r>
        <w:rPr>
          <w:rFonts w:ascii="Times New Roman" w:hAnsi="Times New Roman"/>
          <w:sz w:val="24"/>
          <w:szCs w:val="24"/>
        </w:rPr>
        <w:t xml:space="preserve"> in men than women (n=</w:t>
      </w:r>
      <w:r w:rsidR="005C4DA8">
        <w:rPr>
          <w:rFonts w:ascii="Times New Roman" w:hAnsi="Times New Roman"/>
          <w:sz w:val="24"/>
          <w:szCs w:val="24"/>
        </w:rPr>
        <w:t xml:space="preserve">119 </w:t>
      </w:r>
      <w:r>
        <w:rPr>
          <w:rFonts w:ascii="Times New Roman" w:hAnsi="Times New Roman"/>
          <w:sz w:val="24"/>
          <w:szCs w:val="24"/>
        </w:rPr>
        <w:t>(</w:t>
      </w:r>
      <w:r w:rsidR="005C4DA8">
        <w:rPr>
          <w:rFonts w:ascii="Times New Roman" w:hAnsi="Times New Roman"/>
          <w:sz w:val="24"/>
          <w:szCs w:val="24"/>
        </w:rPr>
        <w:t>70.0</w:t>
      </w:r>
      <w:r>
        <w:rPr>
          <w:rFonts w:ascii="Times New Roman" w:hAnsi="Times New Roman"/>
          <w:sz w:val="24"/>
          <w:szCs w:val="24"/>
        </w:rPr>
        <w:t>%</w:t>
      </w:r>
      <w:r w:rsidRPr="00A84C65">
        <w:rPr>
          <w:rFonts w:ascii="Times New Roman" w:hAnsi="Times New Roman"/>
          <w:sz w:val="24"/>
          <w:szCs w:val="24"/>
        </w:rPr>
        <w:t>)</w:t>
      </w:r>
      <w:r>
        <w:rPr>
          <w:rFonts w:ascii="Times New Roman" w:hAnsi="Times New Roman"/>
          <w:sz w:val="24"/>
          <w:szCs w:val="24"/>
        </w:rPr>
        <w:t xml:space="preserve"> vs. n=</w:t>
      </w:r>
      <w:r w:rsidR="005C4DA8">
        <w:rPr>
          <w:rFonts w:ascii="Times New Roman" w:hAnsi="Times New Roman"/>
          <w:sz w:val="24"/>
          <w:szCs w:val="24"/>
        </w:rPr>
        <w:t>84</w:t>
      </w:r>
      <w:r w:rsidR="005C4DA8" w:rsidRPr="00A84C65">
        <w:rPr>
          <w:rFonts w:ascii="Times New Roman" w:hAnsi="Times New Roman"/>
          <w:sz w:val="24"/>
          <w:szCs w:val="24"/>
        </w:rPr>
        <w:t xml:space="preserve"> </w:t>
      </w:r>
      <w:r w:rsidRPr="00A84C65">
        <w:rPr>
          <w:rFonts w:ascii="Times New Roman" w:hAnsi="Times New Roman"/>
          <w:sz w:val="24"/>
          <w:szCs w:val="24"/>
        </w:rPr>
        <w:t>(</w:t>
      </w:r>
      <w:r w:rsidR="005C4DA8">
        <w:rPr>
          <w:rFonts w:ascii="Times New Roman" w:hAnsi="Times New Roman"/>
          <w:sz w:val="24"/>
          <w:szCs w:val="24"/>
        </w:rPr>
        <w:t>56.8</w:t>
      </w:r>
      <w:r>
        <w:rPr>
          <w:rFonts w:ascii="Times New Roman" w:hAnsi="Times New Roman"/>
          <w:sz w:val="24"/>
          <w:szCs w:val="24"/>
        </w:rPr>
        <w:t>%</w:t>
      </w:r>
      <w:r w:rsidRPr="00A84C65">
        <w:rPr>
          <w:rFonts w:ascii="Times New Roman" w:hAnsi="Times New Roman"/>
          <w:sz w:val="24"/>
          <w:szCs w:val="24"/>
        </w:rPr>
        <w:t>)</w:t>
      </w:r>
      <w:r>
        <w:rPr>
          <w:rFonts w:ascii="Times New Roman" w:hAnsi="Times New Roman"/>
          <w:sz w:val="24"/>
          <w:szCs w:val="24"/>
        </w:rPr>
        <w:t>; p=</w:t>
      </w:r>
      <w:r w:rsidR="005C4DA8">
        <w:rPr>
          <w:rFonts w:ascii="Times New Roman" w:hAnsi="Times New Roman"/>
          <w:sz w:val="24"/>
          <w:szCs w:val="24"/>
        </w:rPr>
        <w:t>0.014</w:t>
      </w:r>
      <w:r>
        <w:rPr>
          <w:rFonts w:ascii="Times New Roman" w:hAnsi="Times New Roman"/>
          <w:sz w:val="24"/>
          <w:szCs w:val="24"/>
        </w:rPr>
        <w:t>).</w:t>
      </w:r>
    </w:p>
    <w:p w14:paraId="56F43958" w14:textId="77777777" w:rsidR="00886953" w:rsidRDefault="00886953" w:rsidP="00DF6C1B">
      <w:pPr>
        <w:spacing w:after="0" w:line="360" w:lineRule="auto"/>
        <w:jc w:val="both"/>
        <w:rPr>
          <w:rFonts w:ascii="Times New Roman" w:hAnsi="Times New Roman"/>
          <w:sz w:val="24"/>
          <w:szCs w:val="24"/>
        </w:rPr>
      </w:pPr>
    </w:p>
    <w:p w14:paraId="7248DB6D" w14:textId="77777777" w:rsidR="00886953" w:rsidRDefault="00886953" w:rsidP="00CE2435">
      <w:pPr>
        <w:spacing w:after="0" w:line="360" w:lineRule="auto"/>
        <w:jc w:val="both"/>
        <w:rPr>
          <w:rFonts w:ascii="Times New Roman" w:hAnsi="Times New Roman"/>
          <w:b/>
          <w:sz w:val="24"/>
          <w:szCs w:val="24"/>
        </w:rPr>
      </w:pPr>
      <w:r w:rsidRPr="008E497B">
        <w:rPr>
          <w:rFonts w:ascii="Times New Roman" w:hAnsi="Times New Roman"/>
          <w:b/>
          <w:sz w:val="24"/>
          <w:szCs w:val="24"/>
        </w:rPr>
        <w:t>Bone geometry, volumetric bone mineral density and microarchitecture</w:t>
      </w:r>
    </w:p>
    <w:p w14:paraId="7016EB77" w14:textId="0BC406B6" w:rsidR="00886953" w:rsidRPr="008E497B" w:rsidRDefault="00070F52" w:rsidP="00CE2435">
      <w:pPr>
        <w:spacing w:after="0" w:line="360" w:lineRule="auto"/>
        <w:jc w:val="both"/>
        <w:rPr>
          <w:rFonts w:ascii="Times New Roman" w:hAnsi="Times New Roman"/>
          <w:sz w:val="24"/>
          <w:szCs w:val="24"/>
        </w:rPr>
      </w:pPr>
      <w:proofErr w:type="spellStart"/>
      <w:r>
        <w:rPr>
          <w:rFonts w:ascii="Times New Roman" w:hAnsi="Times New Roman"/>
          <w:sz w:val="24"/>
          <w:szCs w:val="24"/>
        </w:rPr>
        <w:t>T</w:t>
      </w:r>
      <w:r w:rsidR="00740025">
        <w:rPr>
          <w:rFonts w:ascii="Times New Roman" w:hAnsi="Times New Roman"/>
          <w:sz w:val="24"/>
          <w:szCs w:val="24"/>
        </w:rPr>
        <w:t>b.vBMD</w:t>
      </w:r>
      <w:proofErr w:type="spellEnd"/>
      <w:r w:rsidR="00740025">
        <w:rPr>
          <w:rFonts w:ascii="Times New Roman" w:hAnsi="Times New Roman"/>
          <w:sz w:val="24"/>
          <w:szCs w:val="24"/>
        </w:rPr>
        <w:t xml:space="preserve"> and </w:t>
      </w:r>
      <w:proofErr w:type="spellStart"/>
      <w:r w:rsidR="00740025">
        <w:rPr>
          <w:rFonts w:ascii="Times New Roman" w:hAnsi="Times New Roman"/>
          <w:sz w:val="24"/>
          <w:szCs w:val="24"/>
        </w:rPr>
        <w:t>Tb.Th</w:t>
      </w:r>
      <w:proofErr w:type="spellEnd"/>
      <w:r>
        <w:rPr>
          <w:rFonts w:ascii="Times New Roman" w:hAnsi="Times New Roman"/>
          <w:sz w:val="24"/>
          <w:szCs w:val="24"/>
        </w:rPr>
        <w:t xml:space="preserve"> both tended to be higher in m</w:t>
      </w:r>
      <w:r w:rsidR="00886953">
        <w:rPr>
          <w:rFonts w:ascii="Times New Roman" w:hAnsi="Times New Roman"/>
          <w:sz w:val="24"/>
          <w:szCs w:val="24"/>
        </w:rPr>
        <w:t>en with</w:t>
      </w:r>
      <w:r>
        <w:rPr>
          <w:rFonts w:ascii="Times New Roman" w:hAnsi="Times New Roman"/>
          <w:sz w:val="24"/>
          <w:szCs w:val="24"/>
        </w:rPr>
        <w:t xml:space="preserve"> bony changes.  However, these differences only reached statistical significance for</w:t>
      </w:r>
      <w:r w:rsidR="00886953">
        <w:rPr>
          <w:rFonts w:ascii="Times New Roman" w:hAnsi="Times New Roman"/>
          <w:sz w:val="24"/>
          <w:szCs w:val="24"/>
        </w:rPr>
        <w:t xml:space="preserve"> osteophytes</w:t>
      </w:r>
      <w:r>
        <w:rPr>
          <w:rFonts w:ascii="Times New Roman" w:hAnsi="Times New Roman"/>
          <w:sz w:val="24"/>
          <w:szCs w:val="24"/>
        </w:rPr>
        <w:t xml:space="preserve"> alone with </w:t>
      </w:r>
      <w:proofErr w:type="spellStart"/>
      <w:r>
        <w:rPr>
          <w:rFonts w:ascii="Times New Roman" w:hAnsi="Times New Roman"/>
          <w:sz w:val="24"/>
          <w:szCs w:val="24"/>
        </w:rPr>
        <w:t>Tb.vBMD</w:t>
      </w:r>
      <w:proofErr w:type="spellEnd"/>
      <w:r>
        <w:rPr>
          <w:rFonts w:ascii="Times New Roman" w:hAnsi="Times New Roman"/>
          <w:sz w:val="24"/>
          <w:szCs w:val="24"/>
        </w:rPr>
        <w:t xml:space="preserve"> in the distal radius and </w:t>
      </w:r>
      <w:proofErr w:type="spellStart"/>
      <w:r>
        <w:rPr>
          <w:rFonts w:ascii="Times New Roman" w:hAnsi="Times New Roman"/>
          <w:sz w:val="24"/>
          <w:szCs w:val="24"/>
        </w:rPr>
        <w:t>Tb.Th</w:t>
      </w:r>
      <w:proofErr w:type="spellEnd"/>
      <w:r>
        <w:rPr>
          <w:rFonts w:ascii="Times New Roman" w:hAnsi="Times New Roman"/>
          <w:sz w:val="24"/>
          <w:szCs w:val="24"/>
        </w:rPr>
        <w:t xml:space="preserve"> in both the distal radius and tibia (p&lt;0.05 in each case) (</w:t>
      </w:r>
      <w:r w:rsidR="00E020E8">
        <w:rPr>
          <w:rFonts w:ascii="Times New Roman" w:hAnsi="Times New Roman"/>
          <w:sz w:val="24"/>
          <w:szCs w:val="24"/>
        </w:rPr>
        <w:t xml:space="preserve">Table 2 and 3; </w:t>
      </w:r>
      <w:r>
        <w:rPr>
          <w:rFonts w:ascii="Times New Roman" w:hAnsi="Times New Roman"/>
          <w:sz w:val="24"/>
          <w:szCs w:val="24"/>
        </w:rPr>
        <w:t xml:space="preserve">Figure 1). </w:t>
      </w:r>
      <w:r w:rsidR="00886953">
        <w:rPr>
          <w:rFonts w:ascii="Times New Roman" w:hAnsi="Times New Roman"/>
          <w:sz w:val="24"/>
          <w:szCs w:val="24"/>
        </w:rPr>
        <w:t xml:space="preserve"> </w:t>
      </w:r>
      <w:r>
        <w:rPr>
          <w:rFonts w:ascii="Times New Roman" w:hAnsi="Times New Roman"/>
          <w:sz w:val="24"/>
          <w:szCs w:val="24"/>
        </w:rPr>
        <w:t>These relationships were maintained after adjustment for age and BMI.</w:t>
      </w:r>
    </w:p>
    <w:p w14:paraId="3A5432A3" w14:textId="77777777" w:rsidR="00240A27" w:rsidRDefault="00240A27" w:rsidP="00647567">
      <w:pPr>
        <w:spacing w:after="0" w:line="360" w:lineRule="auto"/>
        <w:jc w:val="both"/>
        <w:rPr>
          <w:rFonts w:ascii="Times New Roman" w:hAnsi="Times New Roman"/>
          <w:sz w:val="24"/>
          <w:szCs w:val="24"/>
        </w:rPr>
      </w:pPr>
    </w:p>
    <w:p w14:paraId="4B275B2D" w14:textId="33BB81E7" w:rsidR="004D3067" w:rsidRDefault="00240A27" w:rsidP="00647567">
      <w:pPr>
        <w:spacing w:after="0" w:line="360" w:lineRule="auto"/>
        <w:jc w:val="both"/>
        <w:rPr>
          <w:rFonts w:ascii="Times New Roman" w:hAnsi="Times New Roman"/>
          <w:sz w:val="24"/>
          <w:szCs w:val="24"/>
        </w:rPr>
      </w:pPr>
      <w:r>
        <w:rPr>
          <w:rFonts w:ascii="Times New Roman" w:hAnsi="Times New Roman"/>
          <w:sz w:val="24"/>
          <w:szCs w:val="24"/>
        </w:rPr>
        <w:t>In the tibia, m</w:t>
      </w:r>
      <w:r w:rsidR="00070F52">
        <w:rPr>
          <w:rFonts w:ascii="Times New Roman" w:hAnsi="Times New Roman"/>
          <w:sz w:val="24"/>
          <w:szCs w:val="24"/>
        </w:rPr>
        <w:t>en</w:t>
      </w:r>
      <w:r w:rsidR="00886953" w:rsidRPr="00FF04A5">
        <w:rPr>
          <w:rFonts w:ascii="Times New Roman" w:hAnsi="Times New Roman"/>
          <w:sz w:val="24"/>
          <w:szCs w:val="24"/>
        </w:rPr>
        <w:t xml:space="preserve"> with </w:t>
      </w:r>
      <w:r>
        <w:rPr>
          <w:rFonts w:ascii="Times New Roman" w:hAnsi="Times New Roman"/>
          <w:sz w:val="24"/>
          <w:szCs w:val="24"/>
        </w:rPr>
        <w:t xml:space="preserve">both </w:t>
      </w:r>
      <w:r w:rsidR="00886953">
        <w:rPr>
          <w:rFonts w:ascii="Times New Roman" w:hAnsi="Times New Roman"/>
          <w:sz w:val="24"/>
          <w:szCs w:val="24"/>
        </w:rPr>
        <w:t>sclerosis</w:t>
      </w:r>
      <w:r>
        <w:rPr>
          <w:rFonts w:ascii="Times New Roman" w:hAnsi="Times New Roman"/>
          <w:sz w:val="24"/>
          <w:szCs w:val="24"/>
        </w:rPr>
        <w:t xml:space="preserve"> and osteophytes had </w:t>
      </w:r>
      <w:r w:rsidR="00886953" w:rsidRPr="00B21896">
        <w:rPr>
          <w:rFonts w:ascii="Times New Roman" w:hAnsi="Times New Roman"/>
          <w:sz w:val="24"/>
          <w:szCs w:val="24"/>
        </w:rPr>
        <w:t xml:space="preserve">higher </w:t>
      </w:r>
      <w:proofErr w:type="spellStart"/>
      <w:r>
        <w:rPr>
          <w:rFonts w:ascii="Times New Roman" w:hAnsi="Times New Roman"/>
          <w:sz w:val="24"/>
          <w:szCs w:val="24"/>
        </w:rPr>
        <w:t>Ct.vBMD</w:t>
      </w:r>
      <w:proofErr w:type="spellEnd"/>
      <w:r>
        <w:rPr>
          <w:rFonts w:ascii="Times New Roman" w:hAnsi="Times New Roman"/>
          <w:sz w:val="24"/>
          <w:szCs w:val="24"/>
        </w:rPr>
        <w:t xml:space="preserve"> (</w:t>
      </w:r>
      <w:r w:rsidR="00E63156">
        <w:rPr>
          <w:rFonts w:ascii="Times New Roman" w:hAnsi="Times New Roman"/>
          <w:sz w:val="24"/>
          <w:szCs w:val="24"/>
        </w:rPr>
        <w:t>mean</w:t>
      </w:r>
      <w:r w:rsidR="00520B9B">
        <w:rPr>
          <w:rFonts w:ascii="Times New Roman" w:hAnsi="Times New Roman"/>
          <w:sz w:val="24"/>
          <w:szCs w:val="24"/>
        </w:rPr>
        <w:t xml:space="preserve">(95%CI) </w:t>
      </w:r>
      <w:r>
        <w:rPr>
          <w:rFonts w:ascii="Times New Roman" w:hAnsi="Times New Roman"/>
          <w:sz w:val="24"/>
          <w:szCs w:val="24"/>
        </w:rPr>
        <w:t>897.5</w:t>
      </w:r>
      <w:r w:rsidR="00520B9B">
        <w:rPr>
          <w:rFonts w:ascii="Times New Roman" w:hAnsi="Times New Roman"/>
          <w:sz w:val="24"/>
          <w:szCs w:val="24"/>
        </w:rPr>
        <w:t>(877.5,917.5)</w:t>
      </w:r>
      <w:r>
        <w:rPr>
          <w:rFonts w:ascii="Times New Roman" w:hAnsi="Times New Roman"/>
          <w:sz w:val="24"/>
          <w:szCs w:val="24"/>
        </w:rPr>
        <w:t>mg/cm</w:t>
      </w:r>
      <w:r>
        <w:rPr>
          <w:rFonts w:ascii="Times New Roman" w:hAnsi="Times New Roman"/>
          <w:sz w:val="24"/>
          <w:szCs w:val="24"/>
          <w:vertAlign w:val="superscript"/>
        </w:rPr>
        <w:t>3</w:t>
      </w:r>
      <w:r>
        <w:rPr>
          <w:rFonts w:ascii="Times New Roman" w:hAnsi="Times New Roman"/>
          <w:sz w:val="24"/>
          <w:szCs w:val="24"/>
        </w:rPr>
        <w:t>) than in those with no bony changes (865.2</w:t>
      </w:r>
      <w:r w:rsidR="00520B9B">
        <w:rPr>
          <w:rFonts w:ascii="Times New Roman" w:hAnsi="Times New Roman"/>
          <w:sz w:val="24"/>
          <w:szCs w:val="24"/>
        </w:rPr>
        <w:t>(847.7,882.7)</w:t>
      </w:r>
      <w:r>
        <w:rPr>
          <w:rFonts w:ascii="Times New Roman" w:hAnsi="Times New Roman"/>
          <w:sz w:val="24"/>
          <w:szCs w:val="24"/>
        </w:rPr>
        <w:t>mg/cm</w:t>
      </w:r>
      <w:r>
        <w:rPr>
          <w:rFonts w:ascii="Times New Roman" w:hAnsi="Times New Roman"/>
          <w:sz w:val="24"/>
          <w:szCs w:val="24"/>
          <w:vertAlign w:val="superscript"/>
        </w:rPr>
        <w:t>3</w:t>
      </w:r>
      <w:r>
        <w:rPr>
          <w:rFonts w:ascii="Times New Roman" w:hAnsi="Times New Roman"/>
          <w:sz w:val="24"/>
          <w:szCs w:val="24"/>
        </w:rPr>
        <w:t>) and osteophytes alone (860.8</w:t>
      </w:r>
      <w:r w:rsidR="00520B9B">
        <w:rPr>
          <w:rFonts w:ascii="Times New Roman" w:hAnsi="Times New Roman"/>
          <w:sz w:val="24"/>
          <w:szCs w:val="24"/>
        </w:rPr>
        <w:t>(846.3,875.3)</w:t>
      </w:r>
      <w:r>
        <w:rPr>
          <w:rFonts w:ascii="Times New Roman" w:hAnsi="Times New Roman"/>
          <w:sz w:val="24"/>
          <w:szCs w:val="24"/>
        </w:rPr>
        <w:t>mg/cm</w:t>
      </w:r>
      <w:r>
        <w:rPr>
          <w:rFonts w:ascii="Times New Roman" w:hAnsi="Times New Roman"/>
          <w:sz w:val="24"/>
          <w:szCs w:val="24"/>
          <w:vertAlign w:val="superscript"/>
        </w:rPr>
        <w:t>3</w:t>
      </w:r>
      <w:r>
        <w:rPr>
          <w:rFonts w:ascii="Times New Roman" w:hAnsi="Times New Roman"/>
          <w:sz w:val="24"/>
          <w:szCs w:val="24"/>
        </w:rPr>
        <w:t xml:space="preserve">) (p&lt;0.05).  </w:t>
      </w:r>
      <w:r w:rsidR="006B7811">
        <w:rPr>
          <w:rFonts w:ascii="Times New Roman" w:hAnsi="Times New Roman"/>
          <w:sz w:val="24"/>
          <w:szCs w:val="24"/>
        </w:rPr>
        <w:t xml:space="preserve">This relationship was maintained after adjustment for age and BMI.  </w:t>
      </w:r>
      <w:r>
        <w:rPr>
          <w:rFonts w:ascii="Times New Roman" w:hAnsi="Times New Roman"/>
          <w:sz w:val="24"/>
          <w:szCs w:val="24"/>
        </w:rPr>
        <w:t xml:space="preserve">A similar trend was shown for </w:t>
      </w:r>
      <w:proofErr w:type="spellStart"/>
      <w:r>
        <w:rPr>
          <w:rFonts w:ascii="Times New Roman" w:hAnsi="Times New Roman"/>
          <w:sz w:val="24"/>
          <w:szCs w:val="24"/>
        </w:rPr>
        <w:t>tibial</w:t>
      </w:r>
      <w:proofErr w:type="spellEnd"/>
      <w:r>
        <w:rPr>
          <w:rFonts w:ascii="Times New Roman" w:hAnsi="Times New Roman"/>
          <w:sz w:val="24"/>
          <w:szCs w:val="24"/>
        </w:rPr>
        <w:t xml:space="preserve"> </w:t>
      </w:r>
      <w:proofErr w:type="spellStart"/>
      <w:r>
        <w:rPr>
          <w:rFonts w:ascii="Times New Roman" w:hAnsi="Times New Roman"/>
          <w:sz w:val="24"/>
          <w:szCs w:val="24"/>
        </w:rPr>
        <w:t>Ct.Th</w:t>
      </w:r>
      <w:proofErr w:type="spellEnd"/>
      <w:r>
        <w:rPr>
          <w:rFonts w:ascii="Times New Roman" w:hAnsi="Times New Roman"/>
          <w:sz w:val="24"/>
          <w:szCs w:val="24"/>
        </w:rPr>
        <w:t xml:space="preserve"> although only the difference between osteophytes alone (</w:t>
      </w:r>
      <w:r w:rsidR="00E63156">
        <w:rPr>
          <w:rFonts w:ascii="Times New Roman" w:hAnsi="Times New Roman"/>
          <w:sz w:val="24"/>
          <w:szCs w:val="24"/>
        </w:rPr>
        <w:t xml:space="preserve">mean(95%CI) </w:t>
      </w:r>
      <w:r>
        <w:rPr>
          <w:rFonts w:ascii="Times New Roman" w:hAnsi="Times New Roman"/>
          <w:sz w:val="24"/>
          <w:szCs w:val="24"/>
        </w:rPr>
        <w:t>1180</w:t>
      </w:r>
      <w:r w:rsidR="00E63156">
        <w:rPr>
          <w:rFonts w:ascii="Times New Roman" w:hAnsi="Times New Roman"/>
          <w:sz w:val="24"/>
          <w:szCs w:val="24"/>
        </w:rPr>
        <w:t>(1122,1239)</w:t>
      </w:r>
      <w:r>
        <w:rPr>
          <w:rFonts w:ascii="Times New Roman" w:hAnsi="Times New Roman"/>
          <w:sz w:val="24"/>
          <w:szCs w:val="24"/>
        </w:rPr>
        <w:t>µm) and osteophytes and sclerosis (1301</w:t>
      </w:r>
      <w:r w:rsidR="00E63156">
        <w:rPr>
          <w:rFonts w:ascii="Times New Roman" w:hAnsi="Times New Roman"/>
          <w:sz w:val="24"/>
          <w:szCs w:val="24"/>
        </w:rPr>
        <w:t>(1203,1400)</w:t>
      </w:r>
      <w:r>
        <w:rPr>
          <w:rFonts w:ascii="Times New Roman" w:hAnsi="Times New Roman"/>
          <w:sz w:val="24"/>
          <w:szCs w:val="24"/>
        </w:rPr>
        <w:t>µm) reached statistical signif</w:t>
      </w:r>
      <w:r w:rsidR="004D3067">
        <w:rPr>
          <w:rFonts w:ascii="Times New Roman" w:hAnsi="Times New Roman"/>
          <w:sz w:val="24"/>
          <w:szCs w:val="24"/>
        </w:rPr>
        <w:t>icance</w:t>
      </w:r>
      <w:r w:rsidR="006B7811">
        <w:rPr>
          <w:rFonts w:ascii="Times New Roman" w:hAnsi="Times New Roman"/>
          <w:sz w:val="24"/>
          <w:szCs w:val="24"/>
        </w:rPr>
        <w:t xml:space="preserve"> prior to adjustment</w:t>
      </w:r>
      <w:r w:rsidR="00E020E8">
        <w:rPr>
          <w:rFonts w:ascii="Times New Roman" w:hAnsi="Times New Roman"/>
          <w:sz w:val="24"/>
          <w:szCs w:val="24"/>
        </w:rPr>
        <w:t xml:space="preserve"> (Table 3)</w:t>
      </w:r>
      <w:r w:rsidR="004D3067">
        <w:rPr>
          <w:rFonts w:ascii="Times New Roman" w:hAnsi="Times New Roman"/>
          <w:sz w:val="24"/>
          <w:szCs w:val="24"/>
        </w:rPr>
        <w:t xml:space="preserve">.  </w:t>
      </w:r>
    </w:p>
    <w:p w14:paraId="3FE19D85" w14:textId="77777777" w:rsidR="004D3067" w:rsidRDefault="004D3067" w:rsidP="00647567">
      <w:pPr>
        <w:spacing w:after="0" w:line="360" w:lineRule="auto"/>
        <w:jc w:val="both"/>
        <w:rPr>
          <w:rFonts w:ascii="Times New Roman" w:hAnsi="Times New Roman"/>
          <w:sz w:val="24"/>
          <w:szCs w:val="24"/>
        </w:rPr>
      </w:pPr>
    </w:p>
    <w:p w14:paraId="062580DB" w14:textId="473DE836" w:rsidR="00642E4D" w:rsidRDefault="00240A27" w:rsidP="00647567">
      <w:pPr>
        <w:spacing w:after="0" w:line="360" w:lineRule="auto"/>
        <w:jc w:val="both"/>
        <w:rPr>
          <w:rFonts w:ascii="Times New Roman" w:hAnsi="Times New Roman"/>
          <w:sz w:val="24"/>
          <w:szCs w:val="24"/>
        </w:rPr>
      </w:pPr>
      <w:r>
        <w:rPr>
          <w:rFonts w:ascii="Times New Roman" w:hAnsi="Times New Roman"/>
          <w:sz w:val="24"/>
          <w:szCs w:val="24"/>
        </w:rPr>
        <w:t xml:space="preserve">Conversely, </w:t>
      </w:r>
      <w:r w:rsidR="00F10FDE">
        <w:rPr>
          <w:rFonts w:ascii="Times New Roman" w:hAnsi="Times New Roman"/>
          <w:sz w:val="24"/>
          <w:szCs w:val="24"/>
        </w:rPr>
        <w:t xml:space="preserve">in the tibia </w:t>
      </w:r>
      <w:r w:rsidR="004D3067">
        <w:rPr>
          <w:rFonts w:ascii="Times New Roman" w:hAnsi="Times New Roman"/>
          <w:sz w:val="24"/>
          <w:szCs w:val="24"/>
        </w:rPr>
        <w:t>those with osteophytes and sclerosis had lower cortical porosity than those without bony cha</w:t>
      </w:r>
      <w:r w:rsidR="00F647CE">
        <w:rPr>
          <w:rFonts w:ascii="Times New Roman" w:hAnsi="Times New Roman"/>
          <w:sz w:val="24"/>
          <w:szCs w:val="24"/>
        </w:rPr>
        <w:t>nges (p&lt;0.05) (Figure 1</w:t>
      </w:r>
      <w:r w:rsidR="004D3067">
        <w:rPr>
          <w:rFonts w:ascii="Times New Roman" w:hAnsi="Times New Roman"/>
          <w:sz w:val="24"/>
          <w:szCs w:val="24"/>
        </w:rPr>
        <w:t>).  This association was fully attenuated by adjustment for covariates.</w:t>
      </w:r>
      <w:r>
        <w:rPr>
          <w:rFonts w:ascii="Times New Roman" w:hAnsi="Times New Roman"/>
          <w:sz w:val="24"/>
          <w:szCs w:val="24"/>
        </w:rPr>
        <w:t xml:space="preserve"> </w:t>
      </w:r>
      <w:r w:rsidR="004D3067">
        <w:rPr>
          <w:rFonts w:ascii="Times New Roman" w:hAnsi="Times New Roman"/>
          <w:sz w:val="24"/>
          <w:szCs w:val="24"/>
        </w:rPr>
        <w:t xml:space="preserve"> </w:t>
      </w:r>
      <w:r>
        <w:rPr>
          <w:rFonts w:ascii="Times New Roman" w:hAnsi="Times New Roman"/>
          <w:sz w:val="24"/>
          <w:szCs w:val="24"/>
        </w:rPr>
        <w:t>N</w:t>
      </w:r>
      <w:r w:rsidR="00070F52" w:rsidRPr="00BB5784">
        <w:rPr>
          <w:rFonts w:ascii="Times New Roman" w:hAnsi="Times New Roman"/>
          <w:sz w:val="24"/>
          <w:szCs w:val="24"/>
        </w:rPr>
        <w:t>o association</w:t>
      </w:r>
      <w:r>
        <w:rPr>
          <w:rFonts w:ascii="Times New Roman" w:hAnsi="Times New Roman"/>
          <w:sz w:val="24"/>
          <w:szCs w:val="24"/>
        </w:rPr>
        <w:t>s were</w:t>
      </w:r>
      <w:r w:rsidR="00070F52" w:rsidRPr="00BB5784">
        <w:rPr>
          <w:rFonts w:ascii="Times New Roman" w:hAnsi="Times New Roman"/>
          <w:sz w:val="24"/>
          <w:szCs w:val="24"/>
        </w:rPr>
        <w:t xml:space="preserve"> found, at </w:t>
      </w:r>
      <w:r w:rsidR="00070F52">
        <w:rPr>
          <w:rFonts w:ascii="Times New Roman" w:hAnsi="Times New Roman"/>
          <w:sz w:val="24"/>
          <w:szCs w:val="24"/>
        </w:rPr>
        <w:t>either</w:t>
      </w:r>
      <w:r w:rsidR="004D3067">
        <w:rPr>
          <w:rFonts w:ascii="Times New Roman" w:hAnsi="Times New Roman"/>
          <w:sz w:val="24"/>
          <w:szCs w:val="24"/>
        </w:rPr>
        <w:t xml:space="preserve"> the radius or tibia</w:t>
      </w:r>
      <w:r w:rsidR="00070F52" w:rsidRPr="00BB5784">
        <w:rPr>
          <w:rFonts w:ascii="Times New Roman" w:hAnsi="Times New Roman"/>
          <w:sz w:val="24"/>
          <w:szCs w:val="24"/>
        </w:rPr>
        <w:t xml:space="preserve">, between </w:t>
      </w:r>
      <w:r>
        <w:rPr>
          <w:rFonts w:ascii="Times New Roman" w:hAnsi="Times New Roman"/>
          <w:sz w:val="24"/>
          <w:szCs w:val="24"/>
        </w:rPr>
        <w:t xml:space="preserve">bony changes in the hip and </w:t>
      </w:r>
      <w:proofErr w:type="spellStart"/>
      <w:r>
        <w:rPr>
          <w:rFonts w:ascii="Times New Roman" w:hAnsi="Times New Roman"/>
          <w:sz w:val="24"/>
          <w:szCs w:val="24"/>
        </w:rPr>
        <w:t>HRpQCT</w:t>
      </w:r>
      <w:proofErr w:type="spellEnd"/>
      <w:r>
        <w:rPr>
          <w:rFonts w:ascii="Times New Roman" w:hAnsi="Times New Roman"/>
          <w:sz w:val="24"/>
          <w:szCs w:val="24"/>
        </w:rPr>
        <w:t xml:space="preserve"> parameters</w:t>
      </w:r>
      <w:r w:rsidR="004D3067">
        <w:rPr>
          <w:rFonts w:ascii="Times New Roman" w:hAnsi="Times New Roman"/>
          <w:sz w:val="24"/>
          <w:szCs w:val="24"/>
        </w:rPr>
        <w:t xml:space="preserve"> in women, nor</w:t>
      </w:r>
      <w:r>
        <w:rPr>
          <w:rFonts w:ascii="Times New Roman" w:hAnsi="Times New Roman"/>
          <w:sz w:val="24"/>
          <w:szCs w:val="24"/>
        </w:rPr>
        <w:t xml:space="preserve"> between JSN and </w:t>
      </w:r>
      <w:proofErr w:type="spellStart"/>
      <w:r>
        <w:rPr>
          <w:rFonts w:ascii="Times New Roman" w:hAnsi="Times New Roman"/>
          <w:sz w:val="24"/>
          <w:szCs w:val="24"/>
        </w:rPr>
        <w:t>HRpQCT</w:t>
      </w:r>
      <w:proofErr w:type="spellEnd"/>
      <w:r>
        <w:rPr>
          <w:rFonts w:ascii="Times New Roman" w:hAnsi="Times New Roman"/>
          <w:sz w:val="24"/>
          <w:szCs w:val="24"/>
        </w:rPr>
        <w:t xml:space="preserve"> parameters in either sex, before </w:t>
      </w:r>
      <w:r w:rsidR="00740025">
        <w:rPr>
          <w:rFonts w:ascii="Times New Roman" w:hAnsi="Times New Roman"/>
          <w:sz w:val="24"/>
          <w:szCs w:val="24"/>
        </w:rPr>
        <w:t>or</w:t>
      </w:r>
      <w:r w:rsidR="00886953">
        <w:rPr>
          <w:rFonts w:ascii="Times New Roman" w:hAnsi="Times New Roman"/>
          <w:sz w:val="24"/>
          <w:szCs w:val="24"/>
        </w:rPr>
        <w:t xml:space="preserve"> aft</w:t>
      </w:r>
      <w:r w:rsidR="004D3067">
        <w:rPr>
          <w:rFonts w:ascii="Times New Roman" w:hAnsi="Times New Roman"/>
          <w:sz w:val="24"/>
          <w:szCs w:val="24"/>
        </w:rPr>
        <w:t>er adjustment for covariates</w:t>
      </w:r>
      <w:r w:rsidR="00886953">
        <w:rPr>
          <w:rFonts w:ascii="Times New Roman" w:hAnsi="Times New Roman"/>
          <w:sz w:val="24"/>
          <w:szCs w:val="24"/>
        </w:rPr>
        <w:t xml:space="preserve"> (results not shown).</w:t>
      </w:r>
    </w:p>
    <w:p w14:paraId="7BD081AF" w14:textId="77777777" w:rsidR="00642E4D" w:rsidRDefault="00642E4D" w:rsidP="00647567">
      <w:pPr>
        <w:spacing w:after="0" w:line="360" w:lineRule="auto"/>
        <w:jc w:val="both"/>
        <w:rPr>
          <w:rFonts w:ascii="Times New Roman" w:hAnsi="Times New Roman"/>
          <w:sz w:val="24"/>
          <w:szCs w:val="24"/>
        </w:rPr>
      </w:pPr>
    </w:p>
    <w:p w14:paraId="70AFEB61" w14:textId="77777777" w:rsidR="00642E4D" w:rsidRDefault="00642E4D" w:rsidP="00647567">
      <w:pPr>
        <w:spacing w:after="0" w:line="360" w:lineRule="auto"/>
        <w:jc w:val="both"/>
        <w:rPr>
          <w:rFonts w:ascii="Times New Roman" w:hAnsi="Times New Roman"/>
          <w:sz w:val="24"/>
          <w:szCs w:val="24"/>
        </w:rPr>
      </w:pPr>
    </w:p>
    <w:p w14:paraId="3DDFC63C" w14:textId="77777777" w:rsidR="00627E34" w:rsidRDefault="00627E34" w:rsidP="0073202F">
      <w:pPr>
        <w:spacing w:after="0" w:line="360" w:lineRule="auto"/>
        <w:jc w:val="both"/>
        <w:rPr>
          <w:rFonts w:ascii="Times New Roman" w:hAnsi="Times New Roman"/>
          <w:b/>
          <w:sz w:val="32"/>
          <w:szCs w:val="32"/>
        </w:rPr>
      </w:pPr>
    </w:p>
    <w:p w14:paraId="434E9562" w14:textId="77777777" w:rsidR="00886953" w:rsidRPr="0073202F" w:rsidRDefault="00886953" w:rsidP="0073202F">
      <w:pPr>
        <w:spacing w:after="0" w:line="360" w:lineRule="auto"/>
        <w:jc w:val="both"/>
        <w:rPr>
          <w:rFonts w:ascii="Times New Roman" w:hAnsi="Times New Roman"/>
          <w:b/>
          <w:sz w:val="32"/>
          <w:szCs w:val="32"/>
        </w:rPr>
      </w:pPr>
      <w:r w:rsidRPr="0073202F">
        <w:rPr>
          <w:rFonts w:ascii="Times New Roman" w:hAnsi="Times New Roman"/>
          <w:b/>
          <w:sz w:val="32"/>
          <w:szCs w:val="32"/>
        </w:rPr>
        <w:t>Discussion</w:t>
      </w:r>
    </w:p>
    <w:p w14:paraId="38C59649" w14:textId="77777777" w:rsidR="00886953" w:rsidRPr="0073202F" w:rsidRDefault="00886953" w:rsidP="0073202F">
      <w:pPr>
        <w:spacing w:after="0" w:line="360" w:lineRule="auto"/>
        <w:jc w:val="both"/>
        <w:rPr>
          <w:rFonts w:ascii="Times New Roman" w:hAnsi="Times New Roman"/>
          <w:b/>
          <w:sz w:val="28"/>
          <w:szCs w:val="28"/>
        </w:rPr>
      </w:pPr>
    </w:p>
    <w:p w14:paraId="0F234584" w14:textId="77777777" w:rsidR="00886953" w:rsidRPr="0073202F" w:rsidRDefault="002272FB" w:rsidP="0073202F">
      <w:pPr>
        <w:spacing w:after="0" w:line="360" w:lineRule="auto"/>
        <w:jc w:val="both"/>
        <w:rPr>
          <w:rFonts w:ascii="Times New Roman" w:hAnsi="Times New Roman"/>
          <w:sz w:val="24"/>
          <w:szCs w:val="24"/>
        </w:rPr>
      </w:pPr>
      <w:r>
        <w:rPr>
          <w:rFonts w:ascii="Times New Roman" w:hAnsi="Times New Roman"/>
          <w:sz w:val="24"/>
          <w:szCs w:val="24"/>
        </w:rPr>
        <w:t xml:space="preserve">In this study, we utilized </w:t>
      </w:r>
      <w:proofErr w:type="spellStart"/>
      <w:r>
        <w:rPr>
          <w:rFonts w:ascii="Times New Roman" w:hAnsi="Times New Roman"/>
          <w:sz w:val="24"/>
          <w:szCs w:val="24"/>
        </w:rPr>
        <w:t>HR</w:t>
      </w:r>
      <w:r w:rsidR="00886953" w:rsidRPr="0073202F">
        <w:rPr>
          <w:rFonts w:ascii="Times New Roman" w:hAnsi="Times New Roman"/>
          <w:sz w:val="24"/>
          <w:szCs w:val="24"/>
        </w:rPr>
        <w:t>pQCT</w:t>
      </w:r>
      <w:proofErr w:type="spellEnd"/>
      <w:r w:rsidR="00886953" w:rsidRPr="0073202F">
        <w:rPr>
          <w:rFonts w:ascii="Times New Roman" w:hAnsi="Times New Roman"/>
          <w:sz w:val="24"/>
          <w:szCs w:val="24"/>
        </w:rPr>
        <w:t xml:space="preserve"> to investigate bone parameters at the distal radius and tibia in a cohort of older men and women with and without radiographic features of hip OA including </w:t>
      </w:r>
      <w:r w:rsidR="00032EBA">
        <w:rPr>
          <w:rFonts w:ascii="Times New Roman" w:hAnsi="Times New Roman"/>
          <w:sz w:val="24"/>
          <w:szCs w:val="24"/>
        </w:rPr>
        <w:t xml:space="preserve">JSN, </w:t>
      </w:r>
      <w:r w:rsidR="00886953" w:rsidRPr="0073202F">
        <w:rPr>
          <w:rFonts w:ascii="Times New Roman" w:hAnsi="Times New Roman"/>
          <w:sz w:val="24"/>
          <w:szCs w:val="24"/>
        </w:rPr>
        <w:t xml:space="preserve">osteophytes, </w:t>
      </w:r>
      <w:r w:rsidR="00032EBA">
        <w:rPr>
          <w:rFonts w:ascii="Times New Roman" w:hAnsi="Times New Roman"/>
          <w:sz w:val="24"/>
          <w:szCs w:val="24"/>
        </w:rPr>
        <w:t xml:space="preserve">and </w:t>
      </w:r>
      <w:r w:rsidR="00886953" w:rsidRPr="0073202F">
        <w:rPr>
          <w:rFonts w:ascii="Times New Roman" w:hAnsi="Times New Roman"/>
          <w:sz w:val="24"/>
          <w:szCs w:val="24"/>
        </w:rPr>
        <w:t xml:space="preserve">sclerosis. </w:t>
      </w:r>
      <w:r w:rsidR="00032EBA">
        <w:rPr>
          <w:rFonts w:ascii="Times New Roman" w:hAnsi="Times New Roman"/>
          <w:sz w:val="24"/>
          <w:szCs w:val="24"/>
        </w:rPr>
        <w:t>W</w:t>
      </w:r>
      <w:r w:rsidR="00886953" w:rsidRPr="0073202F">
        <w:rPr>
          <w:rFonts w:ascii="Times New Roman" w:hAnsi="Times New Roman"/>
          <w:sz w:val="24"/>
          <w:szCs w:val="24"/>
        </w:rPr>
        <w:t xml:space="preserve">e found higher </w:t>
      </w:r>
      <w:proofErr w:type="spellStart"/>
      <w:r w:rsidR="00886953" w:rsidRPr="0073202F">
        <w:rPr>
          <w:rFonts w:ascii="Times New Roman" w:hAnsi="Times New Roman"/>
          <w:sz w:val="24"/>
          <w:szCs w:val="24"/>
        </w:rPr>
        <w:t>Tb.vBMD</w:t>
      </w:r>
      <w:proofErr w:type="spellEnd"/>
      <w:r w:rsidR="00886953" w:rsidRPr="0073202F">
        <w:rPr>
          <w:rFonts w:ascii="Times New Roman" w:hAnsi="Times New Roman"/>
          <w:sz w:val="24"/>
          <w:szCs w:val="24"/>
        </w:rPr>
        <w:t xml:space="preserve"> and </w:t>
      </w:r>
      <w:proofErr w:type="spellStart"/>
      <w:r w:rsidR="00886953" w:rsidRPr="0073202F">
        <w:rPr>
          <w:rFonts w:ascii="Times New Roman" w:hAnsi="Times New Roman"/>
          <w:sz w:val="24"/>
          <w:szCs w:val="24"/>
        </w:rPr>
        <w:t>Tb.Th</w:t>
      </w:r>
      <w:proofErr w:type="spellEnd"/>
      <w:r w:rsidR="00886953" w:rsidRPr="0073202F">
        <w:rPr>
          <w:rFonts w:ascii="Times New Roman" w:hAnsi="Times New Roman"/>
          <w:sz w:val="24"/>
          <w:szCs w:val="24"/>
        </w:rPr>
        <w:t xml:space="preserve"> in men with osteophytes</w:t>
      </w:r>
      <w:r w:rsidR="00032EBA">
        <w:rPr>
          <w:rFonts w:ascii="Times New Roman" w:hAnsi="Times New Roman"/>
          <w:sz w:val="24"/>
          <w:szCs w:val="24"/>
        </w:rPr>
        <w:t>, whereas the presence of s</w:t>
      </w:r>
      <w:r w:rsidR="00886953" w:rsidRPr="0073202F">
        <w:rPr>
          <w:rFonts w:ascii="Times New Roman" w:hAnsi="Times New Roman"/>
          <w:sz w:val="24"/>
          <w:szCs w:val="24"/>
        </w:rPr>
        <w:t>clerosis</w:t>
      </w:r>
      <w:r w:rsidR="00032EBA">
        <w:rPr>
          <w:rFonts w:ascii="Times New Roman" w:hAnsi="Times New Roman"/>
          <w:sz w:val="24"/>
          <w:szCs w:val="24"/>
        </w:rPr>
        <w:t>, in addition to osteophytes,</w:t>
      </w:r>
      <w:r w:rsidR="00886953" w:rsidRPr="0073202F">
        <w:rPr>
          <w:rFonts w:ascii="Times New Roman" w:hAnsi="Times New Roman"/>
          <w:sz w:val="24"/>
          <w:szCs w:val="24"/>
        </w:rPr>
        <w:t xml:space="preserve"> was associated with higher </w:t>
      </w:r>
      <w:proofErr w:type="spellStart"/>
      <w:r w:rsidR="00032EBA">
        <w:rPr>
          <w:rFonts w:ascii="Times New Roman" w:hAnsi="Times New Roman"/>
          <w:sz w:val="24"/>
          <w:szCs w:val="24"/>
        </w:rPr>
        <w:t>tibial</w:t>
      </w:r>
      <w:proofErr w:type="spellEnd"/>
      <w:r w:rsidR="00032EBA">
        <w:rPr>
          <w:rFonts w:ascii="Times New Roman" w:hAnsi="Times New Roman"/>
          <w:sz w:val="24"/>
          <w:szCs w:val="24"/>
        </w:rPr>
        <w:t xml:space="preserve"> </w:t>
      </w:r>
      <w:proofErr w:type="spellStart"/>
      <w:r w:rsidR="00886953" w:rsidRPr="0073202F">
        <w:rPr>
          <w:rFonts w:ascii="Times New Roman" w:hAnsi="Times New Roman"/>
          <w:sz w:val="24"/>
          <w:szCs w:val="24"/>
        </w:rPr>
        <w:t>Ct.vBMD</w:t>
      </w:r>
      <w:proofErr w:type="spellEnd"/>
      <w:r w:rsidR="00886953" w:rsidRPr="0073202F">
        <w:rPr>
          <w:rFonts w:ascii="Times New Roman" w:hAnsi="Times New Roman"/>
          <w:sz w:val="24"/>
          <w:szCs w:val="24"/>
        </w:rPr>
        <w:t xml:space="preserve"> </w:t>
      </w:r>
      <w:r w:rsidR="00032EBA">
        <w:rPr>
          <w:rFonts w:ascii="Times New Roman" w:hAnsi="Times New Roman"/>
          <w:sz w:val="24"/>
          <w:szCs w:val="24"/>
        </w:rPr>
        <w:t xml:space="preserve">and </w:t>
      </w:r>
      <w:proofErr w:type="spellStart"/>
      <w:r w:rsidR="00032EBA">
        <w:rPr>
          <w:rFonts w:ascii="Times New Roman" w:hAnsi="Times New Roman"/>
          <w:sz w:val="24"/>
          <w:szCs w:val="24"/>
        </w:rPr>
        <w:t>Ct.Th</w:t>
      </w:r>
      <w:proofErr w:type="spellEnd"/>
      <w:r w:rsidR="00032EBA">
        <w:rPr>
          <w:rFonts w:ascii="Times New Roman" w:hAnsi="Times New Roman"/>
          <w:sz w:val="24"/>
          <w:szCs w:val="24"/>
        </w:rPr>
        <w:t xml:space="preserve"> than in those with osteophytes alone</w:t>
      </w:r>
      <w:r w:rsidR="00886953" w:rsidRPr="0073202F">
        <w:rPr>
          <w:rFonts w:ascii="Times New Roman" w:hAnsi="Times New Roman"/>
          <w:sz w:val="24"/>
          <w:szCs w:val="24"/>
        </w:rPr>
        <w:t>.</w:t>
      </w:r>
    </w:p>
    <w:p w14:paraId="572E8802" w14:textId="77777777" w:rsidR="00886953" w:rsidRPr="0073202F" w:rsidRDefault="00886953" w:rsidP="0073202F">
      <w:pPr>
        <w:spacing w:after="0" w:line="360" w:lineRule="auto"/>
        <w:jc w:val="both"/>
        <w:rPr>
          <w:rFonts w:ascii="Times New Roman" w:hAnsi="Times New Roman"/>
          <w:sz w:val="24"/>
          <w:szCs w:val="24"/>
        </w:rPr>
      </w:pPr>
    </w:p>
    <w:p w14:paraId="2F249144" w14:textId="1BDC5411" w:rsidR="0017554E" w:rsidRDefault="00886953" w:rsidP="0073202F">
      <w:pPr>
        <w:spacing w:after="0" w:line="360" w:lineRule="auto"/>
        <w:jc w:val="both"/>
        <w:rPr>
          <w:rFonts w:ascii="Times New Roman" w:hAnsi="Times New Roman"/>
          <w:sz w:val="24"/>
          <w:szCs w:val="24"/>
        </w:rPr>
      </w:pPr>
      <w:r w:rsidRPr="0073202F">
        <w:rPr>
          <w:rFonts w:ascii="Times New Roman" w:hAnsi="Times New Roman"/>
          <w:sz w:val="24"/>
          <w:szCs w:val="24"/>
        </w:rPr>
        <w:t xml:space="preserve">This is the first study to investigate relationships between bone parameters assessed by </w:t>
      </w:r>
      <w:proofErr w:type="spellStart"/>
      <w:r w:rsidRPr="0073202F">
        <w:rPr>
          <w:rFonts w:ascii="Times New Roman" w:hAnsi="Times New Roman"/>
          <w:sz w:val="24"/>
          <w:szCs w:val="24"/>
        </w:rPr>
        <w:t>HRpQCT</w:t>
      </w:r>
      <w:proofErr w:type="spellEnd"/>
      <w:r w:rsidRPr="0073202F">
        <w:rPr>
          <w:rFonts w:ascii="Times New Roman" w:hAnsi="Times New Roman"/>
          <w:sz w:val="24"/>
          <w:szCs w:val="24"/>
        </w:rPr>
        <w:t xml:space="preserve"> and radiographic features of hip OA. Our findings suggest that bone-related components of hip OA </w:t>
      </w:r>
      <w:r w:rsidR="00BF7624">
        <w:rPr>
          <w:rFonts w:ascii="Times New Roman" w:hAnsi="Times New Roman"/>
          <w:sz w:val="24"/>
          <w:szCs w:val="24"/>
        </w:rPr>
        <w:t>may be</w:t>
      </w:r>
      <w:r w:rsidRPr="0073202F">
        <w:rPr>
          <w:rFonts w:ascii="Times New Roman" w:hAnsi="Times New Roman"/>
          <w:sz w:val="24"/>
          <w:szCs w:val="24"/>
        </w:rPr>
        <w:t xml:space="preserve"> associated with systemic bone density and microarchitecture. In accordance with o</w:t>
      </w:r>
      <w:r w:rsidR="00D54A6C">
        <w:rPr>
          <w:rFonts w:ascii="Times New Roman" w:hAnsi="Times New Roman"/>
          <w:sz w:val="24"/>
          <w:szCs w:val="24"/>
        </w:rPr>
        <w:t xml:space="preserve">ur results, </w:t>
      </w:r>
      <w:proofErr w:type="spellStart"/>
      <w:r w:rsidR="00D54A6C">
        <w:rPr>
          <w:rFonts w:ascii="Times New Roman" w:hAnsi="Times New Roman"/>
          <w:sz w:val="24"/>
          <w:szCs w:val="24"/>
        </w:rPr>
        <w:t>Hardcastle</w:t>
      </w:r>
      <w:proofErr w:type="spellEnd"/>
      <w:r w:rsidR="00D54A6C">
        <w:rPr>
          <w:rFonts w:ascii="Times New Roman" w:hAnsi="Times New Roman"/>
          <w:sz w:val="24"/>
          <w:szCs w:val="24"/>
        </w:rPr>
        <w:t xml:space="preserve"> et al. [7</w:t>
      </w:r>
      <w:r w:rsidRPr="0073202F">
        <w:rPr>
          <w:rFonts w:ascii="Times New Roman" w:hAnsi="Times New Roman"/>
          <w:sz w:val="24"/>
          <w:szCs w:val="24"/>
        </w:rPr>
        <w:t>] recently demonstrated that features of OA reflecting excess bone formation were more strongly associated with high bone mass case status than other OA features (such as JSN) suggesting that increased bone formation is a key feature of the “bone forming” phenot</w:t>
      </w:r>
      <w:r w:rsidR="00D54A6C">
        <w:rPr>
          <w:rFonts w:ascii="Times New Roman" w:hAnsi="Times New Roman"/>
          <w:sz w:val="24"/>
          <w:szCs w:val="24"/>
        </w:rPr>
        <w:t>ype as previously postulated [13</w:t>
      </w:r>
      <w:r w:rsidRPr="0073202F">
        <w:rPr>
          <w:rFonts w:ascii="Times New Roman" w:hAnsi="Times New Roman"/>
          <w:sz w:val="24"/>
          <w:szCs w:val="24"/>
        </w:rPr>
        <w:t xml:space="preserve">].  </w:t>
      </w:r>
    </w:p>
    <w:p w14:paraId="28E59DB2" w14:textId="77777777" w:rsidR="0017554E" w:rsidRDefault="0017554E" w:rsidP="0073202F">
      <w:pPr>
        <w:spacing w:after="0" w:line="360" w:lineRule="auto"/>
        <w:jc w:val="both"/>
        <w:rPr>
          <w:rFonts w:ascii="Times New Roman" w:hAnsi="Times New Roman"/>
          <w:sz w:val="24"/>
          <w:szCs w:val="24"/>
        </w:rPr>
      </w:pPr>
    </w:p>
    <w:p w14:paraId="73C7535C" w14:textId="2D45F65C" w:rsidR="00494F9A" w:rsidRDefault="0017554E" w:rsidP="00A25D81">
      <w:pPr>
        <w:spacing w:after="0" w:line="360" w:lineRule="auto"/>
        <w:jc w:val="both"/>
        <w:rPr>
          <w:rFonts w:ascii="Times New Roman" w:hAnsi="Times New Roman"/>
          <w:sz w:val="24"/>
          <w:szCs w:val="24"/>
        </w:rPr>
      </w:pPr>
      <w:r>
        <w:rPr>
          <w:rFonts w:ascii="Times New Roman" w:hAnsi="Times New Roman"/>
          <w:sz w:val="24"/>
          <w:szCs w:val="24"/>
        </w:rPr>
        <w:t xml:space="preserve">These findings are also in keeping with the study by </w:t>
      </w:r>
      <w:proofErr w:type="spellStart"/>
      <w:r>
        <w:rPr>
          <w:rFonts w:ascii="Times New Roman" w:hAnsi="Times New Roman"/>
          <w:sz w:val="24"/>
          <w:szCs w:val="24"/>
        </w:rPr>
        <w:t>Chaganti</w:t>
      </w:r>
      <w:proofErr w:type="spellEnd"/>
      <w:r>
        <w:rPr>
          <w:rFonts w:ascii="Times New Roman" w:hAnsi="Times New Roman"/>
          <w:sz w:val="24"/>
          <w:szCs w:val="24"/>
        </w:rPr>
        <w:t xml:space="preserve"> et al which showed positive associations between an osteophyte-predominant form of radiographic hip OA and both cortical and trabecular </w:t>
      </w:r>
      <w:proofErr w:type="spellStart"/>
      <w:r>
        <w:rPr>
          <w:rFonts w:ascii="Times New Roman" w:hAnsi="Times New Roman"/>
          <w:sz w:val="24"/>
          <w:szCs w:val="24"/>
        </w:rPr>
        <w:t>vBMD</w:t>
      </w:r>
      <w:proofErr w:type="spellEnd"/>
      <w:r>
        <w:rPr>
          <w:rFonts w:ascii="Times New Roman" w:hAnsi="Times New Roman"/>
          <w:sz w:val="24"/>
          <w:szCs w:val="24"/>
        </w:rPr>
        <w:t xml:space="preserve"> within the total hip using quantitative</w:t>
      </w:r>
      <w:r w:rsidR="00C83BBB">
        <w:rPr>
          <w:rFonts w:ascii="Times New Roman" w:hAnsi="Times New Roman"/>
          <w:sz w:val="24"/>
          <w:szCs w:val="24"/>
        </w:rPr>
        <w:t xml:space="preserve"> computed tomography (QCT) [14]</w:t>
      </w:r>
      <w:r>
        <w:rPr>
          <w:rFonts w:ascii="Times New Roman" w:hAnsi="Times New Roman"/>
          <w:sz w:val="24"/>
          <w:szCs w:val="24"/>
        </w:rPr>
        <w:t xml:space="preserve">.  However, </w:t>
      </w:r>
      <w:r w:rsidR="005A7DF6">
        <w:rPr>
          <w:rFonts w:ascii="Times New Roman" w:hAnsi="Times New Roman"/>
          <w:sz w:val="24"/>
          <w:szCs w:val="24"/>
        </w:rPr>
        <w:t xml:space="preserve">the current study </w:t>
      </w:r>
      <w:r w:rsidR="00BF7624">
        <w:rPr>
          <w:rFonts w:ascii="Times New Roman" w:hAnsi="Times New Roman"/>
          <w:sz w:val="24"/>
          <w:szCs w:val="24"/>
        </w:rPr>
        <w:t>suggests potential</w:t>
      </w:r>
      <w:r w:rsidR="005A7DF6">
        <w:rPr>
          <w:rFonts w:ascii="Times New Roman" w:hAnsi="Times New Roman"/>
          <w:sz w:val="24"/>
          <w:szCs w:val="24"/>
        </w:rPr>
        <w:t xml:space="preserve"> associations at peripheral sites instead and additionally</w:t>
      </w:r>
      <w:r>
        <w:rPr>
          <w:rFonts w:ascii="Times New Roman" w:hAnsi="Times New Roman"/>
          <w:sz w:val="24"/>
          <w:szCs w:val="24"/>
        </w:rPr>
        <w:t xml:space="preserve"> separate</w:t>
      </w:r>
      <w:r w:rsidR="005A7DF6">
        <w:rPr>
          <w:rFonts w:ascii="Times New Roman" w:hAnsi="Times New Roman"/>
          <w:sz w:val="24"/>
          <w:szCs w:val="24"/>
        </w:rPr>
        <w:t>s</w:t>
      </w:r>
      <w:r>
        <w:rPr>
          <w:rFonts w:ascii="Times New Roman" w:hAnsi="Times New Roman"/>
          <w:sz w:val="24"/>
          <w:szCs w:val="24"/>
        </w:rPr>
        <w:t xml:space="preserve"> out individuals with osteophytes alone from those with both osteophytes and sub</w:t>
      </w:r>
      <w:r w:rsidR="005A7DF6">
        <w:rPr>
          <w:rFonts w:ascii="Times New Roman" w:hAnsi="Times New Roman"/>
          <w:sz w:val="24"/>
          <w:szCs w:val="24"/>
        </w:rPr>
        <w:t>chondral sclerosis.</w:t>
      </w:r>
      <w:r>
        <w:rPr>
          <w:rFonts w:ascii="Times New Roman" w:hAnsi="Times New Roman"/>
          <w:sz w:val="24"/>
          <w:szCs w:val="24"/>
        </w:rPr>
        <w:t xml:space="preserve"> </w:t>
      </w:r>
      <w:r w:rsidR="005A7DF6">
        <w:rPr>
          <w:rFonts w:ascii="Times New Roman" w:hAnsi="Times New Roman"/>
          <w:sz w:val="24"/>
          <w:szCs w:val="24"/>
        </w:rPr>
        <w:t>Consequently it has been possible to show the novel findings that</w:t>
      </w:r>
      <w:r w:rsidR="00A25D81" w:rsidRPr="0073202F">
        <w:rPr>
          <w:rFonts w:ascii="Times New Roman" w:hAnsi="Times New Roman"/>
          <w:sz w:val="24"/>
          <w:szCs w:val="24"/>
        </w:rPr>
        <w:t>, in men, the presence of osteophytes w</w:t>
      </w:r>
      <w:r w:rsidR="00A25D81">
        <w:rPr>
          <w:rFonts w:ascii="Times New Roman" w:hAnsi="Times New Roman"/>
          <w:sz w:val="24"/>
          <w:szCs w:val="24"/>
        </w:rPr>
        <w:t>as</w:t>
      </w:r>
      <w:r w:rsidR="00A25D81" w:rsidRPr="0073202F">
        <w:rPr>
          <w:rFonts w:ascii="Times New Roman" w:hAnsi="Times New Roman"/>
          <w:sz w:val="24"/>
          <w:szCs w:val="24"/>
        </w:rPr>
        <w:t xml:space="preserve"> as</w:t>
      </w:r>
      <w:r w:rsidR="00A25D81">
        <w:rPr>
          <w:rFonts w:ascii="Times New Roman" w:hAnsi="Times New Roman"/>
          <w:sz w:val="24"/>
          <w:szCs w:val="24"/>
        </w:rPr>
        <w:t>sociated with trabecular</w:t>
      </w:r>
      <w:r w:rsidR="00A25D81" w:rsidRPr="0073202F">
        <w:rPr>
          <w:rFonts w:ascii="Times New Roman" w:hAnsi="Times New Roman"/>
          <w:sz w:val="24"/>
          <w:szCs w:val="24"/>
        </w:rPr>
        <w:t xml:space="preserve"> </w:t>
      </w:r>
      <w:r w:rsidR="00A25D81">
        <w:rPr>
          <w:rFonts w:ascii="Times New Roman" w:hAnsi="Times New Roman"/>
          <w:sz w:val="24"/>
          <w:szCs w:val="24"/>
        </w:rPr>
        <w:t xml:space="preserve">parameters </w:t>
      </w:r>
      <w:r w:rsidR="00A25D81" w:rsidRPr="0073202F">
        <w:rPr>
          <w:rFonts w:ascii="Times New Roman" w:hAnsi="Times New Roman"/>
          <w:sz w:val="24"/>
          <w:szCs w:val="24"/>
        </w:rPr>
        <w:t>whereas the presence of sclerosis w</w:t>
      </w:r>
      <w:r w:rsidR="00A25D81">
        <w:rPr>
          <w:rFonts w:ascii="Times New Roman" w:hAnsi="Times New Roman"/>
          <w:sz w:val="24"/>
          <w:szCs w:val="24"/>
        </w:rPr>
        <w:t>as</w:t>
      </w:r>
      <w:r w:rsidR="00A25D81" w:rsidRPr="0073202F">
        <w:rPr>
          <w:rFonts w:ascii="Times New Roman" w:hAnsi="Times New Roman"/>
          <w:sz w:val="24"/>
          <w:szCs w:val="24"/>
        </w:rPr>
        <w:t xml:space="preserve"> </w:t>
      </w:r>
      <w:r w:rsidR="00A25D81">
        <w:rPr>
          <w:rFonts w:ascii="Times New Roman" w:hAnsi="Times New Roman"/>
          <w:sz w:val="24"/>
          <w:szCs w:val="24"/>
        </w:rPr>
        <w:t>associated with cortical parameters</w:t>
      </w:r>
      <w:r w:rsidR="005A7DF6">
        <w:rPr>
          <w:rFonts w:ascii="Times New Roman" w:hAnsi="Times New Roman"/>
          <w:sz w:val="24"/>
          <w:szCs w:val="24"/>
        </w:rPr>
        <w:t>.</w:t>
      </w:r>
      <w:r w:rsidR="00A25D81" w:rsidRPr="0073202F">
        <w:rPr>
          <w:rFonts w:ascii="Times New Roman" w:hAnsi="Times New Roman"/>
          <w:sz w:val="24"/>
          <w:szCs w:val="24"/>
        </w:rPr>
        <w:t xml:space="preserve"> </w:t>
      </w:r>
      <w:r w:rsidR="005A7DF6">
        <w:rPr>
          <w:rFonts w:ascii="Times New Roman" w:hAnsi="Times New Roman"/>
          <w:sz w:val="24"/>
          <w:szCs w:val="24"/>
        </w:rPr>
        <w:t xml:space="preserve">This suggests </w:t>
      </w:r>
      <w:r w:rsidR="00A25D81" w:rsidRPr="0073202F">
        <w:rPr>
          <w:rFonts w:ascii="Times New Roman" w:hAnsi="Times New Roman"/>
          <w:sz w:val="24"/>
          <w:szCs w:val="24"/>
        </w:rPr>
        <w:t>different underlying mechanisms linking these two bony components of OA with systemic bone health.</w:t>
      </w:r>
      <w:r w:rsidR="00494F9A">
        <w:rPr>
          <w:rFonts w:ascii="Times New Roman" w:hAnsi="Times New Roman"/>
          <w:sz w:val="24"/>
          <w:szCs w:val="24"/>
        </w:rPr>
        <w:t xml:space="preserve">  It is well established that trabecular bone is modelled by </w:t>
      </w:r>
      <w:r w:rsidR="000E1AE9">
        <w:rPr>
          <w:rFonts w:ascii="Times New Roman" w:hAnsi="Times New Roman"/>
          <w:sz w:val="24"/>
          <w:szCs w:val="24"/>
        </w:rPr>
        <w:t xml:space="preserve">the </w:t>
      </w:r>
      <w:r w:rsidR="00494F9A">
        <w:rPr>
          <w:rFonts w:ascii="Times New Roman" w:hAnsi="Times New Roman"/>
          <w:sz w:val="24"/>
          <w:szCs w:val="24"/>
        </w:rPr>
        <w:t>endochondral ossification</w:t>
      </w:r>
      <w:r w:rsidR="000E1AE9">
        <w:rPr>
          <w:rFonts w:ascii="Times New Roman" w:hAnsi="Times New Roman"/>
          <w:sz w:val="24"/>
          <w:szCs w:val="24"/>
        </w:rPr>
        <w:t xml:space="preserve"> system which has also been implicated in osteophyte formation</w:t>
      </w:r>
      <w:r w:rsidR="00B04C74">
        <w:rPr>
          <w:rFonts w:ascii="Times New Roman" w:hAnsi="Times New Roman"/>
          <w:sz w:val="24"/>
          <w:szCs w:val="24"/>
        </w:rPr>
        <w:t>, whereas the link between cortical bone</w:t>
      </w:r>
      <w:r w:rsidR="0067693F">
        <w:rPr>
          <w:rFonts w:ascii="Times New Roman" w:hAnsi="Times New Roman"/>
          <w:sz w:val="24"/>
          <w:szCs w:val="24"/>
        </w:rPr>
        <w:t xml:space="preserve"> health</w:t>
      </w:r>
      <w:r w:rsidR="00B04C74">
        <w:rPr>
          <w:rFonts w:ascii="Times New Roman" w:hAnsi="Times New Roman"/>
          <w:sz w:val="24"/>
          <w:szCs w:val="24"/>
        </w:rPr>
        <w:t xml:space="preserve"> and subchondral sclerosis may lie with a common propensity to respond to mechanical stimuli</w:t>
      </w:r>
      <w:r w:rsidR="000E1AE9">
        <w:rPr>
          <w:rFonts w:ascii="Times New Roman" w:hAnsi="Times New Roman"/>
          <w:sz w:val="24"/>
          <w:szCs w:val="24"/>
        </w:rPr>
        <w:t>.</w:t>
      </w:r>
    </w:p>
    <w:p w14:paraId="40D5D5E0" w14:textId="77777777" w:rsidR="00494F9A" w:rsidRDefault="00494F9A" w:rsidP="00A25D81">
      <w:pPr>
        <w:spacing w:after="0" w:line="360" w:lineRule="auto"/>
        <w:jc w:val="both"/>
        <w:rPr>
          <w:rFonts w:ascii="Times New Roman" w:hAnsi="Times New Roman"/>
          <w:sz w:val="24"/>
          <w:szCs w:val="24"/>
        </w:rPr>
      </w:pPr>
    </w:p>
    <w:p w14:paraId="667AC9F7" w14:textId="24C42A63" w:rsidR="00A25D81" w:rsidRDefault="00A25D81" w:rsidP="00A25D81">
      <w:pPr>
        <w:spacing w:after="0" w:line="360" w:lineRule="auto"/>
        <w:jc w:val="both"/>
        <w:rPr>
          <w:rFonts w:ascii="Times New Roman" w:hAnsi="Times New Roman"/>
          <w:sz w:val="24"/>
          <w:szCs w:val="24"/>
        </w:rPr>
      </w:pPr>
      <w:r w:rsidRPr="0073202F">
        <w:rPr>
          <w:rFonts w:ascii="Times New Roman" w:hAnsi="Times New Roman"/>
          <w:sz w:val="24"/>
          <w:szCs w:val="24"/>
        </w:rPr>
        <w:t xml:space="preserve">The nature of these different mechanisms is </w:t>
      </w:r>
      <w:r w:rsidR="00F56F28">
        <w:rPr>
          <w:rFonts w:ascii="Times New Roman" w:hAnsi="Times New Roman"/>
          <w:sz w:val="24"/>
          <w:szCs w:val="24"/>
        </w:rPr>
        <w:t xml:space="preserve">however </w:t>
      </w:r>
      <w:r w:rsidRPr="0073202F">
        <w:rPr>
          <w:rFonts w:ascii="Times New Roman" w:hAnsi="Times New Roman"/>
          <w:sz w:val="24"/>
          <w:szCs w:val="24"/>
        </w:rPr>
        <w:t>yet to be elicited and it also remains to determine why association</w:t>
      </w:r>
      <w:r>
        <w:rPr>
          <w:rFonts w:ascii="Times New Roman" w:hAnsi="Times New Roman"/>
          <w:sz w:val="24"/>
          <w:szCs w:val="24"/>
        </w:rPr>
        <w:t>s</w:t>
      </w:r>
      <w:r w:rsidRPr="0073202F">
        <w:rPr>
          <w:rFonts w:ascii="Times New Roman" w:hAnsi="Times New Roman"/>
          <w:sz w:val="24"/>
          <w:szCs w:val="24"/>
        </w:rPr>
        <w:t xml:space="preserve"> were identified in men but not women.</w:t>
      </w:r>
      <w:r w:rsidR="00F56F28">
        <w:rPr>
          <w:rFonts w:ascii="Times New Roman" w:hAnsi="Times New Roman"/>
          <w:sz w:val="24"/>
          <w:szCs w:val="24"/>
        </w:rPr>
        <w:t xml:space="preserve">  It may be related to differences in patterns of physical activity with a greater role played in men than women.  Hormonal factors could also be implicated in this sexual dimorphism.  </w:t>
      </w:r>
    </w:p>
    <w:p w14:paraId="0FA2EF89" w14:textId="77777777" w:rsidR="00A25D81" w:rsidRDefault="00A25D81" w:rsidP="0073202F">
      <w:pPr>
        <w:spacing w:after="0" w:line="360" w:lineRule="auto"/>
        <w:jc w:val="both"/>
        <w:rPr>
          <w:rFonts w:ascii="Times New Roman" w:hAnsi="Times New Roman"/>
          <w:sz w:val="24"/>
          <w:szCs w:val="24"/>
        </w:rPr>
      </w:pPr>
    </w:p>
    <w:p w14:paraId="78CC1656" w14:textId="715DD684" w:rsidR="00F56F28" w:rsidRDefault="00F56F28" w:rsidP="0073202F">
      <w:pPr>
        <w:spacing w:after="0" w:line="360" w:lineRule="auto"/>
        <w:jc w:val="both"/>
        <w:rPr>
          <w:rFonts w:ascii="Times New Roman" w:hAnsi="Times New Roman"/>
          <w:sz w:val="24"/>
          <w:szCs w:val="24"/>
        </w:rPr>
      </w:pPr>
      <w:r>
        <w:rPr>
          <w:rFonts w:ascii="Times New Roman" w:hAnsi="Times New Roman"/>
          <w:sz w:val="24"/>
          <w:szCs w:val="24"/>
        </w:rPr>
        <w:t>We might hypothesis</w:t>
      </w:r>
      <w:r w:rsidR="002E6CD1">
        <w:rPr>
          <w:rFonts w:ascii="Times New Roman" w:hAnsi="Times New Roman"/>
          <w:sz w:val="24"/>
          <w:szCs w:val="24"/>
        </w:rPr>
        <w:t>e</w:t>
      </w:r>
      <w:r>
        <w:rPr>
          <w:rFonts w:ascii="Times New Roman" w:hAnsi="Times New Roman"/>
          <w:sz w:val="24"/>
          <w:szCs w:val="24"/>
        </w:rPr>
        <w:t xml:space="preserve"> that those with lower </w:t>
      </w:r>
      <w:proofErr w:type="spellStart"/>
      <w:r>
        <w:rPr>
          <w:rFonts w:ascii="Times New Roman" w:hAnsi="Times New Roman"/>
          <w:sz w:val="24"/>
          <w:szCs w:val="24"/>
        </w:rPr>
        <w:t>Ct.vBMD</w:t>
      </w:r>
      <w:proofErr w:type="spellEnd"/>
      <w:r>
        <w:rPr>
          <w:rFonts w:ascii="Times New Roman" w:hAnsi="Times New Roman"/>
          <w:sz w:val="24"/>
          <w:szCs w:val="24"/>
        </w:rPr>
        <w:t xml:space="preserve"> and </w:t>
      </w:r>
      <w:proofErr w:type="spellStart"/>
      <w:r>
        <w:rPr>
          <w:rFonts w:ascii="Times New Roman" w:hAnsi="Times New Roman"/>
          <w:sz w:val="24"/>
          <w:szCs w:val="24"/>
        </w:rPr>
        <w:t>Ct.Th</w:t>
      </w:r>
      <w:proofErr w:type="spellEnd"/>
      <w:r>
        <w:rPr>
          <w:rFonts w:ascii="Times New Roman" w:hAnsi="Times New Roman"/>
          <w:sz w:val="24"/>
          <w:szCs w:val="24"/>
        </w:rPr>
        <w:t xml:space="preserve"> may therefore be relatively protected from progressing from osteophytes alone to the addition of sclerosis.  Interestingly, this association was found in the tibia but not the radius.  This might be due to commonality of weight bearing in the tibia and the hip or to the greater precision with which </w:t>
      </w:r>
      <w:proofErr w:type="spellStart"/>
      <w:r>
        <w:rPr>
          <w:rFonts w:ascii="Times New Roman" w:hAnsi="Times New Roman"/>
          <w:sz w:val="24"/>
          <w:szCs w:val="24"/>
        </w:rPr>
        <w:t>tibial</w:t>
      </w:r>
      <w:proofErr w:type="spellEnd"/>
      <w:r>
        <w:rPr>
          <w:rFonts w:ascii="Times New Roman" w:hAnsi="Times New Roman"/>
          <w:sz w:val="24"/>
          <w:szCs w:val="24"/>
        </w:rPr>
        <w:t xml:space="preserve"> parameters can be measured reducing the risk of type II error.</w:t>
      </w:r>
    </w:p>
    <w:p w14:paraId="4881CA97" w14:textId="77777777" w:rsidR="00F56F28" w:rsidRDefault="00F56F28" w:rsidP="0073202F">
      <w:pPr>
        <w:spacing w:after="0" w:line="360" w:lineRule="auto"/>
        <w:jc w:val="both"/>
        <w:rPr>
          <w:rFonts w:ascii="Times New Roman" w:hAnsi="Times New Roman"/>
          <w:sz w:val="24"/>
          <w:szCs w:val="24"/>
        </w:rPr>
      </w:pPr>
    </w:p>
    <w:p w14:paraId="3645EB88" w14:textId="43572C51" w:rsidR="00886953" w:rsidRPr="0073202F" w:rsidRDefault="00886953" w:rsidP="007D2FEA">
      <w:pPr>
        <w:spacing w:after="0" w:line="360" w:lineRule="auto"/>
        <w:jc w:val="both"/>
        <w:rPr>
          <w:rFonts w:ascii="Times New Roman" w:hAnsi="Times New Roman"/>
          <w:sz w:val="24"/>
          <w:szCs w:val="24"/>
        </w:rPr>
      </w:pPr>
      <w:r w:rsidRPr="0073202F">
        <w:rPr>
          <w:rFonts w:ascii="Times New Roman" w:hAnsi="Times New Roman"/>
          <w:sz w:val="24"/>
          <w:szCs w:val="24"/>
        </w:rPr>
        <w:t xml:space="preserve">Plausible mechanisms to explain the link between OA and bone structure </w:t>
      </w:r>
      <w:r w:rsidR="00A25D81">
        <w:rPr>
          <w:rFonts w:ascii="Times New Roman" w:hAnsi="Times New Roman"/>
          <w:sz w:val="24"/>
          <w:szCs w:val="24"/>
        </w:rPr>
        <w:t xml:space="preserve">in general </w:t>
      </w:r>
      <w:r w:rsidRPr="0073202F">
        <w:rPr>
          <w:rFonts w:ascii="Times New Roman" w:hAnsi="Times New Roman"/>
          <w:sz w:val="24"/>
          <w:szCs w:val="24"/>
        </w:rPr>
        <w:t xml:space="preserve">include common genetic risk factors, including variants in growth factor and </w:t>
      </w:r>
      <w:proofErr w:type="spellStart"/>
      <w:r w:rsidRPr="0073202F">
        <w:rPr>
          <w:rFonts w:ascii="Times New Roman" w:hAnsi="Times New Roman"/>
          <w:sz w:val="24"/>
          <w:szCs w:val="24"/>
        </w:rPr>
        <w:t>Wnt</w:t>
      </w:r>
      <w:proofErr w:type="spellEnd"/>
      <w:r w:rsidRPr="0073202F">
        <w:rPr>
          <w:rFonts w:ascii="Times New Roman" w:hAnsi="Times New Roman"/>
          <w:sz w:val="24"/>
          <w:szCs w:val="24"/>
        </w:rPr>
        <w:t xml:space="preserve"> signalling pathway genes, known to regulate bone mass and linked to </w:t>
      </w:r>
      <w:r w:rsidR="00D54A6C">
        <w:rPr>
          <w:rFonts w:ascii="Times New Roman" w:hAnsi="Times New Roman"/>
          <w:sz w:val="24"/>
          <w:szCs w:val="24"/>
        </w:rPr>
        <w:t>OA in candidate gene studies [</w:t>
      </w:r>
      <w:r w:rsidR="00C83BBB">
        <w:rPr>
          <w:rFonts w:ascii="Times New Roman" w:hAnsi="Times New Roman"/>
          <w:sz w:val="24"/>
          <w:szCs w:val="24"/>
        </w:rPr>
        <w:t>15</w:t>
      </w:r>
      <w:r w:rsidRPr="0073202F">
        <w:rPr>
          <w:rFonts w:ascii="Times New Roman" w:hAnsi="Times New Roman"/>
          <w:sz w:val="24"/>
          <w:szCs w:val="24"/>
        </w:rPr>
        <w:t>]. Increased periarticular bone could itself lead to the development of OA either through mechanical effects on the overlying cartilage or molecular cross-tal</w:t>
      </w:r>
      <w:r w:rsidR="00D54A6C">
        <w:rPr>
          <w:rFonts w:ascii="Times New Roman" w:hAnsi="Times New Roman"/>
          <w:sz w:val="24"/>
          <w:szCs w:val="24"/>
        </w:rPr>
        <w:t>k between bone and cartilage [</w:t>
      </w:r>
      <w:r w:rsidR="00C83BBB">
        <w:rPr>
          <w:rFonts w:ascii="Times New Roman" w:hAnsi="Times New Roman"/>
          <w:sz w:val="24"/>
          <w:szCs w:val="24"/>
        </w:rPr>
        <w:t>16</w:t>
      </w:r>
      <w:r w:rsidRPr="0073202F">
        <w:rPr>
          <w:rFonts w:ascii="Times New Roman" w:hAnsi="Times New Roman"/>
          <w:sz w:val="24"/>
          <w:szCs w:val="24"/>
        </w:rPr>
        <w:t>].</w:t>
      </w:r>
    </w:p>
    <w:p w14:paraId="336990BB" w14:textId="77777777" w:rsidR="00886953" w:rsidRDefault="00886953" w:rsidP="007D2FEA">
      <w:pPr>
        <w:spacing w:after="0" w:line="360" w:lineRule="auto"/>
        <w:jc w:val="both"/>
        <w:rPr>
          <w:rFonts w:ascii="Times New Roman" w:hAnsi="Times New Roman"/>
          <w:sz w:val="24"/>
          <w:szCs w:val="24"/>
        </w:rPr>
      </w:pPr>
    </w:p>
    <w:p w14:paraId="73E224FB" w14:textId="05757F81" w:rsidR="007D2FEA" w:rsidRPr="007D2FEA" w:rsidRDefault="007D2FEA" w:rsidP="007D2FEA">
      <w:pPr>
        <w:spacing w:after="0" w:line="360" w:lineRule="auto"/>
        <w:jc w:val="both"/>
        <w:rPr>
          <w:rFonts w:ascii="Times New Roman" w:hAnsi="Times New Roman"/>
          <w:sz w:val="24"/>
          <w:szCs w:val="24"/>
        </w:rPr>
      </w:pPr>
      <w:r>
        <w:rPr>
          <w:rFonts w:ascii="Times New Roman" w:hAnsi="Times New Roman"/>
          <w:sz w:val="24"/>
          <w:szCs w:val="24"/>
        </w:rPr>
        <w:t xml:space="preserve">This study does have both strengths and limitations.  </w:t>
      </w:r>
      <w:r>
        <w:rPr>
          <w:rFonts w:ascii="Times New Roman" w:hAnsi="Times New Roman"/>
          <w:sz w:val="24"/>
        </w:rPr>
        <w:t>Firstly, t</w:t>
      </w:r>
      <w:r w:rsidRPr="00F63883">
        <w:rPr>
          <w:rFonts w:ascii="Times New Roman" w:hAnsi="Times New Roman"/>
          <w:sz w:val="24"/>
        </w:rPr>
        <w:t>he cohort</w:t>
      </w:r>
      <w:r w:rsidRPr="00AB1C79">
        <w:rPr>
          <w:rFonts w:ascii="Times New Roman" w:hAnsi="Times New Roman"/>
          <w:sz w:val="24"/>
        </w:rPr>
        <w:t xml:space="preserve"> in which</w:t>
      </w:r>
      <w:r>
        <w:rPr>
          <w:rFonts w:ascii="Times New Roman" w:hAnsi="Times New Roman"/>
          <w:sz w:val="24"/>
        </w:rPr>
        <w:t xml:space="preserve"> this study was completed </w:t>
      </w:r>
      <w:r>
        <w:rPr>
          <w:rFonts w:ascii="Times New Roman" w:hAnsi="Times New Roman"/>
          <w:color w:val="000000"/>
          <w:sz w:val="24"/>
        </w:rPr>
        <w:t>comprises</w:t>
      </w:r>
      <w:r w:rsidRPr="00F63883">
        <w:rPr>
          <w:rFonts w:ascii="Times New Roman" w:hAnsi="Times New Roman"/>
          <w:color w:val="000000"/>
          <w:sz w:val="24"/>
        </w:rPr>
        <w:t xml:space="preserve"> men and women born as singleton births between 1931 and 1939.  </w:t>
      </w:r>
      <w:r>
        <w:rPr>
          <w:rFonts w:ascii="Times New Roman" w:hAnsi="Times New Roman"/>
          <w:sz w:val="24"/>
        </w:rPr>
        <w:t>I</w:t>
      </w:r>
      <w:r w:rsidRPr="00F63883">
        <w:rPr>
          <w:rFonts w:ascii="Times New Roman" w:hAnsi="Times New Roman"/>
          <w:sz w:val="24"/>
        </w:rPr>
        <w:t xml:space="preserve">t is </w:t>
      </w:r>
      <w:r>
        <w:rPr>
          <w:rFonts w:ascii="Times New Roman" w:hAnsi="Times New Roman"/>
          <w:sz w:val="24"/>
        </w:rPr>
        <w:t xml:space="preserve">well </w:t>
      </w:r>
      <w:proofErr w:type="spellStart"/>
      <w:r>
        <w:rPr>
          <w:rFonts w:ascii="Times New Roman" w:hAnsi="Times New Roman"/>
          <w:sz w:val="24"/>
        </w:rPr>
        <w:t>phenotyped</w:t>
      </w:r>
      <w:proofErr w:type="spellEnd"/>
      <w:r>
        <w:rPr>
          <w:rFonts w:ascii="Times New Roman" w:hAnsi="Times New Roman"/>
          <w:sz w:val="24"/>
        </w:rPr>
        <w:t xml:space="preserve"> allowing adjustment for potential covariates</w:t>
      </w:r>
      <w:r w:rsidRPr="00F63883">
        <w:rPr>
          <w:rFonts w:ascii="Times New Roman" w:hAnsi="Times New Roman"/>
          <w:sz w:val="24"/>
        </w:rPr>
        <w:t xml:space="preserve"> </w:t>
      </w:r>
      <w:r>
        <w:rPr>
          <w:rFonts w:ascii="Times New Roman" w:hAnsi="Times New Roman"/>
          <w:sz w:val="24"/>
        </w:rPr>
        <w:t xml:space="preserve">and it </w:t>
      </w:r>
      <w:r w:rsidRPr="00F63883">
        <w:rPr>
          <w:rFonts w:ascii="Times New Roman" w:hAnsi="Times New Roman"/>
          <w:sz w:val="24"/>
        </w:rPr>
        <w:t xml:space="preserve">has been shown to be fairly representative of the UK population by means of a comparison with the Health Survey for England.  </w:t>
      </w:r>
      <w:r w:rsidRPr="00AB1C79">
        <w:rPr>
          <w:rFonts w:ascii="Times New Roman" w:hAnsi="Times New Roman"/>
          <w:sz w:val="24"/>
        </w:rPr>
        <w:t xml:space="preserve">However, </w:t>
      </w:r>
      <w:r w:rsidRPr="00F63883">
        <w:rPr>
          <w:rFonts w:ascii="Times New Roman" w:hAnsi="Times New Roman"/>
          <w:sz w:val="24"/>
        </w:rPr>
        <w:t>those studied were entirely Caucasian</w:t>
      </w:r>
      <w:r>
        <w:rPr>
          <w:rFonts w:ascii="Times New Roman" w:hAnsi="Times New Roman"/>
          <w:sz w:val="24"/>
        </w:rPr>
        <w:t xml:space="preserve"> and recruited from one specific region of Hertfordshire.  T</w:t>
      </w:r>
      <w:r w:rsidRPr="00F63883">
        <w:rPr>
          <w:rFonts w:ascii="Times New Roman" w:hAnsi="Times New Roman"/>
          <w:sz w:val="24"/>
        </w:rPr>
        <w:t>hus</w:t>
      </w:r>
      <w:r>
        <w:rPr>
          <w:rFonts w:ascii="Times New Roman" w:hAnsi="Times New Roman"/>
          <w:sz w:val="24"/>
        </w:rPr>
        <w:t>,</w:t>
      </w:r>
      <w:r w:rsidRPr="00F63883">
        <w:rPr>
          <w:rFonts w:ascii="Times New Roman" w:hAnsi="Times New Roman"/>
          <w:sz w:val="24"/>
        </w:rPr>
        <w:t xml:space="preserve"> extrapolation of the findings to other ethnic groups</w:t>
      </w:r>
      <w:r>
        <w:rPr>
          <w:rFonts w:ascii="Times New Roman" w:hAnsi="Times New Roman"/>
          <w:sz w:val="24"/>
        </w:rPr>
        <w:t xml:space="preserve"> and regions</w:t>
      </w:r>
      <w:r w:rsidRPr="00F63883">
        <w:rPr>
          <w:rFonts w:ascii="Times New Roman" w:hAnsi="Times New Roman"/>
          <w:sz w:val="24"/>
        </w:rPr>
        <w:t xml:space="preserve"> is uncertain.</w:t>
      </w:r>
      <w:r>
        <w:rPr>
          <w:rFonts w:ascii="Times New Roman" w:hAnsi="Times New Roman"/>
          <w:sz w:val="24"/>
        </w:rPr>
        <w:t xml:space="preserve">  Secondly,</w:t>
      </w:r>
      <w:r w:rsidRPr="00934BFC">
        <w:rPr>
          <w:rFonts w:ascii="Times New Roman" w:hAnsi="Times New Roman"/>
          <w:sz w:val="24"/>
        </w:rPr>
        <w:t xml:space="preserve"> </w:t>
      </w:r>
      <w:r>
        <w:rPr>
          <w:rFonts w:ascii="Times New Roman" w:hAnsi="Times New Roman"/>
          <w:sz w:val="24"/>
        </w:rPr>
        <w:t xml:space="preserve">there was little time between measurement of bone health and assessment of hip disease </w:t>
      </w:r>
      <w:r w:rsidRPr="00934BFC">
        <w:rPr>
          <w:rFonts w:ascii="Times New Roman" w:hAnsi="Times New Roman"/>
          <w:sz w:val="24"/>
        </w:rPr>
        <w:t>which makes attribution of causality difficult.</w:t>
      </w:r>
      <w:r>
        <w:rPr>
          <w:rFonts w:ascii="Times New Roman" w:hAnsi="Times New Roman"/>
          <w:sz w:val="24"/>
        </w:rPr>
        <w:t xml:space="preserve">  Thirdly, bone microarchitecture was studied in the extremities rather than within the hip itself which clearly limits evaluation of direct local associations.</w:t>
      </w:r>
      <w:r w:rsidR="00C36A1E">
        <w:rPr>
          <w:rFonts w:ascii="Times New Roman" w:hAnsi="Times New Roman"/>
          <w:sz w:val="24"/>
        </w:rPr>
        <w:t xml:space="preserve">  Lastly, </w:t>
      </w:r>
      <w:r w:rsidR="009E3F3D">
        <w:rPr>
          <w:rFonts w:ascii="Times New Roman" w:hAnsi="Times New Roman"/>
          <w:sz w:val="24"/>
        </w:rPr>
        <w:t xml:space="preserve">due to the study design, including the use of multiple testing, </w:t>
      </w:r>
      <w:r w:rsidR="001C10EF">
        <w:rPr>
          <w:rFonts w:ascii="Times New Roman" w:hAnsi="Times New Roman"/>
          <w:sz w:val="24"/>
        </w:rPr>
        <w:t>th</w:t>
      </w:r>
      <w:r w:rsidR="00BF7624">
        <w:rPr>
          <w:rFonts w:ascii="Times New Roman" w:hAnsi="Times New Roman"/>
          <w:sz w:val="24"/>
        </w:rPr>
        <w:t>is</w:t>
      </w:r>
      <w:r w:rsidR="001C10EF">
        <w:rPr>
          <w:rFonts w:ascii="Times New Roman" w:hAnsi="Times New Roman"/>
          <w:sz w:val="24"/>
        </w:rPr>
        <w:t xml:space="preserve"> study </w:t>
      </w:r>
      <w:r w:rsidR="00BF7624">
        <w:rPr>
          <w:rFonts w:ascii="Times New Roman" w:hAnsi="Times New Roman"/>
          <w:sz w:val="24"/>
        </w:rPr>
        <w:t>is purely</w:t>
      </w:r>
      <w:r w:rsidR="001C10EF">
        <w:rPr>
          <w:rFonts w:ascii="Times New Roman" w:hAnsi="Times New Roman"/>
          <w:sz w:val="24"/>
        </w:rPr>
        <w:t xml:space="preserve"> exploratory and hypothesis generating.  This must be taken into account when interpreting the findings, which certainly require replication in larger cohorts</w:t>
      </w:r>
      <w:r w:rsidR="00C36A1E">
        <w:rPr>
          <w:rFonts w:ascii="Times New Roman" w:hAnsi="Times New Roman"/>
          <w:sz w:val="24"/>
        </w:rPr>
        <w:t>.</w:t>
      </w:r>
    </w:p>
    <w:p w14:paraId="45B1A339" w14:textId="77777777" w:rsidR="007D2FEA" w:rsidRPr="0073202F" w:rsidRDefault="007D2FEA" w:rsidP="007D2FEA">
      <w:pPr>
        <w:spacing w:after="0" w:line="360" w:lineRule="auto"/>
        <w:jc w:val="both"/>
        <w:rPr>
          <w:rFonts w:ascii="Times New Roman" w:hAnsi="Times New Roman"/>
          <w:sz w:val="24"/>
          <w:szCs w:val="24"/>
        </w:rPr>
      </w:pPr>
    </w:p>
    <w:p w14:paraId="4ACFAD14" w14:textId="7335A9E8" w:rsidR="00886953" w:rsidRPr="0073202F" w:rsidRDefault="00886953" w:rsidP="004055B9">
      <w:pPr>
        <w:spacing w:after="0" w:line="360" w:lineRule="auto"/>
        <w:jc w:val="both"/>
        <w:rPr>
          <w:rFonts w:ascii="Times New Roman" w:hAnsi="Times New Roman"/>
          <w:sz w:val="24"/>
          <w:szCs w:val="24"/>
        </w:rPr>
      </w:pPr>
      <w:r w:rsidRPr="0073202F">
        <w:rPr>
          <w:rFonts w:ascii="Times New Roman" w:hAnsi="Times New Roman"/>
          <w:sz w:val="24"/>
          <w:szCs w:val="24"/>
        </w:rPr>
        <w:t xml:space="preserve">In summary, this study shows higher </w:t>
      </w:r>
      <w:proofErr w:type="spellStart"/>
      <w:r w:rsidRPr="0073202F">
        <w:rPr>
          <w:rFonts w:ascii="Times New Roman" w:hAnsi="Times New Roman"/>
          <w:sz w:val="24"/>
          <w:szCs w:val="24"/>
        </w:rPr>
        <w:t>Tb.vBMD</w:t>
      </w:r>
      <w:proofErr w:type="spellEnd"/>
      <w:r w:rsidRPr="0073202F">
        <w:rPr>
          <w:rFonts w:ascii="Times New Roman" w:hAnsi="Times New Roman"/>
          <w:sz w:val="24"/>
          <w:szCs w:val="24"/>
        </w:rPr>
        <w:t xml:space="preserve"> and </w:t>
      </w:r>
      <w:proofErr w:type="spellStart"/>
      <w:r w:rsidRPr="0073202F">
        <w:rPr>
          <w:rFonts w:ascii="Times New Roman" w:hAnsi="Times New Roman"/>
          <w:sz w:val="24"/>
          <w:szCs w:val="24"/>
        </w:rPr>
        <w:t>Tb.Th</w:t>
      </w:r>
      <w:proofErr w:type="spellEnd"/>
      <w:r w:rsidRPr="0073202F">
        <w:rPr>
          <w:rFonts w:ascii="Times New Roman" w:hAnsi="Times New Roman"/>
          <w:sz w:val="24"/>
          <w:szCs w:val="24"/>
        </w:rPr>
        <w:t xml:space="preserve"> in men with osteophytes</w:t>
      </w:r>
      <w:r w:rsidR="00A25D81">
        <w:rPr>
          <w:rFonts w:ascii="Times New Roman" w:hAnsi="Times New Roman"/>
          <w:sz w:val="24"/>
          <w:szCs w:val="24"/>
        </w:rPr>
        <w:t>,</w:t>
      </w:r>
      <w:r w:rsidRPr="0073202F">
        <w:rPr>
          <w:rFonts w:ascii="Times New Roman" w:hAnsi="Times New Roman"/>
          <w:sz w:val="24"/>
          <w:szCs w:val="24"/>
        </w:rPr>
        <w:t xml:space="preserve"> and higher </w:t>
      </w:r>
      <w:proofErr w:type="spellStart"/>
      <w:r w:rsidR="00A25D81">
        <w:rPr>
          <w:rFonts w:ascii="Times New Roman" w:hAnsi="Times New Roman"/>
          <w:sz w:val="24"/>
          <w:szCs w:val="24"/>
        </w:rPr>
        <w:t>tibial</w:t>
      </w:r>
      <w:proofErr w:type="spellEnd"/>
      <w:r w:rsidR="00A25D81">
        <w:rPr>
          <w:rFonts w:ascii="Times New Roman" w:hAnsi="Times New Roman"/>
          <w:sz w:val="24"/>
          <w:szCs w:val="24"/>
        </w:rPr>
        <w:t xml:space="preserve"> </w:t>
      </w:r>
      <w:proofErr w:type="spellStart"/>
      <w:r w:rsidRPr="0073202F">
        <w:rPr>
          <w:rFonts w:ascii="Times New Roman" w:hAnsi="Times New Roman"/>
          <w:sz w:val="24"/>
          <w:szCs w:val="24"/>
        </w:rPr>
        <w:t>Ct.vBMD</w:t>
      </w:r>
      <w:proofErr w:type="spellEnd"/>
      <w:r w:rsidRPr="0073202F">
        <w:rPr>
          <w:rFonts w:ascii="Times New Roman" w:hAnsi="Times New Roman"/>
          <w:sz w:val="24"/>
          <w:szCs w:val="24"/>
        </w:rPr>
        <w:t xml:space="preserve"> and </w:t>
      </w:r>
      <w:proofErr w:type="spellStart"/>
      <w:r w:rsidR="00A25D81">
        <w:rPr>
          <w:rFonts w:ascii="Times New Roman" w:hAnsi="Times New Roman"/>
          <w:sz w:val="24"/>
          <w:szCs w:val="24"/>
        </w:rPr>
        <w:t>Ct.Th</w:t>
      </w:r>
      <w:proofErr w:type="spellEnd"/>
      <w:r w:rsidRPr="0073202F">
        <w:rPr>
          <w:rFonts w:ascii="Times New Roman" w:hAnsi="Times New Roman"/>
          <w:sz w:val="24"/>
          <w:szCs w:val="24"/>
        </w:rPr>
        <w:t xml:space="preserve"> in men with sclerosis</w:t>
      </w:r>
      <w:r w:rsidR="00F718BC">
        <w:rPr>
          <w:rFonts w:ascii="Times New Roman" w:hAnsi="Times New Roman"/>
          <w:sz w:val="24"/>
          <w:szCs w:val="24"/>
        </w:rPr>
        <w:t>,</w:t>
      </w:r>
      <w:r w:rsidR="006955EA">
        <w:rPr>
          <w:rFonts w:ascii="Times New Roman" w:hAnsi="Times New Roman"/>
          <w:sz w:val="24"/>
          <w:szCs w:val="24"/>
        </w:rPr>
        <w:t xml:space="preserve"> </w:t>
      </w:r>
      <w:r w:rsidR="0001523D">
        <w:rPr>
          <w:rFonts w:ascii="Times New Roman" w:hAnsi="Times New Roman"/>
          <w:sz w:val="24"/>
          <w:szCs w:val="24"/>
        </w:rPr>
        <w:t>as well as osteophytes</w:t>
      </w:r>
      <w:r w:rsidR="00F718BC">
        <w:rPr>
          <w:rFonts w:ascii="Times New Roman" w:hAnsi="Times New Roman"/>
          <w:sz w:val="24"/>
          <w:szCs w:val="24"/>
        </w:rPr>
        <w:t>,</w:t>
      </w:r>
      <w:r w:rsidR="0001523D">
        <w:rPr>
          <w:rFonts w:ascii="Times New Roman" w:hAnsi="Times New Roman"/>
          <w:sz w:val="24"/>
          <w:szCs w:val="24"/>
        </w:rPr>
        <w:t xml:space="preserve"> </w:t>
      </w:r>
      <w:r w:rsidR="006955EA">
        <w:rPr>
          <w:rFonts w:ascii="Times New Roman" w:hAnsi="Times New Roman"/>
          <w:sz w:val="24"/>
          <w:szCs w:val="24"/>
        </w:rPr>
        <w:t>in the hip joint</w:t>
      </w:r>
      <w:r w:rsidR="00F718BC">
        <w:rPr>
          <w:rFonts w:ascii="Times New Roman" w:hAnsi="Times New Roman"/>
          <w:sz w:val="24"/>
          <w:szCs w:val="24"/>
        </w:rPr>
        <w:t>.</w:t>
      </w:r>
      <w:r w:rsidRPr="0073202F">
        <w:rPr>
          <w:rFonts w:ascii="Times New Roman" w:hAnsi="Times New Roman"/>
          <w:sz w:val="24"/>
          <w:szCs w:val="24"/>
        </w:rPr>
        <w:t xml:space="preserve"> </w:t>
      </w:r>
      <w:r w:rsidR="006955EA">
        <w:rPr>
          <w:rFonts w:ascii="Times New Roman" w:hAnsi="Times New Roman"/>
          <w:sz w:val="24"/>
          <w:szCs w:val="24"/>
        </w:rPr>
        <w:t>However, f</w:t>
      </w:r>
      <w:r w:rsidR="006955EA" w:rsidRPr="0073202F">
        <w:rPr>
          <w:rFonts w:ascii="Times New Roman" w:hAnsi="Times New Roman"/>
          <w:sz w:val="24"/>
          <w:szCs w:val="24"/>
        </w:rPr>
        <w:t xml:space="preserve">urther research </w:t>
      </w:r>
      <w:r w:rsidR="006955EA">
        <w:rPr>
          <w:rFonts w:ascii="Times New Roman" w:hAnsi="Times New Roman"/>
          <w:sz w:val="24"/>
          <w:szCs w:val="24"/>
        </w:rPr>
        <w:t>is required t</w:t>
      </w:r>
      <w:r w:rsidR="006955EA" w:rsidRPr="0073202F">
        <w:rPr>
          <w:rFonts w:ascii="Times New Roman" w:hAnsi="Times New Roman"/>
          <w:sz w:val="24"/>
          <w:szCs w:val="24"/>
        </w:rPr>
        <w:t xml:space="preserve">o confirm </w:t>
      </w:r>
      <w:r w:rsidR="00BF7624">
        <w:rPr>
          <w:rFonts w:ascii="Times New Roman" w:hAnsi="Times New Roman"/>
          <w:sz w:val="24"/>
          <w:szCs w:val="24"/>
        </w:rPr>
        <w:t xml:space="preserve">whether </w:t>
      </w:r>
      <w:r w:rsidR="006955EA" w:rsidRPr="0073202F">
        <w:rPr>
          <w:rFonts w:ascii="Times New Roman" w:hAnsi="Times New Roman"/>
          <w:sz w:val="24"/>
          <w:szCs w:val="24"/>
        </w:rPr>
        <w:t>these findings</w:t>
      </w:r>
      <w:r w:rsidR="00BF7624">
        <w:rPr>
          <w:rFonts w:ascii="Times New Roman" w:hAnsi="Times New Roman"/>
          <w:sz w:val="24"/>
          <w:szCs w:val="24"/>
        </w:rPr>
        <w:t xml:space="preserve"> represent true biological associations</w:t>
      </w:r>
      <w:r w:rsidR="006955EA" w:rsidRPr="0073202F">
        <w:rPr>
          <w:rFonts w:ascii="Times New Roman" w:hAnsi="Times New Roman"/>
          <w:sz w:val="24"/>
          <w:szCs w:val="24"/>
        </w:rPr>
        <w:t xml:space="preserve">. </w:t>
      </w:r>
      <w:r w:rsidR="00BF7624">
        <w:rPr>
          <w:rFonts w:ascii="Times New Roman" w:hAnsi="Times New Roman"/>
          <w:sz w:val="24"/>
          <w:szCs w:val="24"/>
        </w:rPr>
        <w:t>I</w:t>
      </w:r>
      <w:r w:rsidR="006955EA" w:rsidRPr="0073202F">
        <w:rPr>
          <w:rFonts w:ascii="Times New Roman" w:hAnsi="Times New Roman"/>
          <w:sz w:val="24"/>
          <w:szCs w:val="24"/>
        </w:rPr>
        <w:t xml:space="preserve">t would be </w:t>
      </w:r>
      <w:r w:rsidR="006955EA">
        <w:rPr>
          <w:rFonts w:ascii="Times New Roman" w:hAnsi="Times New Roman"/>
          <w:sz w:val="24"/>
          <w:szCs w:val="24"/>
        </w:rPr>
        <w:t>of particular interest</w:t>
      </w:r>
      <w:r w:rsidR="006955EA" w:rsidRPr="0073202F">
        <w:rPr>
          <w:rFonts w:ascii="Times New Roman" w:hAnsi="Times New Roman"/>
          <w:sz w:val="24"/>
          <w:szCs w:val="24"/>
        </w:rPr>
        <w:t xml:space="preserve"> to explore th</w:t>
      </w:r>
      <w:r w:rsidR="006955EA">
        <w:rPr>
          <w:rFonts w:ascii="Times New Roman" w:hAnsi="Times New Roman"/>
          <w:sz w:val="24"/>
          <w:szCs w:val="24"/>
        </w:rPr>
        <w:t>e</w:t>
      </w:r>
      <w:r w:rsidR="006955EA" w:rsidRPr="0073202F">
        <w:rPr>
          <w:rFonts w:ascii="Times New Roman" w:hAnsi="Times New Roman"/>
          <w:sz w:val="24"/>
          <w:szCs w:val="24"/>
        </w:rPr>
        <w:t xml:space="preserve"> association</w:t>
      </w:r>
      <w:r w:rsidR="006955EA">
        <w:rPr>
          <w:rFonts w:ascii="Times New Roman" w:hAnsi="Times New Roman"/>
          <w:sz w:val="24"/>
          <w:szCs w:val="24"/>
        </w:rPr>
        <w:t>s</w:t>
      </w:r>
      <w:r w:rsidR="006955EA" w:rsidRPr="0073202F">
        <w:rPr>
          <w:rFonts w:ascii="Times New Roman" w:hAnsi="Times New Roman"/>
          <w:sz w:val="24"/>
          <w:szCs w:val="24"/>
        </w:rPr>
        <w:t xml:space="preserve"> in subjects with OA </w:t>
      </w:r>
      <w:r w:rsidR="006955EA">
        <w:rPr>
          <w:rFonts w:ascii="Times New Roman" w:hAnsi="Times New Roman"/>
          <w:sz w:val="24"/>
          <w:szCs w:val="24"/>
        </w:rPr>
        <w:t>in</w:t>
      </w:r>
      <w:r w:rsidR="006955EA" w:rsidRPr="0073202F">
        <w:rPr>
          <w:rFonts w:ascii="Times New Roman" w:hAnsi="Times New Roman"/>
          <w:sz w:val="24"/>
          <w:szCs w:val="24"/>
        </w:rPr>
        <w:t xml:space="preserve"> </w:t>
      </w:r>
      <w:r w:rsidR="006955EA">
        <w:rPr>
          <w:rFonts w:ascii="Times New Roman" w:hAnsi="Times New Roman"/>
          <w:sz w:val="24"/>
          <w:szCs w:val="24"/>
        </w:rPr>
        <w:t>different</w:t>
      </w:r>
      <w:r w:rsidR="006955EA" w:rsidRPr="0073202F">
        <w:rPr>
          <w:rFonts w:ascii="Times New Roman" w:hAnsi="Times New Roman"/>
          <w:sz w:val="24"/>
          <w:szCs w:val="24"/>
        </w:rPr>
        <w:t xml:space="preserve"> joints and to </w:t>
      </w:r>
      <w:r w:rsidR="006955EA">
        <w:rPr>
          <w:rFonts w:ascii="Times New Roman" w:hAnsi="Times New Roman"/>
          <w:sz w:val="24"/>
          <w:szCs w:val="24"/>
        </w:rPr>
        <w:t xml:space="preserve">compare to bone microarchitecture </w:t>
      </w:r>
      <w:r w:rsidR="006955EA" w:rsidRPr="0073202F">
        <w:rPr>
          <w:rFonts w:ascii="Times New Roman" w:hAnsi="Times New Roman"/>
          <w:sz w:val="24"/>
          <w:szCs w:val="24"/>
        </w:rPr>
        <w:t>at other sites.</w:t>
      </w:r>
      <w:r w:rsidR="006955EA">
        <w:rPr>
          <w:rFonts w:ascii="Times New Roman" w:hAnsi="Times New Roman"/>
          <w:sz w:val="24"/>
          <w:szCs w:val="24"/>
        </w:rPr>
        <w:t xml:space="preserve">  </w:t>
      </w:r>
      <w:r w:rsidRPr="0073202F">
        <w:rPr>
          <w:rFonts w:ascii="Times New Roman" w:hAnsi="Times New Roman"/>
          <w:sz w:val="24"/>
          <w:szCs w:val="24"/>
        </w:rPr>
        <w:t xml:space="preserve">Identification of the potential mechanisms, acting </w:t>
      </w:r>
      <w:r w:rsidR="006955EA">
        <w:rPr>
          <w:rFonts w:ascii="Times New Roman" w:hAnsi="Times New Roman"/>
          <w:sz w:val="24"/>
          <w:szCs w:val="24"/>
        </w:rPr>
        <w:t>through</w:t>
      </w:r>
      <w:r w:rsidRPr="0073202F">
        <w:rPr>
          <w:rFonts w:ascii="Times New Roman" w:hAnsi="Times New Roman"/>
          <w:sz w:val="24"/>
          <w:szCs w:val="24"/>
        </w:rPr>
        <w:t xml:space="preserve"> cortical and trabecular remodelling, is likely to improve our understanding of the pathogenesis of bon</w:t>
      </w:r>
      <w:r w:rsidR="006955EA">
        <w:rPr>
          <w:rFonts w:ascii="Times New Roman" w:hAnsi="Times New Roman"/>
          <w:sz w:val="24"/>
          <w:szCs w:val="24"/>
        </w:rPr>
        <w:t>y</w:t>
      </w:r>
      <w:r w:rsidRPr="0073202F">
        <w:rPr>
          <w:rFonts w:ascii="Times New Roman" w:hAnsi="Times New Roman"/>
          <w:sz w:val="24"/>
          <w:szCs w:val="24"/>
        </w:rPr>
        <w:t xml:space="preserve"> changes in patients with OA</w:t>
      </w:r>
      <w:r w:rsidR="006955EA">
        <w:rPr>
          <w:rFonts w:ascii="Times New Roman" w:hAnsi="Times New Roman"/>
          <w:sz w:val="24"/>
          <w:szCs w:val="24"/>
        </w:rPr>
        <w:t xml:space="preserve"> and may eventually lead to a targeted treatment</w:t>
      </w:r>
      <w:r w:rsidRPr="0073202F">
        <w:rPr>
          <w:rFonts w:ascii="Times New Roman" w:hAnsi="Times New Roman"/>
          <w:sz w:val="24"/>
          <w:szCs w:val="24"/>
        </w:rPr>
        <w:t xml:space="preserve">. </w:t>
      </w:r>
      <w:r w:rsidR="006955EA">
        <w:rPr>
          <w:rFonts w:ascii="Times New Roman" w:hAnsi="Times New Roman"/>
          <w:sz w:val="24"/>
          <w:szCs w:val="24"/>
        </w:rPr>
        <w:t xml:space="preserve"> </w:t>
      </w:r>
    </w:p>
    <w:p w14:paraId="1C2FBD45" w14:textId="77777777" w:rsidR="00886953" w:rsidRPr="0073202F" w:rsidRDefault="00886953" w:rsidP="0073202F">
      <w:pPr>
        <w:spacing w:after="0" w:line="360" w:lineRule="auto"/>
        <w:jc w:val="both"/>
        <w:rPr>
          <w:rFonts w:ascii="Times New Roman" w:hAnsi="Times New Roman"/>
          <w:sz w:val="24"/>
          <w:szCs w:val="24"/>
        </w:rPr>
      </w:pPr>
    </w:p>
    <w:p w14:paraId="6E7CD435" w14:textId="77777777" w:rsidR="00886953" w:rsidRPr="0073202F" w:rsidRDefault="00886953" w:rsidP="0073202F">
      <w:pPr>
        <w:spacing w:after="0" w:line="360" w:lineRule="auto"/>
        <w:jc w:val="both"/>
        <w:rPr>
          <w:rFonts w:ascii="Times New Roman" w:hAnsi="Times New Roman"/>
          <w:sz w:val="24"/>
          <w:szCs w:val="24"/>
        </w:rPr>
      </w:pPr>
    </w:p>
    <w:p w14:paraId="45E5F4C8" w14:textId="77777777" w:rsidR="00886953" w:rsidRPr="0073202F" w:rsidRDefault="00886953" w:rsidP="0073202F">
      <w:pPr>
        <w:spacing w:after="0" w:line="360" w:lineRule="auto"/>
        <w:jc w:val="both"/>
        <w:rPr>
          <w:rFonts w:ascii="Times New Roman" w:hAnsi="Times New Roman"/>
          <w:sz w:val="24"/>
          <w:szCs w:val="24"/>
        </w:rPr>
      </w:pPr>
    </w:p>
    <w:p w14:paraId="21EC7C58" w14:textId="77777777" w:rsidR="00886953" w:rsidRPr="0073202F" w:rsidRDefault="00886953" w:rsidP="0073202F">
      <w:pPr>
        <w:spacing w:after="0" w:line="360" w:lineRule="auto"/>
        <w:jc w:val="both"/>
        <w:rPr>
          <w:rFonts w:ascii="Times New Roman" w:hAnsi="Times New Roman"/>
          <w:sz w:val="24"/>
          <w:szCs w:val="24"/>
        </w:rPr>
      </w:pPr>
    </w:p>
    <w:p w14:paraId="086AEDBA" w14:textId="77777777" w:rsidR="00886953" w:rsidRPr="0073202F" w:rsidRDefault="00886953" w:rsidP="0073202F">
      <w:pPr>
        <w:spacing w:after="0" w:line="360" w:lineRule="auto"/>
        <w:jc w:val="both"/>
        <w:rPr>
          <w:rFonts w:ascii="Times New Roman" w:hAnsi="Times New Roman"/>
          <w:sz w:val="24"/>
          <w:szCs w:val="24"/>
        </w:rPr>
      </w:pPr>
    </w:p>
    <w:p w14:paraId="092E9D10" w14:textId="77777777" w:rsidR="00886953" w:rsidRPr="0073202F" w:rsidRDefault="00886953" w:rsidP="0073202F">
      <w:pPr>
        <w:spacing w:after="0" w:line="360" w:lineRule="auto"/>
        <w:jc w:val="both"/>
        <w:rPr>
          <w:rFonts w:ascii="Times New Roman" w:hAnsi="Times New Roman"/>
          <w:sz w:val="24"/>
          <w:szCs w:val="24"/>
        </w:rPr>
      </w:pPr>
    </w:p>
    <w:p w14:paraId="5C4C33E5" w14:textId="77777777" w:rsidR="00886953" w:rsidRPr="0073202F" w:rsidRDefault="00886953" w:rsidP="0073202F">
      <w:pPr>
        <w:spacing w:after="0" w:line="360" w:lineRule="auto"/>
        <w:jc w:val="both"/>
        <w:rPr>
          <w:rFonts w:ascii="Times New Roman" w:hAnsi="Times New Roman"/>
          <w:sz w:val="24"/>
          <w:szCs w:val="24"/>
        </w:rPr>
      </w:pPr>
    </w:p>
    <w:p w14:paraId="726FC429" w14:textId="77777777" w:rsidR="00886953" w:rsidRPr="0073202F" w:rsidRDefault="00886953" w:rsidP="0073202F">
      <w:pPr>
        <w:spacing w:after="0" w:line="360" w:lineRule="auto"/>
        <w:jc w:val="both"/>
        <w:rPr>
          <w:rFonts w:ascii="Times New Roman" w:hAnsi="Times New Roman"/>
          <w:sz w:val="24"/>
          <w:szCs w:val="24"/>
        </w:rPr>
      </w:pPr>
    </w:p>
    <w:p w14:paraId="44C54F48" w14:textId="77777777" w:rsidR="00886953" w:rsidRPr="0073202F" w:rsidRDefault="00886953" w:rsidP="0073202F">
      <w:pPr>
        <w:spacing w:after="0" w:line="360" w:lineRule="auto"/>
        <w:jc w:val="both"/>
        <w:rPr>
          <w:rFonts w:ascii="Times New Roman" w:hAnsi="Times New Roman"/>
          <w:sz w:val="24"/>
          <w:szCs w:val="24"/>
        </w:rPr>
      </w:pPr>
    </w:p>
    <w:p w14:paraId="607F56B2" w14:textId="77777777" w:rsidR="00886953" w:rsidRPr="0073202F" w:rsidRDefault="00886953" w:rsidP="0073202F">
      <w:pPr>
        <w:spacing w:after="0" w:line="360" w:lineRule="auto"/>
        <w:jc w:val="both"/>
        <w:rPr>
          <w:rFonts w:ascii="Times New Roman" w:hAnsi="Times New Roman"/>
          <w:sz w:val="24"/>
          <w:szCs w:val="24"/>
        </w:rPr>
      </w:pPr>
    </w:p>
    <w:p w14:paraId="102DC6D4" w14:textId="77777777" w:rsidR="00886953" w:rsidRPr="0073202F" w:rsidRDefault="00886953" w:rsidP="0073202F">
      <w:pPr>
        <w:spacing w:after="0" w:line="360" w:lineRule="auto"/>
        <w:jc w:val="both"/>
        <w:rPr>
          <w:rFonts w:ascii="Times New Roman" w:hAnsi="Times New Roman"/>
          <w:sz w:val="24"/>
          <w:szCs w:val="24"/>
        </w:rPr>
      </w:pPr>
    </w:p>
    <w:p w14:paraId="47317687" w14:textId="77777777" w:rsidR="00886953" w:rsidRPr="0073202F" w:rsidRDefault="00886953" w:rsidP="0073202F">
      <w:pPr>
        <w:spacing w:after="0" w:line="360" w:lineRule="auto"/>
        <w:jc w:val="both"/>
        <w:rPr>
          <w:rFonts w:ascii="Times New Roman" w:hAnsi="Times New Roman"/>
          <w:sz w:val="24"/>
          <w:szCs w:val="24"/>
        </w:rPr>
      </w:pPr>
    </w:p>
    <w:p w14:paraId="4F9CE5C5" w14:textId="77777777" w:rsidR="00886953" w:rsidRPr="0073202F" w:rsidRDefault="00886953" w:rsidP="0073202F">
      <w:pPr>
        <w:spacing w:after="0" w:line="360" w:lineRule="auto"/>
        <w:jc w:val="both"/>
        <w:rPr>
          <w:rFonts w:ascii="Times New Roman" w:hAnsi="Times New Roman"/>
          <w:sz w:val="24"/>
          <w:szCs w:val="24"/>
        </w:rPr>
      </w:pPr>
    </w:p>
    <w:p w14:paraId="51279068" w14:textId="77777777" w:rsidR="00886953" w:rsidRPr="0073202F" w:rsidRDefault="00886953" w:rsidP="0073202F">
      <w:pPr>
        <w:spacing w:after="0" w:line="360" w:lineRule="auto"/>
        <w:jc w:val="both"/>
        <w:rPr>
          <w:rFonts w:ascii="Times New Roman" w:hAnsi="Times New Roman"/>
          <w:sz w:val="24"/>
          <w:szCs w:val="24"/>
        </w:rPr>
      </w:pPr>
    </w:p>
    <w:p w14:paraId="75DBB773" w14:textId="77777777" w:rsidR="00886953" w:rsidRPr="0073202F" w:rsidRDefault="00886953" w:rsidP="0073202F">
      <w:pPr>
        <w:spacing w:after="0" w:line="360" w:lineRule="auto"/>
        <w:jc w:val="both"/>
        <w:rPr>
          <w:rFonts w:ascii="Times New Roman" w:hAnsi="Times New Roman"/>
          <w:sz w:val="24"/>
          <w:szCs w:val="24"/>
        </w:rPr>
      </w:pPr>
    </w:p>
    <w:p w14:paraId="0919B689" w14:textId="77777777" w:rsidR="00886953" w:rsidRPr="0073202F" w:rsidRDefault="00886953" w:rsidP="0073202F">
      <w:pPr>
        <w:spacing w:after="0" w:line="360" w:lineRule="auto"/>
        <w:jc w:val="both"/>
        <w:rPr>
          <w:rFonts w:ascii="Times New Roman" w:hAnsi="Times New Roman"/>
          <w:sz w:val="24"/>
          <w:szCs w:val="24"/>
        </w:rPr>
      </w:pPr>
    </w:p>
    <w:p w14:paraId="3A7C4DB5" w14:textId="77777777" w:rsidR="00886953" w:rsidRPr="0073202F" w:rsidRDefault="00886953" w:rsidP="0073202F">
      <w:pPr>
        <w:spacing w:after="0" w:line="360" w:lineRule="auto"/>
        <w:jc w:val="both"/>
        <w:rPr>
          <w:rFonts w:ascii="Times New Roman" w:hAnsi="Times New Roman"/>
          <w:sz w:val="24"/>
          <w:szCs w:val="24"/>
        </w:rPr>
      </w:pPr>
    </w:p>
    <w:p w14:paraId="4DBDEB79" w14:textId="77777777" w:rsidR="00886953" w:rsidRPr="0073202F" w:rsidRDefault="00886953" w:rsidP="0073202F">
      <w:pPr>
        <w:spacing w:after="0" w:line="360" w:lineRule="auto"/>
        <w:jc w:val="both"/>
        <w:rPr>
          <w:rFonts w:ascii="Times New Roman" w:hAnsi="Times New Roman"/>
          <w:sz w:val="24"/>
          <w:szCs w:val="24"/>
        </w:rPr>
      </w:pPr>
    </w:p>
    <w:p w14:paraId="09FF6F2E" w14:textId="77777777" w:rsidR="00886953" w:rsidRPr="0073202F" w:rsidRDefault="00886953" w:rsidP="0073202F">
      <w:pPr>
        <w:spacing w:after="0" w:line="360" w:lineRule="auto"/>
        <w:jc w:val="both"/>
        <w:rPr>
          <w:rFonts w:ascii="Times New Roman" w:hAnsi="Times New Roman"/>
          <w:sz w:val="24"/>
          <w:szCs w:val="24"/>
        </w:rPr>
      </w:pPr>
    </w:p>
    <w:p w14:paraId="2758F29B" w14:textId="77777777" w:rsidR="00886953" w:rsidRPr="0073202F" w:rsidRDefault="00886953" w:rsidP="0073202F">
      <w:pPr>
        <w:spacing w:after="0" w:line="360" w:lineRule="auto"/>
        <w:jc w:val="both"/>
        <w:rPr>
          <w:rFonts w:ascii="Times New Roman" w:hAnsi="Times New Roman"/>
          <w:sz w:val="24"/>
          <w:szCs w:val="24"/>
        </w:rPr>
      </w:pPr>
    </w:p>
    <w:p w14:paraId="1A5FF54F" w14:textId="77777777" w:rsidR="00886953" w:rsidRPr="0073202F" w:rsidRDefault="00886953" w:rsidP="0073202F">
      <w:pPr>
        <w:spacing w:after="0" w:line="360" w:lineRule="auto"/>
        <w:jc w:val="both"/>
        <w:rPr>
          <w:rFonts w:ascii="Times New Roman" w:hAnsi="Times New Roman"/>
          <w:sz w:val="24"/>
          <w:szCs w:val="24"/>
        </w:rPr>
      </w:pPr>
    </w:p>
    <w:p w14:paraId="6E5298BC" w14:textId="77777777" w:rsidR="00886953" w:rsidRPr="0073202F" w:rsidRDefault="00886953" w:rsidP="0073202F">
      <w:pPr>
        <w:spacing w:after="0" w:line="360" w:lineRule="auto"/>
        <w:jc w:val="both"/>
        <w:rPr>
          <w:rFonts w:ascii="Times New Roman" w:hAnsi="Times New Roman"/>
          <w:sz w:val="24"/>
          <w:szCs w:val="24"/>
        </w:rPr>
      </w:pPr>
    </w:p>
    <w:p w14:paraId="71BA579C" w14:textId="77777777" w:rsidR="00886953" w:rsidRPr="0073202F" w:rsidRDefault="00886953" w:rsidP="0073202F">
      <w:pPr>
        <w:spacing w:after="0" w:line="360" w:lineRule="auto"/>
        <w:jc w:val="both"/>
        <w:rPr>
          <w:rFonts w:ascii="Times New Roman" w:hAnsi="Times New Roman"/>
          <w:sz w:val="24"/>
          <w:szCs w:val="24"/>
        </w:rPr>
      </w:pPr>
    </w:p>
    <w:p w14:paraId="14BFEA7E" w14:textId="77777777" w:rsidR="00886953" w:rsidRPr="0073202F" w:rsidRDefault="00886953" w:rsidP="0073202F">
      <w:pPr>
        <w:spacing w:after="0" w:line="360" w:lineRule="auto"/>
        <w:jc w:val="both"/>
        <w:rPr>
          <w:rFonts w:ascii="Times New Roman" w:hAnsi="Times New Roman"/>
          <w:sz w:val="24"/>
          <w:szCs w:val="24"/>
        </w:rPr>
      </w:pPr>
    </w:p>
    <w:p w14:paraId="2193B021" w14:textId="77777777" w:rsidR="00886953" w:rsidRPr="0073202F" w:rsidRDefault="00886953" w:rsidP="0073202F">
      <w:pPr>
        <w:spacing w:after="0" w:line="360" w:lineRule="auto"/>
        <w:jc w:val="both"/>
        <w:rPr>
          <w:rFonts w:ascii="Times New Roman" w:hAnsi="Times New Roman"/>
          <w:sz w:val="24"/>
          <w:szCs w:val="24"/>
        </w:rPr>
      </w:pPr>
    </w:p>
    <w:p w14:paraId="39D898FD" w14:textId="77777777" w:rsidR="00886953" w:rsidRPr="0073202F" w:rsidRDefault="00886953" w:rsidP="0073202F">
      <w:pPr>
        <w:spacing w:after="0" w:line="360" w:lineRule="auto"/>
        <w:jc w:val="both"/>
        <w:rPr>
          <w:rFonts w:ascii="Times New Roman" w:hAnsi="Times New Roman"/>
          <w:sz w:val="24"/>
          <w:szCs w:val="24"/>
        </w:rPr>
      </w:pPr>
    </w:p>
    <w:p w14:paraId="4571E1D3" w14:textId="77777777" w:rsidR="00886953" w:rsidRPr="0073202F" w:rsidRDefault="00886953" w:rsidP="0073202F">
      <w:pPr>
        <w:spacing w:after="0" w:line="360" w:lineRule="auto"/>
        <w:jc w:val="both"/>
        <w:rPr>
          <w:rFonts w:ascii="Times New Roman" w:hAnsi="Times New Roman"/>
          <w:sz w:val="24"/>
          <w:szCs w:val="24"/>
        </w:rPr>
      </w:pPr>
    </w:p>
    <w:p w14:paraId="3CF1332B" w14:textId="77777777" w:rsidR="00886953" w:rsidRDefault="00886953" w:rsidP="0073202F">
      <w:pPr>
        <w:spacing w:after="0" w:line="360" w:lineRule="auto"/>
        <w:jc w:val="both"/>
        <w:rPr>
          <w:rFonts w:ascii="Times New Roman" w:hAnsi="Times New Roman"/>
          <w:sz w:val="24"/>
          <w:szCs w:val="24"/>
        </w:rPr>
      </w:pPr>
    </w:p>
    <w:p w14:paraId="0C44D875" w14:textId="77777777" w:rsidR="003C556E" w:rsidRDefault="003C556E" w:rsidP="0073202F">
      <w:pPr>
        <w:spacing w:after="0" w:line="360" w:lineRule="auto"/>
        <w:jc w:val="both"/>
        <w:rPr>
          <w:rFonts w:ascii="Times New Roman" w:hAnsi="Times New Roman"/>
          <w:sz w:val="24"/>
          <w:szCs w:val="24"/>
        </w:rPr>
      </w:pPr>
    </w:p>
    <w:p w14:paraId="3BDA04F0" w14:textId="77777777" w:rsidR="002B4DF1" w:rsidRPr="0073202F" w:rsidRDefault="002B4DF1" w:rsidP="0073202F">
      <w:pPr>
        <w:spacing w:after="0" w:line="360" w:lineRule="auto"/>
        <w:jc w:val="both"/>
        <w:rPr>
          <w:rFonts w:ascii="Times New Roman" w:hAnsi="Times New Roman"/>
          <w:sz w:val="24"/>
          <w:szCs w:val="24"/>
        </w:rPr>
      </w:pPr>
    </w:p>
    <w:p w14:paraId="4830C031" w14:textId="77777777" w:rsidR="00886953" w:rsidRDefault="00886953" w:rsidP="0073202F">
      <w:pPr>
        <w:spacing w:after="0" w:line="360" w:lineRule="auto"/>
        <w:jc w:val="both"/>
        <w:rPr>
          <w:rFonts w:ascii="Times New Roman" w:hAnsi="Times New Roman"/>
          <w:b/>
          <w:sz w:val="24"/>
          <w:szCs w:val="24"/>
        </w:rPr>
      </w:pPr>
      <w:r w:rsidRPr="0073202F">
        <w:rPr>
          <w:rFonts w:ascii="Times New Roman" w:hAnsi="Times New Roman"/>
          <w:b/>
          <w:sz w:val="24"/>
          <w:szCs w:val="24"/>
        </w:rPr>
        <w:t>Acknowledgements</w:t>
      </w:r>
    </w:p>
    <w:p w14:paraId="114A00C7" w14:textId="77777777" w:rsidR="00F2499C" w:rsidRPr="0073202F" w:rsidRDefault="00F2499C" w:rsidP="0073202F">
      <w:pPr>
        <w:spacing w:after="0" w:line="360" w:lineRule="auto"/>
        <w:jc w:val="both"/>
        <w:rPr>
          <w:rFonts w:ascii="Times New Roman" w:hAnsi="Times New Roman"/>
          <w:b/>
          <w:sz w:val="24"/>
          <w:szCs w:val="24"/>
        </w:rPr>
      </w:pPr>
    </w:p>
    <w:p w14:paraId="5F0C9820" w14:textId="77777777" w:rsidR="001139BC" w:rsidRPr="00476359" w:rsidRDefault="001139BC" w:rsidP="001139BC">
      <w:pPr>
        <w:spacing w:after="0" w:line="360" w:lineRule="auto"/>
        <w:jc w:val="both"/>
        <w:rPr>
          <w:rFonts w:ascii="Times New Roman" w:hAnsi="Times New Roman"/>
          <w:sz w:val="24"/>
          <w:szCs w:val="24"/>
        </w:rPr>
      </w:pPr>
      <w:r w:rsidRPr="00476359">
        <w:rPr>
          <w:rFonts w:ascii="Times New Roman" w:hAnsi="Times New Roman"/>
          <w:sz w:val="24"/>
          <w:szCs w:val="24"/>
        </w:rPr>
        <w:t>We thank all of the men and women who took part in the Hertfordshire Cohort Study</w:t>
      </w:r>
      <w:r w:rsidR="00416E1F">
        <w:rPr>
          <w:rFonts w:ascii="Times New Roman" w:hAnsi="Times New Roman"/>
          <w:sz w:val="24"/>
          <w:szCs w:val="24"/>
        </w:rPr>
        <w:t xml:space="preserve"> (HCS) and</w:t>
      </w:r>
      <w:r w:rsidRPr="00476359">
        <w:rPr>
          <w:rFonts w:ascii="Times New Roman" w:hAnsi="Times New Roman"/>
          <w:sz w:val="24"/>
          <w:szCs w:val="24"/>
        </w:rPr>
        <w:t xml:space="preserve"> the HCS Research Staff.</w:t>
      </w:r>
    </w:p>
    <w:p w14:paraId="0134E88F" w14:textId="77777777" w:rsidR="001139BC" w:rsidRDefault="001139BC" w:rsidP="0073202F">
      <w:pPr>
        <w:spacing w:after="0" w:line="360" w:lineRule="auto"/>
        <w:jc w:val="both"/>
        <w:rPr>
          <w:rFonts w:ascii="Times New Roman" w:hAnsi="Times New Roman"/>
          <w:sz w:val="24"/>
          <w:szCs w:val="24"/>
        </w:rPr>
      </w:pPr>
    </w:p>
    <w:p w14:paraId="65CA5CC3" w14:textId="77777777" w:rsidR="001139BC" w:rsidRDefault="001139BC" w:rsidP="0073202F">
      <w:pPr>
        <w:spacing w:after="0" w:line="360" w:lineRule="auto"/>
        <w:jc w:val="both"/>
        <w:rPr>
          <w:rFonts w:ascii="Times New Roman" w:hAnsi="Times New Roman"/>
          <w:sz w:val="24"/>
          <w:szCs w:val="24"/>
        </w:rPr>
      </w:pPr>
    </w:p>
    <w:p w14:paraId="1F558221" w14:textId="77777777" w:rsidR="001139BC" w:rsidRDefault="001139BC" w:rsidP="0073202F">
      <w:pPr>
        <w:spacing w:after="0" w:line="360" w:lineRule="auto"/>
        <w:jc w:val="both"/>
        <w:rPr>
          <w:rFonts w:ascii="Times New Roman" w:hAnsi="Times New Roman"/>
          <w:sz w:val="24"/>
          <w:szCs w:val="24"/>
        </w:rPr>
      </w:pPr>
    </w:p>
    <w:p w14:paraId="2E6DF066" w14:textId="77777777" w:rsidR="00886953" w:rsidRPr="0073202F" w:rsidRDefault="00886953" w:rsidP="0073202F">
      <w:pPr>
        <w:spacing w:after="0" w:line="360" w:lineRule="auto"/>
        <w:jc w:val="both"/>
        <w:rPr>
          <w:rFonts w:ascii="Times New Roman" w:hAnsi="Times New Roman"/>
          <w:sz w:val="24"/>
          <w:szCs w:val="24"/>
        </w:rPr>
      </w:pPr>
    </w:p>
    <w:p w14:paraId="4AAC4CAD" w14:textId="77777777" w:rsidR="00886953" w:rsidRDefault="00886953" w:rsidP="0073202F">
      <w:pPr>
        <w:spacing w:after="0" w:line="360" w:lineRule="auto"/>
        <w:jc w:val="both"/>
        <w:rPr>
          <w:rFonts w:ascii="Times New Roman" w:hAnsi="Times New Roman"/>
          <w:sz w:val="24"/>
          <w:szCs w:val="24"/>
        </w:rPr>
      </w:pPr>
    </w:p>
    <w:p w14:paraId="4F065799" w14:textId="77777777" w:rsidR="00F2499C" w:rsidRDefault="00F2499C" w:rsidP="0073202F">
      <w:pPr>
        <w:spacing w:after="0" w:line="360" w:lineRule="auto"/>
        <w:jc w:val="both"/>
        <w:rPr>
          <w:rFonts w:ascii="Times New Roman" w:hAnsi="Times New Roman"/>
          <w:sz w:val="24"/>
          <w:szCs w:val="24"/>
        </w:rPr>
      </w:pPr>
    </w:p>
    <w:p w14:paraId="415B5EC0" w14:textId="77777777" w:rsidR="00F2499C" w:rsidRDefault="00F2499C" w:rsidP="0073202F">
      <w:pPr>
        <w:spacing w:after="0" w:line="360" w:lineRule="auto"/>
        <w:jc w:val="both"/>
        <w:rPr>
          <w:rFonts w:ascii="Times New Roman" w:hAnsi="Times New Roman"/>
          <w:sz w:val="24"/>
          <w:szCs w:val="24"/>
        </w:rPr>
      </w:pPr>
    </w:p>
    <w:p w14:paraId="694EC13E" w14:textId="77777777" w:rsidR="00F2499C" w:rsidRDefault="00F2499C" w:rsidP="0073202F">
      <w:pPr>
        <w:spacing w:after="0" w:line="360" w:lineRule="auto"/>
        <w:jc w:val="both"/>
        <w:rPr>
          <w:rFonts w:ascii="Times New Roman" w:hAnsi="Times New Roman"/>
          <w:sz w:val="24"/>
          <w:szCs w:val="24"/>
        </w:rPr>
      </w:pPr>
    </w:p>
    <w:p w14:paraId="0D584B08" w14:textId="77777777" w:rsidR="00F2499C" w:rsidRDefault="00F2499C" w:rsidP="0073202F">
      <w:pPr>
        <w:spacing w:after="0" w:line="360" w:lineRule="auto"/>
        <w:jc w:val="both"/>
        <w:rPr>
          <w:rFonts w:ascii="Times New Roman" w:hAnsi="Times New Roman"/>
          <w:sz w:val="24"/>
          <w:szCs w:val="24"/>
        </w:rPr>
      </w:pPr>
    </w:p>
    <w:p w14:paraId="0F432DC7" w14:textId="77777777" w:rsidR="00F2499C" w:rsidRDefault="00F2499C" w:rsidP="0073202F">
      <w:pPr>
        <w:spacing w:after="0" w:line="360" w:lineRule="auto"/>
        <w:jc w:val="both"/>
        <w:rPr>
          <w:rFonts w:ascii="Times New Roman" w:hAnsi="Times New Roman"/>
          <w:sz w:val="24"/>
          <w:szCs w:val="24"/>
        </w:rPr>
      </w:pPr>
    </w:p>
    <w:p w14:paraId="1F3FE3CB" w14:textId="77777777" w:rsidR="00F2499C" w:rsidRDefault="00F2499C" w:rsidP="0073202F">
      <w:pPr>
        <w:spacing w:after="0" w:line="360" w:lineRule="auto"/>
        <w:jc w:val="both"/>
        <w:rPr>
          <w:rFonts w:ascii="Times New Roman" w:hAnsi="Times New Roman"/>
          <w:sz w:val="24"/>
          <w:szCs w:val="24"/>
        </w:rPr>
      </w:pPr>
    </w:p>
    <w:p w14:paraId="71129492" w14:textId="77777777" w:rsidR="00F2499C" w:rsidRDefault="00F2499C" w:rsidP="0073202F">
      <w:pPr>
        <w:spacing w:after="0" w:line="360" w:lineRule="auto"/>
        <w:jc w:val="both"/>
        <w:rPr>
          <w:rFonts w:ascii="Times New Roman" w:hAnsi="Times New Roman"/>
          <w:sz w:val="24"/>
          <w:szCs w:val="24"/>
        </w:rPr>
      </w:pPr>
    </w:p>
    <w:p w14:paraId="70DA9D39" w14:textId="77777777" w:rsidR="00F2499C" w:rsidRDefault="00F2499C" w:rsidP="0073202F">
      <w:pPr>
        <w:spacing w:after="0" w:line="360" w:lineRule="auto"/>
        <w:jc w:val="both"/>
        <w:rPr>
          <w:rFonts w:ascii="Times New Roman" w:hAnsi="Times New Roman"/>
          <w:sz w:val="24"/>
          <w:szCs w:val="24"/>
        </w:rPr>
      </w:pPr>
    </w:p>
    <w:p w14:paraId="0DCE7B09" w14:textId="77777777" w:rsidR="00F2499C" w:rsidRDefault="00F2499C" w:rsidP="0073202F">
      <w:pPr>
        <w:spacing w:after="0" w:line="360" w:lineRule="auto"/>
        <w:jc w:val="both"/>
        <w:rPr>
          <w:rFonts w:ascii="Times New Roman" w:hAnsi="Times New Roman"/>
          <w:sz w:val="24"/>
          <w:szCs w:val="24"/>
        </w:rPr>
      </w:pPr>
    </w:p>
    <w:p w14:paraId="4552CE54" w14:textId="77777777" w:rsidR="00F2499C" w:rsidRDefault="00F2499C" w:rsidP="0073202F">
      <w:pPr>
        <w:spacing w:after="0" w:line="360" w:lineRule="auto"/>
        <w:jc w:val="both"/>
        <w:rPr>
          <w:rFonts w:ascii="Times New Roman" w:hAnsi="Times New Roman"/>
          <w:sz w:val="24"/>
          <w:szCs w:val="24"/>
        </w:rPr>
      </w:pPr>
    </w:p>
    <w:p w14:paraId="14C23FFD" w14:textId="77777777" w:rsidR="00F2499C" w:rsidRDefault="00F2499C" w:rsidP="0073202F">
      <w:pPr>
        <w:spacing w:after="0" w:line="360" w:lineRule="auto"/>
        <w:jc w:val="both"/>
        <w:rPr>
          <w:rFonts w:ascii="Times New Roman" w:hAnsi="Times New Roman"/>
          <w:sz w:val="24"/>
          <w:szCs w:val="24"/>
        </w:rPr>
      </w:pPr>
    </w:p>
    <w:p w14:paraId="7B1D8DB8" w14:textId="77777777" w:rsidR="00F2499C" w:rsidRDefault="00F2499C" w:rsidP="0073202F">
      <w:pPr>
        <w:spacing w:after="0" w:line="360" w:lineRule="auto"/>
        <w:jc w:val="both"/>
        <w:rPr>
          <w:rFonts w:ascii="Times New Roman" w:hAnsi="Times New Roman"/>
          <w:sz w:val="24"/>
          <w:szCs w:val="24"/>
        </w:rPr>
      </w:pPr>
    </w:p>
    <w:p w14:paraId="37D2D09E" w14:textId="77777777" w:rsidR="00F2499C" w:rsidRDefault="00F2499C" w:rsidP="0073202F">
      <w:pPr>
        <w:spacing w:after="0" w:line="360" w:lineRule="auto"/>
        <w:jc w:val="both"/>
        <w:rPr>
          <w:rFonts w:ascii="Times New Roman" w:hAnsi="Times New Roman"/>
          <w:sz w:val="24"/>
          <w:szCs w:val="24"/>
        </w:rPr>
      </w:pPr>
    </w:p>
    <w:p w14:paraId="2D9A1225" w14:textId="77777777" w:rsidR="00F2499C" w:rsidRDefault="00F2499C" w:rsidP="0073202F">
      <w:pPr>
        <w:spacing w:after="0" w:line="360" w:lineRule="auto"/>
        <w:jc w:val="both"/>
        <w:rPr>
          <w:rFonts w:ascii="Times New Roman" w:hAnsi="Times New Roman"/>
          <w:sz w:val="24"/>
          <w:szCs w:val="24"/>
        </w:rPr>
      </w:pPr>
    </w:p>
    <w:p w14:paraId="0AB6D9A1" w14:textId="77777777" w:rsidR="00F2499C" w:rsidRDefault="00F2499C" w:rsidP="0073202F">
      <w:pPr>
        <w:spacing w:after="0" w:line="360" w:lineRule="auto"/>
        <w:jc w:val="both"/>
        <w:rPr>
          <w:rFonts w:ascii="Times New Roman" w:hAnsi="Times New Roman"/>
          <w:sz w:val="24"/>
          <w:szCs w:val="24"/>
        </w:rPr>
      </w:pPr>
    </w:p>
    <w:p w14:paraId="23C7B435" w14:textId="77777777" w:rsidR="00F2499C" w:rsidRDefault="00F2499C" w:rsidP="0073202F">
      <w:pPr>
        <w:spacing w:after="0" w:line="360" w:lineRule="auto"/>
        <w:jc w:val="both"/>
        <w:rPr>
          <w:rFonts w:ascii="Times New Roman" w:hAnsi="Times New Roman"/>
          <w:sz w:val="24"/>
          <w:szCs w:val="24"/>
        </w:rPr>
      </w:pPr>
    </w:p>
    <w:p w14:paraId="3F590A01" w14:textId="77777777" w:rsidR="00F2499C" w:rsidRDefault="00F2499C" w:rsidP="0073202F">
      <w:pPr>
        <w:spacing w:after="0" w:line="360" w:lineRule="auto"/>
        <w:jc w:val="both"/>
        <w:rPr>
          <w:rFonts w:ascii="Times New Roman" w:hAnsi="Times New Roman"/>
          <w:sz w:val="24"/>
          <w:szCs w:val="24"/>
        </w:rPr>
      </w:pPr>
    </w:p>
    <w:p w14:paraId="55E19D68" w14:textId="77777777" w:rsidR="00F2499C" w:rsidRDefault="00F2499C" w:rsidP="0073202F">
      <w:pPr>
        <w:spacing w:after="0" w:line="360" w:lineRule="auto"/>
        <w:jc w:val="both"/>
        <w:rPr>
          <w:rFonts w:ascii="Times New Roman" w:hAnsi="Times New Roman"/>
          <w:sz w:val="24"/>
          <w:szCs w:val="24"/>
        </w:rPr>
      </w:pPr>
    </w:p>
    <w:p w14:paraId="4B607ED7" w14:textId="77777777" w:rsidR="00F2499C" w:rsidRDefault="00F2499C" w:rsidP="0073202F">
      <w:pPr>
        <w:spacing w:after="0" w:line="360" w:lineRule="auto"/>
        <w:jc w:val="both"/>
        <w:rPr>
          <w:rFonts w:ascii="Times New Roman" w:hAnsi="Times New Roman"/>
          <w:sz w:val="24"/>
          <w:szCs w:val="24"/>
        </w:rPr>
      </w:pPr>
    </w:p>
    <w:p w14:paraId="4FEED2B3" w14:textId="77777777" w:rsidR="00F2499C" w:rsidRDefault="00F2499C" w:rsidP="0073202F">
      <w:pPr>
        <w:spacing w:after="0" w:line="360" w:lineRule="auto"/>
        <w:jc w:val="both"/>
        <w:rPr>
          <w:rFonts w:ascii="Times New Roman" w:hAnsi="Times New Roman"/>
          <w:sz w:val="24"/>
          <w:szCs w:val="24"/>
        </w:rPr>
      </w:pPr>
    </w:p>
    <w:p w14:paraId="1815F9A4" w14:textId="77777777" w:rsidR="00F2499C" w:rsidRDefault="00F2499C" w:rsidP="0073202F">
      <w:pPr>
        <w:spacing w:after="0" w:line="360" w:lineRule="auto"/>
        <w:jc w:val="both"/>
        <w:rPr>
          <w:rFonts w:ascii="Times New Roman" w:hAnsi="Times New Roman"/>
          <w:sz w:val="24"/>
          <w:szCs w:val="24"/>
        </w:rPr>
      </w:pPr>
    </w:p>
    <w:p w14:paraId="1E16CF8A" w14:textId="77777777" w:rsidR="00F2499C" w:rsidRDefault="00F2499C" w:rsidP="0073202F">
      <w:pPr>
        <w:spacing w:after="0" w:line="360" w:lineRule="auto"/>
        <w:jc w:val="both"/>
        <w:rPr>
          <w:rFonts w:ascii="Times New Roman" w:hAnsi="Times New Roman"/>
          <w:sz w:val="24"/>
          <w:szCs w:val="24"/>
        </w:rPr>
      </w:pPr>
    </w:p>
    <w:p w14:paraId="6C249521" w14:textId="77777777" w:rsidR="00F2499C" w:rsidRDefault="00F2499C" w:rsidP="0073202F">
      <w:pPr>
        <w:spacing w:after="0" w:line="360" w:lineRule="auto"/>
        <w:jc w:val="both"/>
        <w:rPr>
          <w:rFonts w:ascii="Times New Roman" w:hAnsi="Times New Roman"/>
          <w:sz w:val="24"/>
          <w:szCs w:val="24"/>
        </w:rPr>
      </w:pPr>
    </w:p>
    <w:p w14:paraId="527A1570" w14:textId="77777777" w:rsidR="00F2499C" w:rsidRDefault="00F2499C" w:rsidP="0073202F">
      <w:pPr>
        <w:spacing w:after="0" w:line="360" w:lineRule="auto"/>
        <w:jc w:val="both"/>
        <w:rPr>
          <w:rFonts w:ascii="Times New Roman" w:hAnsi="Times New Roman"/>
          <w:sz w:val="24"/>
          <w:szCs w:val="24"/>
        </w:rPr>
      </w:pPr>
    </w:p>
    <w:p w14:paraId="30954CAB" w14:textId="77777777" w:rsidR="00F2499C" w:rsidRDefault="00F2499C" w:rsidP="0073202F">
      <w:pPr>
        <w:spacing w:after="0" w:line="360" w:lineRule="auto"/>
        <w:jc w:val="both"/>
        <w:rPr>
          <w:rFonts w:ascii="Times New Roman" w:hAnsi="Times New Roman"/>
          <w:sz w:val="24"/>
          <w:szCs w:val="24"/>
        </w:rPr>
      </w:pPr>
    </w:p>
    <w:p w14:paraId="6AAB13EF" w14:textId="77777777" w:rsidR="00695007" w:rsidRPr="00F444AF" w:rsidRDefault="00F444AF" w:rsidP="0073202F">
      <w:pPr>
        <w:spacing w:after="0" w:line="360" w:lineRule="auto"/>
        <w:jc w:val="both"/>
        <w:rPr>
          <w:rFonts w:ascii="Times New Roman" w:hAnsi="Times New Roman"/>
          <w:b/>
          <w:sz w:val="24"/>
          <w:szCs w:val="24"/>
        </w:rPr>
      </w:pPr>
      <w:r>
        <w:rPr>
          <w:rFonts w:ascii="Times New Roman" w:hAnsi="Times New Roman"/>
          <w:b/>
          <w:sz w:val="24"/>
          <w:szCs w:val="24"/>
        </w:rPr>
        <w:t>Author c</w:t>
      </w:r>
      <w:r w:rsidR="00695007" w:rsidRPr="00F444AF">
        <w:rPr>
          <w:rFonts w:ascii="Times New Roman" w:hAnsi="Times New Roman"/>
          <w:b/>
          <w:sz w:val="24"/>
          <w:szCs w:val="24"/>
        </w:rPr>
        <w:t>ontributions</w:t>
      </w:r>
    </w:p>
    <w:p w14:paraId="4028B388" w14:textId="77777777" w:rsidR="00240165" w:rsidRDefault="00240165" w:rsidP="00F444AF">
      <w:pPr>
        <w:spacing w:after="0" w:line="360" w:lineRule="auto"/>
        <w:jc w:val="both"/>
        <w:rPr>
          <w:rFonts w:ascii="Times New Roman" w:hAnsi="Times New Roman"/>
          <w:sz w:val="24"/>
          <w:szCs w:val="24"/>
        </w:rPr>
      </w:pPr>
    </w:p>
    <w:p w14:paraId="747C3DF9" w14:textId="77777777" w:rsidR="00F444AF" w:rsidRPr="00F444AF" w:rsidRDefault="00F444AF" w:rsidP="00F444AF">
      <w:pPr>
        <w:spacing w:after="0" w:line="360" w:lineRule="auto"/>
        <w:jc w:val="both"/>
        <w:rPr>
          <w:rFonts w:ascii="Times New Roman" w:eastAsia="Times New Roman" w:hAnsi="Times New Roman"/>
          <w:sz w:val="24"/>
          <w:szCs w:val="24"/>
          <w:lang w:eastAsia="en-GB"/>
        </w:rPr>
      </w:pPr>
      <w:r w:rsidRPr="00F444AF">
        <w:rPr>
          <w:rFonts w:ascii="Times New Roman" w:hAnsi="Times New Roman"/>
          <w:sz w:val="24"/>
          <w:szCs w:val="24"/>
        </w:rPr>
        <w:t xml:space="preserve">MHE, JP, KAW, KAJ, CC and EMD made substantial contributions to </w:t>
      </w:r>
      <w:r w:rsidRPr="00695007">
        <w:rPr>
          <w:rFonts w:ascii="Times New Roman" w:eastAsia="Times New Roman" w:hAnsi="Times New Roman"/>
          <w:sz w:val="24"/>
          <w:szCs w:val="24"/>
          <w:lang w:eastAsia="en-GB"/>
        </w:rPr>
        <w:t>the conception and design of th</w:t>
      </w:r>
      <w:r w:rsidRPr="00F444AF">
        <w:rPr>
          <w:rFonts w:ascii="Times New Roman" w:eastAsia="Times New Roman" w:hAnsi="Times New Roman"/>
          <w:sz w:val="24"/>
          <w:szCs w:val="24"/>
          <w:lang w:eastAsia="en-GB"/>
        </w:rPr>
        <w:t xml:space="preserve">e study, interpretation of data, </w:t>
      </w:r>
      <w:r w:rsidRPr="00695007">
        <w:rPr>
          <w:rFonts w:ascii="Times New Roman" w:eastAsia="Times New Roman" w:hAnsi="Times New Roman"/>
          <w:sz w:val="24"/>
          <w:szCs w:val="24"/>
          <w:lang w:eastAsia="en-GB"/>
        </w:rPr>
        <w:t>drafting the article or revising it critically for important intellectual content</w:t>
      </w:r>
      <w:r w:rsidRPr="00F444AF">
        <w:rPr>
          <w:rFonts w:ascii="Times New Roman" w:hAnsi="Times New Roman"/>
          <w:sz w:val="24"/>
          <w:szCs w:val="24"/>
        </w:rPr>
        <w:t xml:space="preserve"> and</w:t>
      </w:r>
      <w:r w:rsidRPr="00695007">
        <w:rPr>
          <w:rFonts w:ascii="Times New Roman" w:eastAsia="Times New Roman" w:hAnsi="Times New Roman"/>
          <w:sz w:val="24"/>
          <w:szCs w:val="24"/>
          <w:lang w:eastAsia="en-GB"/>
        </w:rPr>
        <w:t xml:space="preserve"> final approval of the version to be submitted</w:t>
      </w:r>
      <w:r w:rsidRPr="00F444AF">
        <w:rPr>
          <w:rFonts w:ascii="Times New Roman" w:eastAsia="Times New Roman" w:hAnsi="Times New Roman"/>
          <w:sz w:val="24"/>
          <w:szCs w:val="24"/>
          <w:lang w:eastAsia="en-GB"/>
        </w:rPr>
        <w:t xml:space="preserve">.  MKJ and CM </w:t>
      </w:r>
      <w:r w:rsidRPr="00F444AF">
        <w:rPr>
          <w:rFonts w:ascii="Times New Roman" w:hAnsi="Times New Roman"/>
          <w:sz w:val="24"/>
          <w:szCs w:val="24"/>
        </w:rPr>
        <w:t xml:space="preserve">made substantial contributions to </w:t>
      </w:r>
      <w:r w:rsidRPr="00695007">
        <w:rPr>
          <w:rFonts w:ascii="Times New Roman" w:eastAsia="Times New Roman" w:hAnsi="Times New Roman"/>
          <w:sz w:val="24"/>
          <w:szCs w:val="24"/>
          <w:lang w:eastAsia="en-GB"/>
        </w:rPr>
        <w:t xml:space="preserve">the </w:t>
      </w:r>
      <w:r w:rsidRPr="00F444AF">
        <w:rPr>
          <w:rFonts w:ascii="Times New Roman" w:eastAsia="Times New Roman" w:hAnsi="Times New Roman"/>
          <w:sz w:val="24"/>
          <w:szCs w:val="24"/>
          <w:lang w:eastAsia="en-GB"/>
        </w:rPr>
        <w:t>interpretation of data, revising the article</w:t>
      </w:r>
      <w:r w:rsidRPr="00695007">
        <w:rPr>
          <w:rFonts w:ascii="Times New Roman" w:eastAsia="Times New Roman" w:hAnsi="Times New Roman"/>
          <w:sz w:val="24"/>
          <w:szCs w:val="24"/>
          <w:lang w:eastAsia="en-GB"/>
        </w:rPr>
        <w:t xml:space="preserve"> critically for important intellectual content</w:t>
      </w:r>
      <w:r w:rsidRPr="00F444AF">
        <w:rPr>
          <w:rFonts w:ascii="Times New Roman" w:hAnsi="Times New Roman"/>
          <w:sz w:val="24"/>
          <w:szCs w:val="24"/>
        </w:rPr>
        <w:t xml:space="preserve"> and</w:t>
      </w:r>
      <w:r w:rsidRPr="00695007">
        <w:rPr>
          <w:rFonts w:ascii="Times New Roman" w:eastAsia="Times New Roman" w:hAnsi="Times New Roman"/>
          <w:sz w:val="24"/>
          <w:szCs w:val="24"/>
          <w:lang w:eastAsia="en-GB"/>
        </w:rPr>
        <w:t xml:space="preserve"> final approval of the version to be submitted</w:t>
      </w:r>
      <w:r w:rsidRPr="00F444AF">
        <w:rPr>
          <w:rFonts w:ascii="Times New Roman" w:eastAsia="Times New Roman" w:hAnsi="Times New Roman"/>
          <w:sz w:val="24"/>
          <w:szCs w:val="24"/>
          <w:lang w:eastAsia="en-GB"/>
        </w:rPr>
        <w:t xml:space="preserve">.  JW </w:t>
      </w:r>
      <w:r w:rsidRPr="00F444AF">
        <w:rPr>
          <w:rFonts w:ascii="Times New Roman" w:hAnsi="Times New Roman"/>
          <w:sz w:val="24"/>
          <w:szCs w:val="24"/>
        </w:rPr>
        <w:t xml:space="preserve">made substantial contributions to </w:t>
      </w:r>
      <w:r w:rsidRPr="00695007">
        <w:rPr>
          <w:rFonts w:ascii="Times New Roman" w:eastAsia="Times New Roman" w:hAnsi="Times New Roman"/>
          <w:sz w:val="24"/>
          <w:szCs w:val="24"/>
          <w:lang w:eastAsia="en-GB"/>
        </w:rPr>
        <w:t xml:space="preserve">the </w:t>
      </w:r>
      <w:r w:rsidRPr="00F444AF">
        <w:rPr>
          <w:rFonts w:ascii="Times New Roman" w:eastAsia="Times New Roman" w:hAnsi="Times New Roman"/>
          <w:sz w:val="24"/>
          <w:szCs w:val="24"/>
          <w:lang w:eastAsia="en-GB"/>
        </w:rPr>
        <w:t>acquisition of data, revising the article</w:t>
      </w:r>
      <w:r w:rsidRPr="00695007">
        <w:rPr>
          <w:rFonts w:ascii="Times New Roman" w:eastAsia="Times New Roman" w:hAnsi="Times New Roman"/>
          <w:sz w:val="24"/>
          <w:szCs w:val="24"/>
          <w:lang w:eastAsia="en-GB"/>
        </w:rPr>
        <w:t xml:space="preserve"> critically for important intellectual content</w:t>
      </w:r>
      <w:r w:rsidRPr="00F444AF">
        <w:rPr>
          <w:rFonts w:ascii="Times New Roman" w:hAnsi="Times New Roman"/>
          <w:sz w:val="24"/>
          <w:szCs w:val="24"/>
        </w:rPr>
        <w:t xml:space="preserve"> and</w:t>
      </w:r>
      <w:r w:rsidRPr="00695007">
        <w:rPr>
          <w:rFonts w:ascii="Times New Roman" w:eastAsia="Times New Roman" w:hAnsi="Times New Roman"/>
          <w:sz w:val="24"/>
          <w:szCs w:val="24"/>
          <w:lang w:eastAsia="en-GB"/>
        </w:rPr>
        <w:t xml:space="preserve"> final approval of the version to be submitted</w:t>
      </w:r>
      <w:r w:rsidRPr="00F444AF">
        <w:rPr>
          <w:rFonts w:ascii="Times New Roman" w:eastAsia="Times New Roman" w:hAnsi="Times New Roman"/>
          <w:sz w:val="24"/>
          <w:szCs w:val="24"/>
          <w:lang w:eastAsia="en-GB"/>
        </w:rPr>
        <w:t>.</w:t>
      </w:r>
    </w:p>
    <w:p w14:paraId="5D6263EE" w14:textId="77777777" w:rsidR="00F444AF" w:rsidRPr="00F444AF" w:rsidRDefault="00F444AF" w:rsidP="00F444AF">
      <w:pPr>
        <w:spacing w:after="0" w:line="360" w:lineRule="auto"/>
        <w:jc w:val="both"/>
        <w:rPr>
          <w:rFonts w:ascii="Times New Roman" w:eastAsia="Times New Roman" w:hAnsi="Times New Roman"/>
          <w:sz w:val="24"/>
          <w:szCs w:val="24"/>
          <w:lang w:eastAsia="en-GB"/>
        </w:rPr>
      </w:pPr>
    </w:p>
    <w:p w14:paraId="22A07FA6" w14:textId="77777777" w:rsidR="00F444AF" w:rsidRPr="00695007" w:rsidRDefault="00F444AF" w:rsidP="00F444AF">
      <w:pPr>
        <w:spacing w:after="0" w:line="360" w:lineRule="auto"/>
        <w:jc w:val="both"/>
        <w:rPr>
          <w:rFonts w:ascii="Times New Roman" w:hAnsi="Times New Roman"/>
          <w:sz w:val="24"/>
          <w:szCs w:val="24"/>
        </w:rPr>
      </w:pPr>
      <w:r w:rsidRPr="00F444AF">
        <w:rPr>
          <w:rFonts w:ascii="Times New Roman" w:eastAsia="Times New Roman" w:hAnsi="Times New Roman"/>
          <w:sz w:val="24"/>
          <w:szCs w:val="24"/>
          <w:lang w:eastAsia="en-GB"/>
        </w:rPr>
        <w:t>MHE (me@mrc.soton.ac.uk) and JP (</w:t>
      </w:r>
      <w:r w:rsidRPr="00F444AF">
        <w:rPr>
          <w:rStyle w:val="lg"/>
          <w:rFonts w:ascii="Times New Roman" w:hAnsi="Times New Roman"/>
          <w:sz w:val="24"/>
          <w:szCs w:val="24"/>
        </w:rPr>
        <w:t>julien</w:t>
      </w:r>
      <w:r w:rsidRPr="00F444AF">
        <w:rPr>
          <w:rFonts w:ascii="Times New Roman" w:hAnsi="Times New Roman"/>
          <w:sz w:val="24"/>
          <w:szCs w:val="24"/>
          <w:shd w:val="clear" w:color="auto" w:fill="FFFFFF"/>
        </w:rPr>
        <w:t>.</w:t>
      </w:r>
      <w:r w:rsidRPr="00F444AF">
        <w:rPr>
          <w:rStyle w:val="lg"/>
          <w:rFonts w:ascii="Times New Roman" w:hAnsi="Times New Roman"/>
          <w:sz w:val="24"/>
          <w:szCs w:val="24"/>
        </w:rPr>
        <w:t>paccou</w:t>
      </w:r>
      <w:r w:rsidRPr="00F444AF">
        <w:rPr>
          <w:rFonts w:ascii="Times New Roman" w:hAnsi="Times New Roman"/>
          <w:sz w:val="24"/>
          <w:szCs w:val="24"/>
          <w:shd w:val="clear" w:color="auto" w:fill="FFFFFF"/>
        </w:rPr>
        <w:t>@chru-lille.fr) take responsibility for the integrity of the work as a whole, from inception to finished article</w:t>
      </w:r>
    </w:p>
    <w:p w14:paraId="024DC326" w14:textId="77777777" w:rsidR="00F444AF" w:rsidRPr="00F444AF" w:rsidRDefault="00F444AF" w:rsidP="0073202F">
      <w:pPr>
        <w:spacing w:after="0" w:line="360" w:lineRule="auto"/>
        <w:jc w:val="both"/>
        <w:rPr>
          <w:rFonts w:ascii="Times New Roman" w:hAnsi="Times New Roman"/>
          <w:sz w:val="24"/>
          <w:szCs w:val="24"/>
        </w:rPr>
      </w:pPr>
    </w:p>
    <w:p w14:paraId="7C4432FC" w14:textId="77777777" w:rsidR="00695007" w:rsidRPr="00F444AF" w:rsidRDefault="00695007" w:rsidP="0073202F">
      <w:pPr>
        <w:spacing w:after="0" w:line="360" w:lineRule="auto"/>
        <w:jc w:val="both"/>
        <w:rPr>
          <w:rFonts w:ascii="Times New Roman" w:hAnsi="Times New Roman"/>
          <w:sz w:val="24"/>
          <w:szCs w:val="24"/>
        </w:rPr>
      </w:pPr>
    </w:p>
    <w:p w14:paraId="5F64F7DE" w14:textId="77777777" w:rsidR="00695007" w:rsidRPr="00F444AF" w:rsidRDefault="00695007" w:rsidP="0073202F">
      <w:pPr>
        <w:spacing w:after="0" w:line="360" w:lineRule="auto"/>
        <w:jc w:val="both"/>
        <w:rPr>
          <w:rFonts w:ascii="Times New Roman" w:hAnsi="Times New Roman"/>
          <w:sz w:val="24"/>
          <w:szCs w:val="24"/>
        </w:rPr>
      </w:pPr>
    </w:p>
    <w:p w14:paraId="3F85D5E4" w14:textId="77777777" w:rsidR="00695007" w:rsidRDefault="00695007" w:rsidP="0073202F">
      <w:pPr>
        <w:spacing w:after="0" w:line="360" w:lineRule="auto"/>
        <w:jc w:val="both"/>
        <w:rPr>
          <w:rFonts w:ascii="Times New Roman" w:hAnsi="Times New Roman"/>
          <w:sz w:val="24"/>
          <w:szCs w:val="24"/>
        </w:rPr>
      </w:pPr>
    </w:p>
    <w:p w14:paraId="0C6B684B" w14:textId="77777777" w:rsidR="00695007" w:rsidRDefault="00695007" w:rsidP="0073202F">
      <w:pPr>
        <w:spacing w:after="0" w:line="360" w:lineRule="auto"/>
        <w:jc w:val="both"/>
        <w:rPr>
          <w:rFonts w:ascii="Times New Roman" w:hAnsi="Times New Roman"/>
          <w:sz w:val="24"/>
          <w:szCs w:val="24"/>
        </w:rPr>
      </w:pPr>
    </w:p>
    <w:p w14:paraId="0F8CBE45" w14:textId="77777777" w:rsidR="00695007" w:rsidRDefault="00695007" w:rsidP="0073202F">
      <w:pPr>
        <w:spacing w:after="0" w:line="360" w:lineRule="auto"/>
        <w:jc w:val="both"/>
        <w:rPr>
          <w:rFonts w:ascii="Times New Roman" w:hAnsi="Times New Roman"/>
          <w:sz w:val="24"/>
          <w:szCs w:val="24"/>
        </w:rPr>
      </w:pPr>
    </w:p>
    <w:p w14:paraId="256C1950" w14:textId="77777777" w:rsidR="00695007" w:rsidRDefault="00695007" w:rsidP="0073202F">
      <w:pPr>
        <w:spacing w:after="0" w:line="360" w:lineRule="auto"/>
        <w:jc w:val="both"/>
        <w:rPr>
          <w:rFonts w:ascii="Times New Roman" w:hAnsi="Times New Roman"/>
          <w:sz w:val="24"/>
          <w:szCs w:val="24"/>
        </w:rPr>
      </w:pPr>
    </w:p>
    <w:p w14:paraId="3F13C70A" w14:textId="77777777" w:rsidR="00695007" w:rsidRDefault="00695007" w:rsidP="0073202F">
      <w:pPr>
        <w:spacing w:after="0" w:line="360" w:lineRule="auto"/>
        <w:jc w:val="both"/>
        <w:rPr>
          <w:rFonts w:ascii="Times New Roman" w:hAnsi="Times New Roman"/>
          <w:sz w:val="24"/>
          <w:szCs w:val="24"/>
        </w:rPr>
      </w:pPr>
    </w:p>
    <w:p w14:paraId="74C78E37" w14:textId="77777777" w:rsidR="00695007" w:rsidRDefault="00695007" w:rsidP="0073202F">
      <w:pPr>
        <w:spacing w:after="0" w:line="360" w:lineRule="auto"/>
        <w:jc w:val="both"/>
        <w:rPr>
          <w:rFonts w:ascii="Times New Roman" w:hAnsi="Times New Roman"/>
          <w:sz w:val="24"/>
          <w:szCs w:val="24"/>
        </w:rPr>
      </w:pPr>
    </w:p>
    <w:p w14:paraId="26A7CE0A" w14:textId="77777777" w:rsidR="00695007" w:rsidRDefault="00695007" w:rsidP="0073202F">
      <w:pPr>
        <w:spacing w:after="0" w:line="360" w:lineRule="auto"/>
        <w:jc w:val="both"/>
        <w:rPr>
          <w:rFonts w:ascii="Times New Roman" w:hAnsi="Times New Roman"/>
          <w:sz w:val="24"/>
          <w:szCs w:val="24"/>
        </w:rPr>
      </w:pPr>
    </w:p>
    <w:p w14:paraId="0E982B6E" w14:textId="77777777" w:rsidR="00695007" w:rsidRDefault="00695007" w:rsidP="0073202F">
      <w:pPr>
        <w:spacing w:after="0" w:line="360" w:lineRule="auto"/>
        <w:jc w:val="both"/>
        <w:rPr>
          <w:rFonts w:ascii="Times New Roman" w:hAnsi="Times New Roman"/>
          <w:sz w:val="24"/>
          <w:szCs w:val="24"/>
        </w:rPr>
      </w:pPr>
    </w:p>
    <w:p w14:paraId="7EC6CD9C" w14:textId="77777777" w:rsidR="00695007" w:rsidRDefault="00695007" w:rsidP="0073202F">
      <w:pPr>
        <w:spacing w:after="0" w:line="360" w:lineRule="auto"/>
        <w:jc w:val="both"/>
        <w:rPr>
          <w:rFonts w:ascii="Times New Roman" w:hAnsi="Times New Roman"/>
          <w:sz w:val="24"/>
          <w:szCs w:val="24"/>
        </w:rPr>
      </w:pPr>
    </w:p>
    <w:p w14:paraId="2BCAD1C9" w14:textId="77777777" w:rsidR="00695007" w:rsidRDefault="00695007" w:rsidP="0073202F">
      <w:pPr>
        <w:spacing w:after="0" w:line="360" w:lineRule="auto"/>
        <w:jc w:val="both"/>
        <w:rPr>
          <w:rFonts w:ascii="Times New Roman" w:hAnsi="Times New Roman"/>
          <w:sz w:val="24"/>
          <w:szCs w:val="24"/>
        </w:rPr>
      </w:pPr>
    </w:p>
    <w:p w14:paraId="1EDEC617" w14:textId="77777777" w:rsidR="00695007" w:rsidRDefault="00695007" w:rsidP="0073202F">
      <w:pPr>
        <w:spacing w:after="0" w:line="360" w:lineRule="auto"/>
        <w:jc w:val="both"/>
        <w:rPr>
          <w:rFonts w:ascii="Times New Roman" w:hAnsi="Times New Roman"/>
          <w:sz w:val="24"/>
          <w:szCs w:val="24"/>
        </w:rPr>
      </w:pPr>
    </w:p>
    <w:p w14:paraId="6362316D" w14:textId="77777777" w:rsidR="00695007" w:rsidRDefault="00695007" w:rsidP="0073202F">
      <w:pPr>
        <w:spacing w:after="0" w:line="360" w:lineRule="auto"/>
        <w:jc w:val="both"/>
        <w:rPr>
          <w:rFonts w:ascii="Times New Roman" w:hAnsi="Times New Roman"/>
          <w:sz w:val="24"/>
          <w:szCs w:val="24"/>
        </w:rPr>
      </w:pPr>
    </w:p>
    <w:p w14:paraId="490F10F8" w14:textId="77777777" w:rsidR="00695007" w:rsidRDefault="00695007" w:rsidP="0073202F">
      <w:pPr>
        <w:spacing w:after="0" w:line="360" w:lineRule="auto"/>
        <w:jc w:val="both"/>
        <w:rPr>
          <w:rFonts w:ascii="Times New Roman" w:hAnsi="Times New Roman"/>
          <w:sz w:val="24"/>
          <w:szCs w:val="24"/>
        </w:rPr>
      </w:pPr>
    </w:p>
    <w:p w14:paraId="620AC2EC" w14:textId="77777777" w:rsidR="00695007" w:rsidRDefault="00695007" w:rsidP="0073202F">
      <w:pPr>
        <w:spacing w:after="0" w:line="360" w:lineRule="auto"/>
        <w:jc w:val="both"/>
        <w:rPr>
          <w:rFonts w:ascii="Times New Roman" w:hAnsi="Times New Roman"/>
          <w:sz w:val="24"/>
          <w:szCs w:val="24"/>
        </w:rPr>
      </w:pPr>
    </w:p>
    <w:p w14:paraId="51E4C6DA" w14:textId="77777777" w:rsidR="00695007" w:rsidRDefault="00695007" w:rsidP="0073202F">
      <w:pPr>
        <w:spacing w:after="0" w:line="360" w:lineRule="auto"/>
        <w:jc w:val="both"/>
        <w:rPr>
          <w:rFonts w:ascii="Times New Roman" w:hAnsi="Times New Roman"/>
          <w:sz w:val="24"/>
          <w:szCs w:val="24"/>
        </w:rPr>
      </w:pPr>
    </w:p>
    <w:p w14:paraId="50AD8158" w14:textId="77777777" w:rsidR="00695007" w:rsidRDefault="00695007" w:rsidP="0073202F">
      <w:pPr>
        <w:spacing w:after="0" w:line="360" w:lineRule="auto"/>
        <w:jc w:val="both"/>
        <w:rPr>
          <w:rFonts w:ascii="Times New Roman" w:hAnsi="Times New Roman"/>
          <w:sz w:val="24"/>
          <w:szCs w:val="24"/>
        </w:rPr>
      </w:pPr>
    </w:p>
    <w:p w14:paraId="2B47F93E" w14:textId="77777777" w:rsidR="00695007" w:rsidRDefault="00695007" w:rsidP="0073202F">
      <w:pPr>
        <w:spacing w:after="0" w:line="360" w:lineRule="auto"/>
        <w:jc w:val="both"/>
        <w:rPr>
          <w:rFonts w:ascii="Times New Roman" w:hAnsi="Times New Roman"/>
          <w:sz w:val="24"/>
          <w:szCs w:val="24"/>
        </w:rPr>
      </w:pPr>
    </w:p>
    <w:p w14:paraId="03318510" w14:textId="77777777" w:rsidR="00695007" w:rsidRPr="00695007" w:rsidRDefault="00695007" w:rsidP="0073202F">
      <w:pPr>
        <w:spacing w:after="0" w:line="360" w:lineRule="auto"/>
        <w:jc w:val="both"/>
        <w:rPr>
          <w:rFonts w:ascii="Times New Roman" w:hAnsi="Times New Roman"/>
          <w:sz w:val="24"/>
          <w:szCs w:val="24"/>
        </w:rPr>
      </w:pPr>
    </w:p>
    <w:p w14:paraId="1DCA5982" w14:textId="77777777" w:rsidR="00695007" w:rsidRPr="00695007" w:rsidRDefault="00695007" w:rsidP="0073202F">
      <w:pPr>
        <w:spacing w:after="0" w:line="360" w:lineRule="auto"/>
        <w:jc w:val="both"/>
        <w:rPr>
          <w:rFonts w:ascii="Times New Roman" w:hAnsi="Times New Roman"/>
          <w:sz w:val="24"/>
          <w:szCs w:val="24"/>
        </w:rPr>
      </w:pPr>
    </w:p>
    <w:p w14:paraId="76D88786" w14:textId="77777777" w:rsidR="00F2499C" w:rsidRDefault="00F2499C" w:rsidP="0073202F">
      <w:pPr>
        <w:spacing w:after="0" w:line="360" w:lineRule="auto"/>
        <w:jc w:val="both"/>
        <w:rPr>
          <w:rFonts w:ascii="Times New Roman" w:hAnsi="Times New Roman"/>
          <w:b/>
          <w:sz w:val="24"/>
          <w:szCs w:val="24"/>
        </w:rPr>
      </w:pPr>
      <w:r w:rsidRPr="00F2499C">
        <w:rPr>
          <w:rFonts w:ascii="Times New Roman" w:hAnsi="Times New Roman"/>
          <w:b/>
          <w:sz w:val="24"/>
          <w:szCs w:val="24"/>
        </w:rPr>
        <w:t>Role of funding source</w:t>
      </w:r>
    </w:p>
    <w:p w14:paraId="6BD41278" w14:textId="77777777" w:rsidR="00F2499C" w:rsidRPr="00F2499C" w:rsidRDefault="00F2499C" w:rsidP="0073202F">
      <w:pPr>
        <w:spacing w:after="0" w:line="360" w:lineRule="auto"/>
        <w:jc w:val="both"/>
        <w:rPr>
          <w:rFonts w:ascii="Times New Roman" w:hAnsi="Times New Roman"/>
          <w:b/>
          <w:sz w:val="24"/>
          <w:szCs w:val="24"/>
        </w:rPr>
      </w:pPr>
    </w:p>
    <w:p w14:paraId="41D569EC" w14:textId="77777777" w:rsidR="00F2499C" w:rsidRDefault="00F2499C" w:rsidP="0073202F">
      <w:pPr>
        <w:spacing w:after="0" w:line="360" w:lineRule="auto"/>
        <w:jc w:val="both"/>
        <w:rPr>
          <w:rFonts w:ascii="Times New Roman" w:hAnsi="Times New Roman"/>
          <w:sz w:val="24"/>
          <w:szCs w:val="24"/>
        </w:rPr>
      </w:pPr>
      <w:r w:rsidRPr="0073202F">
        <w:rPr>
          <w:rFonts w:ascii="Times New Roman" w:hAnsi="Times New Roman"/>
          <w:sz w:val="24"/>
          <w:szCs w:val="24"/>
        </w:rPr>
        <w:t>This research has been made possible thanks to a Research Grant from the International Osteoporosis Foundation and SERVIER, and an Arthritis Rese</w:t>
      </w:r>
      <w:r>
        <w:rPr>
          <w:rFonts w:ascii="Times New Roman" w:hAnsi="Times New Roman"/>
          <w:sz w:val="24"/>
          <w:szCs w:val="24"/>
        </w:rPr>
        <w:t>arch UK Clinical PhD Research Grant</w:t>
      </w:r>
      <w:r w:rsidRPr="0073202F">
        <w:rPr>
          <w:rFonts w:ascii="Times New Roman" w:hAnsi="Times New Roman"/>
          <w:sz w:val="24"/>
          <w:szCs w:val="24"/>
        </w:rPr>
        <w:t xml:space="preserve">. </w:t>
      </w:r>
      <w:r w:rsidRPr="00476359">
        <w:rPr>
          <w:rFonts w:ascii="Times New Roman" w:hAnsi="Times New Roman"/>
          <w:color w:val="212121"/>
          <w:sz w:val="24"/>
          <w:szCs w:val="24"/>
          <w:shd w:val="clear" w:color="auto" w:fill="FFFFFF"/>
        </w:rPr>
        <w:t>The research of KAW is supported by MRC Programme</w:t>
      </w:r>
      <w:r w:rsidRPr="00476359">
        <w:rPr>
          <w:rFonts w:ascii="Times New Roman" w:hAnsi="Times New Roman"/>
          <w:sz w:val="24"/>
          <w:szCs w:val="24"/>
        </w:rPr>
        <w:t xml:space="preserve"> number U105960371.  </w:t>
      </w:r>
      <w:r w:rsidRPr="0073202F">
        <w:rPr>
          <w:rFonts w:ascii="Times New Roman" w:hAnsi="Times New Roman"/>
          <w:sz w:val="24"/>
          <w:szCs w:val="24"/>
        </w:rPr>
        <w:t xml:space="preserve">The Hertfordshire Cohort Study was supported by the Medical Research Council (MRC) of Great Britain; </w:t>
      </w:r>
      <w:r w:rsidRPr="00476359">
        <w:rPr>
          <w:rFonts w:ascii="Times New Roman" w:hAnsi="Times New Roman"/>
          <w:sz w:val="24"/>
          <w:szCs w:val="24"/>
        </w:rPr>
        <w:t xml:space="preserve">Arthritis Research UK; and the International Osteoporosis Foundation.  The work herein was also supported by the NIHR Nutrition BRC, University of Southampton and the NIHR Musculoskeletal BRU, University of Oxford. </w:t>
      </w:r>
    </w:p>
    <w:p w14:paraId="334D64F7" w14:textId="77777777" w:rsidR="00F2499C" w:rsidRDefault="00F2499C" w:rsidP="0073202F">
      <w:pPr>
        <w:spacing w:after="0" w:line="360" w:lineRule="auto"/>
        <w:jc w:val="both"/>
        <w:rPr>
          <w:rFonts w:ascii="Times New Roman" w:hAnsi="Times New Roman"/>
          <w:sz w:val="24"/>
          <w:szCs w:val="24"/>
        </w:rPr>
      </w:pPr>
    </w:p>
    <w:p w14:paraId="3B273697" w14:textId="77777777" w:rsidR="00F2499C" w:rsidRDefault="00F2499C" w:rsidP="0073202F">
      <w:pPr>
        <w:spacing w:after="0" w:line="360" w:lineRule="auto"/>
        <w:jc w:val="both"/>
        <w:rPr>
          <w:rFonts w:ascii="Times New Roman" w:hAnsi="Times New Roman"/>
          <w:sz w:val="24"/>
          <w:szCs w:val="24"/>
        </w:rPr>
      </w:pPr>
      <w:r>
        <w:rPr>
          <w:rFonts w:ascii="Times New Roman" w:hAnsi="Times New Roman"/>
          <w:sz w:val="24"/>
          <w:szCs w:val="24"/>
        </w:rPr>
        <w:t>Funding sources had no involvement in study design, collection, analysis or interpretation of data; in writing the manuscript; and in the decision to submit the manuscript for publication.</w:t>
      </w:r>
      <w:r w:rsidRPr="00476359">
        <w:rPr>
          <w:rFonts w:ascii="Times New Roman" w:hAnsi="Times New Roman"/>
          <w:sz w:val="24"/>
          <w:szCs w:val="24"/>
        </w:rPr>
        <w:t xml:space="preserve"> </w:t>
      </w:r>
    </w:p>
    <w:p w14:paraId="6A66170B" w14:textId="77777777" w:rsidR="00F2499C" w:rsidRDefault="00F2499C" w:rsidP="0073202F">
      <w:pPr>
        <w:spacing w:after="0" w:line="360" w:lineRule="auto"/>
        <w:jc w:val="both"/>
        <w:rPr>
          <w:rFonts w:ascii="Times New Roman" w:hAnsi="Times New Roman"/>
          <w:sz w:val="24"/>
          <w:szCs w:val="24"/>
        </w:rPr>
      </w:pPr>
    </w:p>
    <w:p w14:paraId="698EF92E" w14:textId="77777777" w:rsidR="00F2499C" w:rsidRPr="0073202F" w:rsidRDefault="00F2499C" w:rsidP="0073202F">
      <w:pPr>
        <w:spacing w:after="0" w:line="360" w:lineRule="auto"/>
        <w:jc w:val="both"/>
        <w:rPr>
          <w:rFonts w:ascii="Times New Roman" w:hAnsi="Times New Roman"/>
          <w:sz w:val="24"/>
          <w:szCs w:val="24"/>
        </w:rPr>
      </w:pPr>
    </w:p>
    <w:p w14:paraId="2CFA410A" w14:textId="77777777" w:rsidR="00886953" w:rsidRPr="0073202F" w:rsidRDefault="00886953" w:rsidP="0073202F">
      <w:pPr>
        <w:spacing w:after="0" w:line="360" w:lineRule="auto"/>
        <w:jc w:val="both"/>
        <w:rPr>
          <w:rFonts w:ascii="Times New Roman" w:hAnsi="Times New Roman"/>
          <w:sz w:val="24"/>
          <w:szCs w:val="24"/>
        </w:rPr>
      </w:pPr>
    </w:p>
    <w:p w14:paraId="179DE29E" w14:textId="77777777" w:rsidR="00886953" w:rsidRDefault="00886953" w:rsidP="0073202F">
      <w:pPr>
        <w:spacing w:after="0" w:line="360" w:lineRule="auto"/>
        <w:jc w:val="both"/>
        <w:rPr>
          <w:rFonts w:ascii="Times New Roman" w:hAnsi="Times New Roman"/>
          <w:sz w:val="24"/>
          <w:szCs w:val="24"/>
        </w:rPr>
      </w:pPr>
    </w:p>
    <w:p w14:paraId="1F0B93E7" w14:textId="77777777" w:rsidR="00886953" w:rsidRDefault="00886953" w:rsidP="0073202F">
      <w:pPr>
        <w:spacing w:after="0" w:line="360" w:lineRule="auto"/>
        <w:jc w:val="both"/>
        <w:rPr>
          <w:rFonts w:ascii="Times New Roman" w:hAnsi="Times New Roman"/>
          <w:sz w:val="24"/>
          <w:szCs w:val="24"/>
        </w:rPr>
      </w:pPr>
    </w:p>
    <w:p w14:paraId="1A35C9DB" w14:textId="77777777" w:rsidR="00886953" w:rsidRDefault="00886953" w:rsidP="0073202F">
      <w:pPr>
        <w:spacing w:after="0" w:line="360" w:lineRule="auto"/>
        <w:jc w:val="both"/>
        <w:rPr>
          <w:rFonts w:ascii="Times New Roman" w:hAnsi="Times New Roman"/>
          <w:sz w:val="24"/>
          <w:szCs w:val="24"/>
        </w:rPr>
      </w:pPr>
    </w:p>
    <w:p w14:paraId="1C8D8E3C" w14:textId="77777777" w:rsidR="00886953" w:rsidRDefault="00886953" w:rsidP="0073202F">
      <w:pPr>
        <w:spacing w:after="0" w:line="360" w:lineRule="auto"/>
        <w:jc w:val="both"/>
        <w:rPr>
          <w:rFonts w:ascii="Times New Roman" w:hAnsi="Times New Roman"/>
          <w:sz w:val="24"/>
          <w:szCs w:val="24"/>
        </w:rPr>
      </w:pPr>
    </w:p>
    <w:p w14:paraId="7D9645B2" w14:textId="77777777" w:rsidR="00886953" w:rsidRDefault="00886953" w:rsidP="0073202F">
      <w:pPr>
        <w:spacing w:after="0" w:line="360" w:lineRule="auto"/>
        <w:jc w:val="both"/>
        <w:rPr>
          <w:rFonts w:ascii="Times New Roman" w:hAnsi="Times New Roman"/>
          <w:sz w:val="24"/>
          <w:szCs w:val="24"/>
        </w:rPr>
      </w:pPr>
    </w:p>
    <w:p w14:paraId="08FCBCD2" w14:textId="77777777" w:rsidR="00886953" w:rsidRDefault="00886953" w:rsidP="0073202F">
      <w:pPr>
        <w:spacing w:after="0" w:line="360" w:lineRule="auto"/>
        <w:jc w:val="both"/>
        <w:rPr>
          <w:rFonts w:ascii="Times New Roman" w:hAnsi="Times New Roman"/>
          <w:sz w:val="24"/>
          <w:szCs w:val="24"/>
        </w:rPr>
      </w:pPr>
    </w:p>
    <w:p w14:paraId="62E48134" w14:textId="77777777" w:rsidR="00886953" w:rsidRDefault="00886953" w:rsidP="0073202F">
      <w:pPr>
        <w:spacing w:after="0" w:line="360" w:lineRule="auto"/>
        <w:jc w:val="both"/>
        <w:rPr>
          <w:rFonts w:ascii="Times New Roman" w:hAnsi="Times New Roman"/>
          <w:sz w:val="24"/>
          <w:szCs w:val="24"/>
        </w:rPr>
      </w:pPr>
    </w:p>
    <w:p w14:paraId="733D9B94" w14:textId="77777777" w:rsidR="00886953" w:rsidRDefault="00886953" w:rsidP="0073202F">
      <w:pPr>
        <w:spacing w:after="0" w:line="360" w:lineRule="auto"/>
        <w:jc w:val="both"/>
        <w:rPr>
          <w:rFonts w:ascii="Times New Roman" w:hAnsi="Times New Roman"/>
          <w:sz w:val="24"/>
          <w:szCs w:val="24"/>
        </w:rPr>
      </w:pPr>
    </w:p>
    <w:p w14:paraId="1D8667FE" w14:textId="77777777" w:rsidR="00886953" w:rsidRDefault="00886953" w:rsidP="0073202F">
      <w:pPr>
        <w:spacing w:after="0" w:line="360" w:lineRule="auto"/>
        <w:jc w:val="both"/>
        <w:rPr>
          <w:rFonts w:ascii="Times New Roman" w:hAnsi="Times New Roman"/>
          <w:sz w:val="24"/>
          <w:szCs w:val="24"/>
        </w:rPr>
      </w:pPr>
    </w:p>
    <w:p w14:paraId="48502C0D" w14:textId="77777777" w:rsidR="00886953" w:rsidRDefault="00886953" w:rsidP="0073202F">
      <w:pPr>
        <w:spacing w:after="0" w:line="360" w:lineRule="auto"/>
        <w:jc w:val="both"/>
        <w:rPr>
          <w:rFonts w:ascii="Times New Roman" w:hAnsi="Times New Roman"/>
          <w:sz w:val="24"/>
          <w:szCs w:val="24"/>
        </w:rPr>
      </w:pPr>
    </w:p>
    <w:p w14:paraId="46B6D214" w14:textId="77777777" w:rsidR="00886953" w:rsidRDefault="00886953" w:rsidP="0073202F">
      <w:pPr>
        <w:spacing w:after="0" w:line="360" w:lineRule="auto"/>
        <w:jc w:val="both"/>
        <w:rPr>
          <w:rFonts w:ascii="Times New Roman" w:hAnsi="Times New Roman"/>
          <w:sz w:val="24"/>
          <w:szCs w:val="24"/>
        </w:rPr>
      </w:pPr>
    </w:p>
    <w:p w14:paraId="6EA61D8F" w14:textId="77777777" w:rsidR="00886953" w:rsidRDefault="00886953" w:rsidP="0073202F">
      <w:pPr>
        <w:spacing w:after="0" w:line="360" w:lineRule="auto"/>
        <w:jc w:val="both"/>
        <w:rPr>
          <w:rFonts w:ascii="Times New Roman" w:hAnsi="Times New Roman"/>
          <w:sz w:val="24"/>
          <w:szCs w:val="24"/>
        </w:rPr>
      </w:pPr>
    </w:p>
    <w:p w14:paraId="75C8DE0C" w14:textId="77777777" w:rsidR="00886953" w:rsidRPr="0073202F" w:rsidRDefault="00886953" w:rsidP="0073202F">
      <w:pPr>
        <w:spacing w:after="0" w:line="360" w:lineRule="auto"/>
        <w:jc w:val="both"/>
        <w:rPr>
          <w:rFonts w:ascii="Times New Roman" w:hAnsi="Times New Roman"/>
          <w:sz w:val="24"/>
          <w:szCs w:val="24"/>
        </w:rPr>
      </w:pPr>
    </w:p>
    <w:p w14:paraId="35FB702A" w14:textId="77777777" w:rsidR="00886953" w:rsidRPr="0073202F" w:rsidRDefault="00886953" w:rsidP="0073202F">
      <w:pPr>
        <w:spacing w:after="0" w:line="360" w:lineRule="auto"/>
        <w:jc w:val="both"/>
        <w:rPr>
          <w:rFonts w:ascii="Times New Roman" w:hAnsi="Times New Roman"/>
          <w:sz w:val="24"/>
          <w:szCs w:val="24"/>
        </w:rPr>
      </w:pPr>
    </w:p>
    <w:p w14:paraId="0A0AD434" w14:textId="77777777" w:rsidR="00886953" w:rsidRPr="0073202F" w:rsidRDefault="00886953" w:rsidP="0073202F">
      <w:pPr>
        <w:spacing w:after="0" w:line="360" w:lineRule="auto"/>
        <w:jc w:val="both"/>
        <w:rPr>
          <w:rFonts w:ascii="Times New Roman" w:hAnsi="Times New Roman"/>
          <w:sz w:val="24"/>
          <w:szCs w:val="24"/>
        </w:rPr>
      </w:pPr>
    </w:p>
    <w:p w14:paraId="5C7B734E" w14:textId="77777777" w:rsidR="00886953" w:rsidRPr="0073202F" w:rsidRDefault="00886953" w:rsidP="0073202F">
      <w:pPr>
        <w:spacing w:after="0" w:line="360" w:lineRule="auto"/>
        <w:jc w:val="both"/>
        <w:rPr>
          <w:rFonts w:ascii="Times New Roman" w:hAnsi="Times New Roman"/>
          <w:sz w:val="24"/>
          <w:szCs w:val="24"/>
        </w:rPr>
      </w:pPr>
    </w:p>
    <w:p w14:paraId="07035BD2" w14:textId="77777777" w:rsidR="00886953" w:rsidRPr="0073202F" w:rsidRDefault="00886953" w:rsidP="0073202F">
      <w:pPr>
        <w:spacing w:after="0" w:line="360" w:lineRule="auto"/>
        <w:jc w:val="both"/>
        <w:rPr>
          <w:rFonts w:ascii="Times New Roman" w:hAnsi="Times New Roman"/>
          <w:sz w:val="24"/>
          <w:szCs w:val="24"/>
        </w:rPr>
      </w:pPr>
    </w:p>
    <w:p w14:paraId="26E62AA8" w14:textId="77777777" w:rsidR="00886953" w:rsidRPr="0073202F" w:rsidRDefault="00886953" w:rsidP="0073202F">
      <w:pPr>
        <w:spacing w:after="0" w:line="360" w:lineRule="auto"/>
        <w:jc w:val="both"/>
        <w:rPr>
          <w:rFonts w:ascii="Times New Roman" w:hAnsi="Times New Roman"/>
          <w:sz w:val="24"/>
          <w:szCs w:val="24"/>
        </w:rPr>
      </w:pPr>
    </w:p>
    <w:p w14:paraId="66FF3EAE" w14:textId="77777777" w:rsidR="00886953" w:rsidRDefault="00886953" w:rsidP="0073202F">
      <w:pPr>
        <w:spacing w:after="0" w:line="360" w:lineRule="auto"/>
        <w:jc w:val="both"/>
        <w:rPr>
          <w:rFonts w:ascii="Times New Roman" w:hAnsi="Times New Roman"/>
          <w:sz w:val="24"/>
          <w:szCs w:val="24"/>
        </w:rPr>
      </w:pPr>
    </w:p>
    <w:p w14:paraId="69147645" w14:textId="77777777" w:rsidR="00FA3F41" w:rsidRPr="00FA3F41" w:rsidRDefault="00FA3F41" w:rsidP="0073202F">
      <w:pPr>
        <w:spacing w:after="0" w:line="360" w:lineRule="auto"/>
        <w:jc w:val="both"/>
        <w:rPr>
          <w:rFonts w:ascii="Times New Roman" w:hAnsi="Times New Roman"/>
          <w:b/>
          <w:sz w:val="24"/>
          <w:szCs w:val="24"/>
          <w:shd w:val="clear" w:color="auto" w:fill="FFFFFF"/>
        </w:rPr>
      </w:pPr>
      <w:r w:rsidRPr="00FA3F41">
        <w:rPr>
          <w:rFonts w:ascii="Times New Roman" w:hAnsi="Times New Roman"/>
          <w:b/>
          <w:sz w:val="24"/>
          <w:szCs w:val="24"/>
          <w:shd w:val="clear" w:color="auto" w:fill="FFFFFF"/>
        </w:rPr>
        <w:t>Competing interest statement</w:t>
      </w:r>
    </w:p>
    <w:p w14:paraId="510A25D5" w14:textId="77777777" w:rsidR="00FA3F41" w:rsidRPr="002B4DF1" w:rsidRDefault="00FA3F41" w:rsidP="0073202F">
      <w:pPr>
        <w:spacing w:after="0" w:line="360" w:lineRule="auto"/>
        <w:jc w:val="both"/>
        <w:rPr>
          <w:rFonts w:ascii="Times New Roman" w:hAnsi="Times New Roman"/>
          <w:color w:val="212121"/>
          <w:sz w:val="24"/>
          <w:shd w:val="clear" w:color="auto" w:fill="FFFFFF"/>
        </w:rPr>
      </w:pPr>
    </w:p>
    <w:p w14:paraId="2A93CD5D" w14:textId="77777777" w:rsidR="009E293F" w:rsidRPr="009E293F" w:rsidRDefault="009E293F" w:rsidP="009E293F">
      <w:pPr>
        <w:spacing w:before="100" w:beforeAutospacing="1" w:after="100" w:afterAutospacing="1" w:line="360" w:lineRule="auto"/>
        <w:rPr>
          <w:rFonts w:ascii="Times New Roman" w:hAnsi="Times New Roman"/>
          <w:color w:val="212121"/>
          <w:sz w:val="24"/>
          <w:szCs w:val="24"/>
          <w:shd w:val="clear" w:color="auto" w:fill="FFFFFF"/>
        </w:rPr>
      </w:pPr>
      <w:r w:rsidRPr="009E293F">
        <w:rPr>
          <w:rFonts w:ascii="Times New Roman" w:hAnsi="Times New Roman"/>
          <w:color w:val="212121"/>
          <w:sz w:val="24"/>
          <w:szCs w:val="24"/>
          <w:shd w:val="clear" w:color="auto" w:fill="FFFFFF"/>
        </w:rPr>
        <w:t xml:space="preserve">MHE, JP, KAW, KAJ, CM, JW, MKJ and EMD have no conflicts of interest to declare.  Professor Cyrus Cooper has received consultancy fees and honoraria from Alliance for Better Bone Health, Amgen, Eli Lilly, GSK, Medtronic, Merck, Novartis, Pfizer, Roche, </w:t>
      </w:r>
      <w:proofErr w:type="spellStart"/>
      <w:r w:rsidRPr="009E293F">
        <w:rPr>
          <w:rFonts w:ascii="Times New Roman" w:hAnsi="Times New Roman"/>
          <w:color w:val="212121"/>
          <w:sz w:val="24"/>
          <w:szCs w:val="24"/>
          <w:shd w:val="clear" w:color="auto" w:fill="FFFFFF"/>
        </w:rPr>
        <w:t>Servier</w:t>
      </w:r>
      <w:proofErr w:type="spellEnd"/>
      <w:r w:rsidRPr="009E293F">
        <w:rPr>
          <w:rFonts w:ascii="Times New Roman" w:hAnsi="Times New Roman"/>
          <w:color w:val="212121"/>
          <w:sz w:val="24"/>
          <w:szCs w:val="24"/>
          <w:shd w:val="clear" w:color="auto" w:fill="FFFFFF"/>
        </w:rPr>
        <w:t>, Takeda and UCB.</w:t>
      </w:r>
    </w:p>
    <w:p w14:paraId="5AFE1B92" w14:textId="77777777" w:rsidR="00FA3F41" w:rsidRPr="002B4DF1" w:rsidRDefault="00FA3F41" w:rsidP="0073202F">
      <w:pPr>
        <w:spacing w:after="0" w:line="360" w:lineRule="auto"/>
        <w:jc w:val="both"/>
        <w:rPr>
          <w:rFonts w:ascii="Times New Roman" w:hAnsi="Times New Roman"/>
          <w:color w:val="212121"/>
          <w:sz w:val="24"/>
          <w:shd w:val="clear" w:color="auto" w:fill="FFFFFF"/>
        </w:rPr>
      </w:pPr>
    </w:p>
    <w:p w14:paraId="6174A42D" w14:textId="77777777" w:rsidR="00FA3F41" w:rsidRPr="002B4DF1" w:rsidRDefault="00FA3F41" w:rsidP="0073202F">
      <w:pPr>
        <w:spacing w:after="0" w:line="360" w:lineRule="auto"/>
        <w:jc w:val="both"/>
        <w:rPr>
          <w:rFonts w:ascii="Times New Roman" w:hAnsi="Times New Roman"/>
          <w:color w:val="212121"/>
          <w:sz w:val="24"/>
          <w:shd w:val="clear" w:color="auto" w:fill="FFFFFF"/>
        </w:rPr>
      </w:pPr>
    </w:p>
    <w:p w14:paraId="52CB4104" w14:textId="77777777" w:rsidR="00FA3F41" w:rsidRDefault="00FA3F41" w:rsidP="0073202F">
      <w:pPr>
        <w:spacing w:after="0" w:line="360" w:lineRule="auto"/>
        <w:jc w:val="both"/>
        <w:rPr>
          <w:rFonts w:ascii="Times New Roman" w:hAnsi="Times New Roman"/>
          <w:sz w:val="24"/>
          <w:szCs w:val="24"/>
        </w:rPr>
      </w:pPr>
    </w:p>
    <w:p w14:paraId="5A8A1B28" w14:textId="77777777" w:rsidR="00FA3F41" w:rsidRDefault="00FA3F41" w:rsidP="0073202F">
      <w:pPr>
        <w:spacing w:after="0" w:line="360" w:lineRule="auto"/>
        <w:jc w:val="both"/>
        <w:rPr>
          <w:rFonts w:ascii="Times New Roman" w:hAnsi="Times New Roman"/>
          <w:sz w:val="24"/>
          <w:szCs w:val="24"/>
        </w:rPr>
      </w:pPr>
    </w:p>
    <w:p w14:paraId="7F40AC2A" w14:textId="77777777" w:rsidR="00FA3F41" w:rsidRDefault="00FA3F41" w:rsidP="0073202F">
      <w:pPr>
        <w:spacing w:after="0" w:line="360" w:lineRule="auto"/>
        <w:jc w:val="both"/>
        <w:rPr>
          <w:rFonts w:ascii="Times New Roman" w:hAnsi="Times New Roman"/>
          <w:sz w:val="24"/>
          <w:szCs w:val="24"/>
        </w:rPr>
      </w:pPr>
    </w:p>
    <w:p w14:paraId="6F19B0E7" w14:textId="77777777" w:rsidR="00FA3F41" w:rsidRDefault="00FA3F41" w:rsidP="0073202F">
      <w:pPr>
        <w:spacing w:after="0" w:line="360" w:lineRule="auto"/>
        <w:jc w:val="both"/>
        <w:rPr>
          <w:rFonts w:ascii="Times New Roman" w:hAnsi="Times New Roman"/>
          <w:sz w:val="24"/>
          <w:szCs w:val="24"/>
        </w:rPr>
      </w:pPr>
    </w:p>
    <w:p w14:paraId="47A49277" w14:textId="77777777" w:rsidR="00FA3F41" w:rsidRDefault="00FA3F41" w:rsidP="0073202F">
      <w:pPr>
        <w:spacing w:after="0" w:line="360" w:lineRule="auto"/>
        <w:jc w:val="both"/>
        <w:rPr>
          <w:rFonts w:ascii="Times New Roman" w:hAnsi="Times New Roman"/>
          <w:sz w:val="24"/>
          <w:szCs w:val="24"/>
        </w:rPr>
      </w:pPr>
    </w:p>
    <w:p w14:paraId="0F93C583" w14:textId="77777777" w:rsidR="00FA3F41" w:rsidRDefault="00FA3F41" w:rsidP="0073202F">
      <w:pPr>
        <w:spacing w:after="0" w:line="360" w:lineRule="auto"/>
        <w:jc w:val="both"/>
        <w:rPr>
          <w:rFonts w:ascii="Times New Roman" w:hAnsi="Times New Roman"/>
          <w:sz w:val="24"/>
          <w:szCs w:val="24"/>
        </w:rPr>
      </w:pPr>
    </w:p>
    <w:p w14:paraId="330CE3BE" w14:textId="77777777" w:rsidR="00FA3F41" w:rsidRDefault="00FA3F41" w:rsidP="0073202F">
      <w:pPr>
        <w:spacing w:after="0" w:line="360" w:lineRule="auto"/>
        <w:jc w:val="both"/>
        <w:rPr>
          <w:rFonts w:ascii="Times New Roman" w:hAnsi="Times New Roman"/>
          <w:sz w:val="24"/>
          <w:szCs w:val="24"/>
        </w:rPr>
      </w:pPr>
    </w:p>
    <w:p w14:paraId="1089CFDC" w14:textId="77777777" w:rsidR="00FA3F41" w:rsidRDefault="00FA3F41" w:rsidP="0073202F">
      <w:pPr>
        <w:spacing w:after="0" w:line="360" w:lineRule="auto"/>
        <w:jc w:val="both"/>
        <w:rPr>
          <w:rFonts w:ascii="Times New Roman" w:hAnsi="Times New Roman"/>
          <w:sz w:val="24"/>
          <w:szCs w:val="24"/>
        </w:rPr>
      </w:pPr>
    </w:p>
    <w:p w14:paraId="11F7EA9D" w14:textId="77777777" w:rsidR="00FA3F41" w:rsidRDefault="00FA3F41" w:rsidP="0073202F">
      <w:pPr>
        <w:spacing w:after="0" w:line="360" w:lineRule="auto"/>
        <w:jc w:val="both"/>
        <w:rPr>
          <w:rFonts w:ascii="Times New Roman" w:hAnsi="Times New Roman"/>
          <w:sz w:val="24"/>
          <w:szCs w:val="24"/>
        </w:rPr>
      </w:pPr>
    </w:p>
    <w:p w14:paraId="6EF04BA5" w14:textId="77777777" w:rsidR="00FA3F41" w:rsidRDefault="00FA3F41" w:rsidP="0073202F">
      <w:pPr>
        <w:spacing w:after="0" w:line="360" w:lineRule="auto"/>
        <w:jc w:val="both"/>
        <w:rPr>
          <w:rFonts w:ascii="Times New Roman" w:hAnsi="Times New Roman"/>
          <w:sz w:val="24"/>
          <w:szCs w:val="24"/>
        </w:rPr>
      </w:pPr>
    </w:p>
    <w:p w14:paraId="1392E524" w14:textId="77777777" w:rsidR="00FA3F41" w:rsidRDefault="00FA3F41" w:rsidP="0073202F">
      <w:pPr>
        <w:spacing w:after="0" w:line="360" w:lineRule="auto"/>
        <w:jc w:val="both"/>
        <w:rPr>
          <w:rFonts w:ascii="Times New Roman" w:hAnsi="Times New Roman"/>
          <w:sz w:val="24"/>
          <w:szCs w:val="24"/>
        </w:rPr>
      </w:pPr>
    </w:p>
    <w:p w14:paraId="056D54A6" w14:textId="77777777" w:rsidR="00FA3F41" w:rsidRDefault="00FA3F41" w:rsidP="0073202F">
      <w:pPr>
        <w:spacing w:after="0" w:line="360" w:lineRule="auto"/>
        <w:jc w:val="both"/>
        <w:rPr>
          <w:rFonts w:ascii="Times New Roman" w:hAnsi="Times New Roman"/>
          <w:sz w:val="24"/>
          <w:szCs w:val="24"/>
        </w:rPr>
      </w:pPr>
    </w:p>
    <w:p w14:paraId="4E550B1E" w14:textId="77777777" w:rsidR="00FA3F41" w:rsidRDefault="00FA3F41" w:rsidP="0073202F">
      <w:pPr>
        <w:spacing w:after="0" w:line="360" w:lineRule="auto"/>
        <w:jc w:val="both"/>
        <w:rPr>
          <w:rFonts w:ascii="Times New Roman" w:hAnsi="Times New Roman"/>
          <w:sz w:val="24"/>
          <w:szCs w:val="24"/>
        </w:rPr>
      </w:pPr>
    </w:p>
    <w:p w14:paraId="2F985B2F" w14:textId="77777777" w:rsidR="00FA3F41" w:rsidRDefault="00FA3F41" w:rsidP="0073202F">
      <w:pPr>
        <w:spacing w:after="0" w:line="360" w:lineRule="auto"/>
        <w:jc w:val="both"/>
        <w:rPr>
          <w:rFonts w:ascii="Times New Roman" w:hAnsi="Times New Roman"/>
          <w:sz w:val="24"/>
          <w:szCs w:val="24"/>
        </w:rPr>
      </w:pPr>
    </w:p>
    <w:p w14:paraId="02EEF963" w14:textId="77777777" w:rsidR="00FA3F41" w:rsidRDefault="00FA3F41" w:rsidP="0073202F">
      <w:pPr>
        <w:spacing w:after="0" w:line="360" w:lineRule="auto"/>
        <w:jc w:val="both"/>
        <w:rPr>
          <w:rFonts w:ascii="Times New Roman" w:hAnsi="Times New Roman"/>
          <w:sz w:val="24"/>
          <w:szCs w:val="24"/>
        </w:rPr>
      </w:pPr>
    </w:p>
    <w:p w14:paraId="24E2003E" w14:textId="77777777" w:rsidR="00FA3F41" w:rsidRDefault="00FA3F41" w:rsidP="0073202F">
      <w:pPr>
        <w:spacing w:after="0" w:line="360" w:lineRule="auto"/>
        <w:jc w:val="both"/>
        <w:rPr>
          <w:rFonts w:ascii="Times New Roman" w:hAnsi="Times New Roman"/>
          <w:sz w:val="24"/>
          <w:szCs w:val="24"/>
        </w:rPr>
      </w:pPr>
    </w:p>
    <w:p w14:paraId="0D3003A0" w14:textId="77777777" w:rsidR="00FA3F41" w:rsidRDefault="00FA3F41" w:rsidP="0073202F">
      <w:pPr>
        <w:spacing w:after="0" w:line="360" w:lineRule="auto"/>
        <w:jc w:val="both"/>
        <w:rPr>
          <w:rFonts w:ascii="Times New Roman" w:hAnsi="Times New Roman"/>
          <w:sz w:val="24"/>
          <w:szCs w:val="24"/>
        </w:rPr>
      </w:pPr>
    </w:p>
    <w:p w14:paraId="0607C4FB" w14:textId="77777777" w:rsidR="00FA3F41" w:rsidRDefault="00FA3F41" w:rsidP="0073202F">
      <w:pPr>
        <w:spacing w:after="0" w:line="360" w:lineRule="auto"/>
        <w:jc w:val="both"/>
        <w:rPr>
          <w:rFonts w:ascii="Times New Roman" w:hAnsi="Times New Roman"/>
          <w:sz w:val="24"/>
          <w:szCs w:val="24"/>
        </w:rPr>
      </w:pPr>
    </w:p>
    <w:p w14:paraId="731C78F8" w14:textId="77777777" w:rsidR="00FA3F41" w:rsidRDefault="00FA3F41" w:rsidP="0073202F">
      <w:pPr>
        <w:spacing w:after="0" w:line="360" w:lineRule="auto"/>
        <w:jc w:val="both"/>
        <w:rPr>
          <w:rFonts w:ascii="Times New Roman" w:hAnsi="Times New Roman"/>
          <w:sz w:val="24"/>
          <w:szCs w:val="24"/>
        </w:rPr>
      </w:pPr>
    </w:p>
    <w:p w14:paraId="2659AD3E" w14:textId="77777777" w:rsidR="00FA3F41" w:rsidRDefault="00FA3F41" w:rsidP="0073202F">
      <w:pPr>
        <w:spacing w:after="0" w:line="360" w:lineRule="auto"/>
        <w:jc w:val="both"/>
        <w:rPr>
          <w:rFonts w:ascii="Times New Roman" w:hAnsi="Times New Roman"/>
          <w:sz w:val="24"/>
          <w:szCs w:val="24"/>
        </w:rPr>
      </w:pPr>
    </w:p>
    <w:p w14:paraId="5957F39F" w14:textId="77777777" w:rsidR="00FA3F41" w:rsidRDefault="00FA3F41" w:rsidP="0073202F">
      <w:pPr>
        <w:spacing w:after="0" w:line="360" w:lineRule="auto"/>
        <w:jc w:val="both"/>
        <w:rPr>
          <w:rFonts w:ascii="Times New Roman" w:hAnsi="Times New Roman"/>
          <w:sz w:val="24"/>
          <w:szCs w:val="24"/>
        </w:rPr>
      </w:pPr>
    </w:p>
    <w:p w14:paraId="1E29FB46" w14:textId="77777777" w:rsidR="00FA3F41" w:rsidRDefault="00FA3F41" w:rsidP="0073202F">
      <w:pPr>
        <w:spacing w:after="0" w:line="360" w:lineRule="auto"/>
        <w:jc w:val="both"/>
        <w:rPr>
          <w:rFonts w:ascii="Times New Roman" w:hAnsi="Times New Roman"/>
          <w:sz w:val="24"/>
          <w:szCs w:val="24"/>
        </w:rPr>
      </w:pPr>
    </w:p>
    <w:p w14:paraId="4B995E1B" w14:textId="77777777" w:rsidR="00FA3F41" w:rsidRDefault="00FA3F41" w:rsidP="0073202F">
      <w:pPr>
        <w:spacing w:after="0" w:line="360" w:lineRule="auto"/>
        <w:jc w:val="both"/>
        <w:rPr>
          <w:rFonts w:ascii="Times New Roman" w:hAnsi="Times New Roman"/>
          <w:sz w:val="24"/>
          <w:szCs w:val="24"/>
        </w:rPr>
      </w:pPr>
    </w:p>
    <w:p w14:paraId="55BC1C0E" w14:textId="77777777" w:rsidR="00FA3F41" w:rsidRDefault="00FA3F41" w:rsidP="0073202F">
      <w:pPr>
        <w:spacing w:after="0" w:line="360" w:lineRule="auto"/>
        <w:jc w:val="both"/>
        <w:rPr>
          <w:rFonts w:ascii="Times New Roman" w:hAnsi="Times New Roman"/>
          <w:sz w:val="24"/>
          <w:szCs w:val="24"/>
        </w:rPr>
      </w:pPr>
    </w:p>
    <w:p w14:paraId="554FE232" w14:textId="77777777" w:rsidR="00886953" w:rsidRDefault="00886953" w:rsidP="0073202F">
      <w:pPr>
        <w:spacing w:after="0" w:line="360" w:lineRule="auto"/>
        <w:jc w:val="both"/>
        <w:rPr>
          <w:rFonts w:ascii="Times New Roman" w:hAnsi="Times New Roman"/>
          <w:b/>
          <w:sz w:val="28"/>
          <w:szCs w:val="28"/>
        </w:rPr>
      </w:pPr>
      <w:r w:rsidRPr="0073202F">
        <w:rPr>
          <w:rFonts w:ascii="Times New Roman" w:hAnsi="Times New Roman"/>
          <w:b/>
          <w:sz w:val="28"/>
          <w:szCs w:val="28"/>
        </w:rPr>
        <w:t>References</w:t>
      </w:r>
    </w:p>
    <w:p w14:paraId="74A56D48" w14:textId="77777777" w:rsidR="00243088" w:rsidRDefault="00243088" w:rsidP="0073202F">
      <w:pPr>
        <w:spacing w:after="0" w:line="360" w:lineRule="auto"/>
        <w:jc w:val="both"/>
        <w:rPr>
          <w:rFonts w:ascii="Times New Roman" w:hAnsi="Times New Roman"/>
          <w:sz w:val="24"/>
          <w:szCs w:val="24"/>
        </w:rPr>
      </w:pPr>
    </w:p>
    <w:p w14:paraId="095E4A30" w14:textId="77777777" w:rsidR="00886953" w:rsidRDefault="00886953" w:rsidP="0073202F">
      <w:pPr>
        <w:spacing w:after="0" w:line="360" w:lineRule="auto"/>
        <w:jc w:val="both"/>
        <w:rPr>
          <w:rFonts w:ascii="Times New Roman" w:hAnsi="Times New Roman"/>
          <w:sz w:val="24"/>
          <w:szCs w:val="24"/>
        </w:rPr>
      </w:pPr>
      <w:r w:rsidRPr="0073202F">
        <w:rPr>
          <w:rFonts w:ascii="Times New Roman" w:hAnsi="Times New Roman"/>
          <w:sz w:val="24"/>
          <w:szCs w:val="24"/>
        </w:rPr>
        <w:t xml:space="preserve">[1] </w:t>
      </w:r>
      <w:proofErr w:type="spellStart"/>
      <w:r w:rsidRPr="0073202F">
        <w:rPr>
          <w:rFonts w:ascii="Times New Roman" w:hAnsi="Times New Roman"/>
          <w:sz w:val="24"/>
          <w:szCs w:val="24"/>
        </w:rPr>
        <w:t>Litwic</w:t>
      </w:r>
      <w:proofErr w:type="spellEnd"/>
      <w:r w:rsidRPr="0073202F">
        <w:rPr>
          <w:rFonts w:ascii="Times New Roman" w:hAnsi="Times New Roman"/>
          <w:sz w:val="24"/>
          <w:szCs w:val="24"/>
        </w:rPr>
        <w:t xml:space="preserve"> A</w:t>
      </w:r>
      <w:r w:rsidR="00090764">
        <w:rPr>
          <w:rFonts w:ascii="Times New Roman" w:hAnsi="Times New Roman"/>
          <w:sz w:val="24"/>
          <w:szCs w:val="24"/>
        </w:rPr>
        <w:t>, Edwards MH, Dennison EM, Cooper C</w:t>
      </w:r>
      <w:r w:rsidRPr="0073202F">
        <w:rPr>
          <w:rFonts w:ascii="Times New Roman" w:hAnsi="Times New Roman"/>
          <w:sz w:val="24"/>
          <w:szCs w:val="24"/>
        </w:rPr>
        <w:t>. Epidemiology and burden of osteoarthritis. Br Med Bull 2013;105:185-99.</w:t>
      </w:r>
    </w:p>
    <w:p w14:paraId="0150BDA0" w14:textId="77777777" w:rsidR="00090764" w:rsidRPr="0073202F" w:rsidRDefault="00090764" w:rsidP="0073202F">
      <w:pPr>
        <w:spacing w:after="0" w:line="360" w:lineRule="auto"/>
        <w:jc w:val="both"/>
        <w:rPr>
          <w:rFonts w:ascii="Times New Roman" w:hAnsi="Times New Roman"/>
          <w:sz w:val="24"/>
          <w:szCs w:val="24"/>
        </w:rPr>
      </w:pPr>
    </w:p>
    <w:p w14:paraId="118760B8"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lang w:val="fr-FR"/>
        </w:rPr>
        <w:t>[2</w:t>
      </w:r>
      <w:r w:rsidR="00886953" w:rsidRPr="0095107C">
        <w:rPr>
          <w:rFonts w:ascii="Times New Roman" w:hAnsi="Times New Roman"/>
          <w:sz w:val="24"/>
          <w:szCs w:val="24"/>
          <w:lang w:val="fr-FR"/>
        </w:rPr>
        <w:t xml:space="preserve">] </w:t>
      </w:r>
      <w:proofErr w:type="spellStart"/>
      <w:r w:rsidR="00886953" w:rsidRPr="0095107C">
        <w:rPr>
          <w:rFonts w:ascii="Times New Roman" w:hAnsi="Times New Roman"/>
          <w:sz w:val="24"/>
          <w:szCs w:val="24"/>
          <w:lang w:val="fr-FR"/>
        </w:rPr>
        <w:t>Nevitt</w:t>
      </w:r>
      <w:proofErr w:type="spellEnd"/>
      <w:r w:rsidR="00886953" w:rsidRPr="0095107C">
        <w:rPr>
          <w:rFonts w:ascii="Times New Roman" w:hAnsi="Times New Roman"/>
          <w:sz w:val="24"/>
          <w:szCs w:val="24"/>
          <w:lang w:val="fr-FR"/>
        </w:rPr>
        <w:t xml:space="preserve"> MC, Lane NE, Scott JC </w:t>
      </w:r>
      <w:proofErr w:type="spellStart"/>
      <w:r w:rsidR="00090764">
        <w:rPr>
          <w:rFonts w:ascii="Times New Roman" w:hAnsi="Times New Roman"/>
          <w:sz w:val="24"/>
          <w:szCs w:val="24"/>
          <w:lang w:val="fr-FR"/>
        </w:rPr>
        <w:t>Hockberg</w:t>
      </w:r>
      <w:proofErr w:type="spellEnd"/>
      <w:r w:rsidR="00090764">
        <w:rPr>
          <w:rFonts w:ascii="Times New Roman" w:hAnsi="Times New Roman"/>
          <w:sz w:val="24"/>
          <w:szCs w:val="24"/>
          <w:lang w:val="fr-FR"/>
        </w:rPr>
        <w:t xml:space="preserve"> MC, </w:t>
      </w:r>
      <w:proofErr w:type="spellStart"/>
      <w:r w:rsidR="00090764">
        <w:rPr>
          <w:rFonts w:ascii="Times New Roman" w:hAnsi="Times New Roman"/>
          <w:sz w:val="24"/>
          <w:szCs w:val="24"/>
          <w:lang w:val="fr-FR"/>
        </w:rPr>
        <w:t>Pressman</w:t>
      </w:r>
      <w:proofErr w:type="spellEnd"/>
      <w:r w:rsidR="00090764">
        <w:rPr>
          <w:rFonts w:ascii="Times New Roman" w:hAnsi="Times New Roman"/>
          <w:sz w:val="24"/>
          <w:szCs w:val="24"/>
          <w:lang w:val="fr-FR"/>
        </w:rPr>
        <w:t xml:space="preserve"> AR, </w:t>
      </w:r>
      <w:proofErr w:type="spellStart"/>
      <w:r w:rsidR="00090764">
        <w:rPr>
          <w:rFonts w:ascii="Times New Roman" w:hAnsi="Times New Roman"/>
          <w:sz w:val="24"/>
          <w:szCs w:val="24"/>
          <w:lang w:val="fr-FR"/>
        </w:rPr>
        <w:t>Genant</w:t>
      </w:r>
      <w:proofErr w:type="spellEnd"/>
      <w:r w:rsidR="00090764">
        <w:rPr>
          <w:rFonts w:ascii="Times New Roman" w:hAnsi="Times New Roman"/>
          <w:sz w:val="24"/>
          <w:szCs w:val="24"/>
          <w:lang w:val="fr-FR"/>
        </w:rPr>
        <w:t xml:space="preserve"> HK </w:t>
      </w:r>
      <w:r w:rsidR="00886953" w:rsidRPr="0095107C">
        <w:rPr>
          <w:rFonts w:ascii="Times New Roman" w:hAnsi="Times New Roman"/>
          <w:sz w:val="24"/>
          <w:szCs w:val="24"/>
          <w:lang w:val="fr-FR"/>
        </w:rPr>
        <w:t xml:space="preserve">et al. </w:t>
      </w:r>
      <w:r w:rsidR="00886953" w:rsidRPr="0073202F">
        <w:rPr>
          <w:rFonts w:ascii="Times New Roman" w:hAnsi="Times New Roman"/>
          <w:sz w:val="24"/>
          <w:szCs w:val="24"/>
        </w:rPr>
        <w:t>Radiographic osteoarthritis of the hip and b</w:t>
      </w:r>
      <w:r w:rsidR="00090764">
        <w:rPr>
          <w:rFonts w:ascii="Times New Roman" w:hAnsi="Times New Roman"/>
          <w:sz w:val="24"/>
          <w:szCs w:val="24"/>
        </w:rPr>
        <w:t>one mineral density. Arthritis R</w:t>
      </w:r>
      <w:r w:rsidR="00886953" w:rsidRPr="0073202F">
        <w:rPr>
          <w:rFonts w:ascii="Times New Roman" w:hAnsi="Times New Roman"/>
          <w:sz w:val="24"/>
          <w:szCs w:val="24"/>
        </w:rPr>
        <w:t>heum 1995;38:907-16.</w:t>
      </w:r>
    </w:p>
    <w:p w14:paraId="1196322A" w14:textId="77777777" w:rsidR="00090764" w:rsidRPr="0073202F" w:rsidRDefault="00090764" w:rsidP="0073202F">
      <w:pPr>
        <w:spacing w:after="0" w:line="360" w:lineRule="auto"/>
        <w:jc w:val="both"/>
        <w:rPr>
          <w:rFonts w:ascii="Times New Roman" w:hAnsi="Times New Roman"/>
          <w:sz w:val="24"/>
          <w:szCs w:val="24"/>
        </w:rPr>
      </w:pPr>
    </w:p>
    <w:p w14:paraId="4A0F2087"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[3</w:t>
      </w:r>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Dequeker</w:t>
      </w:r>
      <w:proofErr w:type="spellEnd"/>
      <w:r w:rsidR="00886953" w:rsidRPr="0073202F">
        <w:rPr>
          <w:rFonts w:ascii="Times New Roman" w:hAnsi="Times New Roman"/>
          <w:sz w:val="24"/>
          <w:szCs w:val="24"/>
        </w:rPr>
        <w:t xml:space="preserve"> J, </w:t>
      </w:r>
      <w:proofErr w:type="spellStart"/>
      <w:r w:rsidR="00886953" w:rsidRPr="0073202F">
        <w:rPr>
          <w:rFonts w:ascii="Times New Roman" w:hAnsi="Times New Roman"/>
          <w:sz w:val="24"/>
          <w:szCs w:val="24"/>
        </w:rPr>
        <w:t>Johnell</w:t>
      </w:r>
      <w:proofErr w:type="spellEnd"/>
      <w:r w:rsidR="00886953" w:rsidRPr="0073202F">
        <w:rPr>
          <w:rFonts w:ascii="Times New Roman" w:hAnsi="Times New Roman"/>
          <w:sz w:val="24"/>
          <w:szCs w:val="24"/>
        </w:rPr>
        <w:t xml:space="preserve"> O. Osteoarthritis protects against femoral neck fracture: the MEDOS</w:t>
      </w:r>
      <w:r w:rsidR="00403B18">
        <w:rPr>
          <w:rFonts w:ascii="Times New Roman" w:hAnsi="Times New Roman"/>
          <w:sz w:val="24"/>
          <w:szCs w:val="24"/>
        </w:rPr>
        <w:t xml:space="preserve"> study experience. Bone 1993;14(</w:t>
      </w:r>
      <w:r w:rsidR="00886953" w:rsidRPr="0073202F">
        <w:rPr>
          <w:rFonts w:ascii="Times New Roman" w:hAnsi="Times New Roman"/>
          <w:sz w:val="24"/>
          <w:szCs w:val="24"/>
        </w:rPr>
        <w:t>Suppl1</w:t>
      </w:r>
      <w:r w:rsidR="00403B18">
        <w:rPr>
          <w:rFonts w:ascii="Times New Roman" w:hAnsi="Times New Roman"/>
          <w:sz w:val="24"/>
          <w:szCs w:val="24"/>
        </w:rPr>
        <w:t>)</w:t>
      </w:r>
      <w:r w:rsidR="00886953" w:rsidRPr="0073202F">
        <w:rPr>
          <w:rFonts w:ascii="Times New Roman" w:hAnsi="Times New Roman"/>
          <w:sz w:val="24"/>
          <w:szCs w:val="24"/>
        </w:rPr>
        <w:t>:S51-6.</w:t>
      </w:r>
    </w:p>
    <w:p w14:paraId="415FC421" w14:textId="77777777" w:rsidR="00403B18" w:rsidRPr="0073202F" w:rsidRDefault="00403B18" w:rsidP="0073202F">
      <w:pPr>
        <w:spacing w:after="0" w:line="360" w:lineRule="auto"/>
        <w:jc w:val="both"/>
        <w:rPr>
          <w:rFonts w:ascii="Times New Roman" w:hAnsi="Times New Roman"/>
          <w:sz w:val="24"/>
          <w:szCs w:val="24"/>
        </w:rPr>
      </w:pPr>
    </w:p>
    <w:p w14:paraId="11F4097F"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[4</w:t>
      </w:r>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Vestergaard</w:t>
      </w:r>
      <w:proofErr w:type="spellEnd"/>
      <w:r w:rsidR="00886953" w:rsidRPr="0073202F">
        <w:rPr>
          <w:rFonts w:ascii="Times New Roman" w:hAnsi="Times New Roman"/>
          <w:sz w:val="24"/>
          <w:szCs w:val="24"/>
        </w:rPr>
        <w:t xml:space="preserve"> P, </w:t>
      </w:r>
      <w:proofErr w:type="spellStart"/>
      <w:r w:rsidR="00886953" w:rsidRPr="0073202F">
        <w:rPr>
          <w:rFonts w:ascii="Times New Roman" w:hAnsi="Times New Roman"/>
          <w:sz w:val="24"/>
          <w:szCs w:val="24"/>
        </w:rPr>
        <w:t>Rejnmark</w:t>
      </w:r>
      <w:proofErr w:type="spellEnd"/>
      <w:r w:rsidR="00886953" w:rsidRPr="0073202F">
        <w:rPr>
          <w:rFonts w:ascii="Times New Roman" w:hAnsi="Times New Roman"/>
          <w:sz w:val="24"/>
          <w:szCs w:val="24"/>
        </w:rPr>
        <w:t xml:space="preserve"> L, </w:t>
      </w:r>
      <w:proofErr w:type="spellStart"/>
      <w:r w:rsidR="00886953" w:rsidRPr="0073202F">
        <w:rPr>
          <w:rFonts w:ascii="Times New Roman" w:hAnsi="Times New Roman"/>
          <w:sz w:val="24"/>
          <w:szCs w:val="24"/>
        </w:rPr>
        <w:t>Mosekilde</w:t>
      </w:r>
      <w:proofErr w:type="spellEnd"/>
      <w:r w:rsidR="00886953" w:rsidRPr="0073202F">
        <w:rPr>
          <w:rFonts w:ascii="Times New Roman" w:hAnsi="Times New Roman"/>
          <w:sz w:val="24"/>
          <w:szCs w:val="24"/>
        </w:rPr>
        <w:t xml:space="preserve"> L. Osteoarthritis and risk of fractures. </w:t>
      </w:r>
      <w:proofErr w:type="spellStart"/>
      <w:r w:rsidR="00886953" w:rsidRPr="0073202F">
        <w:rPr>
          <w:rFonts w:ascii="Times New Roman" w:hAnsi="Times New Roman"/>
          <w:sz w:val="24"/>
          <w:szCs w:val="24"/>
        </w:rPr>
        <w:t>Calcif</w:t>
      </w:r>
      <w:proofErr w:type="spellEnd"/>
      <w:r w:rsidR="00886953" w:rsidRPr="0073202F">
        <w:rPr>
          <w:rFonts w:ascii="Times New Roman" w:hAnsi="Times New Roman"/>
          <w:sz w:val="24"/>
          <w:szCs w:val="24"/>
        </w:rPr>
        <w:t xml:space="preserve"> Tissue </w:t>
      </w:r>
      <w:proofErr w:type="spellStart"/>
      <w:r w:rsidR="00886953" w:rsidRPr="0073202F">
        <w:rPr>
          <w:rFonts w:ascii="Times New Roman" w:hAnsi="Times New Roman"/>
          <w:sz w:val="24"/>
          <w:szCs w:val="24"/>
        </w:rPr>
        <w:t>Int</w:t>
      </w:r>
      <w:proofErr w:type="spellEnd"/>
      <w:r w:rsidR="00886953" w:rsidRPr="0073202F">
        <w:rPr>
          <w:rFonts w:ascii="Times New Roman" w:hAnsi="Times New Roman"/>
          <w:sz w:val="24"/>
          <w:szCs w:val="24"/>
        </w:rPr>
        <w:t xml:space="preserve"> 2009;84:249–56.</w:t>
      </w:r>
    </w:p>
    <w:p w14:paraId="5A1D0901" w14:textId="77777777" w:rsidR="00403B18" w:rsidRPr="0073202F" w:rsidRDefault="00403B18" w:rsidP="0073202F">
      <w:pPr>
        <w:spacing w:after="0" w:line="360" w:lineRule="auto"/>
        <w:jc w:val="both"/>
        <w:rPr>
          <w:rFonts w:ascii="Times New Roman" w:hAnsi="Times New Roman"/>
          <w:sz w:val="24"/>
          <w:szCs w:val="24"/>
        </w:rPr>
      </w:pPr>
    </w:p>
    <w:p w14:paraId="26EF4A39" w14:textId="77777777" w:rsidR="00403B18" w:rsidRDefault="009031AF" w:rsidP="0073202F">
      <w:pPr>
        <w:spacing w:after="0" w:line="360" w:lineRule="auto"/>
        <w:jc w:val="both"/>
        <w:rPr>
          <w:rFonts w:ascii="Times New Roman" w:hAnsi="Times New Roman"/>
          <w:sz w:val="24"/>
          <w:szCs w:val="24"/>
        </w:rPr>
      </w:pPr>
      <w:r>
        <w:rPr>
          <w:rFonts w:ascii="Times New Roman" w:hAnsi="Times New Roman"/>
          <w:sz w:val="24"/>
          <w:szCs w:val="24"/>
        </w:rPr>
        <w:t>[5</w:t>
      </w:r>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Castaño</w:t>
      </w:r>
      <w:proofErr w:type="spellEnd"/>
      <w:r w:rsidR="00886953" w:rsidRPr="0073202F">
        <w:rPr>
          <w:rFonts w:ascii="Times New Roman" w:hAnsi="Times New Roman"/>
          <w:sz w:val="24"/>
          <w:szCs w:val="24"/>
        </w:rPr>
        <w:t xml:space="preserve">-Betancourt MC, </w:t>
      </w:r>
      <w:proofErr w:type="spellStart"/>
      <w:r w:rsidR="00886953" w:rsidRPr="0073202F">
        <w:rPr>
          <w:rFonts w:ascii="Times New Roman" w:hAnsi="Times New Roman"/>
          <w:sz w:val="24"/>
          <w:szCs w:val="24"/>
        </w:rPr>
        <w:t>Rivadeneira</w:t>
      </w:r>
      <w:proofErr w:type="spellEnd"/>
      <w:r w:rsidR="00886953" w:rsidRPr="0073202F">
        <w:rPr>
          <w:rFonts w:ascii="Times New Roman" w:hAnsi="Times New Roman"/>
          <w:sz w:val="24"/>
          <w:szCs w:val="24"/>
        </w:rPr>
        <w:t xml:space="preserve"> F, </w:t>
      </w:r>
      <w:proofErr w:type="spellStart"/>
      <w:r w:rsidR="00886953" w:rsidRPr="0073202F">
        <w:rPr>
          <w:rFonts w:ascii="Times New Roman" w:hAnsi="Times New Roman"/>
          <w:sz w:val="24"/>
          <w:szCs w:val="24"/>
        </w:rPr>
        <w:t>Bierma-Zeinstra</w:t>
      </w:r>
      <w:proofErr w:type="spellEnd"/>
      <w:r w:rsidR="00886953" w:rsidRPr="0073202F">
        <w:rPr>
          <w:rFonts w:ascii="Times New Roman" w:hAnsi="Times New Roman"/>
          <w:sz w:val="24"/>
          <w:szCs w:val="24"/>
        </w:rPr>
        <w:t xml:space="preserve"> S, </w:t>
      </w:r>
      <w:proofErr w:type="spellStart"/>
      <w:r w:rsidR="00A74ABB">
        <w:rPr>
          <w:rFonts w:ascii="Times New Roman" w:hAnsi="Times New Roman"/>
          <w:sz w:val="24"/>
          <w:szCs w:val="24"/>
        </w:rPr>
        <w:t>Kerkof</w:t>
      </w:r>
      <w:proofErr w:type="spellEnd"/>
      <w:r w:rsidR="00A74ABB">
        <w:rPr>
          <w:rFonts w:ascii="Times New Roman" w:hAnsi="Times New Roman"/>
          <w:sz w:val="24"/>
          <w:szCs w:val="24"/>
        </w:rPr>
        <w:t xml:space="preserve"> HJ, </w:t>
      </w:r>
      <w:proofErr w:type="spellStart"/>
      <w:r w:rsidR="00A74ABB">
        <w:rPr>
          <w:rFonts w:ascii="Times New Roman" w:hAnsi="Times New Roman"/>
          <w:sz w:val="24"/>
          <w:szCs w:val="24"/>
        </w:rPr>
        <w:t>Hofman</w:t>
      </w:r>
      <w:proofErr w:type="spellEnd"/>
      <w:r w:rsidR="00A74ABB">
        <w:rPr>
          <w:rFonts w:ascii="Times New Roman" w:hAnsi="Times New Roman"/>
          <w:sz w:val="24"/>
          <w:szCs w:val="24"/>
        </w:rPr>
        <w:t xml:space="preserve"> A, </w:t>
      </w:r>
      <w:proofErr w:type="spellStart"/>
      <w:r w:rsidR="00A74ABB">
        <w:rPr>
          <w:rFonts w:ascii="Times New Roman" w:hAnsi="Times New Roman"/>
          <w:sz w:val="24"/>
          <w:szCs w:val="24"/>
        </w:rPr>
        <w:t>Uitterlinden</w:t>
      </w:r>
      <w:proofErr w:type="spellEnd"/>
      <w:r w:rsidR="00A74ABB">
        <w:rPr>
          <w:rFonts w:ascii="Times New Roman" w:hAnsi="Times New Roman"/>
          <w:sz w:val="24"/>
          <w:szCs w:val="24"/>
        </w:rPr>
        <w:t xml:space="preserve"> AG </w:t>
      </w:r>
      <w:r w:rsidR="00886953" w:rsidRPr="0073202F">
        <w:rPr>
          <w:rFonts w:ascii="Times New Roman" w:hAnsi="Times New Roman"/>
          <w:sz w:val="24"/>
          <w:szCs w:val="24"/>
        </w:rPr>
        <w:t>et al. Bone Parameters Across Different Types of Hip Osteoarthritis and Their Relationship</w:t>
      </w:r>
      <w:r w:rsidR="00A74ABB">
        <w:rPr>
          <w:rFonts w:ascii="Times New Roman" w:hAnsi="Times New Roman"/>
          <w:sz w:val="24"/>
          <w:szCs w:val="24"/>
        </w:rPr>
        <w:t xml:space="preserve"> to Osteoporotic Fracture Risk.  Arthritis Rheum 2013;65(3):693-700.</w:t>
      </w:r>
    </w:p>
    <w:p w14:paraId="44FF44E6" w14:textId="77777777" w:rsidR="00A74ABB" w:rsidRPr="0073202F" w:rsidRDefault="00A74ABB" w:rsidP="0073202F">
      <w:pPr>
        <w:spacing w:after="0" w:line="360" w:lineRule="auto"/>
        <w:jc w:val="both"/>
        <w:rPr>
          <w:rFonts w:ascii="Times New Roman" w:hAnsi="Times New Roman"/>
          <w:sz w:val="24"/>
          <w:szCs w:val="24"/>
        </w:rPr>
      </w:pPr>
    </w:p>
    <w:p w14:paraId="1002FD61"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[6</w:t>
      </w:r>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Hannan</w:t>
      </w:r>
      <w:proofErr w:type="spellEnd"/>
      <w:r w:rsidR="00886953" w:rsidRPr="0073202F">
        <w:rPr>
          <w:rFonts w:ascii="Times New Roman" w:hAnsi="Times New Roman"/>
          <w:sz w:val="24"/>
          <w:szCs w:val="24"/>
        </w:rPr>
        <w:t xml:space="preserve"> MT, Anderson JJ, Zhang Y, Levy D, </w:t>
      </w:r>
      <w:proofErr w:type="spellStart"/>
      <w:r w:rsidR="00886953" w:rsidRPr="0073202F">
        <w:rPr>
          <w:rFonts w:ascii="Times New Roman" w:hAnsi="Times New Roman"/>
          <w:sz w:val="24"/>
          <w:szCs w:val="24"/>
        </w:rPr>
        <w:t>Felson</w:t>
      </w:r>
      <w:proofErr w:type="spellEnd"/>
      <w:r w:rsidR="00886953" w:rsidRPr="0073202F">
        <w:rPr>
          <w:rFonts w:ascii="Times New Roman" w:hAnsi="Times New Roman"/>
          <w:sz w:val="24"/>
          <w:szCs w:val="24"/>
        </w:rPr>
        <w:t xml:space="preserve"> DT. Bone mineral density and knee osteoarthritis in elderly men and </w:t>
      </w:r>
      <w:proofErr w:type="spellStart"/>
      <w:r w:rsidR="00886953" w:rsidRPr="0073202F">
        <w:rPr>
          <w:rFonts w:ascii="Times New Roman" w:hAnsi="Times New Roman"/>
          <w:sz w:val="24"/>
          <w:szCs w:val="24"/>
        </w:rPr>
        <w:t>women.The</w:t>
      </w:r>
      <w:proofErr w:type="spellEnd"/>
      <w:r w:rsidR="00886953" w:rsidRPr="0073202F">
        <w:rPr>
          <w:rFonts w:ascii="Times New Roman" w:hAnsi="Times New Roman"/>
          <w:sz w:val="24"/>
          <w:szCs w:val="24"/>
        </w:rPr>
        <w:t xml:space="preserve"> Framingham </w:t>
      </w:r>
      <w:proofErr w:type="spellStart"/>
      <w:r w:rsidR="00886953" w:rsidRPr="0073202F">
        <w:rPr>
          <w:rFonts w:ascii="Times New Roman" w:hAnsi="Times New Roman"/>
          <w:sz w:val="24"/>
          <w:szCs w:val="24"/>
        </w:rPr>
        <w:t>Study.Arthritis</w:t>
      </w:r>
      <w:proofErr w:type="spellEnd"/>
      <w:r w:rsidR="00886953" w:rsidRPr="0073202F">
        <w:rPr>
          <w:rFonts w:ascii="Times New Roman" w:hAnsi="Times New Roman"/>
          <w:sz w:val="24"/>
          <w:szCs w:val="24"/>
        </w:rPr>
        <w:t xml:space="preserve"> Rheum. 1993;36:1671-80.</w:t>
      </w:r>
    </w:p>
    <w:p w14:paraId="5DBF3333" w14:textId="77777777" w:rsidR="00A74ABB" w:rsidRPr="0073202F" w:rsidRDefault="00A74ABB" w:rsidP="0073202F">
      <w:pPr>
        <w:spacing w:after="0" w:line="360" w:lineRule="auto"/>
        <w:jc w:val="both"/>
        <w:rPr>
          <w:rFonts w:ascii="Times New Roman" w:hAnsi="Times New Roman"/>
          <w:sz w:val="24"/>
          <w:szCs w:val="24"/>
        </w:rPr>
      </w:pPr>
    </w:p>
    <w:p w14:paraId="0B1C17E1"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[7</w:t>
      </w:r>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Hardcastle</w:t>
      </w:r>
      <w:proofErr w:type="spellEnd"/>
      <w:r w:rsidR="00886953" w:rsidRPr="0073202F">
        <w:rPr>
          <w:rFonts w:ascii="Times New Roman" w:hAnsi="Times New Roman"/>
          <w:sz w:val="24"/>
          <w:szCs w:val="24"/>
        </w:rPr>
        <w:t xml:space="preserve"> SA, Dieppe P, Gregson CL, Hunter D, Thomas GE, Arden NK, et al. Prevalence of radiographic hip osteoarthritis is increased in high bone</w:t>
      </w:r>
      <w:r w:rsidR="00A74ABB">
        <w:rPr>
          <w:rFonts w:ascii="Times New Roman" w:hAnsi="Times New Roman"/>
          <w:sz w:val="24"/>
          <w:szCs w:val="24"/>
        </w:rPr>
        <w:t xml:space="preserve"> mass. Osteoarthritis Cartilage</w:t>
      </w:r>
      <w:r w:rsidR="00886953" w:rsidRPr="0073202F">
        <w:rPr>
          <w:rFonts w:ascii="Times New Roman" w:hAnsi="Times New Roman"/>
          <w:sz w:val="24"/>
          <w:szCs w:val="24"/>
        </w:rPr>
        <w:t xml:space="preserve"> 2014;22:1120-8.</w:t>
      </w:r>
    </w:p>
    <w:p w14:paraId="4FCCB8E0" w14:textId="77777777" w:rsidR="00A74ABB" w:rsidRPr="0073202F" w:rsidRDefault="00A74ABB" w:rsidP="0073202F">
      <w:pPr>
        <w:spacing w:after="0" w:line="360" w:lineRule="auto"/>
        <w:jc w:val="both"/>
        <w:rPr>
          <w:rFonts w:ascii="Times New Roman" w:hAnsi="Times New Roman"/>
          <w:sz w:val="24"/>
          <w:szCs w:val="24"/>
        </w:rPr>
      </w:pPr>
    </w:p>
    <w:p w14:paraId="7BDD54AB"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[8</w:t>
      </w:r>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Syddall</w:t>
      </w:r>
      <w:proofErr w:type="spellEnd"/>
      <w:r w:rsidR="00886953" w:rsidRPr="0073202F">
        <w:rPr>
          <w:rFonts w:ascii="Times New Roman" w:hAnsi="Times New Roman"/>
          <w:sz w:val="24"/>
          <w:szCs w:val="24"/>
        </w:rPr>
        <w:t xml:space="preserve"> HE, </w:t>
      </w:r>
      <w:proofErr w:type="spellStart"/>
      <w:r w:rsidR="00886953" w:rsidRPr="0073202F">
        <w:rPr>
          <w:rFonts w:ascii="Times New Roman" w:hAnsi="Times New Roman"/>
          <w:sz w:val="24"/>
          <w:szCs w:val="24"/>
        </w:rPr>
        <w:t>Aihie</w:t>
      </w:r>
      <w:proofErr w:type="spellEnd"/>
      <w:r w:rsidR="00886953" w:rsidRPr="0073202F">
        <w:rPr>
          <w:rFonts w:ascii="Times New Roman" w:hAnsi="Times New Roman"/>
          <w:sz w:val="24"/>
          <w:szCs w:val="24"/>
        </w:rPr>
        <w:t xml:space="preserve"> SA, Dennison EM, Martin HJ, Barker DJ, Cooper C. Cohort profile: the Hertfordshire cohort study. </w:t>
      </w:r>
      <w:proofErr w:type="spellStart"/>
      <w:r w:rsidR="00886953" w:rsidRPr="0073202F">
        <w:rPr>
          <w:rFonts w:ascii="Times New Roman" w:hAnsi="Times New Roman"/>
          <w:sz w:val="24"/>
          <w:szCs w:val="24"/>
        </w:rPr>
        <w:t>Int</w:t>
      </w:r>
      <w:proofErr w:type="spellEnd"/>
      <w:r w:rsidR="00886953" w:rsidRPr="0073202F">
        <w:rPr>
          <w:rFonts w:ascii="Times New Roman" w:hAnsi="Times New Roman"/>
          <w:sz w:val="24"/>
          <w:szCs w:val="24"/>
        </w:rPr>
        <w:t xml:space="preserve"> J </w:t>
      </w:r>
      <w:proofErr w:type="spellStart"/>
      <w:r w:rsidR="00886953" w:rsidRPr="0073202F">
        <w:rPr>
          <w:rFonts w:ascii="Times New Roman" w:hAnsi="Times New Roman"/>
          <w:sz w:val="24"/>
          <w:szCs w:val="24"/>
        </w:rPr>
        <w:t>Epidemiol</w:t>
      </w:r>
      <w:proofErr w:type="spellEnd"/>
      <w:r w:rsidR="00886953" w:rsidRPr="0073202F">
        <w:rPr>
          <w:rFonts w:ascii="Times New Roman" w:hAnsi="Times New Roman"/>
          <w:sz w:val="24"/>
          <w:szCs w:val="24"/>
        </w:rPr>
        <w:t xml:space="preserve"> 2005;34:1234-42.</w:t>
      </w:r>
    </w:p>
    <w:p w14:paraId="75062884" w14:textId="77777777" w:rsidR="00A74ABB" w:rsidRPr="0073202F" w:rsidRDefault="00A74ABB" w:rsidP="0073202F">
      <w:pPr>
        <w:spacing w:after="0" w:line="360" w:lineRule="auto"/>
        <w:jc w:val="both"/>
        <w:rPr>
          <w:rFonts w:ascii="Times New Roman" w:hAnsi="Times New Roman"/>
          <w:sz w:val="24"/>
          <w:szCs w:val="24"/>
        </w:rPr>
      </w:pPr>
    </w:p>
    <w:p w14:paraId="084D4EA9" w14:textId="77777777" w:rsidR="00886953" w:rsidRPr="0073202F" w:rsidRDefault="009031AF" w:rsidP="0073202F">
      <w:pPr>
        <w:spacing w:after="0" w:line="360" w:lineRule="auto"/>
        <w:jc w:val="both"/>
        <w:rPr>
          <w:rFonts w:ascii="Times New Roman" w:hAnsi="Times New Roman"/>
          <w:sz w:val="24"/>
          <w:szCs w:val="24"/>
        </w:rPr>
      </w:pPr>
      <w:r>
        <w:rPr>
          <w:rFonts w:ascii="Times New Roman" w:hAnsi="Times New Roman"/>
          <w:sz w:val="24"/>
          <w:szCs w:val="24"/>
        </w:rPr>
        <w:t>[9</w:t>
      </w:r>
      <w:r w:rsidR="00886953" w:rsidRPr="0073202F">
        <w:rPr>
          <w:rFonts w:ascii="Times New Roman" w:hAnsi="Times New Roman"/>
          <w:sz w:val="24"/>
          <w:szCs w:val="24"/>
        </w:rPr>
        <w:t>] Altman RD, Gold GE. Atlas of individual radiographic features in osteoarthritis, revised. Os</w:t>
      </w:r>
      <w:r w:rsidR="00A74ABB">
        <w:rPr>
          <w:rFonts w:ascii="Times New Roman" w:hAnsi="Times New Roman"/>
          <w:sz w:val="24"/>
          <w:szCs w:val="24"/>
        </w:rPr>
        <w:t>teoarthritis Cartilage. 2007;15(</w:t>
      </w:r>
      <w:proofErr w:type="spellStart"/>
      <w:r w:rsidR="00886953" w:rsidRPr="0073202F">
        <w:rPr>
          <w:rFonts w:ascii="Times New Roman" w:hAnsi="Times New Roman"/>
          <w:sz w:val="24"/>
          <w:szCs w:val="24"/>
        </w:rPr>
        <w:t>Suppl</w:t>
      </w:r>
      <w:proofErr w:type="spellEnd"/>
      <w:r w:rsidR="00886953" w:rsidRPr="0073202F">
        <w:rPr>
          <w:rFonts w:ascii="Times New Roman" w:hAnsi="Times New Roman"/>
          <w:sz w:val="24"/>
          <w:szCs w:val="24"/>
        </w:rPr>
        <w:t xml:space="preserve"> A</w:t>
      </w:r>
      <w:r w:rsidR="00A74ABB">
        <w:rPr>
          <w:rFonts w:ascii="Times New Roman" w:hAnsi="Times New Roman"/>
          <w:sz w:val="24"/>
          <w:szCs w:val="24"/>
        </w:rPr>
        <w:t>):A1-56.</w:t>
      </w:r>
    </w:p>
    <w:p w14:paraId="18CF62DE" w14:textId="77777777" w:rsidR="00A74ABB" w:rsidRDefault="00A74ABB" w:rsidP="0073202F">
      <w:pPr>
        <w:spacing w:after="0" w:line="360" w:lineRule="auto"/>
        <w:jc w:val="both"/>
        <w:rPr>
          <w:rFonts w:ascii="Times New Roman" w:hAnsi="Times New Roman"/>
          <w:sz w:val="24"/>
          <w:szCs w:val="24"/>
        </w:rPr>
      </w:pPr>
    </w:p>
    <w:p w14:paraId="67109E56"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[10</w:t>
      </w:r>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Boutroy</w:t>
      </w:r>
      <w:proofErr w:type="spellEnd"/>
      <w:r w:rsidR="00886953" w:rsidRPr="0073202F">
        <w:rPr>
          <w:rFonts w:ascii="Times New Roman" w:hAnsi="Times New Roman"/>
          <w:sz w:val="24"/>
          <w:szCs w:val="24"/>
        </w:rPr>
        <w:t xml:space="preserve"> S, </w:t>
      </w:r>
      <w:proofErr w:type="spellStart"/>
      <w:r w:rsidR="00886953" w:rsidRPr="0073202F">
        <w:rPr>
          <w:rFonts w:ascii="Times New Roman" w:hAnsi="Times New Roman"/>
          <w:sz w:val="24"/>
          <w:szCs w:val="24"/>
        </w:rPr>
        <w:t>Bouxsein</w:t>
      </w:r>
      <w:proofErr w:type="spellEnd"/>
      <w:r w:rsidR="00886953" w:rsidRPr="0073202F">
        <w:rPr>
          <w:rFonts w:ascii="Times New Roman" w:hAnsi="Times New Roman"/>
          <w:sz w:val="24"/>
          <w:szCs w:val="24"/>
        </w:rPr>
        <w:t xml:space="preserve"> ML, Munoz F, </w:t>
      </w:r>
      <w:proofErr w:type="spellStart"/>
      <w:r w:rsidR="00886953" w:rsidRPr="0073202F">
        <w:rPr>
          <w:rFonts w:ascii="Times New Roman" w:hAnsi="Times New Roman"/>
          <w:sz w:val="24"/>
          <w:szCs w:val="24"/>
        </w:rPr>
        <w:t>Delmas</w:t>
      </w:r>
      <w:proofErr w:type="spellEnd"/>
      <w:r w:rsidR="00886953" w:rsidRPr="0073202F">
        <w:rPr>
          <w:rFonts w:ascii="Times New Roman" w:hAnsi="Times New Roman"/>
          <w:sz w:val="24"/>
          <w:szCs w:val="24"/>
        </w:rPr>
        <w:t xml:space="preserve"> PD. In vivo assessment of trabecular bone microarchitecture by high-resolution peripheral quantitative computed tomography. J </w:t>
      </w:r>
      <w:proofErr w:type="spellStart"/>
      <w:r w:rsidR="00886953" w:rsidRPr="0073202F">
        <w:rPr>
          <w:rFonts w:ascii="Times New Roman" w:hAnsi="Times New Roman"/>
          <w:sz w:val="24"/>
          <w:szCs w:val="24"/>
        </w:rPr>
        <w:t>Clin</w:t>
      </w:r>
      <w:proofErr w:type="spellEnd"/>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Endocrinol</w:t>
      </w:r>
      <w:proofErr w:type="spellEnd"/>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Metab</w:t>
      </w:r>
      <w:proofErr w:type="spellEnd"/>
      <w:r w:rsidR="00886953" w:rsidRPr="0073202F">
        <w:rPr>
          <w:rFonts w:ascii="Times New Roman" w:hAnsi="Times New Roman"/>
          <w:sz w:val="24"/>
          <w:szCs w:val="24"/>
        </w:rPr>
        <w:t xml:space="preserve"> 2005;90:6508-15.</w:t>
      </w:r>
    </w:p>
    <w:p w14:paraId="03973239" w14:textId="77777777" w:rsidR="00A74ABB" w:rsidRPr="0073202F" w:rsidRDefault="00A74ABB" w:rsidP="0073202F">
      <w:pPr>
        <w:spacing w:after="0" w:line="360" w:lineRule="auto"/>
        <w:jc w:val="both"/>
        <w:rPr>
          <w:rFonts w:ascii="Times New Roman" w:hAnsi="Times New Roman"/>
          <w:sz w:val="24"/>
          <w:szCs w:val="24"/>
        </w:rPr>
      </w:pPr>
    </w:p>
    <w:p w14:paraId="5A6E542D"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[11</w:t>
      </w:r>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Laib</w:t>
      </w:r>
      <w:proofErr w:type="spellEnd"/>
      <w:r w:rsidR="00886953" w:rsidRPr="0073202F">
        <w:rPr>
          <w:rFonts w:ascii="Times New Roman" w:hAnsi="Times New Roman"/>
          <w:sz w:val="24"/>
          <w:szCs w:val="24"/>
        </w:rPr>
        <w:t xml:space="preserve"> A, </w:t>
      </w:r>
      <w:proofErr w:type="spellStart"/>
      <w:r w:rsidR="00886953" w:rsidRPr="0073202F">
        <w:rPr>
          <w:rFonts w:ascii="Times New Roman" w:hAnsi="Times New Roman"/>
          <w:sz w:val="24"/>
          <w:szCs w:val="24"/>
        </w:rPr>
        <w:t>Hauselmann</w:t>
      </w:r>
      <w:proofErr w:type="spellEnd"/>
      <w:r w:rsidR="00886953" w:rsidRPr="0073202F">
        <w:rPr>
          <w:rFonts w:ascii="Times New Roman" w:hAnsi="Times New Roman"/>
          <w:sz w:val="24"/>
          <w:szCs w:val="24"/>
        </w:rPr>
        <w:t xml:space="preserve"> HJ, </w:t>
      </w:r>
      <w:proofErr w:type="spellStart"/>
      <w:r w:rsidR="00886953" w:rsidRPr="0073202F">
        <w:rPr>
          <w:rFonts w:ascii="Times New Roman" w:hAnsi="Times New Roman"/>
          <w:sz w:val="24"/>
          <w:szCs w:val="24"/>
        </w:rPr>
        <w:t>Ruegsegger</w:t>
      </w:r>
      <w:proofErr w:type="spellEnd"/>
      <w:r w:rsidR="00886953" w:rsidRPr="0073202F">
        <w:rPr>
          <w:rFonts w:ascii="Times New Roman" w:hAnsi="Times New Roman"/>
          <w:sz w:val="24"/>
          <w:szCs w:val="24"/>
        </w:rPr>
        <w:t xml:space="preserve"> P. In vivo high resolution 3D-QCT of the human forea</w:t>
      </w:r>
      <w:r w:rsidR="00A74ABB">
        <w:rPr>
          <w:rFonts w:ascii="Times New Roman" w:hAnsi="Times New Roman"/>
          <w:sz w:val="24"/>
          <w:szCs w:val="24"/>
        </w:rPr>
        <w:t xml:space="preserve">rm. </w:t>
      </w:r>
      <w:proofErr w:type="spellStart"/>
      <w:r w:rsidR="00A74ABB">
        <w:rPr>
          <w:rFonts w:ascii="Times New Roman" w:hAnsi="Times New Roman"/>
          <w:sz w:val="24"/>
          <w:szCs w:val="24"/>
        </w:rPr>
        <w:t>Technol</w:t>
      </w:r>
      <w:proofErr w:type="spellEnd"/>
      <w:r w:rsidR="00A74ABB">
        <w:rPr>
          <w:rFonts w:ascii="Times New Roman" w:hAnsi="Times New Roman"/>
          <w:sz w:val="24"/>
          <w:szCs w:val="24"/>
        </w:rPr>
        <w:t xml:space="preserve"> Health Care 1998</w:t>
      </w:r>
      <w:r w:rsidR="00886953" w:rsidRPr="0073202F">
        <w:rPr>
          <w:rFonts w:ascii="Times New Roman" w:hAnsi="Times New Roman"/>
          <w:sz w:val="24"/>
          <w:szCs w:val="24"/>
        </w:rPr>
        <w:t>;6(5-6):329-37.</w:t>
      </w:r>
    </w:p>
    <w:p w14:paraId="55A02746" w14:textId="77777777" w:rsidR="00A74ABB" w:rsidRPr="0073202F" w:rsidRDefault="00A74ABB" w:rsidP="0073202F">
      <w:pPr>
        <w:spacing w:after="0" w:line="360" w:lineRule="auto"/>
        <w:jc w:val="both"/>
        <w:rPr>
          <w:rFonts w:ascii="Times New Roman" w:hAnsi="Times New Roman"/>
          <w:sz w:val="24"/>
          <w:szCs w:val="24"/>
        </w:rPr>
      </w:pPr>
    </w:p>
    <w:p w14:paraId="7C0F9BF7"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[12</w:t>
      </w:r>
      <w:r w:rsidR="00886953" w:rsidRPr="0073202F">
        <w:rPr>
          <w:rFonts w:ascii="Times New Roman" w:hAnsi="Times New Roman"/>
          <w:sz w:val="24"/>
          <w:szCs w:val="24"/>
        </w:rPr>
        <w:t xml:space="preserve">] </w:t>
      </w:r>
      <w:proofErr w:type="spellStart"/>
      <w:r w:rsidR="00886953" w:rsidRPr="0073202F">
        <w:rPr>
          <w:rFonts w:ascii="Times New Roman" w:hAnsi="Times New Roman"/>
          <w:sz w:val="24"/>
          <w:szCs w:val="24"/>
        </w:rPr>
        <w:t>Paggiosi</w:t>
      </w:r>
      <w:proofErr w:type="spellEnd"/>
      <w:r w:rsidR="00886953" w:rsidRPr="0073202F">
        <w:rPr>
          <w:rFonts w:ascii="Times New Roman" w:hAnsi="Times New Roman"/>
          <w:sz w:val="24"/>
          <w:szCs w:val="24"/>
        </w:rPr>
        <w:t xml:space="preserve"> MA, </w:t>
      </w:r>
      <w:proofErr w:type="spellStart"/>
      <w:r w:rsidR="00886953" w:rsidRPr="0073202F">
        <w:rPr>
          <w:rFonts w:ascii="Times New Roman" w:hAnsi="Times New Roman"/>
          <w:sz w:val="24"/>
          <w:szCs w:val="24"/>
        </w:rPr>
        <w:t>Eastell</w:t>
      </w:r>
      <w:proofErr w:type="spellEnd"/>
      <w:r w:rsidR="00886953" w:rsidRPr="0073202F">
        <w:rPr>
          <w:rFonts w:ascii="Times New Roman" w:hAnsi="Times New Roman"/>
          <w:sz w:val="24"/>
          <w:szCs w:val="24"/>
        </w:rPr>
        <w:t xml:space="preserve"> R, Walsh JS. Precision of High-Resolution Peripheral Quantitative Computed Tomography Measurement Variables: Influence of Gender, Examination Site, and Age. </w:t>
      </w:r>
      <w:proofErr w:type="spellStart"/>
      <w:r w:rsidR="00886953" w:rsidRPr="0073202F">
        <w:rPr>
          <w:rFonts w:ascii="Times New Roman" w:hAnsi="Times New Roman"/>
          <w:sz w:val="24"/>
          <w:szCs w:val="24"/>
        </w:rPr>
        <w:t>Calcif</w:t>
      </w:r>
      <w:proofErr w:type="spellEnd"/>
      <w:r w:rsidR="00886953" w:rsidRPr="0073202F">
        <w:rPr>
          <w:rFonts w:ascii="Times New Roman" w:hAnsi="Times New Roman"/>
          <w:sz w:val="24"/>
          <w:szCs w:val="24"/>
        </w:rPr>
        <w:t xml:space="preserve"> Tissue Int. 2014;94:191-201.</w:t>
      </w:r>
    </w:p>
    <w:p w14:paraId="7DDF5660" w14:textId="77777777" w:rsidR="00A74ABB" w:rsidRPr="0073202F" w:rsidRDefault="00A74ABB" w:rsidP="0073202F">
      <w:pPr>
        <w:spacing w:after="0" w:line="360" w:lineRule="auto"/>
        <w:jc w:val="both"/>
        <w:rPr>
          <w:rFonts w:ascii="Times New Roman" w:hAnsi="Times New Roman"/>
          <w:sz w:val="24"/>
          <w:szCs w:val="24"/>
        </w:rPr>
      </w:pPr>
    </w:p>
    <w:p w14:paraId="7C01A69E" w14:textId="7777777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[13</w:t>
      </w:r>
      <w:r w:rsidR="00886953" w:rsidRPr="0073202F">
        <w:rPr>
          <w:rFonts w:ascii="Times New Roman" w:hAnsi="Times New Roman"/>
          <w:sz w:val="24"/>
          <w:szCs w:val="24"/>
        </w:rPr>
        <w:t xml:space="preserve">] Lane NE, </w:t>
      </w:r>
      <w:proofErr w:type="spellStart"/>
      <w:r w:rsidR="00886953" w:rsidRPr="0073202F">
        <w:rPr>
          <w:rFonts w:ascii="Times New Roman" w:hAnsi="Times New Roman"/>
          <w:sz w:val="24"/>
          <w:szCs w:val="24"/>
        </w:rPr>
        <w:t>Nevitt</w:t>
      </w:r>
      <w:proofErr w:type="spellEnd"/>
      <w:r w:rsidR="00886953" w:rsidRPr="0073202F">
        <w:rPr>
          <w:rFonts w:ascii="Times New Roman" w:hAnsi="Times New Roman"/>
          <w:sz w:val="24"/>
          <w:szCs w:val="24"/>
        </w:rPr>
        <w:t xml:space="preserve"> MC. Osteoarthritis, bone mass, and fractures: how are they related? Arthritis Rheum. 2002;46:1-4.</w:t>
      </w:r>
    </w:p>
    <w:p w14:paraId="66620471" w14:textId="77777777" w:rsidR="00A74ABB" w:rsidRDefault="00A74ABB" w:rsidP="0073202F">
      <w:pPr>
        <w:spacing w:after="0" w:line="360" w:lineRule="auto"/>
        <w:jc w:val="both"/>
        <w:rPr>
          <w:rFonts w:ascii="Times New Roman" w:hAnsi="Times New Roman"/>
          <w:sz w:val="24"/>
          <w:szCs w:val="24"/>
        </w:rPr>
      </w:pPr>
    </w:p>
    <w:p w14:paraId="5951456E" w14:textId="024C0914" w:rsidR="00860861" w:rsidRDefault="00860861" w:rsidP="0073202F">
      <w:pPr>
        <w:spacing w:after="0" w:line="360" w:lineRule="auto"/>
        <w:jc w:val="both"/>
        <w:rPr>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Chaganti</w:t>
      </w:r>
      <w:proofErr w:type="spellEnd"/>
      <w:r>
        <w:rPr>
          <w:rFonts w:ascii="Times New Roman" w:hAnsi="Times New Roman"/>
          <w:sz w:val="24"/>
          <w:szCs w:val="24"/>
        </w:rPr>
        <w:t xml:space="preserve"> RK, </w:t>
      </w:r>
      <w:proofErr w:type="spellStart"/>
      <w:r>
        <w:rPr>
          <w:rFonts w:ascii="Times New Roman" w:hAnsi="Times New Roman"/>
          <w:sz w:val="24"/>
          <w:szCs w:val="24"/>
        </w:rPr>
        <w:t>Parimi</w:t>
      </w:r>
      <w:proofErr w:type="spellEnd"/>
      <w:r>
        <w:rPr>
          <w:rFonts w:ascii="Times New Roman" w:hAnsi="Times New Roman"/>
          <w:sz w:val="24"/>
          <w:szCs w:val="24"/>
        </w:rPr>
        <w:t xml:space="preserve"> N, Lang T, Orwoll E, Stefanick ML, </w:t>
      </w:r>
      <w:proofErr w:type="spellStart"/>
      <w:r>
        <w:rPr>
          <w:rFonts w:ascii="Times New Roman" w:hAnsi="Times New Roman"/>
          <w:sz w:val="24"/>
          <w:szCs w:val="24"/>
        </w:rPr>
        <w:t>Nevett</w:t>
      </w:r>
      <w:proofErr w:type="spellEnd"/>
      <w:r>
        <w:rPr>
          <w:rFonts w:ascii="Times New Roman" w:hAnsi="Times New Roman"/>
          <w:sz w:val="24"/>
          <w:szCs w:val="24"/>
        </w:rPr>
        <w:t xml:space="preserve"> M et al.  Bone mineral density and prevalent osteoarthritis of the hip in older men for</w:t>
      </w:r>
      <w:r w:rsidR="00F33D19">
        <w:rPr>
          <w:rFonts w:ascii="Times New Roman" w:hAnsi="Times New Roman"/>
          <w:sz w:val="24"/>
          <w:szCs w:val="24"/>
        </w:rPr>
        <w:t xml:space="preserve"> the Osteoporosis Fractures in Men (</w:t>
      </w:r>
      <w:proofErr w:type="spellStart"/>
      <w:r w:rsidR="00F33D19">
        <w:rPr>
          <w:rFonts w:ascii="Times New Roman" w:hAnsi="Times New Roman"/>
          <w:sz w:val="24"/>
          <w:szCs w:val="24"/>
        </w:rPr>
        <w:t>MrOS</w:t>
      </w:r>
      <w:proofErr w:type="spellEnd"/>
      <w:r w:rsidR="00F33D19">
        <w:rPr>
          <w:rFonts w:ascii="Times New Roman" w:hAnsi="Times New Roman"/>
          <w:sz w:val="24"/>
          <w:szCs w:val="24"/>
        </w:rPr>
        <w:t xml:space="preserve">) Study Group.  </w:t>
      </w:r>
      <w:proofErr w:type="spellStart"/>
      <w:r w:rsidR="00F33D19">
        <w:rPr>
          <w:rFonts w:ascii="Times New Roman" w:hAnsi="Times New Roman"/>
          <w:sz w:val="24"/>
          <w:szCs w:val="24"/>
        </w:rPr>
        <w:t>Osteoporos</w:t>
      </w:r>
      <w:proofErr w:type="spellEnd"/>
      <w:r w:rsidR="00F33D19">
        <w:rPr>
          <w:rFonts w:ascii="Times New Roman" w:hAnsi="Times New Roman"/>
          <w:sz w:val="24"/>
          <w:szCs w:val="24"/>
        </w:rPr>
        <w:t xml:space="preserve"> </w:t>
      </w:r>
      <w:proofErr w:type="spellStart"/>
      <w:r w:rsidR="00F33D19">
        <w:rPr>
          <w:rFonts w:ascii="Times New Roman" w:hAnsi="Times New Roman"/>
          <w:sz w:val="24"/>
          <w:szCs w:val="24"/>
        </w:rPr>
        <w:t>Int</w:t>
      </w:r>
      <w:proofErr w:type="spellEnd"/>
      <w:r w:rsidR="00F33D19">
        <w:rPr>
          <w:rFonts w:ascii="Times New Roman" w:hAnsi="Times New Roman"/>
          <w:sz w:val="24"/>
          <w:szCs w:val="24"/>
        </w:rPr>
        <w:t xml:space="preserve"> 2010;21(8):1307-16.</w:t>
      </w:r>
    </w:p>
    <w:p w14:paraId="1DE179C2" w14:textId="77777777" w:rsidR="00860861" w:rsidRPr="0073202F" w:rsidRDefault="00860861" w:rsidP="0073202F">
      <w:pPr>
        <w:spacing w:after="0" w:line="360" w:lineRule="auto"/>
        <w:jc w:val="both"/>
        <w:rPr>
          <w:rFonts w:ascii="Times New Roman" w:hAnsi="Times New Roman"/>
          <w:sz w:val="24"/>
          <w:szCs w:val="24"/>
        </w:rPr>
      </w:pPr>
    </w:p>
    <w:p w14:paraId="6E08D76C" w14:textId="7ECE3DB5"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w:t>
      </w:r>
      <w:r w:rsidR="00C83BBB">
        <w:rPr>
          <w:rFonts w:ascii="Times New Roman" w:hAnsi="Times New Roman"/>
          <w:sz w:val="24"/>
          <w:szCs w:val="24"/>
        </w:rPr>
        <w:t>15</w:t>
      </w:r>
      <w:r w:rsidR="00886953" w:rsidRPr="0073202F">
        <w:rPr>
          <w:rFonts w:ascii="Times New Roman" w:hAnsi="Times New Roman"/>
          <w:sz w:val="24"/>
          <w:szCs w:val="24"/>
        </w:rPr>
        <w:t>] Smith AJ, Gidley J, Sandy JR, Perry MJ, Elson CJ, Kirwan JR, et. al. Haplotypes of the low-density lipoprotein receptor-related protein 5 (LRP5) gene: are they a risk factor in osteoarthritis? Osteoarthritis Cartilage. 2005;13:608-13.</w:t>
      </w:r>
    </w:p>
    <w:p w14:paraId="643D432B" w14:textId="77777777" w:rsidR="00A74ABB" w:rsidRPr="0073202F" w:rsidRDefault="00A74ABB" w:rsidP="0073202F">
      <w:pPr>
        <w:spacing w:after="0" w:line="360" w:lineRule="auto"/>
        <w:jc w:val="both"/>
        <w:rPr>
          <w:rFonts w:ascii="Times New Roman" w:hAnsi="Times New Roman"/>
          <w:sz w:val="24"/>
          <w:szCs w:val="24"/>
        </w:rPr>
      </w:pPr>
    </w:p>
    <w:p w14:paraId="1D46A8E8" w14:textId="3A04FC17" w:rsidR="00886953" w:rsidRDefault="009031AF" w:rsidP="0073202F">
      <w:pPr>
        <w:spacing w:after="0" w:line="360" w:lineRule="auto"/>
        <w:jc w:val="both"/>
        <w:rPr>
          <w:rFonts w:ascii="Times New Roman" w:hAnsi="Times New Roman"/>
          <w:sz w:val="24"/>
          <w:szCs w:val="24"/>
        </w:rPr>
      </w:pPr>
      <w:r>
        <w:rPr>
          <w:rFonts w:ascii="Times New Roman" w:hAnsi="Times New Roman"/>
          <w:sz w:val="24"/>
          <w:szCs w:val="24"/>
        </w:rPr>
        <w:t>[</w:t>
      </w:r>
      <w:r w:rsidR="00C83BBB">
        <w:rPr>
          <w:rFonts w:ascii="Times New Roman" w:hAnsi="Times New Roman"/>
          <w:sz w:val="24"/>
          <w:szCs w:val="24"/>
        </w:rPr>
        <w:t>16</w:t>
      </w:r>
      <w:r w:rsidR="00886953" w:rsidRPr="0073202F">
        <w:rPr>
          <w:rFonts w:ascii="Times New Roman" w:hAnsi="Times New Roman"/>
          <w:sz w:val="24"/>
          <w:szCs w:val="24"/>
        </w:rPr>
        <w:t xml:space="preserve">] Lories RJ, </w:t>
      </w:r>
      <w:proofErr w:type="spellStart"/>
      <w:r w:rsidR="00886953" w:rsidRPr="0073202F">
        <w:rPr>
          <w:rFonts w:ascii="Times New Roman" w:hAnsi="Times New Roman"/>
          <w:sz w:val="24"/>
          <w:szCs w:val="24"/>
        </w:rPr>
        <w:t>Luyten</w:t>
      </w:r>
      <w:proofErr w:type="spellEnd"/>
      <w:r w:rsidR="00886953" w:rsidRPr="0073202F">
        <w:rPr>
          <w:rFonts w:ascii="Times New Roman" w:hAnsi="Times New Roman"/>
          <w:sz w:val="24"/>
          <w:szCs w:val="24"/>
        </w:rPr>
        <w:t xml:space="preserve"> FP. The bone-cartilage unit in osteoarthritis.</w:t>
      </w:r>
      <w:r w:rsidR="00A74ABB">
        <w:rPr>
          <w:rFonts w:ascii="Times New Roman" w:hAnsi="Times New Roman"/>
          <w:sz w:val="24"/>
          <w:szCs w:val="24"/>
        </w:rPr>
        <w:t xml:space="preserve">  </w:t>
      </w:r>
      <w:r w:rsidR="00886953" w:rsidRPr="0073202F">
        <w:rPr>
          <w:rFonts w:ascii="Times New Roman" w:hAnsi="Times New Roman"/>
          <w:sz w:val="24"/>
          <w:szCs w:val="24"/>
        </w:rPr>
        <w:t xml:space="preserve">Nat Rev </w:t>
      </w:r>
      <w:proofErr w:type="spellStart"/>
      <w:r w:rsidR="00886953" w:rsidRPr="0073202F">
        <w:rPr>
          <w:rFonts w:ascii="Times New Roman" w:hAnsi="Times New Roman"/>
          <w:sz w:val="24"/>
          <w:szCs w:val="24"/>
        </w:rPr>
        <w:t>Rheumatol</w:t>
      </w:r>
      <w:proofErr w:type="spellEnd"/>
      <w:r w:rsidR="00886953" w:rsidRPr="0073202F">
        <w:rPr>
          <w:rFonts w:ascii="Times New Roman" w:hAnsi="Times New Roman"/>
          <w:sz w:val="24"/>
          <w:szCs w:val="24"/>
        </w:rPr>
        <w:t>. 2011;7:43-9.</w:t>
      </w:r>
    </w:p>
    <w:p w14:paraId="3ACA8F6B" w14:textId="77777777" w:rsidR="00886953" w:rsidRDefault="00886953" w:rsidP="0073202F">
      <w:pPr>
        <w:spacing w:after="0" w:line="360" w:lineRule="auto"/>
        <w:jc w:val="both"/>
        <w:rPr>
          <w:rFonts w:ascii="Times New Roman" w:hAnsi="Times New Roman"/>
          <w:sz w:val="24"/>
          <w:szCs w:val="24"/>
        </w:rPr>
      </w:pPr>
    </w:p>
    <w:p w14:paraId="07ECCC1F" w14:textId="77777777" w:rsidR="00886953" w:rsidRDefault="00886953" w:rsidP="0073202F">
      <w:pPr>
        <w:spacing w:after="0" w:line="360" w:lineRule="auto"/>
        <w:jc w:val="both"/>
        <w:rPr>
          <w:rFonts w:ascii="Times New Roman" w:hAnsi="Times New Roman"/>
          <w:sz w:val="24"/>
          <w:szCs w:val="24"/>
        </w:rPr>
      </w:pPr>
    </w:p>
    <w:p w14:paraId="225F8958" w14:textId="77777777" w:rsidR="007272D1" w:rsidRDefault="007272D1" w:rsidP="0073202F">
      <w:pPr>
        <w:spacing w:after="0" w:line="360" w:lineRule="auto"/>
        <w:jc w:val="both"/>
        <w:rPr>
          <w:rFonts w:ascii="Times New Roman" w:hAnsi="Times New Roman"/>
          <w:sz w:val="24"/>
          <w:szCs w:val="24"/>
        </w:rPr>
      </w:pPr>
    </w:p>
    <w:p w14:paraId="4624C4C4" w14:textId="77777777" w:rsidR="007272D1" w:rsidRDefault="007272D1" w:rsidP="0073202F">
      <w:pPr>
        <w:spacing w:after="0" w:line="360" w:lineRule="auto"/>
        <w:jc w:val="both"/>
        <w:rPr>
          <w:rFonts w:ascii="Times New Roman" w:hAnsi="Times New Roman"/>
          <w:sz w:val="24"/>
          <w:szCs w:val="24"/>
        </w:rPr>
      </w:pPr>
    </w:p>
    <w:p w14:paraId="0B9D7E34" w14:textId="77777777" w:rsidR="007272D1" w:rsidRDefault="007272D1" w:rsidP="0073202F">
      <w:pPr>
        <w:spacing w:after="0" w:line="360" w:lineRule="auto"/>
        <w:jc w:val="both"/>
        <w:rPr>
          <w:rFonts w:ascii="Times New Roman" w:hAnsi="Times New Roman"/>
          <w:sz w:val="24"/>
          <w:szCs w:val="24"/>
        </w:rPr>
      </w:pPr>
    </w:p>
    <w:p w14:paraId="33FF530E" w14:textId="77777777" w:rsidR="007272D1" w:rsidRDefault="007272D1" w:rsidP="0073202F">
      <w:pPr>
        <w:spacing w:after="0" w:line="360" w:lineRule="auto"/>
        <w:jc w:val="both"/>
        <w:rPr>
          <w:rFonts w:ascii="Times New Roman" w:hAnsi="Times New Roman"/>
          <w:sz w:val="24"/>
          <w:szCs w:val="24"/>
        </w:rPr>
      </w:pPr>
    </w:p>
    <w:p w14:paraId="65220278" w14:textId="77777777" w:rsidR="007272D1" w:rsidRDefault="007272D1" w:rsidP="0073202F">
      <w:pPr>
        <w:spacing w:after="0" w:line="360" w:lineRule="auto"/>
        <w:jc w:val="both"/>
        <w:rPr>
          <w:rFonts w:ascii="Times New Roman" w:hAnsi="Times New Roman"/>
          <w:sz w:val="24"/>
          <w:szCs w:val="24"/>
        </w:rPr>
      </w:pPr>
    </w:p>
    <w:p w14:paraId="37FABB02" w14:textId="77777777" w:rsidR="00642E4D" w:rsidRDefault="00642E4D" w:rsidP="0073202F">
      <w:pPr>
        <w:spacing w:after="0" w:line="360" w:lineRule="auto"/>
        <w:jc w:val="both"/>
        <w:rPr>
          <w:rFonts w:ascii="Times New Roman" w:hAnsi="Times New Roman"/>
          <w:sz w:val="24"/>
          <w:szCs w:val="24"/>
        </w:rPr>
      </w:pPr>
    </w:p>
    <w:p w14:paraId="0F7A692E" w14:textId="77777777" w:rsidR="00805B2A" w:rsidRDefault="00805B2A" w:rsidP="0073202F">
      <w:pPr>
        <w:spacing w:after="0" w:line="360" w:lineRule="auto"/>
        <w:jc w:val="both"/>
        <w:rPr>
          <w:rFonts w:ascii="Times New Roman" w:hAnsi="Times New Roman"/>
          <w:sz w:val="24"/>
          <w:szCs w:val="24"/>
        </w:rPr>
      </w:pPr>
    </w:p>
    <w:p w14:paraId="6621D5C3" w14:textId="77777777" w:rsidR="00805B2A" w:rsidRDefault="00805B2A" w:rsidP="0073202F">
      <w:pPr>
        <w:spacing w:after="0" w:line="360" w:lineRule="auto"/>
        <w:jc w:val="both"/>
        <w:rPr>
          <w:rFonts w:ascii="Times New Roman" w:hAnsi="Times New Roman"/>
          <w:sz w:val="24"/>
          <w:szCs w:val="24"/>
        </w:rPr>
      </w:pPr>
    </w:p>
    <w:p w14:paraId="3B1281B1" w14:textId="77777777" w:rsidR="00886953" w:rsidRPr="00BE33D8" w:rsidRDefault="00886953" w:rsidP="0073202F">
      <w:pPr>
        <w:spacing w:after="0" w:line="360" w:lineRule="auto"/>
        <w:jc w:val="both"/>
        <w:rPr>
          <w:rFonts w:ascii="Times New Roman" w:hAnsi="Times New Roman"/>
          <w:b/>
          <w:sz w:val="24"/>
          <w:szCs w:val="24"/>
        </w:rPr>
      </w:pPr>
      <w:r w:rsidRPr="00BE33D8">
        <w:rPr>
          <w:rFonts w:ascii="Times New Roman" w:hAnsi="Times New Roman"/>
          <w:b/>
          <w:sz w:val="24"/>
          <w:szCs w:val="24"/>
        </w:rPr>
        <w:t>Table 1 Characteristics of study participants</w:t>
      </w:r>
    </w:p>
    <w:tbl>
      <w:tblPr>
        <w:tblW w:w="66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804"/>
        <w:gridCol w:w="1599"/>
        <w:gridCol w:w="1599"/>
        <w:gridCol w:w="1599"/>
      </w:tblGrid>
      <w:tr w:rsidR="00886953" w:rsidRPr="00C03863" w14:paraId="6D99AD4C" w14:textId="77777777" w:rsidTr="00FC5F96">
        <w:trPr>
          <w:trHeight w:val="667"/>
        </w:trPr>
        <w:tc>
          <w:tcPr>
            <w:tcW w:w="1804" w:type="dxa"/>
          </w:tcPr>
          <w:p w14:paraId="500633B3" w14:textId="77777777" w:rsidR="00886953" w:rsidRPr="00C03863" w:rsidRDefault="00886953" w:rsidP="00895A6B">
            <w:pPr>
              <w:spacing w:after="0" w:line="240" w:lineRule="auto"/>
              <w:rPr>
                <w:rFonts w:ascii="Times New Roman" w:hAnsi="Times New Roman"/>
                <w:sz w:val="24"/>
                <w:szCs w:val="24"/>
                <w:lang w:val="fr-FR" w:eastAsia="fr-FR"/>
              </w:rPr>
            </w:pPr>
            <w:r w:rsidRPr="00C03863">
              <w:rPr>
                <w:rFonts w:ascii="Times New Roman" w:hAnsi="Times New Roman"/>
                <w:sz w:val="24"/>
                <w:szCs w:val="24"/>
                <w:lang w:val="fr-FR" w:eastAsia="fr-FR"/>
              </w:rPr>
              <w:t>Variables</w:t>
            </w:r>
          </w:p>
        </w:tc>
        <w:tc>
          <w:tcPr>
            <w:tcW w:w="1599" w:type="dxa"/>
          </w:tcPr>
          <w:p w14:paraId="18FA300C"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Men</w:t>
            </w:r>
          </w:p>
          <w:p w14:paraId="511203EA"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(n=170)</w:t>
            </w:r>
          </w:p>
        </w:tc>
        <w:tc>
          <w:tcPr>
            <w:tcW w:w="1599" w:type="dxa"/>
          </w:tcPr>
          <w:p w14:paraId="3B2D13C1" w14:textId="77777777" w:rsidR="00886953" w:rsidRPr="00C03863" w:rsidRDefault="00886953" w:rsidP="00895A6B">
            <w:pPr>
              <w:spacing w:after="0" w:line="240" w:lineRule="auto"/>
              <w:jc w:val="center"/>
              <w:rPr>
                <w:rFonts w:ascii="Times New Roman" w:hAnsi="Times New Roman"/>
                <w:sz w:val="24"/>
                <w:szCs w:val="24"/>
                <w:lang w:val="fr-FR" w:eastAsia="fr-FR"/>
              </w:rPr>
            </w:pPr>
            <w:proofErr w:type="spellStart"/>
            <w:r w:rsidRPr="00C03863">
              <w:rPr>
                <w:rFonts w:ascii="Times New Roman" w:hAnsi="Times New Roman"/>
                <w:sz w:val="24"/>
                <w:szCs w:val="24"/>
                <w:lang w:val="fr-FR" w:eastAsia="fr-FR"/>
              </w:rPr>
              <w:t>Women</w:t>
            </w:r>
            <w:proofErr w:type="spellEnd"/>
          </w:p>
          <w:p w14:paraId="4B5BB498"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(n=148)</w:t>
            </w:r>
          </w:p>
        </w:tc>
        <w:tc>
          <w:tcPr>
            <w:tcW w:w="1599" w:type="dxa"/>
          </w:tcPr>
          <w:p w14:paraId="182C1120" w14:textId="77777777" w:rsidR="00886953" w:rsidRPr="00C03863" w:rsidRDefault="00886953" w:rsidP="00895A6B">
            <w:pPr>
              <w:spacing w:after="0" w:line="240" w:lineRule="auto"/>
              <w:jc w:val="center"/>
              <w:rPr>
                <w:rFonts w:ascii="Times New Roman" w:hAnsi="Times New Roman"/>
                <w:sz w:val="24"/>
                <w:szCs w:val="24"/>
                <w:lang w:val="fr-FR" w:eastAsia="fr-FR"/>
              </w:rPr>
            </w:pPr>
          </w:p>
        </w:tc>
      </w:tr>
      <w:tr w:rsidR="00895A6B" w:rsidRPr="00C03863" w14:paraId="49138F94" w14:textId="77777777" w:rsidTr="00FC5F96">
        <w:trPr>
          <w:trHeight w:val="667"/>
        </w:trPr>
        <w:tc>
          <w:tcPr>
            <w:tcW w:w="1804" w:type="dxa"/>
          </w:tcPr>
          <w:p w14:paraId="3B9A310C" w14:textId="77777777" w:rsidR="00895A6B" w:rsidRPr="00C03863" w:rsidRDefault="00895A6B" w:rsidP="00895A6B">
            <w:pPr>
              <w:spacing w:after="0" w:line="240" w:lineRule="auto"/>
              <w:rPr>
                <w:rFonts w:ascii="Times New Roman" w:hAnsi="Times New Roman"/>
                <w:sz w:val="24"/>
                <w:szCs w:val="24"/>
                <w:lang w:val="fr-FR" w:eastAsia="fr-FR"/>
              </w:rPr>
            </w:pPr>
          </w:p>
        </w:tc>
        <w:tc>
          <w:tcPr>
            <w:tcW w:w="1599" w:type="dxa"/>
          </w:tcPr>
          <w:p w14:paraId="25587D8A" w14:textId="77777777" w:rsidR="00895A6B" w:rsidRPr="00C03863" w:rsidRDefault="00895A6B" w:rsidP="00895A6B">
            <w:pPr>
              <w:spacing w:after="0" w:line="240" w:lineRule="auto"/>
              <w:jc w:val="center"/>
              <w:rPr>
                <w:rFonts w:ascii="Times New Roman" w:hAnsi="Times New Roman"/>
                <w:sz w:val="24"/>
                <w:szCs w:val="24"/>
                <w:lang w:val="fr-FR" w:eastAsia="fr-FR"/>
              </w:rPr>
            </w:pPr>
            <w:proofErr w:type="spellStart"/>
            <w:r>
              <w:rPr>
                <w:rFonts w:ascii="Times New Roman" w:hAnsi="Times New Roman"/>
                <w:sz w:val="24"/>
                <w:szCs w:val="24"/>
                <w:lang w:val="fr-FR" w:eastAsia="fr-FR"/>
              </w:rPr>
              <w:t>Mean</w:t>
            </w:r>
            <w:proofErr w:type="spellEnd"/>
            <w:r>
              <w:rPr>
                <w:rFonts w:ascii="Times New Roman" w:hAnsi="Times New Roman"/>
                <w:sz w:val="24"/>
                <w:szCs w:val="24"/>
                <w:lang w:val="fr-FR" w:eastAsia="fr-FR"/>
              </w:rPr>
              <w:t xml:space="preserve"> (SD)</w:t>
            </w:r>
          </w:p>
        </w:tc>
        <w:tc>
          <w:tcPr>
            <w:tcW w:w="1599" w:type="dxa"/>
          </w:tcPr>
          <w:p w14:paraId="4ED4EB5A" w14:textId="77777777" w:rsidR="00895A6B" w:rsidRPr="00C03863" w:rsidRDefault="00895A6B" w:rsidP="00895A6B">
            <w:pPr>
              <w:spacing w:after="0" w:line="240" w:lineRule="auto"/>
              <w:jc w:val="center"/>
              <w:rPr>
                <w:rFonts w:ascii="Times New Roman" w:hAnsi="Times New Roman"/>
                <w:sz w:val="24"/>
                <w:szCs w:val="24"/>
                <w:lang w:val="fr-FR" w:eastAsia="fr-FR"/>
              </w:rPr>
            </w:pPr>
            <w:proofErr w:type="spellStart"/>
            <w:r>
              <w:rPr>
                <w:rFonts w:ascii="Times New Roman" w:hAnsi="Times New Roman"/>
                <w:sz w:val="24"/>
                <w:szCs w:val="24"/>
                <w:lang w:val="fr-FR" w:eastAsia="fr-FR"/>
              </w:rPr>
              <w:t>Mean</w:t>
            </w:r>
            <w:proofErr w:type="spellEnd"/>
            <w:r>
              <w:rPr>
                <w:rFonts w:ascii="Times New Roman" w:hAnsi="Times New Roman"/>
                <w:sz w:val="24"/>
                <w:szCs w:val="24"/>
                <w:lang w:val="fr-FR" w:eastAsia="fr-FR"/>
              </w:rPr>
              <w:t xml:space="preserve"> (SD)</w:t>
            </w:r>
          </w:p>
        </w:tc>
        <w:tc>
          <w:tcPr>
            <w:tcW w:w="1599" w:type="dxa"/>
          </w:tcPr>
          <w:p w14:paraId="5955BBD4" w14:textId="77777777" w:rsidR="00895A6B" w:rsidRDefault="00895A6B"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 xml:space="preserve">p </w:t>
            </w:r>
            <w:r w:rsidRPr="00C03863">
              <w:rPr>
                <w:rFonts w:ascii="Times New Roman" w:hAnsi="Times New Roman"/>
                <w:sz w:val="24"/>
                <w:szCs w:val="24"/>
                <w:lang w:val="fr-FR" w:eastAsia="fr-FR"/>
              </w:rPr>
              <w:t>value</w:t>
            </w:r>
          </w:p>
        </w:tc>
      </w:tr>
      <w:tr w:rsidR="00886953" w:rsidRPr="00C03863" w14:paraId="77A21642" w14:textId="77777777" w:rsidTr="00FC5F96">
        <w:trPr>
          <w:trHeight w:val="326"/>
        </w:trPr>
        <w:tc>
          <w:tcPr>
            <w:tcW w:w="1804" w:type="dxa"/>
          </w:tcPr>
          <w:p w14:paraId="0E77F942" w14:textId="77777777" w:rsidR="00886953" w:rsidRDefault="00895A6B" w:rsidP="00895A6B">
            <w:pPr>
              <w:spacing w:after="0" w:line="240" w:lineRule="auto"/>
              <w:rPr>
                <w:rFonts w:ascii="Times New Roman" w:hAnsi="Times New Roman"/>
                <w:sz w:val="24"/>
                <w:szCs w:val="24"/>
                <w:lang w:val="fr-FR" w:eastAsia="fr-FR"/>
              </w:rPr>
            </w:pPr>
            <w:r>
              <w:rPr>
                <w:rFonts w:ascii="Times New Roman" w:hAnsi="Times New Roman"/>
                <w:sz w:val="24"/>
                <w:szCs w:val="24"/>
                <w:lang w:val="fr-FR" w:eastAsia="fr-FR"/>
              </w:rPr>
              <w:t>Age (</w:t>
            </w:r>
            <w:proofErr w:type="spellStart"/>
            <w:r w:rsidR="00886953" w:rsidRPr="00C03863">
              <w:rPr>
                <w:rFonts w:ascii="Times New Roman" w:hAnsi="Times New Roman"/>
                <w:sz w:val="24"/>
                <w:szCs w:val="24"/>
                <w:lang w:val="fr-FR" w:eastAsia="fr-FR"/>
              </w:rPr>
              <w:t>years</w:t>
            </w:r>
            <w:proofErr w:type="spellEnd"/>
            <w:r>
              <w:rPr>
                <w:rFonts w:ascii="Times New Roman" w:hAnsi="Times New Roman"/>
                <w:sz w:val="24"/>
                <w:szCs w:val="24"/>
                <w:lang w:val="fr-FR" w:eastAsia="fr-FR"/>
              </w:rPr>
              <w:t>)</w:t>
            </w:r>
          </w:p>
          <w:p w14:paraId="2BA2204F" w14:textId="77777777" w:rsidR="00895A6B" w:rsidRPr="00C03863" w:rsidRDefault="00895A6B" w:rsidP="00895A6B">
            <w:pPr>
              <w:spacing w:after="0" w:line="240" w:lineRule="auto"/>
              <w:rPr>
                <w:rFonts w:ascii="Times New Roman" w:hAnsi="Times New Roman"/>
                <w:sz w:val="24"/>
                <w:szCs w:val="24"/>
                <w:lang w:val="fr-FR" w:eastAsia="fr-FR"/>
              </w:rPr>
            </w:pPr>
          </w:p>
        </w:tc>
        <w:tc>
          <w:tcPr>
            <w:tcW w:w="1599" w:type="dxa"/>
          </w:tcPr>
          <w:p w14:paraId="05BE4D8C" w14:textId="77777777" w:rsidR="00886953" w:rsidRPr="00C03863" w:rsidRDefault="001C61DC"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76.1</w:t>
            </w:r>
            <w:r w:rsidR="00F718BC">
              <w:rPr>
                <w:rFonts w:ascii="Times New Roman" w:hAnsi="Times New Roman"/>
                <w:sz w:val="24"/>
                <w:szCs w:val="24"/>
                <w:lang w:val="fr-FR" w:eastAsia="fr-FR"/>
              </w:rPr>
              <w:t xml:space="preserve"> (</w:t>
            </w:r>
            <w:r w:rsidR="00886953" w:rsidRPr="00C03863">
              <w:rPr>
                <w:rFonts w:ascii="Times New Roman" w:hAnsi="Times New Roman"/>
                <w:sz w:val="24"/>
                <w:szCs w:val="24"/>
                <w:lang w:val="fr-FR" w:eastAsia="fr-FR"/>
              </w:rPr>
              <w:t>2.5</w:t>
            </w:r>
            <w:r w:rsidR="00F718BC">
              <w:rPr>
                <w:rFonts w:ascii="Times New Roman" w:hAnsi="Times New Roman"/>
                <w:sz w:val="24"/>
                <w:szCs w:val="24"/>
                <w:lang w:val="fr-FR" w:eastAsia="fr-FR"/>
              </w:rPr>
              <w:t>)</w:t>
            </w:r>
            <w:r w:rsidR="00886953" w:rsidRPr="00C03863">
              <w:rPr>
                <w:rFonts w:ascii="Times New Roman" w:hAnsi="Times New Roman"/>
                <w:sz w:val="24"/>
                <w:szCs w:val="24"/>
                <w:lang w:val="fr-FR" w:eastAsia="fr-FR"/>
              </w:rPr>
              <w:t xml:space="preserve"> </w:t>
            </w:r>
          </w:p>
        </w:tc>
        <w:tc>
          <w:tcPr>
            <w:tcW w:w="1599" w:type="dxa"/>
          </w:tcPr>
          <w:p w14:paraId="70B194FA" w14:textId="77777777" w:rsidR="00886953" w:rsidRPr="00C03863" w:rsidRDefault="00C0386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76.4</w:t>
            </w:r>
            <w:r w:rsidR="00F718BC">
              <w:rPr>
                <w:rFonts w:ascii="Times New Roman" w:hAnsi="Times New Roman"/>
                <w:sz w:val="24"/>
                <w:szCs w:val="24"/>
                <w:lang w:val="fr-FR" w:eastAsia="fr-FR"/>
              </w:rPr>
              <w:t xml:space="preserve"> (</w:t>
            </w:r>
            <w:r w:rsidR="00886953" w:rsidRPr="00C03863">
              <w:rPr>
                <w:rFonts w:ascii="Times New Roman" w:hAnsi="Times New Roman"/>
                <w:sz w:val="24"/>
                <w:szCs w:val="24"/>
                <w:lang w:val="fr-FR" w:eastAsia="fr-FR"/>
              </w:rPr>
              <w:t>2.6</w:t>
            </w:r>
            <w:r w:rsidR="00F718BC">
              <w:rPr>
                <w:rFonts w:ascii="Times New Roman" w:hAnsi="Times New Roman"/>
                <w:sz w:val="24"/>
                <w:szCs w:val="24"/>
                <w:lang w:val="fr-FR" w:eastAsia="fr-FR"/>
              </w:rPr>
              <w:t>)</w:t>
            </w:r>
          </w:p>
        </w:tc>
        <w:tc>
          <w:tcPr>
            <w:tcW w:w="1599" w:type="dxa"/>
          </w:tcPr>
          <w:p w14:paraId="67AD1F99" w14:textId="77777777" w:rsidR="00886953" w:rsidRPr="00C03863" w:rsidRDefault="00132FA2"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0.310</w:t>
            </w:r>
          </w:p>
        </w:tc>
      </w:tr>
      <w:tr w:rsidR="00C03863" w:rsidRPr="00C03863" w14:paraId="740B4511" w14:textId="77777777" w:rsidTr="00A25D81">
        <w:trPr>
          <w:trHeight w:val="326"/>
        </w:trPr>
        <w:tc>
          <w:tcPr>
            <w:tcW w:w="1804" w:type="dxa"/>
          </w:tcPr>
          <w:p w14:paraId="203CCE7A" w14:textId="77777777" w:rsidR="00C03863" w:rsidRDefault="00C03863" w:rsidP="00895A6B">
            <w:pPr>
              <w:spacing w:after="0" w:line="240" w:lineRule="auto"/>
              <w:rPr>
                <w:rFonts w:ascii="Times New Roman" w:hAnsi="Times New Roman"/>
                <w:sz w:val="24"/>
                <w:szCs w:val="24"/>
                <w:lang w:val="fr-FR" w:eastAsia="fr-FR"/>
              </w:rPr>
            </w:pPr>
            <w:proofErr w:type="spellStart"/>
            <w:r w:rsidRPr="00C03863">
              <w:rPr>
                <w:rFonts w:ascii="Times New Roman" w:hAnsi="Times New Roman"/>
                <w:sz w:val="24"/>
                <w:szCs w:val="24"/>
                <w:lang w:val="fr-FR" w:eastAsia="fr-FR"/>
              </w:rPr>
              <w:t>H</w:t>
            </w:r>
            <w:r w:rsidR="00895A6B">
              <w:rPr>
                <w:rFonts w:ascii="Times New Roman" w:hAnsi="Times New Roman"/>
                <w:sz w:val="24"/>
                <w:szCs w:val="24"/>
                <w:lang w:val="fr-FR" w:eastAsia="fr-FR"/>
              </w:rPr>
              <w:t>eight</w:t>
            </w:r>
            <w:proofErr w:type="spellEnd"/>
            <w:r w:rsidR="00895A6B">
              <w:rPr>
                <w:rFonts w:ascii="Times New Roman" w:hAnsi="Times New Roman"/>
                <w:sz w:val="24"/>
                <w:szCs w:val="24"/>
                <w:lang w:val="fr-FR" w:eastAsia="fr-FR"/>
              </w:rPr>
              <w:t xml:space="preserve"> (</w:t>
            </w:r>
            <w:r w:rsidRPr="00C03863">
              <w:rPr>
                <w:rFonts w:ascii="Times New Roman" w:hAnsi="Times New Roman"/>
                <w:sz w:val="24"/>
                <w:szCs w:val="24"/>
                <w:lang w:val="fr-FR" w:eastAsia="fr-FR"/>
              </w:rPr>
              <w:t>cm</w:t>
            </w:r>
            <w:r w:rsidR="00895A6B">
              <w:rPr>
                <w:rFonts w:ascii="Times New Roman" w:hAnsi="Times New Roman"/>
                <w:sz w:val="24"/>
                <w:szCs w:val="24"/>
                <w:lang w:val="fr-FR" w:eastAsia="fr-FR"/>
              </w:rPr>
              <w:t>)</w:t>
            </w:r>
          </w:p>
          <w:p w14:paraId="57C9D265" w14:textId="77777777" w:rsidR="00895A6B" w:rsidRPr="00C03863" w:rsidRDefault="00895A6B" w:rsidP="00895A6B">
            <w:pPr>
              <w:spacing w:after="0" w:line="240" w:lineRule="auto"/>
              <w:rPr>
                <w:rFonts w:ascii="Times New Roman" w:hAnsi="Times New Roman"/>
                <w:sz w:val="24"/>
                <w:szCs w:val="24"/>
                <w:lang w:val="fr-FR" w:eastAsia="fr-FR"/>
              </w:rPr>
            </w:pPr>
          </w:p>
        </w:tc>
        <w:tc>
          <w:tcPr>
            <w:tcW w:w="1599" w:type="dxa"/>
          </w:tcPr>
          <w:p w14:paraId="74994FBE" w14:textId="77777777" w:rsidR="00C03863" w:rsidRPr="00C03863" w:rsidRDefault="00F718BC"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173.8 (</w:t>
            </w:r>
            <w:r w:rsidR="00C03863" w:rsidRPr="00C03863">
              <w:rPr>
                <w:rFonts w:ascii="Times New Roman" w:hAnsi="Times New Roman"/>
                <w:sz w:val="24"/>
                <w:szCs w:val="24"/>
                <w:lang w:val="fr-FR" w:eastAsia="fr-FR"/>
              </w:rPr>
              <w:t>6.1</w:t>
            </w:r>
            <w:r>
              <w:rPr>
                <w:rFonts w:ascii="Times New Roman" w:hAnsi="Times New Roman"/>
                <w:sz w:val="24"/>
                <w:szCs w:val="24"/>
                <w:lang w:val="fr-FR" w:eastAsia="fr-FR"/>
              </w:rPr>
              <w:t>)</w:t>
            </w:r>
          </w:p>
        </w:tc>
        <w:tc>
          <w:tcPr>
            <w:tcW w:w="1599" w:type="dxa"/>
          </w:tcPr>
          <w:p w14:paraId="3895312C" w14:textId="77777777" w:rsidR="00C03863" w:rsidRPr="00C03863" w:rsidRDefault="00F718BC" w:rsidP="00132FA2">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159.9 (</w:t>
            </w:r>
            <w:r w:rsidR="00132FA2">
              <w:rPr>
                <w:rFonts w:ascii="Times New Roman" w:hAnsi="Times New Roman"/>
                <w:sz w:val="24"/>
                <w:szCs w:val="24"/>
                <w:lang w:val="fr-FR" w:eastAsia="fr-FR"/>
              </w:rPr>
              <w:t>5.9</w:t>
            </w:r>
            <w:r>
              <w:rPr>
                <w:rFonts w:ascii="Times New Roman" w:hAnsi="Times New Roman"/>
                <w:sz w:val="24"/>
                <w:szCs w:val="24"/>
                <w:lang w:val="fr-FR" w:eastAsia="fr-FR"/>
              </w:rPr>
              <w:t>)</w:t>
            </w:r>
          </w:p>
        </w:tc>
        <w:tc>
          <w:tcPr>
            <w:tcW w:w="1599" w:type="dxa"/>
          </w:tcPr>
          <w:p w14:paraId="4E8C3648" w14:textId="77777777" w:rsidR="00C03863" w:rsidRPr="00C03863" w:rsidRDefault="00C0386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&lt;0.001</w:t>
            </w:r>
          </w:p>
        </w:tc>
      </w:tr>
      <w:tr w:rsidR="00886953" w:rsidRPr="00C03863" w14:paraId="6446980D" w14:textId="77777777" w:rsidTr="00FC5F96">
        <w:trPr>
          <w:trHeight w:val="326"/>
        </w:trPr>
        <w:tc>
          <w:tcPr>
            <w:tcW w:w="1804" w:type="dxa"/>
          </w:tcPr>
          <w:p w14:paraId="6F658001" w14:textId="77777777" w:rsidR="00886953" w:rsidRDefault="009558ED" w:rsidP="00895A6B">
            <w:pPr>
              <w:spacing w:after="0" w:line="240" w:lineRule="auto"/>
              <w:rPr>
                <w:rFonts w:ascii="Times New Roman" w:hAnsi="Times New Roman"/>
                <w:sz w:val="24"/>
                <w:szCs w:val="24"/>
                <w:lang w:val="fr-FR" w:eastAsia="fr-FR"/>
              </w:rPr>
            </w:pPr>
            <w:proofErr w:type="spellStart"/>
            <w:r w:rsidRPr="00C03863">
              <w:rPr>
                <w:rFonts w:ascii="Times New Roman" w:hAnsi="Times New Roman"/>
                <w:sz w:val="24"/>
                <w:szCs w:val="24"/>
                <w:lang w:val="fr-FR" w:eastAsia="fr-FR"/>
              </w:rPr>
              <w:t>W</w:t>
            </w:r>
            <w:r w:rsidR="00895A6B">
              <w:rPr>
                <w:rFonts w:ascii="Times New Roman" w:hAnsi="Times New Roman"/>
                <w:sz w:val="24"/>
                <w:szCs w:val="24"/>
                <w:lang w:val="fr-FR" w:eastAsia="fr-FR"/>
              </w:rPr>
              <w:t>eight</w:t>
            </w:r>
            <w:proofErr w:type="spellEnd"/>
            <w:r w:rsidR="00895A6B">
              <w:rPr>
                <w:rFonts w:ascii="Times New Roman" w:hAnsi="Times New Roman"/>
                <w:sz w:val="24"/>
                <w:szCs w:val="24"/>
                <w:lang w:val="fr-FR" w:eastAsia="fr-FR"/>
              </w:rPr>
              <w:t xml:space="preserve"> (</w:t>
            </w:r>
            <w:r w:rsidR="00886953" w:rsidRPr="00C03863">
              <w:rPr>
                <w:rFonts w:ascii="Times New Roman" w:hAnsi="Times New Roman"/>
                <w:sz w:val="24"/>
                <w:szCs w:val="24"/>
                <w:lang w:val="fr-FR" w:eastAsia="fr-FR"/>
              </w:rPr>
              <w:t>kg</w:t>
            </w:r>
            <w:r w:rsidR="00895A6B">
              <w:rPr>
                <w:rFonts w:ascii="Times New Roman" w:hAnsi="Times New Roman"/>
                <w:sz w:val="24"/>
                <w:szCs w:val="24"/>
                <w:lang w:val="fr-FR" w:eastAsia="fr-FR"/>
              </w:rPr>
              <w:t>)</w:t>
            </w:r>
          </w:p>
          <w:p w14:paraId="23EC96AF" w14:textId="77777777" w:rsidR="00895A6B" w:rsidRPr="00C03863" w:rsidRDefault="00895A6B" w:rsidP="00895A6B">
            <w:pPr>
              <w:spacing w:after="0" w:line="240" w:lineRule="auto"/>
              <w:rPr>
                <w:rFonts w:ascii="Times New Roman" w:hAnsi="Times New Roman"/>
                <w:sz w:val="24"/>
                <w:szCs w:val="24"/>
                <w:lang w:val="fr-FR" w:eastAsia="fr-FR"/>
              </w:rPr>
            </w:pPr>
          </w:p>
        </w:tc>
        <w:tc>
          <w:tcPr>
            <w:tcW w:w="1599" w:type="dxa"/>
          </w:tcPr>
          <w:p w14:paraId="465D75D7" w14:textId="77777777" w:rsidR="00886953" w:rsidRPr="00C03863" w:rsidRDefault="00C03863" w:rsidP="00132FA2">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82.2</w:t>
            </w:r>
            <w:r w:rsidR="00F718BC">
              <w:rPr>
                <w:rFonts w:ascii="Times New Roman" w:hAnsi="Times New Roman"/>
                <w:sz w:val="24"/>
                <w:szCs w:val="24"/>
                <w:lang w:val="fr-FR" w:eastAsia="fr-FR"/>
              </w:rPr>
              <w:t xml:space="preserve"> (</w:t>
            </w:r>
            <w:r w:rsidR="00132FA2">
              <w:rPr>
                <w:rFonts w:ascii="Times New Roman" w:hAnsi="Times New Roman"/>
                <w:sz w:val="24"/>
                <w:szCs w:val="24"/>
                <w:lang w:val="fr-FR" w:eastAsia="fr-FR"/>
              </w:rPr>
              <w:t>11.9</w:t>
            </w:r>
            <w:r w:rsidR="00F718BC">
              <w:rPr>
                <w:rFonts w:ascii="Times New Roman" w:hAnsi="Times New Roman"/>
                <w:sz w:val="24"/>
                <w:szCs w:val="24"/>
                <w:lang w:val="fr-FR" w:eastAsia="fr-FR"/>
              </w:rPr>
              <w:t>)</w:t>
            </w:r>
          </w:p>
        </w:tc>
        <w:tc>
          <w:tcPr>
            <w:tcW w:w="1599" w:type="dxa"/>
          </w:tcPr>
          <w:p w14:paraId="0A7E90C6" w14:textId="77777777" w:rsidR="00886953" w:rsidRPr="00C03863" w:rsidRDefault="00132FA2" w:rsidP="00132FA2">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71.5</w:t>
            </w:r>
            <w:r w:rsidRPr="00C03863">
              <w:rPr>
                <w:rFonts w:ascii="Times New Roman" w:hAnsi="Times New Roman"/>
                <w:sz w:val="24"/>
                <w:szCs w:val="24"/>
                <w:lang w:val="fr-FR" w:eastAsia="fr-FR"/>
              </w:rPr>
              <w:t xml:space="preserve"> </w:t>
            </w:r>
            <w:r w:rsidR="00F718BC">
              <w:rPr>
                <w:rFonts w:ascii="Times New Roman" w:hAnsi="Times New Roman"/>
                <w:sz w:val="24"/>
                <w:szCs w:val="24"/>
                <w:lang w:val="fr-FR" w:eastAsia="fr-FR"/>
              </w:rPr>
              <w:t>(</w:t>
            </w:r>
            <w:r>
              <w:rPr>
                <w:rFonts w:ascii="Times New Roman" w:hAnsi="Times New Roman"/>
                <w:sz w:val="24"/>
                <w:szCs w:val="24"/>
                <w:lang w:val="fr-FR" w:eastAsia="fr-FR"/>
              </w:rPr>
              <w:t>12.6</w:t>
            </w:r>
            <w:r w:rsidR="00F718BC">
              <w:rPr>
                <w:rFonts w:ascii="Times New Roman" w:hAnsi="Times New Roman"/>
                <w:sz w:val="24"/>
                <w:szCs w:val="24"/>
                <w:lang w:val="fr-FR" w:eastAsia="fr-FR"/>
              </w:rPr>
              <w:t>)</w:t>
            </w:r>
          </w:p>
        </w:tc>
        <w:tc>
          <w:tcPr>
            <w:tcW w:w="1599" w:type="dxa"/>
          </w:tcPr>
          <w:p w14:paraId="3484C356"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&lt;0.001</w:t>
            </w:r>
          </w:p>
        </w:tc>
      </w:tr>
      <w:tr w:rsidR="00886953" w:rsidRPr="00C03863" w14:paraId="33AE52EB" w14:textId="77777777" w:rsidTr="00FC5F96">
        <w:trPr>
          <w:trHeight w:val="326"/>
        </w:trPr>
        <w:tc>
          <w:tcPr>
            <w:tcW w:w="1804" w:type="dxa"/>
          </w:tcPr>
          <w:p w14:paraId="03441473" w14:textId="77777777" w:rsidR="00886953" w:rsidRDefault="00886953" w:rsidP="00895A6B">
            <w:pPr>
              <w:spacing w:after="0" w:line="240" w:lineRule="auto"/>
              <w:rPr>
                <w:rFonts w:ascii="Times New Roman" w:hAnsi="Times New Roman"/>
                <w:sz w:val="24"/>
                <w:szCs w:val="24"/>
                <w:lang w:eastAsia="fr-FR"/>
              </w:rPr>
            </w:pPr>
            <w:r w:rsidRPr="00C03863">
              <w:rPr>
                <w:rFonts w:ascii="Times New Roman" w:hAnsi="Times New Roman"/>
                <w:sz w:val="24"/>
                <w:szCs w:val="24"/>
                <w:lang w:eastAsia="fr-FR"/>
              </w:rPr>
              <w:t>Body mass index (kg/m²)</w:t>
            </w:r>
          </w:p>
          <w:p w14:paraId="65D13E91" w14:textId="77777777" w:rsidR="00895A6B" w:rsidRPr="00C03863" w:rsidRDefault="00895A6B" w:rsidP="00895A6B">
            <w:pPr>
              <w:spacing w:after="0" w:line="240" w:lineRule="auto"/>
              <w:rPr>
                <w:rFonts w:ascii="Times New Roman" w:hAnsi="Times New Roman"/>
                <w:sz w:val="24"/>
                <w:szCs w:val="24"/>
                <w:lang w:eastAsia="fr-FR"/>
              </w:rPr>
            </w:pPr>
          </w:p>
        </w:tc>
        <w:tc>
          <w:tcPr>
            <w:tcW w:w="1599" w:type="dxa"/>
          </w:tcPr>
          <w:p w14:paraId="275A22C3" w14:textId="77777777" w:rsidR="00886953" w:rsidRPr="00C03863" w:rsidRDefault="00F54753"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27.3</w:t>
            </w:r>
            <w:r w:rsidR="00F718BC">
              <w:rPr>
                <w:rFonts w:ascii="Times New Roman" w:hAnsi="Times New Roman"/>
                <w:sz w:val="24"/>
                <w:szCs w:val="24"/>
                <w:lang w:val="fr-FR" w:eastAsia="fr-FR"/>
              </w:rPr>
              <w:t xml:space="preserve"> (</w:t>
            </w:r>
            <w:r w:rsidR="00886953" w:rsidRPr="00C03863">
              <w:rPr>
                <w:rFonts w:ascii="Times New Roman" w:hAnsi="Times New Roman"/>
                <w:sz w:val="24"/>
                <w:szCs w:val="24"/>
                <w:lang w:val="fr-FR" w:eastAsia="fr-FR"/>
              </w:rPr>
              <w:t>3.6</w:t>
            </w:r>
            <w:r w:rsidR="00F718BC">
              <w:rPr>
                <w:rFonts w:ascii="Times New Roman" w:hAnsi="Times New Roman"/>
                <w:sz w:val="24"/>
                <w:szCs w:val="24"/>
                <w:lang w:val="fr-FR" w:eastAsia="fr-FR"/>
              </w:rPr>
              <w:t>)</w:t>
            </w:r>
          </w:p>
        </w:tc>
        <w:tc>
          <w:tcPr>
            <w:tcW w:w="1599" w:type="dxa"/>
          </w:tcPr>
          <w:p w14:paraId="47F45467" w14:textId="77777777" w:rsidR="00886953" w:rsidRPr="00C03863" w:rsidRDefault="00F718BC"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28.0 (</w:t>
            </w:r>
            <w:r w:rsidR="00F54753">
              <w:rPr>
                <w:rFonts w:ascii="Times New Roman" w:hAnsi="Times New Roman"/>
                <w:sz w:val="24"/>
                <w:szCs w:val="24"/>
                <w:lang w:val="fr-FR" w:eastAsia="fr-FR"/>
              </w:rPr>
              <w:t>4.6</w:t>
            </w:r>
            <w:r>
              <w:rPr>
                <w:rFonts w:ascii="Times New Roman" w:hAnsi="Times New Roman"/>
                <w:sz w:val="24"/>
                <w:szCs w:val="24"/>
                <w:lang w:val="fr-FR" w:eastAsia="fr-FR"/>
              </w:rPr>
              <w:t>)</w:t>
            </w:r>
          </w:p>
        </w:tc>
        <w:tc>
          <w:tcPr>
            <w:tcW w:w="1599" w:type="dxa"/>
          </w:tcPr>
          <w:p w14:paraId="0356CACA" w14:textId="77777777" w:rsidR="00886953" w:rsidRPr="00C03863" w:rsidRDefault="00132FA2"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0.109</w:t>
            </w:r>
          </w:p>
        </w:tc>
      </w:tr>
      <w:tr w:rsidR="00895A6B" w:rsidRPr="00C03863" w14:paraId="523EC768" w14:textId="77777777" w:rsidTr="00A25D81">
        <w:trPr>
          <w:trHeight w:val="326"/>
        </w:trPr>
        <w:tc>
          <w:tcPr>
            <w:tcW w:w="1804" w:type="dxa"/>
          </w:tcPr>
          <w:p w14:paraId="41AFC94D" w14:textId="77777777" w:rsidR="00895A6B" w:rsidRPr="00C03863" w:rsidRDefault="00895A6B" w:rsidP="00A25D81">
            <w:pPr>
              <w:spacing w:after="0" w:line="240" w:lineRule="auto"/>
              <w:rPr>
                <w:rFonts w:ascii="Times New Roman" w:hAnsi="Times New Roman"/>
                <w:sz w:val="24"/>
                <w:szCs w:val="24"/>
                <w:lang w:val="en-US" w:eastAsia="fr-FR"/>
              </w:rPr>
            </w:pPr>
            <w:r w:rsidRPr="00C03863">
              <w:rPr>
                <w:rFonts w:ascii="Times New Roman" w:hAnsi="Times New Roman"/>
                <w:sz w:val="24"/>
                <w:szCs w:val="24"/>
                <w:lang w:val="en-US" w:eastAsia="fr-FR"/>
              </w:rPr>
              <w:t>Alcohol consumption</w:t>
            </w:r>
          </w:p>
          <w:p w14:paraId="0FCA7734" w14:textId="77777777" w:rsidR="00895A6B" w:rsidRPr="00895A6B" w:rsidRDefault="00895A6B" w:rsidP="00A25D81">
            <w:pPr>
              <w:spacing w:after="0" w:line="240" w:lineRule="auto"/>
              <w:rPr>
                <w:rFonts w:ascii="Times New Roman" w:hAnsi="Times New Roman"/>
                <w:sz w:val="24"/>
                <w:szCs w:val="24"/>
                <w:vertAlign w:val="superscript"/>
                <w:lang w:val="en-US" w:eastAsia="fr-FR"/>
              </w:rPr>
            </w:pPr>
            <w:r>
              <w:rPr>
                <w:rFonts w:ascii="Times New Roman" w:hAnsi="Times New Roman"/>
                <w:sz w:val="24"/>
                <w:szCs w:val="24"/>
                <w:lang w:val="en-US" w:eastAsia="fr-FR"/>
              </w:rPr>
              <w:t>(</w:t>
            </w:r>
            <w:r w:rsidR="001C49EC">
              <w:rPr>
                <w:rFonts w:ascii="Times New Roman" w:hAnsi="Times New Roman"/>
                <w:sz w:val="24"/>
                <w:szCs w:val="24"/>
                <w:lang w:val="en-US" w:eastAsia="fr-FR"/>
              </w:rPr>
              <w:t>Units/</w:t>
            </w:r>
            <w:r>
              <w:rPr>
                <w:rFonts w:ascii="Times New Roman" w:hAnsi="Times New Roman"/>
                <w:sz w:val="24"/>
                <w:szCs w:val="24"/>
                <w:lang w:val="en-US" w:eastAsia="fr-FR"/>
              </w:rPr>
              <w:t>week)</w:t>
            </w:r>
            <w:r>
              <w:rPr>
                <w:rFonts w:ascii="Times New Roman" w:hAnsi="Times New Roman"/>
                <w:sz w:val="24"/>
                <w:szCs w:val="24"/>
                <w:vertAlign w:val="superscript"/>
                <w:lang w:val="en-US" w:eastAsia="fr-FR"/>
              </w:rPr>
              <w:t>1</w:t>
            </w:r>
          </w:p>
        </w:tc>
        <w:tc>
          <w:tcPr>
            <w:tcW w:w="1599" w:type="dxa"/>
          </w:tcPr>
          <w:p w14:paraId="654BAC67" w14:textId="77777777" w:rsidR="00C5583E" w:rsidRDefault="00132FA2" w:rsidP="00A25D81">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7.0</w:t>
            </w:r>
          </w:p>
          <w:p w14:paraId="2321D332" w14:textId="77777777" w:rsidR="00895A6B" w:rsidRPr="00C03863" w:rsidRDefault="00C5583E" w:rsidP="00A25D81">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[1.75-14.0</w:t>
            </w:r>
            <w:r w:rsidR="00895A6B" w:rsidRPr="00C03863">
              <w:rPr>
                <w:rFonts w:ascii="Times New Roman" w:hAnsi="Times New Roman"/>
                <w:sz w:val="24"/>
                <w:szCs w:val="24"/>
                <w:lang w:val="fr-FR" w:eastAsia="fr-FR"/>
              </w:rPr>
              <w:t>]</w:t>
            </w:r>
          </w:p>
        </w:tc>
        <w:tc>
          <w:tcPr>
            <w:tcW w:w="1599" w:type="dxa"/>
          </w:tcPr>
          <w:p w14:paraId="63AFEE98" w14:textId="77777777" w:rsidR="00C5583E" w:rsidRDefault="00C5583E" w:rsidP="00A25D81">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 xml:space="preserve">0.5 </w:t>
            </w:r>
          </w:p>
          <w:p w14:paraId="6F61175B" w14:textId="77777777" w:rsidR="00895A6B" w:rsidRPr="00C03863" w:rsidRDefault="00C5583E" w:rsidP="00A25D81">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[0.00-4</w:t>
            </w:r>
            <w:r w:rsidR="00895A6B" w:rsidRPr="00C03863">
              <w:rPr>
                <w:rFonts w:ascii="Times New Roman" w:hAnsi="Times New Roman"/>
                <w:sz w:val="24"/>
                <w:szCs w:val="24"/>
                <w:lang w:val="fr-FR" w:eastAsia="fr-FR"/>
              </w:rPr>
              <w:t>.7</w:t>
            </w:r>
            <w:r>
              <w:rPr>
                <w:rFonts w:ascii="Times New Roman" w:hAnsi="Times New Roman"/>
                <w:sz w:val="24"/>
                <w:szCs w:val="24"/>
                <w:lang w:val="fr-FR" w:eastAsia="fr-FR"/>
              </w:rPr>
              <w:t>3</w:t>
            </w:r>
            <w:r w:rsidR="00895A6B" w:rsidRPr="00C03863">
              <w:rPr>
                <w:rFonts w:ascii="Times New Roman" w:hAnsi="Times New Roman"/>
                <w:sz w:val="24"/>
                <w:szCs w:val="24"/>
                <w:lang w:val="fr-FR" w:eastAsia="fr-FR"/>
              </w:rPr>
              <w:t>]</w:t>
            </w:r>
          </w:p>
        </w:tc>
        <w:tc>
          <w:tcPr>
            <w:tcW w:w="1599" w:type="dxa"/>
          </w:tcPr>
          <w:p w14:paraId="7AC9EB9A" w14:textId="77777777" w:rsidR="00895A6B" w:rsidRDefault="00895A6B" w:rsidP="00A25D81">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&lt;0.001</w:t>
            </w:r>
          </w:p>
          <w:p w14:paraId="2F606237" w14:textId="77777777" w:rsidR="00895A6B" w:rsidRDefault="00895A6B" w:rsidP="00A25D81">
            <w:pPr>
              <w:spacing w:after="0" w:line="240" w:lineRule="auto"/>
              <w:jc w:val="center"/>
              <w:rPr>
                <w:rFonts w:ascii="Times New Roman" w:hAnsi="Times New Roman"/>
                <w:sz w:val="24"/>
                <w:szCs w:val="24"/>
                <w:lang w:val="fr-FR" w:eastAsia="fr-FR"/>
              </w:rPr>
            </w:pPr>
          </w:p>
          <w:p w14:paraId="1FA4A7C8" w14:textId="77777777" w:rsidR="00895A6B" w:rsidRDefault="00895A6B" w:rsidP="00A25D81">
            <w:pPr>
              <w:spacing w:after="0" w:line="240" w:lineRule="auto"/>
              <w:jc w:val="center"/>
              <w:rPr>
                <w:rFonts w:ascii="Times New Roman" w:hAnsi="Times New Roman"/>
                <w:sz w:val="24"/>
                <w:szCs w:val="24"/>
                <w:lang w:val="fr-FR" w:eastAsia="fr-FR"/>
              </w:rPr>
            </w:pPr>
          </w:p>
          <w:p w14:paraId="0AC5684B" w14:textId="77777777" w:rsidR="00895A6B" w:rsidRPr="00C03863" w:rsidRDefault="00895A6B" w:rsidP="00A25D81">
            <w:pPr>
              <w:spacing w:after="0" w:line="240" w:lineRule="auto"/>
              <w:rPr>
                <w:rFonts w:ascii="Times New Roman" w:hAnsi="Times New Roman"/>
                <w:sz w:val="24"/>
                <w:szCs w:val="24"/>
                <w:lang w:val="fr-FR" w:eastAsia="fr-FR"/>
              </w:rPr>
            </w:pPr>
          </w:p>
        </w:tc>
      </w:tr>
      <w:tr w:rsidR="00895A6B" w:rsidRPr="00C03863" w14:paraId="061E0DF1" w14:textId="77777777" w:rsidTr="00FC5F96">
        <w:trPr>
          <w:trHeight w:val="326"/>
        </w:trPr>
        <w:tc>
          <w:tcPr>
            <w:tcW w:w="1804" w:type="dxa"/>
          </w:tcPr>
          <w:p w14:paraId="4D74C988" w14:textId="77777777" w:rsidR="00895A6B" w:rsidRPr="00C03863" w:rsidRDefault="00895A6B" w:rsidP="00895A6B">
            <w:pPr>
              <w:spacing w:after="0" w:line="240" w:lineRule="auto"/>
              <w:rPr>
                <w:rFonts w:ascii="Times New Roman" w:hAnsi="Times New Roman"/>
                <w:sz w:val="24"/>
                <w:szCs w:val="24"/>
                <w:lang w:eastAsia="fr-FR"/>
              </w:rPr>
            </w:pPr>
          </w:p>
        </w:tc>
        <w:tc>
          <w:tcPr>
            <w:tcW w:w="1599" w:type="dxa"/>
          </w:tcPr>
          <w:p w14:paraId="14643DB3" w14:textId="77777777" w:rsidR="00895A6B" w:rsidRPr="00C03863" w:rsidRDefault="00895A6B"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n (%)</w:t>
            </w:r>
          </w:p>
        </w:tc>
        <w:tc>
          <w:tcPr>
            <w:tcW w:w="1599" w:type="dxa"/>
          </w:tcPr>
          <w:p w14:paraId="649FC6F4" w14:textId="77777777" w:rsidR="00895A6B" w:rsidRPr="00C03863" w:rsidRDefault="00895A6B"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n (%)</w:t>
            </w:r>
          </w:p>
        </w:tc>
        <w:tc>
          <w:tcPr>
            <w:tcW w:w="1599" w:type="dxa"/>
          </w:tcPr>
          <w:p w14:paraId="60A0710E" w14:textId="77777777" w:rsidR="00895A6B" w:rsidRPr="00C03863" w:rsidRDefault="00895A6B"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 xml:space="preserve">p </w:t>
            </w:r>
            <w:r w:rsidRPr="00C03863">
              <w:rPr>
                <w:rFonts w:ascii="Times New Roman" w:hAnsi="Times New Roman"/>
                <w:sz w:val="24"/>
                <w:szCs w:val="24"/>
                <w:lang w:val="fr-FR" w:eastAsia="fr-FR"/>
              </w:rPr>
              <w:t>value</w:t>
            </w:r>
          </w:p>
        </w:tc>
      </w:tr>
      <w:tr w:rsidR="00886953" w:rsidRPr="00C03863" w14:paraId="2A3E9767" w14:textId="77777777" w:rsidTr="00FC5F96">
        <w:trPr>
          <w:trHeight w:val="326"/>
        </w:trPr>
        <w:tc>
          <w:tcPr>
            <w:tcW w:w="1804" w:type="dxa"/>
          </w:tcPr>
          <w:p w14:paraId="4A098096" w14:textId="77777777" w:rsidR="00886953" w:rsidRPr="00C03863" w:rsidRDefault="00886953" w:rsidP="00895A6B">
            <w:pPr>
              <w:spacing w:after="0" w:line="240" w:lineRule="auto"/>
              <w:rPr>
                <w:rFonts w:ascii="Times New Roman" w:hAnsi="Times New Roman"/>
                <w:sz w:val="24"/>
                <w:szCs w:val="24"/>
                <w:lang w:eastAsia="fr-FR"/>
              </w:rPr>
            </w:pPr>
            <w:r w:rsidRPr="00C03863">
              <w:rPr>
                <w:rFonts w:ascii="Times New Roman" w:hAnsi="Times New Roman"/>
                <w:sz w:val="24"/>
                <w:szCs w:val="24"/>
                <w:lang w:eastAsia="fr-FR"/>
              </w:rPr>
              <w:t>Smoking status</w:t>
            </w:r>
          </w:p>
          <w:p w14:paraId="6996D082" w14:textId="77777777" w:rsidR="00886953" w:rsidRPr="00C03863" w:rsidRDefault="00895A6B" w:rsidP="00895A6B">
            <w:pPr>
              <w:spacing w:after="0" w:line="240" w:lineRule="auto"/>
              <w:rPr>
                <w:rFonts w:ascii="Times New Roman" w:hAnsi="Times New Roman"/>
                <w:sz w:val="24"/>
                <w:szCs w:val="24"/>
                <w:lang w:eastAsia="fr-FR"/>
              </w:rPr>
            </w:pPr>
            <w:r>
              <w:rPr>
                <w:rFonts w:ascii="Times New Roman" w:hAnsi="Times New Roman"/>
                <w:sz w:val="24"/>
                <w:szCs w:val="24"/>
                <w:lang w:eastAsia="fr-FR"/>
              </w:rPr>
              <w:t>Never</w:t>
            </w:r>
          </w:p>
          <w:p w14:paraId="59C9F925" w14:textId="77777777" w:rsidR="00886953" w:rsidRPr="00C03863" w:rsidRDefault="00895A6B" w:rsidP="00895A6B">
            <w:pPr>
              <w:spacing w:after="0" w:line="240" w:lineRule="auto"/>
              <w:rPr>
                <w:rFonts w:ascii="Times New Roman" w:hAnsi="Times New Roman"/>
                <w:sz w:val="24"/>
                <w:szCs w:val="24"/>
                <w:lang w:eastAsia="fr-FR"/>
              </w:rPr>
            </w:pPr>
            <w:r>
              <w:rPr>
                <w:rFonts w:ascii="Times New Roman" w:hAnsi="Times New Roman"/>
                <w:sz w:val="24"/>
                <w:szCs w:val="24"/>
                <w:lang w:eastAsia="fr-FR"/>
              </w:rPr>
              <w:t>Former</w:t>
            </w:r>
          </w:p>
          <w:p w14:paraId="3467EC30" w14:textId="77777777" w:rsidR="00886953" w:rsidRDefault="00895A6B" w:rsidP="00895A6B">
            <w:pPr>
              <w:spacing w:after="0" w:line="240" w:lineRule="auto"/>
              <w:rPr>
                <w:rFonts w:ascii="Times New Roman" w:hAnsi="Times New Roman"/>
                <w:sz w:val="24"/>
                <w:szCs w:val="24"/>
                <w:lang w:val="fr-FR" w:eastAsia="fr-FR"/>
              </w:rPr>
            </w:pPr>
            <w:proofErr w:type="spellStart"/>
            <w:r>
              <w:rPr>
                <w:rFonts w:ascii="Times New Roman" w:hAnsi="Times New Roman"/>
                <w:sz w:val="24"/>
                <w:szCs w:val="24"/>
                <w:lang w:val="fr-FR" w:eastAsia="fr-FR"/>
              </w:rPr>
              <w:t>Current</w:t>
            </w:r>
            <w:proofErr w:type="spellEnd"/>
          </w:p>
          <w:p w14:paraId="11DCCEEC" w14:textId="77777777" w:rsidR="00895A6B" w:rsidRPr="00C03863" w:rsidRDefault="00895A6B" w:rsidP="00895A6B">
            <w:pPr>
              <w:spacing w:after="0" w:line="240" w:lineRule="auto"/>
              <w:rPr>
                <w:rFonts w:ascii="Times New Roman" w:hAnsi="Times New Roman"/>
                <w:sz w:val="24"/>
                <w:szCs w:val="24"/>
                <w:lang w:val="fr-FR" w:eastAsia="fr-FR"/>
              </w:rPr>
            </w:pPr>
          </w:p>
        </w:tc>
        <w:tc>
          <w:tcPr>
            <w:tcW w:w="1599" w:type="dxa"/>
          </w:tcPr>
          <w:p w14:paraId="5EFAF346" w14:textId="77777777" w:rsidR="00886953" w:rsidRPr="00C03863" w:rsidRDefault="00886953" w:rsidP="00895A6B">
            <w:pPr>
              <w:spacing w:after="0" w:line="240" w:lineRule="auto"/>
              <w:jc w:val="center"/>
              <w:rPr>
                <w:rFonts w:ascii="Times New Roman" w:hAnsi="Times New Roman"/>
                <w:sz w:val="24"/>
                <w:szCs w:val="24"/>
                <w:lang w:val="fr-FR" w:eastAsia="fr-FR"/>
              </w:rPr>
            </w:pPr>
          </w:p>
          <w:p w14:paraId="5C539F77"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71 (41.8)</w:t>
            </w:r>
          </w:p>
          <w:p w14:paraId="0F198CAC"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92 (54.1)</w:t>
            </w:r>
          </w:p>
          <w:p w14:paraId="6236604C"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7 (4.1)</w:t>
            </w:r>
          </w:p>
        </w:tc>
        <w:tc>
          <w:tcPr>
            <w:tcW w:w="1599" w:type="dxa"/>
          </w:tcPr>
          <w:p w14:paraId="5B193E31" w14:textId="77777777" w:rsidR="00886953" w:rsidRPr="00C03863" w:rsidRDefault="00886953" w:rsidP="00895A6B">
            <w:pPr>
              <w:spacing w:after="0" w:line="240" w:lineRule="auto"/>
              <w:jc w:val="center"/>
              <w:rPr>
                <w:rFonts w:ascii="Times New Roman" w:hAnsi="Times New Roman"/>
                <w:sz w:val="24"/>
                <w:szCs w:val="24"/>
                <w:lang w:val="fr-FR" w:eastAsia="fr-FR"/>
              </w:rPr>
            </w:pPr>
          </w:p>
          <w:p w14:paraId="7273BDEE"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92 (62.2)</w:t>
            </w:r>
          </w:p>
          <w:p w14:paraId="5D4A5563"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52 (35.1)</w:t>
            </w:r>
          </w:p>
          <w:p w14:paraId="07BA8F75"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4 (2.7)</w:t>
            </w:r>
          </w:p>
        </w:tc>
        <w:tc>
          <w:tcPr>
            <w:tcW w:w="1599" w:type="dxa"/>
          </w:tcPr>
          <w:p w14:paraId="1B1E42D7" w14:textId="77777777" w:rsidR="00886953" w:rsidRPr="00C03863" w:rsidRDefault="00886953" w:rsidP="00895A6B">
            <w:pPr>
              <w:spacing w:after="0" w:line="240" w:lineRule="auto"/>
              <w:jc w:val="center"/>
              <w:rPr>
                <w:rFonts w:ascii="Times New Roman" w:hAnsi="Times New Roman"/>
                <w:sz w:val="24"/>
                <w:szCs w:val="24"/>
                <w:lang w:val="fr-FR" w:eastAsia="fr-FR"/>
              </w:rPr>
            </w:pPr>
          </w:p>
          <w:p w14:paraId="72F6E295" w14:textId="77777777" w:rsidR="00886953" w:rsidRPr="00C03863" w:rsidRDefault="00886953" w:rsidP="00895A6B">
            <w:pPr>
              <w:spacing w:after="0" w:line="240" w:lineRule="auto"/>
              <w:jc w:val="center"/>
              <w:rPr>
                <w:rFonts w:ascii="Times New Roman" w:hAnsi="Times New Roman"/>
                <w:sz w:val="24"/>
                <w:szCs w:val="24"/>
                <w:lang w:val="fr-FR" w:eastAsia="fr-FR"/>
              </w:rPr>
            </w:pPr>
          </w:p>
          <w:p w14:paraId="045F5BFA" w14:textId="77777777" w:rsidR="00886953" w:rsidRPr="00C03863" w:rsidRDefault="00886953" w:rsidP="00895A6B">
            <w:pPr>
              <w:spacing w:after="0" w:line="240" w:lineRule="auto"/>
              <w:jc w:val="center"/>
              <w:rPr>
                <w:rFonts w:ascii="Times New Roman" w:hAnsi="Times New Roman"/>
                <w:sz w:val="24"/>
                <w:szCs w:val="24"/>
                <w:lang w:val="fr-FR" w:eastAsia="fr-FR"/>
              </w:rPr>
            </w:pPr>
          </w:p>
          <w:p w14:paraId="5958443C"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0.001</w:t>
            </w:r>
          </w:p>
        </w:tc>
      </w:tr>
      <w:tr w:rsidR="00886953" w:rsidRPr="00C03863" w14:paraId="08CBF36B" w14:textId="77777777" w:rsidTr="00FC5F96">
        <w:trPr>
          <w:trHeight w:val="682"/>
        </w:trPr>
        <w:tc>
          <w:tcPr>
            <w:tcW w:w="1804" w:type="dxa"/>
          </w:tcPr>
          <w:p w14:paraId="3E430995" w14:textId="77777777" w:rsidR="00886953" w:rsidRDefault="00895A6B" w:rsidP="00895A6B">
            <w:pPr>
              <w:spacing w:after="0" w:line="240" w:lineRule="auto"/>
              <w:rPr>
                <w:rFonts w:ascii="Times New Roman" w:hAnsi="Times New Roman"/>
                <w:sz w:val="24"/>
                <w:szCs w:val="24"/>
                <w:lang w:val="en-US" w:eastAsia="fr-FR"/>
              </w:rPr>
            </w:pPr>
            <w:r>
              <w:rPr>
                <w:rFonts w:ascii="Times New Roman" w:hAnsi="Times New Roman"/>
                <w:sz w:val="24"/>
                <w:szCs w:val="24"/>
                <w:lang w:val="en-US" w:eastAsia="fr-FR"/>
              </w:rPr>
              <w:t>Radiographic hip OA</w:t>
            </w:r>
            <w:r w:rsidR="001C49EC">
              <w:rPr>
                <w:rFonts w:ascii="Times New Roman" w:hAnsi="Times New Roman"/>
                <w:sz w:val="24"/>
                <w:szCs w:val="24"/>
                <w:vertAlign w:val="superscript"/>
                <w:lang w:val="en-US" w:eastAsia="fr-FR"/>
              </w:rPr>
              <w:t>2</w:t>
            </w:r>
            <w:r>
              <w:rPr>
                <w:rFonts w:ascii="Times New Roman" w:hAnsi="Times New Roman"/>
                <w:sz w:val="24"/>
                <w:szCs w:val="24"/>
                <w:lang w:val="en-US" w:eastAsia="fr-FR"/>
              </w:rPr>
              <w:t xml:space="preserve"> </w:t>
            </w:r>
          </w:p>
          <w:p w14:paraId="2CD377B1" w14:textId="77777777" w:rsidR="00895A6B" w:rsidRPr="00C03863" w:rsidRDefault="00895A6B" w:rsidP="00895A6B">
            <w:pPr>
              <w:spacing w:after="0" w:line="240" w:lineRule="auto"/>
              <w:rPr>
                <w:rFonts w:ascii="Times New Roman" w:hAnsi="Times New Roman"/>
                <w:sz w:val="24"/>
                <w:szCs w:val="24"/>
                <w:lang w:val="en-US" w:eastAsia="fr-FR"/>
              </w:rPr>
            </w:pPr>
          </w:p>
        </w:tc>
        <w:tc>
          <w:tcPr>
            <w:tcW w:w="1599" w:type="dxa"/>
          </w:tcPr>
          <w:p w14:paraId="47A37D9E"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76 (44.7)</w:t>
            </w:r>
          </w:p>
        </w:tc>
        <w:tc>
          <w:tcPr>
            <w:tcW w:w="1599" w:type="dxa"/>
          </w:tcPr>
          <w:p w14:paraId="6616F8B4" w14:textId="77777777" w:rsidR="00886953" w:rsidRPr="00C03863" w:rsidRDefault="00132FA2" w:rsidP="00132FA2">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54</w:t>
            </w:r>
            <w:r w:rsidRPr="00C03863">
              <w:rPr>
                <w:rFonts w:ascii="Times New Roman" w:hAnsi="Times New Roman"/>
                <w:sz w:val="24"/>
                <w:szCs w:val="24"/>
                <w:lang w:val="fr-FR" w:eastAsia="fr-FR"/>
              </w:rPr>
              <w:t xml:space="preserve"> </w:t>
            </w:r>
            <w:r w:rsidR="00886953" w:rsidRPr="00C03863">
              <w:rPr>
                <w:rFonts w:ascii="Times New Roman" w:hAnsi="Times New Roman"/>
                <w:sz w:val="24"/>
                <w:szCs w:val="24"/>
                <w:lang w:val="fr-FR" w:eastAsia="fr-FR"/>
              </w:rPr>
              <w:t>(</w:t>
            </w:r>
            <w:r>
              <w:rPr>
                <w:rFonts w:ascii="Times New Roman" w:hAnsi="Times New Roman"/>
                <w:sz w:val="24"/>
                <w:szCs w:val="24"/>
                <w:lang w:val="fr-FR" w:eastAsia="fr-FR"/>
              </w:rPr>
              <w:t>36.7</w:t>
            </w:r>
            <w:r w:rsidR="00886953" w:rsidRPr="00C03863">
              <w:rPr>
                <w:rFonts w:ascii="Times New Roman" w:hAnsi="Times New Roman"/>
                <w:sz w:val="24"/>
                <w:szCs w:val="24"/>
                <w:lang w:val="fr-FR" w:eastAsia="fr-FR"/>
              </w:rPr>
              <w:t>)</w:t>
            </w:r>
          </w:p>
        </w:tc>
        <w:tc>
          <w:tcPr>
            <w:tcW w:w="1599" w:type="dxa"/>
          </w:tcPr>
          <w:p w14:paraId="1A4FF739" w14:textId="77777777" w:rsidR="00886953" w:rsidRPr="00C03863" w:rsidRDefault="00132FA2"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0.150</w:t>
            </w:r>
          </w:p>
        </w:tc>
      </w:tr>
      <w:tr w:rsidR="00886953" w:rsidRPr="00C03863" w14:paraId="14AB0BB5" w14:textId="77777777" w:rsidTr="00FC5F96">
        <w:trPr>
          <w:trHeight w:val="682"/>
        </w:trPr>
        <w:tc>
          <w:tcPr>
            <w:tcW w:w="1804" w:type="dxa"/>
          </w:tcPr>
          <w:p w14:paraId="1345FBB5" w14:textId="77777777" w:rsidR="00886953" w:rsidRDefault="00895A6B" w:rsidP="00895A6B">
            <w:pPr>
              <w:spacing w:after="0" w:line="240" w:lineRule="auto"/>
              <w:rPr>
                <w:rFonts w:ascii="Times New Roman" w:hAnsi="Times New Roman"/>
                <w:sz w:val="24"/>
                <w:szCs w:val="24"/>
                <w:lang w:val="en-US" w:eastAsia="fr-FR"/>
              </w:rPr>
            </w:pPr>
            <w:r>
              <w:rPr>
                <w:rFonts w:ascii="Times New Roman" w:hAnsi="Times New Roman"/>
                <w:sz w:val="24"/>
                <w:szCs w:val="24"/>
                <w:lang w:val="en-US" w:eastAsia="fr-FR"/>
              </w:rPr>
              <w:t>Osteophytes</w:t>
            </w:r>
          </w:p>
          <w:p w14:paraId="7ED60C31" w14:textId="77777777" w:rsidR="00895A6B" w:rsidRPr="00C03863" w:rsidRDefault="00895A6B" w:rsidP="00895A6B">
            <w:pPr>
              <w:spacing w:after="0" w:line="240" w:lineRule="auto"/>
              <w:rPr>
                <w:rFonts w:ascii="Times New Roman" w:hAnsi="Times New Roman"/>
                <w:sz w:val="24"/>
                <w:szCs w:val="24"/>
                <w:lang w:val="en-US" w:eastAsia="fr-FR"/>
              </w:rPr>
            </w:pPr>
          </w:p>
        </w:tc>
        <w:tc>
          <w:tcPr>
            <w:tcW w:w="1599" w:type="dxa"/>
          </w:tcPr>
          <w:p w14:paraId="749EB1E7" w14:textId="77777777" w:rsidR="00886953" w:rsidRPr="00C03863" w:rsidRDefault="00132FA2" w:rsidP="00132FA2">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119</w:t>
            </w:r>
            <w:r w:rsidRPr="00C03863">
              <w:rPr>
                <w:rFonts w:ascii="Times New Roman" w:hAnsi="Times New Roman"/>
                <w:sz w:val="24"/>
                <w:szCs w:val="24"/>
                <w:lang w:val="fr-FR" w:eastAsia="fr-FR"/>
              </w:rPr>
              <w:t xml:space="preserve"> </w:t>
            </w:r>
            <w:r w:rsidR="00886953" w:rsidRPr="00C03863">
              <w:rPr>
                <w:rFonts w:ascii="Times New Roman" w:hAnsi="Times New Roman"/>
                <w:sz w:val="24"/>
                <w:szCs w:val="24"/>
                <w:lang w:val="fr-FR" w:eastAsia="fr-FR"/>
              </w:rPr>
              <w:t>(</w:t>
            </w:r>
            <w:r>
              <w:rPr>
                <w:rFonts w:ascii="Times New Roman" w:hAnsi="Times New Roman"/>
                <w:sz w:val="24"/>
                <w:szCs w:val="24"/>
                <w:lang w:val="fr-FR" w:eastAsia="fr-FR"/>
              </w:rPr>
              <w:t>70.0</w:t>
            </w:r>
            <w:r w:rsidR="00886953" w:rsidRPr="00C03863">
              <w:rPr>
                <w:rFonts w:ascii="Times New Roman" w:hAnsi="Times New Roman"/>
                <w:sz w:val="24"/>
                <w:szCs w:val="24"/>
                <w:lang w:val="fr-FR" w:eastAsia="fr-FR"/>
              </w:rPr>
              <w:t>)</w:t>
            </w:r>
          </w:p>
        </w:tc>
        <w:tc>
          <w:tcPr>
            <w:tcW w:w="1599" w:type="dxa"/>
          </w:tcPr>
          <w:p w14:paraId="071BDFBC" w14:textId="77777777" w:rsidR="00886953" w:rsidRPr="00C03863" w:rsidRDefault="00132FA2" w:rsidP="00132FA2">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84</w:t>
            </w:r>
            <w:r w:rsidRPr="00C03863">
              <w:rPr>
                <w:rFonts w:ascii="Times New Roman" w:hAnsi="Times New Roman"/>
                <w:sz w:val="24"/>
                <w:szCs w:val="24"/>
                <w:lang w:val="fr-FR" w:eastAsia="fr-FR"/>
              </w:rPr>
              <w:t xml:space="preserve"> </w:t>
            </w:r>
            <w:r w:rsidR="00886953" w:rsidRPr="00C03863">
              <w:rPr>
                <w:rFonts w:ascii="Times New Roman" w:hAnsi="Times New Roman"/>
                <w:sz w:val="24"/>
                <w:szCs w:val="24"/>
                <w:lang w:val="fr-FR" w:eastAsia="fr-FR"/>
              </w:rPr>
              <w:t>(</w:t>
            </w:r>
            <w:r>
              <w:rPr>
                <w:rFonts w:ascii="Times New Roman" w:hAnsi="Times New Roman"/>
                <w:sz w:val="24"/>
                <w:szCs w:val="24"/>
                <w:lang w:val="fr-FR" w:eastAsia="fr-FR"/>
              </w:rPr>
              <w:t>56.8</w:t>
            </w:r>
            <w:r w:rsidR="00886953" w:rsidRPr="00C03863">
              <w:rPr>
                <w:rFonts w:ascii="Times New Roman" w:hAnsi="Times New Roman"/>
                <w:sz w:val="24"/>
                <w:szCs w:val="24"/>
                <w:lang w:val="fr-FR" w:eastAsia="fr-FR"/>
              </w:rPr>
              <w:t>)</w:t>
            </w:r>
          </w:p>
        </w:tc>
        <w:tc>
          <w:tcPr>
            <w:tcW w:w="1599" w:type="dxa"/>
          </w:tcPr>
          <w:p w14:paraId="5362E9AA" w14:textId="77777777" w:rsidR="00886953" w:rsidRPr="00C03863" w:rsidRDefault="00132FA2"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0.014</w:t>
            </w:r>
          </w:p>
        </w:tc>
      </w:tr>
      <w:tr w:rsidR="00886953" w:rsidRPr="00C03863" w14:paraId="7EC857F0" w14:textId="77777777" w:rsidTr="00FC5F96">
        <w:trPr>
          <w:trHeight w:val="682"/>
        </w:trPr>
        <w:tc>
          <w:tcPr>
            <w:tcW w:w="1804" w:type="dxa"/>
          </w:tcPr>
          <w:p w14:paraId="00ECD648" w14:textId="77777777" w:rsidR="00886953" w:rsidRPr="00C03863" w:rsidRDefault="00895A6B" w:rsidP="00895A6B">
            <w:pPr>
              <w:spacing w:after="0" w:line="240" w:lineRule="auto"/>
              <w:rPr>
                <w:rFonts w:ascii="Times New Roman" w:hAnsi="Times New Roman"/>
                <w:sz w:val="24"/>
                <w:szCs w:val="24"/>
                <w:lang w:val="en-US" w:eastAsia="fr-FR"/>
              </w:rPr>
            </w:pPr>
            <w:r>
              <w:rPr>
                <w:rFonts w:ascii="Times New Roman" w:hAnsi="Times New Roman"/>
                <w:sz w:val="24"/>
                <w:szCs w:val="24"/>
                <w:lang w:val="en-US" w:eastAsia="fr-FR"/>
              </w:rPr>
              <w:t>Sclerosis</w:t>
            </w:r>
          </w:p>
        </w:tc>
        <w:tc>
          <w:tcPr>
            <w:tcW w:w="1599" w:type="dxa"/>
          </w:tcPr>
          <w:p w14:paraId="18E52C20"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34 (20.</w:t>
            </w:r>
            <w:r w:rsidR="001D0417" w:rsidRPr="00C03863">
              <w:rPr>
                <w:rFonts w:ascii="Times New Roman" w:hAnsi="Times New Roman"/>
                <w:sz w:val="24"/>
                <w:szCs w:val="24"/>
                <w:lang w:val="fr-FR" w:eastAsia="fr-FR"/>
              </w:rPr>
              <w:t>0</w:t>
            </w:r>
            <w:r w:rsidRPr="00C03863">
              <w:rPr>
                <w:rFonts w:ascii="Times New Roman" w:hAnsi="Times New Roman"/>
                <w:sz w:val="24"/>
                <w:szCs w:val="24"/>
                <w:lang w:val="fr-FR" w:eastAsia="fr-FR"/>
              </w:rPr>
              <w:t>)</w:t>
            </w:r>
          </w:p>
        </w:tc>
        <w:tc>
          <w:tcPr>
            <w:tcW w:w="1599" w:type="dxa"/>
          </w:tcPr>
          <w:p w14:paraId="2ADA824C" w14:textId="77777777" w:rsidR="00886953" w:rsidRPr="00C03863" w:rsidRDefault="00132FA2" w:rsidP="00132FA2">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18</w:t>
            </w:r>
            <w:r w:rsidRPr="00C03863">
              <w:rPr>
                <w:rFonts w:ascii="Times New Roman" w:hAnsi="Times New Roman"/>
                <w:sz w:val="24"/>
                <w:szCs w:val="24"/>
                <w:lang w:val="fr-FR" w:eastAsia="fr-FR"/>
              </w:rPr>
              <w:t xml:space="preserve"> </w:t>
            </w:r>
            <w:r w:rsidR="00886953" w:rsidRPr="00C03863">
              <w:rPr>
                <w:rFonts w:ascii="Times New Roman" w:hAnsi="Times New Roman"/>
                <w:sz w:val="24"/>
                <w:szCs w:val="24"/>
                <w:lang w:val="fr-FR" w:eastAsia="fr-FR"/>
              </w:rPr>
              <w:t>(</w:t>
            </w:r>
            <w:r>
              <w:rPr>
                <w:rFonts w:ascii="Times New Roman" w:hAnsi="Times New Roman"/>
                <w:sz w:val="24"/>
                <w:szCs w:val="24"/>
                <w:lang w:val="fr-FR" w:eastAsia="fr-FR"/>
              </w:rPr>
              <w:t>12.2</w:t>
            </w:r>
            <w:r w:rsidR="00886953" w:rsidRPr="00C03863">
              <w:rPr>
                <w:rFonts w:ascii="Times New Roman" w:hAnsi="Times New Roman"/>
                <w:sz w:val="24"/>
                <w:szCs w:val="24"/>
                <w:lang w:val="fr-FR" w:eastAsia="fr-FR"/>
              </w:rPr>
              <w:t>)</w:t>
            </w:r>
          </w:p>
        </w:tc>
        <w:tc>
          <w:tcPr>
            <w:tcW w:w="1599" w:type="dxa"/>
          </w:tcPr>
          <w:p w14:paraId="1BC56535" w14:textId="77777777" w:rsidR="00886953" w:rsidRPr="00C03863" w:rsidRDefault="00132FA2"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0.063</w:t>
            </w:r>
          </w:p>
        </w:tc>
      </w:tr>
      <w:tr w:rsidR="00886953" w:rsidRPr="00C03863" w14:paraId="355184F8" w14:textId="77777777" w:rsidTr="00FC5F96">
        <w:trPr>
          <w:trHeight w:val="682"/>
        </w:trPr>
        <w:tc>
          <w:tcPr>
            <w:tcW w:w="1804" w:type="dxa"/>
          </w:tcPr>
          <w:p w14:paraId="66E284CA" w14:textId="77777777" w:rsidR="00886953" w:rsidRPr="00C03863" w:rsidRDefault="00895A6B" w:rsidP="00895A6B">
            <w:pPr>
              <w:spacing w:after="0" w:line="240" w:lineRule="auto"/>
              <w:rPr>
                <w:rFonts w:ascii="Times New Roman" w:hAnsi="Times New Roman"/>
                <w:sz w:val="24"/>
                <w:szCs w:val="24"/>
                <w:lang w:val="en-US" w:eastAsia="fr-FR"/>
              </w:rPr>
            </w:pPr>
            <w:r>
              <w:rPr>
                <w:rFonts w:ascii="Times New Roman" w:hAnsi="Times New Roman"/>
                <w:sz w:val="24"/>
                <w:szCs w:val="24"/>
                <w:lang w:val="en-US" w:eastAsia="fr-FR"/>
              </w:rPr>
              <w:t>JSN</w:t>
            </w:r>
          </w:p>
        </w:tc>
        <w:tc>
          <w:tcPr>
            <w:tcW w:w="1599" w:type="dxa"/>
          </w:tcPr>
          <w:p w14:paraId="1B0D1F83" w14:textId="77777777" w:rsidR="00886953" w:rsidRPr="00C03863" w:rsidRDefault="00886953" w:rsidP="00895A6B">
            <w:pPr>
              <w:spacing w:after="0" w:line="240" w:lineRule="auto"/>
              <w:jc w:val="center"/>
              <w:rPr>
                <w:rFonts w:ascii="Times New Roman" w:hAnsi="Times New Roman"/>
                <w:sz w:val="24"/>
                <w:szCs w:val="24"/>
                <w:lang w:val="fr-FR" w:eastAsia="fr-FR"/>
              </w:rPr>
            </w:pPr>
            <w:r w:rsidRPr="00C03863">
              <w:rPr>
                <w:rFonts w:ascii="Times New Roman" w:hAnsi="Times New Roman"/>
                <w:sz w:val="24"/>
                <w:szCs w:val="24"/>
                <w:lang w:val="fr-FR" w:eastAsia="fr-FR"/>
              </w:rPr>
              <w:t>90 (5</w:t>
            </w:r>
            <w:r w:rsidR="001D0417" w:rsidRPr="00C03863">
              <w:rPr>
                <w:rFonts w:ascii="Times New Roman" w:hAnsi="Times New Roman"/>
                <w:sz w:val="24"/>
                <w:szCs w:val="24"/>
                <w:lang w:val="fr-FR" w:eastAsia="fr-FR"/>
              </w:rPr>
              <w:t>2</w:t>
            </w:r>
            <w:r w:rsidRPr="00C03863">
              <w:rPr>
                <w:rFonts w:ascii="Times New Roman" w:hAnsi="Times New Roman"/>
                <w:sz w:val="24"/>
                <w:szCs w:val="24"/>
                <w:lang w:val="fr-FR" w:eastAsia="fr-FR"/>
              </w:rPr>
              <w:t>.</w:t>
            </w:r>
            <w:r w:rsidR="001D0417" w:rsidRPr="00C03863">
              <w:rPr>
                <w:rFonts w:ascii="Times New Roman" w:hAnsi="Times New Roman"/>
                <w:sz w:val="24"/>
                <w:szCs w:val="24"/>
                <w:lang w:val="fr-FR" w:eastAsia="fr-FR"/>
              </w:rPr>
              <w:t>9</w:t>
            </w:r>
            <w:r w:rsidRPr="00C03863">
              <w:rPr>
                <w:rFonts w:ascii="Times New Roman" w:hAnsi="Times New Roman"/>
                <w:sz w:val="24"/>
                <w:szCs w:val="24"/>
                <w:lang w:val="fr-FR" w:eastAsia="fr-FR"/>
              </w:rPr>
              <w:t>)</w:t>
            </w:r>
          </w:p>
        </w:tc>
        <w:tc>
          <w:tcPr>
            <w:tcW w:w="1599" w:type="dxa"/>
          </w:tcPr>
          <w:p w14:paraId="617EAE2B" w14:textId="77777777" w:rsidR="00886953" w:rsidRPr="00C03863" w:rsidRDefault="00132FA2" w:rsidP="00132FA2">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87</w:t>
            </w:r>
            <w:r w:rsidRPr="00C03863">
              <w:rPr>
                <w:rFonts w:ascii="Times New Roman" w:hAnsi="Times New Roman"/>
                <w:sz w:val="24"/>
                <w:szCs w:val="24"/>
                <w:lang w:val="fr-FR" w:eastAsia="fr-FR"/>
              </w:rPr>
              <w:t xml:space="preserve"> </w:t>
            </w:r>
            <w:r w:rsidR="00886953" w:rsidRPr="00C03863">
              <w:rPr>
                <w:rFonts w:ascii="Times New Roman" w:hAnsi="Times New Roman"/>
                <w:sz w:val="24"/>
                <w:szCs w:val="24"/>
                <w:lang w:val="fr-FR" w:eastAsia="fr-FR"/>
              </w:rPr>
              <w:t>(</w:t>
            </w:r>
            <w:r>
              <w:rPr>
                <w:rFonts w:ascii="Times New Roman" w:hAnsi="Times New Roman"/>
                <w:sz w:val="24"/>
                <w:szCs w:val="24"/>
                <w:lang w:val="fr-FR" w:eastAsia="fr-FR"/>
              </w:rPr>
              <w:t>59.2</w:t>
            </w:r>
            <w:r w:rsidR="00886953" w:rsidRPr="00C03863">
              <w:rPr>
                <w:rFonts w:ascii="Times New Roman" w:hAnsi="Times New Roman"/>
                <w:sz w:val="24"/>
                <w:szCs w:val="24"/>
                <w:lang w:val="fr-FR" w:eastAsia="fr-FR"/>
              </w:rPr>
              <w:t>)</w:t>
            </w:r>
          </w:p>
        </w:tc>
        <w:tc>
          <w:tcPr>
            <w:tcW w:w="1599" w:type="dxa"/>
          </w:tcPr>
          <w:p w14:paraId="53EC8FB2" w14:textId="77777777" w:rsidR="00886953" w:rsidRPr="00C03863" w:rsidRDefault="00132FA2" w:rsidP="00895A6B">
            <w:pPr>
              <w:spacing w:after="0" w:line="240" w:lineRule="auto"/>
              <w:jc w:val="center"/>
              <w:rPr>
                <w:rFonts w:ascii="Times New Roman" w:hAnsi="Times New Roman"/>
                <w:sz w:val="24"/>
                <w:szCs w:val="24"/>
                <w:lang w:val="fr-FR" w:eastAsia="fr-FR"/>
              </w:rPr>
            </w:pPr>
            <w:r>
              <w:rPr>
                <w:rFonts w:ascii="Times New Roman" w:hAnsi="Times New Roman"/>
                <w:sz w:val="24"/>
                <w:szCs w:val="24"/>
                <w:lang w:val="fr-FR" w:eastAsia="fr-FR"/>
              </w:rPr>
              <w:t>0.264</w:t>
            </w:r>
          </w:p>
        </w:tc>
      </w:tr>
    </w:tbl>
    <w:p w14:paraId="1366E7C0" w14:textId="77777777" w:rsidR="00186D14" w:rsidRDefault="00186D14" w:rsidP="0073202F">
      <w:pPr>
        <w:tabs>
          <w:tab w:val="left" w:pos="1110"/>
        </w:tabs>
        <w:spacing w:after="0" w:line="360" w:lineRule="auto"/>
        <w:jc w:val="both"/>
        <w:rPr>
          <w:rFonts w:ascii="Times New Roman" w:hAnsi="Times New Roman"/>
          <w:sz w:val="24"/>
          <w:szCs w:val="24"/>
        </w:rPr>
      </w:pPr>
    </w:p>
    <w:p w14:paraId="6DD5796E" w14:textId="77777777" w:rsidR="00886953" w:rsidRDefault="00C03863" w:rsidP="00805B2A">
      <w:pPr>
        <w:tabs>
          <w:tab w:val="left" w:pos="1110"/>
        </w:tabs>
        <w:spacing w:after="0" w:line="360" w:lineRule="auto"/>
        <w:jc w:val="both"/>
        <w:rPr>
          <w:rFonts w:ascii="Times New Roman" w:hAnsi="Times New Roman"/>
          <w:sz w:val="24"/>
          <w:szCs w:val="24"/>
        </w:rPr>
      </w:pPr>
      <w:r>
        <w:rPr>
          <w:rFonts w:ascii="Times New Roman" w:hAnsi="Times New Roman"/>
          <w:sz w:val="24"/>
          <w:szCs w:val="24"/>
        </w:rPr>
        <w:t xml:space="preserve">Key: </w:t>
      </w:r>
      <w:r w:rsidR="00895A6B">
        <w:rPr>
          <w:rFonts w:ascii="Times New Roman" w:hAnsi="Times New Roman"/>
          <w:sz w:val="24"/>
          <w:szCs w:val="24"/>
          <w:vertAlign w:val="superscript"/>
          <w:lang w:val="en-US" w:eastAsia="fr-FR"/>
        </w:rPr>
        <w:t>1</w:t>
      </w:r>
      <w:r w:rsidR="00895A6B" w:rsidRPr="00C03863">
        <w:rPr>
          <w:rFonts w:ascii="Times New Roman" w:hAnsi="Times New Roman"/>
          <w:sz w:val="24"/>
          <w:szCs w:val="24"/>
          <w:lang w:val="en-US" w:eastAsia="fr-FR"/>
        </w:rPr>
        <w:t>Median [IQR]</w:t>
      </w:r>
      <w:r w:rsidR="001C49EC">
        <w:rPr>
          <w:rFonts w:ascii="Times New Roman" w:hAnsi="Times New Roman"/>
          <w:sz w:val="24"/>
          <w:szCs w:val="24"/>
          <w:lang w:val="en-US" w:eastAsia="fr-FR"/>
        </w:rPr>
        <w:t xml:space="preserve">; </w:t>
      </w:r>
      <w:r w:rsidR="001C49EC">
        <w:rPr>
          <w:rFonts w:ascii="Times New Roman" w:hAnsi="Times New Roman"/>
          <w:sz w:val="24"/>
          <w:szCs w:val="24"/>
          <w:vertAlign w:val="superscript"/>
          <w:lang w:val="en-US" w:eastAsia="fr-FR"/>
        </w:rPr>
        <w:t>2</w:t>
      </w:r>
      <w:r w:rsidR="001C49EC" w:rsidRPr="00C03863">
        <w:rPr>
          <w:rFonts w:ascii="Times New Roman" w:hAnsi="Times New Roman"/>
          <w:sz w:val="24"/>
          <w:szCs w:val="24"/>
          <w:lang w:val="en-US" w:eastAsia="fr-FR"/>
        </w:rPr>
        <w:t>Croft score ≥3</w:t>
      </w:r>
      <w:r w:rsidR="001C49EC">
        <w:rPr>
          <w:rFonts w:ascii="Times New Roman" w:hAnsi="Times New Roman"/>
          <w:sz w:val="24"/>
          <w:szCs w:val="24"/>
          <w:lang w:val="en-US" w:eastAsia="fr-FR"/>
        </w:rPr>
        <w:t>.</w:t>
      </w:r>
      <w:r w:rsidR="00886953">
        <w:rPr>
          <w:rFonts w:ascii="Times New Roman" w:hAnsi="Times New Roman"/>
          <w:sz w:val="24"/>
          <w:szCs w:val="24"/>
        </w:rPr>
        <w:tab/>
      </w:r>
    </w:p>
    <w:p w14:paraId="31A05225" w14:textId="77777777" w:rsidR="00886953" w:rsidRDefault="00886953" w:rsidP="00805B2A">
      <w:pPr>
        <w:spacing w:after="0" w:line="360" w:lineRule="auto"/>
        <w:jc w:val="both"/>
        <w:rPr>
          <w:rFonts w:ascii="Times New Roman" w:hAnsi="Times New Roman"/>
          <w:sz w:val="24"/>
          <w:szCs w:val="24"/>
        </w:rPr>
      </w:pPr>
    </w:p>
    <w:p w14:paraId="6E7C1F8B" w14:textId="77777777" w:rsidR="00886953" w:rsidRDefault="00886953" w:rsidP="00805B2A">
      <w:pPr>
        <w:spacing w:after="0" w:line="360" w:lineRule="auto"/>
        <w:jc w:val="both"/>
        <w:rPr>
          <w:rFonts w:ascii="Times New Roman" w:hAnsi="Times New Roman"/>
          <w:sz w:val="24"/>
          <w:szCs w:val="24"/>
        </w:rPr>
      </w:pPr>
    </w:p>
    <w:p w14:paraId="2AD309FD" w14:textId="77777777" w:rsidR="00886953" w:rsidRDefault="00886953" w:rsidP="00805B2A">
      <w:pPr>
        <w:spacing w:after="0" w:line="360" w:lineRule="auto"/>
        <w:jc w:val="both"/>
        <w:rPr>
          <w:rFonts w:ascii="Times New Roman" w:hAnsi="Times New Roman"/>
          <w:sz w:val="24"/>
          <w:szCs w:val="24"/>
        </w:rPr>
      </w:pPr>
    </w:p>
    <w:p w14:paraId="7D32F75D" w14:textId="77777777" w:rsidR="00886953" w:rsidRDefault="00886953" w:rsidP="00805B2A">
      <w:pPr>
        <w:spacing w:after="0" w:line="360" w:lineRule="auto"/>
        <w:jc w:val="both"/>
        <w:rPr>
          <w:rFonts w:ascii="Times New Roman" w:hAnsi="Times New Roman"/>
          <w:sz w:val="24"/>
          <w:szCs w:val="24"/>
        </w:rPr>
      </w:pPr>
    </w:p>
    <w:p w14:paraId="27489D6D" w14:textId="77777777" w:rsidR="00805B2A" w:rsidRDefault="00805B2A" w:rsidP="00805B2A">
      <w:pPr>
        <w:spacing w:after="0" w:line="360" w:lineRule="auto"/>
        <w:jc w:val="both"/>
        <w:rPr>
          <w:rFonts w:ascii="Times New Roman" w:hAnsi="Times New Roman"/>
          <w:sz w:val="24"/>
          <w:szCs w:val="24"/>
        </w:rPr>
      </w:pPr>
    </w:p>
    <w:p w14:paraId="27CC34FE" w14:textId="77777777" w:rsidR="00805B2A" w:rsidRDefault="00805B2A" w:rsidP="00805B2A">
      <w:pPr>
        <w:spacing w:after="0" w:line="360" w:lineRule="auto"/>
        <w:jc w:val="both"/>
        <w:rPr>
          <w:rFonts w:ascii="Times New Roman" w:hAnsi="Times New Roman"/>
          <w:sz w:val="24"/>
          <w:szCs w:val="24"/>
        </w:rPr>
      </w:pPr>
    </w:p>
    <w:p w14:paraId="6019B84F" w14:textId="77777777" w:rsidR="00805B2A" w:rsidRDefault="00805B2A" w:rsidP="00805B2A">
      <w:pPr>
        <w:spacing w:after="0" w:line="360" w:lineRule="auto"/>
        <w:jc w:val="both"/>
        <w:rPr>
          <w:rFonts w:ascii="Times New Roman" w:hAnsi="Times New Roman"/>
          <w:sz w:val="24"/>
          <w:szCs w:val="24"/>
        </w:rPr>
      </w:pPr>
    </w:p>
    <w:p w14:paraId="55C085D7" w14:textId="77777777" w:rsidR="00A45B7F" w:rsidRDefault="00A45B7F" w:rsidP="00A45B7F">
      <w:pPr>
        <w:spacing w:after="0"/>
        <w:rPr>
          <w:rFonts w:ascii="Times New Roman" w:hAnsi="Times New Roman"/>
          <w:b/>
          <w:sz w:val="24"/>
          <w:szCs w:val="24"/>
        </w:rPr>
        <w:sectPr w:rsidR="00A45B7F" w:rsidSect="00805B2A">
          <w:headerReference w:type="default" r:id="rId8"/>
          <w:footerReference w:type="default" r:id="rId9"/>
          <w:pgSz w:w="11906" w:h="16838"/>
          <w:pgMar w:top="1440" w:right="1440" w:bottom="1440" w:left="1440" w:header="709" w:footer="709" w:gutter="0"/>
          <w:lnNumType w:countBy="1"/>
          <w:cols w:space="708"/>
          <w:docGrid w:linePitch="360"/>
        </w:sectPr>
      </w:pPr>
    </w:p>
    <w:p w14:paraId="55DB6C76" w14:textId="77777777" w:rsidR="00A45B7F" w:rsidRPr="00BE4C82" w:rsidRDefault="00A45B7F" w:rsidP="00A45B7F">
      <w:pPr>
        <w:spacing w:after="0"/>
        <w:rPr>
          <w:rFonts w:ascii="Times New Roman" w:hAnsi="Times New Roman"/>
          <w:b/>
          <w:sz w:val="24"/>
          <w:szCs w:val="24"/>
        </w:rPr>
      </w:pPr>
      <w:r>
        <w:rPr>
          <w:rFonts w:ascii="Times New Roman" w:hAnsi="Times New Roman"/>
          <w:b/>
          <w:sz w:val="24"/>
          <w:szCs w:val="24"/>
        </w:rPr>
        <w:t xml:space="preserve">Table 2 - Radial </w:t>
      </w:r>
      <w:r w:rsidRPr="00BE4C82">
        <w:rPr>
          <w:rFonts w:ascii="Times New Roman" w:hAnsi="Times New Roman"/>
          <w:b/>
          <w:sz w:val="24"/>
          <w:szCs w:val="24"/>
        </w:rPr>
        <w:t xml:space="preserve">bone </w:t>
      </w:r>
      <w:proofErr w:type="spellStart"/>
      <w:r w:rsidRPr="00BE4C82">
        <w:rPr>
          <w:rFonts w:ascii="Times New Roman" w:hAnsi="Times New Roman"/>
          <w:b/>
          <w:sz w:val="24"/>
          <w:szCs w:val="24"/>
        </w:rPr>
        <w:t>microarchitectural</w:t>
      </w:r>
      <w:proofErr w:type="spellEnd"/>
      <w:r w:rsidRPr="00BE4C82">
        <w:rPr>
          <w:rFonts w:ascii="Times New Roman" w:hAnsi="Times New Roman"/>
          <w:b/>
          <w:sz w:val="24"/>
          <w:szCs w:val="24"/>
        </w:rPr>
        <w:t xml:space="preserve"> parameters in men by bony features of hip osteoarthritis  </w:t>
      </w:r>
    </w:p>
    <w:p w14:paraId="5DDCBF29" w14:textId="77777777" w:rsidR="00A45B7F" w:rsidRPr="00BE4C82" w:rsidRDefault="00A45B7F" w:rsidP="00A45B7F">
      <w:pPr>
        <w:spacing w:after="0"/>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2943"/>
        <w:gridCol w:w="2409"/>
        <w:gridCol w:w="2410"/>
        <w:gridCol w:w="2410"/>
      </w:tblGrid>
      <w:tr w:rsidR="00A45B7F" w:rsidRPr="002405DE" w14:paraId="4E4A4C34" w14:textId="77777777" w:rsidTr="008C0406">
        <w:tc>
          <w:tcPr>
            <w:tcW w:w="2943" w:type="dxa"/>
            <w:vMerge w:val="restart"/>
          </w:tcPr>
          <w:p w14:paraId="789E6EFE" w14:textId="77777777" w:rsidR="00A45B7F" w:rsidRPr="002405DE" w:rsidRDefault="00A45B7F" w:rsidP="008C0406">
            <w:pPr>
              <w:spacing w:after="0" w:line="240" w:lineRule="auto"/>
              <w:rPr>
                <w:rFonts w:ascii="Times New Roman" w:hAnsi="Times New Roman"/>
                <w:b/>
              </w:rPr>
            </w:pPr>
            <w:r w:rsidRPr="002405DE">
              <w:rPr>
                <w:rFonts w:ascii="Times New Roman" w:hAnsi="Times New Roman"/>
                <w:b/>
              </w:rPr>
              <w:t>Bone parameter</w:t>
            </w:r>
          </w:p>
        </w:tc>
        <w:tc>
          <w:tcPr>
            <w:tcW w:w="7229" w:type="dxa"/>
            <w:gridSpan w:val="3"/>
          </w:tcPr>
          <w:p w14:paraId="71150413" w14:textId="77777777" w:rsidR="00A45B7F" w:rsidRPr="002405DE" w:rsidRDefault="00A45B7F" w:rsidP="008C0406">
            <w:pPr>
              <w:spacing w:after="0"/>
              <w:jc w:val="center"/>
              <w:rPr>
                <w:rFonts w:ascii="Times New Roman" w:hAnsi="Times New Roman"/>
                <w:b/>
              </w:rPr>
            </w:pPr>
            <w:r w:rsidRPr="002405DE">
              <w:rPr>
                <w:rFonts w:ascii="Times New Roman" w:hAnsi="Times New Roman"/>
                <w:b/>
              </w:rPr>
              <w:t>Mean (SD)</w:t>
            </w:r>
          </w:p>
        </w:tc>
      </w:tr>
      <w:tr w:rsidR="00A45B7F" w:rsidRPr="002405DE" w14:paraId="55AB7298" w14:textId="77777777" w:rsidTr="008C0406">
        <w:tc>
          <w:tcPr>
            <w:tcW w:w="2943" w:type="dxa"/>
            <w:vMerge/>
          </w:tcPr>
          <w:p w14:paraId="135A581C" w14:textId="77777777" w:rsidR="00A45B7F" w:rsidRPr="002405DE" w:rsidRDefault="00A45B7F" w:rsidP="008C0406">
            <w:pPr>
              <w:spacing w:after="0"/>
              <w:rPr>
                <w:rFonts w:ascii="Times New Roman" w:hAnsi="Times New Roman"/>
                <w:b/>
              </w:rPr>
            </w:pPr>
          </w:p>
        </w:tc>
        <w:tc>
          <w:tcPr>
            <w:tcW w:w="2409" w:type="dxa"/>
          </w:tcPr>
          <w:p w14:paraId="0BF2EF42" w14:textId="77777777" w:rsidR="00A45B7F" w:rsidRPr="002405DE" w:rsidRDefault="00A45B7F" w:rsidP="008C0406">
            <w:pPr>
              <w:spacing w:after="0"/>
              <w:jc w:val="center"/>
              <w:rPr>
                <w:rFonts w:ascii="Times New Roman" w:hAnsi="Times New Roman"/>
                <w:b/>
              </w:rPr>
            </w:pPr>
            <w:r w:rsidRPr="002405DE">
              <w:rPr>
                <w:rFonts w:ascii="Times New Roman" w:hAnsi="Times New Roman"/>
                <w:b/>
              </w:rPr>
              <w:t>No bony changes</w:t>
            </w:r>
          </w:p>
          <w:p w14:paraId="01D17C97" w14:textId="77777777" w:rsidR="00A45B7F" w:rsidRPr="002405DE" w:rsidRDefault="00A45B7F" w:rsidP="008C0406">
            <w:pPr>
              <w:spacing w:after="0"/>
              <w:jc w:val="center"/>
              <w:rPr>
                <w:rFonts w:ascii="Times New Roman" w:hAnsi="Times New Roman"/>
              </w:rPr>
            </w:pPr>
            <w:r w:rsidRPr="002405DE">
              <w:rPr>
                <w:rFonts w:ascii="Times New Roman" w:hAnsi="Times New Roman"/>
              </w:rPr>
              <w:t>(n=40)</w:t>
            </w:r>
          </w:p>
          <w:p w14:paraId="5CA55684" w14:textId="77777777" w:rsidR="00A45B7F" w:rsidRPr="002405DE" w:rsidRDefault="00A45B7F" w:rsidP="008C0406">
            <w:pPr>
              <w:spacing w:after="0"/>
              <w:jc w:val="center"/>
              <w:rPr>
                <w:rFonts w:ascii="Times New Roman" w:hAnsi="Times New Roman"/>
              </w:rPr>
            </w:pPr>
          </w:p>
        </w:tc>
        <w:tc>
          <w:tcPr>
            <w:tcW w:w="2410" w:type="dxa"/>
          </w:tcPr>
          <w:p w14:paraId="4DF4DF7F" w14:textId="77777777" w:rsidR="00A45B7F" w:rsidRPr="002405DE" w:rsidRDefault="00A45B7F" w:rsidP="008C0406">
            <w:pPr>
              <w:spacing w:after="0"/>
              <w:jc w:val="center"/>
              <w:rPr>
                <w:rFonts w:ascii="Times New Roman" w:hAnsi="Times New Roman"/>
                <w:b/>
              </w:rPr>
            </w:pPr>
            <w:r w:rsidRPr="002405DE">
              <w:rPr>
                <w:rFonts w:ascii="Times New Roman" w:hAnsi="Times New Roman"/>
                <w:b/>
              </w:rPr>
              <w:t>Osteophytes only</w:t>
            </w:r>
          </w:p>
          <w:p w14:paraId="462ED7F0" w14:textId="77777777" w:rsidR="00A45B7F" w:rsidRPr="002405DE" w:rsidRDefault="00A45B7F" w:rsidP="00FB15D6">
            <w:pPr>
              <w:spacing w:after="0"/>
              <w:jc w:val="center"/>
              <w:rPr>
                <w:rFonts w:ascii="Times New Roman" w:hAnsi="Times New Roman"/>
              </w:rPr>
            </w:pPr>
            <w:r w:rsidRPr="002405DE">
              <w:rPr>
                <w:rFonts w:ascii="Times New Roman" w:hAnsi="Times New Roman"/>
              </w:rPr>
              <w:t>(n=76)</w:t>
            </w:r>
          </w:p>
        </w:tc>
        <w:tc>
          <w:tcPr>
            <w:tcW w:w="2410" w:type="dxa"/>
          </w:tcPr>
          <w:p w14:paraId="0E1EF300" w14:textId="77777777" w:rsidR="00A45B7F" w:rsidRPr="002405DE" w:rsidRDefault="00A45B7F" w:rsidP="008C0406">
            <w:pPr>
              <w:spacing w:after="0"/>
              <w:jc w:val="center"/>
              <w:rPr>
                <w:rFonts w:ascii="Times New Roman" w:hAnsi="Times New Roman"/>
                <w:b/>
              </w:rPr>
            </w:pPr>
            <w:r w:rsidRPr="002405DE">
              <w:rPr>
                <w:rFonts w:ascii="Times New Roman" w:hAnsi="Times New Roman"/>
                <w:b/>
              </w:rPr>
              <w:t>Osteophytes &amp; Sclerosis</w:t>
            </w:r>
          </w:p>
          <w:p w14:paraId="545CEE30" w14:textId="77777777" w:rsidR="00A45B7F" w:rsidRDefault="00A45B7F" w:rsidP="00FB15D6">
            <w:pPr>
              <w:spacing w:after="0"/>
              <w:jc w:val="center"/>
              <w:rPr>
                <w:rFonts w:ascii="Times New Roman" w:hAnsi="Times New Roman"/>
              </w:rPr>
            </w:pPr>
            <w:r w:rsidRPr="002405DE">
              <w:rPr>
                <w:rFonts w:ascii="Times New Roman" w:hAnsi="Times New Roman"/>
              </w:rPr>
              <w:t>(n=28)</w:t>
            </w:r>
          </w:p>
          <w:p w14:paraId="0C2A8135" w14:textId="77777777" w:rsidR="00FB15D6" w:rsidRPr="002405DE" w:rsidRDefault="00FB15D6" w:rsidP="00FB15D6">
            <w:pPr>
              <w:spacing w:after="0"/>
              <w:jc w:val="center"/>
              <w:rPr>
                <w:rFonts w:ascii="Times New Roman" w:hAnsi="Times New Roman"/>
              </w:rPr>
            </w:pPr>
          </w:p>
        </w:tc>
      </w:tr>
      <w:tr w:rsidR="00A45B7F" w:rsidRPr="002405DE" w14:paraId="27D19807" w14:textId="77777777" w:rsidTr="008C0406">
        <w:tc>
          <w:tcPr>
            <w:tcW w:w="2943" w:type="dxa"/>
          </w:tcPr>
          <w:p w14:paraId="2D580EBB"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Trabecular area (mm</w:t>
            </w:r>
            <w:r w:rsidRPr="002405DE">
              <w:rPr>
                <w:rFonts w:ascii="Times New Roman" w:hAnsi="Times New Roman"/>
                <w:bCs/>
                <w:color w:val="000000"/>
                <w:vertAlign w:val="superscript"/>
                <w:lang w:eastAsia="en-GB"/>
              </w:rPr>
              <w:t>2</w:t>
            </w:r>
            <w:r w:rsidRPr="002405DE">
              <w:rPr>
                <w:rFonts w:ascii="Times New Roman" w:hAnsi="Times New Roman"/>
                <w:bCs/>
                <w:color w:val="000000"/>
                <w:lang w:eastAsia="en-GB"/>
              </w:rPr>
              <w:t>)</w:t>
            </w:r>
          </w:p>
        </w:tc>
        <w:tc>
          <w:tcPr>
            <w:tcW w:w="2409" w:type="dxa"/>
          </w:tcPr>
          <w:p w14:paraId="2639E9C9" w14:textId="77777777" w:rsidR="00A45B7F" w:rsidRPr="002405DE" w:rsidRDefault="00A45B7F" w:rsidP="008C0406">
            <w:pPr>
              <w:spacing w:after="0"/>
              <w:jc w:val="center"/>
              <w:rPr>
                <w:rFonts w:ascii="Times New Roman" w:hAnsi="Times New Roman"/>
              </w:rPr>
            </w:pPr>
            <w:r w:rsidRPr="002405DE">
              <w:rPr>
                <w:rFonts w:ascii="Times New Roman" w:hAnsi="Times New Roman"/>
              </w:rPr>
              <w:t>355.4 (60.5)</w:t>
            </w:r>
          </w:p>
        </w:tc>
        <w:tc>
          <w:tcPr>
            <w:tcW w:w="2410" w:type="dxa"/>
          </w:tcPr>
          <w:p w14:paraId="16CA934C" w14:textId="77777777" w:rsidR="00A45B7F" w:rsidRPr="002405DE" w:rsidRDefault="00A45B7F" w:rsidP="008C0406">
            <w:pPr>
              <w:spacing w:after="0"/>
              <w:jc w:val="center"/>
              <w:rPr>
                <w:rFonts w:ascii="Times New Roman" w:hAnsi="Times New Roman"/>
              </w:rPr>
            </w:pPr>
            <w:r w:rsidRPr="002405DE">
              <w:rPr>
                <w:rFonts w:ascii="Times New Roman" w:hAnsi="Times New Roman"/>
              </w:rPr>
              <w:t>350.5 (79.0)</w:t>
            </w:r>
          </w:p>
        </w:tc>
        <w:tc>
          <w:tcPr>
            <w:tcW w:w="2410" w:type="dxa"/>
          </w:tcPr>
          <w:p w14:paraId="748184D3" w14:textId="77777777" w:rsidR="00A45B7F" w:rsidRPr="002405DE" w:rsidRDefault="00A45B7F" w:rsidP="008C0406">
            <w:pPr>
              <w:spacing w:after="0"/>
              <w:jc w:val="center"/>
              <w:rPr>
                <w:rFonts w:ascii="Times New Roman" w:hAnsi="Times New Roman"/>
              </w:rPr>
            </w:pPr>
            <w:r w:rsidRPr="002405DE">
              <w:rPr>
                <w:rFonts w:ascii="Times New Roman" w:hAnsi="Times New Roman"/>
              </w:rPr>
              <w:t>362.1 (60.8)</w:t>
            </w:r>
          </w:p>
        </w:tc>
      </w:tr>
      <w:tr w:rsidR="00A45B7F" w:rsidRPr="002405DE" w14:paraId="11A3C64C" w14:textId="77777777" w:rsidTr="008C0406">
        <w:tc>
          <w:tcPr>
            <w:tcW w:w="2943" w:type="dxa"/>
          </w:tcPr>
          <w:p w14:paraId="2EC2044F" w14:textId="77777777" w:rsidR="00A45B7F" w:rsidRPr="002405DE" w:rsidRDefault="00A45B7F" w:rsidP="008C0406">
            <w:pPr>
              <w:spacing w:after="0"/>
              <w:rPr>
                <w:rFonts w:ascii="Times New Roman" w:hAnsi="Times New Roman"/>
              </w:rPr>
            </w:pPr>
            <w:r w:rsidRPr="002405DE">
              <w:rPr>
                <w:rFonts w:ascii="Times New Roman" w:hAnsi="Times New Roman"/>
                <w:bCs/>
                <w:color w:val="000000"/>
                <w:lang w:eastAsia="en-GB"/>
              </w:rPr>
              <w:t>Trabecular density (mg/cm</w:t>
            </w:r>
            <w:r w:rsidRPr="002405DE">
              <w:rPr>
                <w:rFonts w:ascii="Times New Roman" w:hAnsi="Times New Roman"/>
                <w:bCs/>
                <w:color w:val="000000"/>
                <w:vertAlign w:val="superscript"/>
                <w:lang w:eastAsia="en-GB"/>
              </w:rPr>
              <w:t>3</w:t>
            </w:r>
            <w:r w:rsidRPr="002405DE">
              <w:rPr>
                <w:rFonts w:ascii="Times New Roman" w:hAnsi="Times New Roman"/>
                <w:bCs/>
                <w:color w:val="000000"/>
                <w:lang w:eastAsia="en-GB"/>
              </w:rPr>
              <w:t>)</w:t>
            </w:r>
          </w:p>
        </w:tc>
        <w:tc>
          <w:tcPr>
            <w:tcW w:w="2409" w:type="dxa"/>
          </w:tcPr>
          <w:p w14:paraId="642C1447" w14:textId="77777777" w:rsidR="00A45B7F" w:rsidRPr="002405DE" w:rsidRDefault="00A45B7F" w:rsidP="008C0406">
            <w:pPr>
              <w:spacing w:after="0"/>
              <w:jc w:val="center"/>
              <w:rPr>
                <w:rFonts w:ascii="Times New Roman" w:hAnsi="Times New Roman"/>
              </w:rPr>
            </w:pPr>
            <w:r w:rsidRPr="002405DE">
              <w:rPr>
                <w:rFonts w:ascii="Times New Roman" w:hAnsi="Times New Roman"/>
              </w:rPr>
              <w:t>169.4 (26.7)</w:t>
            </w:r>
          </w:p>
        </w:tc>
        <w:tc>
          <w:tcPr>
            <w:tcW w:w="2410" w:type="dxa"/>
          </w:tcPr>
          <w:p w14:paraId="0A12CFDF" w14:textId="77777777" w:rsidR="00A45B7F" w:rsidRPr="002405DE" w:rsidRDefault="00A45B7F" w:rsidP="008C0406">
            <w:pPr>
              <w:spacing w:after="0"/>
              <w:jc w:val="center"/>
              <w:rPr>
                <w:rFonts w:ascii="Times New Roman" w:hAnsi="Times New Roman"/>
              </w:rPr>
            </w:pPr>
            <w:r w:rsidRPr="002405DE">
              <w:rPr>
                <w:rFonts w:ascii="Times New Roman" w:hAnsi="Times New Roman"/>
              </w:rPr>
              <w:t>184.5 (35.5)</w:t>
            </w:r>
          </w:p>
        </w:tc>
        <w:tc>
          <w:tcPr>
            <w:tcW w:w="2410" w:type="dxa"/>
          </w:tcPr>
          <w:p w14:paraId="0EBD5CF4" w14:textId="77777777" w:rsidR="00A45B7F" w:rsidRPr="002405DE" w:rsidRDefault="00A45B7F" w:rsidP="008C0406">
            <w:pPr>
              <w:spacing w:after="0"/>
              <w:jc w:val="center"/>
              <w:rPr>
                <w:rFonts w:ascii="Times New Roman" w:hAnsi="Times New Roman"/>
              </w:rPr>
            </w:pPr>
            <w:r w:rsidRPr="002405DE">
              <w:rPr>
                <w:rFonts w:ascii="Times New Roman" w:hAnsi="Times New Roman"/>
              </w:rPr>
              <w:t>181.5 (34.0)</w:t>
            </w:r>
          </w:p>
        </w:tc>
      </w:tr>
      <w:tr w:rsidR="00A45B7F" w:rsidRPr="002405DE" w14:paraId="6FDD6528" w14:textId="77777777" w:rsidTr="008C0406">
        <w:tc>
          <w:tcPr>
            <w:tcW w:w="2943" w:type="dxa"/>
          </w:tcPr>
          <w:p w14:paraId="52FB1A4A" w14:textId="77777777" w:rsidR="00A45B7F" w:rsidRPr="002405DE" w:rsidRDefault="00A45B7F" w:rsidP="008C0406">
            <w:pPr>
              <w:spacing w:after="0" w:line="240" w:lineRule="auto"/>
              <w:rPr>
                <w:rFonts w:ascii="Times New Roman" w:hAnsi="Times New Roman"/>
                <w:bCs/>
                <w:color w:val="000000"/>
                <w:lang w:eastAsia="en-GB"/>
              </w:rPr>
            </w:pPr>
            <w:r w:rsidRPr="002405DE">
              <w:rPr>
                <w:rFonts w:ascii="Times New Roman" w:hAnsi="Times New Roman"/>
                <w:bCs/>
                <w:color w:val="000000"/>
                <w:lang w:eastAsia="en-GB"/>
              </w:rPr>
              <w:t>Trabecular thickness (</w:t>
            </w:r>
            <w:proofErr w:type="spellStart"/>
            <w:r w:rsidRPr="002405DE">
              <w:rPr>
                <w:rFonts w:ascii="Times New Roman" w:hAnsi="Times New Roman"/>
                <w:bCs/>
                <w:color w:val="000000"/>
                <w:lang w:eastAsia="en-GB"/>
              </w:rPr>
              <w:t>μm</w:t>
            </w:r>
            <w:proofErr w:type="spellEnd"/>
            <w:r w:rsidRPr="002405DE">
              <w:rPr>
                <w:rFonts w:ascii="Times New Roman" w:hAnsi="Times New Roman"/>
                <w:bCs/>
                <w:color w:val="000000"/>
                <w:lang w:eastAsia="en-GB"/>
              </w:rPr>
              <w:t>)</w:t>
            </w:r>
          </w:p>
        </w:tc>
        <w:tc>
          <w:tcPr>
            <w:tcW w:w="2409" w:type="dxa"/>
          </w:tcPr>
          <w:p w14:paraId="062C6A12" w14:textId="77777777" w:rsidR="00A45B7F" w:rsidRPr="002405DE" w:rsidRDefault="00A45B7F" w:rsidP="008C0406">
            <w:pPr>
              <w:spacing w:after="0"/>
              <w:jc w:val="center"/>
              <w:rPr>
                <w:rFonts w:ascii="Times New Roman" w:hAnsi="Times New Roman"/>
              </w:rPr>
            </w:pPr>
            <w:r w:rsidRPr="002405DE">
              <w:rPr>
                <w:rFonts w:ascii="Times New Roman" w:hAnsi="Times New Roman"/>
              </w:rPr>
              <w:t>61.4 (8.3)</w:t>
            </w:r>
          </w:p>
        </w:tc>
        <w:tc>
          <w:tcPr>
            <w:tcW w:w="2410" w:type="dxa"/>
          </w:tcPr>
          <w:p w14:paraId="70EDD834" w14:textId="77777777" w:rsidR="00A45B7F" w:rsidRPr="002405DE" w:rsidRDefault="00A45B7F" w:rsidP="008C0406">
            <w:pPr>
              <w:spacing w:after="0"/>
              <w:jc w:val="center"/>
              <w:rPr>
                <w:rFonts w:ascii="Times New Roman" w:hAnsi="Times New Roman"/>
              </w:rPr>
            </w:pPr>
            <w:r w:rsidRPr="002405DE">
              <w:rPr>
                <w:rFonts w:ascii="Times New Roman" w:hAnsi="Times New Roman"/>
              </w:rPr>
              <w:t>65.6 (10.0)</w:t>
            </w:r>
          </w:p>
        </w:tc>
        <w:tc>
          <w:tcPr>
            <w:tcW w:w="2410" w:type="dxa"/>
          </w:tcPr>
          <w:p w14:paraId="6F8C2E69" w14:textId="77777777" w:rsidR="00A45B7F" w:rsidRPr="002405DE" w:rsidRDefault="00A45B7F" w:rsidP="008C0406">
            <w:pPr>
              <w:spacing w:after="0"/>
              <w:jc w:val="center"/>
              <w:rPr>
                <w:rFonts w:ascii="Times New Roman" w:hAnsi="Times New Roman"/>
              </w:rPr>
            </w:pPr>
            <w:r w:rsidRPr="002405DE">
              <w:rPr>
                <w:rFonts w:ascii="Times New Roman" w:hAnsi="Times New Roman"/>
              </w:rPr>
              <w:t>63.5 (9.4)</w:t>
            </w:r>
          </w:p>
        </w:tc>
      </w:tr>
      <w:tr w:rsidR="00A45B7F" w:rsidRPr="002405DE" w14:paraId="22755571" w14:textId="77777777" w:rsidTr="008C0406">
        <w:tc>
          <w:tcPr>
            <w:tcW w:w="2943" w:type="dxa"/>
          </w:tcPr>
          <w:p w14:paraId="1B7EA8D8"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Trabecular number (cm</w:t>
            </w:r>
            <w:r w:rsidRPr="002405DE">
              <w:rPr>
                <w:rFonts w:ascii="Times New Roman" w:hAnsi="Times New Roman"/>
                <w:bCs/>
                <w:color w:val="000000"/>
                <w:vertAlign w:val="superscript"/>
                <w:lang w:eastAsia="en-GB"/>
              </w:rPr>
              <w:t>-1</w:t>
            </w:r>
            <w:r w:rsidRPr="002405DE">
              <w:rPr>
                <w:rFonts w:ascii="Times New Roman" w:hAnsi="Times New Roman"/>
                <w:bCs/>
                <w:color w:val="000000"/>
                <w:lang w:eastAsia="en-GB"/>
              </w:rPr>
              <w:t>)</w:t>
            </w:r>
          </w:p>
        </w:tc>
        <w:tc>
          <w:tcPr>
            <w:tcW w:w="2409" w:type="dxa"/>
          </w:tcPr>
          <w:p w14:paraId="65201CF1" w14:textId="77777777" w:rsidR="00A45B7F" w:rsidRPr="002405DE" w:rsidRDefault="00A45B7F" w:rsidP="008C0406">
            <w:pPr>
              <w:spacing w:after="0"/>
              <w:jc w:val="center"/>
              <w:rPr>
                <w:rFonts w:ascii="Times New Roman" w:hAnsi="Times New Roman"/>
              </w:rPr>
            </w:pPr>
            <w:r w:rsidRPr="002405DE">
              <w:rPr>
                <w:rFonts w:ascii="Times New Roman" w:hAnsi="Times New Roman"/>
              </w:rPr>
              <w:t>23.0 (2.0)</w:t>
            </w:r>
          </w:p>
        </w:tc>
        <w:tc>
          <w:tcPr>
            <w:tcW w:w="2410" w:type="dxa"/>
          </w:tcPr>
          <w:p w14:paraId="1C03256A" w14:textId="77777777" w:rsidR="00A45B7F" w:rsidRPr="002405DE" w:rsidRDefault="00A45B7F" w:rsidP="008C0406">
            <w:pPr>
              <w:spacing w:after="0"/>
              <w:jc w:val="center"/>
              <w:rPr>
                <w:rFonts w:ascii="Times New Roman" w:hAnsi="Times New Roman"/>
              </w:rPr>
            </w:pPr>
            <w:r w:rsidRPr="002405DE">
              <w:rPr>
                <w:rFonts w:ascii="Times New Roman" w:hAnsi="Times New Roman"/>
              </w:rPr>
              <w:t>23.4 (2.7)</w:t>
            </w:r>
          </w:p>
        </w:tc>
        <w:tc>
          <w:tcPr>
            <w:tcW w:w="2410" w:type="dxa"/>
          </w:tcPr>
          <w:p w14:paraId="3FBF2182" w14:textId="77777777" w:rsidR="00A45B7F" w:rsidRPr="002405DE" w:rsidRDefault="00A45B7F" w:rsidP="008C0406">
            <w:pPr>
              <w:spacing w:after="0"/>
              <w:jc w:val="center"/>
              <w:rPr>
                <w:rFonts w:ascii="Times New Roman" w:hAnsi="Times New Roman"/>
              </w:rPr>
            </w:pPr>
            <w:r w:rsidRPr="002405DE">
              <w:rPr>
                <w:rFonts w:ascii="Times New Roman" w:hAnsi="Times New Roman"/>
              </w:rPr>
              <w:t>23.8 (2.3)</w:t>
            </w:r>
          </w:p>
        </w:tc>
      </w:tr>
      <w:tr w:rsidR="00A45B7F" w:rsidRPr="002405DE" w14:paraId="3EC80D67" w14:textId="77777777" w:rsidTr="008C0406">
        <w:tc>
          <w:tcPr>
            <w:tcW w:w="2943" w:type="dxa"/>
          </w:tcPr>
          <w:p w14:paraId="0A5B8208"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Cortical area (mm</w:t>
            </w:r>
            <w:r w:rsidRPr="002405DE">
              <w:rPr>
                <w:rFonts w:ascii="Times New Roman" w:hAnsi="Times New Roman"/>
                <w:bCs/>
                <w:color w:val="000000"/>
                <w:vertAlign w:val="superscript"/>
                <w:lang w:eastAsia="en-GB"/>
              </w:rPr>
              <w:t>2</w:t>
            </w:r>
            <w:r w:rsidRPr="002405DE">
              <w:rPr>
                <w:rFonts w:ascii="Times New Roman" w:hAnsi="Times New Roman"/>
                <w:bCs/>
                <w:color w:val="000000"/>
                <w:lang w:eastAsia="en-GB"/>
              </w:rPr>
              <w:t>)</w:t>
            </w:r>
          </w:p>
        </w:tc>
        <w:tc>
          <w:tcPr>
            <w:tcW w:w="2409" w:type="dxa"/>
          </w:tcPr>
          <w:p w14:paraId="7398264C" w14:textId="77777777" w:rsidR="00A45B7F" w:rsidRPr="002405DE" w:rsidRDefault="00A45B7F" w:rsidP="008C0406">
            <w:pPr>
              <w:spacing w:after="0"/>
              <w:jc w:val="center"/>
              <w:rPr>
                <w:rFonts w:ascii="Times New Roman" w:hAnsi="Times New Roman"/>
              </w:rPr>
            </w:pPr>
            <w:r w:rsidRPr="002405DE">
              <w:rPr>
                <w:rFonts w:ascii="Times New Roman" w:hAnsi="Times New Roman"/>
              </w:rPr>
              <w:t>69.7 (12.6)</w:t>
            </w:r>
          </w:p>
        </w:tc>
        <w:tc>
          <w:tcPr>
            <w:tcW w:w="2410" w:type="dxa"/>
          </w:tcPr>
          <w:p w14:paraId="2F02370F" w14:textId="77777777" w:rsidR="00A45B7F" w:rsidRPr="002405DE" w:rsidRDefault="00A45B7F" w:rsidP="008C0406">
            <w:pPr>
              <w:spacing w:after="0"/>
              <w:jc w:val="center"/>
              <w:rPr>
                <w:rFonts w:ascii="Times New Roman" w:hAnsi="Times New Roman"/>
              </w:rPr>
            </w:pPr>
            <w:r w:rsidRPr="002405DE">
              <w:rPr>
                <w:rFonts w:ascii="Times New Roman" w:hAnsi="Times New Roman"/>
              </w:rPr>
              <w:t>70.3 (14.1)</w:t>
            </w:r>
          </w:p>
        </w:tc>
        <w:tc>
          <w:tcPr>
            <w:tcW w:w="2410" w:type="dxa"/>
          </w:tcPr>
          <w:p w14:paraId="03070143" w14:textId="77777777" w:rsidR="00A45B7F" w:rsidRPr="002405DE" w:rsidRDefault="00A45B7F" w:rsidP="008C0406">
            <w:pPr>
              <w:spacing w:after="0"/>
              <w:jc w:val="center"/>
              <w:rPr>
                <w:rFonts w:ascii="Times New Roman" w:hAnsi="Times New Roman"/>
              </w:rPr>
            </w:pPr>
            <w:r w:rsidRPr="002405DE">
              <w:rPr>
                <w:rFonts w:ascii="Times New Roman" w:hAnsi="Times New Roman"/>
              </w:rPr>
              <w:t>72.7 (11.7)</w:t>
            </w:r>
          </w:p>
        </w:tc>
      </w:tr>
      <w:tr w:rsidR="00A45B7F" w:rsidRPr="002405DE" w14:paraId="105FAA7E" w14:textId="77777777" w:rsidTr="008C0406">
        <w:tc>
          <w:tcPr>
            <w:tcW w:w="2943" w:type="dxa"/>
          </w:tcPr>
          <w:p w14:paraId="1BB70CC0"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Cortical thickness (</w:t>
            </w:r>
            <w:proofErr w:type="spellStart"/>
            <w:r w:rsidRPr="002405DE">
              <w:rPr>
                <w:rFonts w:ascii="Times New Roman" w:hAnsi="Times New Roman"/>
                <w:bCs/>
                <w:color w:val="000000"/>
                <w:lang w:eastAsia="en-GB"/>
              </w:rPr>
              <w:t>μm</w:t>
            </w:r>
            <w:proofErr w:type="spellEnd"/>
            <w:r w:rsidRPr="002405DE">
              <w:rPr>
                <w:rFonts w:ascii="Times New Roman" w:hAnsi="Times New Roman"/>
                <w:bCs/>
                <w:color w:val="000000"/>
                <w:lang w:eastAsia="en-GB"/>
              </w:rPr>
              <w:t>)</w:t>
            </w:r>
          </w:p>
        </w:tc>
        <w:tc>
          <w:tcPr>
            <w:tcW w:w="2409" w:type="dxa"/>
          </w:tcPr>
          <w:p w14:paraId="5870F48B" w14:textId="77777777" w:rsidR="00A45B7F" w:rsidRPr="002405DE" w:rsidRDefault="00A45B7F" w:rsidP="008C0406">
            <w:pPr>
              <w:spacing w:after="0"/>
              <w:jc w:val="center"/>
              <w:rPr>
                <w:rFonts w:ascii="Times New Roman" w:hAnsi="Times New Roman"/>
              </w:rPr>
            </w:pPr>
            <w:r w:rsidRPr="002405DE">
              <w:rPr>
                <w:rFonts w:ascii="Times New Roman" w:hAnsi="Times New Roman"/>
              </w:rPr>
              <w:t>808.6 (165.2)</w:t>
            </w:r>
          </w:p>
        </w:tc>
        <w:tc>
          <w:tcPr>
            <w:tcW w:w="2410" w:type="dxa"/>
          </w:tcPr>
          <w:p w14:paraId="00626DB0" w14:textId="77777777" w:rsidR="00A45B7F" w:rsidRPr="002405DE" w:rsidRDefault="00A45B7F" w:rsidP="008C0406">
            <w:pPr>
              <w:spacing w:after="0"/>
              <w:jc w:val="center"/>
              <w:rPr>
                <w:rFonts w:ascii="Times New Roman" w:hAnsi="Times New Roman"/>
              </w:rPr>
            </w:pPr>
            <w:r w:rsidRPr="002405DE">
              <w:rPr>
                <w:rFonts w:ascii="Times New Roman" w:hAnsi="Times New Roman"/>
              </w:rPr>
              <w:t>812.5 (186.4)</w:t>
            </w:r>
          </w:p>
        </w:tc>
        <w:tc>
          <w:tcPr>
            <w:tcW w:w="2410" w:type="dxa"/>
          </w:tcPr>
          <w:p w14:paraId="5B16AFB5" w14:textId="77777777" w:rsidR="00A45B7F" w:rsidRPr="002405DE" w:rsidRDefault="00A45B7F" w:rsidP="008C0406">
            <w:pPr>
              <w:spacing w:after="0"/>
              <w:jc w:val="center"/>
              <w:rPr>
                <w:rFonts w:ascii="Times New Roman" w:hAnsi="Times New Roman"/>
              </w:rPr>
            </w:pPr>
            <w:r w:rsidRPr="002405DE">
              <w:rPr>
                <w:rFonts w:ascii="Times New Roman" w:hAnsi="Times New Roman"/>
              </w:rPr>
              <w:t>831.5 (144.1)</w:t>
            </w:r>
          </w:p>
        </w:tc>
      </w:tr>
      <w:tr w:rsidR="00A45B7F" w:rsidRPr="002405DE" w14:paraId="28676C1D" w14:textId="77777777" w:rsidTr="008C0406">
        <w:tc>
          <w:tcPr>
            <w:tcW w:w="2943" w:type="dxa"/>
          </w:tcPr>
          <w:p w14:paraId="411C6FAD"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Cortical density (mg/cm</w:t>
            </w:r>
            <w:r w:rsidRPr="002405DE">
              <w:rPr>
                <w:rFonts w:ascii="Times New Roman" w:hAnsi="Times New Roman"/>
                <w:bCs/>
                <w:color w:val="000000"/>
                <w:vertAlign w:val="superscript"/>
                <w:lang w:eastAsia="en-GB"/>
              </w:rPr>
              <w:t>3</w:t>
            </w:r>
            <w:r w:rsidRPr="002405DE">
              <w:rPr>
                <w:rFonts w:ascii="Times New Roman" w:hAnsi="Times New Roman"/>
                <w:bCs/>
                <w:color w:val="000000"/>
                <w:lang w:eastAsia="en-GB"/>
              </w:rPr>
              <w:t>)</w:t>
            </w:r>
          </w:p>
        </w:tc>
        <w:tc>
          <w:tcPr>
            <w:tcW w:w="2409" w:type="dxa"/>
          </w:tcPr>
          <w:p w14:paraId="7AF519C2" w14:textId="77777777" w:rsidR="00A45B7F" w:rsidRPr="002405DE" w:rsidRDefault="00A45B7F" w:rsidP="008C0406">
            <w:pPr>
              <w:spacing w:after="0"/>
              <w:jc w:val="center"/>
              <w:rPr>
                <w:rFonts w:ascii="Times New Roman" w:hAnsi="Times New Roman"/>
              </w:rPr>
            </w:pPr>
            <w:r w:rsidRPr="002405DE">
              <w:rPr>
                <w:rFonts w:ascii="Times New Roman" w:hAnsi="Times New Roman"/>
              </w:rPr>
              <w:t>906.7 (51.4)</w:t>
            </w:r>
          </w:p>
        </w:tc>
        <w:tc>
          <w:tcPr>
            <w:tcW w:w="2410" w:type="dxa"/>
          </w:tcPr>
          <w:p w14:paraId="27EA267B" w14:textId="77777777" w:rsidR="00A45B7F" w:rsidRPr="002405DE" w:rsidRDefault="00A45B7F" w:rsidP="008C0406">
            <w:pPr>
              <w:spacing w:after="0"/>
              <w:jc w:val="center"/>
              <w:rPr>
                <w:rFonts w:ascii="Times New Roman" w:hAnsi="Times New Roman"/>
              </w:rPr>
            </w:pPr>
            <w:r w:rsidRPr="002405DE">
              <w:rPr>
                <w:rFonts w:ascii="Times New Roman" w:hAnsi="Times New Roman"/>
              </w:rPr>
              <w:t>905.6 (53.6)</w:t>
            </w:r>
          </w:p>
        </w:tc>
        <w:tc>
          <w:tcPr>
            <w:tcW w:w="2410" w:type="dxa"/>
          </w:tcPr>
          <w:p w14:paraId="5CD31207" w14:textId="77777777" w:rsidR="00A45B7F" w:rsidRPr="002405DE" w:rsidRDefault="00A45B7F" w:rsidP="008C0406">
            <w:pPr>
              <w:spacing w:after="0"/>
              <w:jc w:val="center"/>
              <w:rPr>
                <w:rFonts w:ascii="Times New Roman" w:hAnsi="Times New Roman"/>
              </w:rPr>
            </w:pPr>
            <w:r w:rsidRPr="002405DE">
              <w:rPr>
                <w:rFonts w:ascii="Times New Roman" w:hAnsi="Times New Roman"/>
              </w:rPr>
              <w:t>911.8 (41.9)</w:t>
            </w:r>
          </w:p>
        </w:tc>
      </w:tr>
      <w:tr w:rsidR="00A45B7F" w:rsidRPr="002405DE" w14:paraId="617E1210" w14:textId="77777777" w:rsidTr="008C0406">
        <w:tc>
          <w:tcPr>
            <w:tcW w:w="2943" w:type="dxa"/>
          </w:tcPr>
          <w:p w14:paraId="22AB58A6"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Cortical porosity (%)</w:t>
            </w:r>
          </w:p>
        </w:tc>
        <w:tc>
          <w:tcPr>
            <w:tcW w:w="2409" w:type="dxa"/>
          </w:tcPr>
          <w:p w14:paraId="2274900E" w14:textId="77777777" w:rsidR="00A45B7F" w:rsidRPr="002405DE" w:rsidRDefault="00A45B7F" w:rsidP="008C0406">
            <w:pPr>
              <w:spacing w:after="0"/>
              <w:jc w:val="center"/>
              <w:rPr>
                <w:rFonts w:ascii="Times New Roman" w:hAnsi="Times New Roman"/>
              </w:rPr>
            </w:pPr>
            <w:r w:rsidRPr="002405DE">
              <w:rPr>
                <w:rFonts w:ascii="Times New Roman" w:hAnsi="Times New Roman"/>
              </w:rPr>
              <w:t>3.9 (1.2)</w:t>
            </w:r>
          </w:p>
        </w:tc>
        <w:tc>
          <w:tcPr>
            <w:tcW w:w="2410" w:type="dxa"/>
          </w:tcPr>
          <w:p w14:paraId="6CC721F4" w14:textId="77777777" w:rsidR="00A45B7F" w:rsidRPr="002405DE" w:rsidRDefault="00A45B7F" w:rsidP="008C0406">
            <w:pPr>
              <w:spacing w:after="0"/>
              <w:jc w:val="center"/>
              <w:rPr>
                <w:rFonts w:ascii="Times New Roman" w:hAnsi="Times New Roman"/>
              </w:rPr>
            </w:pPr>
            <w:r w:rsidRPr="002405DE">
              <w:rPr>
                <w:rFonts w:ascii="Times New Roman" w:hAnsi="Times New Roman"/>
              </w:rPr>
              <w:t>4.1 (1.5)</w:t>
            </w:r>
          </w:p>
        </w:tc>
        <w:tc>
          <w:tcPr>
            <w:tcW w:w="2410" w:type="dxa"/>
          </w:tcPr>
          <w:p w14:paraId="2E6E88AD" w14:textId="77777777" w:rsidR="00A45B7F" w:rsidRPr="002405DE" w:rsidRDefault="00A45B7F" w:rsidP="008C0406">
            <w:pPr>
              <w:spacing w:after="0"/>
              <w:jc w:val="center"/>
              <w:rPr>
                <w:rFonts w:ascii="Times New Roman" w:hAnsi="Times New Roman"/>
              </w:rPr>
            </w:pPr>
            <w:r w:rsidRPr="002405DE">
              <w:rPr>
                <w:rFonts w:ascii="Times New Roman" w:hAnsi="Times New Roman"/>
              </w:rPr>
              <w:t>4.2 (1.3)</w:t>
            </w:r>
          </w:p>
        </w:tc>
      </w:tr>
    </w:tbl>
    <w:p w14:paraId="3C87D903" w14:textId="77777777" w:rsidR="00A45B7F" w:rsidRDefault="00A45B7F" w:rsidP="00A45B7F">
      <w:pPr>
        <w:spacing w:after="0"/>
      </w:pPr>
    </w:p>
    <w:p w14:paraId="429D22D4" w14:textId="77777777" w:rsidR="00A45B7F" w:rsidRDefault="00A45B7F" w:rsidP="00805B2A">
      <w:pPr>
        <w:spacing w:after="0" w:line="360" w:lineRule="auto"/>
        <w:rPr>
          <w:rFonts w:ascii="Times New Roman" w:hAnsi="Times New Roman"/>
          <w:sz w:val="24"/>
          <w:szCs w:val="24"/>
        </w:rPr>
      </w:pPr>
    </w:p>
    <w:p w14:paraId="214DF795" w14:textId="77777777" w:rsidR="00A45B7F" w:rsidRDefault="00A45B7F" w:rsidP="00805B2A">
      <w:pPr>
        <w:spacing w:after="0" w:line="360" w:lineRule="auto"/>
        <w:rPr>
          <w:rFonts w:ascii="Times New Roman" w:hAnsi="Times New Roman"/>
          <w:sz w:val="24"/>
          <w:szCs w:val="24"/>
        </w:rPr>
      </w:pPr>
    </w:p>
    <w:p w14:paraId="471FDD6E" w14:textId="77777777" w:rsidR="00FB15D6" w:rsidRDefault="00FB15D6" w:rsidP="00805B2A">
      <w:pPr>
        <w:spacing w:after="0" w:line="360" w:lineRule="auto"/>
        <w:rPr>
          <w:rFonts w:ascii="Times New Roman" w:hAnsi="Times New Roman"/>
          <w:sz w:val="24"/>
          <w:szCs w:val="24"/>
        </w:rPr>
      </w:pPr>
    </w:p>
    <w:p w14:paraId="2C7E97AF" w14:textId="77777777" w:rsidR="00A45B7F" w:rsidRDefault="00A45B7F" w:rsidP="00805B2A">
      <w:pPr>
        <w:spacing w:after="0" w:line="360" w:lineRule="auto"/>
        <w:rPr>
          <w:rFonts w:ascii="Times New Roman" w:hAnsi="Times New Roman"/>
          <w:sz w:val="24"/>
          <w:szCs w:val="24"/>
        </w:rPr>
      </w:pPr>
    </w:p>
    <w:p w14:paraId="0F8DDC6F" w14:textId="77777777" w:rsidR="00A45B7F" w:rsidRDefault="00A45B7F" w:rsidP="00805B2A">
      <w:pPr>
        <w:spacing w:after="0" w:line="360" w:lineRule="auto"/>
        <w:rPr>
          <w:rFonts w:ascii="Times New Roman" w:hAnsi="Times New Roman"/>
          <w:sz w:val="24"/>
          <w:szCs w:val="24"/>
        </w:rPr>
      </w:pPr>
    </w:p>
    <w:p w14:paraId="504E4938" w14:textId="77777777" w:rsidR="00A45B7F" w:rsidRDefault="00A45B7F" w:rsidP="00805B2A">
      <w:pPr>
        <w:spacing w:after="0" w:line="360" w:lineRule="auto"/>
        <w:rPr>
          <w:rFonts w:ascii="Times New Roman" w:hAnsi="Times New Roman"/>
          <w:sz w:val="24"/>
          <w:szCs w:val="24"/>
        </w:rPr>
      </w:pPr>
    </w:p>
    <w:p w14:paraId="665BBA57" w14:textId="77777777" w:rsidR="00A45B7F" w:rsidRDefault="00A45B7F" w:rsidP="00805B2A">
      <w:pPr>
        <w:spacing w:after="0" w:line="360" w:lineRule="auto"/>
        <w:rPr>
          <w:rFonts w:ascii="Times New Roman" w:hAnsi="Times New Roman"/>
          <w:sz w:val="24"/>
          <w:szCs w:val="24"/>
        </w:rPr>
      </w:pPr>
    </w:p>
    <w:p w14:paraId="68088301" w14:textId="77777777" w:rsidR="00A45B7F" w:rsidRDefault="00A45B7F" w:rsidP="00805B2A">
      <w:pPr>
        <w:spacing w:after="0" w:line="360" w:lineRule="auto"/>
        <w:rPr>
          <w:rFonts w:ascii="Times New Roman" w:hAnsi="Times New Roman"/>
          <w:sz w:val="24"/>
          <w:szCs w:val="24"/>
        </w:rPr>
      </w:pPr>
    </w:p>
    <w:p w14:paraId="2996B0AE" w14:textId="77777777" w:rsidR="00A45B7F" w:rsidRDefault="00A45B7F" w:rsidP="00805B2A">
      <w:pPr>
        <w:spacing w:after="0" w:line="360" w:lineRule="auto"/>
        <w:rPr>
          <w:rFonts w:ascii="Times New Roman" w:hAnsi="Times New Roman"/>
          <w:sz w:val="24"/>
          <w:szCs w:val="24"/>
        </w:rPr>
      </w:pPr>
    </w:p>
    <w:p w14:paraId="1504CB98" w14:textId="77777777" w:rsidR="00A45B7F" w:rsidRDefault="00A45B7F" w:rsidP="00805B2A">
      <w:pPr>
        <w:spacing w:after="0" w:line="360" w:lineRule="auto"/>
        <w:rPr>
          <w:rFonts w:ascii="Times New Roman" w:hAnsi="Times New Roman"/>
          <w:sz w:val="24"/>
          <w:szCs w:val="24"/>
        </w:rPr>
      </w:pPr>
    </w:p>
    <w:p w14:paraId="74034B86" w14:textId="77777777" w:rsidR="00A45B7F" w:rsidRPr="00BE4C82" w:rsidRDefault="00A45B7F" w:rsidP="00A45B7F">
      <w:pPr>
        <w:spacing w:after="0"/>
        <w:rPr>
          <w:rFonts w:ascii="Times New Roman" w:hAnsi="Times New Roman"/>
          <w:b/>
          <w:sz w:val="24"/>
          <w:szCs w:val="24"/>
        </w:rPr>
      </w:pPr>
      <w:r>
        <w:rPr>
          <w:rFonts w:ascii="Times New Roman" w:hAnsi="Times New Roman"/>
          <w:b/>
          <w:sz w:val="24"/>
          <w:szCs w:val="24"/>
        </w:rPr>
        <w:t xml:space="preserve">Table 3 - </w:t>
      </w:r>
      <w:proofErr w:type="spellStart"/>
      <w:r>
        <w:rPr>
          <w:rFonts w:ascii="Times New Roman" w:hAnsi="Times New Roman"/>
          <w:b/>
          <w:sz w:val="24"/>
          <w:szCs w:val="24"/>
        </w:rPr>
        <w:t>T</w:t>
      </w:r>
      <w:r w:rsidRPr="00BE4C82">
        <w:rPr>
          <w:rFonts w:ascii="Times New Roman" w:hAnsi="Times New Roman"/>
          <w:b/>
          <w:sz w:val="24"/>
          <w:szCs w:val="24"/>
        </w:rPr>
        <w:t>ibial</w:t>
      </w:r>
      <w:proofErr w:type="spellEnd"/>
      <w:r w:rsidRPr="00BE4C82">
        <w:rPr>
          <w:rFonts w:ascii="Times New Roman" w:hAnsi="Times New Roman"/>
          <w:b/>
          <w:sz w:val="24"/>
          <w:szCs w:val="24"/>
        </w:rPr>
        <w:t xml:space="preserve"> bone </w:t>
      </w:r>
      <w:proofErr w:type="spellStart"/>
      <w:r w:rsidRPr="00BE4C82">
        <w:rPr>
          <w:rFonts w:ascii="Times New Roman" w:hAnsi="Times New Roman"/>
          <w:b/>
          <w:sz w:val="24"/>
          <w:szCs w:val="24"/>
        </w:rPr>
        <w:t>microarchitectural</w:t>
      </w:r>
      <w:proofErr w:type="spellEnd"/>
      <w:r w:rsidRPr="00BE4C82">
        <w:rPr>
          <w:rFonts w:ascii="Times New Roman" w:hAnsi="Times New Roman"/>
          <w:b/>
          <w:sz w:val="24"/>
          <w:szCs w:val="24"/>
        </w:rPr>
        <w:t xml:space="preserve"> parameters in men by bony features of hip osteoarthritis  </w:t>
      </w:r>
    </w:p>
    <w:p w14:paraId="3D75548F" w14:textId="77777777" w:rsidR="00A45B7F" w:rsidRPr="00BE4C82" w:rsidRDefault="00A45B7F" w:rsidP="00A45B7F">
      <w:pPr>
        <w:spacing w:after="0"/>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2943"/>
        <w:gridCol w:w="2409"/>
        <w:gridCol w:w="2410"/>
        <w:gridCol w:w="2410"/>
      </w:tblGrid>
      <w:tr w:rsidR="00A45B7F" w:rsidRPr="002405DE" w14:paraId="0BF540D8" w14:textId="77777777" w:rsidTr="008C0406">
        <w:tc>
          <w:tcPr>
            <w:tcW w:w="2943" w:type="dxa"/>
            <w:vMerge w:val="restart"/>
          </w:tcPr>
          <w:p w14:paraId="5939B59C" w14:textId="77777777" w:rsidR="00A45B7F" w:rsidRPr="002405DE" w:rsidRDefault="00A45B7F" w:rsidP="008C0406">
            <w:pPr>
              <w:spacing w:after="0" w:line="240" w:lineRule="auto"/>
              <w:rPr>
                <w:rFonts w:ascii="Times New Roman" w:hAnsi="Times New Roman"/>
                <w:b/>
              </w:rPr>
            </w:pPr>
            <w:r w:rsidRPr="002405DE">
              <w:rPr>
                <w:rFonts w:ascii="Times New Roman" w:hAnsi="Times New Roman"/>
                <w:b/>
              </w:rPr>
              <w:t>Bone parameter</w:t>
            </w:r>
          </w:p>
        </w:tc>
        <w:tc>
          <w:tcPr>
            <w:tcW w:w="7229" w:type="dxa"/>
            <w:gridSpan w:val="3"/>
          </w:tcPr>
          <w:p w14:paraId="15F8FC57" w14:textId="77777777" w:rsidR="00A45B7F" w:rsidRPr="002405DE" w:rsidRDefault="00A45B7F" w:rsidP="008C0406">
            <w:pPr>
              <w:spacing w:after="0"/>
              <w:jc w:val="center"/>
              <w:rPr>
                <w:rFonts w:ascii="Times New Roman" w:hAnsi="Times New Roman"/>
                <w:b/>
              </w:rPr>
            </w:pPr>
            <w:r w:rsidRPr="002405DE">
              <w:rPr>
                <w:rFonts w:ascii="Times New Roman" w:hAnsi="Times New Roman"/>
                <w:b/>
              </w:rPr>
              <w:t>Mean (SD)</w:t>
            </w:r>
          </w:p>
        </w:tc>
      </w:tr>
      <w:tr w:rsidR="00A45B7F" w:rsidRPr="002405DE" w14:paraId="0C6C1620" w14:textId="77777777" w:rsidTr="008C0406">
        <w:tc>
          <w:tcPr>
            <w:tcW w:w="2943" w:type="dxa"/>
            <w:vMerge/>
          </w:tcPr>
          <w:p w14:paraId="5AC54A86" w14:textId="77777777" w:rsidR="00A45B7F" w:rsidRPr="002405DE" w:rsidRDefault="00A45B7F" w:rsidP="008C0406">
            <w:pPr>
              <w:spacing w:after="0"/>
              <w:rPr>
                <w:rFonts w:ascii="Times New Roman" w:hAnsi="Times New Roman"/>
                <w:b/>
              </w:rPr>
            </w:pPr>
          </w:p>
        </w:tc>
        <w:tc>
          <w:tcPr>
            <w:tcW w:w="2409" w:type="dxa"/>
          </w:tcPr>
          <w:p w14:paraId="5DC8EF63" w14:textId="77777777" w:rsidR="00A45B7F" w:rsidRPr="002405DE" w:rsidRDefault="00A45B7F" w:rsidP="008C0406">
            <w:pPr>
              <w:spacing w:after="0"/>
              <w:jc w:val="center"/>
              <w:rPr>
                <w:rFonts w:ascii="Times New Roman" w:hAnsi="Times New Roman"/>
                <w:b/>
              </w:rPr>
            </w:pPr>
            <w:r w:rsidRPr="002405DE">
              <w:rPr>
                <w:rFonts w:ascii="Times New Roman" w:hAnsi="Times New Roman"/>
                <w:b/>
              </w:rPr>
              <w:t>No bony changes</w:t>
            </w:r>
          </w:p>
          <w:p w14:paraId="00949AB6" w14:textId="77777777" w:rsidR="00A45B7F" w:rsidRPr="002405DE" w:rsidRDefault="00A45B7F" w:rsidP="008C0406">
            <w:pPr>
              <w:spacing w:after="0"/>
              <w:jc w:val="center"/>
              <w:rPr>
                <w:rFonts w:ascii="Times New Roman" w:hAnsi="Times New Roman"/>
              </w:rPr>
            </w:pPr>
            <w:r w:rsidRPr="002405DE">
              <w:rPr>
                <w:rFonts w:ascii="Times New Roman" w:hAnsi="Times New Roman"/>
              </w:rPr>
              <w:t>(</w:t>
            </w:r>
            <w:r w:rsidR="00FB15D6">
              <w:rPr>
                <w:rFonts w:ascii="Times New Roman" w:hAnsi="Times New Roman"/>
              </w:rPr>
              <w:t>n=46</w:t>
            </w:r>
            <w:r w:rsidRPr="002405DE">
              <w:rPr>
                <w:rFonts w:ascii="Times New Roman" w:hAnsi="Times New Roman"/>
              </w:rPr>
              <w:t>)</w:t>
            </w:r>
          </w:p>
          <w:p w14:paraId="5FFFE140" w14:textId="77777777" w:rsidR="00A45B7F" w:rsidRPr="002405DE" w:rsidRDefault="00A45B7F" w:rsidP="008C0406">
            <w:pPr>
              <w:spacing w:after="0"/>
              <w:jc w:val="center"/>
              <w:rPr>
                <w:rFonts w:ascii="Times New Roman" w:hAnsi="Times New Roman"/>
              </w:rPr>
            </w:pPr>
          </w:p>
        </w:tc>
        <w:tc>
          <w:tcPr>
            <w:tcW w:w="2410" w:type="dxa"/>
          </w:tcPr>
          <w:p w14:paraId="767149BC" w14:textId="77777777" w:rsidR="00A45B7F" w:rsidRPr="002405DE" w:rsidRDefault="00A45B7F" w:rsidP="008C0406">
            <w:pPr>
              <w:spacing w:after="0"/>
              <w:jc w:val="center"/>
              <w:rPr>
                <w:rFonts w:ascii="Times New Roman" w:hAnsi="Times New Roman"/>
                <w:b/>
              </w:rPr>
            </w:pPr>
            <w:r w:rsidRPr="002405DE">
              <w:rPr>
                <w:rFonts w:ascii="Times New Roman" w:hAnsi="Times New Roman"/>
                <w:b/>
              </w:rPr>
              <w:t>Osteophytes only</w:t>
            </w:r>
          </w:p>
          <w:p w14:paraId="7326B5C4" w14:textId="77777777" w:rsidR="00A45B7F" w:rsidRPr="002405DE" w:rsidRDefault="00A45B7F" w:rsidP="00FB15D6">
            <w:pPr>
              <w:spacing w:after="0"/>
              <w:jc w:val="center"/>
              <w:rPr>
                <w:rFonts w:ascii="Times New Roman" w:hAnsi="Times New Roman"/>
              </w:rPr>
            </w:pPr>
            <w:r w:rsidRPr="002405DE">
              <w:rPr>
                <w:rFonts w:ascii="Times New Roman" w:hAnsi="Times New Roman"/>
              </w:rPr>
              <w:t>(n=86)</w:t>
            </w:r>
          </w:p>
        </w:tc>
        <w:tc>
          <w:tcPr>
            <w:tcW w:w="2410" w:type="dxa"/>
          </w:tcPr>
          <w:p w14:paraId="2F1825CD" w14:textId="77777777" w:rsidR="00A45B7F" w:rsidRPr="002405DE" w:rsidRDefault="00A45B7F" w:rsidP="008C0406">
            <w:pPr>
              <w:spacing w:after="0"/>
              <w:jc w:val="center"/>
              <w:rPr>
                <w:rFonts w:ascii="Times New Roman" w:hAnsi="Times New Roman"/>
                <w:b/>
              </w:rPr>
            </w:pPr>
            <w:r w:rsidRPr="002405DE">
              <w:rPr>
                <w:rFonts w:ascii="Times New Roman" w:hAnsi="Times New Roman"/>
                <w:b/>
              </w:rPr>
              <w:t>Osteophytes &amp; Sclerosis</w:t>
            </w:r>
          </w:p>
          <w:p w14:paraId="4C6EFE37" w14:textId="77777777" w:rsidR="00A45B7F" w:rsidRDefault="00FB15D6" w:rsidP="00FB15D6">
            <w:pPr>
              <w:spacing w:after="0"/>
              <w:jc w:val="center"/>
              <w:rPr>
                <w:rFonts w:ascii="Times New Roman" w:hAnsi="Times New Roman"/>
              </w:rPr>
            </w:pPr>
            <w:r>
              <w:rPr>
                <w:rFonts w:ascii="Times New Roman" w:hAnsi="Times New Roman"/>
              </w:rPr>
              <w:t>(n=29</w:t>
            </w:r>
            <w:r w:rsidR="00A45B7F" w:rsidRPr="002405DE">
              <w:rPr>
                <w:rFonts w:ascii="Times New Roman" w:hAnsi="Times New Roman"/>
              </w:rPr>
              <w:t>)</w:t>
            </w:r>
          </w:p>
          <w:p w14:paraId="591B6E87" w14:textId="77777777" w:rsidR="00FB15D6" w:rsidRPr="002405DE" w:rsidRDefault="00FB15D6" w:rsidP="00FB15D6">
            <w:pPr>
              <w:spacing w:after="0"/>
              <w:jc w:val="center"/>
              <w:rPr>
                <w:rFonts w:ascii="Times New Roman" w:hAnsi="Times New Roman"/>
              </w:rPr>
            </w:pPr>
          </w:p>
        </w:tc>
      </w:tr>
      <w:tr w:rsidR="00A45B7F" w:rsidRPr="002405DE" w14:paraId="68E73FA9" w14:textId="77777777" w:rsidTr="002B4DF1">
        <w:trPr>
          <w:trHeight w:val="289"/>
        </w:trPr>
        <w:tc>
          <w:tcPr>
            <w:tcW w:w="2943" w:type="dxa"/>
          </w:tcPr>
          <w:p w14:paraId="29997E60"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Trabecular area (mm</w:t>
            </w:r>
            <w:r w:rsidRPr="002405DE">
              <w:rPr>
                <w:rFonts w:ascii="Times New Roman" w:hAnsi="Times New Roman"/>
                <w:bCs/>
                <w:color w:val="000000"/>
                <w:vertAlign w:val="superscript"/>
                <w:lang w:eastAsia="en-GB"/>
              </w:rPr>
              <w:t>2</w:t>
            </w:r>
            <w:r w:rsidRPr="002405DE">
              <w:rPr>
                <w:rFonts w:ascii="Times New Roman" w:hAnsi="Times New Roman"/>
                <w:bCs/>
                <w:color w:val="000000"/>
                <w:lang w:eastAsia="en-GB"/>
              </w:rPr>
              <w:t>)</w:t>
            </w:r>
          </w:p>
        </w:tc>
        <w:tc>
          <w:tcPr>
            <w:tcW w:w="2409" w:type="dxa"/>
          </w:tcPr>
          <w:p w14:paraId="0091FDEC" w14:textId="77777777" w:rsidR="00A45B7F" w:rsidRPr="002405DE" w:rsidRDefault="00A45B7F" w:rsidP="008C0406">
            <w:pPr>
              <w:spacing w:after="0"/>
              <w:jc w:val="center"/>
              <w:rPr>
                <w:rFonts w:ascii="Times New Roman" w:hAnsi="Times New Roman"/>
              </w:rPr>
            </w:pPr>
            <w:r w:rsidRPr="002405DE">
              <w:rPr>
                <w:rFonts w:ascii="Times New Roman" w:hAnsi="Times New Roman"/>
              </w:rPr>
              <w:t>764.0 (136.6)</w:t>
            </w:r>
          </w:p>
        </w:tc>
        <w:tc>
          <w:tcPr>
            <w:tcW w:w="2410" w:type="dxa"/>
          </w:tcPr>
          <w:p w14:paraId="7BC7006D" w14:textId="77777777" w:rsidR="00A45B7F" w:rsidRPr="002405DE" w:rsidRDefault="00A45B7F" w:rsidP="008C0406">
            <w:pPr>
              <w:spacing w:after="0"/>
              <w:jc w:val="center"/>
              <w:rPr>
                <w:rFonts w:ascii="Times New Roman" w:hAnsi="Times New Roman"/>
              </w:rPr>
            </w:pPr>
            <w:r w:rsidRPr="002405DE">
              <w:rPr>
                <w:rFonts w:ascii="Times New Roman" w:hAnsi="Times New Roman"/>
              </w:rPr>
              <w:t>781.7 (162.3)</w:t>
            </w:r>
          </w:p>
        </w:tc>
        <w:tc>
          <w:tcPr>
            <w:tcW w:w="2410" w:type="dxa"/>
          </w:tcPr>
          <w:p w14:paraId="1C68508F" w14:textId="77777777" w:rsidR="00A45B7F" w:rsidRPr="002405DE" w:rsidRDefault="00A45B7F" w:rsidP="008C0406">
            <w:pPr>
              <w:spacing w:after="0"/>
              <w:jc w:val="center"/>
              <w:rPr>
                <w:rFonts w:ascii="Times New Roman" w:hAnsi="Times New Roman"/>
              </w:rPr>
            </w:pPr>
            <w:r w:rsidRPr="002405DE">
              <w:rPr>
                <w:rFonts w:ascii="Times New Roman" w:hAnsi="Times New Roman"/>
              </w:rPr>
              <w:t>738.9 (106.6)</w:t>
            </w:r>
          </w:p>
        </w:tc>
      </w:tr>
      <w:tr w:rsidR="00A45B7F" w:rsidRPr="002405DE" w14:paraId="44AC6B23" w14:textId="77777777" w:rsidTr="002B4DF1">
        <w:trPr>
          <w:trHeight w:val="58"/>
        </w:trPr>
        <w:tc>
          <w:tcPr>
            <w:tcW w:w="2943" w:type="dxa"/>
          </w:tcPr>
          <w:p w14:paraId="0A821BB3" w14:textId="77777777" w:rsidR="00A45B7F" w:rsidRPr="002405DE" w:rsidRDefault="00A45B7F" w:rsidP="008C0406">
            <w:pPr>
              <w:spacing w:after="0"/>
              <w:rPr>
                <w:rFonts w:ascii="Times New Roman" w:hAnsi="Times New Roman"/>
              </w:rPr>
            </w:pPr>
            <w:r w:rsidRPr="002405DE">
              <w:rPr>
                <w:rFonts w:ascii="Times New Roman" w:hAnsi="Times New Roman"/>
                <w:bCs/>
                <w:color w:val="000000"/>
                <w:lang w:eastAsia="en-GB"/>
              </w:rPr>
              <w:t>Trabecular density (mg/cm</w:t>
            </w:r>
            <w:r w:rsidRPr="002405DE">
              <w:rPr>
                <w:rFonts w:ascii="Times New Roman" w:hAnsi="Times New Roman"/>
                <w:bCs/>
                <w:color w:val="000000"/>
                <w:vertAlign w:val="superscript"/>
                <w:lang w:eastAsia="en-GB"/>
              </w:rPr>
              <w:t>3</w:t>
            </w:r>
            <w:r w:rsidRPr="002405DE">
              <w:rPr>
                <w:rFonts w:ascii="Times New Roman" w:hAnsi="Times New Roman"/>
                <w:bCs/>
                <w:color w:val="000000"/>
                <w:lang w:eastAsia="en-GB"/>
              </w:rPr>
              <w:t>)</w:t>
            </w:r>
          </w:p>
        </w:tc>
        <w:tc>
          <w:tcPr>
            <w:tcW w:w="2409" w:type="dxa"/>
          </w:tcPr>
          <w:p w14:paraId="3C6D6BAF" w14:textId="77777777" w:rsidR="00A45B7F" w:rsidRPr="002405DE" w:rsidRDefault="00A45B7F" w:rsidP="008C0406">
            <w:pPr>
              <w:spacing w:after="0"/>
              <w:jc w:val="center"/>
              <w:rPr>
                <w:rFonts w:ascii="Times New Roman" w:hAnsi="Times New Roman"/>
              </w:rPr>
            </w:pPr>
            <w:r w:rsidRPr="002405DE">
              <w:rPr>
                <w:rFonts w:ascii="Times New Roman" w:hAnsi="Times New Roman"/>
              </w:rPr>
              <w:t>182.0 (30.1)</w:t>
            </w:r>
          </w:p>
        </w:tc>
        <w:tc>
          <w:tcPr>
            <w:tcW w:w="2410" w:type="dxa"/>
          </w:tcPr>
          <w:p w14:paraId="4CC8E141" w14:textId="77777777" w:rsidR="00A45B7F" w:rsidRPr="002405DE" w:rsidRDefault="00A45B7F" w:rsidP="008C0406">
            <w:pPr>
              <w:spacing w:after="0"/>
              <w:jc w:val="center"/>
              <w:rPr>
                <w:rFonts w:ascii="Times New Roman" w:hAnsi="Times New Roman"/>
              </w:rPr>
            </w:pPr>
            <w:r w:rsidRPr="002405DE">
              <w:rPr>
                <w:rFonts w:ascii="Times New Roman" w:hAnsi="Times New Roman"/>
              </w:rPr>
              <w:t>190.1 (37.3)</w:t>
            </w:r>
          </w:p>
        </w:tc>
        <w:tc>
          <w:tcPr>
            <w:tcW w:w="2410" w:type="dxa"/>
          </w:tcPr>
          <w:p w14:paraId="51765BCB" w14:textId="77777777" w:rsidR="00A45B7F" w:rsidRPr="002405DE" w:rsidRDefault="00A45B7F" w:rsidP="008C0406">
            <w:pPr>
              <w:spacing w:after="0"/>
              <w:jc w:val="center"/>
              <w:rPr>
                <w:rFonts w:ascii="Times New Roman" w:hAnsi="Times New Roman"/>
              </w:rPr>
            </w:pPr>
            <w:r w:rsidRPr="002405DE">
              <w:rPr>
                <w:rFonts w:ascii="Times New Roman" w:hAnsi="Times New Roman"/>
              </w:rPr>
              <w:t>191.7 (33.2)</w:t>
            </w:r>
          </w:p>
        </w:tc>
      </w:tr>
      <w:tr w:rsidR="00A45B7F" w:rsidRPr="002405DE" w14:paraId="333516B6" w14:textId="77777777" w:rsidTr="002B4DF1">
        <w:trPr>
          <w:trHeight w:val="58"/>
        </w:trPr>
        <w:tc>
          <w:tcPr>
            <w:tcW w:w="2943" w:type="dxa"/>
          </w:tcPr>
          <w:p w14:paraId="2597093D" w14:textId="77777777" w:rsidR="00A45B7F" w:rsidRPr="002405DE" w:rsidRDefault="00A45B7F" w:rsidP="008C0406">
            <w:pPr>
              <w:spacing w:after="0" w:line="240" w:lineRule="auto"/>
              <w:rPr>
                <w:rFonts w:ascii="Times New Roman" w:hAnsi="Times New Roman"/>
                <w:bCs/>
                <w:color w:val="000000"/>
                <w:lang w:eastAsia="en-GB"/>
              </w:rPr>
            </w:pPr>
            <w:r w:rsidRPr="002405DE">
              <w:rPr>
                <w:rFonts w:ascii="Times New Roman" w:hAnsi="Times New Roman"/>
                <w:bCs/>
                <w:color w:val="000000"/>
                <w:lang w:eastAsia="en-GB"/>
              </w:rPr>
              <w:t>Trabecular thickness (</w:t>
            </w:r>
            <w:proofErr w:type="spellStart"/>
            <w:r w:rsidRPr="002405DE">
              <w:rPr>
                <w:rFonts w:ascii="Times New Roman" w:hAnsi="Times New Roman"/>
                <w:bCs/>
                <w:color w:val="000000"/>
                <w:lang w:eastAsia="en-GB"/>
              </w:rPr>
              <w:t>μm</w:t>
            </w:r>
            <w:proofErr w:type="spellEnd"/>
            <w:r w:rsidRPr="002405DE">
              <w:rPr>
                <w:rFonts w:ascii="Times New Roman" w:hAnsi="Times New Roman"/>
                <w:bCs/>
                <w:color w:val="000000"/>
                <w:lang w:eastAsia="en-GB"/>
              </w:rPr>
              <w:t>)</w:t>
            </w:r>
          </w:p>
        </w:tc>
        <w:tc>
          <w:tcPr>
            <w:tcW w:w="2409" w:type="dxa"/>
          </w:tcPr>
          <w:p w14:paraId="2E4A35BD" w14:textId="77777777" w:rsidR="00A45B7F" w:rsidRPr="002405DE" w:rsidRDefault="00A45B7F" w:rsidP="008C0406">
            <w:pPr>
              <w:spacing w:after="0"/>
              <w:jc w:val="center"/>
              <w:rPr>
                <w:rFonts w:ascii="Times New Roman" w:hAnsi="Times New Roman"/>
              </w:rPr>
            </w:pPr>
            <w:r w:rsidRPr="002405DE">
              <w:rPr>
                <w:rFonts w:ascii="Times New Roman" w:hAnsi="Times New Roman"/>
              </w:rPr>
              <w:t>61.2 (9.7)</w:t>
            </w:r>
          </w:p>
        </w:tc>
        <w:tc>
          <w:tcPr>
            <w:tcW w:w="2410" w:type="dxa"/>
          </w:tcPr>
          <w:p w14:paraId="6FFC5F8F" w14:textId="77777777" w:rsidR="00A45B7F" w:rsidRPr="002405DE" w:rsidRDefault="00A45B7F" w:rsidP="008C0406">
            <w:pPr>
              <w:spacing w:after="0"/>
              <w:jc w:val="center"/>
              <w:rPr>
                <w:rFonts w:ascii="Times New Roman" w:hAnsi="Times New Roman"/>
              </w:rPr>
            </w:pPr>
            <w:r w:rsidRPr="002405DE">
              <w:rPr>
                <w:rFonts w:ascii="Times New Roman" w:hAnsi="Times New Roman"/>
              </w:rPr>
              <w:t>66.2 (10.4)</w:t>
            </w:r>
          </w:p>
        </w:tc>
        <w:tc>
          <w:tcPr>
            <w:tcW w:w="2410" w:type="dxa"/>
          </w:tcPr>
          <w:p w14:paraId="3FEAF13A" w14:textId="77777777" w:rsidR="00A45B7F" w:rsidRPr="002405DE" w:rsidRDefault="00A45B7F" w:rsidP="008C0406">
            <w:pPr>
              <w:spacing w:after="0"/>
              <w:jc w:val="center"/>
              <w:rPr>
                <w:rFonts w:ascii="Times New Roman" w:hAnsi="Times New Roman"/>
              </w:rPr>
            </w:pPr>
            <w:r w:rsidRPr="002405DE">
              <w:rPr>
                <w:rFonts w:ascii="Times New Roman" w:hAnsi="Times New Roman"/>
              </w:rPr>
              <w:t>65.7 (7.6)</w:t>
            </w:r>
          </w:p>
        </w:tc>
      </w:tr>
      <w:tr w:rsidR="00A45B7F" w:rsidRPr="002405DE" w14:paraId="260C0536" w14:textId="77777777" w:rsidTr="002B4DF1">
        <w:trPr>
          <w:trHeight w:val="58"/>
        </w:trPr>
        <w:tc>
          <w:tcPr>
            <w:tcW w:w="2943" w:type="dxa"/>
          </w:tcPr>
          <w:p w14:paraId="16B51963"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Trabecular number (cm</w:t>
            </w:r>
            <w:r w:rsidRPr="002405DE">
              <w:rPr>
                <w:rFonts w:ascii="Times New Roman" w:hAnsi="Times New Roman"/>
                <w:bCs/>
                <w:color w:val="000000"/>
                <w:vertAlign w:val="superscript"/>
                <w:lang w:eastAsia="en-GB"/>
              </w:rPr>
              <w:t>-1</w:t>
            </w:r>
            <w:r w:rsidRPr="002405DE">
              <w:rPr>
                <w:rFonts w:ascii="Times New Roman" w:hAnsi="Times New Roman"/>
                <w:bCs/>
                <w:color w:val="000000"/>
                <w:lang w:eastAsia="en-GB"/>
              </w:rPr>
              <w:t>)</w:t>
            </w:r>
          </w:p>
        </w:tc>
        <w:tc>
          <w:tcPr>
            <w:tcW w:w="2409" w:type="dxa"/>
          </w:tcPr>
          <w:p w14:paraId="3C9BB991" w14:textId="77777777" w:rsidR="00A45B7F" w:rsidRPr="002405DE" w:rsidRDefault="00A45B7F" w:rsidP="008C0406">
            <w:pPr>
              <w:spacing w:after="0"/>
              <w:jc w:val="center"/>
              <w:rPr>
                <w:rFonts w:ascii="Times New Roman" w:hAnsi="Times New Roman"/>
              </w:rPr>
            </w:pPr>
            <w:r w:rsidRPr="002405DE">
              <w:rPr>
                <w:rFonts w:ascii="Times New Roman" w:hAnsi="Times New Roman"/>
              </w:rPr>
              <w:t>24.9 (2.6)</w:t>
            </w:r>
          </w:p>
        </w:tc>
        <w:tc>
          <w:tcPr>
            <w:tcW w:w="2410" w:type="dxa"/>
          </w:tcPr>
          <w:p w14:paraId="3D2AB7E8" w14:textId="77777777" w:rsidR="00A45B7F" w:rsidRPr="002405DE" w:rsidRDefault="00A45B7F" w:rsidP="008C0406">
            <w:pPr>
              <w:spacing w:after="0"/>
              <w:jc w:val="center"/>
              <w:rPr>
                <w:rFonts w:ascii="Times New Roman" w:hAnsi="Times New Roman"/>
              </w:rPr>
            </w:pPr>
            <w:r w:rsidRPr="002405DE">
              <w:rPr>
                <w:rFonts w:ascii="Times New Roman" w:hAnsi="Times New Roman"/>
              </w:rPr>
              <w:t>24.0 (3.3)</w:t>
            </w:r>
          </w:p>
        </w:tc>
        <w:tc>
          <w:tcPr>
            <w:tcW w:w="2410" w:type="dxa"/>
          </w:tcPr>
          <w:p w14:paraId="2ADE1D05" w14:textId="77777777" w:rsidR="00A45B7F" w:rsidRPr="002405DE" w:rsidRDefault="00A45B7F" w:rsidP="008C0406">
            <w:pPr>
              <w:spacing w:after="0"/>
              <w:jc w:val="center"/>
              <w:rPr>
                <w:rFonts w:ascii="Times New Roman" w:hAnsi="Times New Roman"/>
              </w:rPr>
            </w:pPr>
            <w:r w:rsidRPr="002405DE">
              <w:rPr>
                <w:rFonts w:ascii="Times New Roman" w:hAnsi="Times New Roman"/>
              </w:rPr>
              <w:t>24.3 (3.2)</w:t>
            </w:r>
          </w:p>
        </w:tc>
      </w:tr>
      <w:tr w:rsidR="00A45B7F" w:rsidRPr="002405DE" w14:paraId="113EB44F" w14:textId="77777777" w:rsidTr="002B4DF1">
        <w:trPr>
          <w:trHeight w:val="221"/>
        </w:trPr>
        <w:tc>
          <w:tcPr>
            <w:tcW w:w="2943" w:type="dxa"/>
          </w:tcPr>
          <w:p w14:paraId="3630AB87"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Cortical area (mm</w:t>
            </w:r>
            <w:r w:rsidRPr="002405DE">
              <w:rPr>
                <w:rFonts w:ascii="Times New Roman" w:hAnsi="Times New Roman"/>
                <w:bCs/>
                <w:color w:val="000000"/>
                <w:vertAlign w:val="superscript"/>
                <w:lang w:eastAsia="en-GB"/>
              </w:rPr>
              <w:t>2</w:t>
            </w:r>
            <w:r w:rsidRPr="002405DE">
              <w:rPr>
                <w:rFonts w:ascii="Times New Roman" w:hAnsi="Times New Roman"/>
                <w:bCs/>
                <w:color w:val="000000"/>
                <w:lang w:eastAsia="en-GB"/>
              </w:rPr>
              <w:t>)</w:t>
            </w:r>
          </w:p>
        </w:tc>
        <w:tc>
          <w:tcPr>
            <w:tcW w:w="2409" w:type="dxa"/>
          </w:tcPr>
          <w:p w14:paraId="04313BC1" w14:textId="77777777" w:rsidR="00A45B7F" w:rsidRPr="002405DE" w:rsidRDefault="00A45B7F" w:rsidP="008C0406">
            <w:pPr>
              <w:spacing w:after="0"/>
              <w:jc w:val="center"/>
              <w:rPr>
                <w:rFonts w:ascii="Times New Roman" w:hAnsi="Times New Roman"/>
              </w:rPr>
            </w:pPr>
            <w:r w:rsidRPr="002405DE">
              <w:rPr>
                <w:rFonts w:ascii="Times New Roman" w:hAnsi="Times New Roman"/>
              </w:rPr>
              <w:t>143.2 (23.0)</w:t>
            </w:r>
          </w:p>
        </w:tc>
        <w:tc>
          <w:tcPr>
            <w:tcW w:w="2410" w:type="dxa"/>
          </w:tcPr>
          <w:p w14:paraId="6FCE0931" w14:textId="77777777" w:rsidR="00A45B7F" w:rsidRPr="002405DE" w:rsidRDefault="00A45B7F" w:rsidP="008C0406">
            <w:pPr>
              <w:spacing w:after="0"/>
              <w:jc w:val="center"/>
              <w:rPr>
                <w:rFonts w:ascii="Times New Roman" w:hAnsi="Times New Roman"/>
              </w:rPr>
            </w:pPr>
            <w:r w:rsidRPr="002405DE">
              <w:rPr>
                <w:rFonts w:ascii="Times New Roman" w:hAnsi="Times New Roman"/>
              </w:rPr>
              <w:t>138.3 (30.8)</w:t>
            </w:r>
          </w:p>
        </w:tc>
        <w:tc>
          <w:tcPr>
            <w:tcW w:w="2410" w:type="dxa"/>
          </w:tcPr>
          <w:p w14:paraId="4E4391D7" w14:textId="77777777" w:rsidR="00A45B7F" w:rsidRPr="002405DE" w:rsidRDefault="00A45B7F" w:rsidP="008C0406">
            <w:pPr>
              <w:spacing w:after="0"/>
              <w:jc w:val="center"/>
              <w:rPr>
                <w:rFonts w:ascii="Times New Roman" w:hAnsi="Times New Roman"/>
              </w:rPr>
            </w:pPr>
            <w:r w:rsidRPr="002405DE">
              <w:rPr>
                <w:rFonts w:ascii="Times New Roman" w:hAnsi="Times New Roman"/>
              </w:rPr>
              <w:t>149.0 (31.2)</w:t>
            </w:r>
          </w:p>
        </w:tc>
      </w:tr>
      <w:tr w:rsidR="00A45B7F" w:rsidRPr="002405DE" w14:paraId="7A6F5653" w14:textId="77777777" w:rsidTr="002B4DF1">
        <w:trPr>
          <w:trHeight w:val="211"/>
        </w:trPr>
        <w:tc>
          <w:tcPr>
            <w:tcW w:w="2943" w:type="dxa"/>
          </w:tcPr>
          <w:p w14:paraId="2D97EDF4"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Cortical thickness (</w:t>
            </w:r>
            <w:proofErr w:type="spellStart"/>
            <w:r w:rsidRPr="002405DE">
              <w:rPr>
                <w:rFonts w:ascii="Times New Roman" w:hAnsi="Times New Roman"/>
                <w:bCs/>
                <w:color w:val="000000"/>
                <w:lang w:eastAsia="en-GB"/>
              </w:rPr>
              <w:t>μm</w:t>
            </w:r>
            <w:proofErr w:type="spellEnd"/>
            <w:r w:rsidRPr="002405DE">
              <w:rPr>
                <w:rFonts w:ascii="Times New Roman" w:hAnsi="Times New Roman"/>
                <w:bCs/>
                <w:color w:val="000000"/>
                <w:lang w:eastAsia="en-GB"/>
              </w:rPr>
              <w:t>)</w:t>
            </w:r>
          </w:p>
        </w:tc>
        <w:tc>
          <w:tcPr>
            <w:tcW w:w="2409" w:type="dxa"/>
          </w:tcPr>
          <w:p w14:paraId="38906669" w14:textId="77777777" w:rsidR="00A45B7F" w:rsidRPr="002405DE" w:rsidRDefault="00A45B7F" w:rsidP="008C0406">
            <w:pPr>
              <w:spacing w:after="0"/>
              <w:jc w:val="center"/>
              <w:rPr>
                <w:rFonts w:ascii="Times New Roman" w:hAnsi="Times New Roman"/>
              </w:rPr>
            </w:pPr>
            <w:r w:rsidRPr="002405DE">
              <w:rPr>
                <w:rFonts w:ascii="Times New Roman" w:hAnsi="Times New Roman"/>
              </w:rPr>
              <w:t>1207.8 (250.3)</w:t>
            </w:r>
          </w:p>
        </w:tc>
        <w:tc>
          <w:tcPr>
            <w:tcW w:w="2410" w:type="dxa"/>
          </w:tcPr>
          <w:p w14:paraId="16B58989" w14:textId="77777777" w:rsidR="00A45B7F" w:rsidRPr="002405DE" w:rsidRDefault="00A45B7F" w:rsidP="008C0406">
            <w:pPr>
              <w:spacing w:after="0"/>
              <w:jc w:val="center"/>
              <w:rPr>
                <w:rFonts w:ascii="Times New Roman" w:hAnsi="Times New Roman"/>
              </w:rPr>
            </w:pPr>
            <w:r w:rsidRPr="002405DE">
              <w:rPr>
                <w:rFonts w:ascii="Times New Roman" w:hAnsi="Times New Roman"/>
              </w:rPr>
              <w:t>1180.2 (276.1)</w:t>
            </w:r>
          </w:p>
        </w:tc>
        <w:tc>
          <w:tcPr>
            <w:tcW w:w="2410" w:type="dxa"/>
          </w:tcPr>
          <w:p w14:paraId="4D6A19DF" w14:textId="77777777" w:rsidR="00A45B7F" w:rsidRPr="002405DE" w:rsidRDefault="00A45B7F" w:rsidP="008C0406">
            <w:pPr>
              <w:spacing w:after="0"/>
              <w:jc w:val="center"/>
              <w:rPr>
                <w:rFonts w:ascii="Times New Roman" w:hAnsi="Times New Roman"/>
              </w:rPr>
            </w:pPr>
            <w:r w:rsidRPr="002405DE">
              <w:rPr>
                <w:rFonts w:ascii="Times New Roman" w:hAnsi="Times New Roman"/>
              </w:rPr>
              <w:t>1301.1 (270.8)</w:t>
            </w:r>
          </w:p>
        </w:tc>
      </w:tr>
      <w:tr w:rsidR="00A45B7F" w:rsidRPr="002405DE" w14:paraId="2120436D" w14:textId="77777777" w:rsidTr="002B4DF1">
        <w:trPr>
          <w:trHeight w:val="58"/>
        </w:trPr>
        <w:tc>
          <w:tcPr>
            <w:tcW w:w="2943" w:type="dxa"/>
          </w:tcPr>
          <w:p w14:paraId="1C4FB7F3"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Cortical density (mg/cm</w:t>
            </w:r>
            <w:r w:rsidRPr="002405DE">
              <w:rPr>
                <w:rFonts w:ascii="Times New Roman" w:hAnsi="Times New Roman"/>
                <w:bCs/>
                <w:color w:val="000000"/>
                <w:vertAlign w:val="superscript"/>
                <w:lang w:eastAsia="en-GB"/>
              </w:rPr>
              <w:t>3</w:t>
            </w:r>
            <w:r w:rsidRPr="002405DE">
              <w:rPr>
                <w:rFonts w:ascii="Times New Roman" w:hAnsi="Times New Roman"/>
                <w:bCs/>
                <w:color w:val="000000"/>
                <w:lang w:eastAsia="en-GB"/>
              </w:rPr>
              <w:t>)</w:t>
            </w:r>
          </w:p>
        </w:tc>
        <w:tc>
          <w:tcPr>
            <w:tcW w:w="2409" w:type="dxa"/>
          </w:tcPr>
          <w:p w14:paraId="39509A41" w14:textId="77777777" w:rsidR="00A45B7F" w:rsidRPr="002405DE" w:rsidRDefault="00A45B7F" w:rsidP="008C0406">
            <w:pPr>
              <w:spacing w:after="0"/>
              <w:jc w:val="center"/>
              <w:rPr>
                <w:rFonts w:ascii="Times New Roman" w:hAnsi="Times New Roman"/>
              </w:rPr>
            </w:pPr>
            <w:r w:rsidRPr="002405DE">
              <w:rPr>
                <w:rFonts w:ascii="Times New Roman" w:hAnsi="Times New Roman"/>
              </w:rPr>
              <w:t>865.2 (60.4)</w:t>
            </w:r>
          </w:p>
        </w:tc>
        <w:tc>
          <w:tcPr>
            <w:tcW w:w="2410" w:type="dxa"/>
          </w:tcPr>
          <w:p w14:paraId="643A7332" w14:textId="77777777" w:rsidR="00A45B7F" w:rsidRPr="002405DE" w:rsidRDefault="00A45B7F" w:rsidP="008C0406">
            <w:pPr>
              <w:spacing w:after="0"/>
              <w:jc w:val="center"/>
              <w:rPr>
                <w:rFonts w:ascii="Times New Roman" w:hAnsi="Times New Roman"/>
              </w:rPr>
            </w:pPr>
            <w:r w:rsidRPr="002405DE">
              <w:rPr>
                <w:rFonts w:ascii="Times New Roman" w:hAnsi="Times New Roman"/>
              </w:rPr>
              <w:t>860.8 (68.8)</w:t>
            </w:r>
          </w:p>
        </w:tc>
        <w:tc>
          <w:tcPr>
            <w:tcW w:w="2410" w:type="dxa"/>
          </w:tcPr>
          <w:p w14:paraId="31623F39" w14:textId="77777777" w:rsidR="00A45B7F" w:rsidRPr="002405DE" w:rsidRDefault="00A45B7F" w:rsidP="008C0406">
            <w:pPr>
              <w:spacing w:after="0"/>
              <w:jc w:val="center"/>
              <w:rPr>
                <w:rFonts w:ascii="Times New Roman" w:hAnsi="Times New Roman"/>
              </w:rPr>
            </w:pPr>
            <w:r w:rsidRPr="002405DE">
              <w:rPr>
                <w:rFonts w:ascii="Times New Roman" w:hAnsi="Times New Roman"/>
              </w:rPr>
              <w:t>897.5 (55.1)</w:t>
            </w:r>
          </w:p>
        </w:tc>
      </w:tr>
      <w:tr w:rsidR="00A45B7F" w:rsidRPr="002405DE" w14:paraId="5BF8A1C2" w14:textId="77777777" w:rsidTr="002B4DF1">
        <w:trPr>
          <w:trHeight w:val="58"/>
        </w:trPr>
        <w:tc>
          <w:tcPr>
            <w:tcW w:w="2943" w:type="dxa"/>
          </w:tcPr>
          <w:p w14:paraId="6DC77EA4" w14:textId="77777777" w:rsidR="00A45B7F" w:rsidRPr="002405DE" w:rsidRDefault="00A45B7F" w:rsidP="008C0406">
            <w:pPr>
              <w:spacing w:after="0"/>
              <w:rPr>
                <w:rFonts w:ascii="Times New Roman" w:hAnsi="Times New Roman"/>
                <w:bCs/>
                <w:color w:val="000000"/>
                <w:lang w:eastAsia="en-GB"/>
              </w:rPr>
            </w:pPr>
            <w:r w:rsidRPr="002405DE">
              <w:rPr>
                <w:rFonts w:ascii="Times New Roman" w:hAnsi="Times New Roman"/>
                <w:bCs/>
                <w:color w:val="000000"/>
                <w:lang w:eastAsia="en-GB"/>
              </w:rPr>
              <w:t>Cortical porosity (%)</w:t>
            </w:r>
          </w:p>
        </w:tc>
        <w:tc>
          <w:tcPr>
            <w:tcW w:w="2409" w:type="dxa"/>
          </w:tcPr>
          <w:p w14:paraId="195255D0" w14:textId="77777777" w:rsidR="00A45B7F" w:rsidRPr="002405DE" w:rsidRDefault="00A45B7F" w:rsidP="008C0406">
            <w:pPr>
              <w:spacing w:after="0"/>
              <w:jc w:val="center"/>
              <w:rPr>
                <w:rFonts w:ascii="Times New Roman" w:hAnsi="Times New Roman"/>
              </w:rPr>
            </w:pPr>
            <w:r w:rsidRPr="002405DE">
              <w:rPr>
                <w:rFonts w:ascii="Times New Roman" w:hAnsi="Times New Roman"/>
              </w:rPr>
              <w:t>9.5 (2.8)</w:t>
            </w:r>
          </w:p>
        </w:tc>
        <w:tc>
          <w:tcPr>
            <w:tcW w:w="2410" w:type="dxa"/>
          </w:tcPr>
          <w:p w14:paraId="06B2C630" w14:textId="77777777" w:rsidR="00A45B7F" w:rsidRPr="002405DE" w:rsidRDefault="00A45B7F" w:rsidP="008C0406">
            <w:pPr>
              <w:spacing w:after="0"/>
              <w:jc w:val="center"/>
              <w:rPr>
                <w:rFonts w:ascii="Times New Roman" w:hAnsi="Times New Roman"/>
              </w:rPr>
            </w:pPr>
            <w:r w:rsidRPr="002405DE">
              <w:rPr>
                <w:rFonts w:ascii="Times New Roman" w:hAnsi="Times New Roman"/>
              </w:rPr>
              <w:t>9.3 (2.8)</w:t>
            </w:r>
          </w:p>
        </w:tc>
        <w:tc>
          <w:tcPr>
            <w:tcW w:w="2410" w:type="dxa"/>
          </w:tcPr>
          <w:p w14:paraId="1369C6B4" w14:textId="77777777" w:rsidR="00A45B7F" w:rsidRPr="002405DE" w:rsidRDefault="00A45B7F" w:rsidP="008C0406">
            <w:pPr>
              <w:spacing w:after="0"/>
              <w:jc w:val="center"/>
              <w:rPr>
                <w:rFonts w:ascii="Times New Roman" w:hAnsi="Times New Roman"/>
              </w:rPr>
            </w:pPr>
            <w:r w:rsidRPr="002405DE">
              <w:rPr>
                <w:rFonts w:ascii="Times New Roman" w:hAnsi="Times New Roman"/>
              </w:rPr>
              <w:t>8.2 (2.7)</w:t>
            </w:r>
          </w:p>
        </w:tc>
      </w:tr>
    </w:tbl>
    <w:p w14:paraId="6C627C6B" w14:textId="77777777" w:rsidR="00A45B7F" w:rsidRDefault="00A45B7F" w:rsidP="00A45B7F">
      <w:pPr>
        <w:spacing w:after="0"/>
        <w:sectPr w:rsidR="00A45B7F" w:rsidSect="002B4DF1">
          <w:pgSz w:w="16838" w:h="11906" w:orient="landscape"/>
          <w:pgMar w:top="1440" w:right="1440" w:bottom="1440" w:left="1440" w:header="709" w:footer="709" w:gutter="0"/>
          <w:lnNumType w:countBy="1"/>
          <w:cols w:space="708"/>
          <w:docGrid w:linePitch="360"/>
        </w:sectPr>
      </w:pPr>
    </w:p>
    <w:p w14:paraId="176C84AB" w14:textId="02E2D17C" w:rsidR="006C3C1C" w:rsidRPr="006C3C1C" w:rsidRDefault="004440E4" w:rsidP="00805B2A">
      <w:pPr>
        <w:spacing w:after="0" w:line="360" w:lineRule="auto"/>
        <w:rPr>
          <w:rFonts w:ascii="Times New Roman" w:hAnsi="Times New Roman"/>
          <w:sz w:val="24"/>
          <w:szCs w:val="24"/>
        </w:rPr>
      </w:pPr>
      <w:r>
        <w:rPr>
          <w:rFonts w:ascii="Times New Roman" w:hAnsi="Times New Roman"/>
          <w:sz w:val="24"/>
          <w:szCs w:val="24"/>
        </w:rPr>
        <w:t xml:space="preserve">Figure </w:t>
      </w:r>
      <w:r w:rsidR="00F647CE">
        <w:rPr>
          <w:rFonts w:ascii="Times New Roman" w:hAnsi="Times New Roman"/>
          <w:sz w:val="24"/>
          <w:szCs w:val="24"/>
        </w:rPr>
        <w:t xml:space="preserve">1 - Radial and </w:t>
      </w:r>
      <w:proofErr w:type="spellStart"/>
      <w:r w:rsidR="00F647CE">
        <w:rPr>
          <w:rFonts w:ascii="Times New Roman" w:hAnsi="Times New Roman"/>
          <w:sz w:val="24"/>
          <w:szCs w:val="24"/>
        </w:rPr>
        <w:t>tibial</w:t>
      </w:r>
      <w:proofErr w:type="spellEnd"/>
      <w:r w:rsidR="00F647CE">
        <w:rPr>
          <w:rFonts w:ascii="Times New Roman" w:hAnsi="Times New Roman"/>
          <w:sz w:val="24"/>
          <w:szCs w:val="24"/>
        </w:rPr>
        <w:t xml:space="preserve"> </w:t>
      </w:r>
      <w:proofErr w:type="spellStart"/>
      <w:r w:rsidRPr="00477F6A">
        <w:rPr>
          <w:rFonts w:ascii="Times New Roman" w:hAnsi="Times New Roman"/>
          <w:sz w:val="24"/>
          <w:szCs w:val="24"/>
        </w:rPr>
        <w:t>microarchite</w:t>
      </w:r>
      <w:r>
        <w:rPr>
          <w:rFonts w:ascii="Times New Roman" w:hAnsi="Times New Roman"/>
          <w:sz w:val="24"/>
          <w:szCs w:val="24"/>
        </w:rPr>
        <w:t>ctural</w:t>
      </w:r>
      <w:proofErr w:type="spellEnd"/>
      <w:r>
        <w:rPr>
          <w:rFonts w:ascii="Times New Roman" w:hAnsi="Times New Roman"/>
          <w:sz w:val="24"/>
          <w:szCs w:val="24"/>
        </w:rPr>
        <w:t xml:space="preserve"> parameters in men by bony</w:t>
      </w:r>
      <w:r w:rsidRPr="00477F6A">
        <w:rPr>
          <w:rFonts w:ascii="Times New Roman" w:hAnsi="Times New Roman"/>
          <w:sz w:val="24"/>
          <w:szCs w:val="24"/>
        </w:rPr>
        <w:t xml:space="preserve"> </w:t>
      </w:r>
      <w:r w:rsidR="00617F6A">
        <w:rPr>
          <w:rFonts w:ascii="Times New Roman" w:hAnsi="Times New Roman"/>
          <w:sz w:val="24"/>
          <w:szCs w:val="24"/>
        </w:rPr>
        <w:t xml:space="preserve">features of hip osteoarthritis </w:t>
      </w:r>
      <w:r w:rsidR="00005108">
        <w:rPr>
          <w:rFonts w:ascii="Times New Roman" w:hAnsi="Times New Roman"/>
          <w:sz w:val="24"/>
          <w:szCs w:val="24"/>
        </w:rPr>
        <w:t>in men</w:t>
      </w:r>
    </w:p>
    <w:sectPr w:rsidR="006C3C1C" w:rsidRPr="006C3C1C" w:rsidSect="00805B2A">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1DFEC" w14:textId="77777777" w:rsidR="002B4DF1" w:rsidRDefault="002B4DF1" w:rsidP="00C332EF">
      <w:pPr>
        <w:spacing w:after="0" w:line="240" w:lineRule="auto"/>
      </w:pPr>
      <w:r>
        <w:separator/>
      </w:r>
    </w:p>
  </w:endnote>
  <w:endnote w:type="continuationSeparator" w:id="0">
    <w:p w14:paraId="6C1A6749" w14:textId="77777777" w:rsidR="002B4DF1" w:rsidRDefault="002B4DF1" w:rsidP="00C332EF">
      <w:pPr>
        <w:spacing w:after="0" w:line="240" w:lineRule="auto"/>
      </w:pPr>
      <w:r>
        <w:continuationSeparator/>
      </w:r>
    </w:p>
  </w:endnote>
  <w:endnote w:type="continuationNotice" w:id="1">
    <w:p w14:paraId="0C55A88F" w14:textId="77777777" w:rsidR="002B4DF1" w:rsidRDefault="002B4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1053"/>
      <w:docPartObj>
        <w:docPartGallery w:val="Page Numbers (Bottom of Page)"/>
        <w:docPartUnique/>
      </w:docPartObj>
    </w:sdtPr>
    <w:sdtEndPr>
      <w:rPr>
        <w:noProof/>
      </w:rPr>
    </w:sdtEndPr>
    <w:sdtContent>
      <w:p w14:paraId="392A55C2" w14:textId="77777777" w:rsidR="00C332EF" w:rsidRDefault="00C332EF">
        <w:pPr>
          <w:pStyle w:val="Footer"/>
          <w:jc w:val="center"/>
        </w:pPr>
        <w:r>
          <w:fldChar w:fldCharType="begin"/>
        </w:r>
        <w:r>
          <w:instrText xml:space="preserve"> PAGE   \* MERGEFORMAT </w:instrText>
        </w:r>
        <w:r>
          <w:fldChar w:fldCharType="separate"/>
        </w:r>
        <w:r w:rsidR="00C21094">
          <w:rPr>
            <w:noProof/>
          </w:rPr>
          <w:t>3</w:t>
        </w:r>
        <w:r>
          <w:rPr>
            <w:noProof/>
          </w:rPr>
          <w:fldChar w:fldCharType="end"/>
        </w:r>
      </w:p>
    </w:sdtContent>
  </w:sdt>
  <w:p w14:paraId="2828D1D0" w14:textId="77777777" w:rsidR="00C332EF" w:rsidRDefault="00C33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1783F" w14:textId="77777777" w:rsidR="002B4DF1" w:rsidRDefault="002B4DF1" w:rsidP="00C332EF">
      <w:pPr>
        <w:spacing w:after="0" w:line="240" w:lineRule="auto"/>
      </w:pPr>
      <w:r>
        <w:separator/>
      </w:r>
    </w:p>
  </w:footnote>
  <w:footnote w:type="continuationSeparator" w:id="0">
    <w:p w14:paraId="5764F8F4" w14:textId="77777777" w:rsidR="002B4DF1" w:rsidRDefault="002B4DF1" w:rsidP="00C332EF">
      <w:pPr>
        <w:spacing w:after="0" w:line="240" w:lineRule="auto"/>
      </w:pPr>
      <w:r>
        <w:continuationSeparator/>
      </w:r>
    </w:p>
  </w:footnote>
  <w:footnote w:type="continuationNotice" w:id="1">
    <w:p w14:paraId="21A2505E" w14:textId="77777777" w:rsidR="002B4DF1" w:rsidRDefault="002B4D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A8898" w14:textId="77777777" w:rsidR="002B4DF1" w:rsidRDefault="002B4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lcified Tissue I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pv229f3pad2eer09p5wd2evtvepvrvze2d&quot;&gt;MHE PHD&lt;record-ids&gt;&lt;item&gt;1143&lt;/item&gt;&lt;/record-ids&gt;&lt;/item&gt;&lt;/Libraries&gt;"/>
  </w:docVars>
  <w:rsids>
    <w:rsidRoot w:val="00C63C75"/>
    <w:rsid w:val="00000FE5"/>
    <w:rsid w:val="00005108"/>
    <w:rsid w:val="00010573"/>
    <w:rsid w:val="00010C7E"/>
    <w:rsid w:val="000125BB"/>
    <w:rsid w:val="0001523D"/>
    <w:rsid w:val="000170B7"/>
    <w:rsid w:val="00023101"/>
    <w:rsid w:val="00025AAE"/>
    <w:rsid w:val="0002761E"/>
    <w:rsid w:val="00032EBA"/>
    <w:rsid w:val="00050B9A"/>
    <w:rsid w:val="000617F3"/>
    <w:rsid w:val="00070F52"/>
    <w:rsid w:val="00080C70"/>
    <w:rsid w:val="000838EE"/>
    <w:rsid w:val="00086B16"/>
    <w:rsid w:val="00090764"/>
    <w:rsid w:val="00091188"/>
    <w:rsid w:val="000A6320"/>
    <w:rsid w:val="000B413E"/>
    <w:rsid w:val="000D6B41"/>
    <w:rsid w:val="000E1AE9"/>
    <w:rsid w:val="000E7487"/>
    <w:rsid w:val="000F5AEC"/>
    <w:rsid w:val="00102653"/>
    <w:rsid w:val="001139BC"/>
    <w:rsid w:val="0013005D"/>
    <w:rsid w:val="00131DAC"/>
    <w:rsid w:val="00132FA2"/>
    <w:rsid w:val="00134D6C"/>
    <w:rsid w:val="00144E81"/>
    <w:rsid w:val="00145F41"/>
    <w:rsid w:val="001654FF"/>
    <w:rsid w:val="00167CAF"/>
    <w:rsid w:val="001701B6"/>
    <w:rsid w:val="00171630"/>
    <w:rsid w:val="0017554E"/>
    <w:rsid w:val="00176CA3"/>
    <w:rsid w:val="00177490"/>
    <w:rsid w:val="0018664D"/>
    <w:rsid w:val="00186D14"/>
    <w:rsid w:val="00191221"/>
    <w:rsid w:val="001A1DFB"/>
    <w:rsid w:val="001A4E08"/>
    <w:rsid w:val="001C10EF"/>
    <w:rsid w:val="001C49EC"/>
    <w:rsid w:val="001C54C9"/>
    <w:rsid w:val="001C61DC"/>
    <w:rsid w:val="001D0417"/>
    <w:rsid w:val="001D12F4"/>
    <w:rsid w:val="001D249A"/>
    <w:rsid w:val="001E2D26"/>
    <w:rsid w:val="001E37DF"/>
    <w:rsid w:val="001F483C"/>
    <w:rsid w:val="001F491D"/>
    <w:rsid w:val="002006D1"/>
    <w:rsid w:val="00204766"/>
    <w:rsid w:val="00205600"/>
    <w:rsid w:val="00222607"/>
    <w:rsid w:val="002272FB"/>
    <w:rsid w:val="0022755A"/>
    <w:rsid w:val="00234492"/>
    <w:rsid w:val="002344E3"/>
    <w:rsid w:val="00240165"/>
    <w:rsid w:val="002405DE"/>
    <w:rsid w:val="00240A27"/>
    <w:rsid w:val="00241774"/>
    <w:rsid w:val="00243088"/>
    <w:rsid w:val="00245D04"/>
    <w:rsid w:val="00253A27"/>
    <w:rsid w:val="00272BA1"/>
    <w:rsid w:val="002828D8"/>
    <w:rsid w:val="00282FF6"/>
    <w:rsid w:val="00284260"/>
    <w:rsid w:val="002B164C"/>
    <w:rsid w:val="002B4DF1"/>
    <w:rsid w:val="002B7FB5"/>
    <w:rsid w:val="002C1340"/>
    <w:rsid w:val="002C7491"/>
    <w:rsid w:val="002D0AA4"/>
    <w:rsid w:val="002E0E7A"/>
    <w:rsid w:val="002E4DFF"/>
    <w:rsid w:val="002E6898"/>
    <w:rsid w:val="002E6CD1"/>
    <w:rsid w:val="00300534"/>
    <w:rsid w:val="00303D23"/>
    <w:rsid w:val="0030428D"/>
    <w:rsid w:val="0030790F"/>
    <w:rsid w:val="00313350"/>
    <w:rsid w:val="0032791E"/>
    <w:rsid w:val="00332D2B"/>
    <w:rsid w:val="00334E72"/>
    <w:rsid w:val="00340343"/>
    <w:rsid w:val="00340AC0"/>
    <w:rsid w:val="003424AD"/>
    <w:rsid w:val="00356B6B"/>
    <w:rsid w:val="00360C2C"/>
    <w:rsid w:val="003651FC"/>
    <w:rsid w:val="00367750"/>
    <w:rsid w:val="00380071"/>
    <w:rsid w:val="0038174A"/>
    <w:rsid w:val="00381DBE"/>
    <w:rsid w:val="00382F57"/>
    <w:rsid w:val="00384881"/>
    <w:rsid w:val="00384CA4"/>
    <w:rsid w:val="00390454"/>
    <w:rsid w:val="0039263F"/>
    <w:rsid w:val="003961B8"/>
    <w:rsid w:val="003A0745"/>
    <w:rsid w:val="003A65F0"/>
    <w:rsid w:val="003B0AEC"/>
    <w:rsid w:val="003B2553"/>
    <w:rsid w:val="003B3806"/>
    <w:rsid w:val="003C556E"/>
    <w:rsid w:val="003D6CC5"/>
    <w:rsid w:val="003D70CF"/>
    <w:rsid w:val="003F052D"/>
    <w:rsid w:val="003F2676"/>
    <w:rsid w:val="003F4869"/>
    <w:rsid w:val="00403B18"/>
    <w:rsid w:val="004055B9"/>
    <w:rsid w:val="00416E1F"/>
    <w:rsid w:val="0042495B"/>
    <w:rsid w:val="00431BC5"/>
    <w:rsid w:val="00435558"/>
    <w:rsid w:val="004373FA"/>
    <w:rsid w:val="00443D84"/>
    <w:rsid w:val="004440E4"/>
    <w:rsid w:val="00457CE6"/>
    <w:rsid w:val="00460A0F"/>
    <w:rsid w:val="004637F9"/>
    <w:rsid w:val="00464DA3"/>
    <w:rsid w:val="00465E17"/>
    <w:rsid w:val="004712D5"/>
    <w:rsid w:val="004716D9"/>
    <w:rsid w:val="00474DDE"/>
    <w:rsid w:val="00476294"/>
    <w:rsid w:val="00476359"/>
    <w:rsid w:val="004831CA"/>
    <w:rsid w:val="00487705"/>
    <w:rsid w:val="00494F9A"/>
    <w:rsid w:val="00496942"/>
    <w:rsid w:val="004A738D"/>
    <w:rsid w:val="004B6436"/>
    <w:rsid w:val="004C10B4"/>
    <w:rsid w:val="004C7E4A"/>
    <w:rsid w:val="004D0D29"/>
    <w:rsid w:val="004D23E1"/>
    <w:rsid w:val="004D3067"/>
    <w:rsid w:val="004D4537"/>
    <w:rsid w:val="004D581C"/>
    <w:rsid w:val="004E13F8"/>
    <w:rsid w:val="004E7055"/>
    <w:rsid w:val="004F326F"/>
    <w:rsid w:val="004F6D09"/>
    <w:rsid w:val="004F7F66"/>
    <w:rsid w:val="00507672"/>
    <w:rsid w:val="00507C32"/>
    <w:rsid w:val="005128D1"/>
    <w:rsid w:val="00520B9B"/>
    <w:rsid w:val="00522332"/>
    <w:rsid w:val="00530977"/>
    <w:rsid w:val="00530A57"/>
    <w:rsid w:val="00534E9A"/>
    <w:rsid w:val="0053714D"/>
    <w:rsid w:val="00543DDB"/>
    <w:rsid w:val="00544B06"/>
    <w:rsid w:val="00561B02"/>
    <w:rsid w:val="005648E1"/>
    <w:rsid w:val="005752B9"/>
    <w:rsid w:val="00576212"/>
    <w:rsid w:val="005814CE"/>
    <w:rsid w:val="00581B23"/>
    <w:rsid w:val="005861B1"/>
    <w:rsid w:val="00595944"/>
    <w:rsid w:val="005A4BC3"/>
    <w:rsid w:val="005A7DF6"/>
    <w:rsid w:val="005B2CE7"/>
    <w:rsid w:val="005C4DA8"/>
    <w:rsid w:val="005D1646"/>
    <w:rsid w:val="005D4798"/>
    <w:rsid w:val="005E2ACB"/>
    <w:rsid w:val="005E3D8F"/>
    <w:rsid w:val="005E51ED"/>
    <w:rsid w:val="005E7FAA"/>
    <w:rsid w:val="005F2DD2"/>
    <w:rsid w:val="00600DEE"/>
    <w:rsid w:val="00610127"/>
    <w:rsid w:val="00617F6A"/>
    <w:rsid w:val="0062621D"/>
    <w:rsid w:val="00627E34"/>
    <w:rsid w:val="006415A8"/>
    <w:rsid w:val="00642E4D"/>
    <w:rsid w:val="00647567"/>
    <w:rsid w:val="006541FF"/>
    <w:rsid w:val="00654C26"/>
    <w:rsid w:val="006639D1"/>
    <w:rsid w:val="00666AA7"/>
    <w:rsid w:val="006706FD"/>
    <w:rsid w:val="00670FED"/>
    <w:rsid w:val="0067693F"/>
    <w:rsid w:val="00676CFD"/>
    <w:rsid w:val="00677009"/>
    <w:rsid w:val="00677591"/>
    <w:rsid w:val="006777B4"/>
    <w:rsid w:val="006820A9"/>
    <w:rsid w:val="006846B0"/>
    <w:rsid w:val="006944A2"/>
    <w:rsid w:val="00695007"/>
    <w:rsid w:val="006955EA"/>
    <w:rsid w:val="006B5437"/>
    <w:rsid w:val="006B6240"/>
    <w:rsid w:val="006B7811"/>
    <w:rsid w:val="006C3C1C"/>
    <w:rsid w:val="006D183E"/>
    <w:rsid w:val="006D28CE"/>
    <w:rsid w:val="006D2C07"/>
    <w:rsid w:val="006E33E9"/>
    <w:rsid w:val="006E5E04"/>
    <w:rsid w:val="006E7B6B"/>
    <w:rsid w:val="0070139E"/>
    <w:rsid w:val="007014CC"/>
    <w:rsid w:val="00701CBB"/>
    <w:rsid w:val="007047F7"/>
    <w:rsid w:val="007060E1"/>
    <w:rsid w:val="0070640B"/>
    <w:rsid w:val="00721846"/>
    <w:rsid w:val="007272D1"/>
    <w:rsid w:val="007307E0"/>
    <w:rsid w:val="0073202F"/>
    <w:rsid w:val="007370C7"/>
    <w:rsid w:val="00740025"/>
    <w:rsid w:val="00745BC2"/>
    <w:rsid w:val="007501DD"/>
    <w:rsid w:val="007530DC"/>
    <w:rsid w:val="00754860"/>
    <w:rsid w:val="00763041"/>
    <w:rsid w:val="007713BB"/>
    <w:rsid w:val="0078049C"/>
    <w:rsid w:val="00783BCD"/>
    <w:rsid w:val="00785CA8"/>
    <w:rsid w:val="007879EE"/>
    <w:rsid w:val="0079638A"/>
    <w:rsid w:val="007968D0"/>
    <w:rsid w:val="007A17C2"/>
    <w:rsid w:val="007A3726"/>
    <w:rsid w:val="007A75EC"/>
    <w:rsid w:val="007B6A71"/>
    <w:rsid w:val="007C0651"/>
    <w:rsid w:val="007C60D0"/>
    <w:rsid w:val="007C734A"/>
    <w:rsid w:val="007D2FEA"/>
    <w:rsid w:val="007E6843"/>
    <w:rsid w:val="007F391E"/>
    <w:rsid w:val="00805B2A"/>
    <w:rsid w:val="0083317A"/>
    <w:rsid w:val="00843C12"/>
    <w:rsid w:val="00847B81"/>
    <w:rsid w:val="00854465"/>
    <w:rsid w:val="00860861"/>
    <w:rsid w:val="00886953"/>
    <w:rsid w:val="00887F12"/>
    <w:rsid w:val="00890053"/>
    <w:rsid w:val="008918E7"/>
    <w:rsid w:val="00895A6B"/>
    <w:rsid w:val="00897D6D"/>
    <w:rsid w:val="008A1FD7"/>
    <w:rsid w:val="008A4C05"/>
    <w:rsid w:val="008B429C"/>
    <w:rsid w:val="008B4D86"/>
    <w:rsid w:val="008B6225"/>
    <w:rsid w:val="008C0EC9"/>
    <w:rsid w:val="008D1874"/>
    <w:rsid w:val="008D6291"/>
    <w:rsid w:val="008D6E6D"/>
    <w:rsid w:val="008E246D"/>
    <w:rsid w:val="008E2479"/>
    <w:rsid w:val="008E310E"/>
    <w:rsid w:val="008E3C9C"/>
    <w:rsid w:val="008E497B"/>
    <w:rsid w:val="008F1EFB"/>
    <w:rsid w:val="008F3F7B"/>
    <w:rsid w:val="008F4600"/>
    <w:rsid w:val="008F6517"/>
    <w:rsid w:val="008F6E48"/>
    <w:rsid w:val="009031AF"/>
    <w:rsid w:val="0090542D"/>
    <w:rsid w:val="00906BF7"/>
    <w:rsid w:val="0090795B"/>
    <w:rsid w:val="00910C58"/>
    <w:rsid w:val="00913FF9"/>
    <w:rsid w:val="0091689E"/>
    <w:rsid w:val="00923132"/>
    <w:rsid w:val="009275D0"/>
    <w:rsid w:val="009314C6"/>
    <w:rsid w:val="0095107C"/>
    <w:rsid w:val="009524C6"/>
    <w:rsid w:val="009558ED"/>
    <w:rsid w:val="00966140"/>
    <w:rsid w:val="00990621"/>
    <w:rsid w:val="00991C01"/>
    <w:rsid w:val="009A5781"/>
    <w:rsid w:val="009A6A69"/>
    <w:rsid w:val="009C423B"/>
    <w:rsid w:val="009C4360"/>
    <w:rsid w:val="009C43BE"/>
    <w:rsid w:val="009E293F"/>
    <w:rsid w:val="009E3F3D"/>
    <w:rsid w:val="00A00536"/>
    <w:rsid w:val="00A10018"/>
    <w:rsid w:val="00A21FEC"/>
    <w:rsid w:val="00A23144"/>
    <w:rsid w:val="00A23F27"/>
    <w:rsid w:val="00A2422D"/>
    <w:rsid w:val="00A25D81"/>
    <w:rsid w:val="00A26CC1"/>
    <w:rsid w:val="00A45B7F"/>
    <w:rsid w:val="00A5058F"/>
    <w:rsid w:val="00A551F3"/>
    <w:rsid w:val="00A61A0C"/>
    <w:rsid w:val="00A62660"/>
    <w:rsid w:val="00A74ABB"/>
    <w:rsid w:val="00A76ECC"/>
    <w:rsid w:val="00A84C65"/>
    <w:rsid w:val="00A944B7"/>
    <w:rsid w:val="00AA397B"/>
    <w:rsid w:val="00AA4887"/>
    <w:rsid w:val="00AA79E1"/>
    <w:rsid w:val="00AB2308"/>
    <w:rsid w:val="00AB240E"/>
    <w:rsid w:val="00AC10F1"/>
    <w:rsid w:val="00AC6B1A"/>
    <w:rsid w:val="00AD2B04"/>
    <w:rsid w:val="00AD543A"/>
    <w:rsid w:val="00AD7159"/>
    <w:rsid w:val="00AD7F25"/>
    <w:rsid w:val="00AE27A2"/>
    <w:rsid w:val="00AE41B8"/>
    <w:rsid w:val="00AF2442"/>
    <w:rsid w:val="00B017DB"/>
    <w:rsid w:val="00B04C74"/>
    <w:rsid w:val="00B05C49"/>
    <w:rsid w:val="00B21896"/>
    <w:rsid w:val="00B33AD3"/>
    <w:rsid w:val="00B33F2D"/>
    <w:rsid w:val="00B375CC"/>
    <w:rsid w:val="00B4382E"/>
    <w:rsid w:val="00B46268"/>
    <w:rsid w:val="00B46DCF"/>
    <w:rsid w:val="00B6463A"/>
    <w:rsid w:val="00B73CE4"/>
    <w:rsid w:val="00B745BC"/>
    <w:rsid w:val="00B774DD"/>
    <w:rsid w:val="00B77A67"/>
    <w:rsid w:val="00B84988"/>
    <w:rsid w:val="00B87912"/>
    <w:rsid w:val="00B87AC1"/>
    <w:rsid w:val="00B9455F"/>
    <w:rsid w:val="00B96579"/>
    <w:rsid w:val="00BB5784"/>
    <w:rsid w:val="00BB59FD"/>
    <w:rsid w:val="00BB6D3F"/>
    <w:rsid w:val="00BC058E"/>
    <w:rsid w:val="00BC2E83"/>
    <w:rsid w:val="00BC377D"/>
    <w:rsid w:val="00BC622D"/>
    <w:rsid w:val="00BD014F"/>
    <w:rsid w:val="00BD494A"/>
    <w:rsid w:val="00BE15AB"/>
    <w:rsid w:val="00BE33D8"/>
    <w:rsid w:val="00BE4980"/>
    <w:rsid w:val="00BE4C82"/>
    <w:rsid w:val="00BF3217"/>
    <w:rsid w:val="00BF6EBE"/>
    <w:rsid w:val="00BF72B9"/>
    <w:rsid w:val="00BF7624"/>
    <w:rsid w:val="00C03208"/>
    <w:rsid w:val="00C0329C"/>
    <w:rsid w:val="00C03863"/>
    <w:rsid w:val="00C15E68"/>
    <w:rsid w:val="00C21094"/>
    <w:rsid w:val="00C279C9"/>
    <w:rsid w:val="00C332EF"/>
    <w:rsid w:val="00C36A1E"/>
    <w:rsid w:val="00C420A2"/>
    <w:rsid w:val="00C42ED6"/>
    <w:rsid w:val="00C43C79"/>
    <w:rsid w:val="00C4440E"/>
    <w:rsid w:val="00C47D12"/>
    <w:rsid w:val="00C5583E"/>
    <w:rsid w:val="00C63C75"/>
    <w:rsid w:val="00C64A7E"/>
    <w:rsid w:val="00C6765C"/>
    <w:rsid w:val="00C8228F"/>
    <w:rsid w:val="00C83BBB"/>
    <w:rsid w:val="00C91323"/>
    <w:rsid w:val="00C92BF6"/>
    <w:rsid w:val="00C938E3"/>
    <w:rsid w:val="00C96872"/>
    <w:rsid w:val="00CA1A30"/>
    <w:rsid w:val="00CA39E6"/>
    <w:rsid w:val="00CA3E10"/>
    <w:rsid w:val="00CB18ED"/>
    <w:rsid w:val="00CB1DF7"/>
    <w:rsid w:val="00CB458B"/>
    <w:rsid w:val="00CB58B3"/>
    <w:rsid w:val="00CB75AB"/>
    <w:rsid w:val="00CB75C6"/>
    <w:rsid w:val="00CC15BC"/>
    <w:rsid w:val="00CD463B"/>
    <w:rsid w:val="00CE1FC4"/>
    <w:rsid w:val="00CE2435"/>
    <w:rsid w:val="00CE62AC"/>
    <w:rsid w:val="00CE7F1D"/>
    <w:rsid w:val="00CF1805"/>
    <w:rsid w:val="00CF433D"/>
    <w:rsid w:val="00D01601"/>
    <w:rsid w:val="00D04A85"/>
    <w:rsid w:val="00D059FD"/>
    <w:rsid w:val="00D15B84"/>
    <w:rsid w:val="00D160F6"/>
    <w:rsid w:val="00D27DF9"/>
    <w:rsid w:val="00D30C1D"/>
    <w:rsid w:val="00D37718"/>
    <w:rsid w:val="00D37A21"/>
    <w:rsid w:val="00D43952"/>
    <w:rsid w:val="00D54A6C"/>
    <w:rsid w:val="00D64094"/>
    <w:rsid w:val="00D70677"/>
    <w:rsid w:val="00D7144F"/>
    <w:rsid w:val="00D74EAF"/>
    <w:rsid w:val="00D757E2"/>
    <w:rsid w:val="00D95710"/>
    <w:rsid w:val="00DC0A50"/>
    <w:rsid w:val="00DC31A6"/>
    <w:rsid w:val="00DC5E90"/>
    <w:rsid w:val="00DD2F1C"/>
    <w:rsid w:val="00DD57D0"/>
    <w:rsid w:val="00DF4776"/>
    <w:rsid w:val="00DF6C1B"/>
    <w:rsid w:val="00E00915"/>
    <w:rsid w:val="00E00B28"/>
    <w:rsid w:val="00E020E8"/>
    <w:rsid w:val="00E02E6D"/>
    <w:rsid w:val="00E2328E"/>
    <w:rsid w:val="00E25146"/>
    <w:rsid w:val="00E4192E"/>
    <w:rsid w:val="00E42631"/>
    <w:rsid w:val="00E43616"/>
    <w:rsid w:val="00E5056C"/>
    <w:rsid w:val="00E552BF"/>
    <w:rsid w:val="00E56691"/>
    <w:rsid w:val="00E56D12"/>
    <w:rsid w:val="00E60C41"/>
    <w:rsid w:val="00E63156"/>
    <w:rsid w:val="00E673DB"/>
    <w:rsid w:val="00E71883"/>
    <w:rsid w:val="00E71CB1"/>
    <w:rsid w:val="00E73385"/>
    <w:rsid w:val="00E8199A"/>
    <w:rsid w:val="00E833E1"/>
    <w:rsid w:val="00E9199D"/>
    <w:rsid w:val="00E931D6"/>
    <w:rsid w:val="00EB60AE"/>
    <w:rsid w:val="00ED518B"/>
    <w:rsid w:val="00EE3C31"/>
    <w:rsid w:val="00EE4873"/>
    <w:rsid w:val="00EF6BAE"/>
    <w:rsid w:val="00F03577"/>
    <w:rsid w:val="00F0620C"/>
    <w:rsid w:val="00F07E86"/>
    <w:rsid w:val="00F10AD6"/>
    <w:rsid w:val="00F10FDE"/>
    <w:rsid w:val="00F143D5"/>
    <w:rsid w:val="00F15549"/>
    <w:rsid w:val="00F2499C"/>
    <w:rsid w:val="00F25B14"/>
    <w:rsid w:val="00F33D19"/>
    <w:rsid w:val="00F33E6B"/>
    <w:rsid w:val="00F34F3B"/>
    <w:rsid w:val="00F414F7"/>
    <w:rsid w:val="00F444AF"/>
    <w:rsid w:val="00F54753"/>
    <w:rsid w:val="00F56987"/>
    <w:rsid w:val="00F56F28"/>
    <w:rsid w:val="00F647CE"/>
    <w:rsid w:val="00F66A7E"/>
    <w:rsid w:val="00F67223"/>
    <w:rsid w:val="00F718BC"/>
    <w:rsid w:val="00F847BD"/>
    <w:rsid w:val="00F8565A"/>
    <w:rsid w:val="00F923E7"/>
    <w:rsid w:val="00F92959"/>
    <w:rsid w:val="00F95598"/>
    <w:rsid w:val="00F97C93"/>
    <w:rsid w:val="00FA3F41"/>
    <w:rsid w:val="00FA4BCE"/>
    <w:rsid w:val="00FA502D"/>
    <w:rsid w:val="00FB00F8"/>
    <w:rsid w:val="00FB15D6"/>
    <w:rsid w:val="00FB1F34"/>
    <w:rsid w:val="00FB3E4A"/>
    <w:rsid w:val="00FB495C"/>
    <w:rsid w:val="00FC5D89"/>
    <w:rsid w:val="00FC5F96"/>
    <w:rsid w:val="00FD1E3C"/>
    <w:rsid w:val="00FD3D4F"/>
    <w:rsid w:val="00FD3DA3"/>
    <w:rsid w:val="00FD7F5E"/>
    <w:rsid w:val="00FE4B20"/>
    <w:rsid w:val="00FE5DC0"/>
    <w:rsid w:val="00FF04A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94A"/>
    <w:pPr>
      <w:spacing w:after="200" w:line="276" w:lineRule="auto"/>
    </w:pPr>
    <w:rPr>
      <w:sz w:val="22"/>
      <w:szCs w:val="22"/>
      <w:lang w:val="en-GB" w:eastAsia="en-US"/>
    </w:rPr>
  </w:style>
  <w:style w:type="paragraph" w:styleId="Heading1">
    <w:name w:val="heading 1"/>
    <w:basedOn w:val="Normal"/>
    <w:link w:val="Heading1Char"/>
    <w:uiPriority w:val="9"/>
    <w:qFormat/>
    <w:locked/>
    <w:rsid w:val="00860861"/>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37A21"/>
    <w:rPr>
      <w:rFonts w:cs="Times New Roman"/>
      <w:color w:val="808080"/>
    </w:rPr>
  </w:style>
  <w:style w:type="paragraph" w:styleId="BalloonText">
    <w:name w:val="Balloon Text"/>
    <w:basedOn w:val="Normal"/>
    <w:link w:val="BalloonTextChar"/>
    <w:uiPriority w:val="99"/>
    <w:semiHidden/>
    <w:rsid w:val="00D37A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37A21"/>
    <w:rPr>
      <w:rFonts w:ascii="Tahoma" w:hAnsi="Tahoma" w:cs="Tahoma"/>
      <w:sz w:val="16"/>
      <w:szCs w:val="16"/>
    </w:rPr>
  </w:style>
  <w:style w:type="character" w:styleId="CommentReference">
    <w:name w:val="annotation reference"/>
    <w:uiPriority w:val="99"/>
    <w:semiHidden/>
    <w:rsid w:val="0079638A"/>
    <w:rPr>
      <w:rFonts w:cs="Times New Roman"/>
      <w:sz w:val="16"/>
      <w:szCs w:val="16"/>
    </w:rPr>
  </w:style>
  <w:style w:type="paragraph" w:styleId="CommentText">
    <w:name w:val="annotation text"/>
    <w:basedOn w:val="Normal"/>
    <w:link w:val="CommentTextChar"/>
    <w:uiPriority w:val="99"/>
    <w:semiHidden/>
    <w:rsid w:val="0079638A"/>
    <w:pPr>
      <w:spacing w:line="240" w:lineRule="auto"/>
    </w:pPr>
    <w:rPr>
      <w:sz w:val="20"/>
      <w:szCs w:val="20"/>
    </w:rPr>
  </w:style>
  <w:style w:type="character" w:customStyle="1" w:styleId="CommentTextChar">
    <w:name w:val="Comment Text Char"/>
    <w:link w:val="CommentText"/>
    <w:uiPriority w:val="99"/>
    <w:semiHidden/>
    <w:locked/>
    <w:rsid w:val="0079638A"/>
    <w:rPr>
      <w:rFonts w:cs="Times New Roman"/>
      <w:sz w:val="20"/>
      <w:szCs w:val="20"/>
    </w:rPr>
  </w:style>
  <w:style w:type="paragraph" w:styleId="CommentSubject">
    <w:name w:val="annotation subject"/>
    <w:basedOn w:val="CommentText"/>
    <w:next w:val="CommentText"/>
    <w:link w:val="CommentSubjectChar"/>
    <w:uiPriority w:val="99"/>
    <w:semiHidden/>
    <w:rsid w:val="0079638A"/>
    <w:rPr>
      <w:b/>
      <w:bCs/>
    </w:rPr>
  </w:style>
  <w:style w:type="character" w:customStyle="1" w:styleId="CommentSubjectChar">
    <w:name w:val="Comment Subject Char"/>
    <w:link w:val="CommentSubject"/>
    <w:uiPriority w:val="99"/>
    <w:semiHidden/>
    <w:locked/>
    <w:rsid w:val="0079638A"/>
    <w:rPr>
      <w:rFonts w:cs="Times New Roman"/>
      <w:b/>
      <w:bCs/>
      <w:sz w:val="20"/>
      <w:szCs w:val="20"/>
    </w:rPr>
  </w:style>
  <w:style w:type="paragraph" w:styleId="Revision">
    <w:name w:val="Revision"/>
    <w:hidden/>
    <w:uiPriority w:val="99"/>
    <w:semiHidden/>
    <w:rsid w:val="00785CA8"/>
    <w:rPr>
      <w:sz w:val="22"/>
      <w:szCs w:val="22"/>
      <w:lang w:val="en-GB" w:eastAsia="en-US"/>
    </w:rPr>
  </w:style>
  <w:style w:type="table" w:customStyle="1" w:styleId="GridTableLight">
    <w:name w:val="Grid Table Light"/>
    <w:uiPriority w:val="99"/>
    <w:rsid w:val="00BE33D8"/>
    <w:rPr>
      <w:rFonts w:eastAsia="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LightShading">
    <w:name w:val="Light Shading"/>
    <w:basedOn w:val="TableNormal"/>
    <w:uiPriority w:val="99"/>
    <w:rsid w:val="006541FF"/>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59"/>
    <w:locked/>
    <w:rsid w:val="008F1EFB"/>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3C1C"/>
    <w:pPr>
      <w:spacing w:before="100" w:beforeAutospacing="1" w:after="100" w:afterAutospacing="1" w:line="240" w:lineRule="auto"/>
    </w:pPr>
    <w:rPr>
      <w:rFonts w:ascii="Times New Roman" w:eastAsiaTheme="minorEastAsia" w:hAnsi="Times New Roman"/>
      <w:sz w:val="24"/>
      <w:szCs w:val="24"/>
      <w:lang w:eastAsia="en-GB"/>
    </w:rPr>
  </w:style>
  <w:style w:type="character" w:styleId="LineNumber">
    <w:name w:val="line number"/>
    <w:basedOn w:val="DefaultParagraphFont"/>
    <w:uiPriority w:val="99"/>
    <w:semiHidden/>
    <w:unhideWhenUsed/>
    <w:rsid w:val="007C734A"/>
  </w:style>
  <w:style w:type="paragraph" w:styleId="Header">
    <w:name w:val="header"/>
    <w:basedOn w:val="Normal"/>
    <w:link w:val="HeaderChar"/>
    <w:uiPriority w:val="99"/>
    <w:unhideWhenUsed/>
    <w:rsid w:val="00C33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2EF"/>
    <w:rPr>
      <w:sz w:val="22"/>
      <w:szCs w:val="22"/>
      <w:lang w:val="en-GB" w:eastAsia="en-US"/>
    </w:rPr>
  </w:style>
  <w:style w:type="paragraph" w:styleId="Footer">
    <w:name w:val="footer"/>
    <w:basedOn w:val="Normal"/>
    <w:link w:val="FooterChar"/>
    <w:uiPriority w:val="99"/>
    <w:unhideWhenUsed/>
    <w:rsid w:val="00C33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2EF"/>
    <w:rPr>
      <w:sz w:val="22"/>
      <w:szCs w:val="22"/>
      <w:lang w:val="en-GB" w:eastAsia="en-US"/>
    </w:rPr>
  </w:style>
  <w:style w:type="character" w:styleId="Hyperlink">
    <w:name w:val="Hyperlink"/>
    <w:basedOn w:val="DefaultParagraphFont"/>
    <w:uiPriority w:val="99"/>
    <w:unhideWhenUsed/>
    <w:rsid w:val="00D15B84"/>
    <w:rPr>
      <w:color w:val="0000FF" w:themeColor="hyperlink"/>
      <w:u w:val="single"/>
    </w:rPr>
  </w:style>
  <w:style w:type="character" w:customStyle="1" w:styleId="lg">
    <w:name w:val="lg"/>
    <w:basedOn w:val="DefaultParagraphFont"/>
    <w:rsid w:val="00D15B84"/>
  </w:style>
  <w:style w:type="character" w:customStyle="1" w:styleId="apple-converted-space">
    <w:name w:val="apple-converted-space"/>
    <w:basedOn w:val="DefaultParagraphFont"/>
    <w:rsid w:val="00695007"/>
  </w:style>
  <w:style w:type="character" w:styleId="Emphasis">
    <w:name w:val="Emphasis"/>
    <w:basedOn w:val="DefaultParagraphFont"/>
    <w:uiPriority w:val="20"/>
    <w:qFormat/>
    <w:locked/>
    <w:rsid w:val="00695007"/>
    <w:rPr>
      <w:i/>
      <w:iCs/>
    </w:rPr>
  </w:style>
  <w:style w:type="paragraph" w:customStyle="1" w:styleId="EndNoteBibliographyTitle">
    <w:name w:val="EndNote Bibliography Title"/>
    <w:basedOn w:val="Normal"/>
    <w:link w:val="EndNoteBibliographyTitleChar"/>
    <w:rsid w:val="00C83BBB"/>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C83BBB"/>
    <w:rPr>
      <w:noProof/>
      <w:sz w:val="22"/>
      <w:szCs w:val="22"/>
      <w:lang w:val="en-US" w:eastAsia="en-US"/>
    </w:rPr>
  </w:style>
  <w:style w:type="paragraph" w:customStyle="1" w:styleId="EndNoteBibliography">
    <w:name w:val="EndNote Bibliography"/>
    <w:basedOn w:val="Normal"/>
    <w:link w:val="EndNoteBibliographyChar"/>
    <w:rsid w:val="00C83BBB"/>
    <w:pPr>
      <w:spacing w:line="240" w:lineRule="auto"/>
    </w:pPr>
    <w:rPr>
      <w:noProof/>
      <w:lang w:val="en-US"/>
    </w:rPr>
  </w:style>
  <w:style w:type="character" w:customStyle="1" w:styleId="EndNoteBibliographyChar">
    <w:name w:val="EndNote Bibliography Char"/>
    <w:basedOn w:val="DefaultParagraphFont"/>
    <w:link w:val="EndNoteBibliography"/>
    <w:rsid w:val="00C83BBB"/>
    <w:rPr>
      <w:noProof/>
      <w:sz w:val="22"/>
      <w:szCs w:val="22"/>
      <w:lang w:val="en-US" w:eastAsia="en-US"/>
    </w:rPr>
  </w:style>
  <w:style w:type="character" w:customStyle="1" w:styleId="Heading1Char">
    <w:name w:val="Heading 1 Char"/>
    <w:basedOn w:val="DefaultParagraphFont"/>
    <w:link w:val="Heading1"/>
    <w:uiPriority w:val="9"/>
    <w:rsid w:val="00860861"/>
    <w:rPr>
      <w:rFonts w:ascii="Times New Roman" w:eastAsia="Times New Roman" w:hAnsi="Times New Roman"/>
      <w:b/>
      <w:bCs/>
      <w:kern w:val="36"/>
      <w:sz w:val="48"/>
      <w:szCs w:val="48"/>
      <w:lang w:val="en-GB" w:eastAsia="en-GB"/>
    </w:rPr>
  </w:style>
  <w:style w:type="character" w:customStyle="1" w:styleId="highlight">
    <w:name w:val="highlight"/>
    <w:basedOn w:val="DefaultParagraphFont"/>
    <w:rsid w:val="00860861"/>
  </w:style>
  <w:style w:type="table" w:customStyle="1" w:styleId="TableGridLight1">
    <w:name w:val="Table Grid Light1"/>
    <w:uiPriority w:val="99"/>
    <w:rsid w:val="002B4DF1"/>
    <w:rPr>
      <w:rFonts w:eastAsia="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94A"/>
    <w:pPr>
      <w:spacing w:after="200" w:line="276" w:lineRule="auto"/>
    </w:pPr>
    <w:rPr>
      <w:sz w:val="22"/>
      <w:szCs w:val="22"/>
      <w:lang w:val="en-GB" w:eastAsia="en-US"/>
    </w:rPr>
  </w:style>
  <w:style w:type="paragraph" w:styleId="Heading1">
    <w:name w:val="heading 1"/>
    <w:basedOn w:val="Normal"/>
    <w:link w:val="Heading1Char"/>
    <w:uiPriority w:val="9"/>
    <w:qFormat/>
    <w:locked/>
    <w:rsid w:val="00860861"/>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37A21"/>
    <w:rPr>
      <w:rFonts w:cs="Times New Roman"/>
      <w:color w:val="808080"/>
    </w:rPr>
  </w:style>
  <w:style w:type="paragraph" w:styleId="BalloonText">
    <w:name w:val="Balloon Text"/>
    <w:basedOn w:val="Normal"/>
    <w:link w:val="BalloonTextChar"/>
    <w:uiPriority w:val="99"/>
    <w:semiHidden/>
    <w:rsid w:val="00D37A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37A21"/>
    <w:rPr>
      <w:rFonts w:ascii="Tahoma" w:hAnsi="Tahoma" w:cs="Tahoma"/>
      <w:sz w:val="16"/>
      <w:szCs w:val="16"/>
    </w:rPr>
  </w:style>
  <w:style w:type="character" w:styleId="CommentReference">
    <w:name w:val="annotation reference"/>
    <w:uiPriority w:val="99"/>
    <w:semiHidden/>
    <w:rsid w:val="0079638A"/>
    <w:rPr>
      <w:rFonts w:cs="Times New Roman"/>
      <w:sz w:val="16"/>
      <w:szCs w:val="16"/>
    </w:rPr>
  </w:style>
  <w:style w:type="paragraph" w:styleId="CommentText">
    <w:name w:val="annotation text"/>
    <w:basedOn w:val="Normal"/>
    <w:link w:val="CommentTextChar"/>
    <w:uiPriority w:val="99"/>
    <w:semiHidden/>
    <w:rsid w:val="0079638A"/>
    <w:pPr>
      <w:spacing w:line="240" w:lineRule="auto"/>
    </w:pPr>
    <w:rPr>
      <w:sz w:val="20"/>
      <w:szCs w:val="20"/>
    </w:rPr>
  </w:style>
  <w:style w:type="character" w:customStyle="1" w:styleId="CommentTextChar">
    <w:name w:val="Comment Text Char"/>
    <w:link w:val="CommentText"/>
    <w:uiPriority w:val="99"/>
    <w:semiHidden/>
    <w:locked/>
    <w:rsid w:val="0079638A"/>
    <w:rPr>
      <w:rFonts w:cs="Times New Roman"/>
      <w:sz w:val="20"/>
      <w:szCs w:val="20"/>
    </w:rPr>
  </w:style>
  <w:style w:type="paragraph" w:styleId="CommentSubject">
    <w:name w:val="annotation subject"/>
    <w:basedOn w:val="CommentText"/>
    <w:next w:val="CommentText"/>
    <w:link w:val="CommentSubjectChar"/>
    <w:uiPriority w:val="99"/>
    <w:semiHidden/>
    <w:rsid w:val="0079638A"/>
    <w:rPr>
      <w:b/>
      <w:bCs/>
    </w:rPr>
  </w:style>
  <w:style w:type="character" w:customStyle="1" w:styleId="CommentSubjectChar">
    <w:name w:val="Comment Subject Char"/>
    <w:link w:val="CommentSubject"/>
    <w:uiPriority w:val="99"/>
    <w:semiHidden/>
    <w:locked/>
    <w:rsid w:val="0079638A"/>
    <w:rPr>
      <w:rFonts w:cs="Times New Roman"/>
      <w:b/>
      <w:bCs/>
      <w:sz w:val="20"/>
      <w:szCs w:val="20"/>
    </w:rPr>
  </w:style>
  <w:style w:type="paragraph" w:styleId="Revision">
    <w:name w:val="Revision"/>
    <w:hidden/>
    <w:uiPriority w:val="99"/>
    <w:semiHidden/>
    <w:rsid w:val="00785CA8"/>
    <w:rPr>
      <w:sz w:val="22"/>
      <w:szCs w:val="22"/>
      <w:lang w:val="en-GB" w:eastAsia="en-US"/>
    </w:rPr>
  </w:style>
  <w:style w:type="table" w:customStyle="1" w:styleId="GridTableLight">
    <w:name w:val="Grid Table Light"/>
    <w:uiPriority w:val="99"/>
    <w:rsid w:val="00BE33D8"/>
    <w:rPr>
      <w:rFonts w:eastAsia="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LightShading">
    <w:name w:val="Light Shading"/>
    <w:basedOn w:val="TableNormal"/>
    <w:uiPriority w:val="99"/>
    <w:rsid w:val="006541FF"/>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59"/>
    <w:locked/>
    <w:rsid w:val="008F1EFB"/>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3C1C"/>
    <w:pPr>
      <w:spacing w:before="100" w:beforeAutospacing="1" w:after="100" w:afterAutospacing="1" w:line="240" w:lineRule="auto"/>
    </w:pPr>
    <w:rPr>
      <w:rFonts w:ascii="Times New Roman" w:eastAsiaTheme="minorEastAsia" w:hAnsi="Times New Roman"/>
      <w:sz w:val="24"/>
      <w:szCs w:val="24"/>
      <w:lang w:eastAsia="en-GB"/>
    </w:rPr>
  </w:style>
  <w:style w:type="character" w:styleId="LineNumber">
    <w:name w:val="line number"/>
    <w:basedOn w:val="DefaultParagraphFont"/>
    <w:uiPriority w:val="99"/>
    <w:semiHidden/>
    <w:unhideWhenUsed/>
    <w:rsid w:val="007C734A"/>
  </w:style>
  <w:style w:type="paragraph" w:styleId="Header">
    <w:name w:val="header"/>
    <w:basedOn w:val="Normal"/>
    <w:link w:val="HeaderChar"/>
    <w:uiPriority w:val="99"/>
    <w:unhideWhenUsed/>
    <w:rsid w:val="00C33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2EF"/>
    <w:rPr>
      <w:sz w:val="22"/>
      <w:szCs w:val="22"/>
      <w:lang w:val="en-GB" w:eastAsia="en-US"/>
    </w:rPr>
  </w:style>
  <w:style w:type="paragraph" w:styleId="Footer">
    <w:name w:val="footer"/>
    <w:basedOn w:val="Normal"/>
    <w:link w:val="FooterChar"/>
    <w:uiPriority w:val="99"/>
    <w:unhideWhenUsed/>
    <w:rsid w:val="00C33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2EF"/>
    <w:rPr>
      <w:sz w:val="22"/>
      <w:szCs w:val="22"/>
      <w:lang w:val="en-GB" w:eastAsia="en-US"/>
    </w:rPr>
  </w:style>
  <w:style w:type="character" w:styleId="Hyperlink">
    <w:name w:val="Hyperlink"/>
    <w:basedOn w:val="DefaultParagraphFont"/>
    <w:uiPriority w:val="99"/>
    <w:unhideWhenUsed/>
    <w:rsid w:val="00D15B84"/>
    <w:rPr>
      <w:color w:val="0000FF" w:themeColor="hyperlink"/>
      <w:u w:val="single"/>
    </w:rPr>
  </w:style>
  <w:style w:type="character" w:customStyle="1" w:styleId="lg">
    <w:name w:val="lg"/>
    <w:basedOn w:val="DefaultParagraphFont"/>
    <w:rsid w:val="00D15B84"/>
  </w:style>
  <w:style w:type="character" w:customStyle="1" w:styleId="apple-converted-space">
    <w:name w:val="apple-converted-space"/>
    <w:basedOn w:val="DefaultParagraphFont"/>
    <w:rsid w:val="00695007"/>
  </w:style>
  <w:style w:type="character" w:styleId="Emphasis">
    <w:name w:val="Emphasis"/>
    <w:basedOn w:val="DefaultParagraphFont"/>
    <w:uiPriority w:val="20"/>
    <w:qFormat/>
    <w:locked/>
    <w:rsid w:val="00695007"/>
    <w:rPr>
      <w:i/>
      <w:iCs/>
    </w:rPr>
  </w:style>
  <w:style w:type="paragraph" w:customStyle="1" w:styleId="EndNoteBibliographyTitle">
    <w:name w:val="EndNote Bibliography Title"/>
    <w:basedOn w:val="Normal"/>
    <w:link w:val="EndNoteBibliographyTitleChar"/>
    <w:rsid w:val="00C83BBB"/>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C83BBB"/>
    <w:rPr>
      <w:noProof/>
      <w:sz w:val="22"/>
      <w:szCs w:val="22"/>
      <w:lang w:val="en-US" w:eastAsia="en-US"/>
    </w:rPr>
  </w:style>
  <w:style w:type="paragraph" w:customStyle="1" w:styleId="EndNoteBibliography">
    <w:name w:val="EndNote Bibliography"/>
    <w:basedOn w:val="Normal"/>
    <w:link w:val="EndNoteBibliographyChar"/>
    <w:rsid w:val="00C83BBB"/>
    <w:pPr>
      <w:spacing w:line="240" w:lineRule="auto"/>
    </w:pPr>
    <w:rPr>
      <w:noProof/>
      <w:lang w:val="en-US"/>
    </w:rPr>
  </w:style>
  <w:style w:type="character" w:customStyle="1" w:styleId="EndNoteBibliographyChar">
    <w:name w:val="EndNote Bibliography Char"/>
    <w:basedOn w:val="DefaultParagraphFont"/>
    <w:link w:val="EndNoteBibliography"/>
    <w:rsid w:val="00C83BBB"/>
    <w:rPr>
      <w:noProof/>
      <w:sz w:val="22"/>
      <w:szCs w:val="22"/>
      <w:lang w:val="en-US" w:eastAsia="en-US"/>
    </w:rPr>
  </w:style>
  <w:style w:type="character" w:customStyle="1" w:styleId="Heading1Char">
    <w:name w:val="Heading 1 Char"/>
    <w:basedOn w:val="DefaultParagraphFont"/>
    <w:link w:val="Heading1"/>
    <w:uiPriority w:val="9"/>
    <w:rsid w:val="00860861"/>
    <w:rPr>
      <w:rFonts w:ascii="Times New Roman" w:eastAsia="Times New Roman" w:hAnsi="Times New Roman"/>
      <w:b/>
      <w:bCs/>
      <w:kern w:val="36"/>
      <w:sz w:val="48"/>
      <w:szCs w:val="48"/>
      <w:lang w:val="en-GB" w:eastAsia="en-GB"/>
    </w:rPr>
  </w:style>
  <w:style w:type="character" w:customStyle="1" w:styleId="highlight">
    <w:name w:val="highlight"/>
    <w:basedOn w:val="DefaultParagraphFont"/>
    <w:rsid w:val="00860861"/>
  </w:style>
  <w:style w:type="table" w:customStyle="1" w:styleId="TableGridLight1">
    <w:name w:val="Table Grid Light1"/>
    <w:uiPriority w:val="99"/>
    <w:rsid w:val="002B4DF1"/>
    <w:rPr>
      <w:rFonts w:eastAsia="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6224">
      <w:bodyDiv w:val="1"/>
      <w:marLeft w:val="0"/>
      <w:marRight w:val="0"/>
      <w:marTop w:val="0"/>
      <w:marBottom w:val="0"/>
      <w:divBdr>
        <w:top w:val="none" w:sz="0" w:space="0" w:color="auto"/>
        <w:left w:val="none" w:sz="0" w:space="0" w:color="auto"/>
        <w:bottom w:val="none" w:sz="0" w:space="0" w:color="auto"/>
        <w:right w:val="none" w:sz="0" w:space="0" w:color="auto"/>
      </w:divBdr>
    </w:div>
    <w:div w:id="1034038501">
      <w:marLeft w:val="0"/>
      <w:marRight w:val="0"/>
      <w:marTop w:val="0"/>
      <w:marBottom w:val="0"/>
      <w:divBdr>
        <w:top w:val="none" w:sz="0" w:space="0" w:color="auto"/>
        <w:left w:val="none" w:sz="0" w:space="0" w:color="auto"/>
        <w:bottom w:val="none" w:sz="0" w:space="0" w:color="auto"/>
        <w:right w:val="none" w:sz="0" w:space="0" w:color="auto"/>
      </w:divBdr>
    </w:div>
    <w:div w:id="1034038502">
      <w:marLeft w:val="0"/>
      <w:marRight w:val="0"/>
      <w:marTop w:val="0"/>
      <w:marBottom w:val="0"/>
      <w:divBdr>
        <w:top w:val="none" w:sz="0" w:space="0" w:color="auto"/>
        <w:left w:val="none" w:sz="0" w:space="0" w:color="auto"/>
        <w:bottom w:val="none" w:sz="0" w:space="0" w:color="auto"/>
        <w:right w:val="none" w:sz="0" w:space="0" w:color="auto"/>
      </w:divBdr>
    </w:div>
    <w:div w:id="1034038503">
      <w:marLeft w:val="0"/>
      <w:marRight w:val="0"/>
      <w:marTop w:val="0"/>
      <w:marBottom w:val="0"/>
      <w:divBdr>
        <w:top w:val="none" w:sz="0" w:space="0" w:color="auto"/>
        <w:left w:val="none" w:sz="0" w:space="0" w:color="auto"/>
        <w:bottom w:val="none" w:sz="0" w:space="0" w:color="auto"/>
        <w:right w:val="none" w:sz="0" w:space="0" w:color="auto"/>
      </w:divBdr>
    </w:div>
    <w:div w:id="1212496615">
      <w:bodyDiv w:val="1"/>
      <w:marLeft w:val="0"/>
      <w:marRight w:val="0"/>
      <w:marTop w:val="0"/>
      <w:marBottom w:val="0"/>
      <w:divBdr>
        <w:top w:val="none" w:sz="0" w:space="0" w:color="auto"/>
        <w:left w:val="none" w:sz="0" w:space="0" w:color="auto"/>
        <w:bottom w:val="none" w:sz="0" w:space="0" w:color="auto"/>
        <w:right w:val="none" w:sz="0" w:space="0" w:color="auto"/>
      </w:divBdr>
    </w:div>
    <w:div w:id="19514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CA66E-0F0D-43AC-9854-F0D4F067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3031</Words>
  <Characters>17673</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relationship of bone properties using high resolution peripheral quantitative computed tomography to radiographic components of hip osteoarthritis</vt:lpstr>
      <vt:lpstr>The relationship of bone properties using high resolution peripheral quantitative computed tomography to radiographic components of hip osteoarthritis </vt:lpstr>
    </vt:vector>
  </TitlesOfParts>
  <Company>University of Southampton</Company>
  <LinksUpToDate>false</LinksUpToDate>
  <CharactersWithSpaces>20663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relationship of bone properties using high resolution peripheral quantitative computed tomography to radiographic components of hip osteoarthritis</dc:title>
  <dc:creator>Julien Paccou</dc:creator>
  <cp:lastModifiedBy>Lapage K.P.</cp:lastModifiedBy>
  <cp:revision>2</cp:revision>
  <cp:lastPrinted>2016-07-06T12:43:00Z</cp:lastPrinted>
  <dcterms:created xsi:type="dcterms:W3CDTF">2017-04-04T13:35:00Z</dcterms:created>
  <dcterms:modified xsi:type="dcterms:W3CDTF">2017-04-04T13:35:00Z</dcterms:modified>
</cp:coreProperties>
</file>