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AF0F7" w14:textId="77777777" w:rsidR="007D0A45" w:rsidRPr="007D0A45" w:rsidRDefault="007D0A45" w:rsidP="007D0A45">
      <w:pPr>
        <w:jc w:val="center"/>
      </w:pPr>
      <w:bookmarkStart w:id="0" w:name="_GoBack"/>
      <w:r w:rsidRPr="007D0A45">
        <w:t>Do Associations Between Pleasure Ratings for Penile-Vaginal Sex and Condom Use Vary by Relationship Type: A Study of Canadian University Students</w:t>
      </w:r>
    </w:p>
    <w:p w14:paraId="382AF824" w14:textId="77777777" w:rsidR="007D0A45" w:rsidRPr="007D0A45" w:rsidRDefault="007D0A45" w:rsidP="007D0A45">
      <w:pPr>
        <w:jc w:val="center"/>
      </w:pPr>
    </w:p>
    <w:p w14:paraId="637E50B2" w14:textId="77777777" w:rsidR="007D0A45" w:rsidRPr="007D0A45" w:rsidRDefault="007D0A45" w:rsidP="007D0A45">
      <w:pPr>
        <w:jc w:val="center"/>
      </w:pPr>
    </w:p>
    <w:p w14:paraId="7FEAB1C6" w14:textId="77777777" w:rsidR="007D0A45" w:rsidRPr="007D0A45" w:rsidRDefault="007D0A45" w:rsidP="007D0A45"/>
    <w:p w14:paraId="69B2F575" w14:textId="77777777" w:rsidR="007D0A45" w:rsidRPr="007D0A45" w:rsidRDefault="007D0A45" w:rsidP="007D0A45">
      <w:pPr>
        <w:jc w:val="center"/>
      </w:pPr>
    </w:p>
    <w:p w14:paraId="117F8583" w14:textId="77777777" w:rsidR="007D0A45" w:rsidRPr="007D0A45" w:rsidRDefault="007D0A45" w:rsidP="007D0A45">
      <w:pPr>
        <w:jc w:val="center"/>
        <w:rPr>
          <w:vertAlign w:val="superscript"/>
        </w:rPr>
      </w:pPr>
      <w:r w:rsidRPr="007D0A45">
        <w:t>Robin R. Milhausen;</w:t>
      </w:r>
      <w:r w:rsidRPr="007D0A45">
        <w:rPr>
          <w:vertAlign w:val="superscript"/>
        </w:rPr>
        <w:t>1,2 ,3</w:t>
      </w:r>
      <w:r w:rsidRPr="007D0A45">
        <w:t xml:space="preserve"> Alex McKay;</w:t>
      </w:r>
      <w:r w:rsidRPr="007D0A45">
        <w:rPr>
          <w:vertAlign w:val="superscript"/>
        </w:rPr>
        <w:t>4</w:t>
      </w:r>
      <w:r w:rsidRPr="007D0A45">
        <w:t xml:space="preserve"> Cynthia A. Graham;</w:t>
      </w:r>
      <w:r w:rsidRPr="007D0A45">
        <w:rPr>
          <w:vertAlign w:val="superscript"/>
        </w:rPr>
        <w:t>2, 3, 5</w:t>
      </w:r>
      <w:r w:rsidRPr="007D0A45">
        <w:t xml:space="preserve"> Stephanie A. Sanders;</w:t>
      </w:r>
      <w:r w:rsidRPr="007D0A45">
        <w:rPr>
          <w:vertAlign w:val="superscript"/>
        </w:rPr>
        <w:t>2,3,6</w:t>
      </w:r>
      <w:r w:rsidRPr="007D0A45">
        <w:t xml:space="preserve"> </w:t>
      </w:r>
    </w:p>
    <w:p w14:paraId="6431BDAB" w14:textId="77777777" w:rsidR="007D0A45" w:rsidRPr="007D0A45" w:rsidRDefault="007D0A45" w:rsidP="007D0A45">
      <w:pPr>
        <w:spacing w:line="455" w:lineRule="atLeast"/>
        <w:jc w:val="center"/>
        <w:rPr>
          <w:vertAlign w:val="superscript"/>
        </w:rPr>
      </w:pPr>
      <w:r w:rsidRPr="007D0A45">
        <w:t>Richard A. Crosby;</w:t>
      </w:r>
      <w:r w:rsidRPr="007D0A45">
        <w:rPr>
          <w:vertAlign w:val="superscript"/>
        </w:rPr>
        <w:t>2,3,7</w:t>
      </w:r>
      <w:r w:rsidRPr="007D0A45">
        <w:t xml:space="preserve"> William L. Yarber;</w:t>
      </w:r>
      <w:r w:rsidRPr="007D0A45">
        <w:rPr>
          <w:vertAlign w:val="superscript"/>
        </w:rPr>
        <w:t>2,3,6,8</w:t>
      </w:r>
      <w:r w:rsidRPr="007D0A45">
        <w:t xml:space="preserve"> Jessica Wood</w:t>
      </w:r>
      <w:r w:rsidRPr="007D0A45">
        <w:rPr>
          <w:vertAlign w:val="superscript"/>
        </w:rPr>
        <w:t>9</w:t>
      </w:r>
    </w:p>
    <w:p w14:paraId="6346231C" w14:textId="77777777" w:rsidR="007D0A45" w:rsidRPr="007D0A45" w:rsidRDefault="007D0A45" w:rsidP="007D0A45">
      <w:pPr>
        <w:spacing w:line="480" w:lineRule="auto"/>
        <w:rPr>
          <w:vertAlign w:val="superscript"/>
        </w:rPr>
      </w:pPr>
    </w:p>
    <w:p w14:paraId="14BDC8C9" w14:textId="77777777" w:rsidR="007D0A45" w:rsidRPr="007D0A45" w:rsidRDefault="007D0A45" w:rsidP="007D0A45">
      <w:pPr>
        <w:spacing w:line="480" w:lineRule="auto"/>
        <w:rPr>
          <w:vertAlign w:val="superscript"/>
        </w:rPr>
      </w:pPr>
    </w:p>
    <w:p w14:paraId="4FCC71CE" w14:textId="77777777" w:rsidR="007D0A45" w:rsidRPr="007D0A45" w:rsidRDefault="007D0A45" w:rsidP="007D0A45">
      <w:pPr>
        <w:spacing w:line="480" w:lineRule="auto"/>
        <w:rPr>
          <w:vertAlign w:val="superscript"/>
        </w:rPr>
      </w:pPr>
    </w:p>
    <w:p w14:paraId="7136BACF" w14:textId="77777777" w:rsidR="007D0A45" w:rsidRPr="007D0A45" w:rsidRDefault="007D0A45" w:rsidP="007D0A45">
      <w:pPr>
        <w:spacing w:line="480" w:lineRule="auto"/>
        <w:rPr>
          <w:vertAlign w:val="superscript"/>
        </w:rPr>
      </w:pPr>
    </w:p>
    <w:p w14:paraId="5BA98245" w14:textId="77777777" w:rsidR="007D0A45" w:rsidRPr="007D0A45" w:rsidRDefault="007D0A45" w:rsidP="007D0A45">
      <w:pPr>
        <w:rPr>
          <w:vertAlign w:val="superscript"/>
        </w:rPr>
      </w:pPr>
      <w:r w:rsidRPr="007D0A45">
        <w:rPr>
          <w:vertAlign w:val="superscript"/>
        </w:rPr>
        <w:t xml:space="preserve">1 </w:t>
      </w:r>
      <w:r w:rsidRPr="007D0A45">
        <w:t xml:space="preserve">Department of Family Relations and Applied Nutrition, University of Guelph, Guelph, ON </w:t>
      </w:r>
    </w:p>
    <w:p w14:paraId="10F780A3" w14:textId="77777777" w:rsidR="007D0A45" w:rsidRPr="007D0A45" w:rsidRDefault="007D0A45" w:rsidP="007D0A45">
      <w:r w:rsidRPr="007D0A45">
        <w:rPr>
          <w:vertAlign w:val="superscript"/>
        </w:rPr>
        <w:t xml:space="preserve">2 </w:t>
      </w:r>
      <w:r w:rsidRPr="007D0A45">
        <w:t xml:space="preserve">The Kinsey Institute for Research in Sex, Gender, and Reproduction, Indiana University, Bloomington, IN </w:t>
      </w:r>
    </w:p>
    <w:p w14:paraId="020EB274" w14:textId="77777777" w:rsidR="007D0A45" w:rsidRPr="007D0A45" w:rsidRDefault="007D0A45" w:rsidP="007D0A45">
      <w:r w:rsidRPr="007D0A45">
        <w:rPr>
          <w:vertAlign w:val="superscript"/>
        </w:rPr>
        <w:t xml:space="preserve">3 </w:t>
      </w:r>
      <w:r w:rsidRPr="007D0A45">
        <w:t xml:space="preserve">Rural Center for AIDS/STD Prevention, Indiana University, Bloomington, IN  </w:t>
      </w:r>
    </w:p>
    <w:p w14:paraId="08E0B953" w14:textId="77777777" w:rsidR="007D0A45" w:rsidRPr="007D0A45" w:rsidRDefault="007D0A45" w:rsidP="007D0A45">
      <w:r w:rsidRPr="007D0A45">
        <w:rPr>
          <w:vertAlign w:val="superscript"/>
        </w:rPr>
        <w:t>4</w:t>
      </w:r>
      <w:r w:rsidRPr="007D0A45">
        <w:t xml:space="preserve"> Sex Information and Education Council of Canada </w:t>
      </w:r>
      <w:r w:rsidRPr="007D0A45">
        <w:rPr>
          <w:bCs/>
        </w:rPr>
        <w:t xml:space="preserve">(SIECCAN), Toronto, ON </w:t>
      </w:r>
    </w:p>
    <w:p w14:paraId="30326CF0" w14:textId="77777777" w:rsidR="007D0A45" w:rsidRPr="007D0A45" w:rsidRDefault="007D0A45" w:rsidP="007D0A45">
      <w:r w:rsidRPr="007D0A45">
        <w:rPr>
          <w:vertAlign w:val="superscript"/>
        </w:rPr>
        <w:t xml:space="preserve">5 </w:t>
      </w:r>
      <w:r w:rsidRPr="007D0A45">
        <w:t xml:space="preserve">Department of Psychology, University of Southampton UK </w:t>
      </w:r>
    </w:p>
    <w:p w14:paraId="1989FE1C" w14:textId="77777777" w:rsidR="007D0A45" w:rsidRPr="007D0A45" w:rsidRDefault="007D0A45" w:rsidP="007D0A45">
      <w:r w:rsidRPr="007D0A45">
        <w:rPr>
          <w:vertAlign w:val="superscript"/>
        </w:rPr>
        <w:t xml:space="preserve">6 </w:t>
      </w:r>
      <w:r w:rsidRPr="007D0A45">
        <w:t xml:space="preserve">Department of Gender Studies, Memorial Hall E130, Indiana University, Bloomington, </w:t>
      </w:r>
    </w:p>
    <w:p w14:paraId="5DE634FA" w14:textId="77777777" w:rsidR="007D0A45" w:rsidRPr="007D0A45" w:rsidRDefault="007D0A45" w:rsidP="007D0A45">
      <w:r w:rsidRPr="007D0A45">
        <w:rPr>
          <w:vertAlign w:val="superscript"/>
        </w:rPr>
        <w:t>7</w:t>
      </w:r>
      <w:r w:rsidRPr="007D0A45">
        <w:t xml:space="preserve"> Department of Health Behavior, College of Public Health, University of Kentucky, Lexington, KY, </w:t>
      </w:r>
    </w:p>
    <w:p w14:paraId="638B30E0" w14:textId="77777777" w:rsidR="007D0A45" w:rsidRPr="007D0A45" w:rsidRDefault="007D0A45" w:rsidP="007D0A45">
      <w:r w:rsidRPr="007D0A45">
        <w:rPr>
          <w:vertAlign w:val="superscript"/>
        </w:rPr>
        <w:t xml:space="preserve">8 </w:t>
      </w:r>
      <w:r w:rsidRPr="007D0A45">
        <w:t>Department of Applied Health Science, Indiana University, Bloomington, IN</w:t>
      </w:r>
    </w:p>
    <w:p w14:paraId="6DDEDFA2" w14:textId="77777777" w:rsidR="007D0A45" w:rsidRPr="007D0A45" w:rsidRDefault="007D0A45" w:rsidP="007D0A45">
      <w:r w:rsidRPr="007D0A45">
        <w:rPr>
          <w:vertAlign w:val="superscript"/>
        </w:rPr>
        <w:t xml:space="preserve">9 </w:t>
      </w:r>
      <w:r w:rsidRPr="007D0A45">
        <w:t>Department of Psychology, University of Guelph, Guelph, ON</w:t>
      </w:r>
    </w:p>
    <w:p w14:paraId="1A363706" w14:textId="77777777" w:rsidR="007D0A45" w:rsidRPr="007D0A45" w:rsidRDefault="007D0A45" w:rsidP="007D0A45"/>
    <w:p w14:paraId="2CE9ADAF" w14:textId="77777777" w:rsidR="007D0A45" w:rsidRPr="007D0A45" w:rsidRDefault="007D0A45" w:rsidP="007D0A45"/>
    <w:p w14:paraId="1BB8D783" w14:textId="77777777" w:rsidR="007D0A45" w:rsidRPr="007D0A45" w:rsidRDefault="007D0A45" w:rsidP="007D0A45"/>
    <w:p w14:paraId="1D307444" w14:textId="77777777" w:rsidR="007D0A45" w:rsidRPr="007D0A45" w:rsidRDefault="007D0A45" w:rsidP="007D0A45">
      <w:r w:rsidRPr="007D0A45">
        <w:t xml:space="preserve">Acknowledgements: The survey reported on in this article was commissioned by the Trojan Sexual Health Division of Church &amp; Dwight Canada in collaboration with the Sex Information and Education Council of Canada (SIECCAN). </w:t>
      </w:r>
    </w:p>
    <w:p w14:paraId="66E9069A" w14:textId="77777777" w:rsidR="007D0A45" w:rsidRPr="007D0A45" w:rsidRDefault="007D0A45" w:rsidP="007D0A45"/>
    <w:p w14:paraId="14AF411A" w14:textId="77777777" w:rsidR="007D0A45" w:rsidRPr="007D0A45" w:rsidRDefault="007D0A45" w:rsidP="007D0A45">
      <w:r w:rsidRPr="007D0A45">
        <w:t xml:space="preserve">Correspondence:  Robin R. </w:t>
      </w:r>
      <w:proofErr w:type="spellStart"/>
      <w:r w:rsidRPr="007D0A45">
        <w:t>Milhausen</w:t>
      </w:r>
      <w:proofErr w:type="spellEnd"/>
      <w:r w:rsidRPr="007D0A45">
        <w:t xml:space="preserve">, PhD, Department of Family Relations and Applied Nutrition, Room 219 Macdonald Institute, University of Guelph, Guelph, Ontario, Canada, N1G 2W1; </w:t>
      </w:r>
      <w:hyperlink r:id="rId8" w:history="1">
        <w:r w:rsidRPr="007D0A45">
          <w:rPr>
            <w:rStyle w:val="Hyperlink"/>
          </w:rPr>
          <w:t>rmilhaus@uoguelph.ca</w:t>
        </w:r>
      </w:hyperlink>
      <w:r w:rsidRPr="007D0A45">
        <w:t>; (519) 824-4120 ext. 54397</w:t>
      </w:r>
    </w:p>
    <w:p w14:paraId="22613F4A" w14:textId="77777777" w:rsidR="007D0A45" w:rsidRPr="007D0A45" w:rsidRDefault="007D0A45" w:rsidP="007D0A45"/>
    <w:p w14:paraId="07C5C03F" w14:textId="77777777" w:rsidR="007D0A45" w:rsidRPr="007D0A45" w:rsidRDefault="007D0A45" w:rsidP="007D0A45">
      <w:pPr>
        <w:spacing w:line="360" w:lineRule="auto"/>
        <w:outlineLvl w:val="0"/>
        <w:rPr>
          <w:bCs/>
        </w:rPr>
      </w:pPr>
    </w:p>
    <w:p w14:paraId="486CD381" w14:textId="77777777" w:rsidR="007D0A45" w:rsidRPr="007D0A45" w:rsidRDefault="007D0A45" w:rsidP="007D0A45"/>
    <w:p w14:paraId="11FAD28F" w14:textId="1434DD28" w:rsidR="007D0A45" w:rsidRPr="007D0A45" w:rsidRDefault="007D0A45" w:rsidP="007D0A45">
      <w:r w:rsidRPr="007D0A45">
        <w:rPr>
          <w:i/>
        </w:rPr>
        <w:t xml:space="preserve">Keywords: </w:t>
      </w:r>
      <w:r w:rsidRPr="007D0A45">
        <w:t>condom use, pleasure, relationship commitment, gender, university students</w:t>
      </w:r>
    </w:p>
    <w:p w14:paraId="4B150E13" w14:textId="77777777" w:rsidR="007D0A45" w:rsidRPr="007D0A45" w:rsidRDefault="007D0A45">
      <w:r w:rsidRPr="007D0A45">
        <w:br w:type="page"/>
      </w:r>
    </w:p>
    <w:p w14:paraId="2FDEDF9A" w14:textId="77777777" w:rsidR="007D0A45" w:rsidRPr="007D0A45" w:rsidRDefault="007D0A45" w:rsidP="007D0A45"/>
    <w:p w14:paraId="5E6C717E" w14:textId="77777777" w:rsidR="007D0A45" w:rsidRPr="007D0A45" w:rsidRDefault="007D0A45" w:rsidP="007D0A45"/>
    <w:p w14:paraId="42A32C65" w14:textId="77777777" w:rsidR="007D0A45" w:rsidRPr="007D0A45" w:rsidRDefault="007D0A45" w:rsidP="000D6B09">
      <w:pPr>
        <w:jc w:val="center"/>
        <w:rPr>
          <w:b/>
        </w:rPr>
      </w:pPr>
    </w:p>
    <w:p w14:paraId="3BDB1BFB" w14:textId="30A45AE5" w:rsidR="008D2F55" w:rsidRPr="007D0A45" w:rsidRDefault="008D2F55" w:rsidP="000D6B09">
      <w:pPr>
        <w:jc w:val="center"/>
        <w:rPr>
          <w:b/>
        </w:rPr>
      </w:pPr>
      <w:r w:rsidRPr="007D0A45">
        <w:rPr>
          <w:b/>
        </w:rPr>
        <w:t>Abstract</w:t>
      </w:r>
    </w:p>
    <w:p w14:paraId="2C3FCF52" w14:textId="77777777" w:rsidR="000D6B09" w:rsidRPr="007D0A45" w:rsidRDefault="000D6B09" w:rsidP="000D6B09">
      <w:pPr>
        <w:jc w:val="center"/>
      </w:pPr>
    </w:p>
    <w:p w14:paraId="2EA473D2" w14:textId="24CB914B" w:rsidR="00304974" w:rsidRPr="007D0A45" w:rsidRDefault="00AE26C5" w:rsidP="00D262DF">
      <w:pPr>
        <w:tabs>
          <w:tab w:val="left" w:pos="0"/>
          <w:tab w:val="left" w:pos="720"/>
          <w:tab w:val="left" w:pos="1440"/>
          <w:tab w:val="left" w:pos="2160"/>
          <w:tab w:val="left" w:pos="2880"/>
          <w:tab w:val="left" w:pos="3600"/>
          <w:tab w:val="left" w:pos="4320"/>
          <w:tab w:val="left" w:pos="5040"/>
          <w:tab w:val="center" w:pos="6912"/>
        </w:tabs>
        <w:spacing w:line="480" w:lineRule="auto"/>
      </w:pPr>
      <w:r w:rsidRPr="007D0A45">
        <w:t>R</w:t>
      </w:r>
      <w:r w:rsidR="008D2F55" w:rsidRPr="007D0A45">
        <w:t>esearch suggests that the relationship between pleasure</w:t>
      </w:r>
      <w:r w:rsidR="00FA24D6" w:rsidRPr="007D0A45">
        <w:t xml:space="preserve"> and condom use</w:t>
      </w:r>
      <w:r w:rsidR="008D2F55" w:rsidRPr="007D0A45">
        <w:t xml:space="preserve"> during penile vaginal intercourse (PVI)</w:t>
      </w:r>
      <w:r w:rsidR="0072364D" w:rsidRPr="007D0A45">
        <w:t xml:space="preserve"> is associated with relationship status</w:t>
      </w:r>
      <w:r w:rsidR="008D2F55" w:rsidRPr="007D0A45">
        <w:t xml:space="preserve">.  </w:t>
      </w:r>
      <w:r w:rsidR="00D13B76" w:rsidRPr="007D0A45">
        <w:t>This online</w:t>
      </w:r>
      <w:r w:rsidR="008D2F55" w:rsidRPr="007D0A45">
        <w:t xml:space="preserve"> study </w:t>
      </w:r>
      <w:r w:rsidR="00A82634" w:rsidRPr="007D0A45">
        <w:t>examined</w:t>
      </w:r>
      <w:r w:rsidR="00613226" w:rsidRPr="007D0A45">
        <w:t xml:space="preserve"> </w:t>
      </w:r>
      <w:r w:rsidR="008D2F55" w:rsidRPr="007D0A45">
        <w:t xml:space="preserve">pleasure </w:t>
      </w:r>
      <w:r w:rsidR="00A82634" w:rsidRPr="007D0A45">
        <w:t>ratings</w:t>
      </w:r>
      <w:r w:rsidR="00C41CA6" w:rsidRPr="007D0A45">
        <w:t xml:space="preserve"> and condom use</w:t>
      </w:r>
      <w:r w:rsidR="00A82634" w:rsidRPr="007D0A45">
        <w:t xml:space="preserve"> </w:t>
      </w:r>
      <w:r w:rsidR="008D2F55" w:rsidRPr="007D0A45">
        <w:t>at last PVI</w:t>
      </w:r>
      <w:r w:rsidR="00C41CA6" w:rsidRPr="007D0A45">
        <w:t xml:space="preserve">, </w:t>
      </w:r>
      <w:r w:rsidR="008D2F55" w:rsidRPr="007D0A45">
        <w:t>stratifying by partner type, among a national sample of Canadian university students.</w:t>
      </w:r>
      <w:r w:rsidR="007707B3" w:rsidRPr="007D0A45">
        <w:t xml:space="preserve"> </w:t>
      </w:r>
      <w:r w:rsidR="00A82634" w:rsidRPr="007D0A45">
        <w:t>P</w:t>
      </w:r>
      <w:r w:rsidR="000D6B09" w:rsidRPr="007D0A45">
        <w:t>articipants</w:t>
      </w:r>
      <w:r w:rsidR="008D2F55" w:rsidRPr="007D0A45">
        <w:t xml:space="preserve"> </w:t>
      </w:r>
      <w:r w:rsidRPr="007D0A45">
        <w:t xml:space="preserve">were 715 </w:t>
      </w:r>
      <w:r w:rsidR="002E745B" w:rsidRPr="007D0A45">
        <w:t>undergraduates (60.7%</w:t>
      </w:r>
      <w:r w:rsidR="009B6FE7" w:rsidRPr="007D0A45">
        <w:t xml:space="preserve"> women</w:t>
      </w:r>
      <w:r w:rsidR="002E745B" w:rsidRPr="007D0A45">
        <w:t xml:space="preserve">, </w:t>
      </w:r>
      <w:r w:rsidR="008667A9" w:rsidRPr="007D0A45">
        <w:t>39.3%</w:t>
      </w:r>
      <w:r w:rsidR="009B6FE7" w:rsidRPr="007D0A45">
        <w:t xml:space="preserve"> men</w:t>
      </w:r>
      <w:r w:rsidR="00DD4BAB" w:rsidRPr="007D0A45">
        <w:t xml:space="preserve">) </w:t>
      </w:r>
      <w:r w:rsidRPr="007D0A45">
        <w:t>who reported on their most recent sexual</w:t>
      </w:r>
      <w:r w:rsidR="00DA5B4B" w:rsidRPr="007D0A45">
        <w:t xml:space="preserve"> experience</w:t>
      </w:r>
      <w:r w:rsidR="008D2F55" w:rsidRPr="007D0A45">
        <w:t>.</w:t>
      </w:r>
      <w:r w:rsidR="000D6B09" w:rsidRPr="007D0A45">
        <w:t xml:space="preserve"> Condom use decreased with level of relationship commitment</w:t>
      </w:r>
      <w:r w:rsidR="00613226" w:rsidRPr="007D0A45">
        <w:t xml:space="preserve">, </w:t>
      </w:r>
      <w:r w:rsidR="000D6B09" w:rsidRPr="007D0A45">
        <w:t xml:space="preserve">whereas ratings of pleasure increased.  </w:t>
      </w:r>
      <w:r w:rsidR="00FA24D6" w:rsidRPr="007D0A45">
        <w:t>Overall</w:t>
      </w:r>
      <w:r w:rsidR="000D6B09" w:rsidRPr="007D0A45">
        <w:t xml:space="preserve">, </w:t>
      </w:r>
      <w:r w:rsidR="00D71247" w:rsidRPr="007D0A45">
        <w:t xml:space="preserve">participants were more likely to rate their most recent PVI as </w:t>
      </w:r>
      <w:r w:rsidR="007C29B7" w:rsidRPr="007D0A45">
        <w:t>“very pleasurable”</w:t>
      </w:r>
      <w:r w:rsidR="000D6B09" w:rsidRPr="007D0A45">
        <w:t xml:space="preserve"> </w:t>
      </w:r>
      <w:r w:rsidR="001C259D" w:rsidRPr="007D0A45">
        <w:t xml:space="preserve">when </w:t>
      </w:r>
      <w:r w:rsidR="000D6B09" w:rsidRPr="007D0A45">
        <w:t>condoms were not used compared</w:t>
      </w:r>
      <w:r w:rsidR="00FA24D6" w:rsidRPr="007D0A45">
        <w:t xml:space="preserve"> to</w:t>
      </w:r>
      <w:r w:rsidR="000D6B09" w:rsidRPr="007D0A45">
        <w:t xml:space="preserve"> </w:t>
      </w:r>
      <w:r w:rsidR="001C259D" w:rsidRPr="007D0A45">
        <w:t>when condoms</w:t>
      </w:r>
      <w:r w:rsidR="000D6B09" w:rsidRPr="007D0A45">
        <w:t xml:space="preserve"> were</w:t>
      </w:r>
      <w:r w:rsidR="005A557C" w:rsidRPr="007D0A45">
        <w:t xml:space="preserve"> used</w:t>
      </w:r>
      <w:r w:rsidR="000D6B09" w:rsidRPr="007D0A45">
        <w:t xml:space="preserve">.  However, when stratified by partner type, these differences largely disappeared.  </w:t>
      </w:r>
      <w:r w:rsidR="00C85B5F" w:rsidRPr="007D0A45">
        <w:t>For women, w</w:t>
      </w:r>
      <w:r w:rsidR="001C259D" w:rsidRPr="007D0A45">
        <w:t xml:space="preserve">ith one exception, </w:t>
      </w:r>
      <w:r w:rsidR="000D6B09" w:rsidRPr="007D0A45">
        <w:t xml:space="preserve">there were no differences in pleasure between </w:t>
      </w:r>
      <w:r w:rsidR="00D4502A" w:rsidRPr="007D0A45">
        <w:t>PVI</w:t>
      </w:r>
      <w:r w:rsidR="000D6B09" w:rsidRPr="007D0A45">
        <w:t xml:space="preserve"> with and without condoms across most partner type categories</w:t>
      </w:r>
      <w:r w:rsidR="00C41CA6" w:rsidRPr="007D0A45">
        <w:t xml:space="preserve">. </w:t>
      </w:r>
      <w:r w:rsidRPr="007D0A45">
        <w:t xml:space="preserve"> </w:t>
      </w:r>
      <w:r w:rsidR="001C259D" w:rsidRPr="007D0A45">
        <w:t>W</w:t>
      </w:r>
      <w:r w:rsidR="000D6B09" w:rsidRPr="007D0A45">
        <w:t xml:space="preserve">omen in committed dating relationships were more likely to </w:t>
      </w:r>
      <w:r w:rsidR="002B660A" w:rsidRPr="007D0A45">
        <w:t>report</w:t>
      </w:r>
      <w:r w:rsidR="000D6B09" w:rsidRPr="007D0A45">
        <w:t xml:space="preserve"> their last </w:t>
      </w:r>
      <w:r w:rsidR="00D4502A" w:rsidRPr="007D0A45">
        <w:t>PVI</w:t>
      </w:r>
      <w:r w:rsidR="000D6B09" w:rsidRPr="007D0A45">
        <w:t xml:space="preserve"> </w:t>
      </w:r>
      <w:r w:rsidR="002B660A" w:rsidRPr="007D0A45">
        <w:t xml:space="preserve">as </w:t>
      </w:r>
      <w:r w:rsidR="000D6B09" w:rsidRPr="007D0A45">
        <w:t>very pleasurable if condoms were not used than women</w:t>
      </w:r>
      <w:r w:rsidR="005E6448" w:rsidRPr="007D0A45">
        <w:t xml:space="preserve"> in these same relationships</w:t>
      </w:r>
      <w:r w:rsidR="000D6B09" w:rsidRPr="007D0A45">
        <w:t xml:space="preserve"> who had used condoms. </w:t>
      </w:r>
      <w:r w:rsidR="000B6065" w:rsidRPr="007D0A45">
        <w:t xml:space="preserve">Across relationship categories, men who did and did not use condoms did not differ in terms of their </w:t>
      </w:r>
      <w:r w:rsidR="000D6B09" w:rsidRPr="007D0A45">
        <w:t>pleasure ratings</w:t>
      </w:r>
      <w:r w:rsidR="00DA5B4B" w:rsidRPr="007D0A45">
        <w:t>.</w:t>
      </w:r>
      <w:r w:rsidR="000D6B09" w:rsidRPr="007D0A45">
        <w:t xml:space="preserve"> </w:t>
      </w:r>
      <w:r w:rsidR="00A82634" w:rsidRPr="007D0A45">
        <w:t>The r</w:t>
      </w:r>
      <w:r w:rsidR="000D6B09" w:rsidRPr="007D0A45">
        <w:t xml:space="preserve">esults </w:t>
      </w:r>
      <w:r w:rsidR="00A82634" w:rsidRPr="007D0A45">
        <w:t xml:space="preserve">of this study </w:t>
      </w:r>
      <w:r w:rsidR="00D13B76" w:rsidRPr="007D0A45">
        <w:t>suggest relationship context should be taken into account when assessing condom use experiences.</w:t>
      </w:r>
    </w:p>
    <w:p w14:paraId="1848CE8B" w14:textId="7D8BC63B" w:rsidR="00D262DF" w:rsidRPr="007D0A45" w:rsidRDefault="00304974" w:rsidP="00304974">
      <w:r w:rsidRPr="007D0A45">
        <w:br w:type="page"/>
      </w:r>
    </w:p>
    <w:p w14:paraId="34ADA20E" w14:textId="77777777" w:rsidR="009B6FE7" w:rsidRPr="007D0A45" w:rsidRDefault="009B6FE7" w:rsidP="008D2F55"/>
    <w:p w14:paraId="75FC07BE" w14:textId="0705421C" w:rsidR="008D2F55" w:rsidRPr="007D0A45" w:rsidRDefault="007707B3" w:rsidP="008D2F55">
      <w:r w:rsidRPr="007D0A45">
        <w:t>INTRODUCTION</w:t>
      </w:r>
    </w:p>
    <w:p w14:paraId="60C1F6A9" w14:textId="77777777" w:rsidR="008D2F55" w:rsidRPr="007D0A45" w:rsidRDefault="008D2F55" w:rsidP="008D2F55"/>
    <w:p w14:paraId="01B9750E" w14:textId="29334A4F" w:rsidR="00FF5E6C" w:rsidRPr="007D0A45" w:rsidRDefault="00CA02FD" w:rsidP="00DD4BAB">
      <w:pPr>
        <w:spacing w:line="480" w:lineRule="auto"/>
        <w:ind w:firstLine="720"/>
      </w:pPr>
      <w:r w:rsidRPr="007D0A45">
        <w:t>Research examining the impact of condom use on sexual pleasure has yielded conflicting results</w:t>
      </w:r>
      <w:r w:rsidR="00FF5E6C" w:rsidRPr="007D0A45">
        <w:t>.</w:t>
      </w:r>
      <w:r w:rsidR="00003428" w:rsidRPr="007D0A45">
        <w:t xml:space="preserve"> </w:t>
      </w:r>
      <w:r w:rsidR="004468F9" w:rsidRPr="007D0A45">
        <w:t>M</w:t>
      </w:r>
      <w:r w:rsidR="00003428" w:rsidRPr="007D0A45">
        <w:t xml:space="preserve">any individuals </w:t>
      </w:r>
      <w:r w:rsidR="0003773D" w:rsidRPr="007D0A45">
        <w:t>perceive</w:t>
      </w:r>
      <w:r w:rsidR="00003428" w:rsidRPr="007D0A45">
        <w:t xml:space="preserve"> that using condoms will decrease sexual pleasure</w:t>
      </w:r>
      <w:r w:rsidR="00D00715" w:rsidRPr="007D0A45">
        <w:t xml:space="preserve"> (</w:t>
      </w:r>
      <w:r w:rsidR="00935F08" w:rsidRPr="007D0A45">
        <w:t>Adams, Husbands, Murray, &amp; Maxwell</w:t>
      </w:r>
      <w:r w:rsidR="003827B5" w:rsidRPr="007D0A45">
        <w:t>, 2005</w:t>
      </w:r>
      <w:r w:rsidR="003243CB" w:rsidRPr="007D0A45">
        <w:t>;</w:t>
      </w:r>
      <w:r w:rsidR="000C1417" w:rsidRPr="007D0A45">
        <w:t xml:space="preserve"> </w:t>
      </w:r>
      <w:r w:rsidR="00221E83" w:rsidRPr="007D0A45">
        <w:t>Flood, 2003; K</w:t>
      </w:r>
      <w:r w:rsidR="00D00715" w:rsidRPr="007D0A45">
        <w:t>h</w:t>
      </w:r>
      <w:r w:rsidR="00221E83" w:rsidRPr="007D0A45">
        <w:t>a</w:t>
      </w:r>
      <w:r w:rsidR="00D00715" w:rsidRPr="007D0A45">
        <w:t>n</w:t>
      </w:r>
      <w:r w:rsidR="007F2769" w:rsidRPr="007D0A45">
        <w:t>,</w:t>
      </w:r>
      <w:r w:rsidR="00D00715" w:rsidRPr="007D0A45">
        <w:t xml:space="preserve"> </w:t>
      </w:r>
      <w:r w:rsidR="00935F08" w:rsidRPr="007D0A45">
        <w:t xml:space="preserve">Hudson-Rodd, </w:t>
      </w:r>
      <w:proofErr w:type="spellStart"/>
      <w:r w:rsidR="00935F08" w:rsidRPr="007D0A45">
        <w:t>Sagger</w:t>
      </w:r>
      <w:r w:rsidR="007B3229" w:rsidRPr="007D0A45">
        <w:t>s</w:t>
      </w:r>
      <w:proofErr w:type="spellEnd"/>
      <w:r w:rsidR="00935F08" w:rsidRPr="007D0A45">
        <w:t>,</w:t>
      </w:r>
      <w:r w:rsidR="007F2769" w:rsidRPr="007D0A45">
        <w:t xml:space="preserve"> </w:t>
      </w:r>
      <w:proofErr w:type="spellStart"/>
      <w:r w:rsidR="007F2769" w:rsidRPr="007D0A45">
        <w:t>Bhuiyan</w:t>
      </w:r>
      <w:proofErr w:type="spellEnd"/>
      <w:r w:rsidR="007F2769" w:rsidRPr="007D0A45">
        <w:t xml:space="preserve">, &amp; </w:t>
      </w:r>
      <w:proofErr w:type="spellStart"/>
      <w:r w:rsidR="007F2769" w:rsidRPr="007D0A45">
        <w:t>Bhuiya</w:t>
      </w:r>
      <w:proofErr w:type="spellEnd"/>
      <w:r w:rsidR="007F2769" w:rsidRPr="007D0A45">
        <w:t>,</w:t>
      </w:r>
      <w:r w:rsidR="00D00715" w:rsidRPr="007D0A45">
        <w:t xml:space="preserve"> 2004)</w:t>
      </w:r>
      <w:r w:rsidR="00003428" w:rsidRPr="007D0A45">
        <w:t xml:space="preserve">.  </w:t>
      </w:r>
      <w:r w:rsidR="00E11A54" w:rsidRPr="007D0A45">
        <w:t>A</w:t>
      </w:r>
      <w:r w:rsidR="00533D99" w:rsidRPr="007D0A45">
        <w:t xml:space="preserve"> study by the Joint United Nations </w:t>
      </w:r>
      <w:proofErr w:type="spellStart"/>
      <w:r w:rsidR="00533D99" w:rsidRPr="007D0A45">
        <w:t>Programme</w:t>
      </w:r>
      <w:proofErr w:type="spellEnd"/>
      <w:r w:rsidR="00533D99" w:rsidRPr="007D0A45">
        <w:t xml:space="preserve"> on HIV/AIDS</w:t>
      </w:r>
      <w:r w:rsidR="00E11A54" w:rsidRPr="007D0A45">
        <w:t xml:space="preserve"> </w:t>
      </w:r>
      <w:r w:rsidR="00055852" w:rsidRPr="007D0A45">
        <w:t>(2000)</w:t>
      </w:r>
      <w:r w:rsidR="00533D99" w:rsidRPr="007D0A45">
        <w:t xml:space="preserve"> </w:t>
      </w:r>
      <w:r w:rsidR="00E11A54" w:rsidRPr="007D0A45">
        <w:t>identified</w:t>
      </w:r>
      <w:r w:rsidR="007F2769" w:rsidRPr="007D0A45">
        <w:t xml:space="preserve"> </w:t>
      </w:r>
      <w:r w:rsidR="00533D99" w:rsidRPr="007D0A45">
        <w:t xml:space="preserve">the perception that condoms reduce sexual pleasure </w:t>
      </w:r>
      <w:r w:rsidR="00E11A54" w:rsidRPr="007D0A45">
        <w:t xml:space="preserve">as </w:t>
      </w:r>
      <w:r w:rsidR="001C259D" w:rsidRPr="007D0A45">
        <w:t>the most common reason</w:t>
      </w:r>
      <w:r w:rsidR="004072B6" w:rsidRPr="007D0A45">
        <w:t xml:space="preserve"> that</w:t>
      </w:r>
      <w:r w:rsidR="00533D99" w:rsidRPr="007D0A45">
        <w:t xml:space="preserve"> </w:t>
      </w:r>
      <w:r w:rsidR="001C259D" w:rsidRPr="007D0A45">
        <w:t>me</w:t>
      </w:r>
      <w:r w:rsidR="004072B6" w:rsidRPr="007D0A45">
        <w:t>n, across 14 countries, reported for not using condoms</w:t>
      </w:r>
      <w:r w:rsidR="00533D99" w:rsidRPr="007D0A45">
        <w:t xml:space="preserve">. </w:t>
      </w:r>
      <w:r w:rsidR="00FF5E6C" w:rsidRPr="007D0A45">
        <w:t>Crosby</w:t>
      </w:r>
      <w:r w:rsidR="004072B6" w:rsidRPr="007D0A45">
        <w:t xml:space="preserve">, </w:t>
      </w:r>
      <w:proofErr w:type="spellStart"/>
      <w:r w:rsidR="004072B6" w:rsidRPr="007D0A45">
        <w:t>Milhausen</w:t>
      </w:r>
      <w:proofErr w:type="spellEnd"/>
      <w:r w:rsidR="004072B6" w:rsidRPr="007D0A45">
        <w:t xml:space="preserve">, </w:t>
      </w:r>
      <w:proofErr w:type="spellStart"/>
      <w:r w:rsidR="004072B6" w:rsidRPr="007D0A45">
        <w:t>Yarber</w:t>
      </w:r>
      <w:proofErr w:type="spellEnd"/>
      <w:r w:rsidR="004072B6" w:rsidRPr="007D0A45">
        <w:t xml:space="preserve">, Sanders, and Graham </w:t>
      </w:r>
      <w:r w:rsidR="00BA5280" w:rsidRPr="007D0A45">
        <w:t xml:space="preserve">(2008) </w:t>
      </w:r>
      <w:r w:rsidR="00FF5E6C" w:rsidRPr="007D0A45">
        <w:t>explored the prevalence of 15 possible condom turn offs</w:t>
      </w:r>
      <w:r w:rsidR="00E92958" w:rsidRPr="007D0A45">
        <w:t xml:space="preserve"> among people who reported that condoms had turned them off the last time that they had used them and found that</w:t>
      </w:r>
      <w:r w:rsidR="00FF5E6C" w:rsidRPr="007D0A45">
        <w:t xml:space="preserve"> decreased sensation was the most common</w:t>
      </w:r>
      <w:r w:rsidR="004072B6" w:rsidRPr="007D0A45">
        <w:t xml:space="preserve"> turn-off</w:t>
      </w:r>
      <w:r w:rsidR="00FF5E6C" w:rsidRPr="007D0A45">
        <w:t xml:space="preserve">.  </w:t>
      </w:r>
      <w:r w:rsidR="007F2769" w:rsidRPr="007D0A45">
        <w:t>A</w:t>
      </w:r>
      <w:r w:rsidR="00FF5E6C" w:rsidRPr="007D0A45">
        <w:t>pproximately one-third of men and women reported that condoms interfered with their own or their partners</w:t>
      </w:r>
      <w:r w:rsidR="007F2769" w:rsidRPr="007D0A45">
        <w:t>’</w:t>
      </w:r>
      <w:r w:rsidR="00FF5E6C" w:rsidRPr="007D0A45">
        <w:t xml:space="preserve"> orgasm and/or made it difficult for them or their partners to “respond physically.”  </w:t>
      </w:r>
      <w:r w:rsidR="00003428" w:rsidRPr="007D0A45">
        <w:t xml:space="preserve">In a </w:t>
      </w:r>
      <w:r w:rsidR="00167E12" w:rsidRPr="007D0A45">
        <w:t xml:space="preserve">small </w:t>
      </w:r>
      <w:r w:rsidR="00003428" w:rsidRPr="007D0A45">
        <w:t>study of U</w:t>
      </w:r>
      <w:r w:rsidR="00E11A54" w:rsidRPr="007D0A45">
        <w:t>.</w:t>
      </w:r>
      <w:r w:rsidR="00003428" w:rsidRPr="007D0A45">
        <w:t>S</w:t>
      </w:r>
      <w:r w:rsidR="00E11A54" w:rsidRPr="007D0A45">
        <w:t>.</w:t>
      </w:r>
      <w:r w:rsidR="00003428" w:rsidRPr="007D0A45">
        <w:t xml:space="preserve"> college students, both men and women </w:t>
      </w:r>
      <w:r w:rsidR="00167E12" w:rsidRPr="007D0A45">
        <w:t>indicated a belief that</w:t>
      </w:r>
      <w:r w:rsidR="00003428" w:rsidRPr="007D0A45">
        <w:t xml:space="preserve"> </w:t>
      </w:r>
      <w:r w:rsidR="005E6448" w:rsidRPr="007D0A45">
        <w:t>penile-vaginal intercourse (</w:t>
      </w:r>
      <w:r w:rsidR="00E92958" w:rsidRPr="007D0A45">
        <w:t>PVI</w:t>
      </w:r>
      <w:r w:rsidR="005E6448" w:rsidRPr="007D0A45">
        <w:t>)</w:t>
      </w:r>
      <w:r w:rsidR="00003428" w:rsidRPr="007D0A45">
        <w:t xml:space="preserve"> </w:t>
      </w:r>
      <w:r w:rsidR="003013A8" w:rsidRPr="007D0A45">
        <w:t xml:space="preserve">without a condom </w:t>
      </w:r>
      <w:r w:rsidR="00167E12" w:rsidRPr="007D0A45">
        <w:t>is</w:t>
      </w:r>
      <w:r w:rsidR="00003428" w:rsidRPr="007D0A45">
        <w:t xml:space="preserve"> more plea</w:t>
      </w:r>
      <w:r w:rsidR="003013A8" w:rsidRPr="007D0A45">
        <w:t>surable than with</w:t>
      </w:r>
      <w:r w:rsidR="00003428" w:rsidRPr="007D0A45">
        <w:t xml:space="preserve"> a condom (Randolph, Pinkerton, Bogart, Ce</w:t>
      </w:r>
      <w:r w:rsidR="00533D99" w:rsidRPr="007D0A45">
        <w:t xml:space="preserve">cil, &amp; Abramson, 2007).  </w:t>
      </w:r>
    </w:p>
    <w:p w14:paraId="29D8F3D8" w14:textId="66AA9694" w:rsidR="005C7587" w:rsidRPr="007D0A45" w:rsidRDefault="00FF5E6C" w:rsidP="00816E10">
      <w:pPr>
        <w:spacing w:line="480" w:lineRule="auto"/>
        <w:ind w:firstLine="720"/>
      </w:pPr>
      <w:r w:rsidRPr="007D0A45">
        <w:t xml:space="preserve">Attitudes about condoms and pleasure are important because they </w:t>
      </w:r>
      <w:r w:rsidR="00003428" w:rsidRPr="007D0A45">
        <w:t xml:space="preserve">can </w:t>
      </w:r>
      <w:r w:rsidR="00533D99" w:rsidRPr="007D0A45">
        <w:t xml:space="preserve">impact </w:t>
      </w:r>
      <w:r w:rsidR="00003428" w:rsidRPr="007D0A45">
        <w:t xml:space="preserve">condom use </w:t>
      </w:r>
      <w:proofErr w:type="spellStart"/>
      <w:r w:rsidR="00003428" w:rsidRPr="007D0A45">
        <w:t>behaviour</w:t>
      </w:r>
      <w:proofErr w:type="spellEnd"/>
      <w:r w:rsidR="00003428" w:rsidRPr="007D0A45">
        <w:t xml:space="preserve">. </w:t>
      </w:r>
      <w:r w:rsidR="00533D99" w:rsidRPr="007D0A45">
        <w:t xml:space="preserve"> In </w:t>
      </w:r>
      <w:r w:rsidR="002B43BB" w:rsidRPr="007D0A45">
        <w:t>the</w:t>
      </w:r>
      <w:r w:rsidR="004072B6" w:rsidRPr="007D0A45">
        <w:t xml:space="preserve"> above study by</w:t>
      </w:r>
      <w:r w:rsidR="002B43BB" w:rsidRPr="007D0A45">
        <w:t xml:space="preserve"> </w:t>
      </w:r>
      <w:r w:rsidR="0076405F" w:rsidRPr="007D0A45">
        <w:t>Randolph et al. (2007)</w:t>
      </w:r>
      <w:r w:rsidR="00533D99" w:rsidRPr="007D0A45">
        <w:t xml:space="preserve">, </w:t>
      </w:r>
      <w:r w:rsidR="0076405F" w:rsidRPr="007D0A45">
        <w:t>the perceived pleasur</w:t>
      </w:r>
      <w:r w:rsidR="00EE5FCA" w:rsidRPr="007D0A45">
        <w:t>e experienced</w:t>
      </w:r>
      <w:r w:rsidR="0076405F" w:rsidRPr="007D0A45">
        <w:t xml:space="preserve"> </w:t>
      </w:r>
      <w:r w:rsidR="00EE5FCA" w:rsidRPr="007D0A45">
        <w:t>during</w:t>
      </w:r>
      <w:r w:rsidR="0076405F" w:rsidRPr="007D0A45">
        <w:t xml:space="preserve"> unprotected and condom protected PVI </w:t>
      </w:r>
      <w:r w:rsidRPr="007D0A45">
        <w:t xml:space="preserve">predicted </w:t>
      </w:r>
      <w:r w:rsidR="00533D99" w:rsidRPr="007D0A45">
        <w:t>condom use behaviors over the past three months (though to a greater degree for men than women).</w:t>
      </w:r>
      <w:r w:rsidR="00003428" w:rsidRPr="007D0A45">
        <w:t xml:space="preserve"> In a </w:t>
      </w:r>
      <w:r w:rsidR="00C337C9" w:rsidRPr="007D0A45">
        <w:t xml:space="preserve">recent </w:t>
      </w:r>
      <w:r w:rsidR="007C415F" w:rsidRPr="007D0A45">
        <w:t xml:space="preserve">nationally representative </w:t>
      </w:r>
      <w:r w:rsidR="00E04C05" w:rsidRPr="007D0A45">
        <w:t xml:space="preserve">U.S. </w:t>
      </w:r>
      <w:r w:rsidR="007C415F" w:rsidRPr="007D0A45">
        <w:t xml:space="preserve">sample of </w:t>
      </w:r>
      <w:r w:rsidR="00E04C05" w:rsidRPr="007D0A45">
        <w:t>2</w:t>
      </w:r>
      <w:r w:rsidR="004072B6" w:rsidRPr="007D0A45">
        <w:t>,</w:t>
      </w:r>
      <w:r w:rsidR="00E04C05" w:rsidRPr="007D0A45">
        <w:t xml:space="preserve">328 </w:t>
      </w:r>
      <w:r w:rsidR="007C415F" w:rsidRPr="007D0A45">
        <w:t>15-24 year olds</w:t>
      </w:r>
      <w:r w:rsidR="00003428" w:rsidRPr="007D0A45">
        <w:t>, strong relationships were found between condom-related pleasure attitudes and lack of condom use over the past month</w:t>
      </w:r>
      <w:r w:rsidR="007C415F" w:rsidRPr="007D0A45">
        <w:t xml:space="preserve"> (Higgins &amp; Wang, 201</w:t>
      </w:r>
      <w:r w:rsidR="00E92958" w:rsidRPr="007D0A45">
        <w:t>5</w:t>
      </w:r>
      <w:r w:rsidR="007C415F" w:rsidRPr="007D0A45">
        <w:t>)</w:t>
      </w:r>
      <w:r w:rsidR="008D004C" w:rsidRPr="007D0A45">
        <w:t>.</w:t>
      </w:r>
      <w:r w:rsidR="00003428" w:rsidRPr="007D0A45">
        <w:t xml:space="preserve"> </w:t>
      </w:r>
    </w:p>
    <w:p w14:paraId="32DB0EC0" w14:textId="2FB67DB6" w:rsidR="00E92958" w:rsidRPr="007D0A45" w:rsidRDefault="00160DE7" w:rsidP="006778F7">
      <w:pPr>
        <w:widowControl w:val="0"/>
        <w:autoSpaceDE w:val="0"/>
        <w:autoSpaceDN w:val="0"/>
        <w:adjustRightInd w:val="0"/>
        <w:spacing w:line="480" w:lineRule="auto"/>
      </w:pPr>
      <w:r w:rsidRPr="007D0A45">
        <w:tab/>
        <w:t>Relationship factors also significantly impact condom use.  Positive relationship attributes such as perceptions of trust and safety (</w:t>
      </w:r>
      <w:r w:rsidR="006D6473" w:rsidRPr="007D0A45">
        <w:t xml:space="preserve">Bolton, McKay, &amp; Schneider, 2010; </w:t>
      </w:r>
      <w:r w:rsidRPr="007D0A45">
        <w:t xml:space="preserve">Ryan et </w:t>
      </w:r>
      <w:r w:rsidRPr="007D0A45">
        <w:lastRenderedPageBreak/>
        <w:t>al., 2009)</w:t>
      </w:r>
      <w:r w:rsidR="00C337C9" w:rsidRPr="007D0A45">
        <w:t>,</w:t>
      </w:r>
      <w:r w:rsidRPr="007D0A45">
        <w:t xml:space="preserve"> and familiarity and love (Ostergren, Rosser, &amp; Horvath, 2011)</w:t>
      </w:r>
      <w:r w:rsidR="00C337C9" w:rsidRPr="007D0A45">
        <w:t>,</w:t>
      </w:r>
      <w:r w:rsidRPr="007D0A45">
        <w:t xml:space="preserve"> are associated with non</w:t>
      </w:r>
      <w:r w:rsidR="002F1167" w:rsidRPr="007D0A45">
        <w:t>-</w:t>
      </w:r>
      <w:r w:rsidRPr="007D0A45">
        <w:t>condom use. These findings have been demonstrated across age categories, gender, and sexual</w:t>
      </w:r>
      <w:r w:rsidR="003827B5" w:rsidRPr="007D0A45">
        <w:t xml:space="preserve"> orientation (Adams et al., 2005</w:t>
      </w:r>
      <w:r w:rsidRPr="007D0A45">
        <w:t xml:space="preserve">; Bauman, </w:t>
      </w:r>
      <w:proofErr w:type="spellStart"/>
      <w:r w:rsidRPr="007D0A45">
        <w:t>Karasz</w:t>
      </w:r>
      <w:proofErr w:type="spellEnd"/>
      <w:r w:rsidRPr="007D0A45">
        <w:t xml:space="preserve">, &amp; Hamilton, 2007; </w:t>
      </w:r>
      <w:r w:rsidR="008D004C" w:rsidRPr="007D0A45">
        <w:t xml:space="preserve">Ostergren et al., 2011; </w:t>
      </w:r>
      <w:r w:rsidRPr="007D0A45">
        <w:t xml:space="preserve">Ryan et al., 2009; </w:t>
      </w:r>
      <w:proofErr w:type="spellStart"/>
      <w:r w:rsidRPr="007D0A45">
        <w:t>Sayegh</w:t>
      </w:r>
      <w:proofErr w:type="spellEnd"/>
      <w:r w:rsidRPr="007D0A45">
        <w:t xml:space="preserve"> et al., 2006). </w:t>
      </w:r>
      <w:r w:rsidR="00D65940" w:rsidRPr="007D0A45">
        <w:t xml:space="preserve">There is consistent evidence that condom use decreases </w:t>
      </w:r>
      <w:r w:rsidR="007C2D73" w:rsidRPr="007D0A45">
        <w:t>with relationship duration (</w:t>
      </w:r>
      <w:proofErr w:type="spellStart"/>
      <w:r w:rsidR="007C2D73" w:rsidRPr="007D0A45">
        <w:t>Fortenberry</w:t>
      </w:r>
      <w:proofErr w:type="spellEnd"/>
      <w:r w:rsidR="007C2D73" w:rsidRPr="007D0A45">
        <w:t xml:space="preserve"> et al., 2002) and </w:t>
      </w:r>
      <w:r w:rsidR="00D65940" w:rsidRPr="007D0A45">
        <w:t xml:space="preserve">when relationships become more committed couples often switch to </w:t>
      </w:r>
      <w:r w:rsidRPr="007D0A45">
        <w:t>hormonal contracepti</w:t>
      </w:r>
      <w:r w:rsidR="00D55CD7" w:rsidRPr="007D0A45">
        <w:t>on</w:t>
      </w:r>
      <w:r w:rsidRPr="007D0A45">
        <w:t xml:space="preserve"> (</w:t>
      </w:r>
      <w:r w:rsidR="006D6473" w:rsidRPr="007D0A45">
        <w:t xml:space="preserve">Bolton, McKay, &amp; Schneider, 2010; </w:t>
      </w:r>
      <w:proofErr w:type="spellStart"/>
      <w:r w:rsidR="00D65940" w:rsidRPr="007D0A45">
        <w:t>Sayegh</w:t>
      </w:r>
      <w:proofErr w:type="spellEnd"/>
      <w:r w:rsidR="00D65940" w:rsidRPr="007D0A45">
        <w:t xml:space="preserve"> et al., 2006). </w:t>
      </w:r>
      <w:r w:rsidR="006778F7" w:rsidRPr="007D0A45">
        <w:t xml:space="preserve"> </w:t>
      </w:r>
    </w:p>
    <w:p w14:paraId="1BE4755B" w14:textId="6A35C444" w:rsidR="00704E96" w:rsidRPr="007D0A45" w:rsidRDefault="0060443F" w:rsidP="002D2F9A">
      <w:pPr>
        <w:widowControl w:val="0"/>
        <w:autoSpaceDE w:val="0"/>
        <w:autoSpaceDN w:val="0"/>
        <w:adjustRightInd w:val="0"/>
        <w:spacing w:line="480" w:lineRule="auto"/>
        <w:ind w:firstLine="720"/>
      </w:pPr>
      <w:r w:rsidRPr="007D0A45">
        <w:t>R</w:t>
      </w:r>
      <w:r w:rsidR="00160DE7" w:rsidRPr="007D0A45">
        <w:t xml:space="preserve">esearch </w:t>
      </w:r>
      <w:r w:rsidR="00D55CD7" w:rsidRPr="007D0A45">
        <w:t xml:space="preserve">has </w:t>
      </w:r>
      <w:r w:rsidR="00160DE7" w:rsidRPr="007D0A45">
        <w:t xml:space="preserve">also </w:t>
      </w:r>
      <w:r w:rsidR="00D55CD7" w:rsidRPr="007D0A45">
        <w:t xml:space="preserve">found a </w:t>
      </w:r>
      <w:r w:rsidR="00160DE7" w:rsidRPr="007D0A45">
        <w:t xml:space="preserve">relationship </w:t>
      </w:r>
      <w:r w:rsidR="00D55CD7" w:rsidRPr="007D0A45">
        <w:t xml:space="preserve">between levels of partner commitment and enjoyment of sexual activity. </w:t>
      </w:r>
      <w:proofErr w:type="spellStart"/>
      <w:r w:rsidR="00D55CD7" w:rsidRPr="007D0A45">
        <w:t>Galinsky</w:t>
      </w:r>
      <w:proofErr w:type="spellEnd"/>
      <w:r w:rsidR="00D55CD7" w:rsidRPr="007D0A45">
        <w:t xml:space="preserve"> and </w:t>
      </w:r>
      <w:proofErr w:type="spellStart"/>
      <w:r w:rsidR="00D55CD7" w:rsidRPr="007D0A45">
        <w:t>Sonenstein</w:t>
      </w:r>
      <w:proofErr w:type="spellEnd"/>
      <w:r w:rsidR="00D55CD7" w:rsidRPr="007D0A45">
        <w:t xml:space="preserve"> (2013), examining data from a U.S. sample of 2,970 18 to 26 year-olds</w:t>
      </w:r>
      <w:r w:rsidR="009121CF" w:rsidRPr="007D0A45">
        <w:t>,</w:t>
      </w:r>
      <w:r w:rsidR="00D55CD7" w:rsidRPr="007D0A45">
        <w:t xml:space="preserve"> found that although formal relationship status (i.e., married, cohabitating, dating) </w:t>
      </w:r>
      <w:r w:rsidR="004072B6" w:rsidRPr="007D0A45">
        <w:t>was not associated with</w:t>
      </w:r>
      <w:r w:rsidR="00D55CD7" w:rsidRPr="007D0A45">
        <w:t xml:space="preserve"> sexual enjoyment</w:t>
      </w:r>
      <w:r w:rsidR="00862D3A" w:rsidRPr="007D0A45">
        <w:t xml:space="preserve">, subjective relationship commitment (i.e., feeling committed, feeling close to the partner) was </w:t>
      </w:r>
      <w:r w:rsidR="004072B6" w:rsidRPr="007D0A45">
        <w:t>related to a</w:t>
      </w:r>
      <w:r w:rsidR="00862D3A" w:rsidRPr="007D0A45">
        <w:t xml:space="preserve"> higher frequency of orgasm and </w:t>
      </w:r>
      <w:r w:rsidR="008667A9" w:rsidRPr="007D0A45">
        <w:t xml:space="preserve">greater </w:t>
      </w:r>
      <w:r w:rsidR="00862D3A" w:rsidRPr="007D0A45">
        <w:t xml:space="preserve">degree of liking oral sex. </w:t>
      </w:r>
      <w:r w:rsidR="00D55CD7" w:rsidRPr="007D0A45">
        <w:t xml:space="preserve">  </w:t>
      </w:r>
      <w:r w:rsidR="00F944E3" w:rsidRPr="007D0A45">
        <w:tab/>
      </w:r>
    </w:p>
    <w:p w14:paraId="6B7C2566" w14:textId="771D001A" w:rsidR="00A57EF6" w:rsidRPr="007D0A45" w:rsidRDefault="00D5101D" w:rsidP="002D2F9A">
      <w:pPr>
        <w:widowControl w:val="0"/>
        <w:autoSpaceDE w:val="0"/>
        <w:autoSpaceDN w:val="0"/>
        <w:adjustRightInd w:val="0"/>
        <w:spacing w:line="480" w:lineRule="auto"/>
        <w:ind w:firstLine="720"/>
      </w:pPr>
      <w:r w:rsidRPr="007D0A45">
        <w:t>R</w:t>
      </w:r>
      <w:r w:rsidR="00F944E3" w:rsidRPr="007D0A45">
        <w:t>elationship context</w:t>
      </w:r>
      <w:r w:rsidR="00CA7A26" w:rsidRPr="007D0A45">
        <w:t xml:space="preserve"> has been found to influence condom use</w:t>
      </w:r>
      <w:r w:rsidRPr="007D0A45">
        <w:t>, with condom use more common in casual relationships and less common in more committed ones</w:t>
      </w:r>
      <w:r w:rsidR="00CA7A26" w:rsidRPr="007D0A45">
        <w:t xml:space="preserve"> </w:t>
      </w:r>
      <w:r w:rsidR="00221E83" w:rsidRPr="007D0A45">
        <w:t>(Adams et al., 2005</w:t>
      </w:r>
      <w:r w:rsidR="004A5044" w:rsidRPr="007D0A45">
        <w:t xml:space="preserve">; Bauman, </w:t>
      </w:r>
      <w:proofErr w:type="spellStart"/>
      <w:r w:rsidR="004A5044" w:rsidRPr="007D0A45">
        <w:t>Karasz</w:t>
      </w:r>
      <w:proofErr w:type="spellEnd"/>
      <w:r w:rsidR="004A5044" w:rsidRPr="007D0A45">
        <w:t xml:space="preserve">, &amp; Hamilton, 2007; </w:t>
      </w:r>
      <w:proofErr w:type="spellStart"/>
      <w:r w:rsidR="003921A3" w:rsidRPr="007D0A45">
        <w:t>Fortenberry</w:t>
      </w:r>
      <w:proofErr w:type="spellEnd"/>
      <w:r w:rsidR="003921A3" w:rsidRPr="007D0A45">
        <w:t xml:space="preserve"> et al., 2002; </w:t>
      </w:r>
      <w:r w:rsidR="004A5044" w:rsidRPr="007D0A45">
        <w:t>Ostergren et al., 2011; Sanders et al</w:t>
      </w:r>
      <w:r w:rsidR="000A1A9C" w:rsidRPr="007D0A45">
        <w:t>.</w:t>
      </w:r>
      <w:r w:rsidR="004A5044" w:rsidRPr="007D0A45">
        <w:t xml:space="preserve">, 2010; </w:t>
      </w:r>
      <w:proofErr w:type="spellStart"/>
      <w:r w:rsidR="004565D7" w:rsidRPr="007D0A45">
        <w:t>Sayegh</w:t>
      </w:r>
      <w:proofErr w:type="spellEnd"/>
      <w:r w:rsidR="004565D7" w:rsidRPr="007D0A45">
        <w:t xml:space="preserve"> et al., 2006</w:t>
      </w:r>
      <w:r w:rsidR="004A5044" w:rsidRPr="007D0A45">
        <w:t>)</w:t>
      </w:r>
      <w:r w:rsidRPr="007D0A45">
        <w:t xml:space="preserve">.  Relationship type has also been shown to </w:t>
      </w:r>
      <w:proofErr w:type="spellStart"/>
      <w:r w:rsidRPr="007D0A45">
        <w:t>covary</w:t>
      </w:r>
      <w:proofErr w:type="spellEnd"/>
      <w:r w:rsidRPr="007D0A45">
        <w:t xml:space="preserve"> with</w:t>
      </w:r>
      <w:r w:rsidR="00CA7A26" w:rsidRPr="007D0A45">
        <w:t xml:space="preserve"> pleasure experienced during sex</w:t>
      </w:r>
      <w:r w:rsidRPr="007D0A45">
        <w:t>, with more pleasure reported in more intimate relationships</w:t>
      </w:r>
      <w:r w:rsidR="007B3229" w:rsidRPr="007D0A45">
        <w:t xml:space="preserve"> (</w:t>
      </w:r>
      <w:proofErr w:type="spellStart"/>
      <w:r w:rsidR="007B3229" w:rsidRPr="007D0A45">
        <w:t>Galinsky</w:t>
      </w:r>
      <w:proofErr w:type="spellEnd"/>
      <w:r w:rsidR="007B3229" w:rsidRPr="007D0A45">
        <w:t xml:space="preserve"> &amp; </w:t>
      </w:r>
      <w:proofErr w:type="spellStart"/>
      <w:r w:rsidR="007B3229" w:rsidRPr="007D0A45">
        <w:t>Sonenstein</w:t>
      </w:r>
      <w:proofErr w:type="spellEnd"/>
      <w:r w:rsidR="007B3229" w:rsidRPr="007D0A45">
        <w:t>, 2013; Waite and Joyner, 2001</w:t>
      </w:r>
      <w:r w:rsidR="003921A3" w:rsidRPr="007D0A45">
        <w:t>)</w:t>
      </w:r>
      <w:r w:rsidRPr="007D0A45">
        <w:t xml:space="preserve">.  As such, partner type </w:t>
      </w:r>
      <w:r w:rsidR="00CA7A26" w:rsidRPr="007D0A45">
        <w:t>may act as a confound</w:t>
      </w:r>
      <w:r w:rsidR="00DA1B4E" w:rsidRPr="007D0A45">
        <w:t>ing variable</w:t>
      </w:r>
      <w:r w:rsidR="00CA7A26" w:rsidRPr="007D0A45">
        <w:t xml:space="preserve"> in studies assessing pleasure at last condom</w:t>
      </w:r>
      <w:r w:rsidR="00A31DC5" w:rsidRPr="007D0A45">
        <w:t>-</w:t>
      </w:r>
      <w:r w:rsidR="00CA7A26" w:rsidRPr="007D0A45">
        <w:t xml:space="preserve">protected </w:t>
      </w:r>
      <w:r w:rsidR="00A8522A" w:rsidRPr="007D0A45">
        <w:t>PVI</w:t>
      </w:r>
      <w:r w:rsidR="00CA7A26" w:rsidRPr="007D0A45">
        <w:t xml:space="preserve">. </w:t>
      </w:r>
      <w:r w:rsidR="003921A3" w:rsidRPr="007D0A45">
        <w:t xml:space="preserve"> </w:t>
      </w:r>
      <w:r w:rsidR="00DA1B4E" w:rsidRPr="007D0A45">
        <w:t>The plausibility of such a</w:t>
      </w:r>
      <w:r w:rsidR="005E6448" w:rsidRPr="007D0A45">
        <w:t xml:space="preserve"> </w:t>
      </w:r>
      <w:r w:rsidR="00DA1B4E" w:rsidRPr="007D0A45">
        <w:t xml:space="preserve">confound is consistent with </w:t>
      </w:r>
      <w:r w:rsidR="003921A3" w:rsidRPr="007D0A45">
        <w:t xml:space="preserve">Sanders et </w:t>
      </w:r>
      <w:proofErr w:type="spellStart"/>
      <w:r w:rsidR="003921A3" w:rsidRPr="007D0A45">
        <w:t>al</w:t>
      </w:r>
      <w:r w:rsidR="00DA1B4E" w:rsidRPr="007D0A45">
        <w:t>’s</w:t>
      </w:r>
      <w:proofErr w:type="spellEnd"/>
      <w:r w:rsidR="003921A3" w:rsidRPr="007D0A45">
        <w:t xml:space="preserve">. (2010) finding </w:t>
      </w:r>
      <w:r w:rsidR="00E550BB" w:rsidRPr="007D0A45">
        <w:t>that after controlling</w:t>
      </w:r>
      <w:r w:rsidR="00352EFB" w:rsidRPr="007D0A45">
        <w:t xml:space="preserve"> for relationship type, ratings</w:t>
      </w:r>
      <w:r w:rsidR="00E550BB" w:rsidRPr="007D0A45">
        <w:t>, orgasm and arousal were evaluated similarly whether participants used a condom or not.</w:t>
      </w:r>
      <w:r w:rsidR="00780213" w:rsidRPr="007D0A45">
        <w:t xml:space="preserve"> Yet, f</w:t>
      </w:r>
      <w:r w:rsidR="00A31DC5" w:rsidRPr="007D0A45">
        <w:t xml:space="preserve">ew studies </w:t>
      </w:r>
      <w:r w:rsidR="0016004E" w:rsidRPr="007D0A45">
        <w:t xml:space="preserve">have </w:t>
      </w:r>
      <w:r w:rsidR="00A31DC5" w:rsidRPr="007D0A45">
        <w:t>assess</w:t>
      </w:r>
      <w:r w:rsidR="0016004E" w:rsidRPr="007D0A45">
        <w:t>ed</w:t>
      </w:r>
      <w:r w:rsidR="00A8378B" w:rsidRPr="007D0A45">
        <w:t xml:space="preserve"> </w:t>
      </w:r>
      <w:r w:rsidR="00B1280C" w:rsidRPr="007D0A45">
        <w:t xml:space="preserve">the role of perceptions about the effects of condom use on </w:t>
      </w:r>
      <w:r w:rsidR="00B1280C" w:rsidRPr="007D0A45">
        <w:lastRenderedPageBreak/>
        <w:t>pleasure in predicting condom use</w:t>
      </w:r>
      <w:r w:rsidR="007B03B6" w:rsidRPr="007D0A45">
        <w:t>,</w:t>
      </w:r>
      <w:r w:rsidR="00B1280C" w:rsidRPr="007D0A45">
        <w:t xml:space="preserve"> </w:t>
      </w:r>
      <w:r w:rsidR="00A31DC5" w:rsidRPr="007D0A45">
        <w:t xml:space="preserve">stratified </w:t>
      </w:r>
      <w:r w:rsidR="00B1280C" w:rsidRPr="007D0A45">
        <w:t xml:space="preserve">by </w:t>
      </w:r>
      <w:r w:rsidR="00A31DC5" w:rsidRPr="007D0A45">
        <w:t xml:space="preserve">relationship </w:t>
      </w:r>
      <w:r w:rsidR="00B1280C" w:rsidRPr="007D0A45">
        <w:t xml:space="preserve">type. </w:t>
      </w:r>
      <w:r w:rsidR="00EE3C88" w:rsidRPr="007D0A45">
        <w:t xml:space="preserve"> </w:t>
      </w:r>
      <w:r w:rsidR="00B1280C" w:rsidRPr="007D0A45">
        <w:t xml:space="preserve">One exception is </w:t>
      </w:r>
      <w:r w:rsidR="003243CB" w:rsidRPr="007D0A45">
        <w:t xml:space="preserve">de </w:t>
      </w:r>
      <w:proofErr w:type="spellStart"/>
      <w:r w:rsidR="00EE3C88" w:rsidRPr="007D0A45">
        <w:t>Visser</w:t>
      </w:r>
      <w:proofErr w:type="spellEnd"/>
      <w:r w:rsidR="00EE3C88" w:rsidRPr="007D0A45">
        <w:t xml:space="preserve"> </w:t>
      </w:r>
      <w:r w:rsidR="00B1280C" w:rsidRPr="007D0A45">
        <w:t>and</w:t>
      </w:r>
      <w:r w:rsidR="00EE3C88" w:rsidRPr="007D0A45">
        <w:t xml:space="preserve"> Smith </w:t>
      </w:r>
      <w:r w:rsidR="00B1280C" w:rsidRPr="007D0A45">
        <w:t>(</w:t>
      </w:r>
      <w:r w:rsidR="00EE3C88" w:rsidRPr="007D0A45">
        <w:t>2001)</w:t>
      </w:r>
      <w:r w:rsidR="00B1280C" w:rsidRPr="007D0A45">
        <w:t xml:space="preserve"> who found, </w:t>
      </w:r>
      <w:r w:rsidR="004072B6" w:rsidRPr="007D0A45">
        <w:t xml:space="preserve">in </w:t>
      </w:r>
      <w:r w:rsidR="00B1280C" w:rsidRPr="007D0A45">
        <w:t xml:space="preserve">a sample of 103 Australian heterosexual men and women, that among people with regular partners, but not those with casual partners, the belief that condoms reduce sexual pleasure was associated with condom non-use. </w:t>
      </w:r>
      <w:r w:rsidR="00A31DC5" w:rsidRPr="007D0A45">
        <w:t xml:space="preserve"> </w:t>
      </w:r>
    </w:p>
    <w:p w14:paraId="43FEE18E" w14:textId="5B1C7015" w:rsidR="004468F9" w:rsidRPr="007D0A45" w:rsidRDefault="00B6092F" w:rsidP="00C82EF8">
      <w:pPr>
        <w:widowControl w:val="0"/>
        <w:autoSpaceDE w:val="0"/>
        <w:autoSpaceDN w:val="0"/>
        <w:adjustRightInd w:val="0"/>
        <w:spacing w:line="480" w:lineRule="auto"/>
        <w:ind w:firstLine="720"/>
      </w:pPr>
      <w:r w:rsidRPr="007D0A45">
        <w:t>Previous</w:t>
      </w:r>
      <w:r w:rsidR="00A57EF6" w:rsidRPr="007D0A45">
        <w:t xml:space="preserve"> </w:t>
      </w:r>
      <w:r w:rsidR="00A31DC5" w:rsidRPr="007D0A45">
        <w:t xml:space="preserve">research on condoms and pleasure </w:t>
      </w:r>
      <w:r w:rsidR="00EB3B12" w:rsidRPr="007D0A45">
        <w:t xml:space="preserve">has </w:t>
      </w:r>
      <w:r w:rsidR="00A31DC5" w:rsidRPr="007D0A45">
        <w:t xml:space="preserve">assessed </w:t>
      </w:r>
      <w:r w:rsidR="00A31DC5" w:rsidRPr="007D0A45">
        <w:rPr>
          <w:i/>
        </w:rPr>
        <w:t xml:space="preserve">attitudes </w:t>
      </w:r>
      <w:r w:rsidR="00A31DC5" w:rsidRPr="007D0A45">
        <w:t>about how pleasure is affected by condom use</w:t>
      </w:r>
      <w:r w:rsidR="00A57EF6" w:rsidRPr="007D0A45">
        <w:t xml:space="preserve"> or elicited respondent </w:t>
      </w:r>
      <w:r w:rsidR="00A57EF6" w:rsidRPr="007D0A45">
        <w:rPr>
          <w:i/>
        </w:rPr>
        <w:t>perceptions</w:t>
      </w:r>
      <w:r w:rsidR="00A57EF6" w:rsidRPr="007D0A45">
        <w:t xml:space="preserve"> of how condom use affects pleasure</w:t>
      </w:r>
      <w:r w:rsidR="00A31DC5" w:rsidRPr="007D0A45">
        <w:t xml:space="preserve"> – few studies have examined actual </w:t>
      </w:r>
      <w:r w:rsidR="00A31DC5" w:rsidRPr="007D0A45">
        <w:rPr>
          <w:i/>
        </w:rPr>
        <w:t>experiences</w:t>
      </w:r>
      <w:r w:rsidR="00A31DC5" w:rsidRPr="007D0A45">
        <w:t xml:space="preserve"> of pleasure </w:t>
      </w:r>
      <w:r w:rsidR="00A57EF6" w:rsidRPr="007D0A45">
        <w:t>during PVI with and without</w:t>
      </w:r>
      <w:r w:rsidR="00A31DC5" w:rsidRPr="007D0A45">
        <w:t xml:space="preserve"> condom</w:t>
      </w:r>
      <w:r w:rsidR="00A57EF6" w:rsidRPr="007D0A45">
        <w:t>s</w:t>
      </w:r>
      <w:r w:rsidR="00A31DC5" w:rsidRPr="007D0A45">
        <w:t xml:space="preserve"> and compared </w:t>
      </w:r>
      <w:r w:rsidR="00A57EF6" w:rsidRPr="007D0A45">
        <w:t xml:space="preserve">pleasure ratings </w:t>
      </w:r>
      <w:r w:rsidR="00A31DC5" w:rsidRPr="007D0A45">
        <w:t xml:space="preserve">for individuals </w:t>
      </w:r>
      <w:r w:rsidR="00F944E3" w:rsidRPr="007D0A45">
        <w:t>with different partner types</w:t>
      </w:r>
      <w:r w:rsidR="0065359B" w:rsidRPr="007D0A45">
        <w:t>.</w:t>
      </w:r>
      <w:r w:rsidR="004468F9" w:rsidRPr="007D0A45">
        <w:t xml:space="preserve"> Sanders et al. (2010) did use this latter methodology; in a U.S. national survey of men and women ages 18 to 94 years they reported no significant differences in pleasure, arousal, and orgasm related to condom use or non-use for the most recent event of PVI, when controlling for partner/relationship type, age, and ethnicity.</w:t>
      </w:r>
      <w:r w:rsidR="002E290A" w:rsidRPr="007D0A45">
        <w:t xml:space="preserve"> </w:t>
      </w:r>
      <w:r w:rsidR="00064174" w:rsidRPr="007D0A45">
        <w:t xml:space="preserve"> However, Sanders et al. did not examine the relationship between condom use and pleasure within each relationship type separately.</w:t>
      </w:r>
      <w:r w:rsidR="00C82EF8" w:rsidRPr="007D0A45">
        <w:t xml:space="preserve">  </w:t>
      </w:r>
      <w:r w:rsidR="00C3286E" w:rsidRPr="007D0A45">
        <w:t>Given the relationship between partner type and pleasure (</w:t>
      </w:r>
      <w:proofErr w:type="spellStart"/>
      <w:r w:rsidR="00C3286E" w:rsidRPr="007D0A45">
        <w:t>Galinsky</w:t>
      </w:r>
      <w:proofErr w:type="spellEnd"/>
      <w:r w:rsidR="00C3286E" w:rsidRPr="007D0A45">
        <w:t xml:space="preserve"> &amp; </w:t>
      </w:r>
      <w:proofErr w:type="spellStart"/>
      <w:r w:rsidR="00C3286E" w:rsidRPr="007D0A45">
        <w:t>Sonenstein</w:t>
      </w:r>
      <w:proofErr w:type="spellEnd"/>
      <w:r w:rsidR="00C3286E" w:rsidRPr="007D0A45">
        <w:t>, 2013; Waite and Joyner, 2001), with reports of pleasure increasing with relational intimacy, partner type may serve as a confound in investigations of condom use and pleasure.  Thus, research on reports of condom use and sexual pleasure, stratified by partner type and conducted separately by gender, would make an important contribution to the literature.</w:t>
      </w:r>
    </w:p>
    <w:p w14:paraId="43D3B8BF" w14:textId="77777777" w:rsidR="004468F9" w:rsidRPr="007D0A45" w:rsidRDefault="004468F9" w:rsidP="004468F9">
      <w:pPr>
        <w:widowControl w:val="0"/>
        <w:autoSpaceDE w:val="0"/>
        <w:autoSpaceDN w:val="0"/>
        <w:adjustRightInd w:val="0"/>
        <w:spacing w:line="480" w:lineRule="auto"/>
        <w:ind w:firstLine="720"/>
        <w:rPr>
          <w:b/>
        </w:rPr>
      </w:pPr>
      <w:r w:rsidRPr="007D0A45">
        <w:rPr>
          <w:b/>
        </w:rPr>
        <w:t xml:space="preserve">Aims of the Current Study </w:t>
      </w:r>
    </w:p>
    <w:p w14:paraId="6DA010B4" w14:textId="5338AE66" w:rsidR="00D63678" w:rsidRPr="007D0A45" w:rsidRDefault="004468F9" w:rsidP="00EE5FCA">
      <w:pPr>
        <w:widowControl w:val="0"/>
        <w:autoSpaceDE w:val="0"/>
        <w:autoSpaceDN w:val="0"/>
        <w:adjustRightInd w:val="0"/>
        <w:spacing w:line="480" w:lineRule="auto"/>
        <w:ind w:firstLine="720"/>
      </w:pPr>
      <w:r w:rsidRPr="007D0A45">
        <w:t>T</w:t>
      </w:r>
      <w:r w:rsidR="00D77849" w:rsidRPr="007D0A45">
        <w:t>he purpose of the current study was to</w:t>
      </w:r>
      <w:r w:rsidR="007C7595" w:rsidRPr="007D0A45">
        <w:t xml:space="preserve"> investigate </w:t>
      </w:r>
      <w:r w:rsidR="00A57EF6" w:rsidRPr="007D0A45">
        <w:t xml:space="preserve">levels of </w:t>
      </w:r>
      <w:r w:rsidR="004C0B00" w:rsidRPr="007D0A45">
        <w:t xml:space="preserve">pleasure at last </w:t>
      </w:r>
      <w:r w:rsidR="00A57EF6" w:rsidRPr="007D0A45">
        <w:t>PVI</w:t>
      </w:r>
      <w:r w:rsidR="003921A3" w:rsidRPr="007D0A45">
        <w:t xml:space="preserve"> by condom use</w:t>
      </w:r>
      <w:r w:rsidR="00A57EF6" w:rsidRPr="007D0A45">
        <w:t xml:space="preserve"> and non-use</w:t>
      </w:r>
      <w:r w:rsidR="00704E96" w:rsidRPr="007D0A45">
        <w:t>,</w:t>
      </w:r>
      <w:r w:rsidR="003921A3" w:rsidRPr="007D0A45">
        <w:t xml:space="preserve"> stratif</w:t>
      </w:r>
      <w:r w:rsidR="00A57EF6" w:rsidRPr="007D0A45">
        <w:t>ied</w:t>
      </w:r>
      <w:r w:rsidR="003921A3" w:rsidRPr="007D0A45">
        <w:t xml:space="preserve"> by</w:t>
      </w:r>
      <w:r w:rsidR="004C0B00" w:rsidRPr="007D0A45">
        <w:t xml:space="preserve"> </w:t>
      </w:r>
      <w:r w:rsidR="00F944E3" w:rsidRPr="007D0A45">
        <w:t>partner type</w:t>
      </w:r>
      <w:r w:rsidR="003921A3" w:rsidRPr="007D0A45">
        <w:t xml:space="preserve">. </w:t>
      </w:r>
      <w:r w:rsidR="00230FC3" w:rsidRPr="007D0A45">
        <w:t>Of particular note is that, unlike other studies</w:t>
      </w:r>
      <w:r w:rsidR="00AD5483" w:rsidRPr="007D0A45">
        <w:t xml:space="preserve">, the current study did not ask participants to give their opinion on the degree to which condom use affects sexual pleasure or </w:t>
      </w:r>
      <w:r w:rsidR="00230FC3" w:rsidRPr="007D0A45">
        <w:t>measure</w:t>
      </w:r>
      <w:r w:rsidR="00AD5483" w:rsidRPr="007D0A45">
        <w:t xml:space="preserve"> how the perceived impact of condom use on </w:t>
      </w:r>
      <w:r w:rsidR="00AD5483" w:rsidRPr="007D0A45">
        <w:lastRenderedPageBreak/>
        <w:t xml:space="preserve">pleasure affects the likelihood that they would use condoms. Rather, similar to Sanders et al. (2010), the </w:t>
      </w:r>
      <w:r w:rsidR="00230FC3" w:rsidRPr="007D0A45">
        <w:t xml:space="preserve">current study asked respondents to identify how pleasurable their most recent </w:t>
      </w:r>
      <w:r w:rsidR="00561D5C" w:rsidRPr="007D0A45">
        <w:t xml:space="preserve">experience </w:t>
      </w:r>
      <w:r w:rsidR="00230FC3" w:rsidRPr="007D0A45">
        <w:t>of PVI was and</w:t>
      </w:r>
      <w:r w:rsidR="00C10F8A" w:rsidRPr="007D0A45">
        <w:t>,</w:t>
      </w:r>
      <w:r w:rsidR="00230FC3" w:rsidRPr="007D0A45">
        <w:t xml:space="preserve"> in a separate item</w:t>
      </w:r>
      <w:r w:rsidR="00C10F8A" w:rsidRPr="007D0A45">
        <w:t>,</w:t>
      </w:r>
      <w:r w:rsidR="00230FC3" w:rsidRPr="007D0A45">
        <w:t xml:space="preserve"> asked if a condom was used. Thus, in comparison to many previous studies, the current study provides a more direct, and likely more accurate, assessment of if, </w:t>
      </w:r>
      <w:r w:rsidR="00C10F8A" w:rsidRPr="007D0A45">
        <w:t xml:space="preserve">and </w:t>
      </w:r>
      <w:r w:rsidR="00230FC3" w:rsidRPr="007D0A45">
        <w:t xml:space="preserve">the degree to which, condom use affects pleasure </w:t>
      </w:r>
      <w:r w:rsidR="00A903E8" w:rsidRPr="007D0A45">
        <w:t xml:space="preserve">experienced </w:t>
      </w:r>
      <w:r w:rsidR="00230FC3" w:rsidRPr="007D0A45">
        <w:t>during PVI.</w:t>
      </w:r>
      <w:r w:rsidR="00075829" w:rsidRPr="007D0A45">
        <w:t xml:space="preserve"> </w:t>
      </w:r>
      <w:r w:rsidR="00075829" w:rsidRPr="007D0A45">
        <w:br/>
      </w:r>
      <w:r w:rsidR="00075829" w:rsidRPr="007D0A45">
        <w:tab/>
        <w:t>To address condom use behavior and differences in reported pleasure we asked the following research questions:</w:t>
      </w:r>
    </w:p>
    <w:p w14:paraId="517931BB" w14:textId="6821A20E" w:rsidR="00075829" w:rsidRPr="007D0A45" w:rsidRDefault="00075829" w:rsidP="002D2F9A">
      <w:pPr>
        <w:pStyle w:val="ListParagraph"/>
        <w:widowControl w:val="0"/>
        <w:numPr>
          <w:ilvl w:val="0"/>
          <w:numId w:val="6"/>
        </w:numPr>
        <w:autoSpaceDE w:val="0"/>
        <w:autoSpaceDN w:val="0"/>
        <w:adjustRightInd w:val="0"/>
        <w:spacing w:line="480" w:lineRule="auto"/>
        <w:rPr>
          <w:rFonts w:ascii="Times New Roman" w:hAnsi="Times New Roman" w:cs="Times New Roman"/>
          <w:sz w:val="24"/>
          <w:szCs w:val="24"/>
        </w:rPr>
      </w:pPr>
      <w:r w:rsidRPr="007D0A45">
        <w:rPr>
          <w:rFonts w:ascii="Times New Roman" w:hAnsi="Times New Roman" w:cs="Times New Roman"/>
          <w:sz w:val="24"/>
          <w:szCs w:val="24"/>
        </w:rPr>
        <w:t>What is the percentage of participants who report using a condom at last PVI?</w:t>
      </w:r>
    </w:p>
    <w:p w14:paraId="280A89DA" w14:textId="77777777" w:rsidR="00CE0925" w:rsidRPr="007D0A45" w:rsidRDefault="00CE0925" w:rsidP="002D2F9A">
      <w:pPr>
        <w:pStyle w:val="ListParagraph"/>
        <w:widowControl w:val="0"/>
        <w:numPr>
          <w:ilvl w:val="0"/>
          <w:numId w:val="6"/>
        </w:numPr>
        <w:autoSpaceDE w:val="0"/>
        <w:autoSpaceDN w:val="0"/>
        <w:adjustRightInd w:val="0"/>
        <w:spacing w:line="480" w:lineRule="auto"/>
        <w:rPr>
          <w:rFonts w:ascii="Times New Roman" w:hAnsi="Times New Roman" w:cs="Times New Roman"/>
          <w:sz w:val="24"/>
          <w:szCs w:val="24"/>
        </w:rPr>
      </w:pPr>
      <w:r w:rsidRPr="007D0A45">
        <w:rPr>
          <w:rFonts w:ascii="Times New Roman" w:hAnsi="Times New Roman" w:cs="Times New Roman"/>
          <w:sz w:val="24"/>
          <w:szCs w:val="24"/>
        </w:rPr>
        <w:t xml:space="preserve">Is there a significant difference in reported pleasure between participants who used a condom at last PVI compared to those who did not use a condom? </w:t>
      </w:r>
    </w:p>
    <w:p w14:paraId="4D023114" w14:textId="37573A13" w:rsidR="00075829" w:rsidRPr="007D0A45" w:rsidRDefault="00075829" w:rsidP="002D2F9A">
      <w:pPr>
        <w:pStyle w:val="ListParagraph"/>
        <w:widowControl w:val="0"/>
        <w:numPr>
          <w:ilvl w:val="0"/>
          <w:numId w:val="6"/>
        </w:numPr>
        <w:autoSpaceDE w:val="0"/>
        <w:autoSpaceDN w:val="0"/>
        <w:adjustRightInd w:val="0"/>
        <w:spacing w:line="480" w:lineRule="auto"/>
        <w:rPr>
          <w:rFonts w:ascii="Times New Roman" w:hAnsi="Times New Roman" w:cs="Times New Roman"/>
          <w:sz w:val="24"/>
          <w:szCs w:val="24"/>
        </w:rPr>
      </w:pPr>
      <w:r w:rsidRPr="007D0A45">
        <w:rPr>
          <w:rFonts w:ascii="Times New Roman" w:hAnsi="Times New Roman" w:cs="Times New Roman"/>
          <w:sz w:val="24"/>
          <w:szCs w:val="24"/>
        </w:rPr>
        <w:t xml:space="preserve">Is the reported </w:t>
      </w:r>
      <w:r w:rsidR="00CE0925" w:rsidRPr="007D0A45">
        <w:rPr>
          <w:rFonts w:ascii="Times New Roman" w:hAnsi="Times New Roman" w:cs="Times New Roman"/>
          <w:sz w:val="24"/>
          <w:szCs w:val="24"/>
        </w:rPr>
        <w:t xml:space="preserve">pleasure </w:t>
      </w:r>
      <w:r w:rsidRPr="007D0A45">
        <w:rPr>
          <w:rFonts w:ascii="Times New Roman" w:hAnsi="Times New Roman" w:cs="Times New Roman"/>
          <w:sz w:val="24"/>
          <w:szCs w:val="24"/>
        </w:rPr>
        <w:t>at last PVI different depending upon the relationship context?</w:t>
      </w:r>
    </w:p>
    <w:p w14:paraId="642D2CF6" w14:textId="77777777" w:rsidR="00075829" w:rsidRPr="007D0A45" w:rsidRDefault="00075829" w:rsidP="002D2F9A">
      <w:pPr>
        <w:pStyle w:val="ListParagraph"/>
        <w:widowControl w:val="0"/>
        <w:numPr>
          <w:ilvl w:val="0"/>
          <w:numId w:val="6"/>
        </w:numPr>
        <w:autoSpaceDE w:val="0"/>
        <w:autoSpaceDN w:val="0"/>
        <w:adjustRightInd w:val="0"/>
        <w:spacing w:line="480" w:lineRule="auto"/>
        <w:rPr>
          <w:rFonts w:ascii="Times New Roman" w:hAnsi="Times New Roman" w:cs="Times New Roman"/>
          <w:sz w:val="24"/>
          <w:szCs w:val="24"/>
        </w:rPr>
      </w:pPr>
      <w:r w:rsidRPr="007D0A45">
        <w:rPr>
          <w:rFonts w:ascii="Times New Roman" w:hAnsi="Times New Roman" w:cs="Times New Roman"/>
          <w:sz w:val="24"/>
          <w:szCs w:val="24"/>
        </w:rPr>
        <w:t>For each relationship type (e.g., booty call, casual, committed dating partner, married etc.), is reported pleasure at last PVI different depending on whether or not a condom was used?</w:t>
      </w:r>
    </w:p>
    <w:p w14:paraId="33DD2FBC" w14:textId="41920272" w:rsidR="00075829" w:rsidRPr="007D0A45" w:rsidRDefault="00075829" w:rsidP="002D2F9A">
      <w:pPr>
        <w:pStyle w:val="ListParagraph"/>
        <w:widowControl w:val="0"/>
        <w:numPr>
          <w:ilvl w:val="0"/>
          <w:numId w:val="6"/>
        </w:numPr>
        <w:autoSpaceDE w:val="0"/>
        <w:autoSpaceDN w:val="0"/>
        <w:adjustRightInd w:val="0"/>
        <w:spacing w:line="480" w:lineRule="auto"/>
        <w:rPr>
          <w:rFonts w:ascii="Times New Roman" w:hAnsi="Times New Roman" w:cs="Times New Roman"/>
          <w:sz w:val="24"/>
          <w:szCs w:val="24"/>
        </w:rPr>
      </w:pPr>
      <w:r w:rsidRPr="007D0A45">
        <w:rPr>
          <w:rFonts w:ascii="Times New Roman" w:hAnsi="Times New Roman" w:cs="Times New Roman"/>
          <w:sz w:val="24"/>
          <w:szCs w:val="24"/>
        </w:rPr>
        <w:t>Are these patterns similar</w:t>
      </w:r>
      <w:r w:rsidR="00345DF7" w:rsidRPr="007D0A45">
        <w:rPr>
          <w:rFonts w:ascii="Times New Roman" w:hAnsi="Times New Roman" w:cs="Times New Roman"/>
          <w:sz w:val="24"/>
          <w:szCs w:val="24"/>
        </w:rPr>
        <w:t xml:space="preserve"> for women and</w:t>
      </w:r>
      <w:r w:rsidRPr="007D0A45">
        <w:rPr>
          <w:rFonts w:ascii="Times New Roman" w:hAnsi="Times New Roman" w:cs="Times New Roman"/>
          <w:sz w:val="24"/>
          <w:szCs w:val="24"/>
        </w:rPr>
        <w:t xml:space="preserve"> men?</w:t>
      </w:r>
    </w:p>
    <w:p w14:paraId="3A20D024" w14:textId="31F4E022" w:rsidR="000A7D76" w:rsidRPr="007D0A45" w:rsidRDefault="004C5B5C" w:rsidP="00DD4BAB">
      <w:pPr>
        <w:spacing w:line="480" w:lineRule="auto"/>
        <w:jc w:val="center"/>
        <w:rPr>
          <w:b/>
        </w:rPr>
      </w:pPr>
      <w:r w:rsidRPr="007D0A45">
        <w:rPr>
          <w:b/>
        </w:rPr>
        <w:t>METHOD</w:t>
      </w:r>
    </w:p>
    <w:p w14:paraId="513028B1" w14:textId="3F95E3B8" w:rsidR="007F24A7" w:rsidRPr="007D0A45" w:rsidRDefault="007F24A7" w:rsidP="00BF46F0">
      <w:pPr>
        <w:spacing w:line="480" w:lineRule="auto"/>
      </w:pPr>
      <w:r w:rsidRPr="007D0A45">
        <w:rPr>
          <w:b/>
        </w:rPr>
        <w:t>Participants</w:t>
      </w:r>
    </w:p>
    <w:p w14:paraId="6EA29C1E" w14:textId="52F5C291" w:rsidR="00A80A35" w:rsidRPr="007D0A45" w:rsidRDefault="00304246" w:rsidP="00304246">
      <w:pPr>
        <w:spacing w:line="480" w:lineRule="auto"/>
        <w:ind w:firstLine="720"/>
      </w:pPr>
      <w:r w:rsidRPr="007D0A45">
        <w:t xml:space="preserve">The study was designed by the second author in partnership with [blinded for review] to better understand the sexual health needs of young adult Canadians.  </w:t>
      </w:r>
      <w:r w:rsidR="00A80A35" w:rsidRPr="007D0A45">
        <w:t>Participants were recruited by [blinded for review] and [blinded for review]</w:t>
      </w:r>
      <w:r w:rsidR="00C815B9" w:rsidRPr="007D0A45">
        <w:t>.  The aim was to recruit 1</w:t>
      </w:r>
      <w:r w:rsidR="00C10F8A" w:rsidRPr="007D0A45">
        <w:t>,</w:t>
      </w:r>
      <w:r w:rsidR="00C815B9" w:rsidRPr="007D0A45">
        <w:t xml:space="preserve">500 participants (approximately half male and half female) between the ages of 18 and 24 who were currently enrolled in a Canadian university with representation from all provinces and territories. </w:t>
      </w:r>
      <w:r w:rsidR="00A80A35" w:rsidRPr="007D0A45">
        <w:t xml:space="preserve">Data </w:t>
      </w:r>
      <w:r w:rsidR="00CD78C9" w:rsidRPr="007D0A45">
        <w:t xml:space="preserve">were </w:t>
      </w:r>
      <w:r w:rsidR="00A80A35" w:rsidRPr="007D0A45">
        <w:t xml:space="preserve">collected over a </w:t>
      </w:r>
      <w:proofErr w:type="gramStart"/>
      <w:r w:rsidR="00A80A35" w:rsidRPr="007D0A45">
        <w:t>two week</w:t>
      </w:r>
      <w:proofErr w:type="gramEnd"/>
      <w:r w:rsidR="00A80A35" w:rsidRPr="007D0A45">
        <w:t xml:space="preserve"> period between December 2012 and January 2013. A total of </w:t>
      </w:r>
      <w:r w:rsidR="00A80A35" w:rsidRPr="007D0A45">
        <w:lastRenderedPageBreak/>
        <w:t xml:space="preserve">53,631 email invitations </w:t>
      </w:r>
      <w:r w:rsidR="00C548DF" w:rsidRPr="007D0A45">
        <w:t xml:space="preserve">to participate in a “general interest survey” </w:t>
      </w:r>
      <w:r w:rsidR="00A80A35" w:rsidRPr="007D0A45">
        <w:t xml:space="preserve">were sent to panelists between the ages of 18 and 24.  Of these, 3611 respondents clicked on the survey link </w:t>
      </w:r>
      <w:r w:rsidR="00CD78C9" w:rsidRPr="007D0A45">
        <w:t>that</w:t>
      </w:r>
      <w:r w:rsidR="00A80A35" w:rsidRPr="007D0A45">
        <w:t xml:space="preserve"> led to the study portal. Approximately one-third (N = 1244) were disqualified</w:t>
      </w:r>
      <w:r w:rsidR="00CD78C9" w:rsidRPr="007D0A45">
        <w:t>,</w:t>
      </w:r>
      <w:r w:rsidR="00A80A35" w:rsidRPr="007D0A45">
        <w:t xml:space="preserve"> 1194 because they were not currently enrolled university students, 46 </w:t>
      </w:r>
      <w:r w:rsidR="00CD78C9" w:rsidRPr="007D0A45">
        <w:t xml:space="preserve">because they </w:t>
      </w:r>
      <w:r w:rsidR="00A80A35" w:rsidRPr="007D0A45">
        <w:t xml:space="preserve">did not fit the age range, and 4 indicated they would not respond to the survey truthfully.  A further 648 were disqualified because quotas for gender, province of study, and age had been met.  </w:t>
      </w:r>
      <w:r w:rsidR="00CD78C9" w:rsidRPr="007D0A45">
        <w:t xml:space="preserve">In addition, </w:t>
      </w:r>
      <w:r w:rsidR="00A80A35" w:rsidRPr="007D0A45">
        <w:t xml:space="preserve">219 did not complete the survey in full and their data </w:t>
      </w:r>
      <w:r w:rsidR="00CD78C9" w:rsidRPr="007D0A45">
        <w:t>were</w:t>
      </w:r>
      <w:r w:rsidR="00C815B9" w:rsidRPr="007D0A45">
        <w:t xml:space="preserve"> not retained by [blinded for review]</w:t>
      </w:r>
      <w:r w:rsidR="00A80A35" w:rsidRPr="007D0A45">
        <w:t xml:space="preserve">; data on these participants is not available. </w:t>
      </w:r>
      <w:r w:rsidR="005C4862" w:rsidRPr="007D0A45">
        <w:t xml:space="preserve">The </w:t>
      </w:r>
      <w:r w:rsidRPr="007D0A45">
        <w:t xml:space="preserve">overall </w:t>
      </w:r>
      <w:r w:rsidR="005C4862" w:rsidRPr="007D0A45">
        <w:t>sample</w:t>
      </w:r>
      <w:r w:rsidR="00705C3B" w:rsidRPr="007D0A45">
        <w:t xml:space="preserve"> </w:t>
      </w:r>
      <w:r w:rsidR="005C4862" w:rsidRPr="007D0A45">
        <w:t>comprised</w:t>
      </w:r>
      <w:r w:rsidR="00A80A35" w:rsidRPr="007D0A45">
        <w:t xml:space="preserve"> </w:t>
      </w:r>
      <w:r w:rsidR="00705C3B" w:rsidRPr="007D0A45">
        <w:t>1</w:t>
      </w:r>
      <w:r w:rsidR="003064FE" w:rsidRPr="007D0A45">
        <w:t>,</w:t>
      </w:r>
      <w:r w:rsidR="00705C3B" w:rsidRPr="007D0A45">
        <w:t>500 Canadian university students between the ages of 18 and 24</w:t>
      </w:r>
      <w:r w:rsidR="00C815B9" w:rsidRPr="007D0A45">
        <w:t xml:space="preserve"> who met all eligibility criteria and provided complete data</w:t>
      </w:r>
      <w:r w:rsidR="00A80A35" w:rsidRPr="007D0A45">
        <w:t>.</w:t>
      </w:r>
      <w:r w:rsidR="0083664E" w:rsidRPr="007D0A45">
        <w:t xml:space="preserve"> </w:t>
      </w:r>
    </w:p>
    <w:p w14:paraId="4BEC13CF" w14:textId="727FC4E6" w:rsidR="009C16A8" w:rsidRPr="007D0A45" w:rsidRDefault="00480F98" w:rsidP="00A80A35">
      <w:pPr>
        <w:spacing w:line="480" w:lineRule="auto"/>
        <w:ind w:firstLine="720"/>
      </w:pPr>
      <w:r w:rsidRPr="007D0A45">
        <w:t>To be included in the analytic sample participants had to meet the following criteria: 1)</w:t>
      </w:r>
      <w:r w:rsidR="008F15FB" w:rsidRPr="007D0A45">
        <w:t xml:space="preserve"> indicate</w:t>
      </w:r>
      <w:r w:rsidR="00CD78C9" w:rsidRPr="007D0A45">
        <w:t>d</w:t>
      </w:r>
      <w:r w:rsidR="008F15FB" w:rsidRPr="007D0A45">
        <w:t xml:space="preserve"> that they had a sexual encounter within the last year that included PVI,</w:t>
      </w:r>
      <w:r w:rsidRPr="007D0A45">
        <w:t xml:space="preserve"> </w:t>
      </w:r>
      <w:r w:rsidR="001742ED" w:rsidRPr="007D0A45">
        <w:t xml:space="preserve">2) </w:t>
      </w:r>
      <w:r w:rsidR="00FF2757" w:rsidRPr="007D0A45">
        <w:t>answered the</w:t>
      </w:r>
      <w:r w:rsidR="00A92FB9" w:rsidRPr="007D0A45">
        <w:t xml:space="preserve"> questions</w:t>
      </w:r>
      <w:r w:rsidR="001742ED" w:rsidRPr="007D0A45">
        <w:t xml:space="preserve"> related to condom use at last PVI, relationship type</w:t>
      </w:r>
      <w:r w:rsidR="00CD78C9" w:rsidRPr="007D0A45">
        <w:t>,</w:t>
      </w:r>
      <w:r w:rsidR="001742ED" w:rsidRPr="007D0A45">
        <w:t xml:space="preserve"> and degree of pleasure at last PVI as these were the central variables of interest for the current analysis</w:t>
      </w:r>
      <w:r w:rsidR="00A92FB9" w:rsidRPr="007D0A45">
        <w:t xml:space="preserve"> and 3) </w:t>
      </w:r>
      <w:r w:rsidRPr="007D0A45">
        <w:t xml:space="preserve">identify as female or male as </w:t>
      </w:r>
      <w:r w:rsidR="00A92FB9" w:rsidRPr="007D0A45">
        <w:t>analyses were conducted by gender</w:t>
      </w:r>
      <w:r w:rsidRPr="007D0A45">
        <w:t xml:space="preserve"> </w:t>
      </w:r>
      <w:r w:rsidR="007B03B6" w:rsidRPr="007D0A45">
        <w:t>and though</w:t>
      </w:r>
      <w:r w:rsidRPr="007D0A45">
        <w:t xml:space="preserve"> the survey included </w:t>
      </w:r>
      <w:r w:rsidR="00A92FB9" w:rsidRPr="007D0A45">
        <w:t xml:space="preserve">a </w:t>
      </w:r>
      <w:r w:rsidRPr="007D0A45">
        <w:t>trans identity response it did not specify female-to-male or male-to-female</w:t>
      </w:r>
      <w:r w:rsidR="007B03B6" w:rsidRPr="007D0A45">
        <w:t>.</w:t>
      </w:r>
      <w:r w:rsidR="00FF2757" w:rsidRPr="007D0A45">
        <w:t xml:space="preserve"> </w:t>
      </w:r>
      <w:r w:rsidR="003064FE" w:rsidRPr="007D0A45">
        <w:t>Three hundred and seventy-</w:t>
      </w:r>
      <w:r w:rsidR="00DB64F3" w:rsidRPr="007D0A45">
        <w:t>two</w:t>
      </w:r>
      <w:r w:rsidR="003064FE" w:rsidRPr="007D0A45">
        <w:t xml:space="preserve"> </w:t>
      </w:r>
      <w:r w:rsidR="004C0B00" w:rsidRPr="007D0A45">
        <w:t>participants indicated they had never had a sexual encounter.  A further 58 reported their last sexual encounter happened more than one year ago</w:t>
      </w:r>
      <w:r w:rsidR="00057FB2" w:rsidRPr="007D0A45">
        <w:t xml:space="preserve"> </w:t>
      </w:r>
      <w:r w:rsidR="004C0B00" w:rsidRPr="007D0A45">
        <w:t>and 115 participants chose not to answer the question about when the</w:t>
      </w:r>
      <w:r w:rsidR="005C4862" w:rsidRPr="007D0A45">
        <w:t>ir</w:t>
      </w:r>
      <w:r w:rsidR="004C0B00" w:rsidRPr="007D0A45">
        <w:t xml:space="preserve"> last sexual encounter occurred. </w:t>
      </w:r>
      <w:r w:rsidR="0018702C" w:rsidRPr="007D0A45">
        <w:t xml:space="preserve"> </w:t>
      </w:r>
      <w:r w:rsidR="00CD78C9" w:rsidRPr="007D0A45">
        <w:t xml:space="preserve">Another </w:t>
      </w:r>
      <w:r w:rsidR="00DB64F3" w:rsidRPr="007D0A45">
        <w:t xml:space="preserve">184 indicated their last sexual encounter did not include PVI, and 23 did not answer this question; these participants were excluded.  </w:t>
      </w:r>
      <w:r w:rsidR="00AB24F9" w:rsidRPr="007D0A45">
        <w:t>This left</w:t>
      </w:r>
      <w:r w:rsidR="0018702C" w:rsidRPr="007D0A45">
        <w:t xml:space="preserve"> 748 who indicated that their last sexual encounter included </w:t>
      </w:r>
      <w:r w:rsidR="00793C03" w:rsidRPr="007D0A45">
        <w:t>PVI</w:t>
      </w:r>
      <w:r w:rsidR="0018702C" w:rsidRPr="007D0A45">
        <w:t xml:space="preserve">. </w:t>
      </w:r>
      <w:r w:rsidR="00F722CE" w:rsidRPr="007D0A45">
        <w:t>Thirty</w:t>
      </w:r>
      <w:r w:rsidR="00D70BFD" w:rsidRPr="007D0A45">
        <w:t>-two people who did not respond to the item</w:t>
      </w:r>
      <w:r w:rsidR="00882645" w:rsidRPr="007D0A45">
        <w:t>s</w:t>
      </w:r>
      <w:r w:rsidR="00D70BFD" w:rsidRPr="007D0A45">
        <w:t xml:space="preserve"> about condom use </w:t>
      </w:r>
      <w:r w:rsidR="00715E98" w:rsidRPr="007D0A45">
        <w:t xml:space="preserve">during </w:t>
      </w:r>
      <w:r w:rsidR="00793C03" w:rsidRPr="007D0A45">
        <w:t>last PVI</w:t>
      </w:r>
      <w:r w:rsidR="00D70BFD" w:rsidRPr="007D0A45">
        <w:t xml:space="preserve">, degree of </w:t>
      </w:r>
      <w:r w:rsidR="00715E98" w:rsidRPr="007D0A45">
        <w:t xml:space="preserve">pleasure at </w:t>
      </w:r>
      <w:r w:rsidR="00D70BFD" w:rsidRPr="007D0A45">
        <w:t xml:space="preserve">last </w:t>
      </w:r>
      <w:r w:rsidR="00793C03" w:rsidRPr="007D0A45">
        <w:t>PVI</w:t>
      </w:r>
      <w:r w:rsidR="00D70BFD" w:rsidRPr="007D0A45">
        <w:t xml:space="preserve">, or partner </w:t>
      </w:r>
      <w:r w:rsidR="00715E98" w:rsidRPr="007D0A45">
        <w:t xml:space="preserve">type </w:t>
      </w:r>
      <w:r w:rsidR="00D70BFD" w:rsidRPr="007D0A45">
        <w:t xml:space="preserve">were </w:t>
      </w:r>
      <w:r w:rsidR="00882645" w:rsidRPr="007D0A45">
        <w:t xml:space="preserve">also </w:t>
      </w:r>
      <w:r w:rsidR="00D70BFD" w:rsidRPr="007D0A45">
        <w:t xml:space="preserve">excluded. </w:t>
      </w:r>
      <w:r w:rsidR="0018702C" w:rsidRPr="007D0A45">
        <w:t xml:space="preserve">One participant who identified as transgender </w:t>
      </w:r>
      <w:r w:rsidR="007B03B6" w:rsidRPr="007D0A45">
        <w:t xml:space="preserve">was also </w:t>
      </w:r>
      <w:r w:rsidR="000E06D7" w:rsidRPr="007D0A45">
        <w:t>removed</w:t>
      </w:r>
      <w:r w:rsidR="00A8378B" w:rsidRPr="007D0A45">
        <w:t xml:space="preserve">. </w:t>
      </w:r>
      <w:r w:rsidR="0041088C" w:rsidRPr="007D0A45">
        <w:t xml:space="preserve">In total, 170 participants were excluded because they did not answer one of the </w:t>
      </w:r>
      <w:r w:rsidR="0041088C" w:rsidRPr="007D0A45">
        <w:lastRenderedPageBreak/>
        <w:t>key variables needed for the study analyses and 615 were excluded because the</w:t>
      </w:r>
      <w:r w:rsidR="00CD78C9" w:rsidRPr="007D0A45">
        <w:t>y</w:t>
      </w:r>
      <w:r w:rsidR="0041088C" w:rsidRPr="007D0A45">
        <w:t xml:space="preserve"> did</w:t>
      </w:r>
      <w:r w:rsidR="00CD78C9" w:rsidRPr="007D0A45">
        <w:t xml:space="preserve"> not</w:t>
      </w:r>
      <w:r w:rsidR="0041088C" w:rsidRPr="007D0A45">
        <w:t xml:space="preserve"> meet the eligibility criteria. </w:t>
      </w:r>
      <w:r w:rsidR="00EB3B12" w:rsidRPr="007D0A45">
        <w:t>T</w:t>
      </w:r>
      <w:r w:rsidR="00705C3B" w:rsidRPr="007D0A45">
        <w:t xml:space="preserve">he </w:t>
      </w:r>
      <w:r w:rsidR="00EB3B12" w:rsidRPr="007D0A45">
        <w:t xml:space="preserve">final </w:t>
      </w:r>
      <w:r w:rsidR="00705C3B" w:rsidRPr="007D0A45">
        <w:t>analytic sample for</w:t>
      </w:r>
      <w:r w:rsidR="00D70BFD" w:rsidRPr="007D0A45">
        <w:t xml:space="preserve"> this study was 715 (281 </w:t>
      </w:r>
      <w:r w:rsidR="00CD78C9" w:rsidRPr="007D0A45">
        <w:t xml:space="preserve">men </w:t>
      </w:r>
      <w:r w:rsidR="00D70BFD" w:rsidRPr="007D0A45">
        <w:t>and 434</w:t>
      </w:r>
      <w:r w:rsidR="00705C3B" w:rsidRPr="007D0A45">
        <w:t xml:space="preserve"> </w:t>
      </w:r>
      <w:r w:rsidR="00CD78C9" w:rsidRPr="007D0A45">
        <w:t>women</w:t>
      </w:r>
      <w:r w:rsidR="00705C3B" w:rsidRPr="007D0A45">
        <w:t>) i</w:t>
      </w:r>
      <w:r w:rsidR="00F722CE" w:rsidRPr="007D0A45">
        <w:t>ndividuals with a mean age 21.10 (</w:t>
      </w:r>
      <w:r w:rsidR="00F722CE" w:rsidRPr="007D0A45">
        <w:rPr>
          <w:i/>
        </w:rPr>
        <w:t>SD</w:t>
      </w:r>
      <w:r w:rsidR="00F722CE" w:rsidRPr="007D0A45">
        <w:t xml:space="preserve"> = .76</w:t>
      </w:r>
      <w:r w:rsidR="00705C3B" w:rsidRPr="007D0A45">
        <w:t>).</w:t>
      </w:r>
    </w:p>
    <w:p w14:paraId="69EF1C03" w14:textId="3EDA5E86" w:rsidR="00705C3B" w:rsidRPr="007D0A45" w:rsidRDefault="00793C03" w:rsidP="00BF46F0">
      <w:pPr>
        <w:spacing w:line="480" w:lineRule="auto"/>
        <w:ind w:firstLine="720"/>
      </w:pPr>
      <w:r w:rsidRPr="007D0A45">
        <w:t>Although a</w:t>
      </w:r>
      <w:r w:rsidR="00705C3B" w:rsidRPr="007D0A45">
        <w:t>ll provinces and the Northwest Territories were represented in the</w:t>
      </w:r>
      <w:r w:rsidR="0018702C" w:rsidRPr="007D0A45">
        <w:t xml:space="preserve"> analytic</w:t>
      </w:r>
      <w:r w:rsidR="00705C3B" w:rsidRPr="007D0A45">
        <w:t xml:space="preserve"> sample</w:t>
      </w:r>
      <w:r w:rsidRPr="007D0A45">
        <w:t>,</w:t>
      </w:r>
      <w:r w:rsidR="00A8378B" w:rsidRPr="007D0A45">
        <w:t xml:space="preserve"> </w:t>
      </w:r>
      <w:r w:rsidR="00705C3B" w:rsidRPr="007D0A45">
        <w:t>most part</w:t>
      </w:r>
      <w:r w:rsidR="00F722CE" w:rsidRPr="007D0A45">
        <w:t xml:space="preserve">icipants were </w:t>
      </w:r>
      <w:r w:rsidRPr="007D0A45">
        <w:t xml:space="preserve">living in </w:t>
      </w:r>
      <w:r w:rsidR="00F722CE" w:rsidRPr="007D0A45">
        <w:t>Ontario (41.0%, n = 293), Quebec (25.3%, n = 181), British Columbia (10.5%, n = 75), and Alberta (8.4%, n = 60</w:t>
      </w:r>
      <w:r w:rsidR="00705C3B" w:rsidRPr="007D0A45">
        <w:t xml:space="preserve">). </w:t>
      </w:r>
      <w:r w:rsidR="00F722CE" w:rsidRPr="007D0A45">
        <w:t xml:space="preserve"> </w:t>
      </w:r>
      <w:r w:rsidRPr="007D0A45">
        <w:t>T</w:t>
      </w:r>
      <w:r w:rsidR="00F722CE" w:rsidRPr="007D0A45">
        <w:t>he majority (83.1</w:t>
      </w:r>
      <w:r w:rsidR="00705C3B" w:rsidRPr="007D0A45">
        <w:t>%</w:t>
      </w:r>
      <w:r w:rsidR="00F722CE" w:rsidRPr="007D0A45">
        <w:t>, n = 594</w:t>
      </w:r>
      <w:r w:rsidR="00705C3B" w:rsidRPr="007D0A45">
        <w:t>) were completing their Ba</w:t>
      </w:r>
      <w:r w:rsidR="0018702C" w:rsidRPr="007D0A45">
        <w:t>chel</w:t>
      </w:r>
      <w:r w:rsidR="00F722CE" w:rsidRPr="007D0A45">
        <w:t xml:space="preserve">or’s degrees, and most </w:t>
      </w:r>
      <w:r w:rsidR="00705C3B" w:rsidRPr="007D0A45">
        <w:t>were in the first</w:t>
      </w:r>
      <w:r w:rsidR="00F722CE" w:rsidRPr="007D0A45">
        <w:t xml:space="preserve"> (27.1%</w:t>
      </w:r>
      <w:r w:rsidR="00BB0598" w:rsidRPr="007D0A45">
        <w:t xml:space="preserve">, </w:t>
      </w:r>
      <w:r w:rsidR="00F722CE" w:rsidRPr="007D0A45">
        <w:t>n = 194),</w:t>
      </w:r>
      <w:r w:rsidR="00705C3B" w:rsidRPr="007D0A45">
        <w:t xml:space="preserve"> second </w:t>
      </w:r>
      <w:r w:rsidR="00F722CE" w:rsidRPr="007D0A45">
        <w:t xml:space="preserve">(28.7%, n = 205), or third (22.5%, n = 161) </w:t>
      </w:r>
      <w:r w:rsidR="00705C3B" w:rsidRPr="007D0A45">
        <w:t xml:space="preserve">year of their program.  Almost one-half of participants </w:t>
      </w:r>
      <w:r w:rsidR="00C7216D" w:rsidRPr="007D0A45">
        <w:t>indicated</w:t>
      </w:r>
      <w:r w:rsidR="00705C3B" w:rsidRPr="007D0A45">
        <w:t xml:space="preserve"> that they were in co</w:t>
      </w:r>
      <w:r w:rsidR="0018702C" w:rsidRPr="007D0A45">
        <w:t>mm</w:t>
      </w:r>
      <w:r w:rsidR="00F722CE" w:rsidRPr="007D0A45">
        <w:t>itted dating relationships (45.0%, n = 32</w:t>
      </w:r>
      <w:r w:rsidR="0018702C" w:rsidRPr="007D0A45">
        <w:t>2</w:t>
      </w:r>
      <w:r w:rsidR="00705C3B" w:rsidRPr="007D0A45">
        <w:t xml:space="preserve">), </w:t>
      </w:r>
      <w:r w:rsidR="00C7216D" w:rsidRPr="007D0A45">
        <w:t xml:space="preserve">approximately one-quarter </w:t>
      </w:r>
      <w:r w:rsidR="00BE04DB" w:rsidRPr="007D0A45">
        <w:t xml:space="preserve">reported </w:t>
      </w:r>
      <w:r w:rsidR="00705C3B" w:rsidRPr="007D0A45">
        <w:t>that t</w:t>
      </w:r>
      <w:r w:rsidR="0018702C" w:rsidRPr="007D0A45">
        <w:t>hey were</w:t>
      </w:r>
      <w:r w:rsidR="00F722CE" w:rsidRPr="007D0A45">
        <w:t xml:space="preserve"> not dating anyone (23.5%, n = 168)</w:t>
      </w:r>
      <w:r w:rsidR="00A90020" w:rsidRPr="007D0A45">
        <w:t>,</w:t>
      </w:r>
      <w:r w:rsidR="00F722CE" w:rsidRPr="007D0A45">
        <w:t xml:space="preserve"> and 15.9% (n = 114</w:t>
      </w:r>
      <w:r w:rsidR="00705C3B" w:rsidRPr="007D0A45">
        <w:t xml:space="preserve">) </w:t>
      </w:r>
      <w:r w:rsidR="00C7216D" w:rsidRPr="007D0A45">
        <w:t>that</w:t>
      </w:r>
      <w:r w:rsidR="00705C3B" w:rsidRPr="007D0A45">
        <w:t xml:space="preserve"> they were casually dating. A minority of participants </w:t>
      </w:r>
      <w:r w:rsidR="00F722CE" w:rsidRPr="007D0A45">
        <w:t>were living together (10.9%, n = 78</w:t>
      </w:r>
      <w:r w:rsidR="00467612" w:rsidRPr="007D0A45">
        <w:t>)</w:t>
      </w:r>
      <w:r w:rsidR="00BE04DB" w:rsidRPr="007D0A45">
        <w:t xml:space="preserve"> </w:t>
      </w:r>
      <w:r w:rsidR="00467612" w:rsidRPr="007D0A45">
        <w:t>or eng</w:t>
      </w:r>
      <w:r w:rsidR="00F722CE" w:rsidRPr="007D0A45">
        <w:t>aged or married (4.3%, n = 31</w:t>
      </w:r>
      <w:r w:rsidR="00C7216D" w:rsidRPr="007D0A45">
        <w:t>);</w:t>
      </w:r>
      <w:r w:rsidR="00467612" w:rsidRPr="007D0A45">
        <w:t xml:space="preserve"> </w:t>
      </w:r>
      <w:r w:rsidR="00F722CE" w:rsidRPr="007D0A45">
        <w:t>two</w:t>
      </w:r>
      <w:r w:rsidR="00467612" w:rsidRPr="007D0A45">
        <w:t xml:space="preserve"> </w:t>
      </w:r>
      <w:r w:rsidR="00C7216D" w:rsidRPr="007D0A45">
        <w:t xml:space="preserve">individuals </w:t>
      </w:r>
      <w:r w:rsidR="00705C3B" w:rsidRPr="007D0A45">
        <w:t>were separated or chose not to answer the question.</w:t>
      </w:r>
      <w:r w:rsidR="00467612" w:rsidRPr="007D0A45">
        <w:t xml:space="preserve">  The majority of participants </w:t>
      </w:r>
      <w:r w:rsidR="00C7216D" w:rsidRPr="007D0A45">
        <w:t>reported</w:t>
      </w:r>
      <w:r w:rsidR="00467612" w:rsidRPr="007D0A45">
        <w:t xml:space="preserve"> they were het</w:t>
      </w:r>
      <w:r w:rsidR="00C56AE3" w:rsidRPr="007D0A45">
        <w:t>erosexual (97.9% of men, n = 275; 94.7% of women, n = 411</w:t>
      </w:r>
      <w:r w:rsidR="00467612" w:rsidRPr="007D0A45">
        <w:t>).  O</w:t>
      </w:r>
      <w:r w:rsidR="00C56AE3" w:rsidRPr="007D0A45">
        <w:t xml:space="preserve">ne </w:t>
      </w:r>
      <w:r w:rsidR="00CD78C9" w:rsidRPr="007D0A45">
        <w:t xml:space="preserve">man </w:t>
      </w:r>
      <w:r w:rsidR="00C56AE3" w:rsidRPr="007D0A45">
        <w:t>indicated he was gay (.4</w:t>
      </w:r>
      <w:r w:rsidR="00467612" w:rsidRPr="007D0A45">
        <w:t xml:space="preserve">%), </w:t>
      </w:r>
      <w:r w:rsidR="00C7216D" w:rsidRPr="007D0A45">
        <w:t>four</w:t>
      </w:r>
      <w:r w:rsidR="00467612" w:rsidRPr="007D0A45">
        <w:t xml:space="preserve"> </w:t>
      </w:r>
      <w:r w:rsidR="00C7216D" w:rsidRPr="007D0A45">
        <w:t>that</w:t>
      </w:r>
      <w:r w:rsidR="00467612" w:rsidRPr="007D0A45">
        <w:t xml:space="preserve"> they were bisexual (1.4%), and </w:t>
      </w:r>
      <w:r w:rsidR="00C7216D" w:rsidRPr="007D0A45">
        <w:t xml:space="preserve">one </w:t>
      </w:r>
      <w:r w:rsidR="00467612" w:rsidRPr="007D0A45">
        <w:t>selected the “othe</w:t>
      </w:r>
      <w:r w:rsidR="00C56AE3" w:rsidRPr="007D0A45">
        <w:t>r” option (.4</w:t>
      </w:r>
      <w:r w:rsidR="00467612" w:rsidRPr="007D0A45">
        <w:t xml:space="preserve">%).  Twenty-one women </w:t>
      </w:r>
      <w:r w:rsidR="00C7216D" w:rsidRPr="007D0A45">
        <w:t>reported</w:t>
      </w:r>
      <w:r w:rsidR="00C56AE3" w:rsidRPr="007D0A45">
        <w:t xml:space="preserve"> that they were bisexual (4.8</w:t>
      </w:r>
      <w:r w:rsidR="00467612" w:rsidRPr="007D0A45">
        <w:t>%</w:t>
      </w:r>
      <w:r w:rsidR="00C56AE3" w:rsidRPr="007D0A45">
        <w:t xml:space="preserve">) and </w:t>
      </w:r>
      <w:r w:rsidR="00BE04DB" w:rsidRPr="007D0A45">
        <w:t xml:space="preserve">two </w:t>
      </w:r>
      <w:r w:rsidR="00C56AE3" w:rsidRPr="007D0A45">
        <w:t xml:space="preserve">selected </w:t>
      </w:r>
      <w:r w:rsidR="00BE04DB" w:rsidRPr="007D0A45">
        <w:t xml:space="preserve">an </w:t>
      </w:r>
      <w:r w:rsidR="00C56AE3" w:rsidRPr="007D0A45">
        <w:t>“other” (.5</w:t>
      </w:r>
      <w:r w:rsidR="00467612" w:rsidRPr="007D0A45">
        <w:t>%)</w:t>
      </w:r>
      <w:r w:rsidR="00BE04DB" w:rsidRPr="007D0A45">
        <w:t xml:space="preserve"> orientation</w:t>
      </w:r>
      <w:r w:rsidR="00467612" w:rsidRPr="007D0A45">
        <w:t>.</w:t>
      </w:r>
    </w:p>
    <w:p w14:paraId="420A2E9C" w14:textId="5A99355F" w:rsidR="00EE5E89" w:rsidRPr="007D0A45" w:rsidRDefault="008C0B74" w:rsidP="00BF46F0">
      <w:pPr>
        <w:spacing w:line="480" w:lineRule="auto"/>
        <w:rPr>
          <w:b/>
        </w:rPr>
      </w:pPr>
      <w:r w:rsidRPr="007D0A45">
        <w:rPr>
          <w:b/>
        </w:rPr>
        <w:t>Measures</w:t>
      </w:r>
    </w:p>
    <w:p w14:paraId="189E2243" w14:textId="03579ACC" w:rsidR="003E5157" w:rsidRPr="007D0A45" w:rsidRDefault="00D76B23" w:rsidP="00DD4BAB">
      <w:pPr>
        <w:spacing w:line="480" w:lineRule="auto"/>
        <w:ind w:firstLine="720"/>
      </w:pPr>
      <w:r w:rsidRPr="007D0A45">
        <w:t>The</w:t>
      </w:r>
      <w:r w:rsidR="00780B43" w:rsidRPr="007D0A45">
        <w:t xml:space="preserve"> [blinded for review] </w:t>
      </w:r>
      <w:r w:rsidR="00780B43" w:rsidRPr="007D0A45">
        <w:rPr>
          <w:i/>
        </w:rPr>
        <w:t xml:space="preserve">Study </w:t>
      </w:r>
      <w:r w:rsidRPr="007D0A45">
        <w:t xml:space="preserve">comprised 69 items related to the sexual health of university students. </w:t>
      </w:r>
      <w:r w:rsidR="00EB3B12" w:rsidRPr="007D0A45">
        <w:t>A</w:t>
      </w:r>
      <w:r w:rsidR="001A683B" w:rsidRPr="007D0A45">
        <w:t xml:space="preserve"> subset of the</w:t>
      </w:r>
      <w:r w:rsidRPr="007D0A45">
        <w:t xml:space="preserve"> survey items </w:t>
      </w:r>
      <w:proofErr w:type="gramStart"/>
      <w:r w:rsidRPr="007D0A45">
        <w:t>were</w:t>
      </w:r>
      <w:proofErr w:type="gramEnd"/>
      <w:r w:rsidRPr="007D0A45">
        <w:t xml:space="preserve"> </w:t>
      </w:r>
      <w:r w:rsidR="00AD5483" w:rsidRPr="007D0A45">
        <w:t>utilized in</w:t>
      </w:r>
      <w:r w:rsidR="00EB3B12" w:rsidRPr="007D0A45">
        <w:t xml:space="preserve"> the current study</w:t>
      </w:r>
      <w:r w:rsidRPr="007D0A45">
        <w:t>.</w:t>
      </w:r>
      <w:r w:rsidR="003E5157" w:rsidRPr="007D0A45">
        <w:t xml:space="preserve">  </w:t>
      </w:r>
    </w:p>
    <w:p w14:paraId="1A67DFA0" w14:textId="77777777" w:rsidR="003E5157" w:rsidRPr="007D0A45" w:rsidRDefault="003E5157" w:rsidP="00DD4BAB">
      <w:pPr>
        <w:spacing w:line="480" w:lineRule="auto"/>
        <w:ind w:firstLine="720"/>
      </w:pPr>
      <w:r w:rsidRPr="007D0A45">
        <w:rPr>
          <w:b/>
        </w:rPr>
        <w:t xml:space="preserve">Demographic and sexual history questions.  </w:t>
      </w:r>
      <w:r w:rsidRPr="007D0A45">
        <w:t xml:space="preserve">The questionnaire began with a number of items assessing demographic variables, including gender, age, relationship status, university status (degree program and year), province/territory of residence and country of origin.  </w:t>
      </w:r>
    </w:p>
    <w:p w14:paraId="78523D66" w14:textId="2EB62509" w:rsidR="003E5157" w:rsidRPr="007D0A45" w:rsidRDefault="003E5157" w:rsidP="00DD4BAB">
      <w:pPr>
        <w:spacing w:line="480" w:lineRule="auto"/>
        <w:ind w:firstLine="720"/>
      </w:pPr>
      <w:r w:rsidRPr="007D0A45">
        <w:rPr>
          <w:b/>
        </w:rPr>
        <w:lastRenderedPageBreak/>
        <w:t>Data cleaning items.</w:t>
      </w:r>
      <w:r w:rsidRPr="007D0A45">
        <w:t xml:space="preserve">  Items about </w:t>
      </w:r>
      <w:r w:rsidR="0053564D" w:rsidRPr="007D0A45">
        <w:t xml:space="preserve">the </w:t>
      </w:r>
      <w:proofErr w:type="spellStart"/>
      <w:r w:rsidRPr="007D0A45">
        <w:t>recency</w:t>
      </w:r>
      <w:proofErr w:type="spellEnd"/>
      <w:r w:rsidRPr="007D0A45">
        <w:t xml:space="preserve"> of </w:t>
      </w:r>
      <w:r w:rsidR="0053564D" w:rsidRPr="007D0A45">
        <w:t xml:space="preserve">most recent </w:t>
      </w:r>
      <w:r w:rsidRPr="007D0A45">
        <w:t xml:space="preserve">sexual encounter and occurrence of </w:t>
      </w:r>
      <w:r w:rsidR="0053564D" w:rsidRPr="007D0A45">
        <w:t>PVI</w:t>
      </w:r>
      <w:r w:rsidRPr="007D0A45">
        <w:t xml:space="preserve"> </w:t>
      </w:r>
      <w:r w:rsidR="0053564D" w:rsidRPr="007D0A45">
        <w:t>at</w:t>
      </w:r>
      <w:r w:rsidRPr="007D0A45">
        <w:t xml:space="preserve"> most recent sexual encounter were used to reduce the sample to only individuals who reported that their most recent sexual encounter included </w:t>
      </w:r>
      <w:r w:rsidR="00B6456E" w:rsidRPr="007D0A45">
        <w:t>PVI</w:t>
      </w:r>
      <w:r w:rsidRPr="007D0A45">
        <w:t xml:space="preserve"> and that this encounter occurred within the past year.  Specifically, the items were: 1) “When was your most recent sexual encounter?” Response choices were: less than 24 hours ago, less than a week ago, less than a month ago, less than three months ago, less than six months ago, less than a year ago, a year ago or longer, not applicable – I have never had a sexual encounter, I don't know/prefer not to answer. 2) “In your most recent sexual encounter, did you and this partner engage in penis-vagina intercourse?”  Response choices were: yes, no, and I prefer not to answer.</w:t>
      </w:r>
      <w:r w:rsidR="00F44C09" w:rsidRPr="007D0A45">
        <w:t xml:space="preserve">  Answering ‘yes’ to this question triggered a series of questions about condom use and pleasure experienced during PVI.</w:t>
      </w:r>
    </w:p>
    <w:p w14:paraId="106EBFD3" w14:textId="1DDC0B2D" w:rsidR="009C16A8" w:rsidRPr="007D0A45" w:rsidRDefault="003E5157" w:rsidP="00BF46F0">
      <w:pPr>
        <w:spacing w:line="480" w:lineRule="auto"/>
      </w:pPr>
      <w:r w:rsidRPr="007D0A45">
        <w:t xml:space="preserve">Three items formed the basis </w:t>
      </w:r>
      <w:r w:rsidR="006778F7" w:rsidRPr="007D0A45">
        <w:t>of the primary</w:t>
      </w:r>
      <w:r w:rsidRPr="007D0A45">
        <w:t xml:space="preserve"> analysis:</w:t>
      </w:r>
    </w:p>
    <w:p w14:paraId="1DAF0832" w14:textId="691B0DA2" w:rsidR="00467612" w:rsidRPr="007D0A45" w:rsidRDefault="00467612" w:rsidP="00DD4BAB">
      <w:pPr>
        <w:spacing w:line="480" w:lineRule="auto"/>
        <w:ind w:firstLine="720"/>
      </w:pPr>
      <w:r w:rsidRPr="007D0A45">
        <w:rPr>
          <w:b/>
        </w:rPr>
        <w:t>Condom Use.</w:t>
      </w:r>
      <w:r w:rsidRPr="007D0A45">
        <w:t xml:space="preserve">  Participants</w:t>
      </w:r>
      <w:r w:rsidR="00F44C09" w:rsidRPr="007D0A45">
        <w:t xml:space="preserve"> who indicated that their last encounter included PVI</w:t>
      </w:r>
      <w:r w:rsidRPr="007D0A45">
        <w:t xml:space="preserve"> were asked, “Did you use a condom for penis-vagina intercours</w:t>
      </w:r>
      <w:r w:rsidR="003E5157" w:rsidRPr="007D0A45">
        <w:t>e?”  Response choices were: yes, no, and</w:t>
      </w:r>
      <w:r w:rsidRPr="007D0A45">
        <w:t xml:space="preserve"> prefer not to answer.</w:t>
      </w:r>
    </w:p>
    <w:p w14:paraId="5EDA30F1" w14:textId="4D5B7276" w:rsidR="00467612" w:rsidRPr="007D0A45" w:rsidRDefault="00467612" w:rsidP="00DD4BAB">
      <w:pPr>
        <w:spacing w:line="480" w:lineRule="auto"/>
        <w:ind w:firstLine="720"/>
      </w:pPr>
      <w:r w:rsidRPr="007D0A45">
        <w:rPr>
          <w:b/>
        </w:rPr>
        <w:t xml:space="preserve">Pleasure </w:t>
      </w:r>
      <w:r w:rsidR="00B6456E" w:rsidRPr="007D0A45">
        <w:rPr>
          <w:b/>
        </w:rPr>
        <w:t>ratings for PVI</w:t>
      </w:r>
      <w:r w:rsidRPr="007D0A45">
        <w:rPr>
          <w:b/>
        </w:rPr>
        <w:t>.</w:t>
      </w:r>
      <w:r w:rsidRPr="007D0A45">
        <w:t xml:space="preserve">  </w:t>
      </w:r>
      <w:r w:rsidR="00F44C09" w:rsidRPr="007D0A45">
        <w:t xml:space="preserve">Immediately following the question about whether or not PVI occurred in the last sexual encounter, </w:t>
      </w:r>
      <w:r w:rsidR="001A683B" w:rsidRPr="007D0A45">
        <w:t xml:space="preserve">participants </w:t>
      </w:r>
      <w:r w:rsidRPr="007D0A45">
        <w:t>were asked “How pleasurable was it for y</w:t>
      </w:r>
      <w:r w:rsidR="00C75860" w:rsidRPr="007D0A45">
        <w:t xml:space="preserve">ou?” </w:t>
      </w:r>
      <w:r w:rsidR="00F44C09" w:rsidRPr="007D0A45">
        <w:t xml:space="preserve">  Only participants who indicated that they had PVI during their last encounter received this question.</w:t>
      </w:r>
      <w:r w:rsidR="00C75860" w:rsidRPr="007D0A45">
        <w:t xml:space="preserve"> Response choices were: not at all pleasurable, not very pleasurable, somewhat pleasurable, very pleasurable, </w:t>
      </w:r>
      <w:r w:rsidRPr="007D0A45">
        <w:t xml:space="preserve">I don’t know/prefer not to answer.  </w:t>
      </w:r>
      <w:r w:rsidR="00C75860" w:rsidRPr="007D0A45">
        <w:t xml:space="preserve"> </w:t>
      </w:r>
      <w:r w:rsidR="0053564D" w:rsidRPr="007D0A45">
        <w:t>R</w:t>
      </w:r>
      <w:r w:rsidRPr="007D0A45">
        <w:t xml:space="preserve">esponses were recoded to contrast “Very pleasurable” with all other response choices. </w:t>
      </w:r>
    </w:p>
    <w:p w14:paraId="14A62937" w14:textId="0431080D" w:rsidR="00324FEC" w:rsidRPr="007D0A45" w:rsidRDefault="00467612" w:rsidP="00DD4BAB">
      <w:pPr>
        <w:spacing w:line="480" w:lineRule="auto"/>
        <w:ind w:firstLine="720"/>
      </w:pPr>
      <w:r w:rsidRPr="007D0A45">
        <w:rPr>
          <w:b/>
        </w:rPr>
        <w:t xml:space="preserve">Partner </w:t>
      </w:r>
      <w:r w:rsidR="001A683B" w:rsidRPr="007D0A45">
        <w:rPr>
          <w:b/>
        </w:rPr>
        <w:t>t</w:t>
      </w:r>
      <w:r w:rsidRPr="007D0A45">
        <w:rPr>
          <w:b/>
        </w:rPr>
        <w:t xml:space="preserve">ype at </w:t>
      </w:r>
      <w:r w:rsidR="0053564D" w:rsidRPr="007D0A45">
        <w:rPr>
          <w:b/>
        </w:rPr>
        <w:t xml:space="preserve">last </w:t>
      </w:r>
      <w:r w:rsidR="001A683B" w:rsidRPr="007D0A45">
        <w:rPr>
          <w:b/>
        </w:rPr>
        <w:t>sexual</w:t>
      </w:r>
      <w:r w:rsidRPr="007D0A45">
        <w:rPr>
          <w:b/>
        </w:rPr>
        <w:t xml:space="preserve"> </w:t>
      </w:r>
      <w:r w:rsidR="001A683B" w:rsidRPr="007D0A45">
        <w:rPr>
          <w:b/>
        </w:rPr>
        <w:t>e</w:t>
      </w:r>
      <w:r w:rsidRPr="007D0A45">
        <w:rPr>
          <w:b/>
        </w:rPr>
        <w:t>ncounter</w:t>
      </w:r>
      <w:r w:rsidR="00324FEC" w:rsidRPr="007D0A45">
        <w:rPr>
          <w:b/>
        </w:rPr>
        <w:t xml:space="preserve">. </w:t>
      </w:r>
      <w:r w:rsidRPr="007D0A45">
        <w:t xml:space="preserve"> Participants</w:t>
      </w:r>
      <w:r w:rsidR="00E616A3" w:rsidRPr="007D0A45">
        <w:t xml:space="preserve"> </w:t>
      </w:r>
      <w:r w:rsidR="004754FB" w:rsidRPr="007D0A45">
        <w:t>described the relationship with the person at their last sexual encounter</w:t>
      </w:r>
      <w:r w:rsidR="00F9649E" w:rsidRPr="007D0A45">
        <w:t xml:space="preserve"> in response to the following question: “Which of the </w:t>
      </w:r>
      <w:r w:rsidR="00F9649E" w:rsidRPr="007D0A45">
        <w:lastRenderedPageBreak/>
        <w:t>following best describes the relationship you had with this person?” Re</w:t>
      </w:r>
      <w:r w:rsidR="004754FB" w:rsidRPr="007D0A45">
        <w:t xml:space="preserve">sponse options </w:t>
      </w:r>
      <w:r w:rsidR="00F9649E" w:rsidRPr="007D0A45">
        <w:t xml:space="preserve">were: </w:t>
      </w:r>
      <w:r w:rsidR="001B599E" w:rsidRPr="007D0A45">
        <w:t xml:space="preserve">1) </w:t>
      </w:r>
      <w:r w:rsidR="004754FB" w:rsidRPr="007D0A45">
        <w:t xml:space="preserve">one time sexual encounter </w:t>
      </w:r>
      <w:r w:rsidR="00C75860" w:rsidRPr="007D0A45">
        <w:t xml:space="preserve">(i.e., hookup/one night stand), </w:t>
      </w:r>
      <w:r w:rsidR="001B599E" w:rsidRPr="007D0A45">
        <w:t xml:space="preserve">2) </w:t>
      </w:r>
      <w:r w:rsidR="004754FB" w:rsidRPr="007D0A45">
        <w:t>sexual partner with whom you are friends with but not committed (i.e., friends with benef</w:t>
      </w:r>
      <w:r w:rsidR="00C75860" w:rsidRPr="007D0A45">
        <w:t xml:space="preserve">its), </w:t>
      </w:r>
      <w:r w:rsidR="001B599E" w:rsidRPr="007D0A45">
        <w:t xml:space="preserve">3) </w:t>
      </w:r>
      <w:r w:rsidR="005B044E" w:rsidRPr="007D0A45">
        <w:t xml:space="preserve">sexual partner with whom </w:t>
      </w:r>
      <w:r w:rsidR="004754FB" w:rsidRPr="007D0A45">
        <w:t>you occasionally meet for sex but for no o</w:t>
      </w:r>
      <w:r w:rsidR="00F9649E" w:rsidRPr="007D0A45">
        <w:t xml:space="preserve">ther purpose (i.e., </w:t>
      </w:r>
      <w:r w:rsidR="00C75860" w:rsidRPr="007D0A45">
        <w:t xml:space="preserve">booty call), </w:t>
      </w:r>
      <w:r w:rsidR="001B599E" w:rsidRPr="007D0A45">
        <w:t xml:space="preserve">4) </w:t>
      </w:r>
      <w:r w:rsidR="004754FB" w:rsidRPr="007D0A45">
        <w:t xml:space="preserve">dating but not committed, </w:t>
      </w:r>
      <w:r w:rsidR="001B599E" w:rsidRPr="007D0A45">
        <w:t xml:space="preserve">5) </w:t>
      </w:r>
      <w:r w:rsidR="00C75860" w:rsidRPr="007D0A45">
        <w:t xml:space="preserve">committed dating, </w:t>
      </w:r>
      <w:r w:rsidR="00891B38" w:rsidRPr="007D0A45">
        <w:t>6</w:t>
      </w:r>
      <w:r w:rsidR="001B599E" w:rsidRPr="007D0A45">
        <w:t xml:space="preserve">) </w:t>
      </w:r>
      <w:r w:rsidR="004754FB" w:rsidRPr="007D0A45">
        <w:t>living togeth</w:t>
      </w:r>
      <w:r w:rsidR="00C75860" w:rsidRPr="007D0A45">
        <w:t xml:space="preserve">er in a monogamous relationship, </w:t>
      </w:r>
      <w:r w:rsidR="00891B38" w:rsidRPr="007D0A45">
        <w:t>7</w:t>
      </w:r>
      <w:r w:rsidR="001B599E" w:rsidRPr="007D0A45">
        <w:t xml:space="preserve">) </w:t>
      </w:r>
      <w:r w:rsidR="00C75860" w:rsidRPr="007D0A45">
        <w:t xml:space="preserve">engaged, </w:t>
      </w:r>
      <w:r w:rsidR="00891B38" w:rsidRPr="007D0A45">
        <w:t>8</w:t>
      </w:r>
      <w:r w:rsidR="001B599E" w:rsidRPr="007D0A45">
        <w:t xml:space="preserve">) </w:t>
      </w:r>
      <w:proofErr w:type="gramStart"/>
      <w:r w:rsidR="00C75860" w:rsidRPr="007D0A45">
        <w:t xml:space="preserve">married, </w:t>
      </w:r>
      <w:r w:rsidR="001B599E" w:rsidRPr="007D0A45">
        <w:t xml:space="preserve"> </w:t>
      </w:r>
      <w:r w:rsidR="00891B38" w:rsidRPr="007D0A45">
        <w:t>9</w:t>
      </w:r>
      <w:proofErr w:type="gramEnd"/>
      <w:r w:rsidR="00891B38" w:rsidRPr="007D0A45">
        <w:t xml:space="preserve">) </w:t>
      </w:r>
      <w:r w:rsidR="00C75860" w:rsidRPr="007D0A45">
        <w:t>other, and</w:t>
      </w:r>
      <w:r w:rsidR="00891B38" w:rsidRPr="007D0A45">
        <w:t xml:space="preserve"> 10)</w:t>
      </w:r>
      <w:r w:rsidR="00F9649E" w:rsidRPr="007D0A45">
        <w:t xml:space="preserve"> </w:t>
      </w:r>
      <w:r w:rsidR="004754FB" w:rsidRPr="007D0A45">
        <w:t>I don’t know/prefer not to answer.</w:t>
      </w:r>
      <w:r w:rsidR="004754FB" w:rsidRPr="007D0A45">
        <w:rPr>
          <w:i/>
        </w:rPr>
        <w:t xml:space="preserve"> </w:t>
      </w:r>
      <w:r w:rsidR="00705C3B" w:rsidRPr="007D0A45">
        <w:t>For the purposes of analyses this</w:t>
      </w:r>
      <w:r w:rsidR="003E5157" w:rsidRPr="007D0A45">
        <w:t xml:space="preserve"> variable was recoded into four</w:t>
      </w:r>
      <w:r w:rsidR="00705C3B" w:rsidRPr="007D0A45">
        <w:t xml:space="preserve"> categories</w:t>
      </w:r>
      <w:r w:rsidR="003E5157" w:rsidRPr="007D0A45">
        <w:t xml:space="preserve">, taking into account </w:t>
      </w:r>
      <w:r w:rsidR="00EB3B12" w:rsidRPr="007D0A45">
        <w:t xml:space="preserve">level </w:t>
      </w:r>
      <w:r w:rsidR="003E5157" w:rsidRPr="007D0A45">
        <w:t>of emotional intimacy</w:t>
      </w:r>
      <w:r w:rsidR="00705C3B" w:rsidRPr="007D0A45">
        <w:t>: “</w:t>
      </w:r>
      <w:r w:rsidR="003E5157" w:rsidRPr="007D0A45">
        <w:t>one time sexual encounter + booty call</w:t>
      </w:r>
      <w:r w:rsidR="00F9649E" w:rsidRPr="007D0A45">
        <w:t xml:space="preserve">” (comprised </w:t>
      </w:r>
      <w:r w:rsidR="003E5157" w:rsidRPr="007D0A45">
        <w:t>of options 1 and 3),</w:t>
      </w:r>
      <w:r w:rsidR="00705C3B" w:rsidRPr="007D0A45">
        <w:t xml:space="preserve"> </w:t>
      </w:r>
      <w:r w:rsidR="00F9649E" w:rsidRPr="007D0A45">
        <w:t>“</w:t>
      </w:r>
      <w:r w:rsidR="00715E98" w:rsidRPr="007D0A45">
        <w:t>friends with benefits (FWB)</w:t>
      </w:r>
      <w:r w:rsidR="003E5157" w:rsidRPr="007D0A45">
        <w:t>+ dating not committed</w:t>
      </w:r>
      <w:r w:rsidR="00F9649E" w:rsidRPr="007D0A45">
        <w:t>”</w:t>
      </w:r>
      <w:r w:rsidR="003E5157" w:rsidRPr="007D0A45">
        <w:t xml:space="preserve"> (comprised of options 2 and 4), “committed dating partners</w:t>
      </w:r>
      <w:r w:rsidR="00705C3B" w:rsidRPr="007D0A45">
        <w:t>”</w:t>
      </w:r>
      <w:r w:rsidR="00891B38" w:rsidRPr="007D0A45">
        <w:t xml:space="preserve"> (option 5)</w:t>
      </w:r>
      <w:r w:rsidR="003E5157" w:rsidRPr="007D0A45">
        <w:t>,</w:t>
      </w:r>
      <w:r w:rsidR="00705C3B" w:rsidRPr="007D0A45">
        <w:t xml:space="preserve"> and “cohabi</w:t>
      </w:r>
      <w:r w:rsidR="00C75860" w:rsidRPr="007D0A45">
        <w:t>tating/engaged/married partners</w:t>
      </w:r>
      <w:r w:rsidR="00705C3B" w:rsidRPr="007D0A45">
        <w:t>”</w:t>
      </w:r>
      <w:r w:rsidR="00C75860" w:rsidRPr="007D0A45">
        <w:t xml:space="preserve"> (comprised of options 6 through 8).  Individuals who indicated “other” or didn’t answer the question were not included in the analyses.</w:t>
      </w:r>
      <w:r w:rsidR="00705C3B" w:rsidRPr="007D0A45">
        <w:t xml:space="preserve"> </w:t>
      </w:r>
    </w:p>
    <w:p w14:paraId="067E5E0A" w14:textId="77777777" w:rsidR="00A92FB9" w:rsidRPr="007D0A45" w:rsidRDefault="00A92FB9" w:rsidP="00A92FB9">
      <w:pPr>
        <w:spacing w:line="480" w:lineRule="auto"/>
      </w:pPr>
      <w:r w:rsidRPr="007D0A45">
        <w:rPr>
          <w:b/>
        </w:rPr>
        <w:t>Procedure</w:t>
      </w:r>
    </w:p>
    <w:p w14:paraId="125FF673" w14:textId="1099C6B1" w:rsidR="00A92FB9" w:rsidRPr="007D0A45" w:rsidRDefault="00304246" w:rsidP="00FF0C42">
      <w:pPr>
        <w:spacing w:line="480" w:lineRule="auto"/>
        <w:ind w:firstLine="720"/>
      </w:pPr>
      <w:r w:rsidRPr="007D0A45">
        <w:t xml:space="preserve">Panelists were invited to participate via email containing a link to the survey from [blinded for review] and a single email reminder was sent to those who did not respond to the initial message.  </w:t>
      </w:r>
      <w:r w:rsidR="00A92FB9" w:rsidRPr="007D0A45">
        <w:t>Survey responses were transmitted over a secure, encrypted SSL connection and stored on a secure server. Participants received $1 for completing the questionnaire, and the opportunity to enter into a monthly draw for $1,000, $100, and an iPod touch. Approval for secondary data analysis was received from the Research Ethics Board at [blinded for reviews].</w:t>
      </w:r>
    </w:p>
    <w:p w14:paraId="1DE137E0" w14:textId="1FE4C474" w:rsidR="00DD493D" w:rsidRPr="007D0A45" w:rsidRDefault="005D2D03" w:rsidP="00BF46F0">
      <w:pPr>
        <w:spacing w:line="480" w:lineRule="auto"/>
        <w:rPr>
          <w:b/>
        </w:rPr>
      </w:pPr>
      <w:r w:rsidRPr="007D0A45">
        <w:rPr>
          <w:b/>
        </w:rPr>
        <w:t>Analysis</w:t>
      </w:r>
    </w:p>
    <w:p w14:paraId="25045D06" w14:textId="29A3413D" w:rsidR="005D2D03" w:rsidRPr="007D0A45" w:rsidRDefault="00DD493D" w:rsidP="00BF46F0">
      <w:pPr>
        <w:spacing w:line="480" w:lineRule="auto"/>
        <w:ind w:firstLine="720"/>
      </w:pPr>
      <w:r w:rsidRPr="007D0A45">
        <w:t>Descripti</w:t>
      </w:r>
      <w:r w:rsidR="008379FF" w:rsidRPr="007D0A45">
        <w:t>ve statistics were computed for</w:t>
      </w:r>
      <w:r w:rsidRPr="007D0A45">
        <w:t xml:space="preserve"> demographic variables such as age, province/territory of r</w:t>
      </w:r>
      <w:r w:rsidR="00F9649E" w:rsidRPr="007D0A45">
        <w:t xml:space="preserve">esidence and university status, as well as items related to condom use and pleasure at last </w:t>
      </w:r>
      <w:r w:rsidR="0053564D" w:rsidRPr="007D0A45">
        <w:t>PVI</w:t>
      </w:r>
      <w:r w:rsidR="00F9649E" w:rsidRPr="007D0A45">
        <w:t xml:space="preserve">.  </w:t>
      </w:r>
      <w:r w:rsidR="00DB6CB0" w:rsidRPr="007D0A45">
        <w:t>Item-level comparisons of</w:t>
      </w:r>
      <w:r w:rsidR="005D2D03" w:rsidRPr="007D0A45">
        <w:t xml:space="preserve"> dichotomized variables w</w:t>
      </w:r>
      <w:r w:rsidR="00F9649E" w:rsidRPr="007D0A45">
        <w:t>ere conducted using Chi-square analyses, separately</w:t>
      </w:r>
      <w:r w:rsidR="00D84658" w:rsidRPr="007D0A45">
        <w:t xml:space="preserve"> for men and women. </w:t>
      </w:r>
      <w:r w:rsidR="001E4BE0" w:rsidRPr="007D0A45">
        <w:t xml:space="preserve">Because pleasure ratings were not normally </w:t>
      </w:r>
      <w:r w:rsidR="001E4BE0" w:rsidRPr="007D0A45">
        <w:lastRenderedPageBreak/>
        <w:t>distributed, t</w:t>
      </w:r>
      <w:r w:rsidR="004B3C1A" w:rsidRPr="007D0A45">
        <w:t>he Mann-Whitney test was used to compare ratings of p</w:t>
      </w:r>
      <w:r w:rsidR="001E4BE0" w:rsidRPr="007D0A45">
        <w:t xml:space="preserve">leasure at last </w:t>
      </w:r>
      <w:r w:rsidR="0053564D" w:rsidRPr="007D0A45">
        <w:t>PVI</w:t>
      </w:r>
      <w:r w:rsidR="001E4BE0" w:rsidRPr="007D0A45">
        <w:t xml:space="preserve"> as a continuous measure</w:t>
      </w:r>
      <w:r w:rsidR="004B3C1A" w:rsidRPr="007D0A45">
        <w:t xml:space="preserve"> when condoms were used a</w:t>
      </w:r>
      <w:r w:rsidR="006778F7" w:rsidRPr="007D0A45">
        <w:t>nd not used; this analysi</w:t>
      </w:r>
      <w:r w:rsidR="001E4BE0" w:rsidRPr="007D0A45">
        <w:t>s was</w:t>
      </w:r>
      <w:r w:rsidR="004B3C1A" w:rsidRPr="007D0A45">
        <w:t xml:space="preserve"> also stratified by partner type</w:t>
      </w:r>
      <w:r w:rsidR="005624C9" w:rsidRPr="007D0A45">
        <w:t xml:space="preserve"> </w:t>
      </w:r>
      <w:r w:rsidR="006778F7" w:rsidRPr="007D0A45">
        <w:t xml:space="preserve">and conducted </w:t>
      </w:r>
      <w:r w:rsidR="005624C9" w:rsidRPr="007D0A45">
        <w:t>separate</w:t>
      </w:r>
      <w:r w:rsidR="003006C0" w:rsidRPr="007D0A45">
        <w:t>ly</w:t>
      </w:r>
      <w:r w:rsidR="005624C9" w:rsidRPr="007D0A45">
        <w:t xml:space="preserve"> by gender</w:t>
      </w:r>
      <w:r w:rsidR="004B3C1A" w:rsidRPr="007D0A45">
        <w:t xml:space="preserve">. </w:t>
      </w:r>
      <w:r w:rsidR="00971BD4" w:rsidRPr="007D0A45">
        <w:t xml:space="preserve">Finally, logistic regression models were constructed as a means of calculating the odds ratios, their 95% confidence intervals, and respective </w:t>
      </w:r>
      <w:r w:rsidR="00971BD4" w:rsidRPr="007D0A45">
        <w:rPr>
          <w:i/>
        </w:rPr>
        <w:t>P</w:t>
      </w:r>
      <w:r w:rsidR="00971BD4" w:rsidRPr="007D0A45">
        <w:t xml:space="preserve">-values for the associations between pleasurable sex and condom use within each category of relationship type. </w:t>
      </w:r>
      <w:r w:rsidR="002E40D9" w:rsidRPr="007D0A45">
        <w:t>Pleasure at last vaginal sex was dichotomized to contrast those indicating the PVI was “very pleasurable” against all other responses.  Because almost all participants indicated that their last experience of PVI was at least “somewhat pleasurable” a higher cutoff was needed to make meaningful predictions.</w:t>
      </w:r>
      <w:r w:rsidR="00F12CD9" w:rsidRPr="007D0A45">
        <w:t xml:space="preserve">  This process is justified under the circumstances of pronounced skewness, and fully warranted when the research question is one that compares groups rather than one that is centered on the discovery of individual differences (</w:t>
      </w:r>
      <w:proofErr w:type="spellStart"/>
      <w:r w:rsidR="00F12CD9" w:rsidRPr="007D0A45">
        <w:t>Iacobucci</w:t>
      </w:r>
      <w:proofErr w:type="spellEnd"/>
      <w:r w:rsidR="00F12CD9" w:rsidRPr="007D0A45">
        <w:t xml:space="preserve">, </w:t>
      </w:r>
      <w:proofErr w:type="spellStart"/>
      <w:r w:rsidR="00F12CD9" w:rsidRPr="007D0A45">
        <w:t>Posavac</w:t>
      </w:r>
      <w:proofErr w:type="spellEnd"/>
      <w:r w:rsidR="00F12CD9" w:rsidRPr="007D0A45">
        <w:t xml:space="preserve">, </w:t>
      </w:r>
      <w:proofErr w:type="spellStart"/>
      <w:r w:rsidR="00F12CD9" w:rsidRPr="007D0A45">
        <w:t>Kardes</w:t>
      </w:r>
      <w:proofErr w:type="spellEnd"/>
      <w:r w:rsidR="00F12CD9" w:rsidRPr="007D0A45">
        <w:t>, Schneider, &amp; Popovich, 2015).</w:t>
      </w:r>
      <w:r w:rsidR="002E40D9" w:rsidRPr="007D0A45">
        <w:t xml:space="preserve"> </w:t>
      </w:r>
      <w:r w:rsidR="008C7396" w:rsidRPr="007D0A45">
        <w:t>All da</w:t>
      </w:r>
      <w:r w:rsidR="00705C3B" w:rsidRPr="007D0A45">
        <w:t xml:space="preserve">ta </w:t>
      </w:r>
      <w:r w:rsidR="00D84658" w:rsidRPr="007D0A45">
        <w:t>were</w:t>
      </w:r>
      <w:r w:rsidR="00705C3B" w:rsidRPr="007D0A45">
        <w:t xml:space="preserve"> analyzed using SPSS v. 22</w:t>
      </w:r>
      <w:r w:rsidR="008C7396" w:rsidRPr="007D0A45">
        <w:t xml:space="preserve"> (</w:t>
      </w:r>
      <w:r w:rsidR="00AF6EEB" w:rsidRPr="007D0A45">
        <w:t>IBM Corp, 2013</w:t>
      </w:r>
      <w:r w:rsidR="008C7396" w:rsidRPr="007D0A45">
        <w:t>)</w:t>
      </w:r>
      <w:r w:rsidR="00D84658" w:rsidRPr="007D0A45">
        <w:t>.</w:t>
      </w:r>
    </w:p>
    <w:p w14:paraId="5C0119E4" w14:textId="77777777" w:rsidR="00705C3B" w:rsidRPr="007D0A45" w:rsidRDefault="00705C3B" w:rsidP="00BF46F0">
      <w:pPr>
        <w:spacing w:line="480" w:lineRule="auto"/>
        <w:jc w:val="center"/>
        <w:rPr>
          <w:b/>
        </w:rPr>
      </w:pPr>
      <w:r w:rsidRPr="007D0A45">
        <w:rPr>
          <w:b/>
        </w:rPr>
        <w:t>RESULTS</w:t>
      </w:r>
    </w:p>
    <w:p w14:paraId="6618C5F6" w14:textId="0AAAD511" w:rsidR="007107FF" w:rsidRPr="007D0A45" w:rsidRDefault="00D73E83" w:rsidP="00BF46F0">
      <w:pPr>
        <w:spacing w:line="480" w:lineRule="auto"/>
      </w:pPr>
      <w:r w:rsidRPr="007D0A45">
        <w:rPr>
          <w:b/>
          <w:i/>
        </w:rPr>
        <w:tab/>
      </w:r>
      <w:r w:rsidR="004061ED" w:rsidRPr="007D0A45">
        <w:t>Most participants (88%) reported on a sexual encounter that occurred within the past 3 months (18 reported that their most recent encounter was between 6 months and 1 year prior</w:t>
      </w:r>
      <w:r w:rsidR="00680BF7" w:rsidRPr="007D0A45">
        <w:t xml:space="preserve"> and</w:t>
      </w:r>
      <w:r w:rsidR="004061ED" w:rsidRPr="007D0A45">
        <w:t xml:space="preserve"> 33 reported that their most recent partner was between 3 and 6 months prior).  </w:t>
      </w:r>
      <w:r w:rsidR="000547E5" w:rsidRPr="007D0A45">
        <w:t>More men (58.4</w:t>
      </w:r>
      <w:r w:rsidRPr="007D0A45">
        <w:t xml:space="preserve">%) than women (45.9%) reported using a condom at last </w:t>
      </w:r>
      <w:r w:rsidR="00B6456E" w:rsidRPr="007D0A45">
        <w:t>PVI</w:t>
      </w:r>
      <w:r w:rsidRPr="007D0A45">
        <w:rPr>
          <w:rFonts w:hint="eastAsia"/>
        </w:rPr>
        <w:t xml:space="preserve"> (</w:t>
      </w:r>
      <w:r w:rsidRPr="007D0A45">
        <w:rPr>
          <w:rFonts w:hint="eastAsia"/>
        </w:rPr>
        <w:t>χ</w:t>
      </w:r>
      <w:r w:rsidRPr="007D0A45">
        <w:rPr>
          <w:vertAlign w:val="superscript"/>
        </w:rPr>
        <w:t>2</w:t>
      </w:r>
      <w:r w:rsidR="000547E5" w:rsidRPr="007D0A45">
        <w:t xml:space="preserve"> (1) = 10.681</w:t>
      </w:r>
      <w:r w:rsidRPr="007D0A45">
        <w:t>, p &lt; .001)</w:t>
      </w:r>
      <w:r w:rsidR="00D84658" w:rsidRPr="007D0A45">
        <w:t xml:space="preserve">. </w:t>
      </w:r>
      <w:r w:rsidR="00CE6F19" w:rsidRPr="007D0A45">
        <w:t xml:space="preserve"> However, condom use was more common in less intimate/committed relationships, and less common in more intimate/committed relationships (Figure 1).</w:t>
      </w:r>
    </w:p>
    <w:p w14:paraId="54C125F1" w14:textId="73D90945" w:rsidR="00971BD4" w:rsidRPr="007D0A45" w:rsidRDefault="000547E5" w:rsidP="003006C0">
      <w:pPr>
        <w:spacing w:line="480" w:lineRule="auto"/>
        <w:ind w:firstLine="720"/>
      </w:pPr>
      <w:r w:rsidRPr="007D0A45">
        <w:t>More men (69.0%) than women (49.8</w:t>
      </w:r>
      <w:r w:rsidR="00D73E83" w:rsidRPr="007D0A45">
        <w:t xml:space="preserve">%) reported that their last </w:t>
      </w:r>
      <w:r w:rsidR="00B6456E" w:rsidRPr="007D0A45">
        <w:t>PVI</w:t>
      </w:r>
      <w:r w:rsidR="00D73E83" w:rsidRPr="007D0A45">
        <w:rPr>
          <w:rFonts w:hint="eastAsia"/>
        </w:rPr>
        <w:t xml:space="preserve"> was very pleasurable (</w:t>
      </w:r>
      <w:r w:rsidR="00D73E83" w:rsidRPr="007D0A45">
        <w:rPr>
          <w:rFonts w:hint="eastAsia"/>
        </w:rPr>
        <w:t>χ</w:t>
      </w:r>
      <w:r w:rsidR="00D73E83" w:rsidRPr="007D0A45">
        <w:rPr>
          <w:vertAlign w:val="superscript"/>
        </w:rPr>
        <w:t>2</w:t>
      </w:r>
      <w:r w:rsidRPr="007D0A45">
        <w:t xml:space="preserve"> (1) = 25.892</w:t>
      </w:r>
      <w:r w:rsidR="00D73E83" w:rsidRPr="007D0A45">
        <w:t>, p &lt; .001)</w:t>
      </w:r>
      <w:r w:rsidR="00D84658" w:rsidRPr="007D0A45">
        <w:t xml:space="preserve">. </w:t>
      </w:r>
      <w:r w:rsidR="00BE04DB" w:rsidRPr="007D0A45">
        <w:t>For</w:t>
      </w:r>
      <w:r w:rsidR="007107FF" w:rsidRPr="007D0A45">
        <w:t xml:space="preserve"> both men and women</w:t>
      </w:r>
      <w:r w:rsidR="00BE04DB" w:rsidRPr="007D0A45">
        <w:t xml:space="preserve"> </w:t>
      </w:r>
      <w:r w:rsidR="007107FF" w:rsidRPr="007D0A45">
        <w:t xml:space="preserve">pleasure at last </w:t>
      </w:r>
      <w:r w:rsidR="00B6456E" w:rsidRPr="007D0A45">
        <w:t>PVI</w:t>
      </w:r>
      <w:r w:rsidR="007107FF" w:rsidRPr="007D0A45">
        <w:t xml:space="preserve"> increased in a linear fashion by relationship type ranging from least intimate/committed to most intimate/committed </w:t>
      </w:r>
      <w:r w:rsidR="007107FF" w:rsidRPr="007D0A45">
        <w:lastRenderedPageBreak/>
        <w:t xml:space="preserve">(Figure </w:t>
      </w:r>
      <w:r w:rsidR="00726EAD" w:rsidRPr="007D0A45">
        <w:t>2</w:t>
      </w:r>
      <w:r w:rsidR="007107FF" w:rsidRPr="007D0A45">
        <w:t xml:space="preserve">). </w:t>
      </w:r>
      <w:r w:rsidR="00971BD4" w:rsidRPr="007D0A45">
        <w:t>The lowest proportion of participants who indicated their last PVI was very pleasurable were those who reported their partner was a one-time encounter or a booty call.  Specifically, 34.8% of participants (24.5% of women</w:t>
      </w:r>
      <w:r w:rsidR="00680BF7" w:rsidRPr="007D0A45">
        <w:t xml:space="preserve">, </w:t>
      </w:r>
      <w:r w:rsidR="00971BD4" w:rsidRPr="007D0A45">
        <w:t xml:space="preserve">43.5% of men) whose last partner was a one-time encounter or booty call rated their last PVI as very pleasurable, compared to 60.5% of those who reported other types of partners </w:t>
      </w:r>
      <w:r w:rsidR="00971BD4" w:rsidRPr="007D0A45">
        <w:rPr>
          <w:rFonts w:hint="eastAsia"/>
        </w:rPr>
        <w:t>(</w:t>
      </w:r>
      <w:r w:rsidR="00971BD4" w:rsidRPr="007D0A45">
        <w:rPr>
          <w:rFonts w:hint="eastAsia"/>
        </w:rPr>
        <w:t>χ</w:t>
      </w:r>
      <w:r w:rsidR="00971BD4" w:rsidRPr="007D0A45">
        <w:rPr>
          <w:vertAlign w:val="superscript"/>
        </w:rPr>
        <w:t>2</w:t>
      </w:r>
      <w:r w:rsidR="00971BD4" w:rsidRPr="007D0A45">
        <w:t xml:space="preserve"> (1) = 21.059, p &lt; .001).   The highest proportion of participants who indicated that their last vaginal sex was very pleasurable were those who were cohabitating, engaged, or married (67.8% (61.9% of women, 81.1% of men) compared to 55.2% of those who reported other types of relationships </w:t>
      </w:r>
      <w:r w:rsidR="00971BD4" w:rsidRPr="007D0A45">
        <w:rPr>
          <w:rFonts w:hint="eastAsia"/>
        </w:rPr>
        <w:t>(</w:t>
      </w:r>
      <w:r w:rsidR="00971BD4" w:rsidRPr="007D0A45">
        <w:rPr>
          <w:rFonts w:hint="eastAsia"/>
        </w:rPr>
        <w:t>χ</w:t>
      </w:r>
      <w:r w:rsidR="00971BD4" w:rsidRPr="007D0A45">
        <w:rPr>
          <w:vertAlign w:val="superscript"/>
        </w:rPr>
        <w:t>2</w:t>
      </w:r>
      <w:r w:rsidR="00971BD4" w:rsidRPr="007D0A45">
        <w:t xml:space="preserve"> (1) = 6.472, p = .011).    </w:t>
      </w:r>
      <w:r w:rsidR="007107FF" w:rsidRPr="007D0A45">
        <w:t xml:space="preserve"> </w:t>
      </w:r>
    </w:p>
    <w:p w14:paraId="74DA7572" w14:textId="6845857D" w:rsidR="008B7FD2" w:rsidRPr="007D0A45" w:rsidRDefault="007107FF" w:rsidP="003006C0">
      <w:pPr>
        <w:spacing w:line="480" w:lineRule="auto"/>
        <w:ind w:firstLine="720"/>
      </w:pPr>
      <w:r w:rsidRPr="007D0A45">
        <w:t xml:space="preserve">When </w:t>
      </w:r>
      <w:r w:rsidR="00780213" w:rsidRPr="007D0A45">
        <w:t>not distinguishing by</w:t>
      </w:r>
      <w:r w:rsidRPr="007D0A45">
        <w:t xml:space="preserve"> </w:t>
      </w:r>
      <w:r w:rsidR="00780213" w:rsidRPr="007D0A45">
        <w:t>partner</w:t>
      </w:r>
      <w:r w:rsidRPr="007D0A45">
        <w:t xml:space="preserve"> type,</w:t>
      </w:r>
      <w:r w:rsidR="003006C0" w:rsidRPr="007D0A45">
        <w:t xml:space="preserve"> the pattern</w:t>
      </w:r>
      <w:r w:rsidR="00680BF7" w:rsidRPr="007D0A45">
        <w:t>s</w:t>
      </w:r>
      <w:r w:rsidR="003006C0" w:rsidRPr="007D0A45">
        <w:t xml:space="preserve"> of associations for </w:t>
      </w:r>
      <w:r w:rsidRPr="007D0A45">
        <w:t xml:space="preserve">condom use </w:t>
      </w:r>
      <w:r w:rsidR="003006C0" w:rsidRPr="007D0A45">
        <w:t>and pleasure were somewhat different</w:t>
      </w:r>
      <w:r w:rsidR="00780213" w:rsidRPr="007D0A45">
        <w:t xml:space="preserve"> for men and women</w:t>
      </w:r>
      <w:r w:rsidR="003006C0" w:rsidRPr="007D0A45">
        <w:t xml:space="preserve">. </w:t>
      </w:r>
      <w:r w:rsidR="00780213" w:rsidRPr="007D0A45">
        <w:t>Women whose last</w:t>
      </w:r>
      <w:r w:rsidR="00B6456E" w:rsidRPr="007D0A45">
        <w:t xml:space="preserve"> PVI</w:t>
      </w:r>
      <w:r w:rsidR="00780213" w:rsidRPr="007D0A45">
        <w:t xml:space="preserve"> was condom</w:t>
      </w:r>
      <w:r w:rsidR="00680BF7" w:rsidRPr="007D0A45">
        <w:t xml:space="preserve"> </w:t>
      </w:r>
      <w:r w:rsidR="00780213" w:rsidRPr="007D0A45">
        <w:t xml:space="preserve">protected were significantly less likely to rate </w:t>
      </w:r>
      <w:r w:rsidR="00B633EC" w:rsidRPr="007D0A45">
        <w:t xml:space="preserve">it </w:t>
      </w:r>
      <w:r w:rsidR="00780213" w:rsidRPr="007D0A45">
        <w:t xml:space="preserve">as very pleasurable, compared to women who did not use a condom (41.2% vs. 57.0% </w:t>
      </w:r>
      <w:r w:rsidR="003006C0" w:rsidRPr="007D0A45">
        <w:rPr>
          <w:rFonts w:hint="eastAsia"/>
        </w:rPr>
        <w:t>(</w:t>
      </w:r>
      <w:r w:rsidR="003006C0" w:rsidRPr="007D0A45">
        <w:rPr>
          <w:rFonts w:hint="eastAsia"/>
        </w:rPr>
        <w:t>χ</w:t>
      </w:r>
      <w:r w:rsidR="003006C0" w:rsidRPr="007D0A45">
        <w:rPr>
          <w:vertAlign w:val="superscript"/>
        </w:rPr>
        <w:t>2</w:t>
      </w:r>
      <w:r w:rsidR="003006C0" w:rsidRPr="007D0A45">
        <w:t xml:space="preserve"> (1) = 10.781, p = .001).  A</w:t>
      </w:r>
      <w:r w:rsidR="000547E5" w:rsidRPr="007D0A45">
        <w:t>mong men</w:t>
      </w:r>
      <w:r w:rsidR="003006C0" w:rsidRPr="007D0A45">
        <w:t xml:space="preserve"> there was only a trend toward significance</w:t>
      </w:r>
      <w:r w:rsidR="00EB3B12" w:rsidRPr="007D0A45">
        <w:t xml:space="preserve">; </w:t>
      </w:r>
      <w:r w:rsidR="000547E5" w:rsidRPr="007D0A45">
        <w:t>64.6</w:t>
      </w:r>
      <w:r w:rsidR="00D73E83" w:rsidRPr="007D0A45">
        <w:t xml:space="preserve">% who reported using a condom at last </w:t>
      </w:r>
      <w:r w:rsidR="00D4502A" w:rsidRPr="007D0A45">
        <w:t>PVI</w:t>
      </w:r>
      <w:r w:rsidR="00D73E83" w:rsidRPr="007D0A45">
        <w:t xml:space="preserve"> </w:t>
      </w:r>
      <w:r w:rsidR="00BE04DB" w:rsidRPr="007D0A45">
        <w:t xml:space="preserve">reported </w:t>
      </w:r>
      <w:r w:rsidR="00D73E83" w:rsidRPr="007D0A45">
        <w:t>that the encounter was v</w:t>
      </w:r>
      <w:r w:rsidR="00D84658" w:rsidRPr="007D0A45">
        <w:t>ery pleasurable, compared with</w:t>
      </w:r>
      <w:r w:rsidR="000547E5" w:rsidRPr="007D0A45">
        <w:t xml:space="preserve"> 75.2</w:t>
      </w:r>
      <w:r w:rsidR="00D73E83" w:rsidRPr="007D0A45">
        <w:t xml:space="preserve">% of men who reported not using a condom </w:t>
      </w:r>
      <w:r w:rsidR="00D73E83" w:rsidRPr="007D0A45">
        <w:rPr>
          <w:rFonts w:hint="eastAsia"/>
        </w:rPr>
        <w:t>(</w:t>
      </w:r>
      <w:r w:rsidR="00D73E83" w:rsidRPr="007D0A45">
        <w:rPr>
          <w:rFonts w:hint="eastAsia"/>
        </w:rPr>
        <w:t>χ</w:t>
      </w:r>
      <w:r w:rsidR="00D73E83" w:rsidRPr="007D0A45">
        <w:rPr>
          <w:vertAlign w:val="superscript"/>
        </w:rPr>
        <w:t>2</w:t>
      </w:r>
      <w:r w:rsidR="000547E5" w:rsidRPr="007D0A45">
        <w:t xml:space="preserve"> (1) = 3.576, p = .059</w:t>
      </w:r>
      <w:r w:rsidR="00D73E83" w:rsidRPr="007D0A45">
        <w:t>)</w:t>
      </w:r>
      <w:r w:rsidR="00D84658" w:rsidRPr="007D0A45">
        <w:t xml:space="preserve">. </w:t>
      </w:r>
    </w:p>
    <w:p w14:paraId="6B8D91BC" w14:textId="41ED42AF" w:rsidR="00D73E83" w:rsidRPr="007D0A45" w:rsidRDefault="00D73E83" w:rsidP="00BF46F0">
      <w:pPr>
        <w:spacing w:line="480" w:lineRule="auto"/>
      </w:pPr>
      <w:r w:rsidRPr="007D0A45">
        <w:tab/>
      </w:r>
      <w:r w:rsidR="00EB3B12" w:rsidRPr="007D0A45">
        <w:t>G</w:t>
      </w:r>
      <w:r w:rsidR="005624C9" w:rsidRPr="007D0A45">
        <w:t xml:space="preserve">iven that condom use and pleasure </w:t>
      </w:r>
      <w:proofErr w:type="spellStart"/>
      <w:r w:rsidR="00EB3B12" w:rsidRPr="007D0A45">
        <w:t>covaried</w:t>
      </w:r>
      <w:proofErr w:type="spellEnd"/>
      <w:r w:rsidR="00EB3B12" w:rsidRPr="007D0A45">
        <w:t xml:space="preserve"> </w:t>
      </w:r>
      <w:r w:rsidR="002F6463" w:rsidRPr="007D0A45">
        <w:t>with partner type (</w:t>
      </w:r>
      <w:r w:rsidR="00680BF7" w:rsidRPr="007D0A45">
        <w:t xml:space="preserve">see </w:t>
      </w:r>
      <w:r w:rsidR="002F6463" w:rsidRPr="007D0A45">
        <w:t>Figures 1 and 2)</w:t>
      </w:r>
      <w:r w:rsidR="00BE04DB" w:rsidRPr="007D0A45">
        <w:t>,</w:t>
      </w:r>
      <w:r w:rsidR="005624C9" w:rsidRPr="007D0A45">
        <w:t xml:space="preserve"> analyses were conducted stratified by partner type</w:t>
      </w:r>
      <w:r w:rsidR="00780213" w:rsidRPr="007D0A45">
        <w:t xml:space="preserve"> and</w:t>
      </w:r>
      <w:r w:rsidR="003006C0" w:rsidRPr="007D0A45">
        <w:t xml:space="preserve"> separately by gender</w:t>
      </w:r>
      <w:r w:rsidR="00780213" w:rsidRPr="007D0A45">
        <w:t xml:space="preserve"> u</w:t>
      </w:r>
      <w:r w:rsidR="002F6463" w:rsidRPr="007D0A45">
        <w:t>sing the Mann</w:t>
      </w:r>
      <w:r w:rsidR="003006C0" w:rsidRPr="007D0A45">
        <w:t>-</w:t>
      </w:r>
      <w:r w:rsidR="002F6463" w:rsidRPr="007D0A45">
        <w:t>Whitney U test</w:t>
      </w:r>
      <w:r w:rsidR="00780213" w:rsidRPr="007D0A45">
        <w:t xml:space="preserve">. </w:t>
      </w:r>
      <w:r w:rsidR="00E61C78" w:rsidRPr="007D0A45">
        <w:t xml:space="preserve">For women, </w:t>
      </w:r>
      <w:r w:rsidR="00BE04DB" w:rsidRPr="007D0A45">
        <w:t xml:space="preserve">with one exception, </w:t>
      </w:r>
      <w:r w:rsidR="00E61C78" w:rsidRPr="007D0A45">
        <w:t xml:space="preserve">there were no differences </w:t>
      </w:r>
      <w:r w:rsidR="00780213" w:rsidRPr="007D0A45">
        <w:t xml:space="preserve">in pleasure between </w:t>
      </w:r>
      <w:r w:rsidR="00354CBF" w:rsidRPr="007D0A45">
        <w:t>PVI</w:t>
      </w:r>
      <w:r w:rsidR="00780213" w:rsidRPr="007D0A45">
        <w:t xml:space="preserve"> with and without condoms </w:t>
      </w:r>
      <w:r w:rsidR="00E61C78" w:rsidRPr="007D0A45">
        <w:t xml:space="preserve">across </w:t>
      </w:r>
      <w:r w:rsidR="00FE2D4D" w:rsidRPr="007D0A45">
        <w:t xml:space="preserve">most </w:t>
      </w:r>
      <w:r w:rsidR="005624C9" w:rsidRPr="007D0A45">
        <w:t>partner type</w:t>
      </w:r>
      <w:r w:rsidR="00E61C78" w:rsidRPr="007D0A45">
        <w:t xml:space="preserve"> categories</w:t>
      </w:r>
      <w:r w:rsidR="00FE2D4D" w:rsidRPr="007D0A45">
        <w:t xml:space="preserve"> (One time sexual encounter/booty call: </w:t>
      </w:r>
      <w:r w:rsidR="003006C0" w:rsidRPr="007D0A45">
        <w:t xml:space="preserve">Mann-Whitney </w:t>
      </w:r>
      <w:r w:rsidR="00FE2D4D" w:rsidRPr="007D0A45">
        <w:rPr>
          <w:i/>
        </w:rPr>
        <w:t>U</w:t>
      </w:r>
      <w:r w:rsidR="00FE2D4D" w:rsidRPr="007D0A45">
        <w:t xml:space="preserve"> = 94, </w:t>
      </w:r>
      <w:r w:rsidR="00FE2D4D" w:rsidRPr="007D0A45">
        <w:rPr>
          <w:i/>
        </w:rPr>
        <w:t>p</w:t>
      </w:r>
      <w:r w:rsidR="00FE2D4D" w:rsidRPr="007D0A45">
        <w:t xml:space="preserve"> = .201; Friends with benefits/Dating not committed: </w:t>
      </w:r>
      <w:r w:rsidR="00FE2D4D" w:rsidRPr="007D0A45">
        <w:rPr>
          <w:i/>
        </w:rPr>
        <w:t>U</w:t>
      </w:r>
      <w:r w:rsidR="00FE2D4D" w:rsidRPr="007D0A45">
        <w:t xml:space="preserve"> = 742, </w:t>
      </w:r>
      <w:r w:rsidR="00FE2D4D" w:rsidRPr="007D0A45">
        <w:rPr>
          <w:i/>
        </w:rPr>
        <w:t>p</w:t>
      </w:r>
      <w:r w:rsidR="00FE2D4D" w:rsidRPr="007D0A45">
        <w:t xml:space="preserve"> = .221; Living together, engaged, or married: </w:t>
      </w:r>
      <w:r w:rsidR="00FE2D4D" w:rsidRPr="007D0A45">
        <w:rPr>
          <w:i/>
        </w:rPr>
        <w:t>U</w:t>
      </w:r>
      <w:r w:rsidR="00FE2D4D" w:rsidRPr="007D0A45">
        <w:t xml:space="preserve"> = 760, </w:t>
      </w:r>
      <w:r w:rsidR="00FE2D4D" w:rsidRPr="007D0A45">
        <w:rPr>
          <w:i/>
        </w:rPr>
        <w:t>p</w:t>
      </w:r>
      <w:r w:rsidR="00FE2D4D" w:rsidRPr="007D0A45">
        <w:t xml:space="preserve"> = .791)</w:t>
      </w:r>
      <w:r w:rsidR="00BE04DB" w:rsidRPr="007D0A45">
        <w:t>.</w:t>
      </w:r>
      <w:r w:rsidR="00E61C78" w:rsidRPr="007D0A45">
        <w:t xml:space="preserve"> </w:t>
      </w:r>
      <w:r w:rsidR="003006C0" w:rsidRPr="007D0A45">
        <w:t>However, w</w:t>
      </w:r>
      <w:r w:rsidR="00E61C78" w:rsidRPr="007D0A45">
        <w:t xml:space="preserve">omen in committed dating relationships were more likely to say that their last </w:t>
      </w:r>
      <w:r w:rsidR="00354CBF" w:rsidRPr="007D0A45">
        <w:t>PVI</w:t>
      </w:r>
      <w:r w:rsidR="00E61C78" w:rsidRPr="007D0A45">
        <w:t xml:space="preserve"> was very pleas</w:t>
      </w:r>
      <w:r w:rsidR="006778F7" w:rsidRPr="007D0A45">
        <w:t xml:space="preserve">urable </w:t>
      </w:r>
      <w:r w:rsidR="00312D00" w:rsidRPr="007D0A45">
        <w:t xml:space="preserve">when </w:t>
      </w:r>
      <w:r w:rsidR="006778F7" w:rsidRPr="007D0A45">
        <w:t>condoms were not used</w:t>
      </w:r>
      <w:r w:rsidR="00E61C78" w:rsidRPr="007D0A45">
        <w:t xml:space="preserve"> than </w:t>
      </w:r>
      <w:r w:rsidR="00312D00" w:rsidRPr="007D0A45">
        <w:t>when</w:t>
      </w:r>
      <w:r w:rsidR="00FE2D4D" w:rsidRPr="007D0A45">
        <w:t xml:space="preserve"> </w:t>
      </w:r>
      <w:r w:rsidR="00BE04DB" w:rsidRPr="007D0A45">
        <w:t>condoms</w:t>
      </w:r>
      <w:r w:rsidR="00312D00" w:rsidRPr="007D0A45">
        <w:t xml:space="preserve"> were used</w:t>
      </w:r>
      <w:r w:rsidR="00BE04DB" w:rsidRPr="007D0A45">
        <w:t xml:space="preserve"> </w:t>
      </w:r>
      <w:r w:rsidR="00FE2D4D" w:rsidRPr="007D0A45">
        <w:t>(</w:t>
      </w:r>
      <w:r w:rsidR="00FE2D4D" w:rsidRPr="007D0A45">
        <w:rPr>
          <w:i/>
        </w:rPr>
        <w:t>U</w:t>
      </w:r>
      <w:r w:rsidR="00FE2D4D" w:rsidRPr="007D0A45">
        <w:t xml:space="preserve"> = 4943, </w:t>
      </w:r>
      <w:r w:rsidR="00FE2D4D" w:rsidRPr="007D0A45">
        <w:rPr>
          <w:i/>
        </w:rPr>
        <w:t>p</w:t>
      </w:r>
      <w:r w:rsidR="00FE2D4D" w:rsidRPr="007D0A45">
        <w:t xml:space="preserve"> </w:t>
      </w:r>
      <w:r w:rsidR="00FE2D4D" w:rsidRPr="007D0A45">
        <w:lastRenderedPageBreak/>
        <w:t>= .020)</w:t>
      </w:r>
      <w:r w:rsidR="00E61C78" w:rsidRPr="007D0A45">
        <w:t>.</w:t>
      </w:r>
      <w:r w:rsidR="005624C9" w:rsidRPr="007D0A45">
        <w:t xml:space="preserve"> The committed dating relationship was also the largest category of partner type, suggesting that this significant difference was driving the overall difference found for women.</w:t>
      </w:r>
      <w:r w:rsidR="003006C0" w:rsidRPr="007D0A45">
        <w:t xml:space="preserve"> There was no significant difference in men’s pleasure ratings for sexual encounters with and without condoms across partner type categories (</w:t>
      </w:r>
      <w:r w:rsidR="00312D00" w:rsidRPr="007D0A45">
        <w:t xml:space="preserve">one </w:t>
      </w:r>
      <w:r w:rsidR="003006C0" w:rsidRPr="007D0A45">
        <w:t xml:space="preserve">time sexual encounter/booty call: </w:t>
      </w:r>
      <w:r w:rsidR="003006C0" w:rsidRPr="007D0A45">
        <w:rPr>
          <w:i/>
        </w:rPr>
        <w:t>U</w:t>
      </w:r>
      <w:r w:rsidR="003006C0" w:rsidRPr="007D0A45">
        <w:t xml:space="preserve"> = 199, </w:t>
      </w:r>
      <w:r w:rsidR="003006C0" w:rsidRPr="007D0A45">
        <w:rPr>
          <w:i/>
        </w:rPr>
        <w:t>p</w:t>
      </w:r>
      <w:r w:rsidR="003006C0" w:rsidRPr="007D0A45">
        <w:t xml:space="preserve"> = .889; </w:t>
      </w:r>
      <w:r w:rsidR="00312D00" w:rsidRPr="007D0A45">
        <w:t xml:space="preserve">friends </w:t>
      </w:r>
      <w:r w:rsidR="003006C0" w:rsidRPr="007D0A45">
        <w:t>with benefits/</w:t>
      </w:r>
      <w:r w:rsidR="00312D00" w:rsidRPr="007D0A45">
        <w:t xml:space="preserve">dating </w:t>
      </w:r>
      <w:r w:rsidR="003006C0" w:rsidRPr="007D0A45">
        <w:t xml:space="preserve">not committed: </w:t>
      </w:r>
      <w:r w:rsidR="003006C0" w:rsidRPr="007D0A45">
        <w:rPr>
          <w:i/>
        </w:rPr>
        <w:t>U</w:t>
      </w:r>
      <w:r w:rsidR="003006C0" w:rsidRPr="007D0A45">
        <w:t xml:space="preserve"> = 412, </w:t>
      </w:r>
      <w:r w:rsidR="003006C0" w:rsidRPr="007D0A45">
        <w:rPr>
          <w:i/>
        </w:rPr>
        <w:t>p</w:t>
      </w:r>
      <w:r w:rsidR="003006C0" w:rsidRPr="007D0A45">
        <w:t xml:space="preserve"> = .243; </w:t>
      </w:r>
      <w:r w:rsidR="00312D00" w:rsidRPr="007D0A45">
        <w:t xml:space="preserve">committed </w:t>
      </w:r>
      <w:r w:rsidR="003006C0" w:rsidRPr="007D0A45">
        <w:t xml:space="preserve">dating: </w:t>
      </w:r>
      <w:r w:rsidR="003006C0" w:rsidRPr="007D0A45">
        <w:rPr>
          <w:i/>
        </w:rPr>
        <w:t>U</w:t>
      </w:r>
      <w:r w:rsidR="003006C0" w:rsidRPr="007D0A45">
        <w:t xml:space="preserve"> = 2104, </w:t>
      </w:r>
      <w:r w:rsidR="003006C0" w:rsidRPr="007D0A45">
        <w:rPr>
          <w:i/>
        </w:rPr>
        <w:t>p</w:t>
      </w:r>
      <w:r w:rsidR="003006C0" w:rsidRPr="007D0A45">
        <w:t xml:space="preserve"> = .805; </w:t>
      </w:r>
      <w:r w:rsidR="00312D00" w:rsidRPr="007D0A45">
        <w:t xml:space="preserve">living </w:t>
      </w:r>
      <w:r w:rsidR="003006C0" w:rsidRPr="007D0A45">
        <w:t xml:space="preserve">together, engaged, or married: </w:t>
      </w:r>
      <w:r w:rsidR="003006C0" w:rsidRPr="007D0A45">
        <w:rPr>
          <w:i/>
        </w:rPr>
        <w:t>U</w:t>
      </w:r>
      <w:r w:rsidR="003006C0" w:rsidRPr="007D0A45">
        <w:t xml:space="preserve"> = 137, </w:t>
      </w:r>
      <w:r w:rsidR="003006C0" w:rsidRPr="007D0A45">
        <w:rPr>
          <w:i/>
        </w:rPr>
        <w:t>p</w:t>
      </w:r>
      <w:r w:rsidR="003006C0" w:rsidRPr="007D0A45">
        <w:t xml:space="preserve"> = .326).  </w:t>
      </w:r>
    </w:p>
    <w:p w14:paraId="6C3C0A33" w14:textId="5C17E78A" w:rsidR="00F6330B" w:rsidRPr="007D0A45" w:rsidRDefault="002F6463" w:rsidP="00F6330B">
      <w:pPr>
        <w:spacing w:line="480" w:lineRule="auto"/>
      </w:pPr>
      <w:r w:rsidRPr="007D0A45">
        <w:tab/>
      </w:r>
      <w:r w:rsidR="004F0C99" w:rsidRPr="007D0A45">
        <w:t>Simple l</w:t>
      </w:r>
      <w:r w:rsidR="00026780" w:rsidRPr="007D0A45">
        <w:t xml:space="preserve">ogistic regression models were constructed in order to calculate odds ratios, their 95% confidence intervals, and respective </w:t>
      </w:r>
      <w:r w:rsidR="00680BF7" w:rsidRPr="007D0A45">
        <w:rPr>
          <w:i/>
        </w:rPr>
        <w:t>p</w:t>
      </w:r>
      <w:r w:rsidR="00026780" w:rsidRPr="007D0A45">
        <w:t xml:space="preserve">-values for the associations between pleasurable sex and condom use within each category of relationship type. </w:t>
      </w:r>
      <w:r w:rsidR="00F6330B" w:rsidRPr="007D0A45">
        <w:t>When analysis was conducted with only those participants who reported that the sexual encounter occurred within the past 3 months, the pattern of findings remained the same</w:t>
      </w:r>
      <w:r w:rsidR="006A256C" w:rsidRPr="007D0A45">
        <w:t>;</w:t>
      </w:r>
      <w:r w:rsidR="00F6330B" w:rsidRPr="007D0A45">
        <w:t xml:space="preserve"> thus the larger sample was retained for all analyses.</w:t>
      </w:r>
    </w:p>
    <w:p w14:paraId="3718BF0F" w14:textId="2C71EEAF" w:rsidR="00320B2C" w:rsidRPr="007D0A45" w:rsidRDefault="00F6330B" w:rsidP="006A256C">
      <w:pPr>
        <w:spacing w:line="480" w:lineRule="auto"/>
      </w:pPr>
      <w:r w:rsidRPr="007D0A45">
        <w:t>F</w:t>
      </w:r>
      <w:r w:rsidR="00780213" w:rsidRPr="007D0A45">
        <w:t>indings from these analyses</w:t>
      </w:r>
      <w:r w:rsidR="003006C0" w:rsidRPr="007D0A45">
        <w:t xml:space="preserve"> </w:t>
      </w:r>
      <w:r w:rsidR="00BE04DB" w:rsidRPr="007D0A45">
        <w:t xml:space="preserve">were </w:t>
      </w:r>
      <w:r w:rsidR="002F6463" w:rsidRPr="007D0A45">
        <w:t>consistent with findings using the Mann</w:t>
      </w:r>
      <w:r w:rsidR="003006C0" w:rsidRPr="007D0A45">
        <w:t>-</w:t>
      </w:r>
      <w:r w:rsidR="002F6463" w:rsidRPr="007D0A45">
        <w:t>Whitney U</w:t>
      </w:r>
      <w:r w:rsidR="00026780" w:rsidRPr="007D0A45">
        <w:t xml:space="preserve">.  </w:t>
      </w:r>
      <w:r w:rsidR="00971BD4" w:rsidRPr="007D0A45">
        <w:t>The proportion of men reporting their last PVI was very pleasurable based on whether condoms were used or not used did not differ by relationship type (Table 1). As shown in the last three columns of Table 1, the obtained odds ratios were relatively small in magnitude</w:t>
      </w:r>
      <w:r w:rsidR="006A256C" w:rsidRPr="007D0A45">
        <w:t>,</w:t>
      </w:r>
      <w:r w:rsidR="00971BD4" w:rsidRPr="007D0A45">
        <w:t xml:space="preserve"> with the exception of the value of .27 obtained for 4</w:t>
      </w:r>
      <w:r w:rsidRPr="007D0A45">
        <w:t>4 men who were living with their partner, engaged, or married</w:t>
      </w:r>
      <w:r w:rsidR="00971BD4" w:rsidRPr="007D0A45">
        <w:t>.</w:t>
      </w:r>
      <w:r w:rsidRPr="007D0A45">
        <w:t xml:space="preserve">  </w:t>
      </w:r>
      <w:r w:rsidR="00320B2C" w:rsidRPr="007D0A45">
        <w:t>Though this OR was not significant, low power as a result of small cell sizes (</w:t>
      </w:r>
      <w:r w:rsidRPr="007D0A45">
        <w:t xml:space="preserve">only </w:t>
      </w:r>
      <w:r w:rsidR="006A256C" w:rsidRPr="007D0A45">
        <w:t>seven</w:t>
      </w:r>
      <w:r w:rsidRPr="007D0A45">
        <w:t xml:space="preserve"> of these men report</w:t>
      </w:r>
      <w:r w:rsidR="006A256C" w:rsidRPr="007D0A45">
        <w:t>ed</w:t>
      </w:r>
      <w:r w:rsidRPr="007D0A45">
        <w:t xml:space="preserve"> that their last PVI was less than very pleasurable, regardless of condom use</w:t>
      </w:r>
      <w:r w:rsidR="00320B2C" w:rsidRPr="007D0A45">
        <w:t>) created a bias towards the null hypothesis</w:t>
      </w:r>
      <w:r w:rsidRPr="007D0A45">
        <w:t>.</w:t>
      </w:r>
      <w:r w:rsidR="00971BD4" w:rsidRPr="007D0A45">
        <w:t xml:space="preserve"> </w:t>
      </w:r>
    </w:p>
    <w:p w14:paraId="274D9C56" w14:textId="578AD5F9" w:rsidR="00971BD4" w:rsidRPr="007D0A45" w:rsidRDefault="00F6330B" w:rsidP="006A256C">
      <w:pPr>
        <w:spacing w:line="480" w:lineRule="auto"/>
        <w:ind w:firstLine="720"/>
      </w:pPr>
      <w:r w:rsidRPr="007D0A45">
        <w:t xml:space="preserve">Similar to </w:t>
      </w:r>
      <w:r w:rsidR="00320B2C" w:rsidRPr="007D0A45">
        <w:t xml:space="preserve">findings based on </w:t>
      </w:r>
      <w:r w:rsidRPr="007D0A45">
        <w:t>the Mann-Whitney U test,</w:t>
      </w:r>
      <w:r w:rsidR="00971BD4" w:rsidRPr="007D0A45">
        <w:t xml:space="preserve"> the proportion of women reporting that their last PVI was very pleasurable based on whether condoms were used or not used did not differ by relationship type</w:t>
      </w:r>
      <w:r w:rsidRPr="007D0A45">
        <w:t>, with the exception of one relationship category</w:t>
      </w:r>
      <w:r w:rsidR="00971BD4" w:rsidRPr="007D0A45">
        <w:t xml:space="preserve"> (Table 2).</w:t>
      </w:r>
      <w:r w:rsidRPr="007D0A45">
        <w:t xml:space="preserve">  The odds ratio for women in committed dating relationships was significant</w:t>
      </w:r>
      <w:r w:rsidR="006A256C" w:rsidRPr="007D0A45">
        <w:t>,</w:t>
      </w:r>
      <w:r w:rsidRPr="007D0A45">
        <w:t xml:space="preserve"> (OR = .56, </w:t>
      </w:r>
      <w:r w:rsidRPr="007D0A45">
        <w:rPr>
          <w:i/>
        </w:rPr>
        <w:t>p</w:t>
      </w:r>
      <w:r w:rsidRPr="007D0A45">
        <w:t xml:space="preserve"> = </w:t>
      </w:r>
      <w:r w:rsidRPr="007D0A45">
        <w:lastRenderedPageBreak/>
        <w:t>.04)</w:t>
      </w:r>
      <w:r w:rsidR="00320B2C" w:rsidRPr="007D0A45">
        <w:t xml:space="preserve"> indicating that women in committed dating relationships who used a condom at last sex were proportionally less likely to indicate this PVI was very pleasurable compared to women in committed dating relationships who did not use a condom</w:t>
      </w:r>
      <w:r w:rsidRPr="007D0A45">
        <w:t>. As shown in the last three columns of Table 2, the obtained odds ratios were relatively small in magnitude</w:t>
      </w:r>
      <w:r w:rsidR="00320B2C" w:rsidRPr="007D0A45">
        <w:t xml:space="preserve"> with the exception of the OR for one time sexual encounter/booty call (OR = .38). Findings related to this category are also likely biased toward the null because of the small number of women who reported that their last partner was a one time sexual encounter or a booty call (N = 43)</w:t>
      </w:r>
      <w:r w:rsidR="006A256C" w:rsidRPr="007D0A45">
        <w:t>;</w:t>
      </w:r>
      <w:r w:rsidR="00320B2C" w:rsidRPr="007D0A45">
        <w:t xml:space="preserve"> only 11of these women indicating that their last PVI was very pleasurable.</w:t>
      </w:r>
    </w:p>
    <w:p w14:paraId="7203B8BD" w14:textId="3D1CF779" w:rsidR="00E11A54" w:rsidRPr="007D0A45" w:rsidRDefault="00EE3C88" w:rsidP="00EE3C88">
      <w:pPr>
        <w:jc w:val="center"/>
        <w:rPr>
          <w:b/>
        </w:rPr>
      </w:pPr>
      <w:r w:rsidRPr="007D0A45">
        <w:rPr>
          <w:b/>
        </w:rPr>
        <w:t>DISCUSSION</w:t>
      </w:r>
    </w:p>
    <w:p w14:paraId="33BC5952" w14:textId="77777777" w:rsidR="00EE3C88" w:rsidRPr="007D0A45" w:rsidRDefault="00EE3C88" w:rsidP="00EE3C88">
      <w:pPr>
        <w:jc w:val="center"/>
      </w:pPr>
    </w:p>
    <w:p w14:paraId="1526E5FA" w14:textId="3729C6A7" w:rsidR="00463E90" w:rsidRPr="007D0A45" w:rsidRDefault="00F274B2" w:rsidP="006A256C">
      <w:pPr>
        <w:spacing w:line="480" w:lineRule="auto"/>
        <w:ind w:firstLine="720"/>
      </w:pPr>
      <w:r w:rsidRPr="007D0A45">
        <w:t>T</w:t>
      </w:r>
      <w:r w:rsidR="002455D1" w:rsidRPr="007D0A45">
        <w:t xml:space="preserve">he current study </w:t>
      </w:r>
      <w:r w:rsidRPr="007D0A45">
        <w:t xml:space="preserve">investigated </w:t>
      </w:r>
      <w:r w:rsidR="001A651E" w:rsidRPr="007D0A45">
        <w:t xml:space="preserve">whether </w:t>
      </w:r>
      <w:r w:rsidRPr="007D0A45">
        <w:t>pleasure at last PVI differed by condom use or non-use, stratifying by partner type</w:t>
      </w:r>
      <w:r w:rsidR="002455D1" w:rsidRPr="007D0A45">
        <w:t>,</w:t>
      </w:r>
      <w:r w:rsidR="008B40D2" w:rsidRPr="007D0A45">
        <w:t xml:space="preserve"> among a sample of Canadian u</w:t>
      </w:r>
      <w:r w:rsidRPr="007D0A45">
        <w:t xml:space="preserve">niversity students. </w:t>
      </w:r>
      <w:r w:rsidR="00D71247" w:rsidRPr="007D0A45">
        <w:t xml:space="preserve">When the data for the total sample </w:t>
      </w:r>
      <w:r w:rsidR="006A256C" w:rsidRPr="007D0A45">
        <w:t xml:space="preserve">were </w:t>
      </w:r>
      <w:r w:rsidR="00D71247" w:rsidRPr="007D0A45">
        <w:t xml:space="preserve">examined in aggregate, </w:t>
      </w:r>
      <w:r w:rsidR="006A256C" w:rsidRPr="007D0A45">
        <w:t xml:space="preserve">participants </w:t>
      </w:r>
      <w:r w:rsidR="00D71247" w:rsidRPr="007D0A45">
        <w:t xml:space="preserve">were more likely to rate their most recent PVI as very pleasurable if condoms were not used. However, </w:t>
      </w:r>
      <w:r w:rsidR="00911EDF" w:rsidRPr="007D0A45">
        <w:t>when stratified by partner relationship category</w:t>
      </w:r>
      <w:r w:rsidR="00D71247" w:rsidRPr="007D0A45">
        <w:t xml:space="preserve">, differences in pleasure ratings </w:t>
      </w:r>
      <w:r w:rsidR="00911EDF" w:rsidRPr="007D0A45">
        <w:t>among participants who did</w:t>
      </w:r>
      <w:r w:rsidR="00CC420C" w:rsidRPr="007D0A45">
        <w:t xml:space="preserve"> </w:t>
      </w:r>
      <w:r w:rsidR="00911EDF" w:rsidRPr="007D0A45">
        <w:t>and did not</w:t>
      </w:r>
      <w:r w:rsidR="00CC420C" w:rsidRPr="007D0A45">
        <w:t xml:space="preserve"> </w:t>
      </w:r>
      <w:r w:rsidR="00911EDF" w:rsidRPr="007D0A45">
        <w:t xml:space="preserve">use condoms </w:t>
      </w:r>
      <w:r w:rsidR="00CC420C" w:rsidRPr="007D0A45">
        <w:t>were no longer significant for most groups</w:t>
      </w:r>
      <w:r w:rsidR="00911EDF" w:rsidRPr="007D0A45">
        <w:t xml:space="preserve">. Among men, after stratifying by partner type, there were no significant differences in the percentage of men who rated their last PVI as very pleasurable for </w:t>
      </w:r>
      <w:r w:rsidR="00CB30B9" w:rsidRPr="007D0A45">
        <w:t xml:space="preserve">those </w:t>
      </w:r>
      <w:r w:rsidR="00911EDF" w:rsidRPr="007D0A45">
        <w:t>who used condoms versus those who did not</w:t>
      </w:r>
      <w:r w:rsidR="006318A4" w:rsidRPr="007D0A45">
        <w:t>,</w:t>
      </w:r>
      <w:r w:rsidR="00911EDF" w:rsidRPr="007D0A45">
        <w:t xml:space="preserve"> for any partner type category. Among women, after stratifying for partner type, differences in pleasure ratings for women also disappeared with one exception: </w:t>
      </w:r>
      <w:r w:rsidR="00C71531" w:rsidRPr="007D0A45">
        <w:t>women in the committed dating category were more likely to rate their most recent PVI as very pleasur</w:t>
      </w:r>
      <w:r w:rsidR="006318A4" w:rsidRPr="007D0A45">
        <w:t>able</w:t>
      </w:r>
      <w:r w:rsidR="00C71531" w:rsidRPr="007D0A45">
        <w:t xml:space="preserve"> if they did not use </w:t>
      </w:r>
      <w:r w:rsidR="004004E7" w:rsidRPr="007D0A45">
        <w:t xml:space="preserve">a </w:t>
      </w:r>
      <w:r w:rsidR="00C71531" w:rsidRPr="007D0A45">
        <w:t xml:space="preserve">condom. </w:t>
      </w:r>
      <w:r w:rsidR="00B74A1C" w:rsidRPr="007D0A45">
        <w:t xml:space="preserve">There was also a striking relationship between level of relationship commitment and pleasure such that the highest pleasure ratings were reported in the most committed relationships and the lowest pleasure in the most casual relationships. Given that condom use also co-varies with relationship </w:t>
      </w:r>
      <w:r w:rsidR="00B74A1C" w:rsidRPr="007D0A45">
        <w:lastRenderedPageBreak/>
        <w:t>type, t</w:t>
      </w:r>
      <w:r w:rsidR="00C71531" w:rsidRPr="007D0A45">
        <w:t xml:space="preserve">hese findings underscore the importance of considering </w:t>
      </w:r>
      <w:r w:rsidR="00CC420C" w:rsidRPr="007D0A45">
        <w:t>relationship context</w:t>
      </w:r>
      <w:r w:rsidR="00C71531" w:rsidRPr="007D0A45">
        <w:t xml:space="preserve"> in attempting to understand factors that may influence condom use and non-use. </w:t>
      </w:r>
      <w:r w:rsidR="00911EDF" w:rsidRPr="007D0A45">
        <w:t xml:space="preserve"> </w:t>
      </w:r>
      <w:r w:rsidR="001624E3" w:rsidRPr="007D0A45">
        <w:t xml:space="preserve">Without conducting this </w:t>
      </w:r>
      <w:r w:rsidR="00885CC9" w:rsidRPr="007D0A45">
        <w:t xml:space="preserve">partner type </w:t>
      </w:r>
      <w:r w:rsidR="001624E3" w:rsidRPr="007D0A45">
        <w:t xml:space="preserve">analysis, it </w:t>
      </w:r>
      <w:r w:rsidR="005747BF" w:rsidRPr="007D0A45">
        <w:t>can</w:t>
      </w:r>
      <w:r w:rsidR="001624E3" w:rsidRPr="007D0A45">
        <w:t xml:space="preserve"> appear </w:t>
      </w:r>
      <w:r w:rsidR="00885CC9" w:rsidRPr="007D0A45">
        <w:t xml:space="preserve">that </w:t>
      </w:r>
      <w:r w:rsidR="001624E3" w:rsidRPr="007D0A45">
        <w:t xml:space="preserve">the use of condoms </w:t>
      </w:r>
      <w:r w:rsidR="005747BF" w:rsidRPr="007D0A45">
        <w:t>is</w:t>
      </w:r>
      <w:r w:rsidR="00885CC9" w:rsidRPr="007D0A45">
        <w:t xml:space="preserve"> </w:t>
      </w:r>
      <w:r w:rsidR="005747BF" w:rsidRPr="007D0A45">
        <w:t xml:space="preserve">generally </w:t>
      </w:r>
      <w:r w:rsidR="00885CC9" w:rsidRPr="007D0A45">
        <w:t xml:space="preserve">associated with reduced </w:t>
      </w:r>
      <w:r w:rsidR="001624E3" w:rsidRPr="007D0A45">
        <w:t>pleasure</w:t>
      </w:r>
      <w:r w:rsidR="005747BF" w:rsidRPr="007D0A45">
        <w:t xml:space="preserve"> when in fact </w:t>
      </w:r>
      <w:r w:rsidR="007B7A9C" w:rsidRPr="007D0A45">
        <w:t xml:space="preserve">this may only be </w:t>
      </w:r>
      <w:r w:rsidR="006A256C" w:rsidRPr="007D0A45">
        <w:t xml:space="preserve">true </w:t>
      </w:r>
      <w:r w:rsidR="005747BF" w:rsidRPr="007D0A45">
        <w:t>within particular relationship contexts</w:t>
      </w:r>
      <w:r w:rsidR="001624E3" w:rsidRPr="007D0A45">
        <w:t xml:space="preserve">. </w:t>
      </w:r>
      <w:r w:rsidR="00885CC9" w:rsidRPr="007D0A45">
        <w:t>In their national study of U.S.</w:t>
      </w:r>
      <w:r w:rsidR="00891B38" w:rsidRPr="007D0A45">
        <w:t xml:space="preserve"> </w:t>
      </w:r>
      <w:r w:rsidR="00FA60C5" w:rsidRPr="007D0A45">
        <w:t>adults</w:t>
      </w:r>
      <w:r w:rsidR="00891B38" w:rsidRPr="007D0A45">
        <w:t>,</w:t>
      </w:r>
      <w:r w:rsidR="00885CC9" w:rsidRPr="007D0A45">
        <w:t xml:space="preserve"> </w:t>
      </w:r>
      <w:r w:rsidR="001624E3" w:rsidRPr="007D0A45">
        <w:t>Sanders et al. (2010) found that relationship type was</w:t>
      </w:r>
      <w:r w:rsidR="001E56A7" w:rsidRPr="007D0A45">
        <w:t xml:space="preserve"> associated with condom use at last PVI, and controlled for this in their analyses related to sexual pleasure.  </w:t>
      </w:r>
      <w:r w:rsidR="00B53B7C" w:rsidRPr="007D0A45">
        <w:t>Upon doing so, condom use/non-use was not associated with pleasure, arousal, or orgasm for the participant, or their partner, among either men or women.</w:t>
      </w:r>
      <w:r w:rsidR="008B40D2" w:rsidRPr="007D0A45">
        <w:t xml:space="preserve">  </w:t>
      </w:r>
    </w:p>
    <w:p w14:paraId="74F91A65" w14:textId="34D32AA2" w:rsidR="00F274B2" w:rsidRPr="007D0A45" w:rsidRDefault="008B40D2" w:rsidP="00EE5FCA">
      <w:pPr>
        <w:spacing w:line="480" w:lineRule="auto"/>
        <w:ind w:firstLine="720"/>
      </w:pPr>
      <w:r w:rsidRPr="007D0A45">
        <w:t xml:space="preserve">Women in committed dating relationships </w:t>
      </w:r>
      <w:r w:rsidR="00B74A1C" w:rsidRPr="007D0A45">
        <w:t xml:space="preserve">in the current analysis </w:t>
      </w:r>
      <w:r w:rsidR="00422481" w:rsidRPr="007D0A45">
        <w:t xml:space="preserve">were more likely to rate their last PVI as very pleasurable </w:t>
      </w:r>
      <w:r w:rsidR="00B74A1C" w:rsidRPr="007D0A45">
        <w:t xml:space="preserve">if they did </w:t>
      </w:r>
      <w:r w:rsidR="00B74A1C" w:rsidRPr="007D0A45">
        <w:rPr>
          <w:i/>
        </w:rPr>
        <w:t>not</w:t>
      </w:r>
      <w:r w:rsidR="00B74A1C" w:rsidRPr="007D0A45">
        <w:t xml:space="preserve"> use condoms, </w:t>
      </w:r>
      <w:r w:rsidR="00422481" w:rsidRPr="007D0A45">
        <w:t>in comparison to women in this relationship category</w:t>
      </w:r>
      <w:r w:rsidR="00B74A1C" w:rsidRPr="007D0A45">
        <w:t xml:space="preserve"> who did use condoms.  Women in these types of relationships </w:t>
      </w:r>
      <w:r w:rsidRPr="007D0A45">
        <w:t>may have internalized beliefs that condoms are associated with risky partners, whereas non</w:t>
      </w:r>
      <w:r w:rsidR="00A541E4" w:rsidRPr="007D0A45">
        <w:t>-</w:t>
      </w:r>
      <w:r w:rsidRPr="007D0A45">
        <w:t>condom use signifies love and trust</w:t>
      </w:r>
      <w:r w:rsidR="007B7A9C" w:rsidRPr="007D0A45">
        <w:t xml:space="preserve"> (Marston &amp; King, 2006)</w:t>
      </w:r>
      <w:r w:rsidRPr="007D0A45">
        <w:t xml:space="preserve">.  Lower rates of condom use with serious partners are associated with higher levels of perceived love, trust, and intimacy (Brady, </w:t>
      </w:r>
      <w:proofErr w:type="spellStart"/>
      <w:r w:rsidRPr="007D0A45">
        <w:t>Tschann</w:t>
      </w:r>
      <w:proofErr w:type="spellEnd"/>
      <w:r w:rsidRPr="007D0A45">
        <w:t>, Ellen, &amp; Flores, 2009; Corbett, Dickson-Gomez, Hilario, &amp; Weeks, 2009; Marston &amp; King, 2006).  Women in this ‘middle’ stage of relationship commitment (not casual, but not formally committed via cohabitation or marriage) may perceive condom use as a sign that their relationships are not as intimate as they would like.</w:t>
      </w:r>
      <w:r w:rsidR="00E20B0B" w:rsidRPr="007D0A45">
        <w:t xml:space="preserve"> </w:t>
      </w:r>
      <w:r w:rsidR="00CC2A91" w:rsidRPr="007D0A45">
        <w:t xml:space="preserve"> Indeed, conceptualizations of committed relationships as intimate, trusting, and generally monogamous create difficulties around communicating about condoms and safer sex without bringing to mind infidelity and mistrust (</w:t>
      </w:r>
      <w:proofErr w:type="spellStart"/>
      <w:r w:rsidR="00CC2A91" w:rsidRPr="007D0A45">
        <w:t>Emmers</w:t>
      </w:r>
      <w:proofErr w:type="spellEnd"/>
      <w:r w:rsidR="00CC2A91" w:rsidRPr="007D0A45">
        <w:t xml:space="preserve">-Sommer &amp; Allen, 2005).  </w:t>
      </w:r>
      <w:r w:rsidR="00D723AA" w:rsidRPr="007D0A45">
        <w:t xml:space="preserve"> Previous research indicates that increased comfort discussing condom use is related to greater reported condom use (Widman</w:t>
      </w:r>
      <w:r w:rsidR="00F42FC1" w:rsidRPr="007D0A45">
        <w:t xml:space="preserve">, </w:t>
      </w:r>
      <w:proofErr w:type="spellStart"/>
      <w:r w:rsidR="00F42FC1" w:rsidRPr="007D0A45">
        <w:t>Noar</w:t>
      </w:r>
      <w:proofErr w:type="spellEnd"/>
      <w:r w:rsidR="00F42FC1" w:rsidRPr="007D0A45">
        <w:t xml:space="preserve">, </w:t>
      </w:r>
      <w:proofErr w:type="spellStart"/>
      <w:r w:rsidR="00F42FC1" w:rsidRPr="007D0A45">
        <w:t>Choukas</w:t>
      </w:r>
      <w:proofErr w:type="spellEnd"/>
      <w:r w:rsidR="00F42FC1" w:rsidRPr="007D0A45">
        <w:t>-Bradley, &amp; Francis,</w:t>
      </w:r>
      <w:r w:rsidR="00D723AA" w:rsidRPr="007D0A45">
        <w:t xml:space="preserve"> 2014). It may be particularly difficult to discuss condom use, and the </w:t>
      </w:r>
      <w:r w:rsidR="00D723AA" w:rsidRPr="007D0A45">
        <w:lastRenderedPageBreak/>
        <w:t xml:space="preserve">implications and meanings of condom use, in the “committed dating” category – an ‘in-between’ category between casual </w:t>
      </w:r>
      <w:r w:rsidR="00F42FC1" w:rsidRPr="007D0A45">
        <w:t xml:space="preserve">relationships where condom use might be part of the sexual script, and secure, committed relationships </w:t>
      </w:r>
      <w:r w:rsidR="000A2DDE" w:rsidRPr="007D0A45">
        <w:t xml:space="preserve">(i.e., engaged/married) </w:t>
      </w:r>
      <w:r w:rsidR="00F42FC1" w:rsidRPr="007D0A45">
        <w:t xml:space="preserve">where communication patterns are more established.  </w:t>
      </w:r>
    </w:p>
    <w:p w14:paraId="7D456C12" w14:textId="4910AEB0" w:rsidR="003006C0" w:rsidRPr="007D0A45" w:rsidRDefault="00D71870" w:rsidP="00D71870">
      <w:pPr>
        <w:spacing w:line="480" w:lineRule="auto"/>
      </w:pPr>
      <w:r w:rsidRPr="007D0A45">
        <w:tab/>
      </w:r>
      <w:r w:rsidR="00312D00" w:rsidRPr="007D0A45">
        <w:t xml:space="preserve">Consistent with previous research, </w:t>
      </w:r>
      <w:r w:rsidR="008B40D2" w:rsidRPr="007D0A45">
        <w:t>among both men and women</w:t>
      </w:r>
      <w:r w:rsidR="006318A4" w:rsidRPr="007D0A45">
        <w:t>,</w:t>
      </w:r>
      <w:r w:rsidRPr="007D0A45">
        <w:t xml:space="preserve"> </w:t>
      </w:r>
      <w:r w:rsidR="008B40D2" w:rsidRPr="007D0A45">
        <w:t xml:space="preserve">condoms were used more often with casual partners </w:t>
      </w:r>
      <w:r w:rsidRPr="007D0A45">
        <w:t xml:space="preserve">as compared to </w:t>
      </w:r>
      <w:r w:rsidR="008B40D2" w:rsidRPr="007D0A45">
        <w:t xml:space="preserve">more </w:t>
      </w:r>
      <w:r w:rsidRPr="007D0A45">
        <w:t xml:space="preserve">committed </w:t>
      </w:r>
      <w:r w:rsidR="008B40D2" w:rsidRPr="007D0A45">
        <w:t>ones</w:t>
      </w:r>
      <w:r w:rsidR="0080160E" w:rsidRPr="007D0A45">
        <w:t xml:space="preserve"> (</w:t>
      </w:r>
      <w:r w:rsidR="002455D1" w:rsidRPr="007D0A45">
        <w:t xml:space="preserve">Bauman &amp; Berman, 2005; </w:t>
      </w:r>
      <w:proofErr w:type="spellStart"/>
      <w:r w:rsidR="00C368F9" w:rsidRPr="007D0A45">
        <w:t>Fortenberry</w:t>
      </w:r>
      <w:proofErr w:type="spellEnd"/>
      <w:r w:rsidR="00C368F9" w:rsidRPr="007D0A45">
        <w:t xml:space="preserve"> et al., 2002; </w:t>
      </w:r>
      <w:r w:rsidR="00B1073E" w:rsidRPr="007D0A45">
        <w:t>Hock-Long et al., 2013</w:t>
      </w:r>
      <w:r w:rsidR="0016019B" w:rsidRPr="007D0A45">
        <w:t xml:space="preserve">; </w:t>
      </w:r>
      <w:proofErr w:type="spellStart"/>
      <w:r w:rsidR="0080160E" w:rsidRPr="007D0A45">
        <w:t>Lescano</w:t>
      </w:r>
      <w:proofErr w:type="spellEnd"/>
      <w:r w:rsidR="0080160E" w:rsidRPr="007D0A45">
        <w:t>, et al., 2006; Sanders et al., 2010</w:t>
      </w:r>
      <w:r w:rsidRPr="007D0A45">
        <w:t xml:space="preserve">). </w:t>
      </w:r>
      <w:r w:rsidR="008B40D2" w:rsidRPr="007D0A45">
        <w:t xml:space="preserve"> </w:t>
      </w:r>
      <w:r w:rsidR="00C368F9" w:rsidRPr="007D0A45">
        <w:t>This may be due, in large part, t</w:t>
      </w:r>
      <w:r w:rsidRPr="007D0A45">
        <w:t>o the beliefs that committed partners are less inherently risky than casual ones</w:t>
      </w:r>
      <w:r w:rsidR="005378A5" w:rsidRPr="007D0A45">
        <w:t xml:space="preserve"> (</w:t>
      </w:r>
      <w:r w:rsidR="000C1417" w:rsidRPr="007D0A45">
        <w:t xml:space="preserve">de </w:t>
      </w:r>
      <w:proofErr w:type="spellStart"/>
      <w:r w:rsidR="000C1417" w:rsidRPr="007D0A45">
        <w:t>Visser</w:t>
      </w:r>
      <w:proofErr w:type="spellEnd"/>
      <w:r w:rsidR="000C1417" w:rsidRPr="007D0A45">
        <w:t xml:space="preserve"> &amp; Smith, 2001; </w:t>
      </w:r>
      <w:r w:rsidR="00B1073E" w:rsidRPr="007D0A45">
        <w:t>Hock-Long et al., 2013</w:t>
      </w:r>
      <w:r w:rsidR="005C3570" w:rsidRPr="007D0A45">
        <w:t xml:space="preserve">; </w:t>
      </w:r>
      <w:proofErr w:type="spellStart"/>
      <w:r w:rsidR="005C3570" w:rsidRPr="007D0A45">
        <w:t>Lescano</w:t>
      </w:r>
      <w:proofErr w:type="spellEnd"/>
      <w:r w:rsidR="005C3570" w:rsidRPr="007D0A45">
        <w:t xml:space="preserve"> et al., 2006</w:t>
      </w:r>
      <w:r w:rsidR="005378A5" w:rsidRPr="007D0A45">
        <w:t>)</w:t>
      </w:r>
      <w:r w:rsidRPr="007D0A45">
        <w:t>. T</w:t>
      </w:r>
      <w:r w:rsidR="00C368F9" w:rsidRPr="007D0A45">
        <w:t>his belief is a fallacy</w:t>
      </w:r>
      <w:r w:rsidRPr="007D0A45">
        <w:t xml:space="preserve"> because committed partners may carry </w:t>
      </w:r>
      <w:r w:rsidR="00312D00" w:rsidRPr="007D0A45">
        <w:t>a sexually transmitted infection (STI)</w:t>
      </w:r>
      <w:r w:rsidRPr="007D0A45">
        <w:t xml:space="preserve"> from a past relationship, or engage in extra-dyadic sex</w:t>
      </w:r>
      <w:r w:rsidR="00B53B7C" w:rsidRPr="007D0A45">
        <w:t xml:space="preserve"> (Sanders et al., 2010)</w:t>
      </w:r>
      <w:r w:rsidRPr="007D0A45">
        <w:t xml:space="preserve">. </w:t>
      </w:r>
      <w:r w:rsidR="00537D0E" w:rsidRPr="007D0A45">
        <w:t>It is also possible that young adults in the current sample used condoms more often with casual partners co</w:t>
      </w:r>
      <w:r w:rsidR="00345DF7" w:rsidRPr="007D0A45">
        <w:t>mpared to more committed ones because</w:t>
      </w:r>
      <w:r w:rsidR="00537D0E" w:rsidRPr="007D0A45">
        <w:t xml:space="preserve"> casual partners </w:t>
      </w:r>
      <w:r w:rsidR="00312D00" w:rsidRPr="007D0A45">
        <w:t xml:space="preserve">were </w:t>
      </w:r>
      <w:r w:rsidR="00345DF7" w:rsidRPr="007D0A45">
        <w:t>seen as</w:t>
      </w:r>
      <w:r w:rsidR="00A86FE4" w:rsidRPr="007D0A45">
        <w:t xml:space="preserve"> less</w:t>
      </w:r>
      <w:r w:rsidR="00537D0E" w:rsidRPr="007D0A45">
        <w:t xml:space="preserve"> familiar than a committed partner (i.e., the individual may not know if their casual sex partner has been tested for STIs). Past research indicates that being unfamiliar with partners is associated with a higher incidence of STIs (</w:t>
      </w:r>
      <w:proofErr w:type="spellStart"/>
      <w:r w:rsidR="00537D0E" w:rsidRPr="007D0A45">
        <w:t>Laumann</w:t>
      </w:r>
      <w:proofErr w:type="spellEnd"/>
      <w:r w:rsidR="00537D0E" w:rsidRPr="007D0A45">
        <w:t>, Gagnon. Michael &amp; Michaels, 1994).</w:t>
      </w:r>
    </w:p>
    <w:p w14:paraId="702F7B40" w14:textId="200A709A" w:rsidR="00B53B7C" w:rsidRPr="007D0A45" w:rsidRDefault="00B53B7C" w:rsidP="00D71870">
      <w:pPr>
        <w:spacing w:line="480" w:lineRule="auto"/>
      </w:pPr>
      <w:r w:rsidRPr="007D0A45">
        <w:tab/>
        <w:t>Also of note were gender differences in experience of pleasure overall.  Men were more likely than women to rate their last PVI as very pleasurable</w:t>
      </w:r>
      <w:r w:rsidR="008B40D2" w:rsidRPr="007D0A45">
        <w:t xml:space="preserve">.  </w:t>
      </w:r>
      <w:r w:rsidRPr="007D0A45">
        <w:t>Other research has documented gender differences in experiences of sexual pleasure</w:t>
      </w:r>
      <w:r w:rsidR="00B433D9" w:rsidRPr="007D0A45">
        <w:t xml:space="preserve"> and satisfaction</w:t>
      </w:r>
      <w:r w:rsidR="007B3229" w:rsidRPr="007D0A45">
        <w:t xml:space="preserve"> (</w:t>
      </w:r>
      <w:proofErr w:type="spellStart"/>
      <w:r w:rsidR="007B3229" w:rsidRPr="007D0A45">
        <w:t>Galinsky</w:t>
      </w:r>
      <w:proofErr w:type="spellEnd"/>
      <w:r w:rsidR="007B3229" w:rsidRPr="007D0A45">
        <w:t xml:space="preserve"> &amp; </w:t>
      </w:r>
      <w:proofErr w:type="spellStart"/>
      <w:r w:rsidR="007B3229" w:rsidRPr="007D0A45">
        <w:t>Sonenstein</w:t>
      </w:r>
      <w:proofErr w:type="spellEnd"/>
      <w:r w:rsidR="007B3229" w:rsidRPr="007D0A45">
        <w:t>, 2011</w:t>
      </w:r>
      <w:r w:rsidR="00B433D9" w:rsidRPr="007D0A45">
        <w:t xml:space="preserve">; </w:t>
      </w:r>
      <w:proofErr w:type="spellStart"/>
      <w:r w:rsidR="00B433D9" w:rsidRPr="007D0A45">
        <w:t>Haavio-Mannila</w:t>
      </w:r>
      <w:proofErr w:type="spellEnd"/>
      <w:r w:rsidR="00B433D9" w:rsidRPr="007D0A45">
        <w:t xml:space="preserve"> &amp; </w:t>
      </w:r>
      <w:proofErr w:type="spellStart"/>
      <w:r w:rsidR="00B433D9" w:rsidRPr="007D0A45">
        <w:t>Kontula</w:t>
      </w:r>
      <w:proofErr w:type="spellEnd"/>
      <w:r w:rsidR="00B433D9" w:rsidRPr="007D0A45">
        <w:t>, 1997</w:t>
      </w:r>
      <w:r w:rsidRPr="007D0A45">
        <w:t xml:space="preserve">).  </w:t>
      </w:r>
      <w:r w:rsidR="00DA1CD2" w:rsidRPr="007D0A45">
        <w:t xml:space="preserve">For example, men aged 18 to 26 from wave III of the National Longitudinal Study of Adolescent Health (Add Health) were more likely than women to report experiencing orgasm most or all of the time (87% compared to 47%).  </w:t>
      </w:r>
      <w:r w:rsidRPr="007D0A45">
        <w:t xml:space="preserve">Young women may have difficulties communicating about their sexual desires and preferences, and therefore may </w:t>
      </w:r>
      <w:r w:rsidRPr="007D0A45">
        <w:lastRenderedPageBreak/>
        <w:t>engage in unsatisfying</w:t>
      </w:r>
      <w:r w:rsidR="00DA1CD2" w:rsidRPr="007D0A45">
        <w:t xml:space="preserve"> sexual activities (</w:t>
      </w:r>
      <w:proofErr w:type="spellStart"/>
      <w:r w:rsidR="007B3229" w:rsidRPr="007D0A45">
        <w:t>Galinsky</w:t>
      </w:r>
      <w:proofErr w:type="spellEnd"/>
      <w:r w:rsidR="007B3229" w:rsidRPr="007D0A45">
        <w:t xml:space="preserve"> &amp; </w:t>
      </w:r>
      <w:proofErr w:type="spellStart"/>
      <w:r w:rsidR="007B3229" w:rsidRPr="007D0A45">
        <w:t>Sonenstein</w:t>
      </w:r>
      <w:proofErr w:type="spellEnd"/>
      <w:r w:rsidR="007B3229" w:rsidRPr="007D0A45">
        <w:t>, 2011</w:t>
      </w:r>
      <w:r w:rsidR="0016019B" w:rsidRPr="007D0A45">
        <w:t xml:space="preserve">; </w:t>
      </w:r>
      <w:proofErr w:type="spellStart"/>
      <w:r w:rsidR="0016019B" w:rsidRPr="007D0A45">
        <w:t>Impett</w:t>
      </w:r>
      <w:proofErr w:type="spellEnd"/>
      <w:r w:rsidR="0016019B" w:rsidRPr="007D0A45">
        <w:t xml:space="preserve"> &amp; </w:t>
      </w:r>
      <w:proofErr w:type="spellStart"/>
      <w:r w:rsidR="0016019B" w:rsidRPr="007D0A45">
        <w:t>Peplau</w:t>
      </w:r>
      <w:proofErr w:type="spellEnd"/>
      <w:r w:rsidR="0016019B" w:rsidRPr="007D0A45">
        <w:t xml:space="preserve">, 2003; </w:t>
      </w:r>
      <w:proofErr w:type="spellStart"/>
      <w:r w:rsidR="0016019B" w:rsidRPr="007D0A45">
        <w:t>Tolman</w:t>
      </w:r>
      <w:proofErr w:type="spellEnd"/>
      <w:r w:rsidR="0016019B" w:rsidRPr="007D0A45">
        <w:t xml:space="preserve">, 2002).  </w:t>
      </w:r>
      <w:proofErr w:type="spellStart"/>
      <w:r w:rsidR="00DA1CD2" w:rsidRPr="007D0A45">
        <w:t>Galinsky</w:t>
      </w:r>
      <w:proofErr w:type="spellEnd"/>
      <w:r w:rsidR="00DA1CD2" w:rsidRPr="007D0A45">
        <w:t xml:space="preserve"> and </w:t>
      </w:r>
      <w:proofErr w:type="spellStart"/>
      <w:r w:rsidR="00DA1CD2" w:rsidRPr="007D0A45">
        <w:t>Sonenstein</w:t>
      </w:r>
      <w:proofErr w:type="spellEnd"/>
      <w:r w:rsidR="007B3229" w:rsidRPr="007D0A45">
        <w:t xml:space="preserve"> (2011)</w:t>
      </w:r>
      <w:r w:rsidR="00DA1CD2" w:rsidRPr="007D0A45">
        <w:t xml:space="preserve"> found that autonomy and self-esteem were associated with three measures of sexual enjoyment in women (compared with one in men).  Thus, providing opportunities for young women, in particular, to develop sexual confidence and communication, may facilitate experiences of sexual pleasure for </w:t>
      </w:r>
      <w:r w:rsidR="00677D7E" w:rsidRPr="007D0A45">
        <w:t>women</w:t>
      </w:r>
      <w:r w:rsidR="00B433D9" w:rsidRPr="007D0A45">
        <w:t xml:space="preserve"> (</w:t>
      </w:r>
      <w:proofErr w:type="spellStart"/>
      <w:r w:rsidR="00B433D9" w:rsidRPr="007D0A45">
        <w:t>Haavio-Mannila</w:t>
      </w:r>
      <w:proofErr w:type="spellEnd"/>
      <w:r w:rsidR="00B433D9" w:rsidRPr="007D0A45">
        <w:t xml:space="preserve"> &amp; </w:t>
      </w:r>
      <w:proofErr w:type="spellStart"/>
      <w:r w:rsidR="00B433D9" w:rsidRPr="007D0A45">
        <w:t>Kontula</w:t>
      </w:r>
      <w:proofErr w:type="spellEnd"/>
      <w:r w:rsidR="00B433D9" w:rsidRPr="007D0A45">
        <w:t>, 1997)</w:t>
      </w:r>
      <w:r w:rsidR="00DA1CD2" w:rsidRPr="007D0A45">
        <w:t>.</w:t>
      </w:r>
    </w:p>
    <w:p w14:paraId="47ED532F" w14:textId="370154B8" w:rsidR="002011DE" w:rsidRPr="007D0A45" w:rsidRDefault="0016019B" w:rsidP="00D71870">
      <w:pPr>
        <w:spacing w:line="480" w:lineRule="auto"/>
      </w:pPr>
      <w:r w:rsidRPr="007D0A45">
        <w:tab/>
        <w:t>Compounding gender differences in experiences of pleasure is the influence of partner type.  Women in casual relationships were the least likely to report their last PVI was very pleasurable</w:t>
      </w:r>
      <w:r w:rsidR="00885CC9" w:rsidRPr="007D0A45">
        <w:t>. P</w:t>
      </w:r>
      <w:r w:rsidRPr="007D0A45">
        <w:t xml:space="preserve">leasure for women increased incrementally with relationship commitment, though still falling below men’s in each </w:t>
      </w:r>
      <w:r w:rsidR="00885CC9" w:rsidRPr="007D0A45">
        <w:t>relationship group;</w:t>
      </w:r>
      <w:r w:rsidR="002011DE" w:rsidRPr="007D0A45">
        <w:t xml:space="preserve"> </w:t>
      </w:r>
      <w:r w:rsidR="00885CC9" w:rsidRPr="007D0A45">
        <w:t xml:space="preserve">however, </w:t>
      </w:r>
      <w:r w:rsidR="002011DE" w:rsidRPr="007D0A45">
        <w:t>men’s pleasure also increased with relationship commitment</w:t>
      </w:r>
      <w:r w:rsidRPr="007D0A45">
        <w:t xml:space="preserve">. </w:t>
      </w:r>
      <w:proofErr w:type="spellStart"/>
      <w:r w:rsidR="001031F5" w:rsidRPr="007D0A45">
        <w:t>Mah</w:t>
      </w:r>
      <w:proofErr w:type="spellEnd"/>
      <w:r w:rsidR="001031F5" w:rsidRPr="007D0A45">
        <w:t xml:space="preserve"> and </w:t>
      </w:r>
      <w:proofErr w:type="spellStart"/>
      <w:r w:rsidR="001031F5" w:rsidRPr="007D0A45">
        <w:t>Binik</w:t>
      </w:r>
      <w:proofErr w:type="spellEnd"/>
      <w:r w:rsidR="001031F5" w:rsidRPr="007D0A45">
        <w:t xml:space="preserve"> (2001) posit</w:t>
      </w:r>
      <w:r w:rsidR="00885CC9" w:rsidRPr="007D0A45">
        <w:t>ed</w:t>
      </w:r>
      <w:r w:rsidR="001031F5" w:rsidRPr="007D0A45">
        <w:t xml:space="preserve"> that individuals who perceive their relationships to be committed</w:t>
      </w:r>
      <w:r w:rsidR="00FE64B3" w:rsidRPr="007D0A45">
        <w:t xml:space="preserve"> may be less inhibited and anxious</w:t>
      </w:r>
      <w:r w:rsidR="00F576DC" w:rsidRPr="007D0A45">
        <w:t>,</w:t>
      </w:r>
      <w:r w:rsidR="00FE64B3" w:rsidRPr="007D0A45">
        <w:t xml:space="preserve"> </w:t>
      </w:r>
      <w:r w:rsidR="00293756" w:rsidRPr="007D0A45">
        <w:t>and more likely to communicate successfully, facilitating greater sexual pleasure.</w:t>
      </w:r>
      <w:r w:rsidR="008347F7" w:rsidRPr="007D0A45">
        <w:t xml:space="preserve"> </w:t>
      </w:r>
      <w:r w:rsidR="00B433D9" w:rsidRPr="007D0A45">
        <w:t>Waite and Joyner (2001) describe</w:t>
      </w:r>
      <w:r w:rsidR="00885CC9" w:rsidRPr="007D0A45">
        <w:t>d</w:t>
      </w:r>
      <w:r w:rsidR="00B433D9" w:rsidRPr="007D0A45">
        <w:t xml:space="preserve"> “relationship-specific capital” (p.  249) in which c</w:t>
      </w:r>
      <w:r w:rsidR="00536B25" w:rsidRPr="007D0A45">
        <w:t>ouples with greater relationshi</w:t>
      </w:r>
      <w:r w:rsidR="00B433D9" w:rsidRPr="007D0A45">
        <w:t xml:space="preserve">p commitment have more incentive to develop learned skills, including sexual ones, which benefit a primary relationship.  They also predicted that an “extended time horizon” (expecting a relationship to last a long time, an indicator of commitment) would impact women’s sexual satisfaction more than men’s (p. 250).  </w:t>
      </w:r>
      <w:r w:rsidR="00536B25" w:rsidRPr="007D0A45">
        <w:t xml:space="preserve">Indeed, women who expected their relationships to end soon had about </w:t>
      </w:r>
      <w:r w:rsidR="006D5566" w:rsidRPr="007D0A45">
        <w:t>one-tenth</w:t>
      </w:r>
      <w:r w:rsidR="00536B25" w:rsidRPr="007D0A45">
        <w:t xml:space="preserve"> the odds </w:t>
      </w:r>
      <w:r w:rsidR="004C3336" w:rsidRPr="007D0A45">
        <w:t>that</w:t>
      </w:r>
      <w:r w:rsidR="00536B25" w:rsidRPr="007D0A45">
        <w:t xml:space="preserve"> married women </w:t>
      </w:r>
      <w:r w:rsidR="004C3336" w:rsidRPr="007D0A45">
        <w:t xml:space="preserve">did of </w:t>
      </w:r>
      <w:r w:rsidR="00536B25" w:rsidRPr="007D0A45">
        <w:t>report</w:t>
      </w:r>
      <w:r w:rsidR="004C3336" w:rsidRPr="007D0A45">
        <w:t>ing</w:t>
      </w:r>
      <w:r w:rsidR="00536B25" w:rsidRPr="007D0A45">
        <w:t xml:space="preserve"> emotional satisfaction with their sexual life.  Married women and single women who expected their relationships to last a lifetime were more likely than women in any other relationship type to report emotional satisfaction with sexual life; the same relationship was not true for men.  Only single men who expected their relationships to end in less than a year were less satisfied than married men. </w:t>
      </w:r>
    </w:p>
    <w:p w14:paraId="4F25D93B" w14:textId="491BE239" w:rsidR="0016019B" w:rsidRPr="007D0A45" w:rsidRDefault="008347F7" w:rsidP="002011DE">
      <w:pPr>
        <w:spacing w:line="480" w:lineRule="auto"/>
        <w:ind w:firstLine="720"/>
      </w:pPr>
      <w:r w:rsidRPr="007D0A45">
        <w:lastRenderedPageBreak/>
        <w:t>Surprisingly, the current findings</w:t>
      </w:r>
      <w:r w:rsidR="002011DE" w:rsidRPr="007D0A45">
        <w:t xml:space="preserve"> related to pleasure and relationship context </w:t>
      </w:r>
      <w:r w:rsidRPr="007D0A45">
        <w:t xml:space="preserve">contrast </w:t>
      </w:r>
      <w:r w:rsidR="00885CC9" w:rsidRPr="007D0A45">
        <w:t xml:space="preserve">with </w:t>
      </w:r>
      <w:r w:rsidR="00A86FE4" w:rsidRPr="007D0A45">
        <w:t xml:space="preserve">many of </w:t>
      </w:r>
      <w:proofErr w:type="spellStart"/>
      <w:r w:rsidRPr="007D0A45">
        <w:t>Galinsky</w:t>
      </w:r>
      <w:proofErr w:type="spellEnd"/>
      <w:r w:rsidRPr="007D0A45">
        <w:t xml:space="preserve"> and </w:t>
      </w:r>
      <w:proofErr w:type="spellStart"/>
      <w:r w:rsidRPr="007D0A45">
        <w:t>Sonenstein</w:t>
      </w:r>
      <w:r w:rsidR="00885CC9" w:rsidRPr="007D0A45">
        <w:t>’s</w:t>
      </w:r>
      <w:proofErr w:type="spellEnd"/>
      <w:r w:rsidRPr="007D0A45">
        <w:t xml:space="preserve"> (2013) </w:t>
      </w:r>
      <w:r w:rsidR="00A86FE4" w:rsidRPr="007D0A45">
        <w:t>findings</w:t>
      </w:r>
      <w:r w:rsidR="00885CC9" w:rsidRPr="007D0A45">
        <w:t xml:space="preserve">, </w:t>
      </w:r>
      <w:r w:rsidRPr="007D0A45">
        <w:t xml:space="preserve">despite a similar sample demographic (18 to 26 year olds). </w:t>
      </w:r>
      <w:r w:rsidR="00885CC9" w:rsidRPr="007D0A45">
        <w:t>These authors found that</w:t>
      </w:r>
      <w:r w:rsidR="002011DE" w:rsidRPr="007D0A45">
        <w:t xml:space="preserve"> d</w:t>
      </w:r>
      <w:r w:rsidRPr="007D0A45">
        <w:t xml:space="preserve">ating and cohabitating participants were </w:t>
      </w:r>
      <w:r w:rsidRPr="007D0A45">
        <w:rPr>
          <w:i/>
        </w:rPr>
        <w:t>not</w:t>
      </w:r>
      <w:r w:rsidRPr="007D0A45">
        <w:t xml:space="preserve"> significantly different from married ones in terms of sexual enjoyment, with the exception of one contrast comparing liking of vaginal sex among married and dating men.  However, the authors note</w:t>
      </w:r>
      <w:r w:rsidR="00885CC9" w:rsidRPr="007D0A45">
        <w:t>d</w:t>
      </w:r>
      <w:r w:rsidRPr="007D0A45">
        <w:t xml:space="preserve"> </w:t>
      </w:r>
      <w:r w:rsidR="00885CC9" w:rsidRPr="007D0A45">
        <w:t xml:space="preserve">that </w:t>
      </w:r>
      <w:r w:rsidRPr="007D0A45">
        <w:t>their results diverge</w:t>
      </w:r>
      <w:r w:rsidR="00885CC9" w:rsidRPr="007D0A45">
        <w:t>d</w:t>
      </w:r>
      <w:r w:rsidRPr="007D0A45">
        <w:t xml:space="preserve"> from past research in this area, attributing this to their measures of sexual enjoyment and sample characteristics. </w:t>
      </w:r>
      <w:proofErr w:type="spellStart"/>
      <w:r w:rsidRPr="007D0A45">
        <w:t>Galinsky</w:t>
      </w:r>
      <w:proofErr w:type="spellEnd"/>
      <w:r w:rsidRPr="007D0A45">
        <w:t xml:space="preserve"> and </w:t>
      </w:r>
      <w:proofErr w:type="spellStart"/>
      <w:r w:rsidRPr="007D0A45">
        <w:t>Sonenstein</w:t>
      </w:r>
      <w:proofErr w:type="spellEnd"/>
      <w:r w:rsidRPr="007D0A45">
        <w:t xml:space="preserve"> used Add Health survey data in which sexual enjoyment was operationalized as orgasm frequency, liking receiving sexual stimulation from one’s partner, liking providing sexual stimulation to one’s partner, and liking vaginal and oral sex with current partner.  </w:t>
      </w:r>
      <w:r w:rsidR="00720C91" w:rsidRPr="007D0A45">
        <w:t>Using orgasm frequency as an index of sexual enjoyment may be problematic, as research indicates that many women report sexual enjoyment in the absence of orgasm (</w:t>
      </w:r>
      <w:r w:rsidR="00254692" w:rsidRPr="007D0A45">
        <w:t xml:space="preserve">Nicholson &amp; Burr, 2003). </w:t>
      </w:r>
      <w:r w:rsidR="00720C91" w:rsidRPr="007D0A45">
        <w:t>Additionally, t</w:t>
      </w:r>
      <w:r w:rsidRPr="007D0A45">
        <w:t>he items</w:t>
      </w:r>
      <w:r w:rsidR="00720C91" w:rsidRPr="007D0A45">
        <w:t xml:space="preserve"> in </w:t>
      </w:r>
      <w:proofErr w:type="spellStart"/>
      <w:r w:rsidR="00720C91" w:rsidRPr="007D0A45">
        <w:t>Galinsky</w:t>
      </w:r>
      <w:proofErr w:type="spellEnd"/>
      <w:r w:rsidR="00720C91" w:rsidRPr="007D0A45">
        <w:t xml:space="preserve"> and </w:t>
      </w:r>
      <w:proofErr w:type="spellStart"/>
      <w:r w:rsidR="00720C91" w:rsidRPr="007D0A45">
        <w:t>Sonenstein’s</w:t>
      </w:r>
      <w:proofErr w:type="spellEnd"/>
      <w:r w:rsidR="00720C91" w:rsidRPr="007D0A45">
        <w:t xml:space="preserve"> study</w:t>
      </w:r>
      <w:r w:rsidR="009A7CD0" w:rsidRPr="007D0A45">
        <w:t xml:space="preserve"> r</w:t>
      </w:r>
      <w:r w:rsidR="0008125D" w:rsidRPr="007D0A45">
        <w:t xml:space="preserve">eferred to </w:t>
      </w:r>
      <w:r w:rsidR="00613226" w:rsidRPr="007D0A45">
        <w:t xml:space="preserve">overall </w:t>
      </w:r>
      <w:r w:rsidR="0008125D" w:rsidRPr="007D0A45">
        <w:t>enjoyment among individuals in relationships lasting at least three months.  This is in contrast to the event level measures used in the current study.  Further, individuals in the first two partner type categories</w:t>
      </w:r>
      <w:r w:rsidR="00935CD0" w:rsidRPr="007D0A45">
        <w:t xml:space="preserve"> in </w:t>
      </w:r>
      <w:r w:rsidR="00312D00" w:rsidRPr="007D0A45">
        <w:t xml:space="preserve">our study </w:t>
      </w:r>
      <w:r w:rsidR="0008125D" w:rsidRPr="007D0A45">
        <w:t xml:space="preserve">(“one time sexual encounter + booty call” and “friends with benefits (FWB)+ dating not committed”) would have likely been excluded </w:t>
      </w:r>
      <w:r w:rsidR="002011DE" w:rsidRPr="007D0A45">
        <w:t xml:space="preserve">from </w:t>
      </w:r>
      <w:proofErr w:type="spellStart"/>
      <w:r w:rsidR="002011DE" w:rsidRPr="007D0A45">
        <w:t>Galinsky</w:t>
      </w:r>
      <w:proofErr w:type="spellEnd"/>
      <w:r w:rsidR="002011DE" w:rsidRPr="007D0A45">
        <w:t xml:space="preserve"> and </w:t>
      </w:r>
      <w:proofErr w:type="spellStart"/>
      <w:r w:rsidR="002011DE" w:rsidRPr="007D0A45">
        <w:t>Sonenstein</w:t>
      </w:r>
      <w:r w:rsidR="00613226" w:rsidRPr="007D0A45">
        <w:t>’s</w:t>
      </w:r>
      <w:proofErr w:type="spellEnd"/>
      <w:r w:rsidR="00613226" w:rsidRPr="007D0A45">
        <w:t xml:space="preserve"> sample</w:t>
      </w:r>
      <w:r w:rsidR="002011DE" w:rsidRPr="007D0A45">
        <w:t xml:space="preserve"> </w:t>
      </w:r>
      <w:r w:rsidR="0008125D" w:rsidRPr="007D0A45">
        <w:t xml:space="preserve">based on the </w:t>
      </w:r>
      <w:proofErr w:type="gramStart"/>
      <w:r w:rsidR="0008125D" w:rsidRPr="007D0A45">
        <w:t>three month</w:t>
      </w:r>
      <w:proofErr w:type="gramEnd"/>
      <w:r w:rsidR="0008125D" w:rsidRPr="007D0A45">
        <w:t xml:space="preserve"> relationship eligibility requirement.  Interestingly, </w:t>
      </w:r>
      <w:r w:rsidRPr="007D0A45">
        <w:rPr>
          <w:i/>
        </w:rPr>
        <w:t>subjective relationship commitment</w:t>
      </w:r>
      <w:r w:rsidRPr="007D0A45">
        <w:t xml:space="preserve"> </w:t>
      </w:r>
      <w:r w:rsidR="004C3336" w:rsidRPr="007D0A45">
        <w:t xml:space="preserve">(in contrast to the null findings related to relationship </w:t>
      </w:r>
      <w:r w:rsidR="004C3336" w:rsidRPr="007D0A45">
        <w:rPr>
          <w:i/>
        </w:rPr>
        <w:t>type</w:t>
      </w:r>
      <w:r w:rsidR="004C3336" w:rsidRPr="007D0A45">
        <w:t xml:space="preserve">) </w:t>
      </w:r>
      <w:r w:rsidRPr="007D0A45">
        <w:t>was associated with four indicators of sexual enjoyment among</w:t>
      </w:r>
      <w:r w:rsidR="0008125D" w:rsidRPr="007D0A45">
        <w:t xml:space="preserve"> the</w:t>
      </w:r>
      <w:r w:rsidRPr="007D0A45">
        <w:t xml:space="preserve"> 18 to 26 Add Health participants (</w:t>
      </w:r>
      <w:proofErr w:type="spellStart"/>
      <w:r w:rsidRPr="007D0A45">
        <w:t>Galinsky</w:t>
      </w:r>
      <w:proofErr w:type="spellEnd"/>
      <w:r w:rsidRPr="007D0A45">
        <w:t xml:space="preserve"> &amp; </w:t>
      </w:r>
      <w:proofErr w:type="spellStart"/>
      <w:r w:rsidRPr="007D0A45">
        <w:t>Sonenstein</w:t>
      </w:r>
      <w:proofErr w:type="spellEnd"/>
      <w:r w:rsidRPr="007D0A45">
        <w:t xml:space="preserve">, 2013). </w:t>
      </w:r>
      <w:r w:rsidR="004C3336" w:rsidRPr="007D0A45">
        <w:t>E</w:t>
      </w:r>
      <w:r w:rsidRPr="007D0A45">
        <w:t xml:space="preserve">merging adults </w:t>
      </w:r>
      <w:r w:rsidR="004C3336" w:rsidRPr="007D0A45">
        <w:t xml:space="preserve">in </w:t>
      </w:r>
      <w:proofErr w:type="spellStart"/>
      <w:r w:rsidR="004C3336" w:rsidRPr="007D0A45">
        <w:t>Galinsky</w:t>
      </w:r>
      <w:proofErr w:type="spellEnd"/>
      <w:r w:rsidR="004C3336" w:rsidRPr="007D0A45">
        <w:t xml:space="preserve"> and </w:t>
      </w:r>
      <w:proofErr w:type="spellStart"/>
      <w:r w:rsidR="004C3336" w:rsidRPr="007D0A45">
        <w:t>Sonenstein</w:t>
      </w:r>
      <w:proofErr w:type="spellEnd"/>
      <w:r w:rsidR="004C3336" w:rsidRPr="007D0A45">
        <w:t xml:space="preserve"> (2013) </w:t>
      </w:r>
      <w:r w:rsidRPr="007D0A45">
        <w:t xml:space="preserve">who </w:t>
      </w:r>
      <w:r w:rsidRPr="007D0A45">
        <w:rPr>
          <w:i/>
        </w:rPr>
        <w:t>perceived themselves</w:t>
      </w:r>
      <w:r w:rsidRPr="007D0A45">
        <w:t xml:space="preserve"> to be in more committed relationships enjoyed their sexual activities more, on average, than those who perceived themselves to be in less committed relationships.</w:t>
      </w:r>
    </w:p>
    <w:p w14:paraId="3491B14A" w14:textId="01D3DA14" w:rsidR="00734547" w:rsidRPr="007D0A45" w:rsidRDefault="0059555E" w:rsidP="00F12CD9">
      <w:pPr>
        <w:spacing w:line="480" w:lineRule="auto"/>
        <w:ind w:firstLine="720"/>
        <w:rPr>
          <w:lang w:val="en-GB"/>
        </w:rPr>
      </w:pPr>
      <w:r w:rsidRPr="007D0A45">
        <w:lastRenderedPageBreak/>
        <w:t>This is the first stu</w:t>
      </w:r>
      <w:r w:rsidR="00B00E5B" w:rsidRPr="007D0A45">
        <w:t xml:space="preserve">dy to investigate </w:t>
      </w:r>
      <w:r w:rsidR="00533C63" w:rsidRPr="007D0A45">
        <w:t>ratings</w:t>
      </w:r>
      <w:r w:rsidR="00B00E5B" w:rsidRPr="007D0A45">
        <w:t xml:space="preserve"> of pleasure when condoms were used and not used at last PVI, stratified</w:t>
      </w:r>
      <w:r w:rsidRPr="007D0A45">
        <w:t xml:space="preserve"> by partner type</w:t>
      </w:r>
      <w:r w:rsidR="00B00E5B" w:rsidRPr="007D0A45">
        <w:t>,</w:t>
      </w:r>
      <w:r w:rsidRPr="007D0A45">
        <w:t xml:space="preserve"> in a national sample of Canadian university students.  </w:t>
      </w:r>
      <w:r w:rsidR="00A91BCB" w:rsidRPr="007D0A45">
        <w:t>Stratifying by partner type makes a critical contribution, as doing so</w:t>
      </w:r>
      <w:r w:rsidR="00533C63" w:rsidRPr="007D0A45">
        <w:t>, suggests that</w:t>
      </w:r>
      <w:r w:rsidR="00A91BCB" w:rsidRPr="007D0A45">
        <w:t xml:space="preserve"> condom use</w:t>
      </w:r>
      <w:r w:rsidR="00E10546" w:rsidRPr="007D0A45">
        <w:t xml:space="preserve"> within most relationship contexts</w:t>
      </w:r>
      <w:r w:rsidR="00A91BCB" w:rsidRPr="007D0A45">
        <w:t xml:space="preserve"> </w:t>
      </w:r>
      <w:r w:rsidR="007B31F2" w:rsidRPr="007D0A45">
        <w:t>is not associated with</w:t>
      </w:r>
      <w:r w:rsidR="00287CD0" w:rsidRPr="007D0A45">
        <w:t xml:space="preserve"> </w:t>
      </w:r>
      <w:r w:rsidR="00A91BCB" w:rsidRPr="007D0A45">
        <w:t>less pleasurable</w:t>
      </w:r>
      <w:r w:rsidR="00287CD0" w:rsidRPr="007D0A45">
        <w:t xml:space="preserve"> PVI</w:t>
      </w:r>
      <w:r w:rsidR="00A91BCB" w:rsidRPr="007D0A45">
        <w:t>.  The</w:t>
      </w:r>
      <w:r w:rsidR="00287CD0" w:rsidRPr="007D0A45">
        <w:t>se</w:t>
      </w:r>
      <w:r w:rsidR="00A91BCB" w:rsidRPr="007D0A45">
        <w:t xml:space="preserve"> </w:t>
      </w:r>
      <w:r w:rsidR="00613226" w:rsidRPr="007D0A45">
        <w:t xml:space="preserve">findings </w:t>
      </w:r>
      <w:r w:rsidR="00A91BCB" w:rsidRPr="007D0A45">
        <w:t>also support past research indicating that pleasure at PVI increases with level of relationship commitment</w:t>
      </w:r>
      <w:r w:rsidR="009F7875" w:rsidRPr="007D0A45">
        <w:t xml:space="preserve"> (Waite &amp; Joyner, 2001)</w:t>
      </w:r>
      <w:r w:rsidR="00A91BCB" w:rsidRPr="007D0A45">
        <w:t>, while condom use concomitantly decreases</w:t>
      </w:r>
      <w:r w:rsidR="009F7875" w:rsidRPr="007D0A45">
        <w:t xml:space="preserve"> (</w:t>
      </w:r>
      <w:proofErr w:type="spellStart"/>
      <w:r w:rsidR="009F7875" w:rsidRPr="007D0A45">
        <w:t>Fortenberry</w:t>
      </w:r>
      <w:proofErr w:type="spellEnd"/>
      <w:r w:rsidR="009F7875" w:rsidRPr="007D0A45">
        <w:t xml:space="preserve"> et al., 2002)</w:t>
      </w:r>
      <w:r w:rsidR="00A91BCB" w:rsidRPr="007D0A45">
        <w:t xml:space="preserve">.  This </w:t>
      </w:r>
      <w:r w:rsidRPr="007D0A45">
        <w:t>is</w:t>
      </w:r>
      <w:r w:rsidR="006D5566" w:rsidRPr="007D0A45">
        <w:t xml:space="preserve"> also</w:t>
      </w:r>
      <w:r w:rsidRPr="007D0A45">
        <w:t xml:space="preserve"> one of the few studies</w:t>
      </w:r>
      <w:r w:rsidR="00287CD0" w:rsidRPr="007D0A45">
        <w:t>, along with Sanders et al. (2010)</w:t>
      </w:r>
      <w:r w:rsidR="00A86FE4" w:rsidRPr="007D0A45">
        <w:t>,</w:t>
      </w:r>
      <w:r w:rsidRPr="007D0A45">
        <w:t xml:space="preserve"> to examine </w:t>
      </w:r>
      <w:r w:rsidR="00B00E5B" w:rsidRPr="007D0A45">
        <w:t xml:space="preserve">sexual pleasure and condom use at the event level.  </w:t>
      </w:r>
      <w:r w:rsidRPr="007D0A45">
        <w:t xml:space="preserve">This type of analysis </w:t>
      </w:r>
      <w:r w:rsidR="00B00E5B" w:rsidRPr="007D0A45">
        <w:t xml:space="preserve">allows for more precise evaluation of associations between condom use and situational and experiential variables specific to that event. </w:t>
      </w:r>
      <w:r w:rsidR="00A73CC5" w:rsidRPr="007D0A45">
        <w:t xml:space="preserve">Further, condom use at last PVI has been shown to be a valid proxy for condom use over longer periods of time </w:t>
      </w:r>
      <w:r w:rsidR="00FE64B3" w:rsidRPr="007D0A45">
        <w:t>(</w:t>
      </w:r>
      <w:proofErr w:type="spellStart"/>
      <w:r w:rsidR="00FE64B3" w:rsidRPr="007D0A45">
        <w:t>Younge</w:t>
      </w:r>
      <w:proofErr w:type="spellEnd"/>
      <w:r w:rsidR="00FE64B3" w:rsidRPr="007D0A45">
        <w:t xml:space="preserve"> et al., 2008). </w:t>
      </w:r>
      <w:r w:rsidR="00B00E5B" w:rsidRPr="007D0A45">
        <w:t xml:space="preserve"> </w:t>
      </w:r>
      <w:r w:rsidR="00734547" w:rsidRPr="007D0A45">
        <w:t xml:space="preserve">The methodology used in our study, however, differed from that of Sanders et al. (2010) who included </w:t>
      </w:r>
      <w:r w:rsidR="00734547" w:rsidRPr="007D0A45">
        <w:rPr>
          <w:lang w:val="en-GB"/>
        </w:rPr>
        <w:t xml:space="preserve">relationship type as a covariate in the analyses on condom use and pleasure. In contrast, our study explicitly examined relationships between condom use and pleasure for each relationship type separately. </w:t>
      </w:r>
    </w:p>
    <w:p w14:paraId="1D40C2D0" w14:textId="324A906E" w:rsidR="004061ED" w:rsidRPr="007D0A45" w:rsidRDefault="00971BD4" w:rsidP="000A2DDE">
      <w:pPr>
        <w:spacing w:line="480" w:lineRule="auto"/>
        <w:ind w:firstLine="720"/>
        <w:rPr>
          <w:i/>
          <w:color w:val="FF0000"/>
        </w:rPr>
      </w:pPr>
      <w:r w:rsidRPr="007D0A45">
        <w:t xml:space="preserve">Several limitations are noteworthy. Notably, the small numbers of men (n = 44) who were in committed relationships created a bias toward the null as a consequence of inadequate statistical power. This same observation applies to the small number of women (n = 43) in the category of “one night stand.”  </w:t>
      </w:r>
      <w:r w:rsidR="004061ED" w:rsidRPr="007D0A45">
        <w:t xml:space="preserve">Findings are limited to the degree that recalling sexual </w:t>
      </w:r>
      <w:proofErr w:type="spellStart"/>
      <w:r w:rsidR="004061ED" w:rsidRPr="007D0A45">
        <w:t>behaviours</w:t>
      </w:r>
      <w:proofErr w:type="spellEnd"/>
      <w:r w:rsidR="004061ED" w:rsidRPr="007D0A45">
        <w:t xml:space="preserve"> over the past year may be inaccurate.  However, analyses were conducted with a reduced sample of only participants who reported on encounters over the past three months and the pattern of results was the same.  </w:t>
      </w:r>
      <w:r w:rsidR="00A91BCB" w:rsidRPr="007D0A45">
        <w:t xml:space="preserve">The results cannot be generalized beyond a Canadian </w:t>
      </w:r>
      <w:r w:rsidR="00225331" w:rsidRPr="007D0A45">
        <w:t xml:space="preserve">university </w:t>
      </w:r>
      <w:r w:rsidR="00A91BCB" w:rsidRPr="007D0A45">
        <w:t xml:space="preserve">student sample, and because of the relatively brief nature of the survey, validated scales were not utilized. </w:t>
      </w:r>
      <w:r w:rsidR="005B017A" w:rsidRPr="007D0A45">
        <w:t xml:space="preserve">Further, 6.7% of individuals who received the recruitment email clicked on the link to </w:t>
      </w:r>
      <w:r w:rsidR="005B017A" w:rsidRPr="007D0A45">
        <w:lastRenderedPageBreak/>
        <w:t xml:space="preserve">access the survey, and approximately one-third of these were disqualified because they had not met the eligibility criteria or because quotas had been met.  Though this click-through rate is common </w:t>
      </w:r>
      <w:r w:rsidR="002473C3" w:rsidRPr="007D0A45">
        <w:t>for large scale marketing research</w:t>
      </w:r>
      <w:r w:rsidR="005B017A" w:rsidRPr="007D0A45">
        <w:t xml:space="preserve"> (</w:t>
      </w:r>
      <w:r w:rsidR="002473C3" w:rsidRPr="007D0A45">
        <w:t xml:space="preserve">Leger Marketing, </w:t>
      </w:r>
      <w:r w:rsidR="005B017A" w:rsidRPr="007D0A45">
        <w:t xml:space="preserve">personal communication), these issues may raise some concerns about sampling bias and generalizability of findings. </w:t>
      </w:r>
      <w:r w:rsidR="00F12CD9" w:rsidRPr="007D0A45">
        <w:t>A further limitation involves the necessary decision to dichotomize the continuous distributions pertaining to pleasure at last vaginal sex. The primary sacrifice made when using this method involves a greater risk of Type II error, thus it is possible that the lack of significance for the sub-group analyses may be partly attributable to the use of dichotomized variables.</w:t>
      </w:r>
      <w:r w:rsidR="00F12CD9" w:rsidRPr="007D0A45">
        <w:rPr>
          <w:i/>
          <w:color w:val="FF0000"/>
        </w:rPr>
        <w:t xml:space="preserve"> </w:t>
      </w:r>
      <w:r w:rsidR="00A91BCB" w:rsidRPr="007D0A45">
        <w:t xml:space="preserve">Nonetheless, </w:t>
      </w:r>
      <w:r w:rsidR="005B017A" w:rsidRPr="007D0A45">
        <w:t>results</w:t>
      </w:r>
      <w:r w:rsidR="00A91BCB" w:rsidRPr="007D0A45">
        <w:t xml:space="preserve"> from this study can be used to buttress interventions seeking to increase condom use, providing further support for the idea that condom use does not negate pleasure (Sanders et al., 2010).  </w:t>
      </w:r>
    </w:p>
    <w:p w14:paraId="543A5E13" w14:textId="697E49A8" w:rsidR="003879F2" w:rsidRPr="007D0A45" w:rsidRDefault="004061ED">
      <w:pPr>
        <w:spacing w:line="480" w:lineRule="auto"/>
        <w:ind w:firstLine="720"/>
      </w:pPr>
      <w:r w:rsidRPr="007D0A45">
        <w:t>T</w:t>
      </w:r>
      <w:r w:rsidR="00A91BCB" w:rsidRPr="007D0A45">
        <w:t xml:space="preserve">hese findings underscore the importance of attending to the relationship factors that impact condom use motivations and </w:t>
      </w:r>
      <w:proofErr w:type="spellStart"/>
      <w:r w:rsidR="00A91BCB" w:rsidRPr="007D0A45">
        <w:t>be</w:t>
      </w:r>
      <w:r w:rsidR="00B1073E" w:rsidRPr="007D0A45">
        <w:t>haviours</w:t>
      </w:r>
      <w:proofErr w:type="spellEnd"/>
      <w:r w:rsidR="00B1073E" w:rsidRPr="007D0A45">
        <w:t xml:space="preserve"> (Hock-Long et al., 2013</w:t>
      </w:r>
      <w:r w:rsidR="00A91BCB" w:rsidRPr="007D0A45">
        <w:t xml:space="preserve">).  </w:t>
      </w:r>
      <w:r w:rsidR="009F7875" w:rsidRPr="007D0A45">
        <w:t xml:space="preserve">Current and past research demonstrates that condom use, and condom use experience, </w:t>
      </w:r>
      <w:r w:rsidR="00A91BCB" w:rsidRPr="007D0A45">
        <w:t>is best explained in the context of the sexual interaction</w:t>
      </w:r>
      <w:r w:rsidR="00B1073E" w:rsidRPr="007D0A45">
        <w:t xml:space="preserve"> (Hock-Long et al., 2013</w:t>
      </w:r>
      <w:r w:rsidR="009F7875" w:rsidRPr="007D0A45">
        <w:t xml:space="preserve">; </w:t>
      </w:r>
      <w:proofErr w:type="spellStart"/>
      <w:r w:rsidR="009F7875" w:rsidRPr="007D0A45">
        <w:t>Lescano</w:t>
      </w:r>
      <w:proofErr w:type="spellEnd"/>
      <w:r w:rsidR="009F7875" w:rsidRPr="007D0A45">
        <w:t xml:space="preserve"> et al., 2006)</w:t>
      </w:r>
      <w:r w:rsidR="00A91BCB" w:rsidRPr="007D0A45">
        <w:t>.</w:t>
      </w:r>
      <w:r w:rsidR="009F7875" w:rsidRPr="007D0A45">
        <w:t xml:space="preserve">  Further, </w:t>
      </w:r>
      <w:r w:rsidR="008963D5" w:rsidRPr="007D0A45">
        <w:t xml:space="preserve">being in a committed </w:t>
      </w:r>
      <w:r w:rsidR="009F7875" w:rsidRPr="007D0A45">
        <w:t>relationship</w:t>
      </w:r>
      <w:r w:rsidR="008963D5" w:rsidRPr="007D0A45">
        <w:t xml:space="preserve"> does not in an</w:t>
      </w:r>
      <w:r w:rsidR="00E04D40" w:rsidRPr="007D0A45">
        <w:t>d of itself</w:t>
      </w:r>
      <w:r w:rsidR="009F7875" w:rsidRPr="007D0A45">
        <w:t xml:space="preserve"> protect against the spread of STI</w:t>
      </w:r>
      <w:r w:rsidR="00595DA2" w:rsidRPr="007D0A45">
        <w:t>s</w:t>
      </w:r>
      <w:r w:rsidR="00DA4475" w:rsidRPr="007D0A45">
        <w:t xml:space="preserve"> (e.g., partners may be having extra-dyadic sex, or one or both partners had an STI when the relationship began)</w:t>
      </w:r>
      <w:r w:rsidR="009F7875" w:rsidRPr="007D0A45">
        <w:t xml:space="preserve">, and so individuals who are in these types of relationships should not be neglected in public health </w:t>
      </w:r>
      <w:r w:rsidR="0037284D" w:rsidRPr="007D0A45">
        <w:t>endeavors</w:t>
      </w:r>
      <w:r w:rsidR="009F7875" w:rsidRPr="007D0A45">
        <w:t xml:space="preserve">.  Indeed, individuals in relationships characterized by love and trust are the </w:t>
      </w:r>
      <w:r w:rsidR="009F7875" w:rsidRPr="007D0A45">
        <w:rPr>
          <w:i/>
        </w:rPr>
        <w:t xml:space="preserve">least </w:t>
      </w:r>
      <w:r w:rsidR="009F7875" w:rsidRPr="007D0A45">
        <w:t>likely to use condoms</w:t>
      </w:r>
      <w:r w:rsidR="00FE64B3" w:rsidRPr="007D0A45">
        <w:t xml:space="preserve"> (Adams et al., 2005; Bauman, </w:t>
      </w:r>
      <w:proofErr w:type="spellStart"/>
      <w:r w:rsidR="00FE64B3" w:rsidRPr="007D0A45">
        <w:t>Karasz</w:t>
      </w:r>
      <w:proofErr w:type="spellEnd"/>
      <w:r w:rsidR="00FE64B3" w:rsidRPr="007D0A45">
        <w:t xml:space="preserve">, &amp; Hamilton, 2007; Ostergren et al., 2011; Ryan et al., 2009; </w:t>
      </w:r>
      <w:proofErr w:type="spellStart"/>
      <w:r w:rsidR="00FE64B3" w:rsidRPr="007D0A45">
        <w:t>Sayegh</w:t>
      </w:r>
      <w:proofErr w:type="spellEnd"/>
      <w:r w:rsidR="00FE64B3" w:rsidRPr="007D0A45">
        <w:t xml:space="preserve"> et al., 2006).</w:t>
      </w:r>
      <w:r w:rsidR="00613226" w:rsidRPr="007D0A45">
        <w:t xml:space="preserve"> </w:t>
      </w:r>
      <w:r w:rsidR="009F7875" w:rsidRPr="007D0A45">
        <w:t xml:space="preserve">Finally, pleasure as an outcome should be </w:t>
      </w:r>
      <w:r w:rsidR="00613226" w:rsidRPr="007D0A45">
        <w:t>given more attention by researchers</w:t>
      </w:r>
      <w:r w:rsidR="00CF77D0" w:rsidRPr="007D0A45">
        <w:t xml:space="preserve"> who study condom use</w:t>
      </w:r>
      <w:r w:rsidR="00351280" w:rsidRPr="007D0A45">
        <w:t xml:space="preserve"> (Graham, 2012).</w:t>
      </w:r>
      <w:r w:rsidR="009F7875" w:rsidRPr="007D0A45">
        <w:t xml:space="preserve">  Despite widespread agreement in sexuality education and policy (</w:t>
      </w:r>
      <w:r w:rsidR="00CD201A" w:rsidRPr="007D0A45">
        <w:rPr>
          <w:color w:val="000000" w:themeColor="text1"/>
        </w:rPr>
        <w:t>Public Health Agency of Canada, 2008</w:t>
      </w:r>
      <w:r w:rsidR="009F7875" w:rsidRPr="007D0A45">
        <w:t xml:space="preserve">) that sexual health is more than the absence of disease, violence, or other </w:t>
      </w:r>
      <w:r w:rsidR="009F7875" w:rsidRPr="007D0A45">
        <w:lastRenderedPageBreak/>
        <w:t>problems, positive aspects of sexuality are understudied in the literature (</w:t>
      </w:r>
      <w:proofErr w:type="spellStart"/>
      <w:r w:rsidR="009F7875" w:rsidRPr="007D0A45">
        <w:t>Galinsky</w:t>
      </w:r>
      <w:proofErr w:type="spellEnd"/>
      <w:r w:rsidR="009F7875" w:rsidRPr="007D0A45">
        <w:t xml:space="preserve"> &amp; </w:t>
      </w:r>
      <w:proofErr w:type="spellStart"/>
      <w:r w:rsidR="009F7875" w:rsidRPr="007D0A45">
        <w:t>Sonenstein</w:t>
      </w:r>
      <w:proofErr w:type="spellEnd"/>
      <w:r w:rsidR="009F7875" w:rsidRPr="007D0A45">
        <w:t>, 2013).  This study contributes to the body of knowledge connecting sexual health and pleasure</w:t>
      </w:r>
      <w:r w:rsidR="008963D5" w:rsidRPr="007D0A45">
        <w:t>,</w:t>
      </w:r>
      <w:r w:rsidR="009F7875" w:rsidRPr="007D0A45">
        <w:t xml:space="preserve"> and underscores that health protective </w:t>
      </w:r>
      <w:r w:rsidR="00FE64B3" w:rsidRPr="007D0A45">
        <w:t>activities</w:t>
      </w:r>
      <w:r w:rsidR="009F7875" w:rsidRPr="007D0A45">
        <w:t xml:space="preserve"> do not </w:t>
      </w:r>
      <w:r w:rsidR="00677D7E" w:rsidRPr="007D0A45">
        <w:t xml:space="preserve">necessarily </w:t>
      </w:r>
      <w:r w:rsidR="00FE64B3" w:rsidRPr="007D0A45">
        <w:t>contravene</w:t>
      </w:r>
      <w:r w:rsidR="009F7875" w:rsidRPr="007D0A45">
        <w:t xml:space="preserve"> pleasure.</w:t>
      </w:r>
      <w:r w:rsidR="006249B9" w:rsidRPr="007D0A45">
        <w:t xml:space="preserve"> </w:t>
      </w:r>
    </w:p>
    <w:p w14:paraId="447879E2" w14:textId="6CB56CFF" w:rsidR="007B775E" w:rsidRPr="007D0A45" w:rsidRDefault="00FE16F5" w:rsidP="00CF2CC0">
      <w:pPr>
        <w:spacing w:line="480" w:lineRule="auto"/>
        <w:ind w:firstLine="720"/>
      </w:pPr>
      <w:r w:rsidRPr="007D0A45">
        <w:t>For men, o</w:t>
      </w:r>
      <w:r w:rsidR="003879F2" w:rsidRPr="007D0A45">
        <w:t xml:space="preserve">nce </w:t>
      </w:r>
      <w:r w:rsidRPr="007D0A45">
        <w:t xml:space="preserve">participants were </w:t>
      </w:r>
      <w:r w:rsidR="003879F2" w:rsidRPr="007D0A45">
        <w:t>st</w:t>
      </w:r>
      <w:r w:rsidRPr="007D0A45">
        <w:t>ratif</w:t>
      </w:r>
      <w:r w:rsidR="003879F2" w:rsidRPr="007D0A45">
        <w:t xml:space="preserve">ied by partner type, </w:t>
      </w:r>
      <w:r w:rsidRPr="007D0A45">
        <w:t xml:space="preserve">differences in reported pleasure during PVI (with and without a condom) largely disappeared. Given that men in particular are less likely to use condoms due to the perception that they decrease pleasure (Randolph et al., 2007), the results of the current research can be used to inform condom use interventions aimed at young men. </w:t>
      </w:r>
      <w:r w:rsidR="007E51E5" w:rsidRPr="007D0A45">
        <w:t xml:space="preserve">The finding of the current study that young adult women in committed dating relationships are less likely than women in less committed relationships (e.g., dating but not committed) or women in more committed relationships (e.g., living together, engaged, married) to rate PVI with condoms as very pleasurable </w:t>
      </w:r>
      <w:r w:rsidR="00237345" w:rsidRPr="007D0A45">
        <w:t>should also</w:t>
      </w:r>
      <w:r w:rsidR="007E51E5" w:rsidRPr="007D0A45">
        <w:t xml:space="preserve"> inform sexual health education programs. Research indicates that some individuals employ non-use of condoms as a way to maintain an intimate relationship, despite the knowledge that it increases their health risk (Corbett, Dickson-Gomez, Hilario, &amp; Weeks, 2009). Often there is the assumption that known partners are “safer” or that not using a condom is a symbol of increased trust.  However, if partners have not recently been tested and/or discussed their STI status, this is an inaccurate assumption. </w:t>
      </w:r>
      <w:r w:rsidR="007A00D0" w:rsidRPr="007D0A45">
        <w:t>The correct use of condoms remains one of the most effective means for reducing STIs (</w:t>
      </w:r>
      <w:proofErr w:type="spellStart"/>
      <w:r w:rsidR="007A00D0" w:rsidRPr="007D0A45">
        <w:t>Alfonsi</w:t>
      </w:r>
      <w:proofErr w:type="spellEnd"/>
      <w:r w:rsidR="007A00D0" w:rsidRPr="007D0A45">
        <w:t xml:space="preserve"> &amp; </w:t>
      </w:r>
      <w:proofErr w:type="spellStart"/>
      <w:r w:rsidR="007A00D0" w:rsidRPr="007D0A45">
        <w:t>Shlay</w:t>
      </w:r>
      <w:proofErr w:type="spellEnd"/>
      <w:r w:rsidR="007A00D0" w:rsidRPr="007D0A45">
        <w:t xml:space="preserve">, 2005; Gallo et al., 2007). </w:t>
      </w:r>
      <w:r w:rsidR="007E51E5" w:rsidRPr="007D0A45">
        <w:t>Sexu</w:t>
      </w:r>
      <w:r w:rsidR="00484E7F" w:rsidRPr="007D0A45">
        <w:t>al health education programs should</w:t>
      </w:r>
      <w:r w:rsidR="007E51E5" w:rsidRPr="007D0A45">
        <w:t xml:space="preserve"> seek to address the role that condoms may play in detracting from feelings of intimacy</w:t>
      </w:r>
      <w:r w:rsidR="00992AA4" w:rsidRPr="007D0A45">
        <w:t xml:space="preserve"> </w:t>
      </w:r>
      <w:r w:rsidR="007E51E5" w:rsidRPr="007D0A45">
        <w:t>and relationship enhancement among young women</w:t>
      </w:r>
      <w:r w:rsidR="00595DA2" w:rsidRPr="007D0A45">
        <w:t>,</w:t>
      </w:r>
      <w:r w:rsidR="00992AA4" w:rsidRPr="007D0A45">
        <w:t xml:space="preserve"> particularly those</w:t>
      </w:r>
      <w:r w:rsidR="007E51E5" w:rsidRPr="007D0A45">
        <w:t xml:space="preserve"> in committed dating relationships, and examine ways that partners can build trust and communication skills that allow them to safely negotiate safer sex </w:t>
      </w:r>
      <w:proofErr w:type="spellStart"/>
      <w:r w:rsidR="007E51E5" w:rsidRPr="007D0A45">
        <w:t>behaviours</w:t>
      </w:r>
      <w:proofErr w:type="spellEnd"/>
      <w:r w:rsidR="007E51E5" w:rsidRPr="007D0A45">
        <w:t xml:space="preserve"> within their relationship.     </w:t>
      </w:r>
    </w:p>
    <w:p w14:paraId="1598CB76" w14:textId="16D48821" w:rsidR="00796196" w:rsidRPr="007D0A45" w:rsidRDefault="007B775E" w:rsidP="00B17B32">
      <w:pPr>
        <w:jc w:val="center"/>
      </w:pPr>
      <w:r w:rsidRPr="007D0A45">
        <w:br w:type="page"/>
      </w:r>
    </w:p>
    <w:p w14:paraId="14D71A3B" w14:textId="63FAA493" w:rsidR="00B17B32" w:rsidRPr="007D0A45" w:rsidRDefault="00DA4475" w:rsidP="00B17B32">
      <w:pPr>
        <w:jc w:val="center"/>
        <w:rPr>
          <w:b/>
        </w:rPr>
      </w:pPr>
      <w:r w:rsidRPr="007D0A45">
        <w:rPr>
          <w:b/>
        </w:rPr>
        <w:lastRenderedPageBreak/>
        <w:t>REFERENCES</w:t>
      </w:r>
    </w:p>
    <w:p w14:paraId="1B15FB6A" w14:textId="77777777" w:rsidR="00B17B32" w:rsidRPr="007D0A45" w:rsidRDefault="00B17B32" w:rsidP="00B17B32"/>
    <w:p w14:paraId="355ACAE7" w14:textId="218044AC" w:rsidR="00B17B32" w:rsidRPr="007D0A45" w:rsidRDefault="00B17B32" w:rsidP="00DD4BAB">
      <w:pPr>
        <w:widowControl w:val="0"/>
        <w:autoSpaceDE w:val="0"/>
        <w:autoSpaceDN w:val="0"/>
        <w:adjustRightInd w:val="0"/>
        <w:spacing w:line="480" w:lineRule="auto"/>
        <w:ind w:left="567" w:hanging="567"/>
      </w:pPr>
      <w:r w:rsidRPr="007D0A45">
        <w:t>Adam</w:t>
      </w:r>
      <w:r w:rsidR="00221E83" w:rsidRPr="007D0A45">
        <w:t>s</w:t>
      </w:r>
      <w:r w:rsidRPr="007D0A45">
        <w:t>, B.</w:t>
      </w:r>
      <w:r w:rsidR="003E75E0" w:rsidRPr="007D0A45">
        <w:t xml:space="preserve"> </w:t>
      </w:r>
      <w:r w:rsidRPr="007D0A45">
        <w:t>D., Husbands, W., Murray, J., &amp; Maxwell, J. (2005). AIDS optimism, condom</w:t>
      </w:r>
    </w:p>
    <w:p w14:paraId="7726DF00" w14:textId="77777777" w:rsidR="00B17B32" w:rsidRPr="007D0A45" w:rsidRDefault="00B17B32" w:rsidP="00DD4BAB">
      <w:pPr>
        <w:widowControl w:val="0"/>
        <w:autoSpaceDE w:val="0"/>
        <w:autoSpaceDN w:val="0"/>
        <w:adjustRightInd w:val="0"/>
        <w:spacing w:line="480" w:lineRule="auto"/>
        <w:ind w:left="567"/>
        <w:rPr>
          <w:i/>
        </w:rPr>
      </w:pPr>
      <w:r w:rsidRPr="007D0A45">
        <w:t xml:space="preserve">fatigue, or self-esteem? Explaining unsafe sex among gay and bisexual men. </w:t>
      </w:r>
      <w:r w:rsidRPr="007D0A45">
        <w:rPr>
          <w:i/>
        </w:rPr>
        <w:t>Journal of Sex</w:t>
      </w:r>
    </w:p>
    <w:p w14:paraId="2945F019" w14:textId="218884C1" w:rsidR="00B17B32" w:rsidRPr="007D0A45" w:rsidRDefault="00B17B32" w:rsidP="00DD4BAB">
      <w:pPr>
        <w:widowControl w:val="0"/>
        <w:autoSpaceDE w:val="0"/>
        <w:autoSpaceDN w:val="0"/>
        <w:adjustRightInd w:val="0"/>
        <w:spacing w:line="480" w:lineRule="auto"/>
        <w:ind w:left="567"/>
      </w:pPr>
      <w:r w:rsidRPr="007D0A45">
        <w:rPr>
          <w:i/>
        </w:rPr>
        <w:t>Research, 42</w:t>
      </w:r>
      <w:r w:rsidRPr="007D0A45">
        <w:t>, 238-</w:t>
      </w:r>
      <w:r w:rsidR="003E75E0" w:rsidRPr="007D0A45">
        <w:t>2</w:t>
      </w:r>
      <w:r w:rsidRPr="007D0A45">
        <w:t>48. doi:10.1080/00224490509552278</w:t>
      </w:r>
    </w:p>
    <w:p w14:paraId="7DD2FA94" w14:textId="1656EBC2" w:rsidR="00B17B32" w:rsidRPr="007D0A45" w:rsidRDefault="00B17B32" w:rsidP="00DD4BAB">
      <w:pPr>
        <w:shd w:val="clear" w:color="auto" w:fill="FFFFFF"/>
        <w:spacing w:line="480" w:lineRule="auto"/>
        <w:ind w:left="567" w:hanging="567"/>
        <w:rPr>
          <w:rFonts w:eastAsia="Times New Roman"/>
          <w:color w:val="000000"/>
        </w:rPr>
      </w:pPr>
      <w:proofErr w:type="spellStart"/>
      <w:r w:rsidRPr="007D0A45">
        <w:rPr>
          <w:rFonts w:eastAsia="Times New Roman"/>
          <w:color w:val="000000"/>
        </w:rPr>
        <w:t>Alfonsi</w:t>
      </w:r>
      <w:proofErr w:type="spellEnd"/>
      <w:r w:rsidRPr="007D0A45">
        <w:rPr>
          <w:rFonts w:eastAsia="Times New Roman"/>
          <w:color w:val="000000"/>
        </w:rPr>
        <w:t>, G.</w:t>
      </w:r>
      <w:r w:rsidR="003E75E0" w:rsidRPr="007D0A45">
        <w:rPr>
          <w:rFonts w:eastAsia="Times New Roman"/>
          <w:color w:val="000000"/>
        </w:rPr>
        <w:t xml:space="preserve"> </w:t>
      </w:r>
      <w:r w:rsidRPr="007D0A45">
        <w:rPr>
          <w:rFonts w:eastAsia="Times New Roman"/>
          <w:color w:val="000000"/>
        </w:rPr>
        <w:t xml:space="preserve">A., &amp; </w:t>
      </w:r>
      <w:proofErr w:type="spellStart"/>
      <w:r w:rsidRPr="007D0A45">
        <w:rPr>
          <w:rFonts w:eastAsia="Times New Roman"/>
          <w:color w:val="000000"/>
        </w:rPr>
        <w:t>Shlay</w:t>
      </w:r>
      <w:proofErr w:type="spellEnd"/>
      <w:r w:rsidRPr="007D0A45">
        <w:rPr>
          <w:rFonts w:eastAsia="Times New Roman"/>
          <w:color w:val="000000"/>
        </w:rPr>
        <w:t xml:space="preserve">, J. (2005). The effectiveness of condoms for the prevention of sexually transmitted diseases. </w:t>
      </w:r>
      <w:r w:rsidRPr="007D0A45">
        <w:rPr>
          <w:rFonts w:eastAsia="Times New Roman"/>
          <w:i/>
          <w:color w:val="000000"/>
        </w:rPr>
        <w:t>Current Women’s Health Reviews,</w:t>
      </w:r>
      <w:r w:rsidR="0037284D" w:rsidRPr="007D0A45">
        <w:rPr>
          <w:rFonts w:eastAsia="Times New Roman"/>
          <w:i/>
          <w:color w:val="000000"/>
        </w:rPr>
        <w:t xml:space="preserve"> </w:t>
      </w:r>
      <w:r w:rsidRPr="007D0A45">
        <w:rPr>
          <w:rFonts w:eastAsia="Times New Roman"/>
          <w:i/>
          <w:color w:val="000000"/>
        </w:rPr>
        <w:t>1,</w:t>
      </w:r>
      <w:r w:rsidR="004C2A79" w:rsidRPr="007D0A45">
        <w:rPr>
          <w:rFonts w:eastAsia="Times New Roman"/>
          <w:i/>
          <w:color w:val="000000"/>
        </w:rPr>
        <w:t xml:space="preserve"> </w:t>
      </w:r>
      <w:r w:rsidRPr="007D0A45">
        <w:rPr>
          <w:rFonts w:eastAsia="Times New Roman"/>
          <w:color w:val="000000"/>
        </w:rPr>
        <w:t>151-</w:t>
      </w:r>
      <w:r w:rsidR="003E75E0" w:rsidRPr="007D0A45">
        <w:rPr>
          <w:rFonts w:eastAsia="Times New Roman"/>
          <w:color w:val="000000"/>
        </w:rPr>
        <w:t>15</w:t>
      </w:r>
      <w:r w:rsidRPr="007D0A45">
        <w:rPr>
          <w:rFonts w:eastAsia="Times New Roman"/>
          <w:color w:val="000000"/>
        </w:rPr>
        <w:t>9.</w:t>
      </w:r>
    </w:p>
    <w:p w14:paraId="21E40810" w14:textId="42B8FFEC" w:rsidR="00B17B32" w:rsidRPr="007D0A45" w:rsidRDefault="00B17B32" w:rsidP="00DD4BAB">
      <w:pPr>
        <w:spacing w:line="480" w:lineRule="auto"/>
        <w:ind w:left="567" w:hanging="567"/>
        <w:rPr>
          <w:rFonts w:eastAsia="Times New Roman"/>
        </w:rPr>
      </w:pPr>
      <w:r w:rsidRPr="007D0A45">
        <w:t>Bauman, L.</w:t>
      </w:r>
      <w:r w:rsidR="003E75E0" w:rsidRPr="007D0A45">
        <w:t xml:space="preserve"> </w:t>
      </w:r>
      <w:r w:rsidRPr="007D0A45">
        <w:t xml:space="preserve">J., </w:t>
      </w:r>
      <w:proofErr w:type="spellStart"/>
      <w:r w:rsidRPr="007D0A45">
        <w:t>Karasz</w:t>
      </w:r>
      <w:proofErr w:type="spellEnd"/>
      <w:r w:rsidRPr="007D0A45">
        <w:t xml:space="preserve">, A., </w:t>
      </w:r>
      <w:r w:rsidR="003E75E0" w:rsidRPr="007D0A45">
        <w:t xml:space="preserve">&amp; </w:t>
      </w:r>
      <w:r w:rsidRPr="007D0A45">
        <w:t xml:space="preserve">Hamilton, A. (2007). Understanding failure of condom use intention among adolescents: Completing an intensive prevention intervention. </w:t>
      </w:r>
      <w:r w:rsidRPr="007D0A45">
        <w:rPr>
          <w:i/>
        </w:rPr>
        <w:t>Journal of Adolescent Research, 22</w:t>
      </w:r>
      <w:r w:rsidRPr="007D0A45">
        <w:t xml:space="preserve">, 248–274. </w:t>
      </w:r>
      <w:proofErr w:type="spellStart"/>
      <w:r w:rsidRPr="007D0A45">
        <w:rPr>
          <w:rFonts w:eastAsia="Times New Roman"/>
          <w:bCs/>
          <w:color w:val="333300"/>
          <w:shd w:val="clear" w:color="auto" w:fill="FFFFFF"/>
        </w:rPr>
        <w:t>doi</w:t>
      </w:r>
      <w:proofErr w:type="spellEnd"/>
      <w:r w:rsidRPr="007D0A45">
        <w:rPr>
          <w:rFonts w:eastAsia="Times New Roman"/>
          <w:bCs/>
          <w:color w:val="333300"/>
          <w:shd w:val="clear" w:color="auto" w:fill="FFFFFF"/>
        </w:rPr>
        <w:t>:</w:t>
      </w:r>
      <w:r w:rsidRPr="007D0A45">
        <w:rPr>
          <w:rStyle w:val="apple-converted-space"/>
          <w:rFonts w:eastAsia="Times New Roman"/>
          <w:bCs/>
          <w:color w:val="333300"/>
          <w:shd w:val="clear" w:color="auto" w:fill="FFFFFF"/>
        </w:rPr>
        <w:t> </w:t>
      </w:r>
      <w:r w:rsidRPr="007D0A45">
        <w:rPr>
          <w:rStyle w:val="slug-doi"/>
          <w:rFonts w:eastAsia="Times New Roman"/>
          <w:bCs/>
          <w:color w:val="333300"/>
          <w:bdr w:val="none" w:sz="0" w:space="0" w:color="auto" w:frame="1"/>
          <w:shd w:val="clear" w:color="auto" w:fill="FFFFFF"/>
        </w:rPr>
        <w:t>10.1177/0743558407299696</w:t>
      </w:r>
    </w:p>
    <w:p w14:paraId="1F9F35F7" w14:textId="77777777" w:rsidR="0037284D" w:rsidRPr="007D0A45" w:rsidRDefault="00B17B32" w:rsidP="00DD4BAB">
      <w:pPr>
        <w:widowControl w:val="0"/>
        <w:autoSpaceDE w:val="0"/>
        <w:autoSpaceDN w:val="0"/>
        <w:adjustRightInd w:val="0"/>
        <w:spacing w:line="480" w:lineRule="auto"/>
        <w:ind w:left="567" w:hanging="567"/>
        <w:rPr>
          <w:rFonts w:eastAsia="Times New Roman"/>
        </w:rPr>
      </w:pPr>
      <w:r w:rsidRPr="007D0A45">
        <w:t>Bauman, L.</w:t>
      </w:r>
      <w:r w:rsidR="003E75E0" w:rsidRPr="007D0A45">
        <w:t xml:space="preserve"> </w:t>
      </w:r>
      <w:r w:rsidRPr="007D0A45">
        <w:t xml:space="preserve">J., </w:t>
      </w:r>
      <w:r w:rsidR="003E75E0" w:rsidRPr="007D0A45">
        <w:t xml:space="preserve">&amp; </w:t>
      </w:r>
      <w:r w:rsidRPr="007D0A45">
        <w:t xml:space="preserve">Berman, R. (2005). Adolescent relationships and condom use: trust, love and commitment. </w:t>
      </w:r>
      <w:r w:rsidRPr="007D0A45">
        <w:rPr>
          <w:i/>
        </w:rPr>
        <w:t>AIDS and Behavior, 9</w:t>
      </w:r>
      <w:r w:rsidRPr="007D0A45">
        <w:t>, 211–</w:t>
      </w:r>
      <w:r w:rsidR="003E75E0" w:rsidRPr="007D0A45">
        <w:t>2</w:t>
      </w:r>
      <w:r w:rsidRPr="007D0A45">
        <w:t>22.</w:t>
      </w:r>
    </w:p>
    <w:p w14:paraId="407ECC76" w14:textId="468C99A2" w:rsidR="00221E83" w:rsidRPr="007D0A45" w:rsidRDefault="00221E83" w:rsidP="00DD4BAB">
      <w:pPr>
        <w:widowControl w:val="0"/>
        <w:autoSpaceDE w:val="0"/>
        <w:autoSpaceDN w:val="0"/>
        <w:adjustRightInd w:val="0"/>
        <w:spacing w:line="480" w:lineRule="auto"/>
        <w:ind w:left="567" w:hanging="567"/>
        <w:rPr>
          <w:rFonts w:eastAsia="Times New Roman"/>
        </w:rPr>
      </w:pPr>
      <w:r w:rsidRPr="007D0A45">
        <w:rPr>
          <w:rFonts w:eastAsia="Times New Roman"/>
        </w:rPr>
        <w:t xml:space="preserve">Bolton, M., McKay, A. &amp; Schneider, M. (2010). Relational influences on condom use discontinuation: A qualitative study of young adult women in dating relationships. </w:t>
      </w:r>
      <w:r w:rsidRPr="007D0A45">
        <w:rPr>
          <w:rFonts w:eastAsia="Times New Roman"/>
          <w:i/>
        </w:rPr>
        <w:t>The Canadian Journal of Human Sexuality, 19</w:t>
      </w:r>
      <w:r w:rsidRPr="007D0A45">
        <w:rPr>
          <w:rFonts w:eastAsia="Times New Roman"/>
        </w:rPr>
        <w:t xml:space="preserve">, 91-104. </w:t>
      </w:r>
    </w:p>
    <w:p w14:paraId="119C3C39" w14:textId="179E210A" w:rsidR="00B17B32" w:rsidRPr="007D0A45" w:rsidRDefault="00B17B32" w:rsidP="00DD4BAB">
      <w:pPr>
        <w:spacing w:line="480" w:lineRule="auto"/>
        <w:ind w:left="567" w:hanging="567"/>
        <w:rPr>
          <w:rFonts w:eastAsia="Times New Roman"/>
        </w:rPr>
      </w:pPr>
      <w:r w:rsidRPr="007D0A45">
        <w:t>Brady, S.</w:t>
      </w:r>
      <w:r w:rsidR="003E75E0" w:rsidRPr="007D0A45">
        <w:t xml:space="preserve"> </w:t>
      </w:r>
      <w:r w:rsidRPr="007D0A45">
        <w:t xml:space="preserve">S., </w:t>
      </w:r>
      <w:proofErr w:type="spellStart"/>
      <w:r w:rsidRPr="007D0A45">
        <w:t>Tschann</w:t>
      </w:r>
      <w:proofErr w:type="spellEnd"/>
      <w:r w:rsidRPr="007D0A45">
        <w:t>, J.</w:t>
      </w:r>
      <w:r w:rsidR="003E75E0" w:rsidRPr="007D0A45">
        <w:t xml:space="preserve"> </w:t>
      </w:r>
      <w:r w:rsidRPr="007D0A45">
        <w:t>M., Ellen, J.</w:t>
      </w:r>
      <w:r w:rsidR="003E75E0" w:rsidRPr="007D0A45">
        <w:t xml:space="preserve"> </w:t>
      </w:r>
      <w:r w:rsidRPr="007D0A45">
        <w:t xml:space="preserve">M., &amp; Flores E. (2009). Infidelity, trust, and condom use among Latino youth in dating relationships. </w:t>
      </w:r>
      <w:r w:rsidRPr="007D0A45">
        <w:rPr>
          <w:i/>
        </w:rPr>
        <w:t>Sexually Transmitted Diseases, 36</w:t>
      </w:r>
      <w:r w:rsidR="004C2A79" w:rsidRPr="007D0A45">
        <w:t xml:space="preserve">, </w:t>
      </w:r>
      <w:r w:rsidRPr="007D0A45">
        <w:t>227–</w:t>
      </w:r>
      <w:r w:rsidR="003E75E0" w:rsidRPr="007D0A45">
        <w:t>2</w:t>
      </w:r>
      <w:r w:rsidRPr="007D0A45">
        <w:t>31.</w:t>
      </w:r>
      <w:r w:rsidRPr="007D0A45">
        <w:rPr>
          <w:rFonts w:eastAsia="Times New Roman"/>
          <w:color w:val="BBBBBB"/>
          <w:shd w:val="clear" w:color="auto" w:fill="FFFFFF"/>
        </w:rPr>
        <w:t xml:space="preserve"> </w:t>
      </w:r>
      <w:proofErr w:type="spellStart"/>
      <w:r w:rsidR="003E75E0" w:rsidRPr="007D0A45">
        <w:rPr>
          <w:rFonts w:eastAsia="Times New Roman"/>
          <w:shd w:val="clear" w:color="auto" w:fill="FFFFFF"/>
        </w:rPr>
        <w:t>doi</w:t>
      </w:r>
      <w:proofErr w:type="spellEnd"/>
      <w:r w:rsidR="003E75E0" w:rsidRPr="007D0A45">
        <w:rPr>
          <w:rFonts w:eastAsia="Times New Roman"/>
          <w:shd w:val="clear" w:color="auto" w:fill="FFFFFF"/>
        </w:rPr>
        <w:t>:</w:t>
      </w:r>
      <w:r w:rsidRPr="007D0A45">
        <w:rPr>
          <w:rFonts w:eastAsia="Times New Roman"/>
          <w:color w:val="BBBBBB"/>
          <w:shd w:val="clear" w:color="auto" w:fill="FFFFFF"/>
        </w:rPr>
        <w:t xml:space="preserve"> </w:t>
      </w:r>
      <w:r w:rsidRPr="007D0A45">
        <w:rPr>
          <w:rFonts w:eastAsia="Times New Roman"/>
          <w:shd w:val="clear" w:color="auto" w:fill="FFFFFF"/>
        </w:rPr>
        <w:t>10.1097/OLQ.0b013e3181901cba</w:t>
      </w:r>
    </w:p>
    <w:p w14:paraId="0C0FDB0E" w14:textId="28663B46" w:rsidR="00B17B32" w:rsidRPr="007D0A45" w:rsidRDefault="00B17B32" w:rsidP="00DD4BAB">
      <w:pPr>
        <w:widowControl w:val="0"/>
        <w:autoSpaceDE w:val="0"/>
        <w:autoSpaceDN w:val="0"/>
        <w:adjustRightInd w:val="0"/>
        <w:spacing w:line="480" w:lineRule="auto"/>
        <w:ind w:left="567" w:hanging="567"/>
      </w:pPr>
      <w:r w:rsidRPr="007D0A45">
        <w:t>Corbett, A.</w:t>
      </w:r>
      <w:r w:rsidR="003E75E0" w:rsidRPr="007D0A45">
        <w:t xml:space="preserve"> </w:t>
      </w:r>
      <w:r w:rsidRPr="007D0A45">
        <w:t>M., Dickson-Gomez, J., Hilario, H., &amp; Weeks, M.</w:t>
      </w:r>
      <w:r w:rsidR="003E75E0" w:rsidRPr="007D0A45">
        <w:t xml:space="preserve"> </w:t>
      </w:r>
      <w:r w:rsidRPr="007D0A45">
        <w:t xml:space="preserve">R. (2009).  A little thing called love: condom use in high-risk primary heterosexual relationships. </w:t>
      </w:r>
      <w:r w:rsidRPr="007D0A45">
        <w:rPr>
          <w:i/>
        </w:rPr>
        <w:t>Perspectives on Sexual and Reproductive Health, 41</w:t>
      </w:r>
      <w:r w:rsidR="003E75E0" w:rsidRPr="007D0A45">
        <w:t xml:space="preserve">, </w:t>
      </w:r>
      <w:r w:rsidRPr="007D0A45">
        <w:t>218–</w:t>
      </w:r>
      <w:r w:rsidR="003E75E0" w:rsidRPr="007D0A45">
        <w:t>2</w:t>
      </w:r>
      <w:r w:rsidRPr="007D0A45">
        <w:t>24.</w:t>
      </w:r>
    </w:p>
    <w:p w14:paraId="35E09E7C" w14:textId="7A8C17FB" w:rsidR="00B17B32" w:rsidRPr="007D0A45" w:rsidRDefault="003D04B0" w:rsidP="00DD4BAB">
      <w:pPr>
        <w:widowControl w:val="0"/>
        <w:autoSpaceDE w:val="0"/>
        <w:autoSpaceDN w:val="0"/>
        <w:adjustRightInd w:val="0"/>
        <w:spacing w:line="480" w:lineRule="auto"/>
        <w:ind w:left="567" w:hanging="567"/>
        <w:rPr>
          <w:bCs/>
          <w:u w:color="262626"/>
        </w:rPr>
      </w:pPr>
      <w:hyperlink r:id="rId9" w:history="1">
        <w:r w:rsidR="00B17B32" w:rsidRPr="007D0A45">
          <w:rPr>
            <w:color w:val="262626"/>
            <w:u w:color="262626"/>
          </w:rPr>
          <w:t>Crosby, R</w:t>
        </w:r>
      </w:hyperlink>
      <w:r w:rsidR="00B17B32" w:rsidRPr="007D0A45">
        <w:rPr>
          <w:color w:val="262626"/>
          <w:u w:color="262626"/>
        </w:rPr>
        <w:t>.</w:t>
      </w:r>
      <w:r w:rsidR="003E75E0" w:rsidRPr="007D0A45">
        <w:rPr>
          <w:color w:val="262626"/>
          <w:u w:color="262626"/>
        </w:rPr>
        <w:t xml:space="preserve"> </w:t>
      </w:r>
      <w:r w:rsidR="00B17B32" w:rsidRPr="007D0A45">
        <w:rPr>
          <w:u w:color="262626"/>
        </w:rPr>
        <w:t xml:space="preserve">A., </w:t>
      </w:r>
      <w:hyperlink r:id="rId10" w:history="1">
        <w:r w:rsidR="00B17B32" w:rsidRPr="007D0A45">
          <w:rPr>
            <w:color w:val="262626"/>
            <w:u w:color="262626"/>
          </w:rPr>
          <w:t>Milhausen, R</w:t>
        </w:r>
      </w:hyperlink>
      <w:r w:rsidR="00B17B32" w:rsidRPr="007D0A45">
        <w:rPr>
          <w:color w:val="262626"/>
          <w:u w:color="262626"/>
        </w:rPr>
        <w:t>.</w:t>
      </w:r>
      <w:r w:rsidR="00B17B32" w:rsidRPr="007D0A45">
        <w:rPr>
          <w:u w:color="262626"/>
        </w:rPr>
        <w:t xml:space="preserve">, </w:t>
      </w:r>
      <w:hyperlink r:id="rId11" w:history="1">
        <w:proofErr w:type="spellStart"/>
        <w:r w:rsidR="00B17B32" w:rsidRPr="007D0A45">
          <w:rPr>
            <w:color w:val="262626"/>
            <w:u w:color="262626"/>
          </w:rPr>
          <w:t>Yarber</w:t>
        </w:r>
        <w:proofErr w:type="spellEnd"/>
        <w:r w:rsidR="00B17B32" w:rsidRPr="007D0A45">
          <w:rPr>
            <w:color w:val="262626"/>
            <w:u w:color="262626"/>
          </w:rPr>
          <w:t>, W.</w:t>
        </w:r>
        <w:r w:rsidR="003E75E0" w:rsidRPr="007D0A45">
          <w:rPr>
            <w:color w:val="262626"/>
            <w:u w:color="262626"/>
          </w:rPr>
          <w:t xml:space="preserve"> </w:t>
        </w:r>
        <w:r w:rsidR="00B17B32" w:rsidRPr="007D0A45">
          <w:rPr>
            <w:color w:val="262626"/>
            <w:u w:color="262626"/>
          </w:rPr>
          <w:t>L</w:t>
        </w:r>
      </w:hyperlink>
      <w:r w:rsidR="00B17B32" w:rsidRPr="007D0A45">
        <w:rPr>
          <w:color w:val="262626"/>
          <w:u w:color="262626"/>
        </w:rPr>
        <w:t>.</w:t>
      </w:r>
      <w:r w:rsidR="00B17B32" w:rsidRPr="007D0A45">
        <w:rPr>
          <w:u w:color="262626"/>
        </w:rPr>
        <w:t xml:space="preserve">, </w:t>
      </w:r>
      <w:hyperlink r:id="rId12" w:history="1">
        <w:r w:rsidR="00B17B32" w:rsidRPr="007D0A45">
          <w:rPr>
            <w:color w:val="262626"/>
            <w:u w:color="262626"/>
          </w:rPr>
          <w:t>Sanders, S.</w:t>
        </w:r>
        <w:r w:rsidR="003E75E0" w:rsidRPr="007D0A45">
          <w:rPr>
            <w:color w:val="262626"/>
            <w:u w:color="262626"/>
          </w:rPr>
          <w:t xml:space="preserve"> </w:t>
        </w:r>
        <w:r w:rsidR="00B17B32" w:rsidRPr="007D0A45">
          <w:rPr>
            <w:color w:val="262626"/>
            <w:u w:color="262626"/>
          </w:rPr>
          <w:t>A</w:t>
        </w:r>
      </w:hyperlink>
      <w:r w:rsidR="00B17B32" w:rsidRPr="007D0A45">
        <w:rPr>
          <w:color w:val="262626"/>
          <w:u w:color="262626"/>
        </w:rPr>
        <w:t>.</w:t>
      </w:r>
      <w:r w:rsidR="00B17B32" w:rsidRPr="007D0A45">
        <w:rPr>
          <w:u w:color="262626"/>
        </w:rPr>
        <w:t xml:space="preserve">, &amp; </w:t>
      </w:r>
      <w:hyperlink r:id="rId13" w:history="1">
        <w:r w:rsidR="00B17B32" w:rsidRPr="007D0A45">
          <w:rPr>
            <w:color w:val="262626"/>
            <w:u w:color="262626"/>
          </w:rPr>
          <w:t>Graham, C.</w:t>
        </w:r>
        <w:r w:rsidR="003E75E0" w:rsidRPr="007D0A45">
          <w:rPr>
            <w:color w:val="262626"/>
            <w:u w:color="262626"/>
          </w:rPr>
          <w:t xml:space="preserve"> </w:t>
        </w:r>
        <w:r w:rsidR="00B17B32" w:rsidRPr="007D0A45">
          <w:rPr>
            <w:color w:val="262626"/>
            <w:u w:color="262626"/>
          </w:rPr>
          <w:t>A</w:t>
        </w:r>
      </w:hyperlink>
      <w:r w:rsidR="00B17B32" w:rsidRPr="007D0A45">
        <w:rPr>
          <w:u w:color="262626"/>
        </w:rPr>
        <w:t>. (2008)</w:t>
      </w:r>
      <w:r w:rsidR="003E75E0" w:rsidRPr="007D0A45">
        <w:rPr>
          <w:bCs/>
          <w:u w:color="262626"/>
        </w:rPr>
        <w:t xml:space="preserve">. </w:t>
      </w:r>
      <w:r w:rsidR="00B17B32" w:rsidRPr="007D0A45">
        <w:rPr>
          <w:bCs/>
          <w:u w:color="262626"/>
        </w:rPr>
        <w:t xml:space="preserve">Condom 'turn offs' among adults: an exploratory study.  </w:t>
      </w:r>
      <w:r w:rsidR="00B17B32" w:rsidRPr="007D0A45">
        <w:rPr>
          <w:i/>
          <w:color w:val="262626"/>
          <w:u w:color="262626"/>
        </w:rPr>
        <w:t>International Journal of STD &amp; AIDS</w:t>
      </w:r>
      <w:r w:rsidR="003E75E0" w:rsidRPr="007D0A45">
        <w:rPr>
          <w:i/>
          <w:u w:color="262626"/>
        </w:rPr>
        <w:t xml:space="preserve">, </w:t>
      </w:r>
      <w:r w:rsidR="00B17B32" w:rsidRPr="007D0A45">
        <w:rPr>
          <w:i/>
          <w:u w:color="262626"/>
        </w:rPr>
        <w:t>19</w:t>
      </w:r>
      <w:r w:rsidR="00B17B32" w:rsidRPr="007D0A45">
        <w:rPr>
          <w:u w:color="262626"/>
        </w:rPr>
        <w:t>, 590-</w:t>
      </w:r>
      <w:r w:rsidR="003E75E0" w:rsidRPr="007D0A45">
        <w:rPr>
          <w:u w:color="262626"/>
        </w:rPr>
        <w:t>59</w:t>
      </w:r>
      <w:r w:rsidR="00B17B32" w:rsidRPr="007D0A45">
        <w:rPr>
          <w:u w:color="262626"/>
        </w:rPr>
        <w:t xml:space="preserve">4. </w:t>
      </w:r>
      <w:proofErr w:type="spellStart"/>
      <w:r w:rsidR="00B17B32" w:rsidRPr="007D0A45">
        <w:rPr>
          <w:u w:color="262626"/>
        </w:rPr>
        <w:t>doi</w:t>
      </w:r>
      <w:proofErr w:type="spellEnd"/>
      <w:r w:rsidR="00B17B32" w:rsidRPr="007D0A45">
        <w:rPr>
          <w:u w:color="262626"/>
        </w:rPr>
        <w:t>: 10.1258/ijsa.2008.008120.</w:t>
      </w:r>
    </w:p>
    <w:p w14:paraId="1AEEB265" w14:textId="77777777" w:rsidR="0037284D" w:rsidRPr="007D0A45" w:rsidRDefault="00B17B32" w:rsidP="00DD4BAB">
      <w:pPr>
        <w:spacing w:line="480" w:lineRule="auto"/>
        <w:ind w:left="567" w:hanging="567"/>
      </w:pPr>
      <w:r w:rsidRPr="007D0A45">
        <w:rPr>
          <w:rFonts w:eastAsia="Times New Roman"/>
          <w:color w:val="222222"/>
          <w:shd w:val="clear" w:color="auto" w:fill="FFFFFF"/>
          <w:lang w:val="en-GB"/>
        </w:rPr>
        <w:lastRenderedPageBreak/>
        <w:t xml:space="preserve">De </w:t>
      </w:r>
      <w:proofErr w:type="spellStart"/>
      <w:r w:rsidRPr="007D0A45">
        <w:rPr>
          <w:rFonts w:eastAsia="Times New Roman"/>
          <w:color w:val="222222"/>
          <w:shd w:val="clear" w:color="auto" w:fill="FFFFFF"/>
          <w:lang w:val="en-GB"/>
        </w:rPr>
        <w:t>Visser</w:t>
      </w:r>
      <w:proofErr w:type="spellEnd"/>
      <w:r w:rsidRPr="007D0A45">
        <w:rPr>
          <w:rFonts w:eastAsia="Times New Roman"/>
          <w:color w:val="222222"/>
          <w:shd w:val="clear" w:color="auto" w:fill="FFFFFF"/>
          <w:lang w:val="en-GB"/>
        </w:rPr>
        <w:t>, R., &amp; Smith, A. (2001). Relationship between sexual partners influences rates and correlates of condom use. </w:t>
      </w:r>
      <w:r w:rsidRPr="007D0A45">
        <w:rPr>
          <w:rFonts w:eastAsia="Times New Roman"/>
          <w:i/>
          <w:iCs/>
          <w:color w:val="222222"/>
          <w:shd w:val="clear" w:color="auto" w:fill="FFFFFF"/>
          <w:lang w:val="en-GB"/>
        </w:rPr>
        <w:t xml:space="preserve">AIDS </w:t>
      </w:r>
      <w:r w:rsidR="004C2A79" w:rsidRPr="007D0A45">
        <w:rPr>
          <w:rFonts w:eastAsia="Times New Roman"/>
          <w:i/>
          <w:iCs/>
          <w:color w:val="222222"/>
          <w:shd w:val="clear" w:color="auto" w:fill="FFFFFF"/>
          <w:lang w:val="en-GB"/>
        </w:rPr>
        <w:t xml:space="preserve">Education </w:t>
      </w:r>
      <w:r w:rsidRPr="007D0A45">
        <w:rPr>
          <w:rFonts w:eastAsia="Times New Roman"/>
          <w:i/>
          <w:iCs/>
          <w:color w:val="222222"/>
          <w:shd w:val="clear" w:color="auto" w:fill="FFFFFF"/>
          <w:lang w:val="en-GB"/>
        </w:rPr>
        <w:t xml:space="preserve">and </w:t>
      </w:r>
      <w:r w:rsidR="004C2A79" w:rsidRPr="007D0A45">
        <w:rPr>
          <w:rFonts w:eastAsia="Times New Roman"/>
          <w:i/>
          <w:iCs/>
          <w:color w:val="222222"/>
          <w:shd w:val="clear" w:color="auto" w:fill="FFFFFF"/>
          <w:lang w:val="en-GB"/>
        </w:rPr>
        <w:t>Prevention</w:t>
      </w:r>
      <w:r w:rsidRPr="007D0A45">
        <w:rPr>
          <w:rFonts w:eastAsia="Times New Roman"/>
          <w:i/>
          <w:iCs/>
          <w:color w:val="222222"/>
          <w:shd w:val="clear" w:color="auto" w:fill="FFFFFF"/>
          <w:lang w:val="en-GB"/>
        </w:rPr>
        <w:t xml:space="preserve">, </w:t>
      </w:r>
      <w:r w:rsidRPr="007D0A45">
        <w:rPr>
          <w:rFonts w:eastAsia="Times New Roman"/>
          <w:i/>
          <w:color w:val="222222"/>
          <w:shd w:val="clear" w:color="auto" w:fill="FFFFFF"/>
          <w:lang w:val="en-GB"/>
        </w:rPr>
        <w:t>13</w:t>
      </w:r>
      <w:r w:rsidRPr="007D0A45">
        <w:rPr>
          <w:rFonts w:eastAsia="Times New Roman"/>
          <w:color w:val="222222"/>
          <w:shd w:val="clear" w:color="auto" w:fill="FFFFFF"/>
          <w:lang w:val="en-GB"/>
        </w:rPr>
        <w:t xml:space="preserve">, 413-427. </w:t>
      </w:r>
      <w:proofErr w:type="spellStart"/>
      <w:r w:rsidRPr="007D0A45">
        <w:rPr>
          <w:rFonts w:eastAsia="Arial Unicode MS"/>
          <w:color w:val="000000"/>
          <w:shd w:val="clear" w:color="auto" w:fill="FFFFFF"/>
        </w:rPr>
        <w:t>doi</w:t>
      </w:r>
      <w:proofErr w:type="spellEnd"/>
      <w:r w:rsidRPr="007D0A45">
        <w:rPr>
          <w:rFonts w:eastAsia="Arial Unicode MS"/>
          <w:color w:val="000000"/>
          <w:shd w:val="clear" w:color="auto" w:fill="FFFFFF"/>
        </w:rPr>
        <w:t>: 10.1521/aeap.13.5.413.24146</w:t>
      </w:r>
    </w:p>
    <w:p w14:paraId="1FB9617F" w14:textId="77777777" w:rsidR="009C4FF1" w:rsidRPr="007D0A45" w:rsidRDefault="009C4FF1" w:rsidP="009C4FF1">
      <w:pPr>
        <w:spacing w:line="480" w:lineRule="auto"/>
        <w:ind w:left="567" w:hanging="567"/>
      </w:pPr>
      <w:proofErr w:type="spellStart"/>
      <w:r w:rsidRPr="007D0A45">
        <w:t>Emmers</w:t>
      </w:r>
      <w:proofErr w:type="spellEnd"/>
      <w:r w:rsidRPr="007D0A45">
        <w:t xml:space="preserve">-Sommer, T. M. &amp; Allen, M. (2005).  </w:t>
      </w:r>
      <w:r w:rsidRPr="007D0A45">
        <w:rPr>
          <w:i/>
        </w:rPr>
        <w:t>Safer sex in personal relationships: The role of sexual scripts in HIV infection and prevention</w:t>
      </w:r>
      <w:r w:rsidRPr="007D0A45">
        <w:t>. Mahwah, NJ: Lawrence Erlbaum Associates, Publishers.</w:t>
      </w:r>
    </w:p>
    <w:p w14:paraId="308B6178" w14:textId="022BE2B3" w:rsidR="00B17B32" w:rsidRPr="007D0A45" w:rsidRDefault="00B17B32" w:rsidP="00DD4BAB">
      <w:pPr>
        <w:spacing w:line="480" w:lineRule="auto"/>
        <w:ind w:left="567" w:hanging="567"/>
        <w:rPr>
          <w:rFonts w:eastAsia="Times New Roman"/>
          <w:color w:val="000000"/>
        </w:rPr>
      </w:pPr>
      <w:r w:rsidRPr="007D0A45">
        <w:t xml:space="preserve">Flood, M. (2003).  Lust, trust and latex: Why young heterosexual men do not use condoms. </w:t>
      </w:r>
      <w:r w:rsidRPr="007D0A45">
        <w:rPr>
          <w:i/>
        </w:rPr>
        <w:t>Culture Health &amp; Sexuality, 5</w:t>
      </w:r>
      <w:r w:rsidRPr="007D0A45">
        <w:t>(4</w:t>
      </w:r>
      <w:r w:rsidR="0037284D" w:rsidRPr="007D0A45">
        <w:t xml:space="preserve">), </w:t>
      </w:r>
      <w:r w:rsidRPr="007D0A45">
        <w:t xml:space="preserve">353–369. </w:t>
      </w:r>
      <w:proofErr w:type="spellStart"/>
      <w:r w:rsidR="003E75E0" w:rsidRPr="007D0A45">
        <w:rPr>
          <w:rStyle w:val="Strong"/>
          <w:rFonts w:eastAsia="Times New Roman"/>
          <w:b w:val="0"/>
          <w:color w:val="000000"/>
        </w:rPr>
        <w:t>doi</w:t>
      </w:r>
      <w:proofErr w:type="spellEnd"/>
      <w:r w:rsidR="003E75E0" w:rsidRPr="007D0A45">
        <w:rPr>
          <w:rStyle w:val="Strong"/>
          <w:rFonts w:eastAsia="Times New Roman"/>
          <w:b w:val="0"/>
          <w:color w:val="000000"/>
        </w:rPr>
        <w:t>:</w:t>
      </w:r>
      <w:r w:rsidRPr="007D0A45">
        <w:rPr>
          <w:rFonts w:eastAsia="Times New Roman"/>
          <w:color w:val="000000"/>
        </w:rPr>
        <w:t xml:space="preserve"> 10.1080/1369105011000028273</w:t>
      </w:r>
    </w:p>
    <w:p w14:paraId="347264DA" w14:textId="77777777" w:rsidR="0037284D" w:rsidRPr="007D0A45" w:rsidRDefault="00B17B32" w:rsidP="00DD4BAB">
      <w:pPr>
        <w:spacing w:line="480" w:lineRule="auto"/>
        <w:ind w:left="567" w:hanging="567"/>
      </w:pPr>
      <w:proofErr w:type="spellStart"/>
      <w:r w:rsidRPr="007D0A45">
        <w:rPr>
          <w:rFonts w:eastAsia="Times New Roman"/>
        </w:rPr>
        <w:t>Fortenberry</w:t>
      </w:r>
      <w:proofErr w:type="spellEnd"/>
      <w:r w:rsidRPr="007D0A45">
        <w:rPr>
          <w:rFonts w:eastAsia="Times New Roman"/>
        </w:rPr>
        <w:t>, J.</w:t>
      </w:r>
      <w:r w:rsidR="003E75E0" w:rsidRPr="007D0A45">
        <w:rPr>
          <w:rFonts w:eastAsia="Times New Roman"/>
        </w:rPr>
        <w:t xml:space="preserve"> </w:t>
      </w:r>
      <w:r w:rsidRPr="007D0A45">
        <w:rPr>
          <w:rFonts w:eastAsia="Times New Roman"/>
        </w:rPr>
        <w:t xml:space="preserve">D., </w:t>
      </w:r>
      <w:proofErr w:type="spellStart"/>
      <w:r w:rsidRPr="007D0A45">
        <w:rPr>
          <w:rFonts w:eastAsia="Times New Roman"/>
        </w:rPr>
        <w:t>Tu</w:t>
      </w:r>
      <w:proofErr w:type="spellEnd"/>
      <w:r w:rsidRPr="007D0A45">
        <w:rPr>
          <w:rFonts w:eastAsia="Times New Roman"/>
        </w:rPr>
        <w:t xml:space="preserve">, W., </w:t>
      </w:r>
      <w:proofErr w:type="spellStart"/>
      <w:r w:rsidRPr="007D0A45">
        <w:rPr>
          <w:rFonts w:eastAsia="Times New Roman"/>
        </w:rPr>
        <w:t>Harezlak</w:t>
      </w:r>
      <w:proofErr w:type="spellEnd"/>
      <w:r w:rsidRPr="007D0A45">
        <w:rPr>
          <w:rFonts w:eastAsia="Times New Roman"/>
        </w:rPr>
        <w:t>, J.,</w:t>
      </w:r>
      <w:r w:rsidR="00260275" w:rsidRPr="007D0A45">
        <w:rPr>
          <w:rFonts w:eastAsia="Times New Roman"/>
        </w:rPr>
        <w:t xml:space="preserve"> Katz, B.</w:t>
      </w:r>
      <w:r w:rsidR="003E75E0" w:rsidRPr="007D0A45">
        <w:rPr>
          <w:rFonts w:eastAsia="Times New Roman"/>
        </w:rPr>
        <w:t xml:space="preserve"> </w:t>
      </w:r>
      <w:r w:rsidR="00260275" w:rsidRPr="007D0A45">
        <w:rPr>
          <w:rFonts w:eastAsia="Times New Roman"/>
        </w:rPr>
        <w:t>P., &amp; Orr, D.</w:t>
      </w:r>
      <w:r w:rsidR="003E75E0" w:rsidRPr="007D0A45">
        <w:rPr>
          <w:rFonts w:eastAsia="Times New Roman"/>
        </w:rPr>
        <w:t xml:space="preserve"> </w:t>
      </w:r>
      <w:r w:rsidR="00260275" w:rsidRPr="007D0A45">
        <w:rPr>
          <w:rFonts w:eastAsia="Times New Roman"/>
        </w:rPr>
        <w:t>P. (2002</w:t>
      </w:r>
      <w:r w:rsidRPr="007D0A45">
        <w:rPr>
          <w:rFonts w:eastAsia="Times New Roman"/>
        </w:rPr>
        <w:t xml:space="preserve">). Condom use as a function of time in new and established adolescent sexual relationships. </w:t>
      </w:r>
      <w:r w:rsidRPr="007D0A45">
        <w:rPr>
          <w:rFonts w:eastAsia="Times New Roman"/>
          <w:i/>
        </w:rPr>
        <w:t>American Journal of Public Health, 92</w:t>
      </w:r>
      <w:r w:rsidR="003E75E0" w:rsidRPr="007D0A45">
        <w:rPr>
          <w:rFonts w:eastAsia="Times New Roman"/>
        </w:rPr>
        <w:t xml:space="preserve">, </w:t>
      </w:r>
      <w:r w:rsidRPr="007D0A45">
        <w:rPr>
          <w:rFonts w:eastAsia="Times New Roman"/>
        </w:rPr>
        <w:t xml:space="preserve">211-213. </w:t>
      </w:r>
      <w:proofErr w:type="spellStart"/>
      <w:r w:rsidR="003E75E0" w:rsidRPr="007D0A45">
        <w:rPr>
          <w:rFonts w:eastAsia="Times New Roman"/>
          <w:shd w:val="clear" w:color="auto" w:fill="FFFFFF"/>
        </w:rPr>
        <w:t>doi</w:t>
      </w:r>
      <w:proofErr w:type="spellEnd"/>
      <w:r w:rsidR="003E75E0" w:rsidRPr="007D0A45">
        <w:rPr>
          <w:rFonts w:eastAsia="Times New Roman"/>
          <w:shd w:val="clear" w:color="auto" w:fill="FFFFFF"/>
        </w:rPr>
        <w:t>:</w:t>
      </w:r>
      <w:r w:rsidRPr="007D0A45">
        <w:rPr>
          <w:rFonts w:eastAsia="Times New Roman"/>
          <w:shd w:val="clear" w:color="auto" w:fill="FFFFFF"/>
        </w:rPr>
        <w:t xml:space="preserve"> 10.2105/AJPH.92.2.211</w:t>
      </w:r>
    </w:p>
    <w:p w14:paraId="19AFA8EA" w14:textId="76F1EE5C" w:rsidR="00B17B32" w:rsidRPr="007D0A45" w:rsidRDefault="00B17B32" w:rsidP="00DD4BAB">
      <w:pPr>
        <w:spacing w:line="480" w:lineRule="auto"/>
        <w:ind w:left="567" w:hanging="567"/>
        <w:rPr>
          <w:rFonts w:eastAsia="Times New Roman"/>
        </w:rPr>
      </w:pPr>
      <w:proofErr w:type="spellStart"/>
      <w:r w:rsidRPr="007D0A45">
        <w:t>Galinsky</w:t>
      </w:r>
      <w:proofErr w:type="spellEnd"/>
      <w:r w:rsidRPr="007D0A45">
        <w:t xml:space="preserve">, A. M. &amp; </w:t>
      </w:r>
      <w:proofErr w:type="spellStart"/>
      <w:r w:rsidRPr="007D0A45">
        <w:t>Sonenstein</w:t>
      </w:r>
      <w:proofErr w:type="spellEnd"/>
      <w:r w:rsidRPr="007D0A45">
        <w:t xml:space="preserve">, F. L. (2011). The association between developmental assets and sexual enjoyment among emerging adults.  </w:t>
      </w:r>
      <w:r w:rsidRPr="007D0A45">
        <w:rPr>
          <w:i/>
        </w:rPr>
        <w:t>Journal of Adolescent Health, 48</w:t>
      </w:r>
      <w:r w:rsidRPr="007D0A45">
        <w:t xml:space="preserve">, 610-615. </w:t>
      </w:r>
      <w:proofErr w:type="spellStart"/>
      <w:r w:rsidRPr="007D0A45">
        <w:rPr>
          <w:rFonts w:eastAsia="Times New Roman"/>
          <w:color w:val="000000"/>
          <w:shd w:val="clear" w:color="auto" w:fill="FFFFFF"/>
        </w:rPr>
        <w:t>doi</w:t>
      </w:r>
      <w:proofErr w:type="spellEnd"/>
      <w:r w:rsidRPr="007D0A45">
        <w:rPr>
          <w:rFonts w:eastAsia="Times New Roman"/>
          <w:color w:val="000000"/>
          <w:shd w:val="clear" w:color="auto" w:fill="FFFFFF"/>
        </w:rPr>
        <w:t>: 10.1016/j.jadohealth.2010.09.008</w:t>
      </w:r>
    </w:p>
    <w:p w14:paraId="4370582C" w14:textId="77777777" w:rsidR="00B17B32" w:rsidRPr="007D0A45" w:rsidRDefault="00B17B32" w:rsidP="00DD4BAB">
      <w:pPr>
        <w:spacing w:line="480" w:lineRule="auto"/>
        <w:ind w:left="567" w:hanging="567"/>
        <w:rPr>
          <w:rFonts w:eastAsia="Times New Roman"/>
        </w:rPr>
      </w:pPr>
      <w:proofErr w:type="spellStart"/>
      <w:r w:rsidRPr="007D0A45">
        <w:t>Galinsky</w:t>
      </w:r>
      <w:proofErr w:type="spellEnd"/>
      <w:r w:rsidRPr="007D0A45">
        <w:t xml:space="preserve">, A. M. &amp; </w:t>
      </w:r>
      <w:proofErr w:type="spellStart"/>
      <w:r w:rsidRPr="007D0A45">
        <w:t>Sonenstein</w:t>
      </w:r>
      <w:proofErr w:type="spellEnd"/>
      <w:r w:rsidRPr="007D0A45">
        <w:t>, F. L. (2013). Relationship commitment, perceived equity, and sexual enjoyment among young adults in the United States</w:t>
      </w:r>
      <w:r w:rsidRPr="007D0A45">
        <w:rPr>
          <w:i/>
        </w:rPr>
        <w:t>.  Archives of Sexual Behavior, 42</w:t>
      </w:r>
      <w:r w:rsidRPr="007D0A45">
        <w:t xml:space="preserve">, 93-104. </w:t>
      </w:r>
      <w:proofErr w:type="spellStart"/>
      <w:r w:rsidRPr="007D0A45">
        <w:rPr>
          <w:rFonts w:eastAsia="Times New Roman"/>
          <w:color w:val="000000"/>
          <w:shd w:val="clear" w:color="auto" w:fill="FFFFFF"/>
        </w:rPr>
        <w:t>doi</w:t>
      </w:r>
      <w:proofErr w:type="spellEnd"/>
      <w:r w:rsidRPr="007D0A45">
        <w:rPr>
          <w:rFonts w:eastAsia="Times New Roman"/>
          <w:color w:val="000000"/>
          <w:shd w:val="clear" w:color="auto" w:fill="FFFFFF"/>
        </w:rPr>
        <w:t>: 10.1007/s10508-012-0003-y.</w:t>
      </w:r>
    </w:p>
    <w:p w14:paraId="535BAF9A" w14:textId="4C0FF7FA" w:rsidR="00AE56ED" w:rsidRPr="007D0A45" w:rsidRDefault="00AE56ED" w:rsidP="00DD4BAB">
      <w:pPr>
        <w:spacing w:line="480" w:lineRule="auto"/>
        <w:ind w:left="567" w:hanging="567"/>
        <w:rPr>
          <w:rFonts w:eastAsia="Times New Roman"/>
          <w:color w:val="000000"/>
          <w:shd w:val="clear" w:color="auto" w:fill="F4F4F4"/>
        </w:rPr>
      </w:pPr>
      <w:r w:rsidRPr="007D0A45">
        <w:t>Gallo, M.</w:t>
      </w:r>
      <w:r w:rsidR="003E75E0" w:rsidRPr="007D0A45">
        <w:t xml:space="preserve"> </w:t>
      </w:r>
      <w:r w:rsidRPr="007D0A45">
        <w:t>F., Steiner, M.</w:t>
      </w:r>
      <w:r w:rsidR="00311FA4" w:rsidRPr="007D0A45">
        <w:t xml:space="preserve"> </w:t>
      </w:r>
      <w:r w:rsidRPr="007D0A45">
        <w:t xml:space="preserve">J., Warner, L., </w:t>
      </w:r>
      <w:proofErr w:type="spellStart"/>
      <w:r w:rsidRPr="007D0A45">
        <w:t>Hylton</w:t>
      </w:r>
      <w:proofErr w:type="spellEnd"/>
      <w:r w:rsidRPr="007D0A45">
        <w:t>-Kong, T., Figueroa, J.</w:t>
      </w:r>
      <w:r w:rsidR="00311FA4" w:rsidRPr="007D0A45">
        <w:t xml:space="preserve"> </w:t>
      </w:r>
      <w:r w:rsidRPr="007D0A45">
        <w:t>P., Hobbs, M.</w:t>
      </w:r>
      <w:r w:rsidR="00311FA4" w:rsidRPr="007D0A45">
        <w:t xml:space="preserve"> </w:t>
      </w:r>
      <w:r w:rsidRPr="007D0A45">
        <w:t xml:space="preserve">M., &amp; </w:t>
      </w:r>
      <w:proofErr w:type="spellStart"/>
      <w:r w:rsidRPr="007D0A45">
        <w:t>Behets</w:t>
      </w:r>
      <w:proofErr w:type="spellEnd"/>
      <w:r w:rsidRPr="007D0A45">
        <w:t>, F.</w:t>
      </w:r>
      <w:r w:rsidR="00311FA4" w:rsidRPr="007D0A45">
        <w:t xml:space="preserve"> </w:t>
      </w:r>
      <w:r w:rsidRPr="007D0A45">
        <w:t xml:space="preserve">M. (2007). Self-reported condom use is associated with reduced risk of chlamydia, gonorrhea, and </w:t>
      </w:r>
      <w:proofErr w:type="spellStart"/>
      <w:r w:rsidRPr="007D0A45">
        <w:t>trichomoniasis</w:t>
      </w:r>
      <w:proofErr w:type="spellEnd"/>
      <w:r w:rsidRPr="007D0A45">
        <w:t xml:space="preserve">. </w:t>
      </w:r>
      <w:r w:rsidRPr="007D0A45">
        <w:rPr>
          <w:i/>
        </w:rPr>
        <w:t>Sexually Transmitted Disease</w:t>
      </w:r>
      <w:r w:rsidR="004C2A79" w:rsidRPr="007D0A45">
        <w:rPr>
          <w:i/>
        </w:rPr>
        <w:t>s</w:t>
      </w:r>
      <w:r w:rsidRPr="007D0A45">
        <w:rPr>
          <w:i/>
        </w:rPr>
        <w:t xml:space="preserve">, 34, </w:t>
      </w:r>
      <w:r w:rsidRPr="007D0A45">
        <w:t xml:space="preserve">829-833. </w:t>
      </w:r>
      <w:r w:rsidRPr="007D0A45">
        <w:rPr>
          <w:rFonts w:eastAsia="Times New Roman"/>
          <w:color w:val="000000"/>
          <w:shd w:val="clear" w:color="auto" w:fill="F4F4F4"/>
        </w:rPr>
        <w:t>doi:10.1097/OLQ.0b013e318073bd71</w:t>
      </w:r>
    </w:p>
    <w:p w14:paraId="2ED2589D" w14:textId="6EA65690" w:rsidR="00DA4475" w:rsidRPr="007D0A45" w:rsidRDefault="00DA4475" w:rsidP="00DD4BAB">
      <w:pPr>
        <w:spacing w:line="480" w:lineRule="auto"/>
        <w:ind w:left="567" w:hanging="567"/>
        <w:rPr>
          <w:rFonts w:eastAsia="Times New Roman"/>
        </w:rPr>
      </w:pPr>
      <w:r w:rsidRPr="007D0A45">
        <w:t xml:space="preserve">Graham, C. A. (2012). Condom use in the context of sex research. </w:t>
      </w:r>
      <w:r w:rsidRPr="007D0A45">
        <w:rPr>
          <w:i/>
        </w:rPr>
        <w:t>Sexual Health</w:t>
      </w:r>
      <w:r w:rsidRPr="007D0A45">
        <w:t xml:space="preserve">, </w:t>
      </w:r>
      <w:r w:rsidRPr="007D0A45">
        <w:rPr>
          <w:i/>
        </w:rPr>
        <w:t>9</w:t>
      </w:r>
      <w:r w:rsidRPr="007D0A45">
        <w:t>, 103-108.</w:t>
      </w:r>
    </w:p>
    <w:p w14:paraId="6185A5EF" w14:textId="2C297A76" w:rsidR="00B17B32" w:rsidRPr="007D0A45" w:rsidRDefault="003D04B0" w:rsidP="00DD4BAB">
      <w:pPr>
        <w:widowControl w:val="0"/>
        <w:autoSpaceDE w:val="0"/>
        <w:autoSpaceDN w:val="0"/>
        <w:adjustRightInd w:val="0"/>
        <w:spacing w:line="480" w:lineRule="auto"/>
        <w:ind w:left="567" w:hanging="567"/>
      </w:pPr>
      <w:hyperlink r:id="rId14" w:history="1">
        <w:proofErr w:type="spellStart"/>
        <w:r w:rsidR="00B17B32" w:rsidRPr="007D0A45">
          <w:rPr>
            <w:color w:val="262626"/>
            <w:u w:color="262626"/>
          </w:rPr>
          <w:t>Haavio-Mannila</w:t>
        </w:r>
        <w:proofErr w:type="spellEnd"/>
        <w:r w:rsidR="00B17B32" w:rsidRPr="007D0A45">
          <w:rPr>
            <w:color w:val="262626"/>
            <w:u w:color="262626"/>
          </w:rPr>
          <w:t>, E</w:t>
        </w:r>
      </w:hyperlink>
      <w:r w:rsidR="00B17B32" w:rsidRPr="007D0A45">
        <w:rPr>
          <w:u w:color="262626"/>
        </w:rPr>
        <w:t xml:space="preserve">., &amp; </w:t>
      </w:r>
      <w:hyperlink r:id="rId15" w:history="1">
        <w:proofErr w:type="spellStart"/>
        <w:r w:rsidR="00B17B32" w:rsidRPr="007D0A45">
          <w:rPr>
            <w:color w:val="262626"/>
            <w:u w:color="262626"/>
          </w:rPr>
          <w:t>Kontula</w:t>
        </w:r>
        <w:proofErr w:type="spellEnd"/>
        <w:r w:rsidR="00B17B32" w:rsidRPr="007D0A45">
          <w:rPr>
            <w:color w:val="262626"/>
            <w:u w:color="262626"/>
          </w:rPr>
          <w:t>, O</w:t>
        </w:r>
      </w:hyperlink>
      <w:r w:rsidR="00B17B32" w:rsidRPr="007D0A45">
        <w:rPr>
          <w:u w:color="262626"/>
        </w:rPr>
        <w:t xml:space="preserve">. (1997). </w:t>
      </w:r>
      <w:r w:rsidR="00B17B32" w:rsidRPr="007D0A45">
        <w:rPr>
          <w:bCs/>
          <w:u w:color="262626"/>
        </w:rPr>
        <w:t>Correlates of increased sexual satisfaction.</w:t>
      </w:r>
      <w:r w:rsidR="00B17B32" w:rsidRPr="007D0A45">
        <w:rPr>
          <w:color w:val="262626"/>
          <w:u w:color="262626"/>
        </w:rPr>
        <w:t xml:space="preserve"> </w:t>
      </w:r>
      <w:r w:rsidR="00B17B32" w:rsidRPr="007D0A45">
        <w:rPr>
          <w:i/>
          <w:color w:val="262626"/>
          <w:u w:color="262626"/>
        </w:rPr>
        <w:t xml:space="preserve">Archives </w:t>
      </w:r>
      <w:r w:rsidR="00B17B32" w:rsidRPr="007D0A45">
        <w:rPr>
          <w:i/>
          <w:color w:val="262626"/>
          <w:u w:color="262626"/>
        </w:rPr>
        <w:lastRenderedPageBreak/>
        <w:t>of Sexual Behavior, 26</w:t>
      </w:r>
      <w:r w:rsidR="00311FA4" w:rsidRPr="007D0A45">
        <w:rPr>
          <w:u w:color="262626"/>
        </w:rPr>
        <w:t xml:space="preserve">, </w:t>
      </w:r>
      <w:r w:rsidR="00B17B32" w:rsidRPr="007D0A45">
        <w:rPr>
          <w:u w:color="262626"/>
        </w:rPr>
        <w:t>399-419.</w:t>
      </w:r>
    </w:p>
    <w:p w14:paraId="0DFD6CDB" w14:textId="7CC6685B" w:rsidR="00B17B32" w:rsidRPr="007D0A45" w:rsidRDefault="00B17B32" w:rsidP="00DD4BAB">
      <w:pPr>
        <w:widowControl w:val="0"/>
        <w:autoSpaceDE w:val="0"/>
        <w:autoSpaceDN w:val="0"/>
        <w:adjustRightInd w:val="0"/>
        <w:spacing w:line="480" w:lineRule="auto"/>
        <w:ind w:left="567" w:hanging="567"/>
      </w:pPr>
      <w:r w:rsidRPr="007D0A45">
        <w:t>Higgins, J.</w:t>
      </w:r>
      <w:r w:rsidR="00311FA4" w:rsidRPr="007D0A45">
        <w:t xml:space="preserve"> </w:t>
      </w:r>
      <w:r w:rsidRPr="007D0A45">
        <w:t>A., &amp; Higgins, J.</w:t>
      </w:r>
      <w:r w:rsidR="00311FA4" w:rsidRPr="007D0A45">
        <w:t xml:space="preserve"> </w:t>
      </w:r>
      <w:r w:rsidRPr="007D0A45">
        <w:t>S. (2007). The pleasure deficit: Revisiting the “sexuality connection” in reproductive health.</w:t>
      </w:r>
      <w:r w:rsidRPr="007D0A45" w:rsidDel="008067C9">
        <w:rPr>
          <w:i/>
          <w:iCs/>
        </w:rPr>
        <w:t xml:space="preserve"> </w:t>
      </w:r>
      <w:r w:rsidRPr="007D0A45">
        <w:rPr>
          <w:i/>
          <w:iCs/>
        </w:rPr>
        <w:t>International Family Planning Perspectives</w:t>
      </w:r>
      <w:r w:rsidR="0037284D" w:rsidRPr="007D0A45">
        <w:rPr>
          <w:i/>
          <w:iCs/>
        </w:rPr>
        <w:t>,</w:t>
      </w:r>
      <w:r w:rsidRPr="007D0A45">
        <w:rPr>
          <w:i/>
          <w:iCs/>
        </w:rPr>
        <w:t xml:space="preserve"> </w:t>
      </w:r>
      <w:r w:rsidRPr="007D0A45">
        <w:rPr>
          <w:i/>
        </w:rPr>
        <w:t>33</w:t>
      </w:r>
      <w:r w:rsidRPr="007D0A45">
        <w:t>, 133-139.</w:t>
      </w:r>
    </w:p>
    <w:p w14:paraId="635EFB36" w14:textId="4C12A5F5" w:rsidR="00B17B32" w:rsidRPr="007D0A45" w:rsidRDefault="003D04B0" w:rsidP="00DD4BAB">
      <w:pPr>
        <w:widowControl w:val="0"/>
        <w:autoSpaceDE w:val="0"/>
        <w:autoSpaceDN w:val="0"/>
        <w:adjustRightInd w:val="0"/>
        <w:spacing w:line="480" w:lineRule="auto"/>
        <w:ind w:left="567" w:hanging="567"/>
        <w:rPr>
          <w:bCs/>
          <w:u w:color="262626"/>
        </w:rPr>
      </w:pPr>
      <w:hyperlink r:id="rId16" w:history="1">
        <w:r w:rsidR="00B17B32" w:rsidRPr="007D0A45">
          <w:rPr>
            <w:color w:val="262626"/>
            <w:u w:color="262626"/>
          </w:rPr>
          <w:t>Higgins, J.</w:t>
        </w:r>
        <w:r w:rsidR="00311FA4" w:rsidRPr="007D0A45">
          <w:rPr>
            <w:color w:val="262626"/>
            <w:u w:color="262626"/>
          </w:rPr>
          <w:t xml:space="preserve"> </w:t>
        </w:r>
        <w:r w:rsidR="00B17B32" w:rsidRPr="007D0A45">
          <w:rPr>
            <w:color w:val="262626"/>
            <w:u w:color="262626"/>
          </w:rPr>
          <w:t>A</w:t>
        </w:r>
      </w:hyperlink>
      <w:r w:rsidR="00B17B32" w:rsidRPr="007D0A45">
        <w:rPr>
          <w:color w:val="262626"/>
          <w:u w:color="262626"/>
        </w:rPr>
        <w:t>.</w:t>
      </w:r>
      <w:r w:rsidR="00B17B32" w:rsidRPr="007D0A45">
        <w:rPr>
          <w:u w:color="262626"/>
        </w:rPr>
        <w:t xml:space="preserve">, </w:t>
      </w:r>
      <w:r w:rsidR="00311FA4" w:rsidRPr="007D0A45">
        <w:rPr>
          <w:u w:color="262626"/>
        </w:rPr>
        <w:t xml:space="preserve">&amp; </w:t>
      </w:r>
      <w:hyperlink r:id="rId17" w:history="1">
        <w:r w:rsidR="00B17B32" w:rsidRPr="007D0A45">
          <w:rPr>
            <w:color w:val="262626"/>
            <w:u w:color="262626"/>
          </w:rPr>
          <w:t>Wang, Y</w:t>
        </w:r>
      </w:hyperlink>
      <w:r w:rsidR="00B17B32" w:rsidRPr="007D0A45">
        <w:rPr>
          <w:u w:color="262626"/>
        </w:rPr>
        <w:t>.</w:t>
      </w:r>
      <w:r w:rsidR="00B17B32" w:rsidRPr="007D0A45">
        <w:t xml:space="preserve"> (2015). </w:t>
      </w:r>
      <w:r w:rsidR="00B17B32" w:rsidRPr="007D0A45">
        <w:rPr>
          <w:bCs/>
          <w:u w:color="262626"/>
        </w:rPr>
        <w:t xml:space="preserve">The role of young adults' pleasure attitudes in shaping condom use. </w:t>
      </w:r>
      <w:r w:rsidR="00B17B32" w:rsidRPr="007D0A45">
        <w:rPr>
          <w:i/>
          <w:color w:val="262626"/>
          <w:u w:color="262626"/>
        </w:rPr>
        <w:t xml:space="preserve">American Journal of Public Health, </w:t>
      </w:r>
      <w:r w:rsidR="00B17B32" w:rsidRPr="007D0A45">
        <w:rPr>
          <w:i/>
          <w:u w:color="262626"/>
        </w:rPr>
        <w:t>105</w:t>
      </w:r>
      <w:r w:rsidR="00B17B32" w:rsidRPr="007D0A45">
        <w:rPr>
          <w:u w:color="262626"/>
        </w:rPr>
        <w:t>, 1329-</w:t>
      </w:r>
      <w:r w:rsidR="00311FA4" w:rsidRPr="007D0A45">
        <w:rPr>
          <w:u w:color="262626"/>
        </w:rPr>
        <w:t>13</w:t>
      </w:r>
      <w:r w:rsidR="00B17B32" w:rsidRPr="007D0A45">
        <w:rPr>
          <w:u w:color="262626"/>
        </w:rPr>
        <w:t xml:space="preserve">32. </w:t>
      </w:r>
      <w:proofErr w:type="spellStart"/>
      <w:r w:rsidR="00B17B32" w:rsidRPr="007D0A45">
        <w:rPr>
          <w:u w:color="262626"/>
        </w:rPr>
        <w:t>doi</w:t>
      </w:r>
      <w:proofErr w:type="spellEnd"/>
      <w:r w:rsidR="00B17B32" w:rsidRPr="007D0A45">
        <w:rPr>
          <w:u w:color="262626"/>
        </w:rPr>
        <w:t xml:space="preserve">: 10.2105/AJPH.2015.302567. </w:t>
      </w:r>
    </w:p>
    <w:p w14:paraId="629E5F58" w14:textId="77777777" w:rsidR="0037284D" w:rsidRPr="007D0A45" w:rsidRDefault="003D04B0" w:rsidP="00DD4BAB">
      <w:pPr>
        <w:spacing w:line="480" w:lineRule="auto"/>
        <w:ind w:left="567" w:hanging="567"/>
        <w:rPr>
          <w:rFonts w:eastAsia="Times New Roman"/>
          <w:color w:val="333333"/>
          <w:shd w:val="clear" w:color="auto" w:fill="FFFFFF"/>
        </w:rPr>
      </w:pPr>
      <w:hyperlink r:id="rId18" w:history="1">
        <w:r w:rsidR="00B17B32" w:rsidRPr="007D0A45">
          <w:rPr>
            <w:color w:val="262626"/>
            <w:u w:color="262626"/>
          </w:rPr>
          <w:t>Hock-Long, L</w:t>
        </w:r>
      </w:hyperlink>
      <w:r w:rsidR="00B17B32" w:rsidRPr="007D0A45">
        <w:t xml:space="preserve">., </w:t>
      </w:r>
      <w:hyperlink r:id="rId19" w:history="1">
        <w:r w:rsidR="00B17B32" w:rsidRPr="007D0A45">
          <w:rPr>
            <w:color w:val="262626"/>
            <w:u w:color="262626"/>
          </w:rPr>
          <w:t>Henry-Moss, D</w:t>
        </w:r>
      </w:hyperlink>
      <w:r w:rsidR="00B17B32" w:rsidRPr="007D0A45">
        <w:rPr>
          <w:color w:val="262626"/>
          <w:u w:color="262626"/>
        </w:rPr>
        <w:t>.</w:t>
      </w:r>
      <w:r w:rsidR="00B17B32" w:rsidRPr="007D0A45">
        <w:t xml:space="preserve">, </w:t>
      </w:r>
      <w:hyperlink r:id="rId20" w:history="1">
        <w:r w:rsidR="00B17B32" w:rsidRPr="007D0A45">
          <w:rPr>
            <w:color w:val="262626"/>
            <w:u w:color="262626"/>
          </w:rPr>
          <w:t>Carter, M</w:t>
        </w:r>
      </w:hyperlink>
      <w:r w:rsidR="00B17B32" w:rsidRPr="007D0A45">
        <w:rPr>
          <w:color w:val="262626"/>
          <w:u w:color="262626"/>
        </w:rPr>
        <w:t>.</w:t>
      </w:r>
      <w:r w:rsidR="00B17B32" w:rsidRPr="007D0A45">
        <w:t xml:space="preserve">, </w:t>
      </w:r>
      <w:hyperlink r:id="rId21" w:history="1">
        <w:r w:rsidR="00B17B32" w:rsidRPr="007D0A45">
          <w:rPr>
            <w:color w:val="262626"/>
            <w:u w:color="262626"/>
          </w:rPr>
          <w:t>Hatfield-</w:t>
        </w:r>
        <w:proofErr w:type="spellStart"/>
        <w:r w:rsidR="00B17B32" w:rsidRPr="007D0A45">
          <w:rPr>
            <w:color w:val="262626"/>
            <w:u w:color="262626"/>
          </w:rPr>
          <w:t>Timajchy</w:t>
        </w:r>
        <w:proofErr w:type="spellEnd"/>
        <w:r w:rsidR="00B17B32" w:rsidRPr="007D0A45">
          <w:rPr>
            <w:color w:val="262626"/>
            <w:u w:color="262626"/>
          </w:rPr>
          <w:t>, K</w:t>
        </w:r>
      </w:hyperlink>
      <w:r w:rsidR="00B17B32" w:rsidRPr="007D0A45">
        <w:rPr>
          <w:color w:val="262626"/>
          <w:u w:color="262626"/>
        </w:rPr>
        <w:t>.</w:t>
      </w:r>
      <w:r w:rsidR="00B17B32" w:rsidRPr="007D0A45">
        <w:t xml:space="preserve">, </w:t>
      </w:r>
      <w:hyperlink r:id="rId22" w:history="1">
        <w:r w:rsidR="00B17B32" w:rsidRPr="007D0A45">
          <w:rPr>
            <w:color w:val="262626"/>
            <w:u w:color="262626"/>
          </w:rPr>
          <w:t>Erickson, P.</w:t>
        </w:r>
        <w:r w:rsidR="00311FA4" w:rsidRPr="007D0A45">
          <w:rPr>
            <w:color w:val="262626"/>
            <w:u w:color="262626"/>
          </w:rPr>
          <w:t xml:space="preserve"> </w:t>
        </w:r>
        <w:r w:rsidR="00B17B32" w:rsidRPr="007D0A45">
          <w:rPr>
            <w:color w:val="262626"/>
            <w:u w:color="262626"/>
          </w:rPr>
          <w:t>I</w:t>
        </w:r>
      </w:hyperlink>
      <w:r w:rsidR="00B17B32" w:rsidRPr="007D0A45">
        <w:rPr>
          <w:color w:val="262626"/>
          <w:u w:color="262626"/>
        </w:rPr>
        <w:t>.</w:t>
      </w:r>
      <w:r w:rsidR="00B17B32" w:rsidRPr="007D0A45">
        <w:t xml:space="preserve">, </w:t>
      </w:r>
      <w:hyperlink r:id="rId23" w:history="1">
        <w:r w:rsidR="00B17B32" w:rsidRPr="007D0A45">
          <w:rPr>
            <w:color w:val="262626"/>
            <w:u w:color="262626"/>
          </w:rPr>
          <w:t>Cassidy, A</w:t>
        </w:r>
      </w:hyperlink>
      <w:r w:rsidR="00B17B32" w:rsidRPr="007D0A45">
        <w:rPr>
          <w:color w:val="262626"/>
          <w:u w:color="262626"/>
        </w:rPr>
        <w:t>.</w:t>
      </w:r>
      <w:r w:rsidR="00B17B32" w:rsidRPr="007D0A45">
        <w:t xml:space="preserve">, </w:t>
      </w:r>
      <w:hyperlink r:id="rId24" w:history="1">
        <w:proofErr w:type="spellStart"/>
        <w:r w:rsidR="00B17B32" w:rsidRPr="007D0A45">
          <w:rPr>
            <w:color w:val="262626"/>
            <w:u w:color="262626"/>
          </w:rPr>
          <w:t>Macauda</w:t>
        </w:r>
        <w:proofErr w:type="spellEnd"/>
        <w:r w:rsidR="00B17B32" w:rsidRPr="007D0A45">
          <w:rPr>
            <w:color w:val="262626"/>
            <w:u w:color="262626"/>
          </w:rPr>
          <w:t>, M</w:t>
        </w:r>
      </w:hyperlink>
      <w:r w:rsidR="00B17B32" w:rsidRPr="007D0A45">
        <w:rPr>
          <w:color w:val="262626"/>
          <w:u w:color="262626"/>
        </w:rPr>
        <w:t>.</w:t>
      </w:r>
      <w:r w:rsidR="00B17B32" w:rsidRPr="007D0A45">
        <w:t xml:space="preserve">, </w:t>
      </w:r>
      <w:hyperlink r:id="rId25" w:history="1">
        <w:r w:rsidR="00B17B32" w:rsidRPr="007D0A45">
          <w:rPr>
            <w:color w:val="262626"/>
            <w:u w:color="262626"/>
          </w:rPr>
          <w:t>Singer, M</w:t>
        </w:r>
      </w:hyperlink>
      <w:r w:rsidR="00B17B32" w:rsidRPr="007D0A45">
        <w:rPr>
          <w:color w:val="262626"/>
          <w:u w:color="262626"/>
        </w:rPr>
        <w:t>.</w:t>
      </w:r>
      <w:r w:rsidR="00B17B32" w:rsidRPr="007D0A45">
        <w:t xml:space="preserve">, </w:t>
      </w:r>
      <w:r w:rsidR="00311FA4" w:rsidRPr="007D0A45">
        <w:t xml:space="preserve">&amp; </w:t>
      </w:r>
      <w:hyperlink r:id="rId26" w:history="1">
        <w:proofErr w:type="spellStart"/>
        <w:r w:rsidR="00B17B32" w:rsidRPr="007D0A45">
          <w:rPr>
            <w:color w:val="262626"/>
            <w:u w:color="262626"/>
          </w:rPr>
          <w:t>Chittams</w:t>
        </w:r>
        <w:proofErr w:type="spellEnd"/>
        <w:r w:rsidR="00B17B32" w:rsidRPr="007D0A45">
          <w:rPr>
            <w:color w:val="262626"/>
            <w:u w:color="262626"/>
          </w:rPr>
          <w:t>, J</w:t>
        </w:r>
      </w:hyperlink>
      <w:r w:rsidR="00B17B32" w:rsidRPr="007D0A45">
        <w:rPr>
          <w:color w:val="262626"/>
          <w:u w:color="262626"/>
        </w:rPr>
        <w:t>. (2013).</w:t>
      </w:r>
      <w:r w:rsidR="00B17B32" w:rsidRPr="007D0A45">
        <w:rPr>
          <w:rFonts w:eastAsia="Times New Roman"/>
          <w:color w:val="222222"/>
          <w:shd w:val="clear" w:color="auto" w:fill="FFFFFF"/>
          <w:lang w:val="en-GB"/>
        </w:rPr>
        <w:t xml:space="preserve"> Condom use with serious and casual heterosexual partners: Findings from a community venue-based survey of young adults.</w:t>
      </w:r>
      <w:r w:rsidR="00B17B32" w:rsidRPr="007D0A45">
        <w:rPr>
          <w:rFonts w:eastAsia="Times New Roman"/>
          <w:i/>
          <w:iCs/>
          <w:color w:val="222222"/>
          <w:shd w:val="clear" w:color="auto" w:fill="FFFFFF"/>
          <w:lang w:val="en-GB"/>
        </w:rPr>
        <w:t xml:space="preserve"> AIDS and </w:t>
      </w:r>
      <w:proofErr w:type="spellStart"/>
      <w:r w:rsidR="00B17B32" w:rsidRPr="007D0A45">
        <w:rPr>
          <w:rFonts w:eastAsia="Times New Roman"/>
          <w:i/>
          <w:iCs/>
          <w:color w:val="222222"/>
          <w:shd w:val="clear" w:color="auto" w:fill="FFFFFF"/>
          <w:lang w:val="en-GB"/>
        </w:rPr>
        <w:t>Behavior</w:t>
      </w:r>
      <w:proofErr w:type="spellEnd"/>
      <w:r w:rsidR="00B17B32" w:rsidRPr="007D0A45">
        <w:rPr>
          <w:rFonts w:eastAsia="Times New Roman"/>
          <w:i/>
          <w:iCs/>
          <w:color w:val="222222"/>
          <w:shd w:val="clear" w:color="auto" w:fill="FFFFFF"/>
          <w:lang w:val="en-GB"/>
        </w:rPr>
        <w:t>,</w:t>
      </w:r>
      <w:r w:rsidR="00B17B32" w:rsidRPr="007D0A45">
        <w:rPr>
          <w:rFonts w:eastAsia="Times New Roman"/>
          <w:color w:val="222222"/>
          <w:shd w:val="clear" w:color="auto" w:fill="FFFFFF"/>
          <w:lang w:val="en-GB"/>
        </w:rPr>
        <w:t> </w:t>
      </w:r>
      <w:r w:rsidR="00B17B32" w:rsidRPr="007D0A45">
        <w:rPr>
          <w:rFonts w:eastAsia="Times New Roman"/>
          <w:i/>
          <w:color w:val="222222"/>
          <w:shd w:val="clear" w:color="auto" w:fill="FFFFFF"/>
          <w:lang w:val="en-GB"/>
        </w:rPr>
        <w:t>17</w:t>
      </w:r>
      <w:r w:rsidR="00B17B32" w:rsidRPr="007D0A45">
        <w:rPr>
          <w:rFonts w:eastAsia="Times New Roman"/>
          <w:color w:val="222222"/>
          <w:shd w:val="clear" w:color="auto" w:fill="FFFFFF"/>
          <w:lang w:val="en-GB"/>
        </w:rPr>
        <w:t xml:space="preserve">, 900-913. </w:t>
      </w:r>
      <w:proofErr w:type="spellStart"/>
      <w:r w:rsidR="00B17B32" w:rsidRPr="007D0A45">
        <w:rPr>
          <w:rFonts w:eastAsia="Times New Roman"/>
          <w:color w:val="000000"/>
          <w:shd w:val="clear" w:color="auto" w:fill="FFFFFF"/>
        </w:rPr>
        <w:t>doi</w:t>
      </w:r>
      <w:proofErr w:type="spellEnd"/>
      <w:r w:rsidR="00B17B32" w:rsidRPr="007D0A45">
        <w:rPr>
          <w:rFonts w:eastAsia="Times New Roman"/>
          <w:color w:val="000000"/>
          <w:shd w:val="clear" w:color="auto" w:fill="FFFFFF"/>
        </w:rPr>
        <w:t>: 10.1007/s10461-012-0177-2</w:t>
      </w:r>
      <w:r w:rsidR="00B17B32" w:rsidRPr="007D0A45">
        <w:rPr>
          <w:rFonts w:eastAsia="Times New Roman"/>
          <w:color w:val="222222"/>
          <w:shd w:val="clear" w:color="auto" w:fill="FFFFFF"/>
          <w:lang w:val="en-GB"/>
        </w:rPr>
        <w:br/>
      </w:r>
      <w:r w:rsidR="00B17B32" w:rsidRPr="007D0A45">
        <w:rPr>
          <w:rFonts w:eastAsia="Times New Roman"/>
          <w:color w:val="333333"/>
          <w:shd w:val="clear" w:color="auto" w:fill="FFFFFF"/>
        </w:rPr>
        <w:t xml:space="preserve">IBM Corp. Released 2013. </w:t>
      </w:r>
    </w:p>
    <w:p w14:paraId="39F42C11" w14:textId="70BCAF92" w:rsidR="00B17B32" w:rsidRPr="007D0A45" w:rsidRDefault="00B17B32" w:rsidP="00DD4BAB">
      <w:pPr>
        <w:spacing w:line="480" w:lineRule="auto"/>
        <w:ind w:left="567" w:hanging="567"/>
        <w:rPr>
          <w:rFonts w:eastAsia="Times New Roman"/>
        </w:rPr>
      </w:pPr>
      <w:r w:rsidRPr="007D0A45">
        <w:rPr>
          <w:rFonts w:eastAsia="Times New Roman"/>
          <w:color w:val="333333"/>
          <w:shd w:val="clear" w:color="auto" w:fill="FFFFFF"/>
        </w:rPr>
        <w:t>IBM SPSS Statistics for Windows, Version 22.0. Armonk, NY: IBM Corp.</w:t>
      </w:r>
    </w:p>
    <w:p w14:paraId="6E27F861" w14:textId="50A00FF2" w:rsidR="00B17B32" w:rsidRPr="007D0A45" w:rsidRDefault="00B17B32" w:rsidP="00DD4BAB">
      <w:pPr>
        <w:widowControl w:val="0"/>
        <w:autoSpaceDE w:val="0"/>
        <w:autoSpaceDN w:val="0"/>
        <w:adjustRightInd w:val="0"/>
        <w:spacing w:line="480" w:lineRule="auto"/>
        <w:ind w:left="567" w:hanging="567"/>
      </w:pPr>
      <w:proofErr w:type="spellStart"/>
      <w:r w:rsidRPr="007D0A45">
        <w:t>Impett</w:t>
      </w:r>
      <w:proofErr w:type="spellEnd"/>
      <w:r w:rsidRPr="007D0A45">
        <w:t>, E.</w:t>
      </w:r>
      <w:r w:rsidR="00311FA4" w:rsidRPr="007D0A45">
        <w:t xml:space="preserve"> </w:t>
      </w:r>
      <w:r w:rsidRPr="007D0A45">
        <w:t xml:space="preserve">A., </w:t>
      </w:r>
      <w:r w:rsidR="00311FA4" w:rsidRPr="007D0A45">
        <w:t xml:space="preserve">&amp; </w:t>
      </w:r>
      <w:proofErr w:type="spellStart"/>
      <w:r w:rsidRPr="007D0A45">
        <w:t>Peplau</w:t>
      </w:r>
      <w:proofErr w:type="spellEnd"/>
      <w:r w:rsidRPr="007D0A45">
        <w:t>, L.</w:t>
      </w:r>
      <w:r w:rsidR="00311FA4" w:rsidRPr="007D0A45">
        <w:t xml:space="preserve"> </w:t>
      </w:r>
      <w:r w:rsidRPr="007D0A45">
        <w:t>A., (2003). Sexual compliance: Gender, motivational, and relationship</w:t>
      </w:r>
      <w:r w:rsidR="00311FA4" w:rsidRPr="007D0A45">
        <w:t xml:space="preserve"> </w:t>
      </w:r>
      <w:r w:rsidRPr="007D0A45">
        <w:t xml:space="preserve">perspectives. </w:t>
      </w:r>
      <w:r w:rsidRPr="007D0A45">
        <w:rPr>
          <w:i/>
        </w:rPr>
        <w:t>Journal of Sex Research, 40,</w:t>
      </w:r>
      <w:r w:rsidRPr="007D0A45">
        <w:t xml:space="preserve"> 87–100.</w:t>
      </w:r>
    </w:p>
    <w:p w14:paraId="3F4E51F0" w14:textId="2F232F57" w:rsidR="00292F00" w:rsidRPr="007D0A45" w:rsidRDefault="00292F00" w:rsidP="00292F00">
      <w:pPr>
        <w:spacing w:line="480" w:lineRule="auto"/>
        <w:ind w:left="567" w:hanging="567"/>
      </w:pPr>
      <w:proofErr w:type="spellStart"/>
      <w:r w:rsidRPr="007D0A45">
        <w:t>Iacobucci</w:t>
      </w:r>
      <w:proofErr w:type="spellEnd"/>
      <w:r w:rsidRPr="007D0A45">
        <w:t xml:space="preserve">, D., </w:t>
      </w:r>
      <w:proofErr w:type="spellStart"/>
      <w:r w:rsidRPr="007D0A45">
        <w:t>Posavac</w:t>
      </w:r>
      <w:proofErr w:type="spellEnd"/>
      <w:r w:rsidRPr="007D0A45">
        <w:t xml:space="preserve">, S.S., </w:t>
      </w:r>
      <w:proofErr w:type="spellStart"/>
      <w:r w:rsidRPr="007D0A45">
        <w:t>Kardes</w:t>
      </w:r>
      <w:proofErr w:type="spellEnd"/>
      <w:r w:rsidRPr="007D0A45">
        <w:t>, F.R., Schneider, M.J., &amp; Popovich, D.L. (2015). </w:t>
      </w:r>
      <w:hyperlink r:id="rId27" w:history="1">
        <w:r w:rsidRPr="007D0A45">
          <w:rPr>
            <w:u w:val="single" w:color="138127"/>
          </w:rPr>
          <w:t>Toward a more nuanced understanding of the statistical properties of a median split</w:t>
        </w:r>
      </w:hyperlink>
      <w:r w:rsidRPr="007D0A45">
        <w:t>. </w:t>
      </w:r>
      <w:r w:rsidRPr="007D0A45">
        <w:rPr>
          <w:i/>
          <w:iCs/>
        </w:rPr>
        <w:t>Journal of Consumer Psychology, 25</w:t>
      </w:r>
      <w:r w:rsidRPr="007D0A45">
        <w:t xml:space="preserve">, 652-665. </w:t>
      </w:r>
    </w:p>
    <w:p w14:paraId="0E70A39E" w14:textId="77777777" w:rsidR="00B17B32" w:rsidRPr="007D0A45" w:rsidRDefault="00B17B32" w:rsidP="00292F00">
      <w:pPr>
        <w:spacing w:line="480" w:lineRule="auto"/>
      </w:pPr>
      <w:r w:rsidRPr="007D0A45">
        <w:t xml:space="preserve">Joint United Nations </w:t>
      </w:r>
      <w:proofErr w:type="spellStart"/>
      <w:r w:rsidRPr="007D0A45">
        <w:t>Programme</w:t>
      </w:r>
      <w:proofErr w:type="spellEnd"/>
      <w:r w:rsidRPr="007D0A45">
        <w:t xml:space="preserve"> on HIV/AIDS (2000). </w:t>
      </w:r>
      <w:r w:rsidRPr="007D0A45">
        <w:rPr>
          <w:i/>
        </w:rPr>
        <w:t>Men and AIDS – a gendered approach</w:t>
      </w:r>
      <w:r w:rsidRPr="007D0A45">
        <w:t>. Geneva, Switzerland: UNAIDS.</w:t>
      </w:r>
    </w:p>
    <w:p w14:paraId="79BCBA6C" w14:textId="207F2828" w:rsidR="00B17B32" w:rsidRPr="007D0A45" w:rsidRDefault="00B17B32" w:rsidP="00DD4BAB">
      <w:pPr>
        <w:widowControl w:val="0"/>
        <w:autoSpaceDE w:val="0"/>
        <w:autoSpaceDN w:val="0"/>
        <w:adjustRightInd w:val="0"/>
        <w:spacing w:line="480" w:lineRule="auto"/>
        <w:ind w:left="567" w:hanging="567"/>
      </w:pPr>
      <w:r w:rsidRPr="007D0A45">
        <w:rPr>
          <w:color w:val="000000"/>
        </w:rPr>
        <w:t>Khan, S.</w:t>
      </w:r>
      <w:r w:rsidR="00311FA4" w:rsidRPr="007D0A45">
        <w:rPr>
          <w:color w:val="000000"/>
        </w:rPr>
        <w:t xml:space="preserve"> </w:t>
      </w:r>
      <w:r w:rsidRPr="007D0A45">
        <w:rPr>
          <w:color w:val="000000"/>
        </w:rPr>
        <w:t xml:space="preserve">I., Hudson-Rodd, N., </w:t>
      </w:r>
      <w:proofErr w:type="spellStart"/>
      <w:r w:rsidRPr="007D0A45">
        <w:rPr>
          <w:color w:val="000000"/>
        </w:rPr>
        <w:t>Saggers</w:t>
      </w:r>
      <w:proofErr w:type="spellEnd"/>
      <w:r w:rsidRPr="007D0A45">
        <w:rPr>
          <w:color w:val="000000"/>
        </w:rPr>
        <w:t xml:space="preserve">, S., </w:t>
      </w:r>
      <w:proofErr w:type="spellStart"/>
      <w:r w:rsidRPr="007D0A45">
        <w:rPr>
          <w:color w:val="000000"/>
        </w:rPr>
        <w:t>Bhuiyan</w:t>
      </w:r>
      <w:proofErr w:type="spellEnd"/>
      <w:r w:rsidRPr="007D0A45">
        <w:rPr>
          <w:color w:val="000000"/>
        </w:rPr>
        <w:t>, M.</w:t>
      </w:r>
      <w:r w:rsidR="00311FA4" w:rsidRPr="007D0A45">
        <w:rPr>
          <w:color w:val="000000"/>
        </w:rPr>
        <w:t xml:space="preserve"> </w:t>
      </w:r>
      <w:r w:rsidRPr="007D0A45">
        <w:rPr>
          <w:color w:val="000000"/>
        </w:rPr>
        <w:t xml:space="preserve">I., </w:t>
      </w:r>
      <w:r w:rsidR="00311FA4" w:rsidRPr="007D0A45">
        <w:rPr>
          <w:color w:val="000000"/>
        </w:rPr>
        <w:t xml:space="preserve">&amp; </w:t>
      </w:r>
      <w:proofErr w:type="spellStart"/>
      <w:r w:rsidRPr="007D0A45">
        <w:rPr>
          <w:color w:val="000000"/>
        </w:rPr>
        <w:t>Bhuiya</w:t>
      </w:r>
      <w:proofErr w:type="spellEnd"/>
      <w:r w:rsidRPr="007D0A45">
        <w:rPr>
          <w:color w:val="000000"/>
        </w:rPr>
        <w:t xml:space="preserve">, A. (2004). Safer sex or pleasurable sex? Rethinking condom use in the AIDS era. </w:t>
      </w:r>
      <w:r w:rsidRPr="007D0A45">
        <w:rPr>
          <w:i/>
          <w:color w:val="000000"/>
        </w:rPr>
        <w:t xml:space="preserve">Sexual Health, 1, </w:t>
      </w:r>
      <w:r w:rsidRPr="007D0A45">
        <w:rPr>
          <w:color w:val="000000"/>
        </w:rPr>
        <w:t>217</w:t>
      </w:r>
      <w:r w:rsidRPr="007D0A45">
        <w:rPr>
          <w:bCs/>
          <w:color w:val="000000"/>
        </w:rPr>
        <w:t>–</w:t>
      </w:r>
      <w:r w:rsidR="004C2A79" w:rsidRPr="007D0A45">
        <w:rPr>
          <w:bCs/>
          <w:color w:val="000000"/>
        </w:rPr>
        <w:t>2</w:t>
      </w:r>
      <w:r w:rsidRPr="007D0A45">
        <w:rPr>
          <w:color w:val="000000"/>
        </w:rPr>
        <w:t xml:space="preserve">25. </w:t>
      </w:r>
      <w:r w:rsidRPr="007D0A45">
        <w:t>doi:10.1071/SH04009</w:t>
      </w:r>
    </w:p>
    <w:p w14:paraId="401F8766" w14:textId="2790A9A2" w:rsidR="004641C1" w:rsidRPr="007D0A45" w:rsidRDefault="004641C1" w:rsidP="00DD4BAB">
      <w:pPr>
        <w:shd w:val="clear" w:color="auto" w:fill="FFFFFF"/>
        <w:spacing w:line="480" w:lineRule="auto"/>
        <w:ind w:left="567" w:hanging="567"/>
        <w:rPr>
          <w:rFonts w:eastAsia="Times New Roman"/>
          <w:color w:val="000000"/>
        </w:rPr>
      </w:pPr>
      <w:proofErr w:type="spellStart"/>
      <w:r w:rsidRPr="007D0A45">
        <w:rPr>
          <w:rStyle w:val="element-citation"/>
          <w:rFonts w:eastAsia="Times New Roman"/>
          <w:color w:val="000000"/>
        </w:rPr>
        <w:lastRenderedPageBreak/>
        <w:t>Laumann</w:t>
      </w:r>
      <w:proofErr w:type="spellEnd"/>
      <w:r w:rsidR="00311FA4" w:rsidRPr="007D0A45">
        <w:rPr>
          <w:rStyle w:val="element-citation"/>
          <w:rFonts w:eastAsia="Times New Roman"/>
          <w:color w:val="000000"/>
        </w:rPr>
        <w:t>,</w:t>
      </w:r>
      <w:r w:rsidRPr="007D0A45">
        <w:rPr>
          <w:rStyle w:val="element-citation"/>
          <w:rFonts w:eastAsia="Times New Roman"/>
          <w:color w:val="000000"/>
        </w:rPr>
        <w:t xml:space="preserve"> E</w:t>
      </w:r>
      <w:r w:rsidR="00311FA4" w:rsidRPr="007D0A45">
        <w:rPr>
          <w:rStyle w:val="element-citation"/>
          <w:rFonts w:eastAsia="Times New Roman"/>
          <w:color w:val="000000"/>
        </w:rPr>
        <w:t xml:space="preserve">. </w:t>
      </w:r>
      <w:r w:rsidRPr="007D0A45">
        <w:rPr>
          <w:rStyle w:val="element-citation"/>
          <w:rFonts w:eastAsia="Times New Roman"/>
          <w:color w:val="000000"/>
        </w:rPr>
        <w:t>O</w:t>
      </w:r>
      <w:r w:rsidR="00311FA4" w:rsidRPr="007D0A45">
        <w:rPr>
          <w:rStyle w:val="element-citation"/>
          <w:rFonts w:eastAsia="Times New Roman"/>
          <w:color w:val="000000"/>
        </w:rPr>
        <w:t>.</w:t>
      </w:r>
      <w:r w:rsidRPr="007D0A45">
        <w:rPr>
          <w:rStyle w:val="element-citation"/>
          <w:rFonts w:eastAsia="Times New Roman"/>
          <w:color w:val="000000"/>
        </w:rPr>
        <w:t>, Gagnon</w:t>
      </w:r>
      <w:r w:rsidR="00311FA4" w:rsidRPr="007D0A45">
        <w:rPr>
          <w:rStyle w:val="element-citation"/>
          <w:rFonts w:eastAsia="Times New Roman"/>
          <w:color w:val="000000"/>
        </w:rPr>
        <w:t>,</w:t>
      </w:r>
      <w:r w:rsidRPr="007D0A45">
        <w:rPr>
          <w:rStyle w:val="element-citation"/>
          <w:rFonts w:eastAsia="Times New Roman"/>
          <w:color w:val="000000"/>
        </w:rPr>
        <w:t xml:space="preserve"> J</w:t>
      </w:r>
      <w:r w:rsidR="00311FA4" w:rsidRPr="007D0A45">
        <w:rPr>
          <w:rStyle w:val="element-citation"/>
          <w:rFonts w:eastAsia="Times New Roman"/>
          <w:color w:val="000000"/>
        </w:rPr>
        <w:t xml:space="preserve">., </w:t>
      </w:r>
      <w:r w:rsidRPr="007D0A45">
        <w:rPr>
          <w:rStyle w:val="element-citation"/>
          <w:rFonts w:eastAsia="Times New Roman"/>
          <w:color w:val="000000"/>
        </w:rPr>
        <w:t>H</w:t>
      </w:r>
      <w:r w:rsidR="00311FA4" w:rsidRPr="007D0A45">
        <w:rPr>
          <w:rStyle w:val="element-citation"/>
          <w:rFonts w:eastAsia="Times New Roman"/>
          <w:color w:val="000000"/>
        </w:rPr>
        <w:t>.</w:t>
      </w:r>
      <w:r w:rsidRPr="007D0A45">
        <w:rPr>
          <w:rStyle w:val="element-citation"/>
          <w:rFonts w:eastAsia="Times New Roman"/>
          <w:color w:val="000000"/>
        </w:rPr>
        <w:t xml:space="preserve">, </w:t>
      </w:r>
      <w:proofErr w:type="gramStart"/>
      <w:r w:rsidRPr="007D0A45">
        <w:rPr>
          <w:rStyle w:val="element-citation"/>
          <w:rFonts w:eastAsia="Times New Roman"/>
          <w:color w:val="000000"/>
        </w:rPr>
        <w:t>Michael</w:t>
      </w:r>
      <w:r w:rsidR="00311FA4" w:rsidRPr="007D0A45">
        <w:rPr>
          <w:rStyle w:val="element-citation"/>
          <w:rFonts w:eastAsia="Times New Roman"/>
          <w:color w:val="000000"/>
        </w:rPr>
        <w:t xml:space="preserve">, </w:t>
      </w:r>
      <w:r w:rsidRPr="007D0A45">
        <w:rPr>
          <w:rStyle w:val="element-citation"/>
          <w:rFonts w:eastAsia="Times New Roman"/>
          <w:color w:val="000000"/>
        </w:rPr>
        <w:t xml:space="preserve"> R</w:t>
      </w:r>
      <w:r w:rsidR="00311FA4" w:rsidRPr="007D0A45">
        <w:rPr>
          <w:rStyle w:val="element-citation"/>
          <w:rFonts w:eastAsia="Times New Roman"/>
          <w:color w:val="000000"/>
        </w:rPr>
        <w:t>.</w:t>
      </w:r>
      <w:r w:rsidRPr="007D0A45">
        <w:rPr>
          <w:rStyle w:val="element-citation"/>
          <w:rFonts w:eastAsia="Times New Roman"/>
          <w:color w:val="000000"/>
        </w:rPr>
        <w:t>T</w:t>
      </w:r>
      <w:r w:rsidR="00311FA4" w:rsidRPr="007D0A45">
        <w:rPr>
          <w:rStyle w:val="element-citation"/>
          <w:rFonts w:eastAsia="Times New Roman"/>
          <w:color w:val="000000"/>
        </w:rPr>
        <w:t>.</w:t>
      </w:r>
      <w:proofErr w:type="gramEnd"/>
      <w:r w:rsidRPr="007D0A45">
        <w:rPr>
          <w:rStyle w:val="element-citation"/>
          <w:rFonts w:eastAsia="Times New Roman"/>
          <w:color w:val="000000"/>
        </w:rPr>
        <w:t xml:space="preserve">, </w:t>
      </w:r>
      <w:r w:rsidR="00311FA4" w:rsidRPr="007D0A45">
        <w:rPr>
          <w:rStyle w:val="element-citation"/>
          <w:rFonts w:eastAsia="Times New Roman"/>
          <w:color w:val="000000"/>
        </w:rPr>
        <w:t xml:space="preserve">&amp; </w:t>
      </w:r>
      <w:r w:rsidRPr="007D0A45">
        <w:rPr>
          <w:rStyle w:val="element-citation"/>
          <w:rFonts w:eastAsia="Times New Roman"/>
          <w:color w:val="000000"/>
        </w:rPr>
        <w:t>Michaels</w:t>
      </w:r>
      <w:r w:rsidR="00311FA4" w:rsidRPr="007D0A45">
        <w:rPr>
          <w:rStyle w:val="element-citation"/>
          <w:rFonts w:eastAsia="Times New Roman"/>
          <w:color w:val="000000"/>
        </w:rPr>
        <w:t>,</w:t>
      </w:r>
      <w:r w:rsidRPr="007D0A45">
        <w:rPr>
          <w:rStyle w:val="element-citation"/>
          <w:rFonts w:eastAsia="Times New Roman"/>
          <w:color w:val="000000"/>
        </w:rPr>
        <w:t xml:space="preserve"> S.</w:t>
      </w:r>
      <w:r w:rsidRPr="007D0A45">
        <w:rPr>
          <w:rStyle w:val="apple-converted-space"/>
          <w:rFonts w:eastAsia="Times New Roman"/>
          <w:color w:val="000000"/>
        </w:rPr>
        <w:t> </w:t>
      </w:r>
      <w:r w:rsidR="00311FA4" w:rsidRPr="007D0A45">
        <w:rPr>
          <w:rStyle w:val="apple-converted-space"/>
          <w:rFonts w:eastAsia="Times New Roman"/>
          <w:color w:val="000000"/>
        </w:rPr>
        <w:t xml:space="preserve">(1994). </w:t>
      </w:r>
      <w:r w:rsidRPr="007D0A45">
        <w:rPr>
          <w:rStyle w:val="ref-journal"/>
          <w:rFonts w:eastAsia="Times New Roman"/>
          <w:i/>
          <w:color w:val="000000"/>
        </w:rPr>
        <w:t>The social organization of sexuality: Sexual practices in the United States</w:t>
      </w:r>
      <w:r w:rsidRPr="007D0A45">
        <w:rPr>
          <w:rStyle w:val="ref-journal"/>
          <w:rFonts w:eastAsia="Times New Roman"/>
          <w:color w:val="000000"/>
        </w:rPr>
        <w:t>.</w:t>
      </w:r>
      <w:r w:rsidRPr="007D0A45">
        <w:rPr>
          <w:rStyle w:val="apple-converted-space"/>
          <w:rFonts w:eastAsia="Times New Roman"/>
          <w:color w:val="000000"/>
        </w:rPr>
        <w:t> </w:t>
      </w:r>
      <w:r w:rsidRPr="007D0A45">
        <w:rPr>
          <w:rStyle w:val="element-citation"/>
          <w:rFonts w:eastAsia="Times New Roman"/>
          <w:color w:val="000000"/>
        </w:rPr>
        <w:t>Chicago: University of Chicago Press</w:t>
      </w:r>
      <w:r w:rsidR="00311FA4" w:rsidRPr="007D0A45">
        <w:rPr>
          <w:rStyle w:val="element-citation"/>
          <w:rFonts w:eastAsia="Times New Roman"/>
          <w:color w:val="000000"/>
        </w:rPr>
        <w:t>.</w:t>
      </w:r>
    </w:p>
    <w:p w14:paraId="5848C0B0" w14:textId="06E4DBD3" w:rsidR="00B17B32" w:rsidRPr="007D0A45" w:rsidRDefault="00B17B32" w:rsidP="00DD4BAB">
      <w:pPr>
        <w:spacing w:line="480" w:lineRule="auto"/>
        <w:ind w:left="567" w:hanging="567"/>
        <w:rPr>
          <w:rFonts w:eastAsia="Times New Roman"/>
          <w:color w:val="222222"/>
          <w:shd w:val="clear" w:color="auto" w:fill="FFFFFF"/>
          <w:lang w:val="en-GB"/>
        </w:rPr>
      </w:pPr>
      <w:proofErr w:type="spellStart"/>
      <w:r w:rsidRPr="007D0A45">
        <w:rPr>
          <w:rFonts w:eastAsia="Times New Roman"/>
          <w:color w:val="222222"/>
          <w:shd w:val="clear" w:color="auto" w:fill="FFFFFF"/>
          <w:lang w:val="en-GB"/>
        </w:rPr>
        <w:t>Lescano</w:t>
      </w:r>
      <w:proofErr w:type="spellEnd"/>
      <w:r w:rsidRPr="007D0A45">
        <w:rPr>
          <w:rFonts w:eastAsia="Times New Roman"/>
          <w:color w:val="222222"/>
          <w:shd w:val="clear" w:color="auto" w:fill="FFFFFF"/>
          <w:lang w:val="en-GB"/>
        </w:rPr>
        <w:t>, C.</w:t>
      </w:r>
      <w:r w:rsidR="00311FA4" w:rsidRPr="007D0A45">
        <w:rPr>
          <w:rFonts w:eastAsia="Times New Roman"/>
          <w:color w:val="222222"/>
          <w:shd w:val="clear" w:color="auto" w:fill="FFFFFF"/>
          <w:lang w:val="en-GB"/>
        </w:rPr>
        <w:t xml:space="preserve"> </w:t>
      </w:r>
      <w:proofErr w:type="gramStart"/>
      <w:r w:rsidRPr="007D0A45">
        <w:rPr>
          <w:rFonts w:eastAsia="Times New Roman"/>
          <w:color w:val="222222"/>
          <w:shd w:val="clear" w:color="auto" w:fill="FFFFFF"/>
          <w:lang w:val="en-GB"/>
        </w:rPr>
        <w:t>M.,</w:t>
      </w:r>
      <w:proofErr w:type="spellStart"/>
      <w:r w:rsidRPr="007D0A45">
        <w:rPr>
          <w:rFonts w:eastAsia="Times New Roman"/>
          <w:color w:val="222222"/>
          <w:shd w:val="clear" w:color="auto" w:fill="FFFFFF"/>
          <w:lang w:val="en-GB"/>
        </w:rPr>
        <w:t>Varquez</w:t>
      </w:r>
      <w:proofErr w:type="spellEnd"/>
      <w:proofErr w:type="gramEnd"/>
      <w:r w:rsidRPr="007D0A45">
        <w:rPr>
          <w:rFonts w:eastAsia="Times New Roman"/>
          <w:color w:val="222222"/>
          <w:shd w:val="clear" w:color="auto" w:fill="FFFFFF"/>
          <w:lang w:val="en-GB"/>
        </w:rPr>
        <w:t>, E.</w:t>
      </w:r>
      <w:r w:rsidR="00311FA4" w:rsidRPr="007D0A45">
        <w:rPr>
          <w:rFonts w:eastAsia="Times New Roman"/>
          <w:color w:val="222222"/>
          <w:shd w:val="clear" w:color="auto" w:fill="FFFFFF"/>
          <w:lang w:val="en-GB"/>
        </w:rPr>
        <w:t xml:space="preserve"> </w:t>
      </w:r>
      <w:r w:rsidRPr="007D0A45">
        <w:rPr>
          <w:rFonts w:eastAsia="Times New Roman"/>
          <w:color w:val="222222"/>
          <w:shd w:val="clear" w:color="auto" w:fill="FFFFFF"/>
          <w:lang w:val="en-GB"/>
        </w:rPr>
        <w:t>A., Brown, L.</w:t>
      </w:r>
      <w:r w:rsidR="00311FA4" w:rsidRPr="007D0A45">
        <w:rPr>
          <w:rFonts w:eastAsia="Times New Roman"/>
          <w:color w:val="222222"/>
          <w:shd w:val="clear" w:color="auto" w:fill="FFFFFF"/>
          <w:lang w:val="en-GB"/>
        </w:rPr>
        <w:t xml:space="preserve"> </w:t>
      </w:r>
      <w:r w:rsidRPr="007D0A45">
        <w:rPr>
          <w:rFonts w:eastAsia="Times New Roman"/>
          <w:color w:val="222222"/>
          <w:shd w:val="clear" w:color="auto" w:fill="FFFFFF"/>
          <w:lang w:val="en-GB"/>
        </w:rPr>
        <w:t xml:space="preserve">K., </w:t>
      </w:r>
      <w:proofErr w:type="spellStart"/>
      <w:r w:rsidRPr="007D0A45">
        <w:rPr>
          <w:rFonts w:eastAsia="Times New Roman"/>
          <w:color w:val="222222"/>
          <w:shd w:val="clear" w:color="auto" w:fill="FFFFFF"/>
          <w:lang w:val="en-GB"/>
        </w:rPr>
        <w:t>Litvin</w:t>
      </w:r>
      <w:proofErr w:type="spellEnd"/>
      <w:r w:rsidRPr="007D0A45">
        <w:rPr>
          <w:rFonts w:eastAsia="Times New Roman"/>
          <w:color w:val="222222"/>
          <w:shd w:val="clear" w:color="auto" w:fill="FFFFFF"/>
          <w:lang w:val="en-GB"/>
        </w:rPr>
        <w:t>, E.</w:t>
      </w:r>
      <w:r w:rsidR="00311FA4" w:rsidRPr="007D0A45">
        <w:rPr>
          <w:rFonts w:eastAsia="Times New Roman"/>
          <w:color w:val="222222"/>
          <w:shd w:val="clear" w:color="auto" w:fill="FFFFFF"/>
          <w:lang w:val="en-GB"/>
        </w:rPr>
        <w:t xml:space="preserve"> </w:t>
      </w:r>
      <w:r w:rsidRPr="007D0A45">
        <w:rPr>
          <w:rFonts w:eastAsia="Times New Roman"/>
          <w:color w:val="222222"/>
          <w:shd w:val="clear" w:color="auto" w:fill="FFFFFF"/>
          <w:lang w:val="en-GB"/>
        </w:rPr>
        <w:t xml:space="preserve">B., </w:t>
      </w:r>
      <w:proofErr w:type="spellStart"/>
      <w:r w:rsidRPr="007D0A45">
        <w:rPr>
          <w:rFonts w:eastAsia="Times New Roman"/>
          <w:color w:val="222222"/>
          <w:shd w:val="clear" w:color="auto" w:fill="FFFFFF"/>
          <w:lang w:val="en-GB"/>
        </w:rPr>
        <w:t>Pugatch</w:t>
      </w:r>
      <w:proofErr w:type="spellEnd"/>
      <w:r w:rsidRPr="007D0A45">
        <w:rPr>
          <w:rFonts w:eastAsia="Times New Roman"/>
          <w:color w:val="222222"/>
          <w:shd w:val="clear" w:color="auto" w:fill="FFFFFF"/>
          <w:lang w:val="en-GB"/>
        </w:rPr>
        <w:t>, D., &amp; P</w:t>
      </w:r>
      <w:r w:rsidR="00B1073E" w:rsidRPr="007D0A45">
        <w:rPr>
          <w:rFonts w:eastAsia="Times New Roman"/>
          <w:color w:val="222222"/>
          <w:shd w:val="clear" w:color="auto" w:fill="FFFFFF"/>
          <w:lang w:val="en-GB"/>
        </w:rPr>
        <w:t xml:space="preserve">roject </w:t>
      </w:r>
      <w:r w:rsidR="00311FA4" w:rsidRPr="007D0A45">
        <w:rPr>
          <w:rFonts w:eastAsia="Times New Roman"/>
          <w:color w:val="222222"/>
          <w:shd w:val="clear" w:color="auto" w:fill="FFFFFF"/>
          <w:lang w:val="en-GB"/>
        </w:rPr>
        <w:t xml:space="preserve">Shield </w:t>
      </w:r>
      <w:r w:rsidR="00B1073E" w:rsidRPr="007D0A45">
        <w:rPr>
          <w:rFonts w:eastAsia="Times New Roman"/>
          <w:color w:val="222222"/>
          <w:shd w:val="clear" w:color="auto" w:fill="FFFFFF"/>
          <w:lang w:val="en-GB"/>
        </w:rPr>
        <w:t>Study Group. (2006</w:t>
      </w:r>
      <w:r w:rsidRPr="007D0A45">
        <w:rPr>
          <w:rFonts w:eastAsia="Times New Roman"/>
          <w:color w:val="222222"/>
          <w:shd w:val="clear" w:color="auto" w:fill="FFFFFF"/>
          <w:lang w:val="en-GB"/>
        </w:rPr>
        <w:t>). Condom use with “casual” and “main” partners: what’s in a name?</w:t>
      </w:r>
      <w:r w:rsidR="0037284D" w:rsidRPr="007D0A45">
        <w:rPr>
          <w:rFonts w:eastAsia="Times New Roman"/>
          <w:color w:val="222222"/>
          <w:shd w:val="clear" w:color="auto" w:fill="FFFFFF"/>
          <w:lang w:val="en-GB"/>
        </w:rPr>
        <w:t xml:space="preserve"> </w:t>
      </w:r>
      <w:r w:rsidRPr="007D0A45">
        <w:rPr>
          <w:rFonts w:eastAsia="Times New Roman"/>
          <w:i/>
          <w:iCs/>
          <w:color w:val="222222"/>
          <w:shd w:val="clear" w:color="auto" w:fill="FFFFFF"/>
          <w:lang w:val="en-GB"/>
        </w:rPr>
        <w:t>Journal of Adolescent Health,</w:t>
      </w:r>
      <w:r w:rsidRPr="007D0A45">
        <w:rPr>
          <w:rFonts w:eastAsia="Times New Roman"/>
          <w:color w:val="222222"/>
          <w:shd w:val="clear" w:color="auto" w:fill="FFFFFF"/>
          <w:lang w:val="en-GB"/>
        </w:rPr>
        <w:t> </w:t>
      </w:r>
      <w:r w:rsidRPr="007D0A45">
        <w:rPr>
          <w:rFonts w:eastAsia="Times New Roman"/>
          <w:i/>
          <w:color w:val="222222"/>
          <w:shd w:val="clear" w:color="auto" w:fill="FFFFFF"/>
          <w:lang w:val="en-GB"/>
        </w:rPr>
        <w:t>39</w:t>
      </w:r>
      <w:r w:rsidRPr="007D0A45">
        <w:rPr>
          <w:rFonts w:eastAsia="Times New Roman"/>
          <w:color w:val="222222"/>
          <w:shd w:val="clear" w:color="auto" w:fill="FFFFFF"/>
          <w:lang w:val="en-GB"/>
        </w:rPr>
        <w:t>, 443. e1-7.</w:t>
      </w:r>
    </w:p>
    <w:p w14:paraId="1196DAC7" w14:textId="2F21DAC4" w:rsidR="00B17B32" w:rsidRPr="007D0A45" w:rsidRDefault="003D04B0" w:rsidP="00DD4BAB">
      <w:pPr>
        <w:widowControl w:val="0"/>
        <w:autoSpaceDE w:val="0"/>
        <w:autoSpaceDN w:val="0"/>
        <w:adjustRightInd w:val="0"/>
        <w:spacing w:line="480" w:lineRule="auto"/>
        <w:ind w:left="567" w:hanging="567"/>
        <w:rPr>
          <w:bCs/>
          <w:u w:color="262626"/>
        </w:rPr>
      </w:pPr>
      <w:hyperlink r:id="rId28" w:history="1">
        <w:proofErr w:type="spellStart"/>
        <w:r w:rsidR="00B17B32" w:rsidRPr="007D0A45">
          <w:rPr>
            <w:color w:val="262626"/>
            <w:u w:color="262626"/>
          </w:rPr>
          <w:t>Mah</w:t>
        </w:r>
        <w:proofErr w:type="spellEnd"/>
        <w:r w:rsidR="00B17B32" w:rsidRPr="007D0A45">
          <w:rPr>
            <w:color w:val="262626"/>
            <w:u w:color="262626"/>
          </w:rPr>
          <w:t>, K</w:t>
        </w:r>
      </w:hyperlink>
      <w:r w:rsidR="00B17B32" w:rsidRPr="007D0A45">
        <w:rPr>
          <w:u w:color="262626"/>
        </w:rPr>
        <w:t xml:space="preserve">., &amp; </w:t>
      </w:r>
      <w:hyperlink r:id="rId29" w:history="1">
        <w:proofErr w:type="spellStart"/>
        <w:r w:rsidR="00B17B32" w:rsidRPr="007D0A45">
          <w:rPr>
            <w:color w:val="262626"/>
            <w:u w:color="262626"/>
          </w:rPr>
          <w:t>Binik</w:t>
        </w:r>
        <w:proofErr w:type="spellEnd"/>
        <w:r w:rsidR="00B17B32" w:rsidRPr="007D0A45">
          <w:rPr>
            <w:color w:val="262626"/>
            <w:u w:color="262626"/>
          </w:rPr>
          <w:t>, Y.</w:t>
        </w:r>
        <w:r w:rsidR="00311FA4" w:rsidRPr="007D0A45">
          <w:rPr>
            <w:color w:val="262626"/>
            <w:u w:color="262626"/>
          </w:rPr>
          <w:t xml:space="preserve"> </w:t>
        </w:r>
        <w:r w:rsidR="00B17B32" w:rsidRPr="007D0A45">
          <w:rPr>
            <w:color w:val="262626"/>
            <w:u w:color="262626"/>
          </w:rPr>
          <w:t>M</w:t>
        </w:r>
      </w:hyperlink>
      <w:r w:rsidR="00B17B32" w:rsidRPr="007D0A45">
        <w:rPr>
          <w:u w:color="262626"/>
        </w:rPr>
        <w:t>.(2001).</w:t>
      </w:r>
      <w:r w:rsidR="00B17B32" w:rsidRPr="007D0A45">
        <w:rPr>
          <w:bCs/>
          <w:u w:color="262626"/>
        </w:rPr>
        <w:t xml:space="preserve"> The nature of human orgasm: a critical review of major trends.</w:t>
      </w:r>
      <w:r w:rsidR="00B17B32" w:rsidRPr="007D0A45">
        <w:rPr>
          <w:color w:val="262626"/>
          <w:u w:color="262626"/>
        </w:rPr>
        <w:t xml:space="preserve"> </w:t>
      </w:r>
      <w:r w:rsidR="00B17B32" w:rsidRPr="007D0A45">
        <w:rPr>
          <w:i/>
          <w:color w:val="262626"/>
          <w:u w:color="262626"/>
        </w:rPr>
        <w:t>Clinical Psychology Review, 21</w:t>
      </w:r>
      <w:r w:rsidR="00B17B32" w:rsidRPr="007D0A45">
        <w:rPr>
          <w:color w:val="262626"/>
          <w:u w:color="262626"/>
        </w:rPr>
        <w:t xml:space="preserve">, </w:t>
      </w:r>
      <w:r w:rsidR="00B17B32" w:rsidRPr="007D0A45">
        <w:rPr>
          <w:u w:color="262626"/>
        </w:rPr>
        <w:t>823-56.</w:t>
      </w:r>
    </w:p>
    <w:p w14:paraId="20DFAD8C" w14:textId="5DECB613" w:rsidR="00B17B32" w:rsidRPr="007D0A45" w:rsidRDefault="00B17B32" w:rsidP="00DD4BAB">
      <w:pPr>
        <w:shd w:val="clear" w:color="auto" w:fill="FFFFFF"/>
        <w:spacing w:line="480" w:lineRule="auto"/>
        <w:ind w:left="567" w:hanging="567"/>
        <w:rPr>
          <w:rStyle w:val="Hyperlink"/>
          <w:rFonts w:eastAsia="Times New Roman"/>
          <w:color w:val="004480"/>
        </w:rPr>
      </w:pPr>
      <w:r w:rsidRPr="007D0A45">
        <w:t xml:space="preserve">Marston, C., &amp; King, E. </w:t>
      </w:r>
      <w:r w:rsidR="00B1073E" w:rsidRPr="007D0A45">
        <w:t xml:space="preserve">(2006). </w:t>
      </w:r>
      <w:r w:rsidRPr="007D0A45">
        <w:t xml:space="preserve">Factors that shape young people’s sexual </w:t>
      </w:r>
      <w:proofErr w:type="spellStart"/>
      <w:r w:rsidRPr="007D0A45">
        <w:t>behaviour</w:t>
      </w:r>
      <w:proofErr w:type="spellEnd"/>
      <w:r w:rsidRPr="007D0A45">
        <w:t xml:space="preserve">: </w:t>
      </w:r>
      <w:r w:rsidR="00311FA4" w:rsidRPr="007D0A45">
        <w:t xml:space="preserve">A </w:t>
      </w:r>
      <w:r w:rsidRPr="007D0A45">
        <w:t xml:space="preserve">systematic review. </w:t>
      </w:r>
      <w:r w:rsidRPr="007D0A45">
        <w:rPr>
          <w:i/>
        </w:rPr>
        <w:t>Lancet, 368</w:t>
      </w:r>
      <w:r w:rsidR="004C2A79" w:rsidRPr="007D0A45">
        <w:t xml:space="preserve">, </w:t>
      </w:r>
      <w:r w:rsidRPr="007D0A45">
        <w:t xml:space="preserve">1581–1586. </w:t>
      </w:r>
      <w:proofErr w:type="spellStart"/>
      <w:r w:rsidR="00311FA4" w:rsidRPr="007D0A45">
        <w:rPr>
          <w:rFonts w:eastAsia="Times New Roman"/>
          <w:color w:val="333333"/>
        </w:rPr>
        <w:t>doi</w:t>
      </w:r>
      <w:proofErr w:type="spellEnd"/>
      <w:r w:rsidRPr="007D0A45">
        <w:rPr>
          <w:rFonts w:eastAsia="Times New Roman"/>
          <w:color w:val="333333"/>
        </w:rPr>
        <w:t>:</w:t>
      </w:r>
      <w:r w:rsidRPr="007D0A45">
        <w:rPr>
          <w:rStyle w:val="apple-converted-space"/>
          <w:rFonts w:eastAsia="Times New Roman"/>
          <w:color w:val="333333"/>
        </w:rPr>
        <w:t> </w:t>
      </w:r>
      <w:hyperlink r:id="rId30" w:history="1">
        <w:r w:rsidRPr="007D0A45">
          <w:rPr>
            <w:rStyle w:val="Hyperlink"/>
            <w:rFonts w:eastAsia="Times New Roman"/>
            <w:color w:val="004480"/>
          </w:rPr>
          <w:t>http://dx.doi.org/10.1016/S0140-6736(06)69662-1</w:t>
        </w:r>
      </w:hyperlink>
    </w:p>
    <w:p w14:paraId="4CCA9398" w14:textId="75C2E635" w:rsidR="00254692" w:rsidRPr="007D0A45" w:rsidRDefault="00254692" w:rsidP="00DD4BAB">
      <w:pPr>
        <w:shd w:val="clear" w:color="auto" w:fill="FFFFFF"/>
        <w:spacing w:line="480" w:lineRule="auto"/>
        <w:ind w:left="567" w:hanging="567"/>
        <w:rPr>
          <w:rFonts w:eastAsia="Times New Roman"/>
        </w:rPr>
      </w:pPr>
      <w:r w:rsidRPr="007D0A45">
        <w:rPr>
          <w:rStyle w:val="Hyperlink"/>
          <w:rFonts w:eastAsia="Times New Roman"/>
          <w:color w:val="auto"/>
        </w:rPr>
        <w:t xml:space="preserve">Nicholson, P., &amp; Burr, J. (2003). What is “normal” about women’s (hetero) sexual desire and </w:t>
      </w:r>
      <w:proofErr w:type="gramStart"/>
      <w:r w:rsidRPr="007D0A45">
        <w:rPr>
          <w:rStyle w:val="Hyperlink"/>
          <w:rFonts w:eastAsia="Times New Roman"/>
          <w:color w:val="auto"/>
        </w:rPr>
        <w:t>orgasm?:</w:t>
      </w:r>
      <w:proofErr w:type="gramEnd"/>
      <w:r w:rsidRPr="007D0A45">
        <w:rPr>
          <w:rStyle w:val="Hyperlink"/>
          <w:rFonts w:eastAsia="Times New Roman"/>
          <w:color w:val="auto"/>
        </w:rPr>
        <w:t xml:space="preserve"> A report of an in-depth interview study. </w:t>
      </w:r>
      <w:r w:rsidRPr="007D0A45">
        <w:rPr>
          <w:rStyle w:val="Hyperlink"/>
          <w:rFonts w:eastAsia="Times New Roman"/>
          <w:i/>
          <w:color w:val="auto"/>
        </w:rPr>
        <w:t xml:space="preserve">Social Science and Medicine, 57, </w:t>
      </w:r>
      <w:r w:rsidRPr="007D0A45">
        <w:rPr>
          <w:rStyle w:val="Hyperlink"/>
          <w:rFonts w:eastAsia="Times New Roman"/>
          <w:color w:val="auto"/>
        </w:rPr>
        <w:t>1735-1745.</w:t>
      </w:r>
    </w:p>
    <w:p w14:paraId="7E619ECE" w14:textId="77777777" w:rsidR="00B17B32" w:rsidRPr="007D0A45" w:rsidRDefault="00B17B32" w:rsidP="00DD4BAB">
      <w:pPr>
        <w:widowControl w:val="0"/>
        <w:autoSpaceDE w:val="0"/>
        <w:autoSpaceDN w:val="0"/>
        <w:adjustRightInd w:val="0"/>
        <w:spacing w:line="480" w:lineRule="auto"/>
        <w:ind w:left="567" w:hanging="567"/>
      </w:pPr>
      <w:r w:rsidRPr="007D0A45">
        <w:t>Ostergren, J. E., Rosser, B. R. S., &amp; Horvath, K. J. (2011). Reasons for non-use of condoms</w:t>
      </w:r>
    </w:p>
    <w:p w14:paraId="28724444" w14:textId="2986FF39" w:rsidR="00B17B32" w:rsidRPr="007D0A45" w:rsidRDefault="00B17B32" w:rsidP="00DD4BAB">
      <w:pPr>
        <w:widowControl w:val="0"/>
        <w:autoSpaceDE w:val="0"/>
        <w:autoSpaceDN w:val="0"/>
        <w:adjustRightInd w:val="0"/>
        <w:spacing w:line="480" w:lineRule="auto"/>
        <w:ind w:left="567"/>
      </w:pPr>
      <w:r w:rsidRPr="007D0A45">
        <w:t xml:space="preserve">among men who have sex with men: a comparison of receptive and </w:t>
      </w:r>
      <w:proofErr w:type="spellStart"/>
      <w:r w:rsidRPr="007D0A45">
        <w:t>insertive</w:t>
      </w:r>
      <w:proofErr w:type="spellEnd"/>
      <w:r w:rsidRPr="007D0A45">
        <w:t xml:space="preserve"> role in sex and</w:t>
      </w:r>
      <w:r w:rsidR="00D3567D" w:rsidRPr="007D0A45">
        <w:t xml:space="preserve"> </w:t>
      </w:r>
      <w:r w:rsidRPr="007D0A45">
        <w:t xml:space="preserve">online and offline meeting venue. </w:t>
      </w:r>
      <w:r w:rsidRPr="007D0A45">
        <w:rPr>
          <w:i/>
        </w:rPr>
        <w:t>Culture, Health &amp; Sexuality</w:t>
      </w:r>
      <w:r w:rsidRPr="007D0A45">
        <w:t xml:space="preserve">, </w:t>
      </w:r>
      <w:r w:rsidRPr="007D0A45">
        <w:rPr>
          <w:i/>
        </w:rPr>
        <w:t>13</w:t>
      </w:r>
      <w:r w:rsidRPr="007D0A45">
        <w:t>, 123-40.</w:t>
      </w:r>
    </w:p>
    <w:p w14:paraId="14D1D179" w14:textId="77777777" w:rsidR="0037284D" w:rsidRPr="007D0A45" w:rsidRDefault="00B17B32" w:rsidP="00DD4BAB">
      <w:pPr>
        <w:widowControl w:val="0"/>
        <w:autoSpaceDE w:val="0"/>
        <w:autoSpaceDN w:val="0"/>
        <w:adjustRightInd w:val="0"/>
        <w:spacing w:line="480" w:lineRule="auto"/>
        <w:ind w:left="567"/>
      </w:pPr>
      <w:r w:rsidRPr="007D0A45">
        <w:t>doi:10.1080/13691058.2010.520168</w:t>
      </w:r>
    </w:p>
    <w:p w14:paraId="1EAC0FB0" w14:textId="36F639A3" w:rsidR="00B17B32" w:rsidRPr="007D0A45" w:rsidRDefault="00B17B32" w:rsidP="0037284D">
      <w:pPr>
        <w:widowControl w:val="0"/>
        <w:autoSpaceDE w:val="0"/>
        <w:autoSpaceDN w:val="0"/>
        <w:adjustRightInd w:val="0"/>
        <w:spacing w:line="480" w:lineRule="auto"/>
      </w:pPr>
      <w:r w:rsidRPr="007D0A45">
        <w:t xml:space="preserve">Public Health Agency of Canada. (2008). </w:t>
      </w:r>
      <w:r w:rsidRPr="007D0A45">
        <w:rPr>
          <w:i/>
        </w:rPr>
        <w:t xml:space="preserve">Canadian guidelines for sexual health education. </w:t>
      </w:r>
      <w:r w:rsidRPr="007D0A45">
        <w:t>Ottawa, ON. Ministry of Health.</w:t>
      </w:r>
    </w:p>
    <w:p w14:paraId="13F7AEEA" w14:textId="058010E2" w:rsidR="00B17B32" w:rsidRPr="007D0A45" w:rsidRDefault="00B17B32" w:rsidP="00DD4BAB">
      <w:pPr>
        <w:spacing w:line="480" w:lineRule="auto"/>
        <w:ind w:left="567" w:hanging="567"/>
        <w:rPr>
          <w:rFonts w:eastAsia="Times New Roman"/>
        </w:rPr>
      </w:pPr>
      <w:r w:rsidRPr="007D0A45">
        <w:t>Randolph, M.</w:t>
      </w:r>
      <w:r w:rsidR="00311FA4" w:rsidRPr="007D0A45">
        <w:t xml:space="preserve"> </w:t>
      </w:r>
      <w:r w:rsidRPr="007D0A45">
        <w:t>E., Pinkerton, S.</w:t>
      </w:r>
      <w:r w:rsidR="00311FA4" w:rsidRPr="007D0A45">
        <w:t xml:space="preserve"> </w:t>
      </w:r>
      <w:r w:rsidRPr="007D0A45">
        <w:t>D., Bogart, L.</w:t>
      </w:r>
      <w:r w:rsidR="00311FA4" w:rsidRPr="007D0A45">
        <w:t xml:space="preserve"> </w:t>
      </w:r>
      <w:r w:rsidRPr="007D0A45">
        <w:t>M., Cecil, H., &amp; Abramson, P.</w:t>
      </w:r>
      <w:r w:rsidR="00311FA4" w:rsidRPr="007D0A45">
        <w:t xml:space="preserve"> </w:t>
      </w:r>
      <w:r w:rsidRPr="007D0A45">
        <w:t xml:space="preserve">R. (2007). Sexual pleasure and condom use. </w:t>
      </w:r>
      <w:r w:rsidRPr="007D0A45">
        <w:rPr>
          <w:i/>
        </w:rPr>
        <w:t>Archives of Sexual Behavior, 36</w:t>
      </w:r>
      <w:r w:rsidRPr="007D0A45">
        <w:t xml:space="preserve">, 844-848. </w:t>
      </w:r>
      <w:proofErr w:type="spellStart"/>
      <w:r w:rsidRPr="007D0A45">
        <w:rPr>
          <w:rFonts w:eastAsia="Times New Roman"/>
          <w:color w:val="000000"/>
          <w:shd w:val="clear" w:color="auto" w:fill="FFFFFF"/>
        </w:rPr>
        <w:t>doi</w:t>
      </w:r>
      <w:proofErr w:type="spellEnd"/>
      <w:r w:rsidRPr="007D0A45">
        <w:rPr>
          <w:rFonts w:eastAsia="Times New Roman"/>
          <w:color w:val="000000"/>
          <w:shd w:val="clear" w:color="auto" w:fill="FFFFFF"/>
        </w:rPr>
        <w:t>:</w:t>
      </w:r>
      <w:r w:rsidRPr="007D0A45">
        <w:rPr>
          <w:rStyle w:val="apple-converted-space"/>
          <w:rFonts w:eastAsia="Times New Roman"/>
          <w:color w:val="000000"/>
          <w:shd w:val="clear" w:color="auto" w:fill="FFFFFF"/>
        </w:rPr>
        <w:t> </w:t>
      </w:r>
      <w:r w:rsidRPr="007D0A45">
        <w:t>10.1007/S10508-007-9213-0</w:t>
      </w:r>
    </w:p>
    <w:p w14:paraId="6D6559E1" w14:textId="1D145BE3" w:rsidR="00B17B32" w:rsidRPr="007D0A45" w:rsidRDefault="00B17B32" w:rsidP="00DD4BAB">
      <w:pPr>
        <w:widowControl w:val="0"/>
        <w:autoSpaceDE w:val="0"/>
        <w:autoSpaceDN w:val="0"/>
        <w:adjustRightInd w:val="0"/>
        <w:spacing w:line="480" w:lineRule="auto"/>
        <w:ind w:left="567" w:hanging="567"/>
        <w:rPr>
          <w:color w:val="1A1A1A"/>
        </w:rPr>
      </w:pPr>
      <w:r w:rsidRPr="007D0A45">
        <w:rPr>
          <w:color w:val="1A1A1A"/>
        </w:rPr>
        <w:t>Ryan, G.</w:t>
      </w:r>
      <w:r w:rsidR="00311FA4" w:rsidRPr="007D0A45">
        <w:rPr>
          <w:color w:val="1A1A1A"/>
        </w:rPr>
        <w:t xml:space="preserve"> </w:t>
      </w:r>
      <w:r w:rsidRPr="007D0A45">
        <w:rPr>
          <w:color w:val="1A1A1A"/>
        </w:rPr>
        <w:t>W., Stern, S.</w:t>
      </w:r>
      <w:r w:rsidR="00311FA4" w:rsidRPr="007D0A45">
        <w:rPr>
          <w:color w:val="1A1A1A"/>
        </w:rPr>
        <w:t xml:space="preserve"> </w:t>
      </w:r>
      <w:r w:rsidRPr="007D0A45">
        <w:rPr>
          <w:color w:val="1A1A1A"/>
        </w:rPr>
        <w:t>A., Hilton, L., Tucker, J.</w:t>
      </w:r>
      <w:r w:rsidR="00311FA4" w:rsidRPr="007D0A45">
        <w:rPr>
          <w:color w:val="1A1A1A"/>
        </w:rPr>
        <w:t xml:space="preserve"> </w:t>
      </w:r>
      <w:r w:rsidRPr="007D0A45">
        <w:rPr>
          <w:color w:val="1A1A1A"/>
        </w:rPr>
        <w:t>S., Kennedy, D.</w:t>
      </w:r>
      <w:r w:rsidR="00311FA4" w:rsidRPr="007D0A45">
        <w:rPr>
          <w:color w:val="1A1A1A"/>
        </w:rPr>
        <w:t xml:space="preserve"> </w:t>
      </w:r>
      <w:r w:rsidRPr="007D0A45">
        <w:rPr>
          <w:color w:val="1A1A1A"/>
        </w:rPr>
        <w:t xml:space="preserve">P., </w:t>
      </w:r>
      <w:proofErr w:type="spellStart"/>
      <w:r w:rsidRPr="007D0A45">
        <w:rPr>
          <w:color w:val="1A1A1A"/>
        </w:rPr>
        <w:t>Golinelli</w:t>
      </w:r>
      <w:proofErr w:type="spellEnd"/>
      <w:r w:rsidRPr="007D0A45">
        <w:rPr>
          <w:color w:val="1A1A1A"/>
        </w:rPr>
        <w:t>, D., &amp; Wenzel, S.</w:t>
      </w:r>
      <w:r w:rsidR="00311FA4" w:rsidRPr="007D0A45">
        <w:rPr>
          <w:color w:val="1A1A1A"/>
        </w:rPr>
        <w:t xml:space="preserve"> </w:t>
      </w:r>
      <w:r w:rsidRPr="007D0A45">
        <w:rPr>
          <w:color w:val="1A1A1A"/>
        </w:rPr>
        <w:lastRenderedPageBreak/>
        <w:t xml:space="preserve">L. (2009). When, where, why and with whom homeless women engage in risky sexual behaviors: a framework for understanding complex and varied decision-making processes. </w:t>
      </w:r>
      <w:r w:rsidRPr="007D0A45">
        <w:rPr>
          <w:i/>
          <w:iCs/>
          <w:color w:val="1A1A1A"/>
        </w:rPr>
        <w:t>Sex Roles,</w:t>
      </w:r>
      <w:r w:rsidRPr="007D0A45">
        <w:rPr>
          <w:color w:val="1A1A1A"/>
        </w:rPr>
        <w:t xml:space="preserve"> </w:t>
      </w:r>
      <w:r w:rsidRPr="007D0A45">
        <w:rPr>
          <w:i/>
          <w:color w:val="1A1A1A"/>
        </w:rPr>
        <w:t>61</w:t>
      </w:r>
      <w:r w:rsidRPr="007D0A45">
        <w:rPr>
          <w:color w:val="1A1A1A"/>
        </w:rPr>
        <w:t xml:space="preserve">, 536-553. </w:t>
      </w:r>
      <w:proofErr w:type="spellStart"/>
      <w:r w:rsidR="00311FA4" w:rsidRPr="007D0A45">
        <w:rPr>
          <w:color w:val="1A1A1A"/>
        </w:rPr>
        <w:t>doi</w:t>
      </w:r>
      <w:proofErr w:type="spellEnd"/>
      <w:r w:rsidRPr="007D0A45">
        <w:rPr>
          <w:color w:val="1A1A1A"/>
        </w:rPr>
        <w:t>: 10.1007/s11199-009-9610-z</w:t>
      </w:r>
    </w:p>
    <w:p w14:paraId="08592E33" w14:textId="3115C644" w:rsidR="00B17B32" w:rsidRPr="007D0A45" w:rsidRDefault="00B17B32" w:rsidP="00DD4BAB">
      <w:pPr>
        <w:spacing w:line="480" w:lineRule="auto"/>
        <w:ind w:left="567" w:hanging="567"/>
      </w:pPr>
      <w:r w:rsidRPr="007D0A45">
        <w:t>Sanders</w:t>
      </w:r>
      <w:r w:rsidR="00D3567D" w:rsidRPr="007D0A45">
        <w:t>,</w:t>
      </w:r>
      <w:r w:rsidRPr="007D0A45">
        <w:t xml:space="preserve"> S.</w:t>
      </w:r>
      <w:r w:rsidR="00311FA4" w:rsidRPr="007D0A45">
        <w:t xml:space="preserve"> </w:t>
      </w:r>
      <w:r w:rsidRPr="007D0A45">
        <w:t>A</w:t>
      </w:r>
      <w:r w:rsidR="00D3567D" w:rsidRPr="007D0A45">
        <w:t>.</w:t>
      </w:r>
      <w:r w:rsidRPr="007D0A45">
        <w:t>, Reece</w:t>
      </w:r>
      <w:r w:rsidR="00D3567D" w:rsidRPr="007D0A45">
        <w:t>,</w:t>
      </w:r>
      <w:r w:rsidRPr="007D0A45">
        <w:t xml:space="preserve"> M., </w:t>
      </w:r>
      <w:proofErr w:type="spellStart"/>
      <w:r w:rsidRPr="007D0A45">
        <w:t>Herbenick</w:t>
      </w:r>
      <w:proofErr w:type="spellEnd"/>
      <w:r w:rsidRPr="007D0A45">
        <w:t>, D., Schick,</w:t>
      </w:r>
      <w:r w:rsidR="00D3567D" w:rsidRPr="007D0A45">
        <w:t xml:space="preserve"> </w:t>
      </w:r>
      <w:r w:rsidRPr="007D0A45">
        <w:t xml:space="preserve">V., Dodge, B., &amp; </w:t>
      </w:r>
      <w:proofErr w:type="spellStart"/>
      <w:r w:rsidRPr="007D0A45">
        <w:t>Fortenberry</w:t>
      </w:r>
      <w:proofErr w:type="spellEnd"/>
      <w:r w:rsidRPr="007D0A45">
        <w:t>, J.</w:t>
      </w:r>
      <w:r w:rsidR="00311FA4" w:rsidRPr="007D0A45">
        <w:t xml:space="preserve"> </w:t>
      </w:r>
      <w:r w:rsidRPr="007D0A45">
        <w:t xml:space="preserve">D. (2010). Condom use during most recent vaginal intercourse event among a probability sample of adults in the United States. </w:t>
      </w:r>
      <w:r w:rsidRPr="007D0A45">
        <w:rPr>
          <w:i/>
          <w:iCs/>
        </w:rPr>
        <w:t>Journal of Sexual Medicine,</w:t>
      </w:r>
      <w:r w:rsidRPr="007D0A45">
        <w:t xml:space="preserve"> 7 (</w:t>
      </w:r>
      <w:proofErr w:type="spellStart"/>
      <w:r w:rsidRPr="007D0A45">
        <w:t>suppl</w:t>
      </w:r>
      <w:proofErr w:type="spellEnd"/>
      <w:r w:rsidRPr="007D0A45">
        <w:t xml:space="preserve"> 5):362-373. </w:t>
      </w:r>
      <w:r w:rsidR="00311FA4" w:rsidRPr="007D0A45">
        <w:t>doi</w:t>
      </w:r>
      <w:r w:rsidRPr="007D0A45">
        <w:t>:10.1111/j.1743-6109.2010.</w:t>
      </w:r>
      <w:proofErr w:type="gramStart"/>
      <w:r w:rsidRPr="007D0A45">
        <w:t>02011.x.</w:t>
      </w:r>
      <w:proofErr w:type="gramEnd"/>
      <w:r w:rsidRPr="007D0A45">
        <w:t xml:space="preserve"> PMID:21029391</w:t>
      </w:r>
    </w:p>
    <w:p w14:paraId="1F0DEEDE" w14:textId="77777777" w:rsidR="0037284D" w:rsidRPr="007D0A45" w:rsidRDefault="00B17B32" w:rsidP="00DD4BAB">
      <w:pPr>
        <w:spacing w:line="480" w:lineRule="auto"/>
        <w:ind w:left="567" w:hanging="567"/>
        <w:rPr>
          <w:rStyle w:val="Hyperlink"/>
          <w:rFonts w:eastAsia="Times New Roman"/>
          <w:color w:val="auto"/>
          <w:bdr w:val="none" w:sz="0" w:space="0" w:color="auto" w:frame="1"/>
          <w:shd w:val="clear" w:color="auto" w:fill="FFFFFF"/>
        </w:rPr>
      </w:pPr>
      <w:proofErr w:type="spellStart"/>
      <w:r w:rsidRPr="007D0A45">
        <w:t>Sayegh</w:t>
      </w:r>
      <w:proofErr w:type="spellEnd"/>
      <w:r w:rsidRPr="007D0A45">
        <w:t>, M.</w:t>
      </w:r>
      <w:r w:rsidR="00311FA4" w:rsidRPr="007D0A45">
        <w:t xml:space="preserve"> </w:t>
      </w:r>
      <w:r w:rsidRPr="007D0A45">
        <w:t xml:space="preserve">A., </w:t>
      </w:r>
      <w:proofErr w:type="spellStart"/>
      <w:r w:rsidRPr="007D0A45">
        <w:t>Fortenberry</w:t>
      </w:r>
      <w:proofErr w:type="spellEnd"/>
      <w:r w:rsidRPr="007D0A45">
        <w:t>, J.</w:t>
      </w:r>
      <w:r w:rsidR="00311FA4" w:rsidRPr="007D0A45">
        <w:t xml:space="preserve"> </w:t>
      </w:r>
      <w:r w:rsidRPr="007D0A45">
        <w:t>D., Shew, M., &amp; Orr, D.</w:t>
      </w:r>
      <w:r w:rsidR="00311FA4" w:rsidRPr="007D0A45">
        <w:t xml:space="preserve"> </w:t>
      </w:r>
      <w:r w:rsidRPr="007D0A45">
        <w:t xml:space="preserve">P. (2006). The developmental association of relationship quality, hormonal contraceptive choice and condom non-use among adolescent women. </w:t>
      </w:r>
      <w:r w:rsidRPr="007D0A45">
        <w:rPr>
          <w:i/>
        </w:rPr>
        <w:t>Journal of Adolescent Health, 39</w:t>
      </w:r>
      <w:r w:rsidRPr="007D0A45">
        <w:t xml:space="preserve">, 388–95. </w:t>
      </w:r>
      <w:hyperlink r:id="rId31" w:tgtFrame="doilink" w:history="1">
        <w:proofErr w:type="gramStart"/>
        <w:r w:rsidRPr="007D0A45">
          <w:rPr>
            <w:rStyle w:val="Hyperlink"/>
            <w:rFonts w:eastAsia="Times New Roman"/>
            <w:color w:val="auto"/>
            <w:bdr w:val="none" w:sz="0" w:space="0" w:color="auto" w:frame="1"/>
            <w:shd w:val="clear" w:color="auto" w:fill="FFFFFF"/>
          </w:rPr>
          <w:t>doi:10.1016/j.jadohealth</w:t>
        </w:r>
        <w:proofErr w:type="gramEnd"/>
        <w:r w:rsidRPr="007D0A45">
          <w:rPr>
            <w:rStyle w:val="Hyperlink"/>
            <w:rFonts w:eastAsia="Times New Roman"/>
            <w:color w:val="auto"/>
            <w:bdr w:val="none" w:sz="0" w:space="0" w:color="auto" w:frame="1"/>
            <w:shd w:val="clear" w:color="auto" w:fill="FFFFFF"/>
          </w:rPr>
          <w:t>.2005.12.027</w:t>
        </w:r>
      </w:hyperlink>
    </w:p>
    <w:p w14:paraId="45D67CF7" w14:textId="0EEEFD1D" w:rsidR="00B17B32" w:rsidRPr="007D0A45" w:rsidRDefault="00B17B32" w:rsidP="00DD4BAB">
      <w:pPr>
        <w:spacing w:line="480" w:lineRule="auto"/>
        <w:ind w:left="567" w:hanging="567"/>
      </w:pPr>
      <w:proofErr w:type="spellStart"/>
      <w:r w:rsidRPr="007D0A45">
        <w:t>Tolman</w:t>
      </w:r>
      <w:proofErr w:type="spellEnd"/>
      <w:r w:rsidRPr="007D0A45">
        <w:t xml:space="preserve">, D. (2002). </w:t>
      </w:r>
      <w:r w:rsidRPr="007D0A45">
        <w:rPr>
          <w:i/>
        </w:rPr>
        <w:t>Dilemmas of desire: Teenage girls talk about sexuality</w:t>
      </w:r>
      <w:r w:rsidRPr="007D0A45">
        <w:t>. Cambridge,</w:t>
      </w:r>
    </w:p>
    <w:p w14:paraId="5084E945" w14:textId="77777777" w:rsidR="00B17B32" w:rsidRPr="007D0A45" w:rsidRDefault="00B17B32" w:rsidP="00DD4BAB">
      <w:pPr>
        <w:spacing w:line="480" w:lineRule="auto"/>
        <w:ind w:left="567"/>
      </w:pPr>
      <w:r w:rsidRPr="007D0A45">
        <w:t>MA: Harvard University Press.</w:t>
      </w:r>
    </w:p>
    <w:p w14:paraId="0170F444" w14:textId="05FDA8FE" w:rsidR="0037284D" w:rsidRPr="007D0A45" w:rsidRDefault="00B17B32" w:rsidP="00DD4BAB">
      <w:pPr>
        <w:spacing w:line="480" w:lineRule="auto"/>
        <w:ind w:left="567" w:hanging="567"/>
        <w:rPr>
          <w:rFonts w:eastAsia="Times New Roman"/>
          <w:color w:val="000000"/>
          <w:shd w:val="clear" w:color="auto" w:fill="FFFFFF"/>
        </w:rPr>
      </w:pPr>
      <w:r w:rsidRPr="007D0A45">
        <w:rPr>
          <w:color w:val="1A1A1A"/>
        </w:rPr>
        <w:t>Waite, L.</w:t>
      </w:r>
      <w:r w:rsidR="0013095E" w:rsidRPr="007D0A45">
        <w:rPr>
          <w:color w:val="1A1A1A"/>
        </w:rPr>
        <w:t xml:space="preserve"> </w:t>
      </w:r>
      <w:r w:rsidRPr="007D0A45">
        <w:rPr>
          <w:color w:val="1A1A1A"/>
        </w:rPr>
        <w:t xml:space="preserve">J., &amp; Joyner, K. (2001). Emotional satisfaction and physical pleasure in sexual unions: Time horizon, sexual behavior, and sexual exclusivity. </w:t>
      </w:r>
      <w:r w:rsidRPr="007D0A45">
        <w:rPr>
          <w:i/>
          <w:iCs/>
          <w:color w:val="1A1A1A"/>
        </w:rPr>
        <w:t>Journal of Marriage and Family,</w:t>
      </w:r>
      <w:r w:rsidRPr="007D0A45">
        <w:rPr>
          <w:color w:val="1A1A1A"/>
        </w:rPr>
        <w:t xml:space="preserve"> </w:t>
      </w:r>
      <w:r w:rsidRPr="007D0A45">
        <w:rPr>
          <w:i/>
          <w:color w:val="1A1A1A"/>
        </w:rPr>
        <w:t>63</w:t>
      </w:r>
      <w:r w:rsidR="0013095E" w:rsidRPr="007D0A45">
        <w:rPr>
          <w:color w:val="1A1A1A"/>
        </w:rPr>
        <w:t>,</w:t>
      </w:r>
      <w:r w:rsidRPr="007D0A45">
        <w:rPr>
          <w:color w:val="1A1A1A"/>
        </w:rPr>
        <w:t xml:space="preserve"> 247-264. </w:t>
      </w:r>
      <w:proofErr w:type="spellStart"/>
      <w:r w:rsidR="0013095E" w:rsidRPr="007D0A45">
        <w:rPr>
          <w:rFonts w:eastAsia="Times New Roman"/>
          <w:color w:val="000000"/>
          <w:shd w:val="clear" w:color="auto" w:fill="FFFFFF"/>
        </w:rPr>
        <w:t>doi</w:t>
      </w:r>
      <w:proofErr w:type="spellEnd"/>
      <w:r w:rsidRPr="007D0A45">
        <w:rPr>
          <w:rFonts w:eastAsia="Times New Roman"/>
          <w:color w:val="000000"/>
          <w:shd w:val="clear" w:color="auto" w:fill="FFFFFF"/>
        </w:rPr>
        <w:t xml:space="preserve"> 10.1111/j.1741-3737.</w:t>
      </w:r>
      <w:proofErr w:type="gramStart"/>
      <w:r w:rsidRPr="007D0A45">
        <w:rPr>
          <w:rFonts w:eastAsia="Times New Roman"/>
          <w:color w:val="000000"/>
          <w:shd w:val="clear" w:color="auto" w:fill="FFFFFF"/>
        </w:rPr>
        <w:t>2001.00247.x</w:t>
      </w:r>
      <w:proofErr w:type="gramEnd"/>
    </w:p>
    <w:p w14:paraId="1AD92117" w14:textId="739E5F67" w:rsidR="00FF43EA" w:rsidRPr="007D0A45" w:rsidRDefault="00844760" w:rsidP="00DD4BAB">
      <w:pPr>
        <w:spacing w:line="480" w:lineRule="auto"/>
        <w:ind w:left="567" w:hanging="567"/>
        <w:rPr>
          <w:color w:val="1A1A1A"/>
        </w:rPr>
      </w:pPr>
      <w:r w:rsidRPr="007D0A45">
        <w:rPr>
          <w:color w:val="1A1A1A"/>
        </w:rPr>
        <w:t xml:space="preserve">Widman, L., </w:t>
      </w:r>
      <w:proofErr w:type="spellStart"/>
      <w:r w:rsidRPr="007D0A45">
        <w:rPr>
          <w:color w:val="1A1A1A"/>
        </w:rPr>
        <w:t>Noar</w:t>
      </w:r>
      <w:proofErr w:type="spellEnd"/>
      <w:r w:rsidRPr="007D0A45">
        <w:rPr>
          <w:color w:val="1A1A1A"/>
        </w:rPr>
        <w:t xml:space="preserve">, S.M., </w:t>
      </w:r>
      <w:proofErr w:type="spellStart"/>
      <w:r w:rsidRPr="007D0A45">
        <w:rPr>
          <w:color w:val="1A1A1A"/>
        </w:rPr>
        <w:t>Choukas</w:t>
      </w:r>
      <w:proofErr w:type="spellEnd"/>
      <w:r w:rsidRPr="007D0A45">
        <w:rPr>
          <w:color w:val="1A1A1A"/>
        </w:rPr>
        <w:t xml:space="preserve">-Bradley, S., &amp; Francis, D.B. (2014). Adolescent sexual health communication and condom use: A meta-analysis. </w:t>
      </w:r>
      <w:r w:rsidRPr="007D0A45">
        <w:rPr>
          <w:i/>
          <w:color w:val="1A1A1A"/>
        </w:rPr>
        <w:t xml:space="preserve">Health Psychology, 33, </w:t>
      </w:r>
      <w:r w:rsidRPr="007D0A45">
        <w:rPr>
          <w:color w:val="1A1A1A"/>
        </w:rPr>
        <w:t>1113-1124.</w:t>
      </w:r>
    </w:p>
    <w:p w14:paraId="473616D3" w14:textId="74F686CA" w:rsidR="00FE64B3" w:rsidRPr="001C259D" w:rsidRDefault="00B17B32" w:rsidP="006E7974">
      <w:pPr>
        <w:spacing w:line="480" w:lineRule="auto"/>
        <w:ind w:left="567" w:hanging="567"/>
      </w:pPr>
      <w:proofErr w:type="spellStart"/>
      <w:r w:rsidRPr="007D0A45">
        <w:rPr>
          <w:color w:val="1A1A1A"/>
        </w:rPr>
        <w:t>Younge</w:t>
      </w:r>
      <w:proofErr w:type="spellEnd"/>
      <w:r w:rsidRPr="007D0A45">
        <w:rPr>
          <w:color w:val="1A1A1A"/>
        </w:rPr>
        <w:t xml:space="preserve">, S. N., Salazar, L. F., Crosby, R. F., </w:t>
      </w:r>
      <w:proofErr w:type="spellStart"/>
      <w:r w:rsidRPr="007D0A45">
        <w:rPr>
          <w:color w:val="1A1A1A"/>
        </w:rPr>
        <w:t>DiClemente</w:t>
      </w:r>
      <w:proofErr w:type="spellEnd"/>
      <w:r w:rsidRPr="007D0A45">
        <w:rPr>
          <w:color w:val="1A1A1A"/>
        </w:rPr>
        <w:t xml:space="preserve">, R. J., </w:t>
      </w:r>
      <w:proofErr w:type="spellStart"/>
      <w:r w:rsidRPr="007D0A45">
        <w:rPr>
          <w:color w:val="1A1A1A"/>
        </w:rPr>
        <w:t>Wingood</w:t>
      </w:r>
      <w:proofErr w:type="spellEnd"/>
      <w:r w:rsidRPr="007D0A45">
        <w:rPr>
          <w:color w:val="1A1A1A"/>
        </w:rPr>
        <w:t xml:space="preserve">, G. M., &amp; Rose, E. (2008). Condom use at last sex as a proxy for other measures of condom use: Is it good enough? </w:t>
      </w:r>
      <w:r w:rsidRPr="007D0A45">
        <w:rPr>
          <w:i/>
          <w:color w:val="1A1A1A"/>
        </w:rPr>
        <w:t>Adolescence, 43</w:t>
      </w:r>
      <w:r w:rsidRPr="007D0A45">
        <w:rPr>
          <w:color w:val="1A1A1A"/>
        </w:rPr>
        <w:t>, 927-931.</w:t>
      </w:r>
    </w:p>
    <w:p w14:paraId="6311A6B0" w14:textId="77777777" w:rsidR="00380578" w:rsidRPr="001C259D" w:rsidRDefault="00380578" w:rsidP="00BF46F0">
      <w:pPr>
        <w:spacing w:line="480" w:lineRule="auto"/>
      </w:pPr>
    </w:p>
    <w:p w14:paraId="37349377" w14:textId="77777777" w:rsidR="00380578" w:rsidRPr="001C259D" w:rsidRDefault="00380578" w:rsidP="00BF46F0">
      <w:pPr>
        <w:spacing w:line="480" w:lineRule="auto"/>
      </w:pPr>
    </w:p>
    <w:p w14:paraId="590CA841" w14:textId="77777777" w:rsidR="008F5822" w:rsidRPr="008F5822" w:rsidRDefault="008F5822" w:rsidP="008F5822">
      <w:pPr>
        <w:spacing w:line="480" w:lineRule="auto"/>
      </w:pPr>
      <w:r w:rsidRPr="008F5822">
        <w:lastRenderedPageBreak/>
        <w:t>Figure 1.</w:t>
      </w:r>
    </w:p>
    <w:p w14:paraId="559FB57B" w14:textId="77777777" w:rsidR="008F5822" w:rsidRPr="008F5822" w:rsidRDefault="008F5822" w:rsidP="008F5822">
      <w:pPr>
        <w:spacing w:line="480" w:lineRule="auto"/>
      </w:pPr>
      <w:r w:rsidRPr="008F5822">
        <w:t>Percentage of Men and Women reporting Condom Use at Last Vaginal Sex, by Partner Type</w:t>
      </w:r>
    </w:p>
    <w:p w14:paraId="6B0210CA" w14:textId="77777777" w:rsidR="008F5822" w:rsidRPr="008F5822" w:rsidRDefault="008F5822" w:rsidP="008F5822">
      <w:pPr>
        <w:spacing w:line="480" w:lineRule="auto"/>
      </w:pPr>
      <w:r w:rsidRPr="008F5822">
        <w:rPr>
          <w:lang w:val="en-GB"/>
        </w:rPr>
        <w:drawing>
          <wp:inline distT="0" distB="0" distL="0" distR="0" wp14:anchorId="494C1BFA" wp14:editId="07DA206A">
            <wp:extent cx="4572000" cy="27432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94AFECF" w14:textId="77777777" w:rsidR="008F5822" w:rsidRPr="008F5822" w:rsidRDefault="008F5822" w:rsidP="008F5822">
      <w:pPr>
        <w:spacing w:line="480" w:lineRule="auto"/>
      </w:pPr>
      <w:r w:rsidRPr="008F5822">
        <w:t>Figure 2.</w:t>
      </w:r>
    </w:p>
    <w:p w14:paraId="5D1E148D" w14:textId="77777777" w:rsidR="008F5822" w:rsidRPr="008F5822" w:rsidRDefault="008F5822" w:rsidP="008F5822">
      <w:pPr>
        <w:spacing w:line="480" w:lineRule="auto"/>
      </w:pPr>
      <w:r w:rsidRPr="008F5822">
        <w:t>Percentage of Men and Women indicating Last Vaginal Sex was Very Pleasurable, by Partner Type</w:t>
      </w:r>
    </w:p>
    <w:p w14:paraId="66075EC1" w14:textId="77777777" w:rsidR="008F5822" w:rsidRPr="008F5822" w:rsidRDefault="008F5822" w:rsidP="008F5822">
      <w:pPr>
        <w:spacing w:line="480" w:lineRule="auto"/>
      </w:pPr>
      <w:r w:rsidRPr="008F5822">
        <w:rPr>
          <w:lang w:val="en-GB"/>
        </w:rPr>
        <w:drawing>
          <wp:inline distT="0" distB="0" distL="0" distR="0" wp14:anchorId="561A26C6" wp14:editId="444E5079">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3CB03C8" w14:textId="77777777" w:rsidR="008F5822" w:rsidRPr="008F5822" w:rsidRDefault="008F5822" w:rsidP="008F5822">
      <w:pPr>
        <w:spacing w:line="480" w:lineRule="auto"/>
      </w:pPr>
    </w:p>
    <w:p w14:paraId="5E5CD82F" w14:textId="77777777" w:rsidR="008F5822" w:rsidRPr="008F5822" w:rsidRDefault="008F5822" w:rsidP="008F5822">
      <w:pPr>
        <w:spacing w:line="480" w:lineRule="auto"/>
      </w:pPr>
    </w:p>
    <w:p w14:paraId="2ADE7CAF" w14:textId="77777777" w:rsidR="008F5822" w:rsidRPr="008F5822" w:rsidRDefault="008F5822" w:rsidP="008F5822">
      <w:pPr>
        <w:spacing w:line="480" w:lineRule="auto"/>
      </w:pPr>
    </w:p>
    <w:p w14:paraId="346217D9" w14:textId="77777777" w:rsidR="008F5822" w:rsidRPr="008F5822" w:rsidRDefault="008F5822" w:rsidP="008F5822">
      <w:pPr>
        <w:spacing w:line="480" w:lineRule="auto"/>
      </w:pPr>
    </w:p>
    <w:p w14:paraId="3239A43E" w14:textId="77777777" w:rsidR="008F5822" w:rsidRPr="008F5822" w:rsidRDefault="008F5822" w:rsidP="008F5822">
      <w:pPr>
        <w:spacing w:line="480" w:lineRule="auto"/>
        <w:rPr>
          <w:i/>
        </w:rPr>
      </w:pPr>
      <w:r w:rsidRPr="008F5822">
        <w:t xml:space="preserve">Table 1.  </w:t>
      </w:r>
      <w:r w:rsidRPr="008F5822">
        <w:rPr>
          <w:i/>
        </w:rPr>
        <w:t>Percentage of men indicating last vaginal sex was very pleasurable, by condom use/nonuse at each level of relationship commitment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1388"/>
        <w:gridCol w:w="1267"/>
        <w:gridCol w:w="1540"/>
        <w:gridCol w:w="1021"/>
        <w:gridCol w:w="904"/>
        <w:gridCol w:w="910"/>
      </w:tblGrid>
      <w:tr w:rsidR="008F5822" w:rsidRPr="008F5822" w14:paraId="6204EF91" w14:textId="77777777" w:rsidTr="00DD32B2">
        <w:tc>
          <w:tcPr>
            <w:tcW w:w="2434" w:type="dxa"/>
            <w:tcBorders>
              <w:bottom w:val="single" w:sz="4" w:space="0" w:color="auto"/>
            </w:tcBorders>
          </w:tcPr>
          <w:p w14:paraId="685EB224" w14:textId="77777777" w:rsidR="008F5822" w:rsidRPr="008F5822" w:rsidRDefault="008F5822" w:rsidP="008F5822">
            <w:pPr>
              <w:spacing w:line="480" w:lineRule="auto"/>
            </w:pPr>
            <w:r w:rsidRPr="008F5822">
              <w:t>Level of relationship commitment</w:t>
            </w:r>
          </w:p>
        </w:tc>
        <w:tc>
          <w:tcPr>
            <w:tcW w:w="1388" w:type="dxa"/>
            <w:tcBorders>
              <w:bottom w:val="single" w:sz="4" w:space="0" w:color="auto"/>
            </w:tcBorders>
          </w:tcPr>
          <w:p w14:paraId="13E50432" w14:textId="77777777" w:rsidR="008F5822" w:rsidRPr="008F5822" w:rsidRDefault="008F5822" w:rsidP="008F5822">
            <w:pPr>
              <w:spacing w:line="480" w:lineRule="auto"/>
            </w:pPr>
            <w:r w:rsidRPr="008F5822">
              <w:t>N for comparison</w:t>
            </w:r>
          </w:p>
        </w:tc>
        <w:tc>
          <w:tcPr>
            <w:tcW w:w="1267" w:type="dxa"/>
            <w:tcBorders>
              <w:bottom w:val="single" w:sz="4" w:space="0" w:color="auto"/>
            </w:tcBorders>
          </w:tcPr>
          <w:p w14:paraId="53DEA1F8" w14:textId="77777777" w:rsidR="008F5822" w:rsidRPr="008F5822" w:rsidRDefault="008F5822" w:rsidP="008F5822">
            <w:pPr>
              <w:spacing w:line="480" w:lineRule="auto"/>
            </w:pPr>
            <w:r w:rsidRPr="008F5822">
              <w:t>Condom used</w:t>
            </w:r>
          </w:p>
        </w:tc>
        <w:tc>
          <w:tcPr>
            <w:tcW w:w="1540" w:type="dxa"/>
            <w:tcBorders>
              <w:bottom w:val="single" w:sz="4" w:space="0" w:color="auto"/>
            </w:tcBorders>
          </w:tcPr>
          <w:p w14:paraId="1EF87C97" w14:textId="77777777" w:rsidR="008F5822" w:rsidRPr="008F5822" w:rsidRDefault="008F5822" w:rsidP="008F5822">
            <w:pPr>
              <w:spacing w:line="480" w:lineRule="auto"/>
            </w:pPr>
            <w:r w:rsidRPr="008F5822">
              <w:t>No condom used</w:t>
            </w:r>
          </w:p>
        </w:tc>
        <w:tc>
          <w:tcPr>
            <w:tcW w:w="1021" w:type="dxa"/>
            <w:tcBorders>
              <w:bottom w:val="single" w:sz="4" w:space="0" w:color="auto"/>
            </w:tcBorders>
          </w:tcPr>
          <w:p w14:paraId="3DD069FF" w14:textId="77777777" w:rsidR="008F5822" w:rsidRPr="008F5822" w:rsidRDefault="008F5822" w:rsidP="008F5822">
            <w:pPr>
              <w:spacing w:line="480" w:lineRule="auto"/>
            </w:pPr>
            <w:r w:rsidRPr="008F5822">
              <w:t>Odds Ratio</w:t>
            </w:r>
          </w:p>
        </w:tc>
        <w:tc>
          <w:tcPr>
            <w:tcW w:w="904" w:type="dxa"/>
            <w:tcBorders>
              <w:bottom w:val="single" w:sz="4" w:space="0" w:color="auto"/>
            </w:tcBorders>
          </w:tcPr>
          <w:p w14:paraId="7F7F3DDD" w14:textId="77777777" w:rsidR="008F5822" w:rsidRPr="008F5822" w:rsidRDefault="008F5822" w:rsidP="008F5822">
            <w:pPr>
              <w:spacing w:line="480" w:lineRule="auto"/>
            </w:pPr>
            <w:r w:rsidRPr="008F5822">
              <w:t>95% CI</w:t>
            </w:r>
          </w:p>
        </w:tc>
        <w:tc>
          <w:tcPr>
            <w:tcW w:w="910" w:type="dxa"/>
            <w:tcBorders>
              <w:bottom w:val="single" w:sz="4" w:space="0" w:color="auto"/>
            </w:tcBorders>
          </w:tcPr>
          <w:p w14:paraId="4F754C82" w14:textId="77777777" w:rsidR="008F5822" w:rsidRPr="008F5822" w:rsidRDefault="008F5822" w:rsidP="008F5822">
            <w:pPr>
              <w:spacing w:line="480" w:lineRule="auto"/>
            </w:pPr>
            <w:r w:rsidRPr="008F5822">
              <w:rPr>
                <w:i/>
              </w:rPr>
              <w:t>P</w:t>
            </w:r>
          </w:p>
        </w:tc>
      </w:tr>
      <w:tr w:rsidR="008F5822" w:rsidRPr="008F5822" w14:paraId="1536B89F" w14:textId="77777777" w:rsidTr="00DD32B2">
        <w:tc>
          <w:tcPr>
            <w:tcW w:w="2434" w:type="dxa"/>
            <w:tcBorders>
              <w:top w:val="single" w:sz="4" w:space="0" w:color="auto"/>
            </w:tcBorders>
          </w:tcPr>
          <w:p w14:paraId="72676D6E" w14:textId="77777777" w:rsidR="008F5822" w:rsidRPr="008F5822" w:rsidRDefault="008F5822" w:rsidP="008F5822">
            <w:pPr>
              <w:spacing w:line="480" w:lineRule="auto"/>
            </w:pPr>
            <w:r w:rsidRPr="008F5822">
              <w:t>One Time Sexual Encounter and Booty Call</w:t>
            </w:r>
          </w:p>
        </w:tc>
        <w:tc>
          <w:tcPr>
            <w:tcW w:w="1388" w:type="dxa"/>
            <w:tcBorders>
              <w:top w:val="single" w:sz="4" w:space="0" w:color="auto"/>
            </w:tcBorders>
          </w:tcPr>
          <w:p w14:paraId="04DE1A6A" w14:textId="77777777" w:rsidR="008F5822" w:rsidRPr="008F5822" w:rsidRDefault="008F5822" w:rsidP="008F5822">
            <w:pPr>
              <w:spacing w:line="480" w:lineRule="auto"/>
            </w:pPr>
            <w:r w:rsidRPr="008F5822">
              <w:t>46</w:t>
            </w:r>
          </w:p>
        </w:tc>
        <w:tc>
          <w:tcPr>
            <w:tcW w:w="1267" w:type="dxa"/>
            <w:tcBorders>
              <w:top w:val="single" w:sz="4" w:space="0" w:color="auto"/>
            </w:tcBorders>
          </w:tcPr>
          <w:p w14:paraId="57A7F4F3" w14:textId="77777777" w:rsidR="008F5822" w:rsidRPr="008F5822" w:rsidRDefault="008F5822" w:rsidP="008F5822">
            <w:pPr>
              <w:spacing w:line="480" w:lineRule="auto"/>
            </w:pPr>
            <w:r w:rsidRPr="008F5822">
              <w:t>41.2%</w:t>
            </w:r>
          </w:p>
          <w:p w14:paraId="616D0111" w14:textId="77777777" w:rsidR="008F5822" w:rsidRPr="008F5822" w:rsidRDefault="008F5822" w:rsidP="008F5822">
            <w:pPr>
              <w:spacing w:line="480" w:lineRule="auto"/>
            </w:pPr>
            <w:r w:rsidRPr="008F5822">
              <w:t>(14)</w:t>
            </w:r>
          </w:p>
        </w:tc>
        <w:tc>
          <w:tcPr>
            <w:tcW w:w="1540" w:type="dxa"/>
            <w:tcBorders>
              <w:top w:val="single" w:sz="4" w:space="0" w:color="auto"/>
            </w:tcBorders>
          </w:tcPr>
          <w:p w14:paraId="2DCECD82" w14:textId="77777777" w:rsidR="008F5822" w:rsidRPr="008F5822" w:rsidRDefault="008F5822" w:rsidP="008F5822">
            <w:pPr>
              <w:spacing w:line="480" w:lineRule="auto"/>
            </w:pPr>
          </w:p>
          <w:p w14:paraId="71AEB004" w14:textId="77777777" w:rsidR="008F5822" w:rsidRPr="008F5822" w:rsidRDefault="008F5822" w:rsidP="008F5822">
            <w:pPr>
              <w:spacing w:line="480" w:lineRule="auto"/>
            </w:pPr>
            <w:r w:rsidRPr="008F5822">
              <w:t>50.0%</w:t>
            </w:r>
          </w:p>
          <w:p w14:paraId="55A387B5" w14:textId="77777777" w:rsidR="008F5822" w:rsidRPr="008F5822" w:rsidRDefault="008F5822" w:rsidP="008F5822">
            <w:pPr>
              <w:spacing w:line="480" w:lineRule="auto"/>
            </w:pPr>
            <w:r w:rsidRPr="008F5822">
              <w:t>(6)</w:t>
            </w:r>
          </w:p>
        </w:tc>
        <w:tc>
          <w:tcPr>
            <w:tcW w:w="1021" w:type="dxa"/>
            <w:tcBorders>
              <w:top w:val="single" w:sz="4" w:space="0" w:color="auto"/>
            </w:tcBorders>
          </w:tcPr>
          <w:p w14:paraId="7D9A0723" w14:textId="77777777" w:rsidR="008F5822" w:rsidRPr="008F5822" w:rsidRDefault="008F5822" w:rsidP="008F5822">
            <w:pPr>
              <w:spacing w:line="480" w:lineRule="auto"/>
            </w:pPr>
            <w:r w:rsidRPr="008F5822">
              <w:t>.70</w:t>
            </w:r>
          </w:p>
        </w:tc>
        <w:tc>
          <w:tcPr>
            <w:tcW w:w="904" w:type="dxa"/>
            <w:tcBorders>
              <w:top w:val="single" w:sz="4" w:space="0" w:color="auto"/>
            </w:tcBorders>
          </w:tcPr>
          <w:p w14:paraId="1910C87F" w14:textId="77777777" w:rsidR="008F5822" w:rsidRPr="008F5822" w:rsidRDefault="008F5822" w:rsidP="008F5822">
            <w:pPr>
              <w:spacing w:line="480" w:lineRule="auto"/>
            </w:pPr>
          </w:p>
          <w:p w14:paraId="33E87080" w14:textId="77777777" w:rsidR="008F5822" w:rsidRPr="008F5822" w:rsidRDefault="008F5822" w:rsidP="008F5822">
            <w:pPr>
              <w:spacing w:line="480" w:lineRule="auto"/>
            </w:pPr>
            <w:r w:rsidRPr="008F5822">
              <w:t>.19-2.62</w:t>
            </w:r>
          </w:p>
        </w:tc>
        <w:tc>
          <w:tcPr>
            <w:tcW w:w="910" w:type="dxa"/>
            <w:tcBorders>
              <w:top w:val="single" w:sz="4" w:space="0" w:color="auto"/>
            </w:tcBorders>
          </w:tcPr>
          <w:p w14:paraId="7730B976" w14:textId="77777777" w:rsidR="008F5822" w:rsidRPr="008F5822" w:rsidRDefault="008F5822" w:rsidP="008F5822">
            <w:pPr>
              <w:spacing w:line="480" w:lineRule="auto"/>
            </w:pPr>
          </w:p>
          <w:p w14:paraId="2347D157" w14:textId="77777777" w:rsidR="008F5822" w:rsidRPr="008F5822" w:rsidRDefault="008F5822" w:rsidP="008F5822">
            <w:pPr>
              <w:spacing w:line="480" w:lineRule="auto"/>
            </w:pPr>
            <w:r w:rsidRPr="008F5822">
              <w:t>.60</w:t>
            </w:r>
          </w:p>
        </w:tc>
      </w:tr>
      <w:tr w:rsidR="008F5822" w:rsidRPr="008F5822" w14:paraId="72F21C90" w14:textId="77777777" w:rsidTr="00DD32B2">
        <w:tc>
          <w:tcPr>
            <w:tcW w:w="2434" w:type="dxa"/>
          </w:tcPr>
          <w:p w14:paraId="6F556035" w14:textId="77777777" w:rsidR="008F5822" w:rsidRPr="008F5822" w:rsidRDefault="008F5822" w:rsidP="008F5822">
            <w:pPr>
              <w:spacing w:line="480" w:lineRule="auto"/>
            </w:pPr>
            <w:r w:rsidRPr="008F5822">
              <w:t xml:space="preserve">Friends </w:t>
            </w:r>
            <w:proofErr w:type="gramStart"/>
            <w:r w:rsidRPr="008F5822">
              <w:t>With</w:t>
            </w:r>
            <w:proofErr w:type="gramEnd"/>
            <w:r w:rsidRPr="008F5822">
              <w:t xml:space="preserve"> Benefits and Dating but not committed</w:t>
            </w:r>
          </w:p>
        </w:tc>
        <w:tc>
          <w:tcPr>
            <w:tcW w:w="1388" w:type="dxa"/>
          </w:tcPr>
          <w:p w14:paraId="3958D727" w14:textId="77777777" w:rsidR="008F5822" w:rsidRPr="008F5822" w:rsidRDefault="008F5822" w:rsidP="008F5822">
            <w:pPr>
              <w:spacing w:line="480" w:lineRule="auto"/>
            </w:pPr>
            <w:r w:rsidRPr="008F5822">
              <w:t>67</w:t>
            </w:r>
          </w:p>
        </w:tc>
        <w:tc>
          <w:tcPr>
            <w:tcW w:w="1267" w:type="dxa"/>
          </w:tcPr>
          <w:p w14:paraId="2042BD6D" w14:textId="77777777" w:rsidR="008F5822" w:rsidRPr="008F5822" w:rsidRDefault="008F5822" w:rsidP="008F5822">
            <w:pPr>
              <w:spacing w:line="480" w:lineRule="auto"/>
            </w:pPr>
            <w:r w:rsidRPr="008F5822">
              <w:t>63.0%</w:t>
            </w:r>
          </w:p>
          <w:p w14:paraId="3B69B24C" w14:textId="77777777" w:rsidR="008F5822" w:rsidRPr="008F5822" w:rsidRDefault="008F5822" w:rsidP="008F5822">
            <w:pPr>
              <w:spacing w:line="480" w:lineRule="auto"/>
            </w:pPr>
            <w:r w:rsidRPr="008F5822">
              <w:t>(29)</w:t>
            </w:r>
          </w:p>
        </w:tc>
        <w:tc>
          <w:tcPr>
            <w:tcW w:w="1540" w:type="dxa"/>
          </w:tcPr>
          <w:p w14:paraId="60E9F42F" w14:textId="77777777" w:rsidR="008F5822" w:rsidRPr="008F5822" w:rsidRDefault="008F5822" w:rsidP="008F5822">
            <w:pPr>
              <w:spacing w:line="480" w:lineRule="auto"/>
            </w:pPr>
            <w:r w:rsidRPr="008F5822">
              <w:t>76.2%</w:t>
            </w:r>
          </w:p>
          <w:p w14:paraId="0A49A278" w14:textId="77777777" w:rsidR="008F5822" w:rsidRPr="008F5822" w:rsidRDefault="008F5822" w:rsidP="008F5822">
            <w:pPr>
              <w:spacing w:line="480" w:lineRule="auto"/>
            </w:pPr>
            <w:r w:rsidRPr="008F5822">
              <w:t>(16)</w:t>
            </w:r>
          </w:p>
        </w:tc>
        <w:tc>
          <w:tcPr>
            <w:tcW w:w="1021" w:type="dxa"/>
          </w:tcPr>
          <w:p w14:paraId="45EA7E94" w14:textId="77777777" w:rsidR="008F5822" w:rsidRPr="008F5822" w:rsidRDefault="008F5822" w:rsidP="008F5822">
            <w:pPr>
              <w:spacing w:line="480" w:lineRule="auto"/>
            </w:pPr>
            <w:r w:rsidRPr="008F5822">
              <w:t>.53</w:t>
            </w:r>
          </w:p>
        </w:tc>
        <w:tc>
          <w:tcPr>
            <w:tcW w:w="904" w:type="dxa"/>
          </w:tcPr>
          <w:p w14:paraId="5006DB51" w14:textId="77777777" w:rsidR="008F5822" w:rsidRPr="008F5822" w:rsidRDefault="008F5822" w:rsidP="008F5822">
            <w:pPr>
              <w:spacing w:line="480" w:lineRule="auto"/>
            </w:pPr>
            <w:r w:rsidRPr="008F5822">
              <w:t>.17-1.72</w:t>
            </w:r>
          </w:p>
        </w:tc>
        <w:tc>
          <w:tcPr>
            <w:tcW w:w="910" w:type="dxa"/>
          </w:tcPr>
          <w:p w14:paraId="32188D51" w14:textId="77777777" w:rsidR="008F5822" w:rsidRPr="008F5822" w:rsidRDefault="008F5822" w:rsidP="008F5822">
            <w:pPr>
              <w:spacing w:line="480" w:lineRule="auto"/>
            </w:pPr>
            <w:r w:rsidRPr="008F5822">
              <w:t>.29</w:t>
            </w:r>
          </w:p>
        </w:tc>
      </w:tr>
      <w:tr w:rsidR="008F5822" w:rsidRPr="008F5822" w14:paraId="48983DBA" w14:textId="77777777" w:rsidTr="00DD32B2">
        <w:tc>
          <w:tcPr>
            <w:tcW w:w="2434" w:type="dxa"/>
          </w:tcPr>
          <w:p w14:paraId="4D3EACBC" w14:textId="77777777" w:rsidR="008F5822" w:rsidRPr="008F5822" w:rsidRDefault="008F5822" w:rsidP="008F5822">
            <w:pPr>
              <w:spacing w:line="480" w:lineRule="auto"/>
            </w:pPr>
            <w:r w:rsidRPr="008F5822">
              <w:t>Committed dating</w:t>
            </w:r>
          </w:p>
        </w:tc>
        <w:tc>
          <w:tcPr>
            <w:tcW w:w="1388" w:type="dxa"/>
          </w:tcPr>
          <w:p w14:paraId="78757BD7" w14:textId="77777777" w:rsidR="008F5822" w:rsidRPr="008F5822" w:rsidRDefault="008F5822" w:rsidP="008F5822">
            <w:pPr>
              <w:spacing w:line="480" w:lineRule="auto"/>
            </w:pPr>
            <w:r w:rsidRPr="008F5822">
              <w:t>131</w:t>
            </w:r>
          </w:p>
        </w:tc>
        <w:tc>
          <w:tcPr>
            <w:tcW w:w="1267" w:type="dxa"/>
          </w:tcPr>
          <w:p w14:paraId="4E1CD540" w14:textId="77777777" w:rsidR="008F5822" w:rsidRPr="008F5822" w:rsidRDefault="008F5822" w:rsidP="008F5822">
            <w:pPr>
              <w:spacing w:line="480" w:lineRule="auto"/>
            </w:pPr>
            <w:r w:rsidRPr="008F5822">
              <w:t>76.1%</w:t>
            </w:r>
          </w:p>
          <w:p w14:paraId="432DD2B0" w14:textId="77777777" w:rsidR="008F5822" w:rsidRPr="008F5822" w:rsidRDefault="008F5822" w:rsidP="008F5822">
            <w:pPr>
              <w:spacing w:line="480" w:lineRule="auto"/>
            </w:pPr>
            <w:r w:rsidRPr="008F5822">
              <w:t>(51)</w:t>
            </w:r>
          </w:p>
        </w:tc>
        <w:tc>
          <w:tcPr>
            <w:tcW w:w="1540" w:type="dxa"/>
          </w:tcPr>
          <w:p w14:paraId="4FF88CFE" w14:textId="77777777" w:rsidR="008F5822" w:rsidRPr="008F5822" w:rsidRDefault="008F5822" w:rsidP="008F5822">
            <w:pPr>
              <w:spacing w:line="480" w:lineRule="auto"/>
            </w:pPr>
            <w:r w:rsidRPr="008F5822">
              <w:t>75.0%</w:t>
            </w:r>
          </w:p>
          <w:p w14:paraId="0D45CB10" w14:textId="77777777" w:rsidR="008F5822" w:rsidRPr="008F5822" w:rsidRDefault="008F5822" w:rsidP="008F5822">
            <w:pPr>
              <w:spacing w:line="480" w:lineRule="auto"/>
            </w:pPr>
            <w:r w:rsidRPr="008F5822">
              <w:t>(48)</w:t>
            </w:r>
          </w:p>
        </w:tc>
        <w:tc>
          <w:tcPr>
            <w:tcW w:w="1021" w:type="dxa"/>
          </w:tcPr>
          <w:p w14:paraId="498BCFAC" w14:textId="77777777" w:rsidR="008F5822" w:rsidRPr="008F5822" w:rsidRDefault="008F5822" w:rsidP="008F5822">
            <w:pPr>
              <w:spacing w:line="480" w:lineRule="auto"/>
            </w:pPr>
            <w:r w:rsidRPr="008F5822">
              <w:t>1.06</w:t>
            </w:r>
          </w:p>
        </w:tc>
        <w:tc>
          <w:tcPr>
            <w:tcW w:w="904" w:type="dxa"/>
          </w:tcPr>
          <w:p w14:paraId="13AACF6E" w14:textId="77777777" w:rsidR="008F5822" w:rsidRPr="008F5822" w:rsidRDefault="008F5822" w:rsidP="008F5822">
            <w:pPr>
              <w:spacing w:line="480" w:lineRule="auto"/>
            </w:pPr>
            <w:r w:rsidRPr="008F5822">
              <w:t>.48-2.36</w:t>
            </w:r>
          </w:p>
        </w:tc>
        <w:tc>
          <w:tcPr>
            <w:tcW w:w="910" w:type="dxa"/>
          </w:tcPr>
          <w:p w14:paraId="1AE46F8D" w14:textId="77777777" w:rsidR="008F5822" w:rsidRPr="008F5822" w:rsidRDefault="008F5822" w:rsidP="008F5822">
            <w:pPr>
              <w:spacing w:line="480" w:lineRule="auto"/>
            </w:pPr>
            <w:r w:rsidRPr="008F5822">
              <w:t>.88</w:t>
            </w:r>
          </w:p>
        </w:tc>
      </w:tr>
      <w:tr w:rsidR="008F5822" w:rsidRPr="008F5822" w14:paraId="13244B73" w14:textId="77777777" w:rsidTr="00DD32B2">
        <w:tc>
          <w:tcPr>
            <w:tcW w:w="2434" w:type="dxa"/>
            <w:tcBorders>
              <w:bottom w:val="single" w:sz="4" w:space="0" w:color="auto"/>
            </w:tcBorders>
          </w:tcPr>
          <w:p w14:paraId="1384E9AE" w14:textId="77777777" w:rsidR="008F5822" w:rsidRPr="008F5822" w:rsidRDefault="008F5822" w:rsidP="008F5822">
            <w:pPr>
              <w:spacing w:line="480" w:lineRule="auto"/>
            </w:pPr>
            <w:r w:rsidRPr="008F5822">
              <w:t>Living together, engaged or married**</w:t>
            </w:r>
          </w:p>
        </w:tc>
        <w:tc>
          <w:tcPr>
            <w:tcW w:w="1388" w:type="dxa"/>
            <w:tcBorders>
              <w:bottom w:val="single" w:sz="4" w:space="0" w:color="auto"/>
            </w:tcBorders>
          </w:tcPr>
          <w:p w14:paraId="6D057B45" w14:textId="77777777" w:rsidR="008F5822" w:rsidRPr="008F5822" w:rsidRDefault="008F5822" w:rsidP="008F5822">
            <w:pPr>
              <w:spacing w:line="480" w:lineRule="auto"/>
            </w:pPr>
            <w:r w:rsidRPr="008F5822">
              <w:t>37</w:t>
            </w:r>
          </w:p>
        </w:tc>
        <w:tc>
          <w:tcPr>
            <w:tcW w:w="1267" w:type="dxa"/>
            <w:tcBorders>
              <w:bottom w:val="single" w:sz="4" w:space="0" w:color="auto"/>
            </w:tcBorders>
          </w:tcPr>
          <w:p w14:paraId="0656F5B7" w14:textId="77777777" w:rsidR="008F5822" w:rsidRPr="008F5822" w:rsidRDefault="008F5822" w:rsidP="008F5822">
            <w:pPr>
              <w:spacing w:line="480" w:lineRule="auto"/>
            </w:pPr>
            <w:r w:rsidRPr="008F5822">
              <w:t>70.6%</w:t>
            </w:r>
          </w:p>
          <w:p w14:paraId="511D1378" w14:textId="77777777" w:rsidR="008F5822" w:rsidRPr="008F5822" w:rsidRDefault="008F5822" w:rsidP="008F5822">
            <w:pPr>
              <w:spacing w:line="480" w:lineRule="auto"/>
            </w:pPr>
            <w:r w:rsidRPr="008F5822">
              <w:t>(12)</w:t>
            </w:r>
          </w:p>
        </w:tc>
        <w:tc>
          <w:tcPr>
            <w:tcW w:w="1540" w:type="dxa"/>
            <w:tcBorders>
              <w:bottom w:val="single" w:sz="4" w:space="0" w:color="auto"/>
            </w:tcBorders>
          </w:tcPr>
          <w:p w14:paraId="6380BFF4" w14:textId="77777777" w:rsidR="008F5822" w:rsidRPr="008F5822" w:rsidRDefault="008F5822" w:rsidP="008F5822">
            <w:pPr>
              <w:spacing w:line="480" w:lineRule="auto"/>
            </w:pPr>
            <w:r w:rsidRPr="008F5822">
              <w:t>90.0%</w:t>
            </w:r>
          </w:p>
          <w:p w14:paraId="5D50D9EB" w14:textId="77777777" w:rsidR="008F5822" w:rsidRPr="008F5822" w:rsidRDefault="008F5822" w:rsidP="008F5822">
            <w:pPr>
              <w:spacing w:line="480" w:lineRule="auto"/>
            </w:pPr>
            <w:r w:rsidRPr="008F5822">
              <w:t>(18)</w:t>
            </w:r>
          </w:p>
        </w:tc>
        <w:tc>
          <w:tcPr>
            <w:tcW w:w="1021" w:type="dxa"/>
            <w:tcBorders>
              <w:bottom w:val="single" w:sz="4" w:space="0" w:color="auto"/>
            </w:tcBorders>
          </w:tcPr>
          <w:p w14:paraId="01C4E3E4" w14:textId="77777777" w:rsidR="008F5822" w:rsidRPr="008F5822" w:rsidRDefault="008F5822" w:rsidP="008F5822">
            <w:pPr>
              <w:spacing w:line="480" w:lineRule="auto"/>
            </w:pPr>
            <w:r w:rsidRPr="008F5822">
              <w:t>.27</w:t>
            </w:r>
          </w:p>
        </w:tc>
        <w:tc>
          <w:tcPr>
            <w:tcW w:w="904" w:type="dxa"/>
            <w:tcBorders>
              <w:bottom w:val="single" w:sz="4" w:space="0" w:color="auto"/>
            </w:tcBorders>
          </w:tcPr>
          <w:p w14:paraId="79675B4C" w14:textId="77777777" w:rsidR="008F5822" w:rsidRPr="008F5822" w:rsidRDefault="008F5822" w:rsidP="008F5822">
            <w:pPr>
              <w:spacing w:line="480" w:lineRule="auto"/>
            </w:pPr>
            <w:r w:rsidRPr="008F5822">
              <w:t>.04-1.61</w:t>
            </w:r>
          </w:p>
        </w:tc>
        <w:tc>
          <w:tcPr>
            <w:tcW w:w="910" w:type="dxa"/>
            <w:tcBorders>
              <w:bottom w:val="single" w:sz="4" w:space="0" w:color="auto"/>
            </w:tcBorders>
          </w:tcPr>
          <w:p w14:paraId="0D2658AB" w14:textId="77777777" w:rsidR="008F5822" w:rsidRPr="008F5822" w:rsidRDefault="008F5822" w:rsidP="008F5822">
            <w:pPr>
              <w:spacing w:line="480" w:lineRule="auto"/>
            </w:pPr>
            <w:r w:rsidRPr="008F5822">
              <w:t>.15</w:t>
            </w:r>
          </w:p>
        </w:tc>
      </w:tr>
    </w:tbl>
    <w:p w14:paraId="726F3E83" w14:textId="77777777" w:rsidR="008F5822" w:rsidRPr="008F5822" w:rsidRDefault="008F5822" w:rsidP="008F5822">
      <w:pPr>
        <w:spacing w:line="480" w:lineRule="auto"/>
      </w:pPr>
      <w:r w:rsidRPr="008F5822">
        <w:t xml:space="preserve">Note: Cell sizes for Living together, engaged, or married were small, with 81.1% (30/37) of men reporting “very pleasurable” for their last vaginal sex regardless of condom use (and 18.9% (7/37) reporting less than “very pleasurable”).  </w:t>
      </w:r>
    </w:p>
    <w:p w14:paraId="30BE0939" w14:textId="77777777" w:rsidR="008F5822" w:rsidRPr="008F5822" w:rsidRDefault="008F5822" w:rsidP="008F5822">
      <w:pPr>
        <w:spacing w:line="480" w:lineRule="auto"/>
      </w:pPr>
    </w:p>
    <w:p w14:paraId="05749D43" w14:textId="77777777" w:rsidR="008F5822" w:rsidRPr="008F5822" w:rsidRDefault="008F5822" w:rsidP="008F5822">
      <w:pPr>
        <w:spacing w:line="480" w:lineRule="auto"/>
      </w:pPr>
    </w:p>
    <w:p w14:paraId="65C1C6BD" w14:textId="77777777" w:rsidR="008F5822" w:rsidRPr="008F5822" w:rsidRDefault="008F5822" w:rsidP="008F5822">
      <w:pPr>
        <w:spacing w:line="480" w:lineRule="auto"/>
      </w:pPr>
    </w:p>
    <w:p w14:paraId="55F231BA" w14:textId="77777777" w:rsidR="008F5822" w:rsidRPr="008F5822" w:rsidRDefault="008F5822" w:rsidP="008F5822">
      <w:pPr>
        <w:spacing w:line="480" w:lineRule="auto"/>
      </w:pPr>
    </w:p>
    <w:p w14:paraId="476A8A15" w14:textId="77777777" w:rsidR="008F5822" w:rsidRPr="008F5822" w:rsidRDefault="008F5822" w:rsidP="008F5822">
      <w:pPr>
        <w:spacing w:line="480" w:lineRule="auto"/>
      </w:pPr>
    </w:p>
    <w:p w14:paraId="5D40157A" w14:textId="77777777" w:rsidR="008F5822" w:rsidRPr="008F5822" w:rsidRDefault="008F5822" w:rsidP="008F5822">
      <w:pPr>
        <w:spacing w:line="480" w:lineRule="auto"/>
      </w:pPr>
    </w:p>
    <w:p w14:paraId="7E84DEF4" w14:textId="77777777" w:rsidR="008F5822" w:rsidRPr="008F5822" w:rsidRDefault="008F5822" w:rsidP="008F5822">
      <w:pPr>
        <w:spacing w:line="480" w:lineRule="auto"/>
      </w:pPr>
    </w:p>
    <w:p w14:paraId="4A6A3D96" w14:textId="77777777" w:rsidR="008F5822" w:rsidRPr="008F5822" w:rsidRDefault="008F5822" w:rsidP="008F5822">
      <w:pPr>
        <w:spacing w:line="480" w:lineRule="auto"/>
      </w:pPr>
    </w:p>
    <w:p w14:paraId="68C98293" w14:textId="77777777" w:rsidR="008F5822" w:rsidRPr="008F5822" w:rsidRDefault="008F5822" w:rsidP="008F5822">
      <w:pPr>
        <w:spacing w:line="480" w:lineRule="auto"/>
      </w:pPr>
    </w:p>
    <w:p w14:paraId="15A32E80" w14:textId="77777777" w:rsidR="008F5822" w:rsidRPr="008F5822" w:rsidRDefault="008F5822" w:rsidP="008F5822">
      <w:pPr>
        <w:spacing w:line="480" w:lineRule="auto"/>
      </w:pPr>
    </w:p>
    <w:p w14:paraId="303BA9F6" w14:textId="77777777" w:rsidR="008F5822" w:rsidRPr="008F5822" w:rsidRDefault="008F5822" w:rsidP="008F5822">
      <w:pPr>
        <w:spacing w:line="480" w:lineRule="auto"/>
      </w:pPr>
    </w:p>
    <w:p w14:paraId="7BF40473" w14:textId="77777777" w:rsidR="008F5822" w:rsidRPr="008F5822" w:rsidRDefault="008F5822" w:rsidP="008F5822">
      <w:pPr>
        <w:spacing w:line="480" w:lineRule="auto"/>
      </w:pPr>
    </w:p>
    <w:p w14:paraId="5B5BB7EC" w14:textId="77777777" w:rsidR="008F5822" w:rsidRPr="008F5822" w:rsidRDefault="008F5822" w:rsidP="008F5822">
      <w:pPr>
        <w:spacing w:line="480" w:lineRule="auto"/>
      </w:pPr>
    </w:p>
    <w:p w14:paraId="68ABB438" w14:textId="77777777" w:rsidR="008F5822" w:rsidRPr="008F5822" w:rsidRDefault="008F5822" w:rsidP="008F5822">
      <w:pPr>
        <w:spacing w:line="480" w:lineRule="auto"/>
      </w:pPr>
    </w:p>
    <w:p w14:paraId="1E2DC03B" w14:textId="77777777" w:rsidR="008F5822" w:rsidRPr="008F5822" w:rsidRDefault="008F5822" w:rsidP="008F5822">
      <w:pPr>
        <w:spacing w:line="480" w:lineRule="auto"/>
        <w:rPr>
          <w:i/>
        </w:rPr>
      </w:pPr>
      <w:r w:rsidRPr="008F5822">
        <w:t xml:space="preserve">Table 2.  </w:t>
      </w:r>
      <w:r w:rsidRPr="008F5822">
        <w:rPr>
          <w:i/>
        </w:rPr>
        <w:t>Percentage of women indicating last vaginal sex was very pleasurable, by condom use/nonuse at each level of relationship commitment</w:t>
      </w:r>
    </w:p>
    <w:tbl>
      <w:tblPr>
        <w:tblStyle w:val="TableGrid"/>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336"/>
        <w:gridCol w:w="1532"/>
        <w:gridCol w:w="1522"/>
        <w:gridCol w:w="1139"/>
        <w:gridCol w:w="850"/>
        <w:gridCol w:w="810"/>
      </w:tblGrid>
      <w:tr w:rsidR="008F5822" w:rsidRPr="008F5822" w14:paraId="267060EA" w14:textId="77777777" w:rsidTr="00DD32B2">
        <w:tc>
          <w:tcPr>
            <w:tcW w:w="2376" w:type="dxa"/>
            <w:tcBorders>
              <w:top w:val="single" w:sz="4" w:space="0" w:color="auto"/>
            </w:tcBorders>
            <w:vAlign w:val="bottom"/>
          </w:tcPr>
          <w:p w14:paraId="5C3462E3" w14:textId="77777777" w:rsidR="008F5822" w:rsidRPr="008F5822" w:rsidRDefault="008F5822" w:rsidP="008F5822">
            <w:pPr>
              <w:spacing w:line="480" w:lineRule="auto"/>
            </w:pPr>
            <w:r w:rsidRPr="008F5822">
              <w:t>Level of relationship commitment</w:t>
            </w:r>
          </w:p>
        </w:tc>
        <w:tc>
          <w:tcPr>
            <w:tcW w:w="1336" w:type="dxa"/>
            <w:tcBorders>
              <w:top w:val="single" w:sz="4" w:space="0" w:color="auto"/>
            </w:tcBorders>
            <w:vAlign w:val="bottom"/>
          </w:tcPr>
          <w:p w14:paraId="60C274EE" w14:textId="77777777" w:rsidR="008F5822" w:rsidRPr="008F5822" w:rsidRDefault="008F5822" w:rsidP="008F5822">
            <w:pPr>
              <w:spacing w:line="480" w:lineRule="auto"/>
            </w:pPr>
            <w:r w:rsidRPr="008F5822">
              <w:t>N for comparison</w:t>
            </w:r>
          </w:p>
        </w:tc>
        <w:tc>
          <w:tcPr>
            <w:tcW w:w="1532" w:type="dxa"/>
            <w:tcBorders>
              <w:top w:val="single" w:sz="4" w:space="0" w:color="auto"/>
            </w:tcBorders>
            <w:vAlign w:val="bottom"/>
          </w:tcPr>
          <w:p w14:paraId="1F0CBFD4" w14:textId="77777777" w:rsidR="008F5822" w:rsidRPr="008F5822" w:rsidRDefault="008F5822" w:rsidP="008F5822">
            <w:pPr>
              <w:spacing w:line="480" w:lineRule="auto"/>
            </w:pPr>
            <w:r w:rsidRPr="008F5822">
              <w:t>Condom used</w:t>
            </w:r>
          </w:p>
        </w:tc>
        <w:tc>
          <w:tcPr>
            <w:tcW w:w="1522" w:type="dxa"/>
            <w:tcBorders>
              <w:top w:val="single" w:sz="4" w:space="0" w:color="auto"/>
            </w:tcBorders>
            <w:vAlign w:val="bottom"/>
          </w:tcPr>
          <w:p w14:paraId="4727FB09" w14:textId="77777777" w:rsidR="008F5822" w:rsidRPr="008F5822" w:rsidRDefault="008F5822" w:rsidP="008F5822">
            <w:pPr>
              <w:spacing w:line="480" w:lineRule="auto"/>
            </w:pPr>
            <w:r w:rsidRPr="008F5822">
              <w:t>No condom used</w:t>
            </w:r>
          </w:p>
        </w:tc>
        <w:tc>
          <w:tcPr>
            <w:tcW w:w="1139" w:type="dxa"/>
            <w:tcBorders>
              <w:top w:val="single" w:sz="4" w:space="0" w:color="auto"/>
            </w:tcBorders>
            <w:vAlign w:val="bottom"/>
          </w:tcPr>
          <w:p w14:paraId="63D66BFF" w14:textId="77777777" w:rsidR="008F5822" w:rsidRPr="008F5822" w:rsidRDefault="008F5822" w:rsidP="008F5822">
            <w:pPr>
              <w:spacing w:line="480" w:lineRule="auto"/>
            </w:pPr>
            <w:r w:rsidRPr="008F5822">
              <w:t>Odds Ratio</w:t>
            </w:r>
          </w:p>
        </w:tc>
        <w:tc>
          <w:tcPr>
            <w:tcW w:w="850" w:type="dxa"/>
            <w:tcBorders>
              <w:top w:val="single" w:sz="4" w:space="0" w:color="auto"/>
            </w:tcBorders>
            <w:vAlign w:val="bottom"/>
          </w:tcPr>
          <w:p w14:paraId="33FA0CC6" w14:textId="77777777" w:rsidR="008F5822" w:rsidRPr="008F5822" w:rsidRDefault="008F5822" w:rsidP="008F5822">
            <w:pPr>
              <w:spacing w:line="480" w:lineRule="auto"/>
            </w:pPr>
            <w:r w:rsidRPr="008F5822">
              <w:t>95% CI</w:t>
            </w:r>
          </w:p>
        </w:tc>
        <w:tc>
          <w:tcPr>
            <w:tcW w:w="810" w:type="dxa"/>
            <w:tcBorders>
              <w:top w:val="single" w:sz="4" w:space="0" w:color="auto"/>
            </w:tcBorders>
            <w:vAlign w:val="bottom"/>
          </w:tcPr>
          <w:p w14:paraId="1AC8DA6E" w14:textId="77777777" w:rsidR="008F5822" w:rsidRPr="008F5822" w:rsidRDefault="008F5822" w:rsidP="008F5822">
            <w:pPr>
              <w:spacing w:line="480" w:lineRule="auto"/>
            </w:pPr>
            <w:r w:rsidRPr="008F5822">
              <w:rPr>
                <w:i/>
              </w:rPr>
              <w:t>P</w:t>
            </w:r>
          </w:p>
        </w:tc>
      </w:tr>
      <w:tr w:rsidR="008F5822" w:rsidRPr="008F5822" w14:paraId="2BF1FA1A" w14:textId="77777777" w:rsidTr="00DD32B2">
        <w:tc>
          <w:tcPr>
            <w:tcW w:w="2376" w:type="dxa"/>
          </w:tcPr>
          <w:p w14:paraId="4042B844" w14:textId="77777777" w:rsidR="008F5822" w:rsidRPr="008F5822" w:rsidRDefault="008F5822" w:rsidP="008F5822">
            <w:pPr>
              <w:spacing w:line="480" w:lineRule="auto"/>
            </w:pPr>
            <w:r w:rsidRPr="008F5822">
              <w:t>One Time Sexual Encounter and Booty Call**</w:t>
            </w:r>
          </w:p>
        </w:tc>
        <w:tc>
          <w:tcPr>
            <w:tcW w:w="1336" w:type="dxa"/>
          </w:tcPr>
          <w:p w14:paraId="5AA3D893" w14:textId="77777777" w:rsidR="008F5822" w:rsidRPr="008F5822" w:rsidRDefault="008F5822" w:rsidP="008F5822">
            <w:pPr>
              <w:spacing w:line="480" w:lineRule="auto"/>
            </w:pPr>
            <w:r w:rsidRPr="008F5822">
              <w:t>43</w:t>
            </w:r>
          </w:p>
        </w:tc>
        <w:tc>
          <w:tcPr>
            <w:tcW w:w="1532" w:type="dxa"/>
          </w:tcPr>
          <w:p w14:paraId="5AB8715E" w14:textId="77777777" w:rsidR="008F5822" w:rsidRPr="008F5822" w:rsidRDefault="008F5822" w:rsidP="008F5822">
            <w:pPr>
              <w:spacing w:line="480" w:lineRule="auto"/>
            </w:pPr>
            <w:r w:rsidRPr="008F5822">
              <w:t>22.2%</w:t>
            </w:r>
          </w:p>
          <w:p w14:paraId="70E2078D" w14:textId="77777777" w:rsidR="008F5822" w:rsidRPr="008F5822" w:rsidRDefault="008F5822" w:rsidP="008F5822">
            <w:pPr>
              <w:spacing w:line="480" w:lineRule="auto"/>
            </w:pPr>
            <w:r w:rsidRPr="008F5822">
              <w:t>(8)</w:t>
            </w:r>
          </w:p>
        </w:tc>
        <w:tc>
          <w:tcPr>
            <w:tcW w:w="1522" w:type="dxa"/>
          </w:tcPr>
          <w:p w14:paraId="2A489559" w14:textId="77777777" w:rsidR="008F5822" w:rsidRPr="008F5822" w:rsidRDefault="008F5822" w:rsidP="008F5822">
            <w:pPr>
              <w:spacing w:line="480" w:lineRule="auto"/>
            </w:pPr>
            <w:r w:rsidRPr="008F5822">
              <w:t>42.9%</w:t>
            </w:r>
          </w:p>
          <w:p w14:paraId="3D964B2D" w14:textId="77777777" w:rsidR="008F5822" w:rsidRPr="008F5822" w:rsidRDefault="008F5822" w:rsidP="008F5822">
            <w:pPr>
              <w:spacing w:line="480" w:lineRule="auto"/>
            </w:pPr>
            <w:r w:rsidRPr="008F5822">
              <w:t>(3)</w:t>
            </w:r>
          </w:p>
        </w:tc>
        <w:tc>
          <w:tcPr>
            <w:tcW w:w="1139" w:type="dxa"/>
          </w:tcPr>
          <w:p w14:paraId="49CEE101" w14:textId="77777777" w:rsidR="008F5822" w:rsidRPr="008F5822" w:rsidRDefault="008F5822" w:rsidP="008F5822">
            <w:pPr>
              <w:spacing w:line="480" w:lineRule="auto"/>
            </w:pPr>
            <w:r w:rsidRPr="008F5822">
              <w:t>.38</w:t>
            </w:r>
          </w:p>
        </w:tc>
        <w:tc>
          <w:tcPr>
            <w:tcW w:w="850" w:type="dxa"/>
          </w:tcPr>
          <w:p w14:paraId="209AAD2B" w14:textId="77777777" w:rsidR="008F5822" w:rsidRPr="008F5822" w:rsidRDefault="008F5822" w:rsidP="008F5822">
            <w:pPr>
              <w:spacing w:line="480" w:lineRule="auto"/>
            </w:pPr>
            <w:r w:rsidRPr="008F5822">
              <w:t>.07-2.07</w:t>
            </w:r>
          </w:p>
        </w:tc>
        <w:tc>
          <w:tcPr>
            <w:tcW w:w="810" w:type="dxa"/>
          </w:tcPr>
          <w:p w14:paraId="68F2213C" w14:textId="77777777" w:rsidR="008F5822" w:rsidRPr="008F5822" w:rsidRDefault="008F5822" w:rsidP="008F5822">
            <w:pPr>
              <w:spacing w:line="480" w:lineRule="auto"/>
            </w:pPr>
            <w:r w:rsidRPr="008F5822">
              <w:t>.26</w:t>
            </w:r>
          </w:p>
        </w:tc>
      </w:tr>
      <w:tr w:rsidR="008F5822" w:rsidRPr="008F5822" w14:paraId="176C960F" w14:textId="77777777" w:rsidTr="00DD32B2">
        <w:tc>
          <w:tcPr>
            <w:tcW w:w="2376" w:type="dxa"/>
          </w:tcPr>
          <w:p w14:paraId="7D148238" w14:textId="77777777" w:rsidR="008F5822" w:rsidRPr="008F5822" w:rsidRDefault="008F5822" w:rsidP="008F5822">
            <w:pPr>
              <w:spacing w:line="480" w:lineRule="auto"/>
            </w:pPr>
            <w:r w:rsidRPr="008F5822">
              <w:t xml:space="preserve">Friends </w:t>
            </w:r>
            <w:proofErr w:type="gramStart"/>
            <w:r w:rsidRPr="008F5822">
              <w:t>With</w:t>
            </w:r>
            <w:proofErr w:type="gramEnd"/>
            <w:r w:rsidRPr="008F5822">
              <w:t xml:space="preserve"> Benefits and Dating but not committed</w:t>
            </w:r>
          </w:p>
        </w:tc>
        <w:tc>
          <w:tcPr>
            <w:tcW w:w="1336" w:type="dxa"/>
          </w:tcPr>
          <w:p w14:paraId="16D4A930" w14:textId="77777777" w:rsidR="008F5822" w:rsidRPr="008F5822" w:rsidRDefault="008F5822" w:rsidP="008F5822">
            <w:pPr>
              <w:spacing w:line="480" w:lineRule="auto"/>
            </w:pPr>
            <w:r w:rsidRPr="008F5822">
              <w:t>84</w:t>
            </w:r>
          </w:p>
        </w:tc>
        <w:tc>
          <w:tcPr>
            <w:tcW w:w="1532" w:type="dxa"/>
          </w:tcPr>
          <w:p w14:paraId="776B603D" w14:textId="77777777" w:rsidR="008F5822" w:rsidRPr="008F5822" w:rsidRDefault="008F5822" w:rsidP="008F5822">
            <w:pPr>
              <w:spacing w:line="480" w:lineRule="auto"/>
            </w:pPr>
            <w:r w:rsidRPr="008F5822">
              <w:t>43.8%</w:t>
            </w:r>
          </w:p>
          <w:p w14:paraId="6D580123" w14:textId="77777777" w:rsidR="008F5822" w:rsidRPr="008F5822" w:rsidRDefault="008F5822" w:rsidP="008F5822">
            <w:pPr>
              <w:spacing w:line="480" w:lineRule="auto"/>
            </w:pPr>
            <w:r w:rsidRPr="008F5822">
              <w:t>(21)</w:t>
            </w:r>
          </w:p>
        </w:tc>
        <w:tc>
          <w:tcPr>
            <w:tcW w:w="1522" w:type="dxa"/>
          </w:tcPr>
          <w:p w14:paraId="64309B04" w14:textId="77777777" w:rsidR="008F5822" w:rsidRPr="008F5822" w:rsidRDefault="008F5822" w:rsidP="008F5822">
            <w:pPr>
              <w:spacing w:line="480" w:lineRule="auto"/>
            </w:pPr>
            <w:r w:rsidRPr="008F5822">
              <w:t>55.6%</w:t>
            </w:r>
          </w:p>
          <w:p w14:paraId="37B7D9AC" w14:textId="77777777" w:rsidR="008F5822" w:rsidRPr="008F5822" w:rsidRDefault="008F5822" w:rsidP="008F5822">
            <w:pPr>
              <w:spacing w:line="480" w:lineRule="auto"/>
            </w:pPr>
            <w:r w:rsidRPr="008F5822">
              <w:t>(20)</w:t>
            </w:r>
          </w:p>
        </w:tc>
        <w:tc>
          <w:tcPr>
            <w:tcW w:w="1139" w:type="dxa"/>
          </w:tcPr>
          <w:p w14:paraId="23266092" w14:textId="77777777" w:rsidR="008F5822" w:rsidRPr="008F5822" w:rsidRDefault="008F5822" w:rsidP="008F5822">
            <w:pPr>
              <w:spacing w:line="480" w:lineRule="auto"/>
            </w:pPr>
            <w:r w:rsidRPr="008F5822">
              <w:t>.62</w:t>
            </w:r>
          </w:p>
        </w:tc>
        <w:tc>
          <w:tcPr>
            <w:tcW w:w="850" w:type="dxa"/>
          </w:tcPr>
          <w:p w14:paraId="125386A7" w14:textId="77777777" w:rsidR="008F5822" w:rsidRPr="008F5822" w:rsidRDefault="008F5822" w:rsidP="008F5822">
            <w:pPr>
              <w:spacing w:line="480" w:lineRule="auto"/>
            </w:pPr>
            <w:r w:rsidRPr="008F5822">
              <w:t>.26-1.49</w:t>
            </w:r>
          </w:p>
        </w:tc>
        <w:tc>
          <w:tcPr>
            <w:tcW w:w="810" w:type="dxa"/>
          </w:tcPr>
          <w:p w14:paraId="29615E54" w14:textId="77777777" w:rsidR="008F5822" w:rsidRPr="008F5822" w:rsidRDefault="008F5822" w:rsidP="008F5822">
            <w:pPr>
              <w:spacing w:line="480" w:lineRule="auto"/>
            </w:pPr>
            <w:r w:rsidRPr="008F5822">
              <w:t>.28</w:t>
            </w:r>
          </w:p>
        </w:tc>
      </w:tr>
      <w:tr w:rsidR="008F5822" w:rsidRPr="008F5822" w14:paraId="446C4357" w14:textId="77777777" w:rsidTr="00DD32B2">
        <w:tc>
          <w:tcPr>
            <w:tcW w:w="2376" w:type="dxa"/>
          </w:tcPr>
          <w:p w14:paraId="3BC57340" w14:textId="77777777" w:rsidR="008F5822" w:rsidRPr="008F5822" w:rsidRDefault="008F5822" w:rsidP="008F5822">
            <w:pPr>
              <w:spacing w:line="480" w:lineRule="auto"/>
            </w:pPr>
            <w:r w:rsidRPr="008F5822">
              <w:t>Committed dating</w:t>
            </w:r>
          </w:p>
        </w:tc>
        <w:tc>
          <w:tcPr>
            <w:tcW w:w="1336" w:type="dxa"/>
          </w:tcPr>
          <w:p w14:paraId="20E321C3" w14:textId="77777777" w:rsidR="008F5822" w:rsidRPr="008F5822" w:rsidRDefault="008F5822" w:rsidP="008F5822">
            <w:pPr>
              <w:spacing w:line="480" w:lineRule="auto"/>
            </w:pPr>
            <w:r w:rsidRPr="008F5822">
              <w:t>223</w:t>
            </w:r>
          </w:p>
        </w:tc>
        <w:tc>
          <w:tcPr>
            <w:tcW w:w="1532" w:type="dxa"/>
          </w:tcPr>
          <w:p w14:paraId="44930291" w14:textId="77777777" w:rsidR="008F5822" w:rsidRPr="008F5822" w:rsidRDefault="008F5822" w:rsidP="008F5822">
            <w:pPr>
              <w:spacing w:line="480" w:lineRule="auto"/>
            </w:pPr>
            <w:r w:rsidRPr="008F5822">
              <w:t>41.4</w:t>
            </w:r>
          </w:p>
          <w:p w14:paraId="56D64E84" w14:textId="77777777" w:rsidR="008F5822" w:rsidRPr="008F5822" w:rsidRDefault="008F5822" w:rsidP="008F5822">
            <w:pPr>
              <w:spacing w:line="480" w:lineRule="auto"/>
            </w:pPr>
            <w:r w:rsidRPr="008F5822">
              <w:t>(36)</w:t>
            </w:r>
          </w:p>
        </w:tc>
        <w:tc>
          <w:tcPr>
            <w:tcW w:w="1522" w:type="dxa"/>
          </w:tcPr>
          <w:p w14:paraId="768EEF9F" w14:textId="77777777" w:rsidR="008F5822" w:rsidRPr="008F5822" w:rsidRDefault="008F5822" w:rsidP="008F5822">
            <w:pPr>
              <w:spacing w:line="480" w:lineRule="auto"/>
            </w:pPr>
            <w:r w:rsidRPr="008F5822">
              <w:t>55.9</w:t>
            </w:r>
          </w:p>
          <w:p w14:paraId="648BA683" w14:textId="77777777" w:rsidR="008F5822" w:rsidRPr="008F5822" w:rsidRDefault="008F5822" w:rsidP="008F5822">
            <w:pPr>
              <w:spacing w:line="480" w:lineRule="auto"/>
            </w:pPr>
            <w:r w:rsidRPr="008F5822">
              <w:t>(76)</w:t>
            </w:r>
          </w:p>
        </w:tc>
        <w:tc>
          <w:tcPr>
            <w:tcW w:w="1139" w:type="dxa"/>
          </w:tcPr>
          <w:p w14:paraId="5C7FE440" w14:textId="77777777" w:rsidR="008F5822" w:rsidRPr="008F5822" w:rsidRDefault="008F5822" w:rsidP="008F5822">
            <w:pPr>
              <w:spacing w:line="480" w:lineRule="auto"/>
            </w:pPr>
            <w:r w:rsidRPr="008F5822">
              <w:t>.56</w:t>
            </w:r>
          </w:p>
        </w:tc>
        <w:tc>
          <w:tcPr>
            <w:tcW w:w="850" w:type="dxa"/>
          </w:tcPr>
          <w:p w14:paraId="31646456" w14:textId="77777777" w:rsidR="008F5822" w:rsidRPr="008F5822" w:rsidRDefault="008F5822" w:rsidP="008F5822">
            <w:pPr>
              <w:spacing w:line="480" w:lineRule="auto"/>
            </w:pPr>
            <w:r w:rsidRPr="008F5822">
              <w:t>.32-96</w:t>
            </w:r>
          </w:p>
        </w:tc>
        <w:tc>
          <w:tcPr>
            <w:tcW w:w="810" w:type="dxa"/>
          </w:tcPr>
          <w:p w14:paraId="7369FF18" w14:textId="77777777" w:rsidR="008F5822" w:rsidRPr="008F5822" w:rsidRDefault="008F5822" w:rsidP="008F5822">
            <w:pPr>
              <w:spacing w:line="480" w:lineRule="auto"/>
            </w:pPr>
            <w:r w:rsidRPr="008F5822">
              <w:t>.04</w:t>
            </w:r>
          </w:p>
        </w:tc>
      </w:tr>
      <w:tr w:rsidR="008F5822" w:rsidRPr="008F5822" w14:paraId="5DB0A758" w14:textId="77777777" w:rsidTr="00DD32B2">
        <w:tc>
          <w:tcPr>
            <w:tcW w:w="2376" w:type="dxa"/>
            <w:tcBorders>
              <w:bottom w:val="single" w:sz="4" w:space="0" w:color="auto"/>
            </w:tcBorders>
          </w:tcPr>
          <w:p w14:paraId="086031C2" w14:textId="77777777" w:rsidR="008F5822" w:rsidRPr="008F5822" w:rsidRDefault="008F5822" w:rsidP="008F5822">
            <w:pPr>
              <w:spacing w:line="480" w:lineRule="auto"/>
            </w:pPr>
            <w:r w:rsidRPr="008F5822">
              <w:t xml:space="preserve">Living together, </w:t>
            </w:r>
            <w:r w:rsidRPr="008F5822">
              <w:lastRenderedPageBreak/>
              <w:t>engaged or married</w:t>
            </w:r>
          </w:p>
        </w:tc>
        <w:tc>
          <w:tcPr>
            <w:tcW w:w="1336" w:type="dxa"/>
            <w:tcBorders>
              <w:bottom w:val="single" w:sz="4" w:space="0" w:color="auto"/>
            </w:tcBorders>
          </w:tcPr>
          <w:p w14:paraId="6D618816" w14:textId="77777777" w:rsidR="008F5822" w:rsidRPr="008F5822" w:rsidRDefault="008F5822" w:rsidP="008F5822">
            <w:pPr>
              <w:spacing w:line="480" w:lineRule="auto"/>
            </w:pPr>
            <w:r w:rsidRPr="008F5822">
              <w:lastRenderedPageBreak/>
              <w:t>84</w:t>
            </w:r>
          </w:p>
        </w:tc>
        <w:tc>
          <w:tcPr>
            <w:tcW w:w="1532" w:type="dxa"/>
            <w:tcBorders>
              <w:bottom w:val="single" w:sz="4" w:space="0" w:color="auto"/>
            </w:tcBorders>
          </w:tcPr>
          <w:p w14:paraId="51AE9F10" w14:textId="77777777" w:rsidR="008F5822" w:rsidRPr="008F5822" w:rsidRDefault="008F5822" w:rsidP="008F5822">
            <w:pPr>
              <w:spacing w:line="480" w:lineRule="auto"/>
            </w:pPr>
            <w:r w:rsidRPr="008F5822">
              <w:t>60.7%</w:t>
            </w:r>
          </w:p>
          <w:p w14:paraId="33191862" w14:textId="77777777" w:rsidR="008F5822" w:rsidRPr="008F5822" w:rsidRDefault="008F5822" w:rsidP="008F5822">
            <w:pPr>
              <w:spacing w:line="480" w:lineRule="auto"/>
            </w:pPr>
            <w:r w:rsidRPr="008F5822">
              <w:lastRenderedPageBreak/>
              <w:t>(17)</w:t>
            </w:r>
          </w:p>
        </w:tc>
        <w:tc>
          <w:tcPr>
            <w:tcW w:w="1522" w:type="dxa"/>
            <w:tcBorders>
              <w:bottom w:val="single" w:sz="4" w:space="0" w:color="auto"/>
            </w:tcBorders>
          </w:tcPr>
          <w:p w14:paraId="64C92CD5" w14:textId="77777777" w:rsidR="008F5822" w:rsidRPr="008F5822" w:rsidRDefault="008F5822" w:rsidP="008F5822">
            <w:pPr>
              <w:spacing w:line="480" w:lineRule="auto"/>
            </w:pPr>
            <w:r w:rsidRPr="008F5822">
              <w:lastRenderedPageBreak/>
              <w:t>62.5%</w:t>
            </w:r>
          </w:p>
          <w:p w14:paraId="14C9E14A" w14:textId="77777777" w:rsidR="008F5822" w:rsidRPr="008F5822" w:rsidRDefault="008F5822" w:rsidP="008F5822">
            <w:pPr>
              <w:spacing w:line="480" w:lineRule="auto"/>
            </w:pPr>
            <w:r w:rsidRPr="008F5822">
              <w:lastRenderedPageBreak/>
              <w:t>(35)</w:t>
            </w:r>
          </w:p>
        </w:tc>
        <w:tc>
          <w:tcPr>
            <w:tcW w:w="1139" w:type="dxa"/>
            <w:tcBorders>
              <w:bottom w:val="single" w:sz="4" w:space="0" w:color="auto"/>
            </w:tcBorders>
          </w:tcPr>
          <w:p w14:paraId="1FD49BAB" w14:textId="77777777" w:rsidR="008F5822" w:rsidRPr="008F5822" w:rsidRDefault="008F5822" w:rsidP="008F5822">
            <w:pPr>
              <w:spacing w:line="480" w:lineRule="auto"/>
            </w:pPr>
            <w:r w:rsidRPr="008F5822">
              <w:lastRenderedPageBreak/>
              <w:t>.93</w:t>
            </w:r>
          </w:p>
        </w:tc>
        <w:tc>
          <w:tcPr>
            <w:tcW w:w="850" w:type="dxa"/>
            <w:tcBorders>
              <w:bottom w:val="single" w:sz="4" w:space="0" w:color="auto"/>
            </w:tcBorders>
          </w:tcPr>
          <w:p w14:paraId="3A64A30C" w14:textId="77777777" w:rsidR="008F5822" w:rsidRPr="008F5822" w:rsidRDefault="008F5822" w:rsidP="008F5822">
            <w:pPr>
              <w:spacing w:line="480" w:lineRule="auto"/>
            </w:pPr>
            <w:r w:rsidRPr="008F5822">
              <w:t>.37-</w:t>
            </w:r>
            <w:r w:rsidRPr="008F5822">
              <w:lastRenderedPageBreak/>
              <w:t>2.35</w:t>
            </w:r>
          </w:p>
        </w:tc>
        <w:tc>
          <w:tcPr>
            <w:tcW w:w="810" w:type="dxa"/>
            <w:tcBorders>
              <w:bottom w:val="single" w:sz="4" w:space="0" w:color="auto"/>
            </w:tcBorders>
          </w:tcPr>
          <w:p w14:paraId="41CFD87A" w14:textId="77777777" w:rsidR="008F5822" w:rsidRPr="008F5822" w:rsidRDefault="008F5822" w:rsidP="008F5822">
            <w:pPr>
              <w:spacing w:line="480" w:lineRule="auto"/>
            </w:pPr>
            <w:r w:rsidRPr="008F5822">
              <w:lastRenderedPageBreak/>
              <w:t>.87</w:t>
            </w:r>
          </w:p>
        </w:tc>
      </w:tr>
    </w:tbl>
    <w:p w14:paraId="5D10D1CE" w14:textId="77777777" w:rsidR="008F5822" w:rsidRPr="008F5822" w:rsidRDefault="008F5822" w:rsidP="008F5822">
      <w:pPr>
        <w:spacing w:line="480" w:lineRule="auto"/>
      </w:pPr>
      <w:r w:rsidRPr="008F5822">
        <w:lastRenderedPageBreak/>
        <w:t xml:space="preserve">Note: Cell sizes for One Time Sexual Encounter and Booty Call were small, with 74.4% (32/43) of women reporting less than “very pleasurable” for their last encounter (and 25.6% (11/43) </w:t>
      </w:r>
      <w:proofErr w:type="gramStart"/>
      <w:r w:rsidRPr="008F5822">
        <w:t>reporting  “</w:t>
      </w:r>
      <w:proofErr w:type="gramEnd"/>
      <w:r w:rsidRPr="008F5822">
        <w:t>very pleasurable”).  That the significant odds ratio for women in committed dating relationships was less than one indicates that that women in this relationship category who used a condom at last sex were proportionally less likely to indicate this PVI was very pleasurable compared to women in this relationship category who did not use a condom.</w:t>
      </w:r>
    </w:p>
    <w:p w14:paraId="694DA8D2" w14:textId="77777777" w:rsidR="008F5822" w:rsidRPr="008F5822" w:rsidRDefault="008F5822" w:rsidP="008F5822">
      <w:pPr>
        <w:spacing w:line="480" w:lineRule="auto"/>
      </w:pPr>
    </w:p>
    <w:p w14:paraId="63526A16" w14:textId="77777777" w:rsidR="008F5822" w:rsidRPr="008F5822" w:rsidRDefault="008F5822" w:rsidP="008F5822">
      <w:pPr>
        <w:spacing w:line="480" w:lineRule="auto"/>
      </w:pPr>
    </w:p>
    <w:p w14:paraId="6BBCBA1D" w14:textId="77777777" w:rsidR="008F5822" w:rsidRPr="008F5822" w:rsidRDefault="008F5822" w:rsidP="008F5822">
      <w:pPr>
        <w:spacing w:line="480" w:lineRule="auto"/>
      </w:pPr>
    </w:p>
    <w:p w14:paraId="423CC87F" w14:textId="77777777" w:rsidR="008F5822" w:rsidRPr="008F5822" w:rsidRDefault="008F5822" w:rsidP="008F5822">
      <w:pPr>
        <w:spacing w:line="480" w:lineRule="auto"/>
      </w:pPr>
    </w:p>
    <w:p w14:paraId="30E48196" w14:textId="77777777" w:rsidR="008F5822" w:rsidRPr="008F5822" w:rsidRDefault="008F5822" w:rsidP="008F5822">
      <w:pPr>
        <w:spacing w:line="480" w:lineRule="auto"/>
      </w:pPr>
    </w:p>
    <w:p w14:paraId="498A472F" w14:textId="77777777" w:rsidR="007F26C7" w:rsidRDefault="007F26C7" w:rsidP="008F5822">
      <w:pPr>
        <w:spacing w:line="480" w:lineRule="auto"/>
      </w:pPr>
    </w:p>
    <w:bookmarkEnd w:id="0"/>
    <w:sectPr w:rsidR="007F26C7" w:rsidSect="00CF0171">
      <w:headerReference w:type="default" r:id="rId34"/>
      <w:footerReference w:type="even" r:id="rId35"/>
      <w:footerReference w:type="default" r:id="rId3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CE6E0" w14:textId="77777777" w:rsidR="003D04B0" w:rsidRDefault="003D04B0" w:rsidP="0071275D">
      <w:r>
        <w:separator/>
      </w:r>
    </w:p>
  </w:endnote>
  <w:endnote w:type="continuationSeparator" w:id="0">
    <w:p w14:paraId="2CA6AE27" w14:textId="77777777" w:rsidR="003D04B0" w:rsidRDefault="003D04B0" w:rsidP="0071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01F69" w14:textId="77777777" w:rsidR="006E7974" w:rsidRDefault="006E7974" w:rsidP="00133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283B1A" w14:textId="77777777" w:rsidR="006E7974" w:rsidRDefault="006E7974" w:rsidP="00CF017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48AD8" w14:textId="77777777" w:rsidR="006E7974" w:rsidRDefault="006E7974" w:rsidP="00133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822">
      <w:rPr>
        <w:rStyle w:val="PageNumber"/>
        <w:noProof/>
      </w:rPr>
      <w:t>25</w:t>
    </w:r>
    <w:r>
      <w:rPr>
        <w:rStyle w:val="PageNumber"/>
      </w:rPr>
      <w:fldChar w:fldCharType="end"/>
    </w:r>
  </w:p>
  <w:p w14:paraId="1DF2ADDC" w14:textId="77777777" w:rsidR="006E7974" w:rsidRDefault="006E7974" w:rsidP="00CF017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8310C" w14:textId="77777777" w:rsidR="003D04B0" w:rsidRDefault="003D04B0" w:rsidP="0071275D">
      <w:r>
        <w:separator/>
      </w:r>
    </w:p>
  </w:footnote>
  <w:footnote w:type="continuationSeparator" w:id="0">
    <w:p w14:paraId="527B56F3" w14:textId="77777777" w:rsidR="003D04B0" w:rsidRDefault="003D04B0" w:rsidP="007127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EA197" w14:textId="2BFFBE4E" w:rsidR="006E7974" w:rsidRDefault="006E7974">
    <w:pPr>
      <w:pStyle w:val="Header"/>
    </w:pPr>
    <w:r>
      <w:t>RUNNING HEAD: Pleasure and condom use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8D3113"/>
    <w:multiLevelType w:val="hybridMultilevel"/>
    <w:tmpl w:val="D5746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93401"/>
    <w:multiLevelType w:val="hybridMultilevel"/>
    <w:tmpl w:val="25A45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0595B"/>
    <w:multiLevelType w:val="hybridMultilevel"/>
    <w:tmpl w:val="E160D4D6"/>
    <w:lvl w:ilvl="0" w:tplc="D45EC1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C70008"/>
    <w:multiLevelType w:val="hybridMultilevel"/>
    <w:tmpl w:val="F656EE3C"/>
    <w:lvl w:ilvl="0" w:tplc="B0680256">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6F2078B5"/>
    <w:multiLevelType w:val="multilevel"/>
    <w:tmpl w:val="0DA2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232E39"/>
    <w:multiLevelType w:val="hybridMultilevel"/>
    <w:tmpl w:val="E0FCC8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C1"/>
    <w:rsid w:val="0000079F"/>
    <w:rsid w:val="00001B95"/>
    <w:rsid w:val="00003428"/>
    <w:rsid w:val="0000419A"/>
    <w:rsid w:val="00005FA7"/>
    <w:rsid w:val="00011C76"/>
    <w:rsid w:val="00012E94"/>
    <w:rsid w:val="00013C8E"/>
    <w:rsid w:val="00015316"/>
    <w:rsid w:val="000178D6"/>
    <w:rsid w:val="00017D76"/>
    <w:rsid w:val="00020013"/>
    <w:rsid w:val="00020763"/>
    <w:rsid w:val="000246B5"/>
    <w:rsid w:val="00024AE7"/>
    <w:rsid w:val="00026780"/>
    <w:rsid w:val="00026A9A"/>
    <w:rsid w:val="00027CEA"/>
    <w:rsid w:val="00030CC1"/>
    <w:rsid w:val="000319C9"/>
    <w:rsid w:val="0003773D"/>
    <w:rsid w:val="00041093"/>
    <w:rsid w:val="00041582"/>
    <w:rsid w:val="00042AAF"/>
    <w:rsid w:val="00042C5E"/>
    <w:rsid w:val="0004300E"/>
    <w:rsid w:val="000440C9"/>
    <w:rsid w:val="00046362"/>
    <w:rsid w:val="0004656B"/>
    <w:rsid w:val="00046925"/>
    <w:rsid w:val="0005330E"/>
    <w:rsid w:val="00054267"/>
    <w:rsid w:val="000547E5"/>
    <w:rsid w:val="000548DD"/>
    <w:rsid w:val="00055852"/>
    <w:rsid w:val="00057FB2"/>
    <w:rsid w:val="000633B8"/>
    <w:rsid w:val="00064013"/>
    <w:rsid w:val="00064174"/>
    <w:rsid w:val="00066AA6"/>
    <w:rsid w:val="00067911"/>
    <w:rsid w:val="00067A0A"/>
    <w:rsid w:val="00071923"/>
    <w:rsid w:val="00075829"/>
    <w:rsid w:val="0008125D"/>
    <w:rsid w:val="00083C09"/>
    <w:rsid w:val="00086F4B"/>
    <w:rsid w:val="00087DAC"/>
    <w:rsid w:val="00091F8F"/>
    <w:rsid w:val="00096A57"/>
    <w:rsid w:val="00097052"/>
    <w:rsid w:val="0009742A"/>
    <w:rsid w:val="000A1A9C"/>
    <w:rsid w:val="000A2CA1"/>
    <w:rsid w:val="000A2DDE"/>
    <w:rsid w:val="000A3157"/>
    <w:rsid w:val="000A3AE8"/>
    <w:rsid w:val="000A44EF"/>
    <w:rsid w:val="000A6C9E"/>
    <w:rsid w:val="000A7D76"/>
    <w:rsid w:val="000B3488"/>
    <w:rsid w:val="000B4B53"/>
    <w:rsid w:val="000B6065"/>
    <w:rsid w:val="000B7631"/>
    <w:rsid w:val="000B7A3F"/>
    <w:rsid w:val="000C03FC"/>
    <w:rsid w:val="000C1417"/>
    <w:rsid w:val="000C1A49"/>
    <w:rsid w:val="000C2051"/>
    <w:rsid w:val="000C435E"/>
    <w:rsid w:val="000C6051"/>
    <w:rsid w:val="000D2960"/>
    <w:rsid w:val="000D3CE3"/>
    <w:rsid w:val="000D5CD2"/>
    <w:rsid w:val="000D61F9"/>
    <w:rsid w:val="000D6B09"/>
    <w:rsid w:val="000E06D7"/>
    <w:rsid w:val="000E0B80"/>
    <w:rsid w:val="000E0E45"/>
    <w:rsid w:val="000E1285"/>
    <w:rsid w:val="000E64CC"/>
    <w:rsid w:val="000F10C9"/>
    <w:rsid w:val="000F1258"/>
    <w:rsid w:val="000F19F7"/>
    <w:rsid w:val="000F1B4D"/>
    <w:rsid w:val="000F5819"/>
    <w:rsid w:val="000F7555"/>
    <w:rsid w:val="001031F5"/>
    <w:rsid w:val="00103BA6"/>
    <w:rsid w:val="00104491"/>
    <w:rsid w:val="00104D85"/>
    <w:rsid w:val="001060D9"/>
    <w:rsid w:val="00107B6E"/>
    <w:rsid w:val="00112771"/>
    <w:rsid w:val="00113546"/>
    <w:rsid w:val="00113709"/>
    <w:rsid w:val="00114712"/>
    <w:rsid w:val="00120A38"/>
    <w:rsid w:val="00121D9D"/>
    <w:rsid w:val="00123F97"/>
    <w:rsid w:val="001247FD"/>
    <w:rsid w:val="0013095E"/>
    <w:rsid w:val="00130FE1"/>
    <w:rsid w:val="00131769"/>
    <w:rsid w:val="00133797"/>
    <w:rsid w:val="00133BEB"/>
    <w:rsid w:val="00134405"/>
    <w:rsid w:val="0013774F"/>
    <w:rsid w:val="00137ACC"/>
    <w:rsid w:val="00141A1E"/>
    <w:rsid w:val="00146DF0"/>
    <w:rsid w:val="00150BBF"/>
    <w:rsid w:val="001544F2"/>
    <w:rsid w:val="00155F8D"/>
    <w:rsid w:val="001566F0"/>
    <w:rsid w:val="0016004E"/>
    <w:rsid w:val="0016019B"/>
    <w:rsid w:val="00160651"/>
    <w:rsid w:val="00160DE7"/>
    <w:rsid w:val="00161227"/>
    <w:rsid w:val="00161912"/>
    <w:rsid w:val="001624E3"/>
    <w:rsid w:val="0016300F"/>
    <w:rsid w:val="00163680"/>
    <w:rsid w:val="00166A9D"/>
    <w:rsid w:val="00167E12"/>
    <w:rsid w:val="001717CC"/>
    <w:rsid w:val="001742ED"/>
    <w:rsid w:val="00174E1F"/>
    <w:rsid w:val="00175218"/>
    <w:rsid w:val="0017604F"/>
    <w:rsid w:val="001809C1"/>
    <w:rsid w:val="00180E14"/>
    <w:rsid w:val="0018349C"/>
    <w:rsid w:val="00184C05"/>
    <w:rsid w:val="0018702C"/>
    <w:rsid w:val="00187290"/>
    <w:rsid w:val="00191116"/>
    <w:rsid w:val="001A3A4C"/>
    <w:rsid w:val="001A5120"/>
    <w:rsid w:val="001A651E"/>
    <w:rsid w:val="001A683B"/>
    <w:rsid w:val="001B0D03"/>
    <w:rsid w:val="001B33D0"/>
    <w:rsid w:val="001B599E"/>
    <w:rsid w:val="001B6D7E"/>
    <w:rsid w:val="001B7500"/>
    <w:rsid w:val="001C0701"/>
    <w:rsid w:val="001C1D08"/>
    <w:rsid w:val="001C259D"/>
    <w:rsid w:val="001C43BD"/>
    <w:rsid w:val="001C46E8"/>
    <w:rsid w:val="001C5219"/>
    <w:rsid w:val="001C5E52"/>
    <w:rsid w:val="001C679D"/>
    <w:rsid w:val="001C6942"/>
    <w:rsid w:val="001D43F6"/>
    <w:rsid w:val="001D5B90"/>
    <w:rsid w:val="001D66F2"/>
    <w:rsid w:val="001E39BE"/>
    <w:rsid w:val="001E4BE0"/>
    <w:rsid w:val="001E56A7"/>
    <w:rsid w:val="001E6F18"/>
    <w:rsid w:val="001F0435"/>
    <w:rsid w:val="001F4660"/>
    <w:rsid w:val="001F53EE"/>
    <w:rsid w:val="001F6C0D"/>
    <w:rsid w:val="001F6C97"/>
    <w:rsid w:val="001F7528"/>
    <w:rsid w:val="002010DB"/>
    <w:rsid w:val="002011DE"/>
    <w:rsid w:val="00205AED"/>
    <w:rsid w:val="00207713"/>
    <w:rsid w:val="00214D89"/>
    <w:rsid w:val="00216152"/>
    <w:rsid w:val="00216C50"/>
    <w:rsid w:val="00216E01"/>
    <w:rsid w:val="00221E83"/>
    <w:rsid w:val="00224572"/>
    <w:rsid w:val="002247D0"/>
    <w:rsid w:val="00225331"/>
    <w:rsid w:val="00226815"/>
    <w:rsid w:val="00230FC3"/>
    <w:rsid w:val="00235278"/>
    <w:rsid w:val="002369AB"/>
    <w:rsid w:val="00237345"/>
    <w:rsid w:val="00240137"/>
    <w:rsid w:val="00242D49"/>
    <w:rsid w:val="00242D8F"/>
    <w:rsid w:val="00244D6B"/>
    <w:rsid w:val="002455D1"/>
    <w:rsid w:val="002473C3"/>
    <w:rsid w:val="002500B5"/>
    <w:rsid w:val="00250A8B"/>
    <w:rsid w:val="00254692"/>
    <w:rsid w:val="00255F08"/>
    <w:rsid w:val="002574B8"/>
    <w:rsid w:val="0025756E"/>
    <w:rsid w:val="00257653"/>
    <w:rsid w:val="00260275"/>
    <w:rsid w:val="00260942"/>
    <w:rsid w:val="00262E5D"/>
    <w:rsid w:val="00263ED8"/>
    <w:rsid w:val="00265167"/>
    <w:rsid w:val="00272772"/>
    <w:rsid w:val="00275163"/>
    <w:rsid w:val="00280A3F"/>
    <w:rsid w:val="00281826"/>
    <w:rsid w:val="002856AC"/>
    <w:rsid w:val="00287CD0"/>
    <w:rsid w:val="0029040D"/>
    <w:rsid w:val="00290C97"/>
    <w:rsid w:val="002913BA"/>
    <w:rsid w:val="00292F00"/>
    <w:rsid w:val="002933AF"/>
    <w:rsid w:val="00293756"/>
    <w:rsid w:val="002951B2"/>
    <w:rsid w:val="00297987"/>
    <w:rsid w:val="002A06CB"/>
    <w:rsid w:val="002A5B44"/>
    <w:rsid w:val="002A67BE"/>
    <w:rsid w:val="002A6CDD"/>
    <w:rsid w:val="002B09CB"/>
    <w:rsid w:val="002B43BB"/>
    <w:rsid w:val="002B5F78"/>
    <w:rsid w:val="002B660A"/>
    <w:rsid w:val="002B74C0"/>
    <w:rsid w:val="002C1F17"/>
    <w:rsid w:val="002C56DB"/>
    <w:rsid w:val="002D0585"/>
    <w:rsid w:val="002D2F9A"/>
    <w:rsid w:val="002D6DCF"/>
    <w:rsid w:val="002E2372"/>
    <w:rsid w:val="002E290A"/>
    <w:rsid w:val="002E3346"/>
    <w:rsid w:val="002E40D9"/>
    <w:rsid w:val="002E48C0"/>
    <w:rsid w:val="002E4EE8"/>
    <w:rsid w:val="002E5B5F"/>
    <w:rsid w:val="002E745B"/>
    <w:rsid w:val="002F00BA"/>
    <w:rsid w:val="002F1167"/>
    <w:rsid w:val="002F2052"/>
    <w:rsid w:val="002F2155"/>
    <w:rsid w:val="002F3426"/>
    <w:rsid w:val="002F6463"/>
    <w:rsid w:val="002F6FAB"/>
    <w:rsid w:val="002F74B4"/>
    <w:rsid w:val="003002F9"/>
    <w:rsid w:val="003006C0"/>
    <w:rsid w:val="00300F1E"/>
    <w:rsid w:val="00301254"/>
    <w:rsid w:val="003013A8"/>
    <w:rsid w:val="00302C24"/>
    <w:rsid w:val="00304246"/>
    <w:rsid w:val="00304974"/>
    <w:rsid w:val="003064FE"/>
    <w:rsid w:val="0030689D"/>
    <w:rsid w:val="00307BC7"/>
    <w:rsid w:val="00311FA4"/>
    <w:rsid w:val="00312D00"/>
    <w:rsid w:val="003149BE"/>
    <w:rsid w:val="0031528F"/>
    <w:rsid w:val="00315918"/>
    <w:rsid w:val="00316328"/>
    <w:rsid w:val="003208EE"/>
    <w:rsid w:val="00320B2C"/>
    <w:rsid w:val="003228F0"/>
    <w:rsid w:val="003243CB"/>
    <w:rsid w:val="00324FEC"/>
    <w:rsid w:val="00325606"/>
    <w:rsid w:val="003262AE"/>
    <w:rsid w:val="00327DFA"/>
    <w:rsid w:val="00330303"/>
    <w:rsid w:val="003307C7"/>
    <w:rsid w:val="003322BE"/>
    <w:rsid w:val="0033277E"/>
    <w:rsid w:val="00334401"/>
    <w:rsid w:val="00334D11"/>
    <w:rsid w:val="00336083"/>
    <w:rsid w:val="0033619F"/>
    <w:rsid w:val="00336A26"/>
    <w:rsid w:val="00336F8F"/>
    <w:rsid w:val="00337100"/>
    <w:rsid w:val="00343CF1"/>
    <w:rsid w:val="00345DF7"/>
    <w:rsid w:val="00346BAF"/>
    <w:rsid w:val="00346E80"/>
    <w:rsid w:val="00351280"/>
    <w:rsid w:val="00352EFB"/>
    <w:rsid w:val="00354CBF"/>
    <w:rsid w:val="0035636F"/>
    <w:rsid w:val="003571C3"/>
    <w:rsid w:val="00366DDE"/>
    <w:rsid w:val="00367673"/>
    <w:rsid w:val="0037284D"/>
    <w:rsid w:val="0037383E"/>
    <w:rsid w:val="00375FC0"/>
    <w:rsid w:val="00377956"/>
    <w:rsid w:val="00380578"/>
    <w:rsid w:val="003819F4"/>
    <w:rsid w:val="003827B5"/>
    <w:rsid w:val="00383CEF"/>
    <w:rsid w:val="003879F2"/>
    <w:rsid w:val="003921A3"/>
    <w:rsid w:val="00394BF2"/>
    <w:rsid w:val="003A05C0"/>
    <w:rsid w:val="003B1160"/>
    <w:rsid w:val="003B43E1"/>
    <w:rsid w:val="003B6913"/>
    <w:rsid w:val="003B7264"/>
    <w:rsid w:val="003B74D6"/>
    <w:rsid w:val="003B7732"/>
    <w:rsid w:val="003C0B6B"/>
    <w:rsid w:val="003C0DB8"/>
    <w:rsid w:val="003C168E"/>
    <w:rsid w:val="003C25F5"/>
    <w:rsid w:val="003C26C6"/>
    <w:rsid w:val="003C57A1"/>
    <w:rsid w:val="003C7119"/>
    <w:rsid w:val="003D04B0"/>
    <w:rsid w:val="003D3078"/>
    <w:rsid w:val="003D5789"/>
    <w:rsid w:val="003D7C23"/>
    <w:rsid w:val="003E1352"/>
    <w:rsid w:val="003E1BA5"/>
    <w:rsid w:val="003E1CF1"/>
    <w:rsid w:val="003E4DEB"/>
    <w:rsid w:val="003E5157"/>
    <w:rsid w:val="003E5603"/>
    <w:rsid w:val="003E5A48"/>
    <w:rsid w:val="003E685F"/>
    <w:rsid w:val="003E75E0"/>
    <w:rsid w:val="003F0D88"/>
    <w:rsid w:val="003F5657"/>
    <w:rsid w:val="003F6B9E"/>
    <w:rsid w:val="004004E7"/>
    <w:rsid w:val="00403C96"/>
    <w:rsid w:val="00405B58"/>
    <w:rsid w:val="004061ED"/>
    <w:rsid w:val="00406B33"/>
    <w:rsid w:val="004072B6"/>
    <w:rsid w:val="0041000A"/>
    <w:rsid w:val="0041088C"/>
    <w:rsid w:val="00413B03"/>
    <w:rsid w:val="00414B4F"/>
    <w:rsid w:val="00414E40"/>
    <w:rsid w:val="00416C31"/>
    <w:rsid w:val="0041760C"/>
    <w:rsid w:val="004219A2"/>
    <w:rsid w:val="00422481"/>
    <w:rsid w:val="00422E24"/>
    <w:rsid w:val="004230B9"/>
    <w:rsid w:val="00426819"/>
    <w:rsid w:val="00430D37"/>
    <w:rsid w:val="0043503F"/>
    <w:rsid w:val="0043667B"/>
    <w:rsid w:val="004374E4"/>
    <w:rsid w:val="00440823"/>
    <w:rsid w:val="00442A79"/>
    <w:rsid w:val="00444E38"/>
    <w:rsid w:val="00446660"/>
    <w:rsid w:val="004468F9"/>
    <w:rsid w:val="00446DC2"/>
    <w:rsid w:val="00447507"/>
    <w:rsid w:val="00451BC7"/>
    <w:rsid w:val="004538F5"/>
    <w:rsid w:val="00455B6F"/>
    <w:rsid w:val="004565D7"/>
    <w:rsid w:val="00463E90"/>
    <w:rsid w:val="004641C1"/>
    <w:rsid w:val="004650D1"/>
    <w:rsid w:val="00465E10"/>
    <w:rsid w:val="00466466"/>
    <w:rsid w:val="00466631"/>
    <w:rsid w:val="004668B8"/>
    <w:rsid w:val="004671DE"/>
    <w:rsid w:val="00467612"/>
    <w:rsid w:val="004747B1"/>
    <w:rsid w:val="004754FB"/>
    <w:rsid w:val="004755A3"/>
    <w:rsid w:val="00477EEE"/>
    <w:rsid w:val="00480344"/>
    <w:rsid w:val="00480F98"/>
    <w:rsid w:val="0048121F"/>
    <w:rsid w:val="00481C3D"/>
    <w:rsid w:val="00484E7F"/>
    <w:rsid w:val="00485C7B"/>
    <w:rsid w:val="00486337"/>
    <w:rsid w:val="0048699F"/>
    <w:rsid w:val="00490686"/>
    <w:rsid w:val="00491A1B"/>
    <w:rsid w:val="004926C3"/>
    <w:rsid w:val="00497784"/>
    <w:rsid w:val="00497A8F"/>
    <w:rsid w:val="004A3E05"/>
    <w:rsid w:val="004A5044"/>
    <w:rsid w:val="004B2013"/>
    <w:rsid w:val="004B3C1A"/>
    <w:rsid w:val="004B4C94"/>
    <w:rsid w:val="004C0272"/>
    <w:rsid w:val="004C0B00"/>
    <w:rsid w:val="004C1A60"/>
    <w:rsid w:val="004C1AA3"/>
    <w:rsid w:val="004C2A79"/>
    <w:rsid w:val="004C3336"/>
    <w:rsid w:val="004C4D2F"/>
    <w:rsid w:val="004C5B5C"/>
    <w:rsid w:val="004C677B"/>
    <w:rsid w:val="004D0A3A"/>
    <w:rsid w:val="004D1EBC"/>
    <w:rsid w:val="004D1EFD"/>
    <w:rsid w:val="004E0B97"/>
    <w:rsid w:val="004E2423"/>
    <w:rsid w:val="004E430A"/>
    <w:rsid w:val="004E4FD9"/>
    <w:rsid w:val="004E573C"/>
    <w:rsid w:val="004E5A37"/>
    <w:rsid w:val="004E77A8"/>
    <w:rsid w:val="004F0C99"/>
    <w:rsid w:val="004F397E"/>
    <w:rsid w:val="004F6527"/>
    <w:rsid w:val="00502D36"/>
    <w:rsid w:val="005069F0"/>
    <w:rsid w:val="00506E09"/>
    <w:rsid w:val="0051046A"/>
    <w:rsid w:val="0051312E"/>
    <w:rsid w:val="005168B0"/>
    <w:rsid w:val="00520A67"/>
    <w:rsid w:val="005213D4"/>
    <w:rsid w:val="00523C24"/>
    <w:rsid w:val="00524703"/>
    <w:rsid w:val="0052638D"/>
    <w:rsid w:val="00530D9B"/>
    <w:rsid w:val="005333D6"/>
    <w:rsid w:val="00533C63"/>
    <w:rsid w:val="00533D99"/>
    <w:rsid w:val="00534109"/>
    <w:rsid w:val="00534F50"/>
    <w:rsid w:val="0053564D"/>
    <w:rsid w:val="00536B25"/>
    <w:rsid w:val="005378A5"/>
    <w:rsid w:val="00537D0E"/>
    <w:rsid w:val="00541BDC"/>
    <w:rsid w:val="00542418"/>
    <w:rsid w:val="005428EC"/>
    <w:rsid w:val="00543250"/>
    <w:rsid w:val="00543B7A"/>
    <w:rsid w:val="00544B27"/>
    <w:rsid w:val="00544D22"/>
    <w:rsid w:val="00546E4C"/>
    <w:rsid w:val="005501B6"/>
    <w:rsid w:val="005528BB"/>
    <w:rsid w:val="00556006"/>
    <w:rsid w:val="00556EAF"/>
    <w:rsid w:val="00556FB1"/>
    <w:rsid w:val="00560E55"/>
    <w:rsid w:val="00560EF0"/>
    <w:rsid w:val="005615E1"/>
    <w:rsid w:val="00561D5C"/>
    <w:rsid w:val="005624C9"/>
    <w:rsid w:val="0056423C"/>
    <w:rsid w:val="00571F5C"/>
    <w:rsid w:val="00573123"/>
    <w:rsid w:val="00573D32"/>
    <w:rsid w:val="005747BF"/>
    <w:rsid w:val="005765BA"/>
    <w:rsid w:val="00577177"/>
    <w:rsid w:val="00580C08"/>
    <w:rsid w:val="00582003"/>
    <w:rsid w:val="005861C4"/>
    <w:rsid w:val="005865AA"/>
    <w:rsid w:val="00587187"/>
    <w:rsid w:val="00591656"/>
    <w:rsid w:val="0059364B"/>
    <w:rsid w:val="005950C7"/>
    <w:rsid w:val="0059555E"/>
    <w:rsid w:val="00595609"/>
    <w:rsid w:val="00595DA2"/>
    <w:rsid w:val="005976B8"/>
    <w:rsid w:val="005A100A"/>
    <w:rsid w:val="005A400B"/>
    <w:rsid w:val="005A557C"/>
    <w:rsid w:val="005A57DA"/>
    <w:rsid w:val="005B017A"/>
    <w:rsid w:val="005B044E"/>
    <w:rsid w:val="005B4E90"/>
    <w:rsid w:val="005B7BE1"/>
    <w:rsid w:val="005C0C53"/>
    <w:rsid w:val="005C3570"/>
    <w:rsid w:val="005C4309"/>
    <w:rsid w:val="005C4862"/>
    <w:rsid w:val="005C591A"/>
    <w:rsid w:val="005C5D07"/>
    <w:rsid w:val="005C61F4"/>
    <w:rsid w:val="005C7587"/>
    <w:rsid w:val="005D09EB"/>
    <w:rsid w:val="005D2D03"/>
    <w:rsid w:val="005D3218"/>
    <w:rsid w:val="005D4EA2"/>
    <w:rsid w:val="005D61C5"/>
    <w:rsid w:val="005D7811"/>
    <w:rsid w:val="005D7CA7"/>
    <w:rsid w:val="005E6448"/>
    <w:rsid w:val="005F037D"/>
    <w:rsid w:val="005F0690"/>
    <w:rsid w:val="005F4880"/>
    <w:rsid w:val="005F718A"/>
    <w:rsid w:val="00602C46"/>
    <w:rsid w:val="0060417E"/>
    <w:rsid w:val="0060443F"/>
    <w:rsid w:val="00613226"/>
    <w:rsid w:val="00614C78"/>
    <w:rsid w:val="00614D01"/>
    <w:rsid w:val="00614EA8"/>
    <w:rsid w:val="00616C85"/>
    <w:rsid w:val="00620927"/>
    <w:rsid w:val="006249B9"/>
    <w:rsid w:val="00627659"/>
    <w:rsid w:val="006318A4"/>
    <w:rsid w:val="006319DF"/>
    <w:rsid w:val="00632C65"/>
    <w:rsid w:val="00632F90"/>
    <w:rsid w:val="00636411"/>
    <w:rsid w:val="0063687A"/>
    <w:rsid w:val="0063704A"/>
    <w:rsid w:val="00637265"/>
    <w:rsid w:val="00644AC0"/>
    <w:rsid w:val="00646544"/>
    <w:rsid w:val="0065359B"/>
    <w:rsid w:val="0065424D"/>
    <w:rsid w:val="0065452F"/>
    <w:rsid w:val="00654BDE"/>
    <w:rsid w:val="00657067"/>
    <w:rsid w:val="00657385"/>
    <w:rsid w:val="00657B96"/>
    <w:rsid w:val="0066062B"/>
    <w:rsid w:val="00660C19"/>
    <w:rsid w:val="00665216"/>
    <w:rsid w:val="00665ED1"/>
    <w:rsid w:val="00666934"/>
    <w:rsid w:val="00667A63"/>
    <w:rsid w:val="00671CC7"/>
    <w:rsid w:val="00673E28"/>
    <w:rsid w:val="006778F7"/>
    <w:rsid w:val="00677D7E"/>
    <w:rsid w:val="00680BF7"/>
    <w:rsid w:val="006814CC"/>
    <w:rsid w:val="00686D46"/>
    <w:rsid w:val="00690943"/>
    <w:rsid w:val="00692A0E"/>
    <w:rsid w:val="00692E15"/>
    <w:rsid w:val="00696BBC"/>
    <w:rsid w:val="006A24F4"/>
    <w:rsid w:val="006A256C"/>
    <w:rsid w:val="006A56CD"/>
    <w:rsid w:val="006B085A"/>
    <w:rsid w:val="006B0FFA"/>
    <w:rsid w:val="006B2E3F"/>
    <w:rsid w:val="006B4529"/>
    <w:rsid w:val="006B4634"/>
    <w:rsid w:val="006B4E92"/>
    <w:rsid w:val="006B7E26"/>
    <w:rsid w:val="006C12B1"/>
    <w:rsid w:val="006C3E47"/>
    <w:rsid w:val="006C42B1"/>
    <w:rsid w:val="006D0D90"/>
    <w:rsid w:val="006D25FA"/>
    <w:rsid w:val="006D31F8"/>
    <w:rsid w:val="006D5566"/>
    <w:rsid w:val="006D6473"/>
    <w:rsid w:val="006E1D7C"/>
    <w:rsid w:val="006E664A"/>
    <w:rsid w:val="006E7974"/>
    <w:rsid w:val="006F4730"/>
    <w:rsid w:val="006F7B33"/>
    <w:rsid w:val="00701578"/>
    <w:rsid w:val="00701E59"/>
    <w:rsid w:val="00703095"/>
    <w:rsid w:val="00703D64"/>
    <w:rsid w:val="0070488A"/>
    <w:rsid w:val="00704E96"/>
    <w:rsid w:val="00705C3B"/>
    <w:rsid w:val="00707041"/>
    <w:rsid w:val="007107FF"/>
    <w:rsid w:val="00711E52"/>
    <w:rsid w:val="0071275D"/>
    <w:rsid w:val="007128DB"/>
    <w:rsid w:val="00713B93"/>
    <w:rsid w:val="00715E98"/>
    <w:rsid w:val="00720C91"/>
    <w:rsid w:val="00721288"/>
    <w:rsid w:val="0072364D"/>
    <w:rsid w:val="0072675F"/>
    <w:rsid w:val="00726BC0"/>
    <w:rsid w:val="00726EAD"/>
    <w:rsid w:val="00727040"/>
    <w:rsid w:val="007320B3"/>
    <w:rsid w:val="00732215"/>
    <w:rsid w:val="00734547"/>
    <w:rsid w:val="00743297"/>
    <w:rsid w:val="0074611C"/>
    <w:rsid w:val="007559DE"/>
    <w:rsid w:val="0076109E"/>
    <w:rsid w:val="0076405F"/>
    <w:rsid w:val="00765DB0"/>
    <w:rsid w:val="00766030"/>
    <w:rsid w:val="0077011F"/>
    <w:rsid w:val="007707B3"/>
    <w:rsid w:val="00772CD8"/>
    <w:rsid w:val="00773C55"/>
    <w:rsid w:val="00773D49"/>
    <w:rsid w:val="00775E2F"/>
    <w:rsid w:val="00777EEB"/>
    <w:rsid w:val="00780213"/>
    <w:rsid w:val="00780B43"/>
    <w:rsid w:val="007843CD"/>
    <w:rsid w:val="007869C3"/>
    <w:rsid w:val="00790847"/>
    <w:rsid w:val="00791C30"/>
    <w:rsid w:val="00793C03"/>
    <w:rsid w:val="007949AA"/>
    <w:rsid w:val="00795C0C"/>
    <w:rsid w:val="00796196"/>
    <w:rsid w:val="007A00D0"/>
    <w:rsid w:val="007A0111"/>
    <w:rsid w:val="007A0CBC"/>
    <w:rsid w:val="007A3FDC"/>
    <w:rsid w:val="007B03B6"/>
    <w:rsid w:val="007B2564"/>
    <w:rsid w:val="007B31F2"/>
    <w:rsid w:val="007B3229"/>
    <w:rsid w:val="007B4696"/>
    <w:rsid w:val="007B46E2"/>
    <w:rsid w:val="007B5D78"/>
    <w:rsid w:val="007B68B6"/>
    <w:rsid w:val="007B7078"/>
    <w:rsid w:val="007B775E"/>
    <w:rsid w:val="007B7A9C"/>
    <w:rsid w:val="007C1DCD"/>
    <w:rsid w:val="007C24F3"/>
    <w:rsid w:val="007C29B7"/>
    <w:rsid w:val="007C2D73"/>
    <w:rsid w:val="007C415F"/>
    <w:rsid w:val="007C7595"/>
    <w:rsid w:val="007D0A45"/>
    <w:rsid w:val="007D4A84"/>
    <w:rsid w:val="007D736C"/>
    <w:rsid w:val="007D7743"/>
    <w:rsid w:val="007E0938"/>
    <w:rsid w:val="007E1E5F"/>
    <w:rsid w:val="007E3185"/>
    <w:rsid w:val="007E4D61"/>
    <w:rsid w:val="007E51E5"/>
    <w:rsid w:val="007E5881"/>
    <w:rsid w:val="007E7720"/>
    <w:rsid w:val="007F24A7"/>
    <w:rsid w:val="007F26C7"/>
    <w:rsid w:val="007F2769"/>
    <w:rsid w:val="007F3052"/>
    <w:rsid w:val="007F3DFA"/>
    <w:rsid w:val="00800BAA"/>
    <w:rsid w:val="0080160E"/>
    <w:rsid w:val="00803116"/>
    <w:rsid w:val="008035C7"/>
    <w:rsid w:val="00811412"/>
    <w:rsid w:val="0081177F"/>
    <w:rsid w:val="00812326"/>
    <w:rsid w:val="008146E9"/>
    <w:rsid w:val="00816E10"/>
    <w:rsid w:val="00820986"/>
    <w:rsid w:val="008209AA"/>
    <w:rsid w:val="00822613"/>
    <w:rsid w:val="00826A5F"/>
    <w:rsid w:val="00831B37"/>
    <w:rsid w:val="0083255F"/>
    <w:rsid w:val="00832D4E"/>
    <w:rsid w:val="00834381"/>
    <w:rsid w:val="008347F7"/>
    <w:rsid w:val="00835410"/>
    <w:rsid w:val="0083664E"/>
    <w:rsid w:val="008379FF"/>
    <w:rsid w:val="008419DA"/>
    <w:rsid w:val="00842E1B"/>
    <w:rsid w:val="00844760"/>
    <w:rsid w:val="00850DE9"/>
    <w:rsid w:val="0085228C"/>
    <w:rsid w:val="008523CA"/>
    <w:rsid w:val="00852735"/>
    <w:rsid w:val="00852B8B"/>
    <w:rsid w:val="00853B64"/>
    <w:rsid w:val="00853DD2"/>
    <w:rsid w:val="008566CD"/>
    <w:rsid w:val="0086068E"/>
    <w:rsid w:val="008606DB"/>
    <w:rsid w:val="0086252D"/>
    <w:rsid w:val="00862D3A"/>
    <w:rsid w:val="008667A9"/>
    <w:rsid w:val="008672D9"/>
    <w:rsid w:val="0087211B"/>
    <w:rsid w:val="00873676"/>
    <w:rsid w:val="00880ABD"/>
    <w:rsid w:val="00881F61"/>
    <w:rsid w:val="00882645"/>
    <w:rsid w:val="00882965"/>
    <w:rsid w:val="008842DB"/>
    <w:rsid w:val="008858E2"/>
    <w:rsid w:val="00885CC9"/>
    <w:rsid w:val="00887ED1"/>
    <w:rsid w:val="00891B38"/>
    <w:rsid w:val="00894268"/>
    <w:rsid w:val="008963D5"/>
    <w:rsid w:val="00896E7D"/>
    <w:rsid w:val="00897D7F"/>
    <w:rsid w:val="008A4099"/>
    <w:rsid w:val="008A7B99"/>
    <w:rsid w:val="008B2DB4"/>
    <w:rsid w:val="008B3677"/>
    <w:rsid w:val="008B40D2"/>
    <w:rsid w:val="008B5358"/>
    <w:rsid w:val="008B5DE6"/>
    <w:rsid w:val="008B6BB9"/>
    <w:rsid w:val="008B7FD2"/>
    <w:rsid w:val="008C0AE7"/>
    <w:rsid w:val="008C0B74"/>
    <w:rsid w:val="008C13F1"/>
    <w:rsid w:val="008C1E3B"/>
    <w:rsid w:val="008C1F24"/>
    <w:rsid w:val="008C5851"/>
    <w:rsid w:val="008C5D54"/>
    <w:rsid w:val="008C7011"/>
    <w:rsid w:val="008C7396"/>
    <w:rsid w:val="008C74A6"/>
    <w:rsid w:val="008D004C"/>
    <w:rsid w:val="008D0700"/>
    <w:rsid w:val="008D2F55"/>
    <w:rsid w:val="008D5438"/>
    <w:rsid w:val="008D58A1"/>
    <w:rsid w:val="008D5B46"/>
    <w:rsid w:val="008D698D"/>
    <w:rsid w:val="008E2974"/>
    <w:rsid w:val="008E62E0"/>
    <w:rsid w:val="008F0695"/>
    <w:rsid w:val="008F0E47"/>
    <w:rsid w:val="008F15FB"/>
    <w:rsid w:val="008F4A99"/>
    <w:rsid w:val="008F5822"/>
    <w:rsid w:val="008F5D3B"/>
    <w:rsid w:val="009005C6"/>
    <w:rsid w:val="009020DD"/>
    <w:rsid w:val="0090320F"/>
    <w:rsid w:val="009032E0"/>
    <w:rsid w:val="00904C92"/>
    <w:rsid w:val="00906F75"/>
    <w:rsid w:val="009110FD"/>
    <w:rsid w:val="00911EDF"/>
    <w:rsid w:val="009121CF"/>
    <w:rsid w:val="00912937"/>
    <w:rsid w:val="00914E7A"/>
    <w:rsid w:val="0091610F"/>
    <w:rsid w:val="009170C6"/>
    <w:rsid w:val="0091759F"/>
    <w:rsid w:val="0091790E"/>
    <w:rsid w:val="00920A79"/>
    <w:rsid w:val="0092226B"/>
    <w:rsid w:val="00922A4C"/>
    <w:rsid w:val="00922F1F"/>
    <w:rsid w:val="00934E92"/>
    <w:rsid w:val="00935CD0"/>
    <w:rsid w:val="00935F08"/>
    <w:rsid w:val="00942729"/>
    <w:rsid w:val="00947693"/>
    <w:rsid w:val="00951071"/>
    <w:rsid w:val="00953183"/>
    <w:rsid w:val="00953241"/>
    <w:rsid w:val="0095389E"/>
    <w:rsid w:val="0095451F"/>
    <w:rsid w:val="009576A1"/>
    <w:rsid w:val="00963A62"/>
    <w:rsid w:val="0096635D"/>
    <w:rsid w:val="00967AFF"/>
    <w:rsid w:val="00971BD4"/>
    <w:rsid w:val="00974B18"/>
    <w:rsid w:val="00977053"/>
    <w:rsid w:val="009826E1"/>
    <w:rsid w:val="00982B6A"/>
    <w:rsid w:val="0098311B"/>
    <w:rsid w:val="0098440C"/>
    <w:rsid w:val="009900CB"/>
    <w:rsid w:val="009914BC"/>
    <w:rsid w:val="009916CF"/>
    <w:rsid w:val="00992AA4"/>
    <w:rsid w:val="00994EA8"/>
    <w:rsid w:val="00994F6F"/>
    <w:rsid w:val="0099540D"/>
    <w:rsid w:val="0099641F"/>
    <w:rsid w:val="009A0DDB"/>
    <w:rsid w:val="009A2F92"/>
    <w:rsid w:val="009A60AE"/>
    <w:rsid w:val="009A62D8"/>
    <w:rsid w:val="009A75B4"/>
    <w:rsid w:val="009A7CD0"/>
    <w:rsid w:val="009B3C2D"/>
    <w:rsid w:val="009B6FE7"/>
    <w:rsid w:val="009C05AF"/>
    <w:rsid w:val="009C0A08"/>
    <w:rsid w:val="009C0CC0"/>
    <w:rsid w:val="009C16A8"/>
    <w:rsid w:val="009C25FE"/>
    <w:rsid w:val="009C2DD4"/>
    <w:rsid w:val="009C3745"/>
    <w:rsid w:val="009C4FF1"/>
    <w:rsid w:val="009C6584"/>
    <w:rsid w:val="009C6678"/>
    <w:rsid w:val="009D1961"/>
    <w:rsid w:val="009D21EF"/>
    <w:rsid w:val="009D3E85"/>
    <w:rsid w:val="009D7E67"/>
    <w:rsid w:val="009E0594"/>
    <w:rsid w:val="009E0F63"/>
    <w:rsid w:val="009E254B"/>
    <w:rsid w:val="009E28DE"/>
    <w:rsid w:val="009E439C"/>
    <w:rsid w:val="009E6879"/>
    <w:rsid w:val="009F0D4A"/>
    <w:rsid w:val="009F166D"/>
    <w:rsid w:val="009F7875"/>
    <w:rsid w:val="00A0169C"/>
    <w:rsid w:val="00A016B1"/>
    <w:rsid w:val="00A06222"/>
    <w:rsid w:val="00A25C2A"/>
    <w:rsid w:val="00A26BFB"/>
    <w:rsid w:val="00A27E7F"/>
    <w:rsid w:val="00A31DC5"/>
    <w:rsid w:val="00A35804"/>
    <w:rsid w:val="00A37EEE"/>
    <w:rsid w:val="00A40600"/>
    <w:rsid w:val="00A413EC"/>
    <w:rsid w:val="00A5097F"/>
    <w:rsid w:val="00A50A7B"/>
    <w:rsid w:val="00A541E4"/>
    <w:rsid w:val="00A56D78"/>
    <w:rsid w:val="00A57EF6"/>
    <w:rsid w:val="00A610BB"/>
    <w:rsid w:val="00A70BA1"/>
    <w:rsid w:val="00A734CE"/>
    <w:rsid w:val="00A73CC5"/>
    <w:rsid w:val="00A7635E"/>
    <w:rsid w:val="00A80A35"/>
    <w:rsid w:val="00A80D4B"/>
    <w:rsid w:val="00A82634"/>
    <w:rsid w:val="00A8378B"/>
    <w:rsid w:val="00A8522A"/>
    <w:rsid w:val="00A86FE4"/>
    <w:rsid w:val="00A8739A"/>
    <w:rsid w:val="00A90020"/>
    <w:rsid w:val="00A901CB"/>
    <w:rsid w:val="00A903E8"/>
    <w:rsid w:val="00A90C88"/>
    <w:rsid w:val="00A9132C"/>
    <w:rsid w:val="00A918AE"/>
    <w:rsid w:val="00A91BCB"/>
    <w:rsid w:val="00A91C8B"/>
    <w:rsid w:val="00A92391"/>
    <w:rsid w:val="00A92FB9"/>
    <w:rsid w:val="00A93C70"/>
    <w:rsid w:val="00A95A7C"/>
    <w:rsid w:val="00A977A7"/>
    <w:rsid w:val="00AA3B23"/>
    <w:rsid w:val="00AB24F9"/>
    <w:rsid w:val="00AB2FFE"/>
    <w:rsid w:val="00AB4B95"/>
    <w:rsid w:val="00AB6D2A"/>
    <w:rsid w:val="00AC43AD"/>
    <w:rsid w:val="00AC52BE"/>
    <w:rsid w:val="00AC72EF"/>
    <w:rsid w:val="00AD3955"/>
    <w:rsid w:val="00AD5483"/>
    <w:rsid w:val="00AD6120"/>
    <w:rsid w:val="00AE26C5"/>
    <w:rsid w:val="00AE2A9D"/>
    <w:rsid w:val="00AE402E"/>
    <w:rsid w:val="00AE56ED"/>
    <w:rsid w:val="00AE6E4C"/>
    <w:rsid w:val="00AF090A"/>
    <w:rsid w:val="00AF0963"/>
    <w:rsid w:val="00AF1796"/>
    <w:rsid w:val="00AF27E1"/>
    <w:rsid w:val="00AF4DC1"/>
    <w:rsid w:val="00AF6EEB"/>
    <w:rsid w:val="00B00D6C"/>
    <w:rsid w:val="00B00E5B"/>
    <w:rsid w:val="00B01990"/>
    <w:rsid w:val="00B026C9"/>
    <w:rsid w:val="00B04271"/>
    <w:rsid w:val="00B1073E"/>
    <w:rsid w:val="00B1280C"/>
    <w:rsid w:val="00B13DC1"/>
    <w:rsid w:val="00B13DF2"/>
    <w:rsid w:val="00B15315"/>
    <w:rsid w:val="00B16E53"/>
    <w:rsid w:val="00B17B32"/>
    <w:rsid w:val="00B20246"/>
    <w:rsid w:val="00B20FD0"/>
    <w:rsid w:val="00B21820"/>
    <w:rsid w:val="00B22495"/>
    <w:rsid w:val="00B2269E"/>
    <w:rsid w:val="00B23F5B"/>
    <w:rsid w:val="00B23FDB"/>
    <w:rsid w:val="00B24574"/>
    <w:rsid w:val="00B25636"/>
    <w:rsid w:val="00B30B1D"/>
    <w:rsid w:val="00B31CC8"/>
    <w:rsid w:val="00B32F3A"/>
    <w:rsid w:val="00B37703"/>
    <w:rsid w:val="00B433D9"/>
    <w:rsid w:val="00B453A0"/>
    <w:rsid w:val="00B45F9A"/>
    <w:rsid w:val="00B50E5D"/>
    <w:rsid w:val="00B52DE4"/>
    <w:rsid w:val="00B53B7C"/>
    <w:rsid w:val="00B546ED"/>
    <w:rsid w:val="00B54D8F"/>
    <w:rsid w:val="00B6092F"/>
    <w:rsid w:val="00B609A7"/>
    <w:rsid w:val="00B61D1F"/>
    <w:rsid w:val="00B629C0"/>
    <w:rsid w:val="00B62BA3"/>
    <w:rsid w:val="00B633EC"/>
    <w:rsid w:val="00B6456E"/>
    <w:rsid w:val="00B6765F"/>
    <w:rsid w:val="00B70194"/>
    <w:rsid w:val="00B71AA1"/>
    <w:rsid w:val="00B74A1C"/>
    <w:rsid w:val="00B74F91"/>
    <w:rsid w:val="00B80D7E"/>
    <w:rsid w:val="00B827C1"/>
    <w:rsid w:val="00B84D79"/>
    <w:rsid w:val="00B94FFF"/>
    <w:rsid w:val="00BA00E6"/>
    <w:rsid w:val="00BA10D3"/>
    <w:rsid w:val="00BA20AF"/>
    <w:rsid w:val="00BA5280"/>
    <w:rsid w:val="00BA5666"/>
    <w:rsid w:val="00BA7862"/>
    <w:rsid w:val="00BA7E49"/>
    <w:rsid w:val="00BB03FD"/>
    <w:rsid w:val="00BB0598"/>
    <w:rsid w:val="00BB3914"/>
    <w:rsid w:val="00BB71BF"/>
    <w:rsid w:val="00BC167A"/>
    <w:rsid w:val="00BC29D1"/>
    <w:rsid w:val="00BC73C0"/>
    <w:rsid w:val="00BD05C3"/>
    <w:rsid w:val="00BD0AA0"/>
    <w:rsid w:val="00BD68C9"/>
    <w:rsid w:val="00BD7101"/>
    <w:rsid w:val="00BD77AB"/>
    <w:rsid w:val="00BE04DB"/>
    <w:rsid w:val="00BE1783"/>
    <w:rsid w:val="00BE19EF"/>
    <w:rsid w:val="00BE45E6"/>
    <w:rsid w:val="00BE6236"/>
    <w:rsid w:val="00BE662B"/>
    <w:rsid w:val="00BE6D1B"/>
    <w:rsid w:val="00BE742F"/>
    <w:rsid w:val="00BF00C0"/>
    <w:rsid w:val="00BF0611"/>
    <w:rsid w:val="00BF14AF"/>
    <w:rsid w:val="00BF157B"/>
    <w:rsid w:val="00BF2F6B"/>
    <w:rsid w:val="00BF46F0"/>
    <w:rsid w:val="00BF6EA4"/>
    <w:rsid w:val="00C013FB"/>
    <w:rsid w:val="00C031C4"/>
    <w:rsid w:val="00C0328F"/>
    <w:rsid w:val="00C034AE"/>
    <w:rsid w:val="00C035BA"/>
    <w:rsid w:val="00C038AB"/>
    <w:rsid w:val="00C04AA8"/>
    <w:rsid w:val="00C04F17"/>
    <w:rsid w:val="00C05F90"/>
    <w:rsid w:val="00C10F8A"/>
    <w:rsid w:val="00C1178A"/>
    <w:rsid w:val="00C14274"/>
    <w:rsid w:val="00C15442"/>
    <w:rsid w:val="00C17743"/>
    <w:rsid w:val="00C259CE"/>
    <w:rsid w:val="00C267F5"/>
    <w:rsid w:val="00C26E11"/>
    <w:rsid w:val="00C3286E"/>
    <w:rsid w:val="00C32DE8"/>
    <w:rsid w:val="00C337C9"/>
    <w:rsid w:val="00C368F9"/>
    <w:rsid w:val="00C40B72"/>
    <w:rsid w:val="00C41CA6"/>
    <w:rsid w:val="00C4485B"/>
    <w:rsid w:val="00C5182A"/>
    <w:rsid w:val="00C5296D"/>
    <w:rsid w:val="00C5481C"/>
    <w:rsid w:val="00C548DF"/>
    <w:rsid w:val="00C54B4A"/>
    <w:rsid w:val="00C56961"/>
    <w:rsid w:val="00C56AE3"/>
    <w:rsid w:val="00C57B09"/>
    <w:rsid w:val="00C60706"/>
    <w:rsid w:val="00C618B8"/>
    <w:rsid w:val="00C63C5C"/>
    <w:rsid w:val="00C64655"/>
    <w:rsid w:val="00C71531"/>
    <w:rsid w:val="00C7216D"/>
    <w:rsid w:val="00C7498F"/>
    <w:rsid w:val="00C75860"/>
    <w:rsid w:val="00C75915"/>
    <w:rsid w:val="00C80BA0"/>
    <w:rsid w:val="00C815B9"/>
    <w:rsid w:val="00C82EF8"/>
    <w:rsid w:val="00C853FD"/>
    <w:rsid w:val="00C857DF"/>
    <w:rsid w:val="00C85B5F"/>
    <w:rsid w:val="00C8699B"/>
    <w:rsid w:val="00C900F0"/>
    <w:rsid w:val="00C90D15"/>
    <w:rsid w:val="00C90F75"/>
    <w:rsid w:val="00C91665"/>
    <w:rsid w:val="00C9218C"/>
    <w:rsid w:val="00C93A96"/>
    <w:rsid w:val="00CA02FD"/>
    <w:rsid w:val="00CA2D35"/>
    <w:rsid w:val="00CA328E"/>
    <w:rsid w:val="00CA3E35"/>
    <w:rsid w:val="00CA7A26"/>
    <w:rsid w:val="00CB21A9"/>
    <w:rsid w:val="00CB2AF9"/>
    <w:rsid w:val="00CB30B9"/>
    <w:rsid w:val="00CB4C09"/>
    <w:rsid w:val="00CB7066"/>
    <w:rsid w:val="00CC2A91"/>
    <w:rsid w:val="00CC420C"/>
    <w:rsid w:val="00CC6D1E"/>
    <w:rsid w:val="00CD0D4F"/>
    <w:rsid w:val="00CD201A"/>
    <w:rsid w:val="00CD34F2"/>
    <w:rsid w:val="00CD4A0A"/>
    <w:rsid w:val="00CD78C9"/>
    <w:rsid w:val="00CE0925"/>
    <w:rsid w:val="00CE2BF0"/>
    <w:rsid w:val="00CE393E"/>
    <w:rsid w:val="00CE6E36"/>
    <w:rsid w:val="00CE6F19"/>
    <w:rsid w:val="00CE7114"/>
    <w:rsid w:val="00CE719E"/>
    <w:rsid w:val="00CE760B"/>
    <w:rsid w:val="00CF0171"/>
    <w:rsid w:val="00CF1AD3"/>
    <w:rsid w:val="00CF2CC0"/>
    <w:rsid w:val="00CF3349"/>
    <w:rsid w:val="00CF4233"/>
    <w:rsid w:val="00CF77D0"/>
    <w:rsid w:val="00D00715"/>
    <w:rsid w:val="00D02EB0"/>
    <w:rsid w:val="00D05AA2"/>
    <w:rsid w:val="00D06643"/>
    <w:rsid w:val="00D10DC4"/>
    <w:rsid w:val="00D13B76"/>
    <w:rsid w:val="00D14CAA"/>
    <w:rsid w:val="00D151F0"/>
    <w:rsid w:val="00D17457"/>
    <w:rsid w:val="00D2072E"/>
    <w:rsid w:val="00D21306"/>
    <w:rsid w:val="00D214E4"/>
    <w:rsid w:val="00D22AC4"/>
    <w:rsid w:val="00D24107"/>
    <w:rsid w:val="00D25191"/>
    <w:rsid w:val="00D262DF"/>
    <w:rsid w:val="00D30F09"/>
    <w:rsid w:val="00D34151"/>
    <w:rsid w:val="00D3567D"/>
    <w:rsid w:val="00D41A80"/>
    <w:rsid w:val="00D44C89"/>
    <w:rsid w:val="00D4502A"/>
    <w:rsid w:val="00D47016"/>
    <w:rsid w:val="00D47B7F"/>
    <w:rsid w:val="00D50202"/>
    <w:rsid w:val="00D5101D"/>
    <w:rsid w:val="00D51461"/>
    <w:rsid w:val="00D538B8"/>
    <w:rsid w:val="00D55CD7"/>
    <w:rsid w:val="00D578D2"/>
    <w:rsid w:val="00D60848"/>
    <w:rsid w:val="00D60A94"/>
    <w:rsid w:val="00D61B03"/>
    <w:rsid w:val="00D6309D"/>
    <w:rsid w:val="00D63678"/>
    <w:rsid w:val="00D63B7E"/>
    <w:rsid w:val="00D65447"/>
    <w:rsid w:val="00D65940"/>
    <w:rsid w:val="00D6791A"/>
    <w:rsid w:val="00D67A5F"/>
    <w:rsid w:val="00D70BFD"/>
    <w:rsid w:val="00D71247"/>
    <w:rsid w:val="00D71870"/>
    <w:rsid w:val="00D723AA"/>
    <w:rsid w:val="00D73E83"/>
    <w:rsid w:val="00D74B47"/>
    <w:rsid w:val="00D750EB"/>
    <w:rsid w:val="00D752D6"/>
    <w:rsid w:val="00D75CB3"/>
    <w:rsid w:val="00D76B23"/>
    <w:rsid w:val="00D76F49"/>
    <w:rsid w:val="00D76FF5"/>
    <w:rsid w:val="00D77849"/>
    <w:rsid w:val="00D77AA7"/>
    <w:rsid w:val="00D83A45"/>
    <w:rsid w:val="00D83C2E"/>
    <w:rsid w:val="00D841CD"/>
    <w:rsid w:val="00D84658"/>
    <w:rsid w:val="00D86B60"/>
    <w:rsid w:val="00D87D4F"/>
    <w:rsid w:val="00D9249A"/>
    <w:rsid w:val="00D940A8"/>
    <w:rsid w:val="00D94CA9"/>
    <w:rsid w:val="00DA195B"/>
    <w:rsid w:val="00DA1B4E"/>
    <w:rsid w:val="00DA1CD2"/>
    <w:rsid w:val="00DA4475"/>
    <w:rsid w:val="00DA4524"/>
    <w:rsid w:val="00DA5167"/>
    <w:rsid w:val="00DA5B4B"/>
    <w:rsid w:val="00DA78D5"/>
    <w:rsid w:val="00DB24F7"/>
    <w:rsid w:val="00DB2953"/>
    <w:rsid w:val="00DB2C33"/>
    <w:rsid w:val="00DB618D"/>
    <w:rsid w:val="00DB64F3"/>
    <w:rsid w:val="00DB6623"/>
    <w:rsid w:val="00DB6CB0"/>
    <w:rsid w:val="00DC0335"/>
    <w:rsid w:val="00DC037E"/>
    <w:rsid w:val="00DC2A35"/>
    <w:rsid w:val="00DC6278"/>
    <w:rsid w:val="00DC6A77"/>
    <w:rsid w:val="00DC7AEC"/>
    <w:rsid w:val="00DC7FDD"/>
    <w:rsid w:val="00DD0EB7"/>
    <w:rsid w:val="00DD0F12"/>
    <w:rsid w:val="00DD25A5"/>
    <w:rsid w:val="00DD3764"/>
    <w:rsid w:val="00DD493D"/>
    <w:rsid w:val="00DD4BAB"/>
    <w:rsid w:val="00DD6789"/>
    <w:rsid w:val="00DE0F4E"/>
    <w:rsid w:val="00DE2F7A"/>
    <w:rsid w:val="00DE43E7"/>
    <w:rsid w:val="00DE66B5"/>
    <w:rsid w:val="00DF0334"/>
    <w:rsid w:val="00DF1059"/>
    <w:rsid w:val="00DF2FD8"/>
    <w:rsid w:val="00DF6F48"/>
    <w:rsid w:val="00DF7817"/>
    <w:rsid w:val="00E00ED2"/>
    <w:rsid w:val="00E041DD"/>
    <w:rsid w:val="00E0482B"/>
    <w:rsid w:val="00E04C05"/>
    <w:rsid w:val="00E04D40"/>
    <w:rsid w:val="00E05953"/>
    <w:rsid w:val="00E05BA8"/>
    <w:rsid w:val="00E06281"/>
    <w:rsid w:val="00E0677A"/>
    <w:rsid w:val="00E07563"/>
    <w:rsid w:val="00E101EA"/>
    <w:rsid w:val="00E10546"/>
    <w:rsid w:val="00E11A54"/>
    <w:rsid w:val="00E14349"/>
    <w:rsid w:val="00E15D4A"/>
    <w:rsid w:val="00E20697"/>
    <w:rsid w:val="00E20B0B"/>
    <w:rsid w:val="00E23325"/>
    <w:rsid w:val="00E26868"/>
    <w:rsid w:val="00E27AC4"/>
    <w:rsid w:val="00E31E73"/>
    <w:rsid w:val="00E324B6"/>
    <w:rsid w:val="00E327F3"/>
    <w:rsid w:val="00E34C2E"/>
    <w:rsid w:val="00E3724C"/>
    <w:rsid w:val="00E37556"/>
    <w:rsid w:val="00E408B5"/>
    <w:rsid w:val="00E40CAD"/>
    <w:rsid w:val="00E432C0"/>
    <w:rsid w:val="00E445C7"/>
    <w:rsid w:val="00E44C1D"/>
    <w:rsid w:val="00E47A30"/>
    <w:rsid w:val="00E47DE8"/>
    <w:rsid w:val="00E503CF"/>
    <w:rsid w:val="00E50AD3"/>
    <w:rsid w:val="00E515A6"/>
    <w:rsid w:val="00E5195D"/>
    <w:rsid w:val="00E5416D"/>
    <w:rsid w:val="00E550BB"/>
    <w:rsid w:val="00E57642"/>
    <w:rsid w:val="00E606CE"/>
    <w:rsid w:val="00E609D6"/>
    <w:rsid w:val="00E616A3"/>
    <w:rsid w:val="00E61C78"/>
    <w:rsid w:val="00E65432"/>
    <w:rsid w:val="00E66006"/>
    <w:rsid w:val="00E7057E"/>
    <w:rsid w:val="00E70FDB"/>
    <w:rsid w:val="00E7121E"/>
    <w:rsid w:val="00E71502"/>
    <w:rsid w:val="00E71788"/>
    <w:rsid w:val="00E72E2B"/>
    <w:rsid w:val="00E73122"/>
    <w:rsid w:val="00E74749"/>
    <w:rsid w:val="00E74A0B"/>
    <w:rsid w:val="00E82FD7"/>
    <w:rsid w:val="00E86E9C"/>
    <w:rsid w:val="00E92958"/>
    <w:rsid w:val="00E92C56"/>
    <w:rsid w:val="00E933A0"/>
    <w:rsid w:val="00E93518"/>
    <w:rsid w:val="00E9550C"/>
    <w:rsid w:val="00EA01C0"/>
    <w:rsid w:val="00EA0440"/>
    <w:rsid w:val="00EA0B53"/>
    <w:rsid w:val="00EA414A"/>
    <w:rsid w:val="00EA5590"/>
    <w:rsid w:val="00EA66F9"/>
    <w:rsid w:val="00EA6716"/>
    <w:rsid w:val="00EB16B3"/>
    <w:rsid w:val="00EB1E7D"/>
    <w:rsid w:val="00EB3B12"/>
    <w:rsid w:val="00EB4047"/>
    <w:rsid w:val="00EB425C"/>
    <w:rsid w:val="00EB69AF"/>
    <w:rsid w:val="00EC12B5"/>
    <w:rsid w:val="00EC36F7"/>
    <w:rsid w:val="00ED1EED"/>
    <w:rsid w:val="00ED30E8"/>
    <w:rsid w:val="00ED3598"/>
    <w:rsid w:val="00ED38AA"/>
    <w:rsid w:val="00ED5771"/>
    <w:rsid w:val="00ED6936"/>
    <w:rsid w:val="00ED7645"/>
    <w:rsid w:val="00EE0416"/>
    <w:rsid w:val="00EE1A47"/>
    <w:rsid w:val="00EE3C88"/>
    <w:rsid w:val="00EE3D30"/>
    <w:rsid w:val="00EE573B"/>
    <w:rsid w:val="00EE5E89"/>
    <w:rsid w:val="00EE5FCA"/>
    <w:rsid w:val="00EE76CB"/>
    <w:rsid w:val="00EF0DDE"/>
    <w:rsid w:val="00EF1236"/>
    <w:rsid w:val="00EF3534"/>
    <w:rsid w:val="00EF3A1B"/>
    <w:rsid w:val="00EF43C4"/>
    <w:rsid w:val="00EF6E37"/>
    <w:rsid w:val="00EF72A3"/>
    <w:rsid w:val="00F05C2E"/>
    <w:rsid w:val="00F064EF"/>
    <w:rsid w:val="00F067CC"/>
    <w:rsid w:val="00F07477"/>
    <w:rsid w:val="00F07B5E"/>
    <w:rsid w:val="00F12392"/>
    <w:rsid w:val="00F12CD9"/>
    <w:rsid w:val="00F209FD"/>
    <w:rsid w:val="00F2194B"/>
    <w:rsid w:val="00F2532F"/>
    <w:rsid w:val="00F274B2"/>
    <w:rsid w:val="00F27BD7"/>
    <w:rsid w:val="00F315C3"/>
    <w:rsid w:val="00F328B6"/>
    <w:rsid w:val="00F3321F"/>
    <w:rsid w:val="00F3647B"/>
    <w:rsid w:val="00F3724B"/>
    <w:rsid w:val="00F406F1"/>
    <w:rsid w:val="00F40D36"/>
    <w:rsid w:val="00F42BD1"/>
    <w:rsid w:val="00F42FC1"/>
    <w:rsid w:val="00F437AB"/>
    <w:rsid w:val="00F44C09"/>
    <w:rsid w:val="00F47286"/>
    <w:rsid w:val="00F52B1E"/>
    <w:rsid w:val="00F52C96"/>
    <w:rsid w:val="00F55F5E"/>
    <w:rsid w:val="00F56108"/>
    <w:rsid w:val="00F576DC"/>
    <w:rsid w:val="00F6330B"/>
    <w:rsid w:val="00F647EE"/>
    <w:rsid w:val="00F722CE"/>
    <w:rsid w:val="00F74692"/>
    <w:rsid w:val="00F74A4B"/>
    <w:rsid w:val="00F774E7"/>
    <w:rsid w:val="00F80F14"/>
    <w:rsid w:val="00F8330C"/>
    <w:rsid w:val="00F833AC"/>
    <w:rsid w:val="00F84CF3"/>
    <w:rsid w:val="00F87366"/>
    <w:rsid w:val="00F87BEE"/>
    <w:rsid w:val="00F90487"/>
    <w:rsid w:val="00F90692"/>
    <w:rsid w:val="00F918C0"/>
    <w:rsid w:val="00F920F5"/>
    <w:rsid w:val="00F944E3"/>
    <w:rsid w:val="00F9649E"/>
    <w:rsid w:val="00F97634"/>
    <w:rsid w:val="00F97EBA"/>
    <w:rsid w:val="00FA24D6"/>
    <w:rsid w:val="00FA4853"/>
    <w:rsid w:val="00FA4CEC"/>
    <w:rsid w:val="00FA60C5"/>
    <w:rsid w:val="00FB0DEE"/>
    <w:rsid w:val="00FB1530"/>
    <w:rsid w:val="00FB2862"/>
    <w:rsid w:val="00FB572F"/>
    <w:rsid w:val="00FC06A1"/>
    <w:rsid w:val="00FC10CE"/>
    <w:rsid w:val="00FC3888"/>
    <w:rsid w:val="00FC48FD"/>
    <w:rsid w:val="00FC5970"/>
    <w:rsid w:val="00FC5C38"/>
    <w:rsid w:val="00FC72E1"/>
    <w:rsid w:val="00FD0FB3"/>
    <w:rsid w:val="00FD126A"/>
    <w:rsid w:val="00FD3CA9"/>
    <w:rsid w:val="00FD445E"/>
    <w:rsid w:val="00FD64B1"/>
    <w:rsid w:val="00FD778A"/>
    <w:rsid w:val="00FE16F5"/>
    <w:rsid w:val="00FE1715"/>
    <w:rsid w:val="00FE1736"/>
    <w:rsid w:val="00FE2D4D"/>
    <w:rsid w:val="00FE2F07"/>
    <w:rsid w:val="00FE2F22"/>
    <w:rsid w:val="00FE401C"/>
    <w:rsid w:val="00FE484B"/>
    <w:rsid w:val="00FE64B3"/>
    <w:rsid w:val="00FE7DE4"/>
    <w:rsid w:val="00FF0C42"/>
    <w:rsid w:val="00FF2757"/>
    <w:rsid w:val="00FF2A25"/>
    <w:rsid w:val="00FF43EA"/>
    <w:rsid w:val="00FF5E6C"/>
    <w:rsid w:val="00FF6C6C"/>
    <w:rsid w:val="00FF6E9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31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41C1"/>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75D"/>
    <w:pPr>
      <w:tabs>
        <w:tab w:val="center" w:pos="4320"/>
        <w:tab w:val="right" w:pos="864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1275D"/>
    <w:rPr>
      <w:rFonts w:eastAsiaTheme="minorHAnsi"/>
      <w:sz w:val="22"/>
      <w:szCs w:val="22"/>
      <w:lang w:val="en-CA"/>
    </w:rPr>
  </w:style>
  <w:style w:type="paragraph" w:styleId="Footer">
    <w:name w:val="footer"/>
    <w:basedOn w:val="Normal"/>
    <w:link w:val="FooterChar"/>
    <w:uiPriority w:val="99"/>
    <w:unhideWhenUsed/>
    <w:rsid w:val="0071275D"/>
    <w:pPr>
      <w:tabs>
        <w:tab w:val="center" w:pos="4320"/>
        <w:tab w:val="right" w:pos="864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71275D"/>
    <w:rPr>
      <w:rFonts w:eastAsiaTheme="minorHAnsi"/>
      <w:sz w:val="22"/>
      <w:szCs w:val="22"/>
      <w:lang w:val="en-CA"/>
    </w:rPr>
  </w:style>
  <w:style w:type="character" w:customStyle="1" w:styleId="apple-converted-space">
    <w:name w:val="apple-converted-space"/>
    <w:basedOn w:val="DefaultParagraphFont"/>
    <w:rsid w:val="002933AF"/>
  </w:style>
  <w:style w:type="character" w:customStyle="1" w:styleId="ref-journal">
    <w:name w:val="ref-journal"/>
    <w:basedOn w:val="DefaultParagraphFont"/>
    <w:rsid w:val="002933AF"/>
  </w:style>
  <w:style w:type="character" w:customStyle="1" w:styleId="ref-vol">
    <w:name w:val="ref-vol"/>
    <w:basedOn w:val="DefaultParagraphFont"/>
    <w:rsid w:val="002933AF"/>
  </w:style>
  <w:style w:type="character" w:styleId="CommentReference">
    <w:name w:val="annotation reference"/>
    <w:basedOn w:val="DefaultParagraphFont"/>
    <w:uiPriority w:val="99"/>
    <w:semiHidden/>
    <w:unhideWhenUsed/>
    <w:rsid w:val="00BF2F6B"/>
    <w:rPr>
      <w:sz w:val="18"/>
      <w:szCs w:val="18"/>
    </w:rPr>
  </w:style>
  <w:style w:type="paragraph" w:styleId="CommentText">
    <w:name w:val="annotation text"/>
    <w:basedOn w:val="Normal"/>
    <w:link w:val="CommentTextChar"/>
    <w:uiPriority w:val="99"/>
    <w:unhideWhenUsed/>
    <w:rsid w:val="00BF2F6B"/>
    <w:pPr>
      <w:spacing w:after="200"/>
    </w:pPr>
    <w:rPr>
      <w:rFonts w:asciiTheme="minorHAnsi" w:eastAsiaTheme="minorHAnsi" w:hAnsiTheme="minorHAnsi" w:cstheme="minorBidi"/>
      <w:lang w:val="en-CA"/>
    </w:rPr>
  </w:style>
  <w:style w:type="character" w:customStyle="1" w:styleId="CommentTextChar">
    <w:name w:val="Comment Text Char"/>
    <w:basedOn w:val="DefaultParagraphFont"/>
    <w:link w:val="CommentText"/>
    <w:uiPriority w:val="99"/>
    <w:rsid w:val="00BF2F6B"/>
    <w:rPr>
      <w:rFonts w:eastAsiaTheme="minorHAnsi"/>
      <w:lang w:val="en-CA"/>
    </w:rPr>
  </w:style>
  <w:style w:type="paragraph" w:styleId="CommentSubject">
    <w:name w:val="annotation subject"/>
    <w:basedOn w:val="CommentText"/>
    <w:next w:val="CommentText"/>
    <w:link w:val="CommentSubjectChar"/>
    <w:uiPriority w:val="99"/>
    <w:semiHidden/>
    <w:unhideWhenUsed/>
    <w:rsid w:val="00BF2F6B"/>
    <w:rPr>
      <w:b/>
      <w:bCs/>
      <w:sz w:val="20"/>
      <w:szCs w:val="20"/>
    </w:rPr>
  </w:style>
  <w:style w:type="character" w:customStyle="1" w:styleId="CommentSubjectChar">
    <w:name w:val="Comment Subject Char"/>
    <w:basedOn w:val="CommentTextChar"/>
    <w:link w:val="CommentSubject"/>
    <w:uiPriority w:val="99"/>
    <w:semiHidden/>
    <w:rsid w:val="00BF2F6B"/>
    <w:rPr>
      <w:rFonts w:eastAsiaTheme="minorHAnsi"/>
      <w:b/>
      <w:bCs/>
      <w:sz w:val="20"/>
      <w:szCs w:val="20"/>
      <w:lang w:val="en-CA"/>
    </w:rPr>
  </w:style>
  <w:style w:type="paragraph" w:styleId="BalloonText">
    <w:name w:val="Balloon Text"/>
    <w:basedOn w:val="Normal"/>
    <w:link w:val="BalloonTextChar"/>
    <w:uiPriority w:val="99"/>
    <w:semiHidden/>
    <w:unhideWhenUsed/>
    <w:rsid w:val="00BF2F6B"/>
    <w:rPr>
      <w:rFonts w:ascii="Lucida Grande" w:eastAsiaTheme="minorHAnsi" w:hAnsi="Lucida Grande" w:cs="Lucida Grande"/>
      <w:sz w:val="18"/>
      <w:szCs w:val="18"/>
      <w:lang w:val="en-CA"/>
    </w:rPr>
  </w:style>
  <w:style w:type="character" w:customStyle="1" w:styleId="BalloonTextChar">
    <w:name w:val="Balloon Text Char"/>
    <w:basedOn w:val="DefaultParagraphFont"/>
    <w:link w:val="BalloonText"/>
    <w:uiPriority w:val="99"/>
    <w:semiHidden/>
    <w:rsid w:val="00BF2F6B"/>
    <w:rPr>
      <w:rFonts w:ascii="Lucida Grande" w:eastAsiaTheme="minorHAnsi" w:hAnsi="Lucida Grande" w:cs="Lucida Grande"/>
      <w:sz w:val="18"/>
      <w:szCs w:val="18"/>
      <w:lang w:val="en-CA"/>
    </w:rPr>
  </w:style>
  <w:style w:type="paragraph" w:styleId="ListParagraph">
    <w:name w:val="List Paragraph"/>
    <w:basedOn w:val="Normal"/>
    <w:uiPriority w:val="34"/>
    <w:qFormat/>
    <w:rsid w:val="00214D89"/>
    <w:pPr>
      <w:spacing w:after="200" w:line="276" w:lineRule="auto"/>
      <w:ind w:left="720"/>
      <w:contextualSpacing/>
    </w:pPr>
    <w:rPr>
      <w:rFonts w:asciiTheme="minorHAnsi" w:eastAsiaTheme="minorHAnsi" w:hAnsiTheme="minorHAnsi" w:cstheme="minorBidi"/>
      <w:sz w:val="22"/>
      <w:szCs w:val="22"/>
      <w:lang w:val="en-CA"/>
    </w:rPr>
  </w:style>
  <w:style w:type="character" w:styleId="PageNumber">
    <w:name w:val="page number"/>
    <w:basedOn w:val="DefaultParagraphFont"/>
    <w:uiPriority w:val="99"/>
    <w:semiHidden/>
    <w:unhideWhenUsed/>
    <w:rsid w:val="00CF0171"/>
  </w:style>
  <w:style w:type="paragraph" w:styleId="Revision">
    <w:name w:val="Revision"/>
    <w:hidden/>
    <w:uiPriority w:val="99"/>
    <w:semiHidden/>
    <w:rsid w:val="00E40CAD"/>
    <w:rPr>
      <w:rFonts w:eastAsiaTheme="minorHAnsi"/>
      <w:sz w:val="22"/>
      <w:szCs w:val="22"/>
      <w:lang w:val="en-CA"/>
    </w:rPr>
  </w:style>
  <w:style w:type="table" w:styleId="TableGrid">
    <w:name w:val="Table Grid"/>
    <w:basedOn w:val="TableNormal"/>
    <w:uiPriority w:val="59"/>
    <w:rsid w:val="001B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B6D7E"/>
    <w:pPr>
      <w:spacing w:before="100" w:beforeAutospacing="1" w:after="100" w:afterAutospacing="1"/>
    </w:pPr>
    <w:rPr>
      <w:rFonts w:ascii="Times" w:hAnsi="Times"/>
      <w:sz w:val="20"/>
      <w:szCs w:val="20"/>
      <w:lang w:val="en-CA"/>
    </w:rPr>
  </w:style>
  <w:style w:type="character" w:styleId="Hyperlink">
    <w:name w:val="Hyperlink"/>
    <w:rsid w:val="008D2F55"/>
    <w:rPr>
      <w:color w:val="0000FF"/>
    </w:rPr>
  </w:style>
  <w:style w:type="character" w:customStyle="1" w:styleId="slug-doi">
    <w:name w:val="slug-doi"/>
    <w:basedOn w:val="DefaultParagraphFont"/>
    <w:rsid w:val="00B17B32"/>
  </w:style>
  <w:style w:type="character" w:styleId="Strong">
    <w:name w:val="Strong"/>
    <w:basedOn w:val="DefaultParagraphFont"/>
    <w:uiPriority w:val="22"/>
    <w:qFormat/>
    <w:rsid w:val="00B17B32"/>
    <w:rPr>
      <w:b/>
      <w:bCs/>
    </w:rPr>
  </w:style>
  <w:style w:type="character" w:customStyle="1" w:styleId="element-citation">
    <w:name w:val="element-citation"/>
    <w:basedOn w:val="DefaultParagraphFont"/>
    <w:rsid w:val="0046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9487">
      <w:bodyDiv w:val="1"/>
      <w:marLeft w:val="0"/>
      <w:marRight w:val="0"/>
      <w:marTop w:val="0"/>
      <w:marBottom w:val="0"/>
      <w:divBdr>
        <w:top w:val="none" w:sz="0" w:space="0" w:color="auto"/>
        <w:left w:val="none" w:sz="0" w:space="0" w:color="auto"/>
        <w:bottom w:val="none" w:sz="0" w:space="0" w:color="auto"/>
        <w:right w:val="none" w:sz="0" w:space="0" w:color="auto"/>
      </w:divBdr>
    </w:div>
    <w:div w:id="198324940">
      <w:bodyDiv w:val="1"/>
      <w:marLeft w:val="0"/>
      <w:marRight w:val="0"/>
      <w:marTop w:val="0"/>
      <w:marBottom w:val="0"/>
      <w:divBdr>
        <w:top w:val="none" w:sz="0" w:space="0" w:color="auto"/>
        <w:left w:val="none" w:sz="0" w:space="0" w:color="auto"/>
        <w:bottom w:val="none" w:sz="0" w:space="0" w:color="auto"/>
        <w:right w:val="none" w:sz="0" w:space="0" w:color="auto"/>
      </w:divBdr>
    </w:div>
    <w:div w:id="357046674">
      <w:bodyDiv w:val="1"/>
      <w:marLeft w:val="0"/>
      <w:marRight w:val="0"/>
      <w:marTop w:val="0"/>
      <w:marBottom w:val="0"/>
      <w:divBdr>
        <w:top w:val="none" w:sz="0" w:space="0" w:color="auto"/>
        <w:left w:val="none" w:sz="0" w:space="0" w:color="auto"/>
        <w:bottom w:val="none" w:sz="0" w:space="0" w:color="auto"/>
        <w:right w:val="none" w:sz="0" w:space="0" w:color="auto"/>
      </w:divBdr>
    </w:div>
    <w:div w:id="380203944">
      <w:bodyDiv w:val="1"/>
      <w:marLeft w:val="0"/>
      <w:marRight w:val="0"/>
      <w:marTop w:val="0"/>
      <w:marBottom w:val="0"/>
      <w:divBdr>
        <w:top w:val="none" w:sz="0" w:space="0" w:color="auto"/>
        <w:left w:val="none" w:sz="0" w:space="0" w:color="auto"/>
        <w:bottom w:val="none" w:sz="0" w:space="0" w:color="auto"/>
        <w:right w:val="none" w:sz="0" w:space="0" w:color="auto"/>
      </w:divBdr>
    </w:div>
    <w:div w:id="396782982">
      <w:bodyDiv w:val="1"/>
      <w:marLeft w:val="0"/>
      <w:marRight w:val="0"/>
      <w:marTop w:val="0"/>
      <w:marBottom w:val="0"/>
      <w:divBdr>
        <w:top w:val="none" w:sz="0" w:space="0" w:color="auto"/>
        <w:left w:val="none" w:sz="0" w:space="0" w:color="auto"/>
        <w:bottom w:val="none" w:sz="0" w:space="0" w:color="auto"/>
        <w:right w:val="none" w:sz="0" w:space="0" w:color="auto"/>
      </w:divBdr>
    </w:div>
    <w:div w:id="434596915">
      <w:bodyDiv w:val="1"/>
      <w:marLeft w:val="0"/>
      <w:marRight w:val="0"/>
      <w:marTop w:val="0"/>
      <w:marBottom w:val="0"/>
      <w:divBdr>
        <w:top w:val="none" w:sz="0" w:space="0" w:color="auto"/>
        <w:left w:val="none" w:sz="0" w:space="0" w:color="auto"/>
        <w:bottom w:val="none" w:sz="0" w:space="0" w:color="auto"/>
        <w:right w:val="none" w:sz="0" w:space="0" w:color="auto"/>
      </w:divBdr>
    </w:div>
    <w:div w:id="716588028">
      <w:bodyDiv w:val="1"/>
      <w:marLeft w:val="0"/>
      <w:marRight w:val="0"/>
      <w:marTop w:val="0"/>
      <w:marBottom w:val="0"/>
      <w:divBdr>
        <w:top w:val="none" w:sz="0" w:space="0" w:color="auto"/>
        <w:left w:val="none" w:sz="0" w:space="0" w:color="auto"/>
        <w:bottom w:val="none" w:sz="0" w:space="0" w:color="auto"/>
        <w:right w:val="none" w:sz="0" w:space="0" w:color="auto"/>
      </w:divBdr>
    </w:div>
    <w:div w:id="954092697">
      <w:bodyDiv w:val="1"/>
      <w:marLeft w:val="0"/>
      <w:marRight w:val="0"/>
      <w:marTop w:val="0"/>
      <w:marBottom w:val="0"/>
      <w:divBdr>
        <w:top w:val="none" w:sz="0" w:space="0" w:color="auto"/>
        <w:left w:val="none" w:sz="0" w:space="0" w:color="auto"/>
        <w:bottom w:val="none" w:sz="0" w:space="0" w:color="auto"/>
        <w:right w:val="none" w:sz="0" w:space="0" w:color="auto"/>
      </w:divBdr>
    </w:div>
    <w:div w:id="1073090570">
      <w:bodyDiv w:val="1"/>
      <w:marLeft w:val="0"/>
      <w:marRight w:val="0"/>
      <w:marTop w:val="0"/>
      <w:marBottom w:val="0"/>
      <w:divBdr>
        <w:top w:val="none" w:sz="0" w:space="0" w:color="auto"/>
        <w:left w:val="none" w:sz="0" w:space="0" w:color="auto"/>
        <w:bottom w:val="none" w:sz="0" w:space="0" w:color="auto"/>
        <w:right w:val="none" w:sz="0" w:space="0" w:color="auto"/>
      </w:divBdr>
    </w:div>
    <w:div w:id="1214464658">
      <w:bodyDiv w:val="1"/>
      <w:marLeft w:val="0"/>
      <w:marRight w:val="0"/>
      <w:marTop w:val="0"/>
      <w:marBottom w:val="0"/>
      <w:divBdr>
        <w:top w:val="none" w:sz="0" w:space="0" w:color="auto"/>
        <w:left w:val="none" w:sz="0" w:space="0" w:color="auto"/>
        <w:bottom w:val="none" w:sz="0" w:space="0" w:color="auto"/>
        <w:right w:val="none" w:sz="0" w:space="0" w:color="auto"/>
      </w:divBdr>
    </w:div>
    <w:div w:id="1630165004">
      <w:bodyDiv w:val="1"/>
      <w:marLeft w:val="0"/>
      <w:marRight w:val="0"/>
      <w:marTop w:val="0"/>
      <w:marBottom w:val="0"/>
      <w:divBdr>
        <w:top w:val="none" w:sz="0" w:space="0" w:color="auto"/>
        <w:left w:val="none" w:sz="0" w:space="0" w:color="auto"/>
        <w:bottom w:val="none" w:sz="0" w:space="0" w:color="auto"/>
        <w:right w:val="none" w:sz="0" w:space="0" w:color="auto"/>
      </w:divBdr>
    </w:div>
    <w:div w:id="1695035220">
      <w:bodyDiv w:val="1"/>
      <w:marLeft w:val="0"/>
      <w:marRight w:val="0"/>
      <w:marTop w:val="0"/>
      <w:marBottom w:val="0"/>
      <w:divBdr>
        <w:top w:val="none" w:sz="0" w:space="0" w:color="auto"/>
        <w:left w:val="none" w:sz="0" w:space="0" w:color="auto"/>
        <w:bottom w:val="none" w:sz="0" w:space="0" w:color="auto"/>
        <w:right w:val="none" w:sz="0" w:space="0" w:color="auto"/>
      </w:divBdr>
    </w:div>
    <w:div w:id="1778528082">
      <w:bodyDiv w:val="1"/>
      <w:marLeft w:val="0"/>
      <w:marRight w:val="0"/>
      <w:marTop w:val="0"/>
      <w:marBottom w:val="0"/>
      <w:divBdr>
        <w:top w:val="none" w:sz="0" w:space="0" w:color="auto"/>
        <w:left w:val="none" w:sz="0" w:space="0" w:color="auto"/>
        <w:bottom w:val="none" w:sz="0" w:space="0" w:color="auto"/>
        <w:right w:val="none" w:sz="0" w:space="0" w:color="auto"/>
      </w:divBdr>
    </w:div>
    <w:div w:id="1887788880">
      <w:bodyDiv w:val="1"/>
      <w:marLeft w:val="0"/>
      <w:marRight w:val="0"/>
      <w:marTop w:val="0"/>
      <w:marBottom w:val="0"/>
      <w:divBdr>
        <w:top w:val="none" w:sz="0" w:space="0" w:color="auto"/>
        <w:left w:val="none" w:sz="0" w:space="0" w:color="auto"/>
        <w:bottom w:val="none" w:sz="0" w:space="0" w:color="auto"/>
        <w:right w:val="none" w:sz="0" w:space="0" w:color="auto"/>
      </w:divBdr>
    </w:div>
    <w:div w:id="1897546243">
      <w:bodyDiv w:val="1"/>
      <w:marLeft w:val="0"/>
      <w:marRight w:val="0"/>
      <w:marTop w:val="0"/>
      <w:marBottom w:val="0"/>
      <w:divBdr>
        <w:top w:val="none" w:sz="0" w:space="0" w:color="auto"/>
        <w:left w:val="none" w:sz="0" w:space="0" w:color="auto"/>
        <w:bottom w:val="none" w:sz="0" w:space="0" w:color="auto"/>
        <w:right w:val="none" w:sz="0" w:space="0" w:color="auto"/>
      </w:divBdr>
    </w:div>
    <w:div w:id="2111585971">
      <w:bodyDiv w:val="1"/>
      <w:marLeft w:val="0"/>
      <w:marRight w:val="0"/>
      <w:marTop w:val="0"/>
      <w:marBottom w:val="0"/>
      <w:divBdr>
        <w:top w:val="none" w:sz="0" w:space="0" w:color="auto"/>
        <w:left w:val="none" w:sz="0" w:space="0" w:color="auto"/>
        <w:bottom w:val="none" w:sz="0" w:space="0" w:color="auto"/>
        <w:right w:val="none" w:sz="0" w:space="0" w:color="auto"/>
      </w:divBdr>
    </w:div>
    <w:div w:id="2112585251">
      <w:bodyDiv w:val="1"/>
      <w:marLeft w:val="0"/>
      <w:marRight w:val="0"/>
      <w:marTop w:val="0"/>
      <w:marBottom w:val="0"/>
      <w:divBdr>
        <w:top w:val="none" w:sz="0" w:space="0" w:color="auto"/>
        <w:left w:val="none" w:sz="0" w:space="0" w:color="auto"/>
        <w:bottom w:val="none" w:sz="0" w:space="0" w:color="auto"/>
        <w:right w:val="none" w:sz="0" w:space="0" w:color="auto"/>
      </w:divBdr>
    </w:div>
    <w:div w:id="2116559192">
      <w:bodyDiv w:val="1"/>
      <w:marLeft w:val="0"/>
      <w:marRight w:val="0"/>
      <w:marTop w:val="0"/>
      <w:marBottom w:val="0"/>
      <w:divBdr>
        <w:top w:val="none" w:sz="0" w:space="0" w:color="auto"/>
        <w:left w:val="none" w:sz="0" w:space="0" w:color="auto"/>
        <w:bottom w:val="none" w:sz="0" w:space="0" w:color="auto"/>
        <w:right w:val="none" w:sz="0" w:space="0" w:color="auto"/>
      </w:divBdr>
    </w:div>
    <w:div w:id="21190621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cbi.nlm.nih.gov/pubmed/?term=Carter%20M%5BAuthor%5D&amp;cauthor=true&amp;cauthor_uid=22460225" TargetMode="External"/><Relationship Id="rId21" Type="http://schemas.openxmlformats.org/officeDocument/2006/relationships/hyperlink" Target="http://www.ncbi.nlm.nih.gov/pubmed/?term=Hatfield-Timajchy%20K%5BAuthor%5D&amp;cauthor=true&amp;cauthor_uid=22460225" TargetMode="External"/><Relationship Id="rId22" Type="http://schemas.openxmlformats.org/officeDocument/2006/relationships/hyperlink" Target="http://www.ncbi.nlm.nih.gov/pubmed/?term=Erickson%20PI%5BAuthor%5D&amp;cauthor=true&amp;cauthor_uid=22460225" TargetMode="External"/><Relationship Id="rId23" Type="http://schemas.openxmlformats.org/officeDocument/2006/relationships/hyperlink" Target="http://www.ncbi.nlm.nih.gov/pubmed/?term=Cassidy%20A%5BAuthor%5D&amp;cauthor=true&amp;cauthor_uid=22460225" TargetMode="External"/><Relationship Id="rId24" Type="http://schemas.openxmlformats.org/officeDocument/2006/relationships/hyperlink" Target="http://www.ncbi.nlm.nih.gov/pubmed/?term=Macauda%20M%5BAuthor%5D&amp;cauthor=true&amp;cauthor_uid=22460225" TargetMode="External"/><Relationship Id="rId25" Type="http://schemas.openxmlformats.org/officeDocument/2006/relationships/hyperlink" Target="http://www.ncbi.nlm.nih.gov/pubmed/?term=Singer%20M%5BAuthor%5D&amp;cauthor=true&amp;cauthor_uid=22460225" TargetMode="External"/><Relationship Id="rId26" Type="http://schemas.openxmlformats.org/officeDocument/2006/relationships/hyperlink" Target="http://www.ncbi.nlm.nih.gov/pubmed/?term=Chittams%20J%5BAuthor%5D&amp;cauthor=true&amp;cauthor_uid=22460225" TargetMode="External"/><Relationship Id="rId27" Type="http://schemas.openxmlformats.org/officeDocument/2006/relationships/hyperlink" Target="http://libproxy.library.unt.edu:2079/science/article/pii/S1057740814001107" TargetMode="External"/><Relationship Id="rId28" Type="http://schemas.openxmlformats.org/officeDocument/2006/relationships/hyperlink" Target="http://www.ncbi.nlm.nih.gov/pubmed/?term=Mah%20K%5BAuthor%5D&amp;cauthor=true&amp;cauthor_uid=11497209" TargetMode="External"/><Relationship Id="rId29" Type="http://schemas.openxmlformats.org/officeDocument/2006/relationships/hyperlink" Target="http://www.ncbi.nlm.nih.gov/pubmed/?term=Binik%20YM%5BAuthor%5D&amp;cauthor=true&amp;cauthor_uid=1149720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dx.doi.org/10.1016/S0140-6736(06)69662-1" TargetMode="External"/><Relationship Id="rId31" Type="http://schemas.openxmlformats.org/officeDocument/2006/relationships/hyperlink" Target="http://dx.doi.org/10.1016/j.jadohealth.2005.12.027" TargetMode="External"/><Relationship Id="rId32" Type="http://schemas.openxmlformats.org/officeDocument/2006/relationships/chart" Target="charts/chart1.xml"/><Relationship Id="rId9" Type="http://schemas.openxmlformats.org/officeDocument/2006/relationships/hyperlink" Target="http://www.ncbi.nlm.nih.gov/pubmed/?term=Crosby%20R%5BAuthor%5D&amp;cauthor=true&amp;cauthor_uid=18725548"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milhaus@uoguelph.ca" TargetMode="External"/><Relationship Id="rId33" Type="http://schemas.openxmlformats.org/officeDocument/2006/relationships/chart" Target="charts/chart2.xm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www.ncbi.nlm.nih.gov/pubmed/?term=Milhausen%20R%5BAuthor%5D&amp;cauthor=true&amp;cauthor_uid=18725548" TargetMode="External"/><Relationship Id="rId11" Type="http://schemas.openxmlformats.org/officeDocument/2006/relationships/hyperlink" Target="http://www.ncbi.nlm.nih.gov/pubmed/?term=Yarber%20WL%5BAuthor%5D&amp;cauthor=true&amp;cauthor_uid=18725548" TargetMode="External"/><Relationship Id="rId12" Type="http://schemas.openxmlformats.org/officeDocument/2006/relationships/hyperlink" Target="http://www.ncbi.nlm.nih.gov/pubmed/?term=Sanders%20SA%5BAuthor%5D&amp;cauthor=true&amp;cauthor_uid=18725548" TargetMode="External"/><Relationship Id="rId13" Type="http://schemas.openxmlformats.org/officeDocument/2006/relationships/hyperlink" Target="http://www.ncbi.nlm.nih.gov/pubmed/?term=Graham%20CA%5BAuthor%5D&amp;cauthor=true&amp;cauthor_uid=18725548" TargetMode="External"/><Relationship Id="rId14" Type="http://schemas.openxmlformats.org/officeDocument/2006/relationships/hyperlink" Target="http://www.ncbi.nlm.nih.gov/pubmed/?term=Haavio-Mannila%20E%5BAuthor%5D&amp;cauthor=true&amp;cauthor_uid=9251837" TargetMode="External"/><Relationship Id="rId15" Type="http://schemas.openxmlformats.org/officeDocument/2006/relationships/hyperlink" Target="http://www.ncbi.nlm.nih.gov/pubmed/?term=Kontula%20O%5BAuthor%5D&amp;cauthor=true&amp;cauthor_uid=9251837" TargetMode="External"/><Relationship Id="rId16" Type="http://schemas.openxmlformats.org/officeDocument/2006/relationships/hyperlink" Target="http://www.ncbi.nlm.nih.gov/pubmed/?term=Higgins%20JA%5BAuthor%5D&amp;cauthor=true&amp;cauthor_uid=25973832" TargetMode="External"/><Relationship Id="rId17" Type="http://schemas.openxmlformats.org/officeDocument/2006/relationships/hyperlink" Target="http://www.ncbi.nlm.nih.gov/pubmed/?term=Wang%20Y%5BAuthor%5D&amp;cauthor=true&amp;cauthor_uid=25973832" TargetMode="External"/><Relationship Id="rId18" Type="http://schemas.openxmlformats.org/officeDocument/2006/relationships/hyperlink" Target="http://www.ncbi.nlm.nih.gov/pubmed/?term=Hock-Long%20L%5BAuthor%5D&amp;cauthor=true&amp;cauthor_uid=22460225" TargetMode="External"/><Relationship Id="rId19" Type="http://schemas.openxmlformats.org/officeDocument/2006/relationships/hyperlink" Target="http://www.ncbi.nlm.nih.gov/pubmed/?term=Henry-Moss%20D%5BAuthor%5D&amp;cauthor=true&amp;cauthor_uid=22460225" TargetMode="External"/><Relationship Id="rId37" Type="http://schemas.openxmlformats.org/officeDocument/2006/relationships/fontTable" Target="fontTable.xml"/><Relationship Id="rId3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Sheet1!$B$8</c:f>
              <c:strCache>
                <c:ptCount val="1"/>
                <c:pt idx="0">
                  <c:v>Women</c:v>
                </c:pt>
              </c:strCache>
            </c:strRef>
          </c:tx>
          <c:spPr>
            <a:solidFill>
              <a:schemeClr val="accent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Sheet1!$A$9:$A$12</c:f>
              <c:strCache>
                <c:ptCount val="4"/>
                <c:pt idx="0">
                  <c:v>One Time Encounter and Booty Call</c:v>
                </c:pt>
                <c:pt idx="1">
                  <c:v>Friends with Benefits and Dating not Committed</c:v>
                </c:pt>
                <c:pt idx="2">
                  <c:v>Committed Dating</c:v>
                </c:pt>
                <c:pt idx="3">
                  <c:v>Living Together, Engaged, Married</c:v>
                </c:pt>
              </c:strCache>
            </c:strRef>
          </c:cat>
          <c:val>
            <c:numRef>
              <c:f>Sheet1!$B$9:$B$12</c:f>
              <c:numCache>
                <c:formatCode>General</c:formatCode>
                <c:ptCount val="4"/>
                <c:pt idx="0">
                  <c:v>83.7</c:v>
                </c:pt>
                <c:pt idx="1">
                  <c:v>57.1</c:v>
                </c:pt>
                <c:pt idx="2">
                  <c:v>39.0</c:v>
                </c:pt>
                <c:pt idx="3">
                  <c:v>33.3</c:v>
                </c:pt>
              </c:numCache>
            </c:numRef>
          </c:val>
        </c:ser>
        <c:ser>
          <c:idx val="1"/>
          <c:order val="1"/>
          <c:tx>
            <c:strRef>
              <c:f>Sheet1!$C$8</c:f>
              <c:strCache>
                <c:ptCount val="1"/>
                <c:pt idx="0">
                  <c:v>Men</c:v>
                </c:pt>
              </c:strCache>
            </c:strRef>
          </c:tx>
          <c:spPr>
            <a:solidFill>
              <a:schemeClr val="accent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Sheet1!$A$9:$A$12</c:f>
              <c:strCache>
                <c:ptCount val="4"/>
                <c:pt idx="0">
                  <c:v>One Time Encounter and Booty Call</c:v>
                </c:pt>
                <c:pt idx="1">
                  <c:v>Friends with Benefits and Dating not Committed</c:v>
                </c:pt>
                <c:pt idx="2">
                  <c:v>Committed Dating</c:v>
                </c:pt>
                <c:pt idx="3">
                  <c:v>Living Together, Engaged, Married</c:v>
                </c:pt>
              </c:strCache>
            </c:strRef>
          </c:cat>
          <c:val>
            <c:numRef>
              <c:f>Sheet1!$C$9:$C$12</c:f>
              <c:numCache>
                <c:formatCode>General</c:formatCode>
                <c:ptCount val="4"/>
                <c:pt idx="0">
                  <c:v>73.9</c:v>
                </c:pt>
                <c:pt idx="1">
                  <c:v>68.7</c:v>
                </c:pt>
                <c:pt idx="2">
                  <c:v>51.1</c:v>
                </c:pt>
                <c:pt idx="3">
                  <c:v>45.9</c:v>
                </c:pt>
              </c:numCache>
            </c:numRef>
          </c:val>
        </c:ser>
        <c:dLbls>
          <c:showLegendKey val="0"/>
          <c:showVal val="1"/>
          <c:showCatName val="0"/>
          <c:showSerName val="0"/>
          <c:showPercent val="0"/>
          <c:showBubbleSize val="0"/>
        </c:dLbls>
        <c:gapWidth val="75"/>
        <c:axId val="464964032"/>
        <c:axId val="464817200"/>
      </c:barChart>
      <c:catAx>
        <c:axId val="464964032"/>
        <c:scaling>
          <c:orientation val="minMax"/>
        </c:scaling>
        <c:delete val="0"/>
        <c:axPos val="b"/>
        <c:numFmt formatCode="General" sourceLinked="0"/>
        <c:majorTickMark val="none"/>
        <c:minorTickMark val="none"/>
        <c:tickLblPos val="nextTo"/>
        <c:crossAx val="464817200"/>
        <c:crosses val="autoZero"/>
        <c:auto val="1"/>
        <c:lblAlgn val="ctr"/>
        <c:lblOffset val="100"/>
        <c:noMultiLvlLbl val="0"/>
      </c:catAx>
      <c:valAx>
        <c:axId val="464817200"/>
        <c:scaling>
          <c:orientation val="minMax"/>
        </c:scaling>
        <c:delete val="0"/>
        <c:axPos val="l"/>
        <c:numFmt formatCode="General" sourceLinked="1"/>
        <c:majorTickMark val="none"/>
        <c:minorTickMark val="none"/>
        <c:tickLblPos val="nextTo"/>
        <c:crossAx val="46496403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Women</c:v>
                </c:pt>
              </c:strCache>
            </c:strRef>
          </c:tx>
          <c:spPr>
            <a:solidFill>
              <a:schemeClr val="accent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One Time Encounter and Booty Call</c:v>
                </c:pt>
                <c:pt idx="1">
                  <c:v>Friends with Benefits and Dating not Committed</c:v>
                </c:pt>
                <c:pt idx="2">
                  <c:v>Committed Dating</c:v>
                </c:pt>
                <c:pt idx="3">
                  <c:v>Living Together, Engaged, Married</c:v>
                </c:pt>
              </c:strCache>
            </c:strRef>
          </c:cat>
          <c:val>
            <c:numRef>
              <c:f>Sheet1!$B$2:$B$5</c:f>
              <c:numCache>
                <c:formatCode>General</c:formatCode>
                <c:ptCount val="4"/>
                <c:pt idx="0">
                  <c:v>24.5</c:v>
                </c:pt>
                <c:pt idx="1">
                  <c:v>48.8</c:v>
                </c:pt>
                <c:pt idx="2">
                  <c:v>50.2</c:v>
                </c:pt>
                <c:pt idx="3">
                  <c:v>61.9</c:v>
                </c:pt>
              </c:numCache>
            </c:numRef>
          </c:val>
        </c:ser>
        <c:ser>
          <c:idx val="1"/>
          <c:order val="1"/>
          <c:tx>
            <c:strRef>
              <c:f>Sheet1!$C$1</c:f>
              <c:strCache>
                <c:ptCount val="1"/>
                <c:pt idx="0">
                  <c:v>Men</c:v>
                </c:pt>
              </c:strCache>
            </c:strRef>
          </c:tx>
          <c:spPr>
            <a:solidFill>
              <a:schemeClr val="accent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One Time Encounter and Booty Call</c:v>
                </c:pt>
                <c:pt idx="1">
                  <c:v>Friends with Benefits and Dating not Committed</c:v>
                </c:pt>
                <c:pt idx="2">
                  <c:v>Committed Dating</c:v>
                </c:pt>
                <c:pt idx="3">
                  <c:v>Living Together, Engaged, Married</c:v>
                </c:pt>
              </c:strCache>
            </c:strRef>
          </c:cat>
          <c:val>
            <c:numRef>
              <c:f>Sheet1!$C$2:$C$5</c:f>
              <c:numCache>
                <c:formatCode>General</c:formatCode>
                <c:ptCount val="4"/>
                <c:pt idx="0">
                  <c:v>43.5</c:v>
                </c:pt>
                <c:pt idx="1">
                  <c:v>67.2</c:v>
                </c:pt>
                <c:pt idx="2">
                  <c:v>75.6</c:v>
                </c:pt>
                <c:pt idx="3">
                  <c:v>81.1</c:v>
                </c:pt>
              </c:numCache>
            </c:numRef>
          </c:val>
        </c:ser>
        <c:dLbls>
          <c:showLegendKey val="0"/>
          <c:showVal val="1"/>
          <c:showCatName val="0"/>
          <c:showSerName val="0"/>
          <c:showPercent val="0"/>
          <c:showBubbleSize val="0"/>
        </c:dLbls>
        <c:gapWidth val="75"/>
        <c:axId val="498691376"/>
        <c:axId val="465265104"/>
      </c:barChart>
      <c:catAx>
        <c:axId val="498691376"/>
        <c:scaling>
          <c:orientation val="minMax"/>
        </c:scaling>
        <c:delete val="0"/>
        <c:axPos val="b"/>
        <c:numFmt formatCode="General" sourceLinked="0"/>
        <c:majorTickMark val="none"/>
        <c:minorTickMark val="none"/>
        <c:tickLblPos val="nextTo"/>
        <c:crossAx val="465265104"/>
        <c:crosses val="autoZero"/>
        <c:auto val="1"/>
        <c:lblAlgn val="ctr"/>
        <c:lblOffset val="100"/>
        <c:noMultiLvlLbl val="0"/>
      </c:catAx>
      <c:valAx>
        <c:axId val="465265104"/>
        <c:scaling>
          <c:orientation val="minMax"/>
        </c:scaling>
        <c:delete val="0"/>
        <c:axPos val="l"/>
        <c:numFmt formatCode="General" sourceLinked="1"/>
        <c:majorTickMark val="none"/>
        <c:minorTickMark val="none"/>
        <c:tickLblPos val="nextTo"/>
        <c:crossAx val="49869137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F0B72-E287-394F-A02E-17C4FDCF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8056</Words>
  <Characters>45923</Characters>
  <Application>Microsoft Macintosh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2016-02-22T16:37:00Z</cp:lastPrinted>
  <dcterms:created xsi:type="dcterms:W3CDTF">2017-03-31T12:38:00Z</dcterms:created>
  <dcterms:modified xsi:type="dcterms:W3CDTF">2017-03-31T12:39:00Z</dcterms:modified>
</cp:coreProperties>
</file>