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4B2D4" w14:textId="1180EA42" w:rsidR="000054A9" w:rsidRPr="003D6988" w:rsidRDefault="598A40B1" w:rsidP="003D6988">
      <w:pPr>
        <w:spacing w:line="480" w:lineRule="auto"/>
        <w:jc w:val="center"/>
        <w:rPr>
          <w:rFonts w:ascii="Times New Roman" w:eastAsia="Times New Roman" w:hAnsi="Times New Roman" w:cs="Times New Roman"/>
          <w:b/>
          <w:bCs/>
          <w:sz w:val="32"/>
          <w:szCs w:val="32"/>
        </w:rPr>
      </w:pPr>
      <w:bookmarkStart w:id="0" w:name="_GoBack"/>
      <w:bookmarkEnd w:id="0"/>
      <w:r w:rsidRPr="598A40B1">
        <w:rPr>
          <w:rFonts w:ascii="Times New Roman" w:eastAsia="Times New Roman" w:hAnsi="Times New Roman" w:cs="Times New Roman"/>
          <w:b/>
          <w:bCs/>
          <w:sz w:val="32"/>
          <w:szCs w:val="32"/>
        </w:rPr>
        <w:t>Understanding the perception of the “Migrant Work Ethic”</w:t>
      </w:r>
    </w:p>
    <w:p w14:paraId="67D0BB07" w14:textId="38F216AD" w:rsidR="000054A9" w:rsidRDefault="000054A9" w:rsidP="000054A9">
      <w:pPr>
        <w:rPr>
          <w:rFonts w:ascii="Times New Roman" w:hAnsi="Times New Roman"/>
          <w:b/>
        </w:rPr>
      </w:pPr>
    </w:p>
    <w:p w14:paraId="3A5CCC8E" w14:textId="5C6C2DA6" w:rsidR="0007775B" w:rsidRDefault="0007775B" w:rsidP="000054A9">
      <w:pPr>
        <w:rPr>
          <w:rFonts w:ascii="Times New Roman" w:hAnsi="Times New Roman"/>
          <w:b/>
        </w:rPr>
      </w:pPr>
      <w:r>
        <w:rPr>
          <w:rFonts w:ascii="Times New Roman" w:hAnsi="Times New Roman"/>
          <w:b/>
        </w:rPr>
        <w:t>Chris Dawson, University of Bath</w:t>
      </w:r>
    </w:p>
    <w:p w14:paraId="3D201D30" w14:textId="454C89CB" w:rsidR="0007775B" w:rsidRDefault="0007775B" w:rsidP="000054A9">
      <w:pPr>
        <w:rPr>
          <w:rFonts w:ascii="Times New Roman" w:hAnsi="Times New Roman"/>
          <w:b/>
        </w:rPr>
      </w:pPr>
      <w:r>
        <w:rPr>
          <w:rFonts w:ascii="Times New Roman" w:hAnsi="Times New Roman"/>
          <w:b/>
        </w:rPr>
        <w:t>Michail Veliziotis, University of Southampton</w:t>
      </w:r>
    </w:p>
    <w:p w14:paraId="244F16E0" w14:textId="1FE25DA1" w:rsidR="0007775B" w:rsidRDefault="0007775B" w:rsidP="000054A9">
      <w:pPr>
        <w:rPr>
          <w:rFonts w:ascii="Times New Roman" w:hAnsi="Times New Roman"/>
          <w:b/>
        </w:rPr>
      </w:pPr>
      <w:r>
        <w:rPr>
          <w:rFonts w:ascii="Times New Roman" w:hAnsi="Times New Roman"/>
          <w:b/>
        </w:rPr>
        <w:t>Benjamin Hopkins, University of Leicester</w:t>
      </w:r>
    </w:p>
    <w:p w14:paraId="6461010E" w14:textId="77777777" w:rsidR="0007775B" w:rsidRDefault="0007775B">
      <w:pPr>
        <w:jc w:val="center"/>
        <w:rPr>
          <w:rFonts w:ascii="Times New Roman" w:eastAsia="Times New Roman" w:hAnsi="Times New Roman" w:cs="Times New Roman"/>
          <w:b/>
          <w:bCs/>
          <w:sz w:val="24"/>
          <w:szCs w:val="24"/>
        </w:rPr>
      </w:pPr>
    </w:p>
    <w:p w14:paraId="21D4B1F2" w14:textId="480AE0DB" w:rsidR="000054A9" w:rsidRPr="003D6988" w:rsidRDefault="598A40B1">
      <w:pPr>
        <w:jc w:val="center"/>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Abstract</w:t>
      </w:r>
    </w:p>
    <w:p w14:paraId="77BB5EFC" w14:textId="42999786" w:rsidR="000054A9" w:rsidRPr="003D6988" w:rsidRDefault="598A40B1" w:rsidP="003D6988">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Over the last decade, the UK has experienced unprecedented increases in migration associated with the 2004 A8 expansion of the European Union. These migrant workers have been praised by managers in the </w:t>
      </w:r>
      <w:r w:rsidR="00DD5E3C">
        <w:rPr>
          <w:rFonts w:ascii="Times New Roman" w:eastAsia="Times New Roman" w:hAnsi="Times New Roman" w:cs="Times New Roman"/>
          <w:sz w:val="24"/>
          <w:szCs w:val="24"/>
        </w:rPr>
        <w:t>UK</w:t>
      </w:r>
      <w:r w:rsidRPr="598A40B1">
        <w:rPr>
          <w:rFonts w:ascii="Times New Roman" w:eastAsia="Times New Roman" w:hAnsi="Times New Roman" w:cs="Times New Roman"/>
          <w:sz w:val="24"/>
          <w:szCs w:val="24"/>
        </w:rPr>
        <w:t xml:space="preserve">, who have frequently </w:t>
      </w:r>
      <w:r w:rsidR="002F4ECA">
        <w:rPr>
          <w:rFonts w:ascii="Times New Roman" w:eastAsia="Times New Roman" w:hAnsi="Times New Roman" w:cs="Times New Roman"/>
          <w:sz w:val="24"/>
          <w:szCs w:val="24"/>
        </w:rPr>
        <w:t>stated</w:t>
      </w:r>
      <w:r w:rsidRPr="598A40B1">
        <w:rPr>
          <w:rFonts w:ascii="Times New Roman" w:eastAsia="Times New Roman" w:hAnsi="Times New Roman" w:cs="Times New Roman"/>
          <w:sz w:val="24"/>
          <w:szCs w:val="24"/>
        </w:rPr>
        <w:t xml:space="preserve"> that they perceive these workers to have a strong ‘work ethic’ when measured on aspects such as absence from work rates. This article examines this perceived </w:t>
      </w:r>
      <w:r w:rsidR="00F13BC9">
        <w:rPr>
          <w:rFonts w:ascii="Times New Roman" w:eastAsia="Times New Roman" w:hAnsi="Times New Roman" w:cs="Times New Roman"/>
          <w:sz w:val="24"/>
          <w:szCs w:val="24"/>
        </w:rPr>
        <w:t xml:space="preserve">migrant </w:t>
      </w:r>
      <w:r w:rsidRPr="598A40B1">
        <w:rPr>
          <w:rFonts w:ascii="Times New Roman" w:eastAsia="Times New Roman" w:hAnsi="Times New Roman" w:cs="Times New Roman"/>
          <w:sz w:val="24"/>
          <w:szCs w:val="24"/>
        </w:rPr>
        <w:t xml:space="preserve">‘work ethic’ by analysing worker absence data from the UK Quarterly Labour Force Survey for the period 2005-2012. </w:t>
      </w:r>
      <w:r w:rsidR="00BF525A">
        <w:rPr>
          <w:rFonts w:ascii="Times New Roman" w:eastAsia="Times New Roman" w:hAnsi="Times New Roman" w:cs="Times New Roman"/>
          <w:sz w:val="24"/>
          <w:szCs w:val="24"/>
        </w:rPr>
        <w:t xml:space="preserve">Regression </w:t>
      </w:r>
      <w:r w:rsidR="008C3ACB">
        <w:rPr>
          <w:rFonts w:ascii="Times New Roman" w:eastAsia="Times New Roman" w:hAnsi="Times New Roman" w:cs="Times New Roman"/>
          <w:sz w:val="24"/>
          <w:szCs w:val="24"/>
        </w:rPr>
        <w:t>analysis reveals</w:t>
      </w:r>
      <w:r w:rsidRPr="598A40B1">
        <w:rPr>
          <w:rFonts w:ascii="Times New Roman" w:eastAsia="Times New Roman" w:hAnsi="Times New Roman" w:cs="Times New Roman"/>
          <w:sz w:val="24"/>
          <w:szCs w:val="24"/>
        </w:rPr>
        <w:t xml:space="preserve"> that when A8 migrant workers first arrive in the UK, they record substantially lower absence than native workers, but that these migrant absence levels assimilate</w:t>
      </w:r>
      <w:r w:rsidRPr="598A40B1">
        <w:rPr>
          <w:rFonts w:ascii="Times New Roman" w:eastAsia="Times New Roman" w:hAnsi="Times New Roman" w:cs="Times New Roman"/>
          <w:color w:val="000000" w:themeColor="text1"/>
          <w:sz w:val="24"/>
          <w:szCs w:val="24"/>
        </w:rPr>
        <w:t xml:space="preserve"> within 2-4 years.</w:t>
      </w:r>
      <w:r w:rsidR="00F13BC9">
        <w:rPr>
          <w:rFonts w:ascii="Times New Roman" w:eastAsia="Times New Roman" w:hAnsi="Times New Roman" w:cs="Times New Roman"/>
          <w:color w:val="000000" w:themeColor="text1"/>
          <w:sz w:val="24"/>
          <w:szCs w:val="24"/>
        </w:rPr>
        <w:t xml:space="preserve"> </w:t>
      </w:r>
      <w:r w:rsidR="00344D7B">
        <w:rPr>
          <w:rFonts w:ascii="Times New Roman" w:hAnsi="Times New Roman" w:cs="Times New Roman"/>
          <w:color w:val="000000" w:themeColor="text1"/>
          <w:sz w:val="24"/>
          <w:szCs w:val="24"/>
        </w:rPr>
        <w:t xml:space="preserve">If </w:t>
      </w:r>
      <w:r w:rsidR="00F13BC9" w:rsidRPr="000054A9">
        <w:rPr>
          <w:rFonts w:ascii="Times New Roman" w:hAnsi="Times New Roman" w:cs="Times New Roman"/>
          <w:color w:val="000000" w:themeColor="text1"/>
          <w:sz w:val="24"/>
          <w:szCs w:val="24"/>
        </w:rPr>
        <w:t>employers use this information to make hiring decisions</w:t>
      </w:r>
      <w:r w:rsidR="00F13BC9">
        <w:rPr>
          <w:rFonts w:ascii="Times New Roman" w:eastAsia="Times New Roman" w:hAnsi="Times New Roman" w:cs="Times New Roman"/>
          <w:color w:val="000000" w:themeColor="text1"/>
          <w:sz w:val="24"/>
          <w:szCs w:val="24"/>
        </w:rPr>
        <w:t xml:space="preserve">, this may have negative implications </w:t>
      </w:r>
      <w:r w:rsidR="00F13BC9" w:rsidRPr="00F13BC9">
        <w:rPr>
          <w:rFonts w:ascii="Times New Roman" w:eastAsia="Times New Roman" w:hAnsi="Times New Roman" w:cs="Times New Roman"/>
          <w:color w:val="000000" w:themeColor="text1"/>
          <w:sz w:val="24"/>
          <w:szCs w:val="24"/>
        </w:rPr>
        <w:t xml:space="preserve">for </w:t>
      </w:r>
      <w:r w:rsidR="00DF6046">
        <w:rPr>
          <w:rFonts w:ascii="Times New Roman" w:eastAsia="Times New Roman" w:hAnsi="Times New Roman" w:cs="Times New Roman"/>
          <w:color w:val="000000" w:themeColor="text1"/>
          <w:sz w:val="24"/>
          <w:szCs w:val="24"/>
        </w:rPr>
        <w:t xml:space="preserve">native workers, but, importantly, only in the short run. </w:t>
      </w:r>
    </w:p>
    <w:p w14:paraId="6A37F416" w14:textId="77777777" w:rsidR="000054A9" w:rsidRPr="00135106" w:rsidRDefault="000054A9" w:rsidP="000054A9">
      <w:pPr>
        <w:spacing w:after="0" w:line="240" w:lineRule="auto"/>
        <w:jc w:val="both"/>
        <w:rPr>
          <w:rFonts w:ascii="Times New Roman" w:hAnsi="Times New Roman" w:cs="Times New Roman"/>
          <w:i/>
          <w:color w:val="000000" w:themeColor="text1"/>
        </w:rPr>
      </w:pPr>
    </w:p>
    <w:p w14:paraId="7F9BEAA5" w14:textId="77777777" w:rsidR="000054A9" w:rsidRPr="00135106" w:rsidRDefault="000054A9" w:rsidP="000054A9">
      <w:pPr>
        <w:spacing w:after="0" w:line="240" w:lineRule="auto"/>
        <w:jc w:val="both"/>
        <w:rPr>
          <w:rFonts w:ascii="Times New Roman" w:hAnsi="Times New Roman" w:cs="Times New Roman"/>
          <w:b/>
          <w:color w:val="000000" w:themeColor="text1"/>
        </w:rPr>
      </w:pPr>
    </w:p>
    <w:p w14:paraId="37E3697B" w14:textId="740D9FBC" w:rsidR="000054A9" w:rsidRDefault="598A40B1" w:rsidP="003D6988">
      <w:pPr>
        <w:spacing w:after="0" w:line="240" w:lineRule="auto"/>
        <w:jc w:val="both"/>
        <w:rPr>
          <w:rFonts w:ascii="Times New Roman" w:eastAsia="Times New Roman" w:hAnsi="Times New Roman" w:cs="Times New Roman"/>
          <w:b/>
          <w:bCs/>
          <w:color w:val="000000" w:themeColor="text1"/>
        </w:rPr>
      </w:pPr>
      <w:r w:rsidRPr="598A40B1">
        <w:rPr>
          <w:rFonts w:ascii="Times New Roman" w:eastAsia="Times New Roman" w:hAnsi="Times New Roman" w:cs="Times New Roman"/>
          <w:b/>
          <w:bCs/>
          <w:color w:val="000000" w:themeColor="text1"/>
        </w:rPr>
        <w:t xml:space="preserve">Keywords: Absence from work; </w:t>
      </w:r>
      <w:r w:rsidR="00BF7155">
        <w:rPr>
          <w:rFonts w:ascii="Times New Roman" w:eastAsia="Times New Roman" w:hAnsi="Times New Roman" w:cs="Times New Roman"/>
          <w:b/>
          <w:bCs/>
          <w:color w:val="000000" w:themeColor="text1"/>
        </w:rPr>
        <w:t xml:space="preserve">Work Ethic; </w:t>
      </w:r>
      <w:r w:rsidR="00E30743">
        <w:rPr>
          <w:rFonts w:ascii="Times New Roman" w:eastAsia="Times New Roman" w:hAnsi="Times New Roman" w:cs="Times New Roman"/>
          <w:b/>
          <w:bCs/>
          <w:color w:val="000000" w:themeColor="text1"/>
        </w:rPr>
        <w:t>Migration; UK</w:t>
      </w:r>
    </w:p>
    <w:p w14:paraId="49B5F2F2" w14:textId="5653BC51" w:rsidR="0007775B" w:rsidRDefault="0007775B" w:rsidP="003D6988">
      <w:pPr>
        <w:spacing w:after="0" w:line="240" w:lineRule="auto"/>
        <w:jc w:val="both"/>
        <w:rPr>
          <w:rFonts w:ascii="Times New Roman" w:eastAsia="Times New Roman" w:hAnsi="Times New Roman" w:cs="Times New Roman"/>
          <w:b/>
          <w:bCs/>
          <w:color w:val="000000" w:themeColor="text1"/>
        </w:rPr>
      </w:pPr>
    </w:p>
    <w:p w14:paraId="656C595F" w14:textId="643C2FEB" w:rsidR="0007775B" w:rsidRPr="003D6988" w:rsidRDefault="0007775B" w:rsidP="003D6988">
      <w:pPr>
        <w:spacing w:after="0" w:line="24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Corresponding author: </w:t>
      </w:r>
      <w:r w:rsidRPr="0007775B">
        <w:rPr>
          <w:rFonts w:ascii="Times New Roman" w:eastAsia="Times New Roman" w:hAnsi="Times New Roman" w:cs="Times New Roman"/>
          <w:bCs/>
          <w:color w:val="000000" w:themeColor="text1"/>
        </w:rPr>
        <w:t xml:space="preserve">Chris Dawson, </w:t>
      </w:r>
      <w:r w:rsidRPr="002C5C70">
        <w:rPr>
          <w:rFonts w:ascii="Times New Roman" w:eastAsia="Times New Roman" w:hAnsi="Times New Roman" w:cs="Times New Roman"/>
          <w:bCs/>
          <w:sz w:val="24"/>
          <w:szCs w:val="24"/>
        </w:rPr>
        <w:t xml:space="preserve">School of Management, University of Bath, Claverton Down, Bath BA2 7AY, United Kingdom, E-mail: </w:t>
      </w:r>
      <w:hyperlink r:id="rId8" w:history="1">
        <w:r w:rsidRPr="00D72AD1">
          <w:rPr>
            <w:rStyle w:val="Hyperlink"/>
            <w:rFonts w:ascii="Times New Roman" w:eastAsia="Times New Roman" w:hAnsi="Times New Roman" w:cs="Times New Roman"/>
            <w:bCs/>
            <w:sz w:val="24"/>
            <w:szCs w:val="24"/>
          </w:rPr>
          <w:t>C.G.Dawson@bath.ac.uk</w:t>
        </w:r>
      </w:hyperlink>
      <w:r>
        <w:rPr>
          <w:rFonts w:ascii="Times New Roman" w:eastAsia="Times New Roman" w:hAnsi="Times New Roman" w:cs="Times New Roman"/>
          <w:bCs/>
          <w:sz w:val="24"/>
          <w:szCs w:val="24"/>
        </w:rPr>
        <w:t xml:space="preserve">, </w:t>
      </w:r>
      <w:r w:rsidRPr="002C5C70">
        <w:rPr>
          <w:rFonts w:ascii="Times New Roman" w:eastAsia="Times New Roman" w:hAnsi="Times New Roman" w:cs="Times New Roman"/>
          <w:bCs/>
          <w:sz w:val="24"/>
          <w:szCs w:val="24"/>
        </w:rPr>
        <w:t>Telephone: +44 (0) 1225 383147</w:t>
      </w:r>
    </w:p>
    <w:p w14:paraId="301D195A" w14:textId="77777777" w:rsidR="000054A9" w:rsidRDefault="000054A9" w:rsidP="000054A9">
      <w:pPr>
        <w:spacing w:after="0" w:line="240" w:lineRule="auto"/>
        <w:jc w:val="both"/>
        <w:rPr>
          <w:rFonts w:ascii="Times New Roman" w:hAnsi="Times New Roman" w:cs="Times New Roman"/>
          <w:b/>
          <w:color w:val="000000" w:themeColor="text1"/>
        </w:rPr>
      </w:pPr>
    </w:p>
    <w:p w14:paraId="250B61BD" w14:textId="77777777" w:rsidR="000054A9" w:rsidRDefault="000054A9" w:rsidP="000054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00" w:line="360" w:lineRule="auto"/>
        <w:jc w:val="both"/>
        <w:rPr>
          <w:rFonts w:ascii="Times New Roman" w:hAnsi="Times New Roman" w:cs="Times New Roman"/>
          <w:sz w:val="20"/>
          <w:szCs w:val="20"/>
          <w:vertAlign w:val="superscript"/>
        </w:rPr>
      </w:pPr>
    </w:p>
    <w:p w14:paraId="4DA3F6B9" w14:textId="77777777" w:rsidR="000054A9" w:rsidRDefault="000054A9" w:rsidP="000054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00" w:line="360" w:lineRule="auto"/>
        <w:jc w:val="both"/>
        <w:rPr>
          <w:rFonts w:ascii="Times New Roman" w:hAnsi="Times New Roman" w:cs="Times New Roman"/>
          <w:sz w:val="20"/>
          <w:szCs w:val="20"/>
          <w:vertAlign w:val="superscript"/>
        </w:rPr>
      </w:pPr>
    </w:p>
    <w:p w14:paraId="67625820" w14:textId="77777777" w:rsidR="000054A9" w:rsidRPr="00135106" w:rsidRDefault="000054A9" w:rsidP="000054A9">
      <w:pPr>
        <w:spacing w:after="0" w:line="240" w:lineRule="auto"/>
        <w:jc w:val="both"/>
        <w:rPr>
          <w:rFonts w:ascii="Times New Roman" w:hAnsi="Times New Roman" w:cs="Times New Roman"/>
          <w:i/>
        </w:rPr>
      </w:pPr>
    </w:p>
    <w:p w14:paraId="4416BF23" w14:textId="77777777" w:rsidR="000054A9" w:rsidRDefault="000054A9" w:rsidP="00251B63">
      <w:pPr>
        <w:spacing w:line="480" w:lineRule="auto"/>
        <w:jc w:val="center"/>
        <w:rPr>
          <w:rFonts w:ascii="Times New Roman" w:hAnsi="Times New Roman"/>
          <w:b/>
          <w:sz w:val="32"/>
          <w:szCs w:val="32"/>
        </w:rPr>
      </w:pPr>
    </w:p>
    <w:p w14:paraId="4FC13ABB" w14:textId="77777777" w:rsidR="00A20343" w:rsidRDefault="00A20343" w:rsidP="00A20343">
      <w:pPr>
        <w:spacing w:after="0" w:line="240" w:lineRule="auto"/>
        <w:rPr>
          <w:rFonts w:ascii="Times New Roman" w:hAnsi="Times New Roman"/>
          <w:b/>
          <w:sz w:val="32"/>
          <w:szCs w:val="32"/>
        </w:rPr>
      </w:pPr>
    </w:p>
    <w:p w14:paraId="263D08BA" w14:textId="77777777" w:rsidR="000054A9" w:rsidRDefault="000054A9" w:rsidP="00A20343">
      <w:pPr>
        <w:spacing w:after="0" w:line="240" w:lineRule="auto"/>
        <w:rPr>
          <w:rFonts w:ascii="Times New Roman" w:hAnsi="Times New Roman"/>
          <w:b/>
          <w:sz w:val="32"/>
          <w:szCs w:val="32"/>
        </w:rPr>
      </w:pPr>
    </w:p>
    <w:p w14:paraId="0E84822B" w14:textId="77777777" w:rsidR="000054A9" w:rsidRDefault="000054A9" w:rsidP="00A20343">
      <w:pPr>
        <w:spacing w:after="0" w:line="240" w:lineRule="auto"/>
        <w:rPr>
          <w:rFonts w:ascii="Times New Roman" w:hAnsi="Times New Roman"/>
          <w:b/>
          <w:sz w:val="32"/>
          <w:szCs w:val="32"/>
        </w:rPr>
      </w:pPr>
    </w:p>
    <w:p w14:paraId="0C8260C0" w14:textId="77777777" w:rsidR="000054A9" w:rsidRDefault="000054A9" w:rsidP="00A20343">
      <w:pPr>
        <w:spacing w:after="0" w:line="240" w:lineRule="auto"/>
        <w:rPr>
          <w:rFonts w:ascii="Times New Roman" w:hAnsi="Times New Roman"/>
          <w:b/>
          <w:sz w:val="32"/>
          <w:szCs w:val="32"/>
        </w:rPr>
      </w:pPr>
    </w:p>
    <w:p w14:paraId="00C650EA" w14:textId="77777777" w:rsidR="000054A9" w:rsidRDefault="000054A9" w:rsidP="00A20343">
      <w:pPr>
        <w:spacing w:after="0" w:line="240" w:lineRule="auto"/>
        <w:rPr>
          <w:rFonts w:ascii="Times New Roman" w:hAnsi="Times New Roman"/>
          <w:b/>
          <w:sz w:val="32"/>
          <w:szCs w:val="32"/>
        </w:rPr>
      </w:pPr>
    </w:p>
    <w:p w14:paraId="531AC619" w14:textId="77777777" w:rsidR="000054A9" w:rsidRDefault="000054A9" w:rsidP="00A20343">
      <w:pPr>
        <w:spacing w:after="0" w:line="240" w:lineRule="auto"/>
        <w:rPr>
          <w:rFonts w:ascii="Times New Roman" w:hAnsi="Times New Roman"/>
          <w:b/>
          <w:sz w:val="32"/>
          <w:szCs w:val="32"/>
        </w:rPr>
      </w:pPr>
    </w:p>
    <w:p w14:paraId="24D0581B" w14:textId="77777777" w:rsidR="000054A9" w:rsidRDefault="000054A9" w:rsidP="00A20343">
      <w:pPr>
        <w:spacing w:after="0" w:line="240" w:lineRule="auto"/>
        <w:rPr>
          <w:rFonts w:ascii="Times New Roman" w:hAnsi="Times New Roman"/>
          <w:b/>
          <w:sz w:val="32"/>
          <w:szCs w:val="32"/>
        </w:rPr>
      </w:pPr>
    </w:p>
    <w:p w14:paraId="14EF4F64" w14:textId="77777777" w:rsidR="00182D67" w:rsidRPr="00EB0AB8" w:rsidRDefault="00182D67" w:rsidP="00A20343">
      <w:pPr>
        <w:spacing w:after="0" w:line="240" w:lineRule="auto"/>
        <w:rPr>
          <w:rFonts w:ascii="Bookman Old Style" w:hAnsi="Bookman Old Style"/>
        </w:rPr>
      </w:pPr>
    </w:p>
    <w:p w14:paraId="00322426" w14:textId="77777777" w:rsidR="00CB2B19" w:rsidRDefault="00CB2B19">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21B9C8AE" w14:textId="4CFC255C" w:rsidR="00797994" w:rsidRPr="003D6988" w:rsidRDefault="598A40B1" w:rsidP="003D6988">
      <w:pPr>
        <w:spacing w:after="0" w:line="480" w:lineRule="auto"/>
        <w:rPr>
          <w:rFonts w:ascii="Times New Roman" w:eastAsia="Times New Roman" w:hAnsi="Times New Roman" w:cs="Times New Roman"/>
          <w:sz w:val="24"/>
          <w:szCs w:val="24"/>
          <w:u w:val="single"/>
        </w:rPr>
      </w:pPr>
      <w:r w:rsidRPr="598A40B1">
        <w:rPr>
          <w:rFonts w:ascii="Times New Roman" w:eastAsia="Times New Roman" w:hAnsi="Times New Roman" w:cs="Times New Roman"/>
          <w:b/>
          <w:bCs/>
          <w:sz w:val="24"/>
          <w:szCs w:val="24"/>
        </w:rPr>
        <w:lastRenderedPageBreak/>
        <w:t>Introduction</w:t>
      </w:r>
    </w:p>
    <w:p w14:paraId="3ABFE0BE" w14:textId="77777777" w:rsidR="00CB24BD" w:rsidRDefault="00CB24BD" w:rsidP="00251B63">
      <w:pPr>
        <w:spacing w:after="0" w:line="480" w:lineRule="auto"/>
        <w:jc w:val="both"/>
        <w:rPr>
          <w:rFonts w:ascii="Times New Roman" w:eastAsia="Times New Roman" w:hAnsi="Times New Roman" w:cs="Times New Roman"/>
          <w:sz w:val="24"/>
          <w:szCs w:val="24"/>
        </w:rPr>
      </w:pPr>
    </w:p>
    <w:p w14:paraId="1799CB6B" w14:textId="3B44B1BF" w:rsidR="007B4A06" w:rsidRPr="003D6988" w:rsidRDefault="598A40B1" w:rsidP="003D6988">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On 1 May 2004 the European Union was expanded to include the A8 nations of Central and Eastern Europe. Since their entry into the United Kingdom labour market, this new group of workers has been lauded by employers as having what has been described as a stronger “work ethic” than workers from the UK. Within the academic literature, recent qualitative evidence studying managers’ views of the migrant work ethic, particularly through observations on sickness absence, suggest that the work ethic of migrants was perceived by these managers to be higher than that of native workers (see, for example MacKenzie and Forde, 2009; Matthews and Ruhs, 2007; Tannock, 2013). Despite these voluminous qualitative findings, however, quantitative evidence </w:t>
      </w:r>
      <w:r w:rsidR="00EF605A">
        <w:rPr>
          <w:rFonts w:ascii="Times New Roman" w:eastAsia="Times New Roman" w:hAnsi="Times New Roman" w:cs="Times New Roman"/>
          <w:sz w:val="24"/>
          <w:szCs w:val="24"/>
        </w:rPr>
        <w:t xml:space="preserve">that substantiates these </w:t>
      </w:r>
      <w:r w:rsidR="008070D0">
        <w:rPr>
          <w:rFonts w:ascii="Times New Roman" w:eastAsia="Times New Roman" w:hAnsi="Times New Roman" w:cs="Times New Roman"/>
          <w:sz w:val="24"/>
          <w:szCs w:val="24"/>
        </w:rPr>
        <w:t xml:space="preserve">employer </w:t>
      </w:r>
      <w:r w:rsidR="00EF605A">
        <w:rPr>
          <w:rFonts w:ascii="Times New Roman" w:eastAsia="Times New Roman" w:hAnsi="Times New Roman" w:cs="Times New Roman"/>
          <w:sz w:val="24"/>
          <w:szCs w:val="24"/>
        </w:rPr>
        <w:t>perceptions of a distinctive migrant work ethic</w:t>
      </w:r>
      <w:r w:rsidRPr="598A40B1">
        <w:rPr>
          <w:rFonts w:ascii="Times New Roman" w:eastAsia="Times New Roman" w:hAnsi="Times New Roman" w:cs="Times New Roman"/>
          <w:sz w:val="24"/>
          <w:szCs w:val="24"/>
        </w:rPr>
        <w:t xml:space="preserve"> is scant. </w:t>
      </w:r>
    </w:p>
    <w:p w14:paraId="021D913B" w14:textId="77777777" w:rsidR="007B4A06" w:rsidRPr="00182D67" w:rsidRDefault="007B4A06" w:rsidP="00251B63">
      <w:pPr>
        <w:spacing w:after="0" w:line="480" w:lineRule="auto"/>
        <w:jc w:val="both"/>
        <w:rPr>
          <w:rFonts w:ascii="Times New Roman" w:hAnsi="Times New Roman" w:cs="Times New Roman"/>
          <w:sz w:val="24"/>
          <w:szCs w:val="24"/>
        </w:rPr>
      </w:pPr>
    </w:p>
    <w:p w14:paraId="3C404FCC" w14:textId="5AAC7072" w:rsidR="00E970FA" w:rsidRDefault="598A40B1" w:rsidP="00251B63">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Using </w:t>
      </w:r>
      <w:r w:rsidR="00A764A6">
        <w:rPr>
          <w:rFonts w:ascii="Times New Roman" w:eastAsia="Times New Roman" w:hAnsi="Times New Roman" w:cs="Times New Roman"/>
          <w:sz w:val="24"/>
          <w:szCs w:val="24"/>
        </w:rPr>
        <w:t xml:space="preserve">worker absence </w:t>
      </w:r>
      <w:r w:rsidRPr="598A40B1">
        <w:rPr>
          <w:rFonts w:ascii="Times New Roman" w:eastAsia="Times New Roman" w:hAnsi="Times New Roman" w:cs="Times New Roman"/>
          <w:sz w:val="24"/>
          <w:szCs w:val="24"/>
        </w:rPr>
        <w:t xml:space="preserve">data from the UK Quarterly Labour Force Survey (QLFS) covering the period 2005 to 2012, this article presents the first </w:t>
      </w:r>
      <w:r w:rsidR="003D6988">
        <w:rPr>
          <w:rFonts w:ascii="Times New Roman" w:eastAsia="Times New Roman" w:hAnsi="Times New Roman" w:cs="Times New Roman"/>
          <w:sz w:val="24"/>
          <w:szCs w:val="24"/>
        </w:rPr>
        <w:t>quantitative</w:t>
      </w:r>
      <w:r w:rsidR="003D6988"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investigation into the migrant work ethic. </w:t>
      </w:r>
      <w:r w:rsidR="0064133E">
        <w:rPr>
          <w:rFonts w:ascii="Times New Roman" w:eastAsia="Times New Roman" w:hAnsi="Times New Roman" w:cs="Times New Roman"/>
          <w:sz w:val="24"/>
          <w:szCs w:val="24"/>
        </w:rPr>
        <w:t xml:space="preserve">While </w:t>
      </w:r>
      <w:r w:rsidR="000F65E2">
        <w:rPr>
          <w:rFonts w:ascii="Times New Roman" w:eastAsia="Times New Roman" w:hAnsi="Times New Roman" w:cs="Times New Roman"/>
          <w:sz w:val="24"/>
          <w:szCs w:val="24"/>
        </w:rPr>
        <w:t xml:space="preserve">the literature recognises that </w:t>
      </w:r>
      <w:r w:rsidR="0064133E">
        <w:rPr>
          <w:rFonts w:ascii="Times New Roman" w:eastAsia="Times New Roman" w:hAnsi="Times New Roman" w:cs="Times New Roman"/>
          <w:sz w:val="24"/>
          <w:szCs w:val="24"/>
        </w:rPr>
        <w:t xml:space="preserve">work ethic is a multi-dimensional </w:t>
      </w:r>
      <w:r w:rsidR="009D54DD">
        <w:rPr>
          <w:rFonts w:ascii="Times New Roman" w:eastAsia="Times New Roman" w:hAnsi="Times New Roman" w:cs="Times New Roman"/>
          <w:sz w:val="24"/>
          <w:szCs w:val="24"/>
        </w:rPr>
        <w:t>concept</w:t>
      </w:r>
      <w:r w:rsidR="0064133E">
        <w:rPr>
          <w:rFonts w:ascii="Times New Roman" w:eastAsia="Times New Roman" w:hAnsi="Times New Roman" w:cs="Times New Roman"/>
          <w:sz w:val="24"/>
          <w:szCs w:val="24"/>
        </w:rPr>
        <w:t>, absence from work</w:t>
      </w:r>
      <w:r w:rsidR="0064133E"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has previously been identified by managers within the qualitative research literature as being an important measure of work ethic</w:t>
      </w:r>
      <w:r w:rsidR="0064133E">
        <w:rPr>
          <w:rFonts w:ascii="Times New Roman" w:eastAsia="Times New Roman" w:hAnsi="Times New Roman" w:cs="Times New Roman"/>
          <w:sz w:val="24"/>
          <w:szCs w:val="24"/>
        </w:rPr>
        <w:t xml:space="preserve"> </w:t>
      </w:r>
      <w:r w:rsidR="0064133E" w:rsidRPr="598A40B1">
        <w:rPr>
          <w:rFonts w:ascii="Times New Roman" w:eastAsia="Times New Roman" w:hAnsi="Times New Roman" w:cs="Times New Roman"/>
          <w:sz w:val="24"/>
          <w:szCs w:val="24"/>
        </w:rPr>
        <w:t>(</w:t>
      </w:r>
      <w:r w:rsidR="0064133E" w:rsidRPr="0039777E">
        <w:rPr>
          <w:rFonts w:ascii="Times New Roman" w:eastAsia="Times New Roman" w:hAnsi="Times New Roman" w:cs="Times New Roman"/>
          <w:sz w:val="24"/>
          <w:szCs w:val="24"/>
        </w:rPr>
        <w:t>MacKenzie and Forde, 2009; Tannock, 2013)</w:t>
      </w:r>
      <w:r w:rsidRPr="598A40B1">
        <w:rPr>
          <w:rFonts w:ascii="Times New Roman" w:eastAsia="Times New Roman" w:hAnsi="Times New Roman" w:cs="Times New Roman"/>
          <w:sz w:val="24"/>
          <w:szCs w:val="24"/>
        </w:rPr>
        <w:t>. Absence from work has also been extensively used as a measure of work effort within the labour economics literature</w:t>
      </w:r>
      <w:r w:rsidR="00516837">
        <w:rPr>
          <w:rFonts w:ascii="Times New Roman" w:eastAsia="Times New Roman" w:hAnsi="Times New Roman" w:cs="Times New Roman"/>
          <w:sz w:val="24"/>
          <w:szCs w:val="24"/>
        </w:rPr>
        <w:t xml:space="preserve">, especially when </w:t>
      </w:r>
      <w:r w:rsidR="009C71C6">
        <w:rPr>
          <w:rFonts w:ascii="Times New Roman" w:eastAsia="Times New Roman" w:hAnsi="Times New Roman" w:cs="Times New Roman"/>
          <w:sz w:val="24"/>
          <w:szCs w:val="24"/>
        </w:rPr>
        <w:t xml:space="preserve">examining </w:t>
      </w:r>
      <w:r w:rsidR="00A5148F">
        <w:rPr>
          <w:rFonts w:ascii="Times New Roman" w:eastAsia="Times New Roman" w:hAnsi="Times New Roman" w:cs="Times New Roman"/>
          <w:sz w:val="24"/>
          <w:szCs w:val="24"/>
        </w:rPr>
        <w:t xml:space="preserve">the increased levels of effort (i.e. lower absence) that temporary workers </w:t>
      </w:r>
      <w:r w:rsidR="00C736DC">
        <w:rPr>
          <w:rFonts w:ascii="Times New Roman" w:eastAsia="Times New Roman" w:hAnsi="Times New Roman" w:cs="Times New Roman"/>
          <w:sz w:val="24"/>
          <w:szCs w:val="24"/>
        </w:rPr>
        <w:t xml:space="preserve">exert </w:t>
      </w:r>
      <w:r w:rsidR="00A5148F">
        <w:rPr>
          <w:rFonts w:ascii="Times New Roman" w:eastAsia="Times New Roman" w:hAnsi="Times New Roman" w:cs="Times New Roman"/>
          <w:sz w:val="24"/>
          <w:szCs w:val="24"/>
        </w:rPr>
        <w:t>in order to increase the</w:t>
      </w:r>
      <w:r w:rsidR="009C71C6">
        <w:rPr>
          <w:rFonts w:ascii="Times New Roman" w:eastAsia="Times New Roman" w:hAnsi="Times New Roman" w:cs="Times New Roman"/>
          <w:sz w:val="24"/>
          <w:szCs w:val="24"/>
        </w:rPr>
        <w:t xml:space="preserve">ir chances </w:t>
      </w:r>
      <w:r w:rsidR="00A5148F">
        <w:rPr>
          <w:rFonts w:ascii="Times New Roman" w:eastAsia="Times New Roman" w:hAnsi="Times New Roman" w:cs="Times New Roman"/>
          <w:sz w:val="24"/>
          <w:szCs w:val="24"/>
        </w:rPr>
        <w:t>of being offered a</w:t>
      </w:r>
      <w:r w:rsidR="00BA3DC5">
        <w:rPr>
          <w:rFonts w:ascii="Times New Roman" w:eastAsia="Times New Roman" w:hAnsi="Times New Roman" w:cs="Times New Roman"/>
          <w:sz w:val="24"/>
          <w:szCs w:val="24"/>
        </w:rPr>
        <w:t xml:space="preserve"> permanent </w:t>
      </w:r>
      <w:r w:rsidR="00A5148F">
        <w:rPr>
          <w:rFonts w:ascii="Times New Roman" w:eastAsia="Times New Roman" w:hAnsi="Times New Roman" w:cs="Times New Roman"/>
          <w:sz w:val="24"/>
          <w:szCs w:val="24"/>
        </w:rPr>
        <w:t xml:space="preserve">contract </w:t>
      </w:r>
      <w:r w:rsidRPr="598A40B1">
        <w:rPr>
          <w:rFonts w:ascii="Times New Roman" w:eastAsia="Times New Roman" w:hAnsi="Times New Roman" w:cs="Times New Roman"/>
          <w:sz w:val="24"/>
          <w:szCs w:val="24"/>
        </w:rPr>
        <w:t>(see Bradley et al., 2014; Engellandt and Riphahn, 2005).</w:t>
      </w:r>
      <w:r w:rsidR="00DB69D3">
        <w:rPr>
          <w:rStyle w:val="EndnoteReference"/>
          <w:rFonts w:ascii="Times New Roman" w:eastAsia="Times New Roman" w:hAnsi="Times New Roman" w:cs="Times New Roman"/>
          <w:sz w:val="24"/>
          <w:szCs w:val="24"/>
        </w:rPr>
        <w:endnoteReference w:id="1"/>
      </w:r>
    </w:p>
    <w:p w14:paraId="24B8ACD1" w14:textId="77777777" w:rsidR="00E970FA" w:rsidRDefault="00E970FA" w:rsidP="00251B63">
      <w:pPr>
        <w:spacing w:after="0" w:line="480" w:lineRule="auto"/>
        <w:jc w:val="both"/>
        <w:rPr>
          <w:rFonts w:ascii="Times New Roman" w:eastAsia="Times New Roman" w:hAnsi="Times New Roman" w:cs="Times New Roman"/>
          <w:sz w:val="24"/>
          <w:szCs w:val="24"/>
        </w:rPr>
      </w:pPr>
    </w:p>
    <w:p w14:paraId="4359313E" w14:textId="4732D389" w:rsidR="00CA2F51" w:rsidRDefault="00625A0B" w:rsidP="00251B63">
      <w:pPr>
        <w:spacing w:after="0" w:line="480" w:lineRule="auto"/>
        <w:jc w:val="both"/>
        <w:rPr>
          <w:rFonts w:ascii="Calibri" w:eastAsia="Calibri" w:hAnsi="Calibri" w:cs="Calibri"/>
          <w:sz w:val="24"/>
          <w:szCs w:val="24"/>
          <w:shd w:val="clear" w:color="auto" w:fill="FFFFFF"/>
        </w:rPr>
      </w:pPr>
      <w:r>
        <w:rPr>
          <w:rFonts w:ascii="Times New Roman" w:eastAsia="Times New Roman" w:hAnsi="Times New Roman" w:cs="Times New Roman"/>
          <w:sz w:val="24"/>
          <w:szCs w:val="24"/>
        </w:rPr>
        <w:lastRenderedPageBreak/>
        <w:t>The</w:t>
      </w:r>
      <w:r w:rsidR="00B04D15">
        <w:rPr>
          <w:rFonts w:ascii="Times New Roman" w:eastAsia="Times New Roman" w:hAnsi="Times New Roman" w:cs="Times New Roman"/>
          <w:sz w:val="24"/>
          <w:szCs w:val="24"/>
        </w:rPr>
        <w:t xml:space="preserve"> theoretical framework </w:t>
      </w:r>
      <w:r>
        <w:rPr>
          <w:rFonts w:ascii="Times New Roman" w:eastAsia="Times New Roman" w:hAnsi="Times New Roman" w:cs="Times New Roman"/>
          <w:sz w:val="24"/>
          <w:szCs w:val="24"/>
        </w:rPr>
        <w:t xml:space="preserve">presented in this article </w:t>
      </w:r>
      <w:r w:rsidR="00B04D15">
        <w:rPr>
          <w:rFonts w:ascii="Times New Roman" w:eastAsia="Times New Roman" w:hAnsi="Times New Roman" w:cs="Times New Roman"/>
          <w:sz w:val="24"/>
          <w:szCs w:val="24"/>
        </w:rPr>
        <w:t xml:space="preserve">asserts </w:t>
      </w:r>
      <w:r w:rsidR="0000651F">
        <w:rPr>
          <w:rFonts w:ascii="Times New Roman" w:eastAsia="Times New Roman" w:hAnsi="Times New Roman" w:cs="Times New Roman"/>
          <w:sz w:val="24"/>
          <w:szCs w:val="24"/>
        </w:rPr>
        <w:t xml:space="preserve">that recent A8 migrants face certain disadvantages </w:t>
      </w:r>
      <w:r w:rsidR="0000651F" w:rsidRPr="338B1626">
        <w:rPr>
          <w:rFonts w:ascii="Times New Roman" w:eastAsia="Times New Roman" w:hAnsi="Times New Roman" w:cs="Times New Roman"/>
          <w:sz w:val="24"/>
          <w:szCs w:val="24"/>
        </w:rPr>
        <w:t>in t</w:t>
      </w:r>
      <w:r w:rsidR="0000651F">
        <w:rPr>
          <w:rFonts w:ascii="Times New Roman" w:eastAsia="Times New Roman" w:hAnsi="Times New Roman" w:cs="Times New Roman"/>
          <w:sz w:val="24"/>
          <w:szCs w:val="24"/>
        </w:rPr>
        <w:t xml:space="preserve">he UK labour market relative to </w:t>
      </w:r>
      <w:r w:rsidR="0000651F" w:rsidRPr="338B1626">
        <w:rPr>
          <w:rFonts w:ascii="Times New Roman" w:eastAsia="Times New Roman" w:hAnsi="Times New Roman" w:cs="Times New Roman"/>
          <w:sz w:val="24"/>
          <w:szCs w:val="24"/>
        </w:rPr>
        <w:t>comparable natives</w:t>
      </w:r>
      <w:r w:rsidR="00B04D15">
        <w:rPr>
          <w:rFonts w:ascii="Times New Roman" w:eastAsia="Times New Roman" w:hAnsi="Times New Roman" w:cs="Times New Roman"/>
          <w:sz w:val="24"/>
          <w:szCs w:val="24"/>
        </w:rPr>
        <w:t>,</w:t>
      </w:r>
      <w:r w:rsidR="0000651F">
        <w:rPr>
          <w:rFonts w:ascii="Times New Roman" w:eastAsia="Times New Roman" w:hAnsi="Times New Roman" w:cs="Times New Roman"/>
          <w:sz w:val="24"/>
          <w:szCs w:val="24"/>
        </w:rPr>
        <w:t xml:space="preserve"> </w:t>
      </w:r>
      <w:r w:rsidR="00B04D15">
        <w:rPr>
          <w:rFonts w:ascii="Times New Roman" w:eastAsia="Times New Roman" w:hAnsi="Times New Roman" w:cs="Times New Roman"/>
          <w:sz w:val="24"/>
          <w:szCs w:val="24"/>
        </w:rPr>
        <w:t>d</w:t>
      </w:r>
      <w:r w:rsidR="0000651F">
        <w:rPr>
          <w:rFonts w:ascii="Times New Roman" w:eastAsia="Times New Roman" w:hAnsi="Times New Roman" w:cs="Times New Roman"/>
          <w:sz w:val="24"/>
          <w:szCs w:val="24"/>
        </w:rPr>
        <w:t xml:space="preserve">espite their higher levels of </w:t>
      </w:r>
      <w:r w:rsidR="0000651F" w:rsidRPr="0000651F">
        <w:rPr>
          <w:rFonts w:ascii="Times New Roman" w:eastAsia="Times New Roman" w:hAnsi="Times New Roman" w:cs="Times New Roman"/>
          <w:sz w:val="24"/>
          <w:szCs w:val="24"/>
        </w:rPr>
        <w:t>human capital as evidenced, for example, with their higher levels of qualifications (</w:t>
      </w:r>
      <w:r w:rsidR="0007775B">
        <w:rPr>
          <w:rFonts w:ascii="Times New Roman" w:eastAsia="Times New Roman" w:hAnsi="Times New Roman" w:cs="Times New Roman"/>
          <w:sz w:val="24"/>
          <w:szCs w:val="24"/>
        </w:rPr>
        <w:t>Hopkins</w:t>
      </w:r>
      <w:r w:rsidR="000C2F84" w:rsidRPr="598A40B1">
        <w:rPr>
          <w:rFonts w:ascii="Times New Roman" w:eastAsia="Times New Roman" w:hAnsi="Times New Roman" w:cs="Times New Roman"/>
          <w:sz w:val="24"/>
          <w:szCs w:val="24"/>
        </w:rPr>
        <w:t xml:space="preserve"> and </w:t>
      </w:r>
      <w:r w:rsidR="0007775B">
        <w:rPr>
          <w:rFonts w:ascii="Times New Roman" w:eastAsia="Times New Roman" w:hAnsi="Times New Roman" w:cs="Times New Roman"/>
          <w:sz w:val="24"/>
          <w:szCs w:val="24"/>
        </w:rPr>
        <w:t>Dawson</w:t>
      </w:r>
      <w:r w:rsidR="000C2F84" w:rsidRPr="598A40B1">
        <w:rPr>
          <w:rFonts w:ascii="Times New Roman" w:eastAsia="Times New Roman" w:hAnsi="Times New Roman" w:cs="Times New Roman"/>
          <w:sz w:val="24"/>
          <w:szCs w:val="24"/>
        </w:rPr>
        <w:t>, 2016</w:t>
      </w:r>
      <w:r w:rsidR="0000651F">
        <w:rPr>
          <w:rFonts w:ascii="Times New Roman" w:eastAsia="Times New Roman" w:hAnsi="Times New Roman" w:cs="Times New Roman"/>
          <w:sz w:val="24"/>
          <w:szCs w:val="24"/>
        </w:rPr>
        <w:t>; Wadsworth, 2015</w:t>
      </w:r>
      <w:r w:rsidR="00031337">
        <w:rPr>
          <w:rFonts w:ascii="Times New Roman" w:eastAsia="Times New Roman" w:hAnsi="Times New Roman" w:cs="Times New Roman"/>
          <w:sz w:val="24"/>
          <w:szCs w:val="24"/>
        </w:rPr>
        <w:t>)</w:t>
      </w:r>
      <w:r w:rsidR="00B04D15">
        <w:rPr>
          <w:rFonts w:ascii="Times New Roman" w:eastAsia="Times New Roman" w:hAnsi="Times New Roman" w:cs="Times New Roman"/>
          <w:sz w:val="24"/>
          <w:szCs w:val="24"/>
        </w:rPr>
        <w:t xml:space="preserve">. </w:t>
      </w:r>
      <w:r w:rsidR="0046497B">
        <w:rPr>
          <w:rFonts w:ascii="Times New Roman" w:eastAsia="Times New Roman" w:hAnsi="Times New Roman" w:cs="Times New Roman"/>
          <w:sz w:val="24"/>
          <w:szCs w:val="24"/>
        </w:rPr>
        <w:t>It is</w:t>
      </w:r>
      <w:r w:rsidR="00B04D15">
        <w:rPr>
          <w:rFonts w:ascii="Times New Roman" w:eastAsia="Times New Roman" w:hAnsi="Times New Roman" w:cs="Times New Roman"/>
          <w:sz w:val="24"/>
          <w:szCs w:val="24"/>
        </w:rPr>
        <w:t xml:space="preserve"> argue</w:t>
      </w:r>
      <w:r w:rsidR="0046497B">
        <w:rPr>
          <w:rFonts w:ascii="Times New Roman" w:eastAsia="Times New Roman" w:hAnsi="Times New Roman" w:cs="Times New Roman"/>
          <w:sz w:val="24"/>
          <w:szCs w:val="24"/>
        </w:rPr>
        <w:t>d</w:t>
      </w:r>
      <w:r w:rsidR="00B04D15">
        <w:rPr>
          <w:rFonts w:ascii="Times New Roman" w:eastAsia="Times New Roman" w:hAnsi="Times New Roman" w:cs="Times New Roman"/>
          <w:sz w:val="24"/>
          <w:szCs w:val="24"/>
        </w:rPr>
        <w:t xml:space="preserve"> that</w:t>
      </w:r>
      <w:r w:rsidR="00031337">
        <w:rPr>
          <w:rFonts w:ascii="Times New Roman" w:eastAsia="Times New Roman" w:hAnsi="Times New Roman" w:cs="Times New Roman"/>
          <w:sz w:val="24"/>
          <w:szCs w:val="24"/>
        </w:rPr>
        <w:t xml:space="preserve"> these disadvantages weaken the </w:t>
      </w:r>
      <w:r w:rsidR="007B4A06" w:rsidRPr="338B1626">
        <w:rPr>
          <w:rFonts w:ascii="Times New Roman" w:eastAsia="Times New Roman" w:hAnsi="Times New Roman" w:cs="Times New Roman"/>
          <w:sz w:val="24"/>
          <w:szCs w:val="24"/>
        </w:rPr>
        <w:t>labour market power of A8 migrants</w:t>
      </w:r>
      <w:r w:rsidR="00031337">
        <w:rPr>
          <w:rFonts w:ascii="Times New Roman" w:eastAsia="Times New Roman" w:hAnsi="Times New Roman" w:cs="Times New Roman"/>
          <w:sz w:val="24"/>
          <w:szCs w:val="24"/>
        </w:rPr>
        <w:t xml:space="preserve"> (Vershinina et al., 2011)</w:t>
      </w:r>
      <w:r w:rsidR="00F50287">
        <w:rPr>
          <w:rFonts w:ascii="Times New Roman" w:eastAsia="Times New Roman" w:hAnsi="Times New Roman" w:cs="Times New Roman"/>
          <w:sz w:val="24"/>
          <w:szCs w:val="24"/>
        </w:rPr>
        <w:t>,</w:t>
      </w:r>
      <w:r w:rsidR="007B4A06" w:rsidRPr="338B1626">
        <w:rPr>
          <w:rFonts w:ascii="Times New Roman" w:eastAsia="Times New Roman" w:hAnsi="Times New Roman" w:cs="Times New Roman"/>
          <w:sz w:val="24"/>
          <w:szCs w:val="24"/>
        </w:rPr>
        <w:t xml:space="preserve"> provid</w:t>
      </w:r>
      <w:r w:rsidR="00CB2BFC">
        <w:rPr>
          <w:rFonts w:ascii="Times New Roman" w:eastAsia="Times New Roman" w:hAnsi="Times New Roman" w:cs="Times New Roman"/>
          <w:sz w:val="24"/>
          <w:szCs w:val="24"/>
        </w:rPr>
        <w:t>ing</w:t>
      </w:r>
      <w:r w:rsidR="007B4A06" w:rsidRPr="338B1626">
        <w:rPr>
          <w:rFonts w:ascii="Times New Roman" w:eastAsia="Times New Roman" w:hAnsi="Times New Roman" w:cs="Times New Roman"/>
          <w:sz w:val="24"/>
          <w:szCs w:val="24"/>
        </w:rPr>
        <w:t xml:space="preserve"> </w:t>
      </w:r>
      <w:r w:rsidR="00031337">
        <w:rPr>
          <w:rFonts w:ascii="Times New Roman" w:eastAsia="Times New Roman" w:hAnsi="Times New Roman" w:cs="Times New Roman"/>
          <w:sz w:val="24"/>
          <w:szCs w:val="24"/>
        </w:rPr>
        <w:t xml:space="preserve">them with </w:t>
      </w:r>
      <w:r w:rsidR="007B4A06" w:rsidRPr="338B1626">
        <w:rPr>
          <w:rFonts w:ascii="Times New Roman" w:eastAsia="Times New Roman" w:hAnsi="Times New Roman" w:cs="Times New Roman"/>
          <w:sz w:val="24"/>
          <w:szCs w:val="24"/>
        </w:rPr>
        <w:t xml:space="preserve">an incentive to </w:t>
      </w:r>
      <w:r w:rsidR="00E970FA">
        <w:rPr>
          <w:rFonts w:ascii="Times New Roman" w:eastAsia="Times New Roman" w:hAnsi="Times New Roman" w:cs="Times New Roman"/>
          <w:sz w:val="24"/>
          <w:szCs w:val="24"/>
        </w:rPr>
        <w:t xml:space="preserve">exert </w:t>
      </w:r>
      <w:r w:rsidR="007B4A06" w:rsidRPr="338B1626">
        <w:rPr>
          <w:rFonts w:ascii="Times New Roman" w:eastAsia="Times New Roman" w:hAnsi="Times New Roman" w:cs="Times New Roman"/>
          <w:sz w:val="24"/>
          <w:szCs w:val="24"/>
        </w:rPr>
        <w:t xml:space="preserve">more </w:t>
      </w:r>
      <w:r w:rsidR="00031337">
        <w:rPr>
          <w:rFonts w:ascii="Times New Roman" w:eastAsia="Times New Roman" w:hAnsi="Times New Roman" w:cs="Times New Roman"/>
          <w:sz w:val="24"/>
          <w:szCs w:val="24"/>
        </w:rPr>
        <w:t xml:space="preserve">work </w:t>
      </w:r>
      <w:r w:rsidR="007B4A06" w:rsidRPr="338B1626">
        <w:rPr>
          <w:rFonts w:ascii="Times New Roman" w:eastAsia="Times New Roman" w:hAnsi="Times New Roman" w:cs="Times New Roman"/>
          <w:sz w:val="24"/>
          <w:szCs w:val="24"/>
        </w:rPr>
        <w:t>effort</w:t>
      </w:r>
      <w:r w:rsidR="00FC3B98">
        <w:rPr>
          <w:rFonts w:ascii="Times New Roman" w:eastAsia="Times New Roman" w:hAnsi="Times New Roman" w:cs="Times New Roman"/>
          <w:sz w:val="24"/>
          <w:szCs w:val="24"/>
        </w:rPr>
        <w:t xml:space="preserve">. </w:t>
      </w:r>
      <w:r w:rsidR="007B4A06" w:rsidRPr="338B1626">
        <w:rPr>
          <w:rFonts w:ascii="Times New Roman" w:eastAsia="Times New Roman" w:hAnsi="Times New Roman" w:cs="Times New Roman"/>
          <w:sz w:val="24"/>
          <w:szCs w:val="24"/>
        </w:rPr>
        <w:t>Firstly, recent migrants have limited labour market information about the host country; while</w:t>
      </w:r>
      <w:r w:rsidR="00E970FA">
        <w:rPr>
          <w:rFonts w:ascii="Times New Roman" w:eastAsia="Times New Roman" w:hAnsi="Times New Roman" w:cs="Times New Roman"/>
          <w:sz w:val="24"/>
          <w:szCs w:val="24"/>
        </w:rPr>
        <w:t>,</w:t>
      </w:r>
      <w:r w:rsidR="007B4A06" w:rsidRPr="338B1626">
        <w:rPr>
          <w:rFonts w:ascii="Times New Roman" w:eastAsia="Times New Roman" w:hAnsi="Times New Roman" w:cs="Times New Roman"/>
          <w:sz w:val="24"/>
          <w:szCs w:val="24"/>
        </w:rPr>
        <w:t xml:space="preserve"> on the demand side</w:t>
      </w:r>
      <w:r w:rsidR="00E970FA">
        <w:rPr>
          <w:rFonts w:ascii="Times New Roman" w:eastAsia="Times New Roman" w:hAnsi="Times New Roman" w:cs="Times New Roman"/>
          <w:sz w:val="24"/>
          <w:szCs w:val="24"/>
        </w:rPr>
        <w:t>,</w:t>
      </w:r>
      <w:r w:rsidR="007B4A06" w:rsidRPr="338B1626">
        <w:rPr>
          <w:rFonts w:ascii="Times New Roman" w:eastAsia="Times New Roman" w:hAnsi="Times New Roman" w:cs="Times New Roman"/>
          <w:sz w:val="24"/>
          <w:szCs w:val="24"/>
        </w:rPr>
        <w:t xml:space="preserve"> UK employers are unaware of the value of migrant characteristics, such as education and other work-related characteristics</w:t>
      </w:r>
      <w:r w:rsidR="00F023E8" w:rsidRPr="338B1626">
        <w:rPr>
          <w:rFonts w:ascii="Times New Roman" w:eastAsia="Times New Roman" w:hAnsi="Times New Roman" w:cs="Times New Roman"/>
          <w:sz w:val="24"/>
          <w:szCs w:val="24"/>
        </w:rPr>
        <w:t>,</w:t>
      </w:r>
      <w:r w:rsidR="007B4A06" w:rsidRPr="338B1626">
        <w:rPr>
          <w:rFonts w:ascii="Times New Roman" w:eastAsia="Times New Roman" w:hAnsi="Times New Roman" w:cs="Times New Roman"/>
          <w:sz w:val="24"/>
          <w:szCs w:val="24"/>
        </w:rPr>
        <w:t xml:space="preserve"> if obtained outside o</w:t>
      </w:r>
      <w:r w:rsidR="002302CB" w:rsidRPr="338B1626">
        <w:rPr>
          <w:rFonts w:ascii="Times New Roman" w:eastAsia="Times New Roman" w:hAnsi="Times New Roman" w:cs="Times New Roman"/>
          <w:sz w:val="24"/>
          <w:szCs w:val="24"/>
        </w:rPr>
        <w:t>f the UK (Clark and Drinkwater</w:t>
      </w:r>
      <w:r w:rsidR="004A57AE" w:rsidRPr="338B1626">
        <w:rPr>
          <w:rFonts w:ascii="Times New Roman" w:eastAsia="Times New Roman" w:hAnsi="Times New Roman" w:cs="Times New Roman"/>
          <w:sz w:val="24"/>
          <w:szCs w:val="24"/>
        </w:rPr>
        <w:t>,</w:t>
      </w:r>
      <w:r w:rsidR="002302CB" w:rsidRPr="338B1626">
        <w:rPr>
          <w:rFonts w:ascii="Times New Roman" w:eastAsia="Times New Roman" w:hAnsi="Times New Roman" w:cs="Times New Roman"/>
          <w:sz w:val="24"/>
          <w:szCs w:val="24"/>
        </w:rPr>
        <w:t xml:space="preserve"> </w:t>
      </w:r>
      <w:r w:rsidR="007B4A06" w:rsidRPr="338B1626">
        <w:rPr>
          <w:rFonts w:ascii="Times New Roman" w:eastAsia="Times New Roman" w:hAnsi="Times New Roman" w:cs="Times New Roman"/>
          <w:sz w:val="24"/>
          <w:szCs w:val="24"/>
        </w:rPr>
        <w:t xml:space="preserve">2008). </w:t>
      </w:r>
      <w:r w:rsidR="671F7A43" w:rsidRPr="338B1626">
        <w:rPr>
          <w:rFonts w:ascii="Times New Roman" w:eastAsia="Times New Roman" w:hAnsi="Times New Roman" w:cs="Times New Roman"/>
          <w:sz w:val="24"/>
          <w:szCs w:val="24"/>
        </w:rPr>
        <w:t xml:space="preserve">This latter factor has also been found in workplace studies </w:t>
      </w:r>
      <w:r w:rsidR="004F345B">
        <w:rPr>
          <w:rFonts w:ascii="Times New Roman" w:eastAsia="Times New Roman" w:hAnsi="Times New Roman" w:cs="Times New Roman"/>
          <w:sz w:val="24"/>
          <w:szCs w:val="24"/>
        </w:rPr>
        <w:t>(</w:t>
      </w:r>
      <w:r w:rsidR="0007775B">
        <w:rPr>
          <w:rFonts w:ascii="Times New Roman" w:eastAsia="Times New Roman" w:hAnsi="Times New Roman" w:cs="Times New Roman"/>
          <w:sz w:val="24"/>
          <w:szCs w:val="24"/>
        </w:rPr>
        <w:t>Hopkins</w:t>
      </w:r>
      <w:r w:rsidR="4C2CAFA9" w:rsidRPr="338B1626">
        <w:rPr>
          <w:rFonts w:ascii="Times New Roman" w:eastAsia="Times New Roman" w:hAnsi="Times New Roman" w:cs="Times New Roman"/>
          <w:sz w:val="24"/>
          <w:szCs w:val="24"/>
        </w:rPr>
        <w:t xml:space="preserve"> et al.</w:t>
      </w:r>
      <w:r w:rsidR="004F345B">
        <w:rPr>
          <w:rFonts w:ascii="Times New Roman" w:eastAsia="Times New Roman" w:hAnsi="Times New Roman" w:cs="Times New Roman"/>
          <w:sz w:val="24"/>
          <w:szCs w:val="24"/>
        </w:rPr>
        <w:t>,</w:t>
      </w:r>
      <w:r w:rsidR="00D102D5">
        <w:rPr>
          <w:rFonts w:ascii="Times New Roman" w:eastAsia="Times New Roman" w:hAnsi="Times New Roman" w:cs="Times New Roman"/>
          <w:sz w:val="24"/>
          <w:szCs w:val="24"/>
        </w:rPr>
        <w:t xml:space="preserve"> </w:t>
      </w:r>
      <w:r w:rsidR="4C2CAFA9" w:rsidRPr="338B1626">
        <w:rPr>
          <w:rFonts w:ascii="Times New Roman" w:eastAsia="Times New Roman" w:hAnsi="Times New Roman" w:cs="Times New Roman"/>
          <w:sz w:val="24"/>
          <w:szCs w:val="24"/>
        </w:rPr>
        <w:t>201</w:t>
      </w:r>
      <w:r w:rsidR="1B875954" w:rsidRPr="338B1626">
        <w:rPr>
          <w:rFonts w:ascii="Times New Roman" w:eastAsia="Times New Roman" w:hAnsi="Times New Roman" w:cs="Times New Roman"/>
          <w:sz w:val="24"/>
          <w:szCs w:val="24"/>
        </w:rPr>
        <w:t>6</w:t>
      </w:r>
      <w:r w:rsidR="4C2CAFA9" w:rsidRPr="338B1626">
        <w:rPr>
          <w:rFonts w:ascii="Times New Roman" w:eastAsia="Times New Roman" w:hAnsi="Times New Roman" w:cs="Times New Roman"/>
          <w:sz w:val="24"/>
          <w:szCs w:val="24"/>
        </w:rPr>
        <w:t>)</w:t>
      </w:r>
      <w:r w:rsidR="7214D39D" w:rsidRPr="338B1626">
        <w:rPr>
          <w:rFonts w:ascii="Times New Roman" w:eastAsia="Times New Roman" w:hAnsi="Times New Roman" w:cs="Times New Roman"/>
          <w:sz w:val="24"/>
          <w:szCs w:val="24"/>
        </w:rPr>
        <w:t xml:space="preserve">, and is </w:t>
      </w:r>
      <w:r w:rsidR="0013281D">
        <w:rPr>
          <w:rFonts w:ascii="Times New Roman" w:eastAsia="Times New Roman" w:hAnsi="Times New Roman" w:cs="Times New Roman"/>
          <w:sz w:val="24"/>
          <w:szCs w:val="24"/>
        </w:rPr>
        <w:t>the</w:t>
      </w:r>
      <w:r w:rsidR="7214D39D" w:rsidRPr="338B1626">
        <w:rPr>
          <w:rFonts w:ascii="Times New Roman" w:eastAsia="Times New Roman" w:hAnsi="Times New Roman" w:cs="Times New Roman"/>
          <w:sz w:val="24"/>
          <w:szCs w:val="24"/>
        </w:rPr>
        <w:t xml:space="preserve"> result of </w:t>
      </w:r>
      <w:r w:rsidR="47714BD4" w:rsidRPr="338B1626">
        <w:rPr>
          <w:rFonts w:ascii="Times New Roman" w:eastAsia="Times New Roman" w:hAnsi="Times New Roman" w:cs="Times New Roman"/>
          <w:sz w:val="24"/>
          <w:szCs w:val="24"/>
        </w:rPr>
        <w:t xml:space="preserve">both </w:t>
      </w:r>
      <w:r w:rsidR="7214D39D" w:rsidRPr="338B1626">
        <w:rPr>
          <w:rFonts w:ascii="Times New Roman" w:eastAsia="Times New Roman" w:hAnsi="Times New Roman" w:cs="Times New Roman"/>
          <w:sz w:val="24"/>
          <w:szCs w:val="24"/>
        </w:rPr>
        <w:t xml:space="preserve">the diversity of qualifications across eight different educational systems, </w:t>
      </w:r>
      <w:r w:rsidR="0013281D">
        <w:rPr>
          <w:rFonts w:ascii="Times New Roman" w:eastAsia="Times New Roman" w:hAnsi="Times New Roman" w:cs="Times New Roman"/>
          <w:sz w:val="24"/>
          <w:szCs w:val="24"/>
        </w:rPr>
        <w:t>a</w:t>
      </w:r>
      <w:r w:rsidR="47714BD4">
        <w:rPr>
          <w:rFonts w:ascii="Times New Roman" w:eastAsia="Times New Roman" w:hAnsi="Times New Roman" w:cs="Times New Roman"/>
          <w:sz w:val="24"/>
          <w:szCs w:val="24"/>
        </w:rPr>
        <w:t>nd also</w:t>
      </w:r>
      <w:r w:rsidR="7214D39D" w:rsidRPr="338B1626">
        <w:rPr>
          <w:rFonts w:ascii="Times New Roman" w:eastAsia="Times New Roman" w:hAnsi="Times New Roman" w:cs="Times New Roman"/>
          <w:sz w:val="24"/>
          <w:szCs w:val="24"/>
        </w:rPr>
        <w:t xml:space="preserve"> the lack of information provided</w:t>
      </w:r>
      <w:r w:rsidR="6C00566B" w:rsidRPr="338B1626">
        <w:rPr>
          <w:rFonts w:ascii="Times New Roman" w:eastAsia="Times New Roman" w:hAnsi="Times New Roman" w:cs="Times New Roman"/>
          <w:sz w:val="24"/>
          <w:szCs w:val="24"/>
        </w:rPr>
        <w:t xml:space="preserve"> to business</w:t>
      </w:r>
      <w:r w:rsidR="0013281D">
        <w:rPr>
          <w:rFonts w:ascii="Times New Roman" w:eastAsia="Times New Roman" w:hAnsi="Times New Roman" w:cs="Times New Roman"/>
          <w:sz w:val="24"/>
          <w:szCs w:val="24"/>
        </w:rPr>
        <w:t>es</w:t>
      </w:r>
      <w:r w:rsidR="6C00566B" w:rsidRPr="338B1626">
        <w:rPr>
          <w:rFonts w:ascii="Times New Roman" w:eastAsia="Times New Roman" w:hAnsi="Times New Roman" w:cs="Times New Roman"/>
          <w:sz w:val="24"/>
          <w:szCs w:val="24"/>
        </w:rPr>
        <w:t xml:space="preserve"> because of </w:t>
      </w:r>
      <w:r w:rsidR="0013281D">
        <w:rPr>
          <w:rFonts w:ascii="Times New Roman" w:eastAsia="Times New Roman" w:hAnsi="Times New Roman" w:cs="Times New Roman"/>
          <w:sz w:val="24"/>
          <w:szCs w:val="24"/>
        </w:rPr>
        <w:t xml:space="preserve">the </w:t>
      </w:r>
      <w:r w:rsidR="6C00566B" w:rsidRPr="338B1626">
        <w:rPr>
          <w:rFonts w:ascii="Times New Roman" w:eastAsia="Times New Roman" w:hAnsi="Times New Roman" w:cs="Times New Roman"/>
          <w:sz w:val="24"/>
          <w:szCs w:val="24"/>
        </w:rPr>
        <w:t xml:space="preserve">initially low predictions of the number of additional migrants </w:t>
      </w:r>
      <w:r w:rsidR="00510356">
        <w:rPr>
          <w:rFonts w:ascii="Times New Roman" w:eastAsia="Times New Roman" w:hAnsi="Times New Roman" w:cs="Times New Roman"/>
          <w:sz w:val="24"/>
          <w:szCs w:val="24"/>
        </w:rPr>
        <w:t>that would enter into the UK</w:t>
      </w:r>
      <w:r w:rsidR="00DD1A78">
        <w:rPr>
          <w:rFonts w:ascii="Times New Roman" w:eastAsia="Times New Roman" w:hAnsi="Times New Roman" w:cs="Times New Roman"/>
          <w:sz w:val="24"/>
          <w:szCs w:val="24"/>
        </w:rPr>
        <w:t xml:space="preserve"> (as also found in </w:t>
      </w:r>
      <w:r w:rsidR="0007775B">
        <w:rPr>
          <w:rFonts w:ascii="Times New Roman" w:eastAsia="Times New Roman" w:hAnsi="Times New Roman" w:cs="Times New Roman"/>
          <w:sz w:val="24"/>
          <w:szCs w:val="24"/>
        </w:rPr>
        <w:t>Hopkins</w:t>
      </w:r>
      <w:r w:rsidR="00DD1A78">
        <w:rPr>
          <w:rFonts w:ascii="Times New Roman" w:eastAsia="Times New Roman" w:hAnsi="Times New Roman" w:cs="Times New Roman"/>
          <w:sz w:val="24"/>
          <w:szCs w:val="24"/>
        </w:rPr>
        <w:t>, 201</w:t>
      </w:r>
      <w:r w:rsidR="00E41C62">
        <w:rPr>
          <w:rFonts w:ascii="Times New Roman" w:eastAsia="Times New Roman" w:hAnsi="Times New Roman" w:cs="Times New Roman"/>
          <w:sz w:val="24"/>
          <w:szCs w:val="24"/>
        </w:rPr>
        <w:t>7</w:t>
      </w:r>
      <w:r w:rsidR="00DD1A78">
        <w:rPr>
          <w:rFonts w:ascii="Times New Roman" w:eastAsia="Times New Roman" w:hAnsi="Times New Roman" w:cs="Times New Roman"/>
          <w:sz w:val="24"/>
          <w:szCs w:val="24"/>
        </w:rPr>
        <w:t>)</w:t>
      </w:r>
      <w:r w:rsidR="00510356">
        <w:rPr>
          <w:rFonts w:ascii="Times New Roman" w:eastAsia="Times New Roman" w:hAnsi="Times New Roman" w:cs="Times New Roman"/>
          <w:sz w:val="24"/>
          <w:szCs w:val="24"/>
        </w:rPr>
        <w:t xml:space="preserve">. </w:t>
      </w:r>
      <w:r w:rsidR="007B4A06" w:rsidRPr="338B1626">
        <w:rPr>
          <w:rFonts w:ascii="Times New Roman" w:eastAsia="Times New Roman" w:hAnsi="Times New Roman" w:cs="Times New Roman"/>
          <w:sz w:val="24"/>
          <w:szCs w:val="24"/>
        </w:rPr>
        <w:t xml:space="preserve">Secondly, </w:t>
      </w:r>
      <w:r w:rsidR="00D47429">
        <w:rPr>
          <w:rFonts w:ascii="Times New Roman" w:eastAsia="Times New Roman" w:hAnsi="Times New Roman" w:cs="Times New Roman"/>
          <w:sz w:val="24"/>
          <w:szCs w:val="24"/>
        </w:rPr>
        <w:t xml:space="preserve">many </w:t>
      </w:r>
      <w:r w:rsidR="00D47429" w:rsidRPr="338B1626">
        <w:rPr>
          <w:rFonts w:ascii="Times New Roman" w:eastAsia="Times New Roman" w:hAnsi="Times New Roman" w:cs="Times New Roman"/>
          <w:sz w:val="24"/>
          <w:szCs w:val="24"/>
        </w:rPr>
        <w:t xml:space="preserve">recent migrants </w:t>
      </w:r>
      <w:r w:rsidR="00D47429">
        <w:rPr>
          <w:rFonts w:ascii="Times New Roman" w:eastAsia="Times New Roman" w:hAnsi="Times New Roman" w:cs="Times New Roman"/>
          <w:sz w:val="24"/>
          <w:szCs w:val="24"/>
        </w:rPr>
        <w:t xml:space="preserve">possess </w:t>
      </w:r>
      <w:r w:rsidR="007B4A06" w:rsidRPr="338B1626">
        <w:rPr>
          <w:rFonts w:ascii="Times New Roman" w:eastAsia="Times New Roman" w:hAnsi="Times New Roman" w:cs="Times New Roman"/>
          <w:sz w:val="24"/>
          <w:szCs w:val="24"/>
        </w:rPr>
        <w:t xml:space="preserve">low levels of English language proficiency </w:t>
      </w:r>
      <w:r w:rsidR="00CB2BFC">
        <w:rPr>
          <w:rFonts w:ascii="Times New Roman" w:eastAsia="Times New Roman" w:hAnsi="Times New Roman" w:cs="Times New Roman"/>
          <w:sz w:val="24"/>
          <w:szCs w:val="24"/>
        </w:rPr>
        <w:t xml:space="preserve">which </w:t>
      </w:r>
      <w:r w:rsidR="007B4A06" w:rsidRPr="338B1626">
        <w:rPr>
          <w:rFonts w:ascii="Times New Roman" w:eastAsia="Times New Roman" w:hAnsi="Times New Roman" w:cs="Times New Roman"/>
          <w:sz w:val="24"/>
          <w:szCs w:val="24"/>
        </w:rPr>
        <w:t xml:space="preserve">will hinder </w:t>
      </w:r>
      <w:r w:rsidR="00D47429">
        <w:rPr>
          <w:rFonts w:ascii="Times New Roman" w:eastAsia="Times New Roman" w:hAnsi="Times New Roman" w:cs="Times New Roman"/>
          <w:sz w:val="24"/>
          <w:szCs w:val="24"/>
        </w:rPr>
        <w:t xml:space="preserve">their </w:t>
      </w:r>
      <w:r w:rsidR="007B4A06" w:rsidRPr="338B1626">
        <w:rPr>
          <w:rFonts w:ascii="Times New Roman" w:eastAsia="Times New Roman" w:hAnsi="Times New Roman" w:cs="Times New Roman"/>
          <w:sz w:val="24"/>
          <w:szCs w:val="24"/>
        </w:rPr>
        <w:t xml:space="preserve">labour market outcomes, as </w:t>
      </w:r>
      <w:r w:rsidR="00D47429">
        <w:rPr>
          <w:rFonts w:ascii="Times New Roman" w:eastAsia="Times New Roman" w:hAnsi="Times New Roman" w:cs="Times New Roman"/>
          <w:sz w:val="24"/>
          <w:szCs w:val="24"/>
        </w:rPr>
        <w:t xml:space="preserve">these </w:t>
      </w:r>
      <w:r w:rsidR="007B4A06" w:rsidRPr="338B1626">
        <w:rPr>
          <w:rFonts w:ascii="Times New Roman" w:eastAsia="Times New Roman" w:hAnsi="Times New Roman" w:cs="Times New Roman"/>
          <w:sz w:val="24"/>
          <w:szCs w:val="24"/>
        </w:rPr>
        <w:t>migrants are unable to obtain employment that adequately reflect</w:t>
      </w:r>
      <w:r w:rsidR="001F5123" w:rsidRPr="338B1626">
        <w:rPr>
          <w:rFonts w:ascii="Times New Roman" w:eastAsia="Times New Roman" w:hAnsi="Times New Roman" w:cs="Times New Roman"/>
          <w:sz w:val="24"/>
          <w:szCs w:val="24"/>
        </w:rPr>
        <w:t>s</w:t>
      </w:r>
      <w:r w:rsidR="007B4A06" w:rsidRPr="338B1626">
        <w:rPr>
          <w:rFonts w:ascii="Times New Roman" w:eastAsia="Times New Roman" w:hAnsi="Times New Roman" w:cs="Times New Roman"/>
          <w:sz w:val="24"/>
          <w:szCs w:val="24"/>
        </w:rPr>
        <w:t xml:space="preserve"> their</w:t>
      </w:r>
      <w:r w:rsidR="001F5123" w:rsidRPr="338B1626">
        <w:rPr>
          <w:rFonts w:ascii="Times New Roman" w:eastAsia="Times New Roman" w:hAnsi="Times New Roman" w:cs="Times New Roman"/>
          <w:sz w:val="24"/>
          <w:szCs w:val="24"/>
        </w:rPr>
        <w:t xml:space="preserve"> particular</w:t>
      </w:r>
      <w:r w:rsidR="007B4A06" w:rsidRPr="338B1626">
        <w:rPr>
          <w:rFonts w:ascii="Times New Roman" w:eastAsia="Times New Roman" w:hAnsi="Times New Roman" w:cs="Times New Roman"/>
          <w:sz w:val="24"/>
          <w:szCs w:val="24"/>
        </w:rPr>
        <w:t xml:space="preserve"> skill</w:t>
      </w:r>
      <w:r w:rsidR="001F5123" w:rsidRPr="338B1626">
        <w:rPr>
          <w:rFonts w:ascii="Times New Roman" w:eastAsia="Times New Roman" w:hAnsi="Times New Roman" w:cs="Times New Roman"/>
          <w:sz w:val="24"/>
          <w:szCs w:val="24"/>
        </w:rPr>
        <w:t>s</w:t>
      </w:r>
      <w:r w:rsidR="00F333EF" w:rsidRPr="338B1626">
        <w:rPr>
          <w:rFonts w:ascii="Times New Roman" w:eastAsia="Times New Roman" w:hAnsi="Times New Roman" w:cs="Times New Roman"/>
          <w:sz w:val="24"/>
          <w:szCs w:val="24"/>
        </w:rPr>
        <w:t>.</w:t>
      </w:r>
      <w:r w:rsidR="00320AC7">
        <w:rPr>
          <w:rStyle w:val="EndnoteReference"/>
          <w:rFonts w:ascii="Times New Roman" w:eastAsia="Times New Roman" w:hAnsi="Times New Roman" w:cs="Times New Roman"/>
          <w:sz w:val="24"/>
          <w:szCs w:val="24"/>
        </w:rPr>
        <w:endnoteReference w:id="2"/>
      </w:r>
      <w:r w:rsidR="00F333EF" w:rsidRPr="338B1626">
        <w:rPr>
          <w:rFonts w:ascii="Times New Roman" w:eastAsia="Times New Roman" w:hAnsi="Times New Roman" w:cs="Times New Roman"/>
          <w:sz w:val="24"/>
          <w:szCs w:val="24"/>
        </w:rPr>
        <w:t xml:space="preserve"> </w:t>
      </w:r>
      <w:r w:rsidR="007B4A06" w:rsidRPr="338B1626">
        <w:rPr>
          <w:rFonts w:ascii="Times New Roman" w:eastAsia="Times New Roman" w:hAnsi="Times New Roman" w:cs="Times New Roman"/>
          <w:sz w:val="24"/>
          <w:szCs w:val="24"/>
        </w:rPr>
        <w:t>In this view, language skills are seen as complementary to job related skills and both are needed in order to match workers with jobs that reflect their skill set (</w:t>
      </w:r>
      <w:r w:rsidR="00413D6E" w:rsidRPr="338B1626">
        <w:rPr>
          <w:rFonts w:ascii="Times New Roman" w:eastAsia="Times New Roman" w:hAnsi="Times New Roman" w:cs="Times New Roman"/>
          <w:sz w:val="24"/>
          <w:szCs w:val="24"/>
        </w:rPr>
        <w:t>Dustmann et al.</w:t>
      </w:r>
      <w:r w:rsidR="004A57AE" w:rsidRPr="338B1626">
        <w:rPr>
          <w:rFonts w:ascii="Times New Roman" w:eastAsia="Times New Roman" w:hAnsi="Times New Roman" w:cs="Times New Roman"/>
          <w:sz w:val="24"/>
          <w:szCs w:val="24"/>
        </w:rPr>
        <w:t>,</w:t>
      </w:r>
      <w:r w:rsidR="00413D6E" w:rsidRPr="338B1626">
        <w:rPr>
          <w:rFonts w:ascii="Times New Roman" w:eastAsia="Times New Roman" w:hAnsi="Times New Roman" w:cs="Times New Roman"/>
          <w:sz w:val="24"/>
          <w:szCs w:val="24"/>
        </w:rPr>
        <w:t xml:space="preserve"> 2013</w:t>
      </w:r>
      <w:r w:rsidR="00D26035" w:rsidRPr="338B1626">
        <w:rPr>
          <w:rFonts w:ascii="Times New Roman" w:eastAsia="Times New Roman" w:hAnsi="Times New Roman" w:cs="Times New Roman"/>
          <w:sz w:val="24"/>
          <w:szCs w:val="24"/>
        </w:rPr>
        <w:t xml:space="preserve">; </w:t>
      </w:r>
      <w:r w:rsidR="00357138" w:rsidRPr="338B1626">
        <w:rPr>
          <w:rFonts w:ascii="Times New Roman" w:eastAsia="Times New Roman" w:hAnsi="Times New Roman" w:cs="Times New Roman"/>
          <w:sz w:val="24"/>
          <w:szCs w:val="24"/>
        </w:rPr>
        <w:t xml:space="preserve">Eckstein and Weiss, </w:t>
      </w:r>
      <w:r w:rsidR="00D26035" w:rsidRPr="338B1626">
        <w:rPr>
          <w:rFonts w:ascii="Times New Roman" w:eastAsia="Times New Roman" w:hAnsi="Times New Roman" w:cs="Times New Roman"/>
          <w:sz w:val="24"/>
          <w:szCs w:val="24"/>
        </w:rPr>
        <w:t>2004</w:t>
      </w:r>
      <w:r w:rsidR="00ED0DF2" w:rsidRPr="338B1626">
        <w:rPr>
          <w:rFonts w:ascii="Times New Roman" w:eastAsia="Times New Roman" w:hAnsi="Times New Roman" w:cs="Times New Roman"/>
          <w:sz w:val="24"/>
          <w:szCs w:val="24"/>
        </w:rPr>
        <w:t xml:space="preserve">). </w:t>
      </w:r>
      <w:r w:rsidR="00CA2F51" w:rsidRPr="338B1626">
        <w:rPr>
          <w:rFonts w:ascii="Times New Roman" w:eastAsia="Times New Roman" w:hAnsi="Times New Roman" w:cs="Times New Roman"/>
          <w:sz w:val="24"/>
          <w:szCs w:val="24"/>
          <w:shd w:val="clear" w:color="auto" w:fill="FFFFFF"/>
        </w:rPr>
        <w:t>A particular consequence of these disadvantages and information asymmetries is that migrants are unable</w:t>
      </w:r>
      <w:r w:rsidR="00CA2F51" w:rsidRPr="338B1626">
        <w:rPr>
          <w:rFonts w:ascii="Times New Roman" w:eastAsia="Times New Roman" w:hAnsi="Times New Roman" w:cs="Times New Roman"/>
          <w:sz w:val="24"/>
          <w:szCs w:val="24"/>
        </w:rPr>
        <w:t xml:space="preserve"> </w:t>
      </w:r>
      <w:r w:rsidR="00CA2F51" w:rsidRPr="338B1626">
        <w:rPr>
          <w:rFonts w:ascii="Times New Roman" w:eastAsia="Times New Roman" w:hAnsi="Times New Roman" w:cs="Times New Roman"/>
          <w:sz w:val="24"/>
          <w:szCs w:val="24"/>
          <w:shd w:val="clear" w:color="auto" w:fill="FFFFFF"/>
        </w:rPr>
        <w:t xml:space="preserve">to signal </w:t>
      </w:r>
      <w:r w:rsidR="00CA2F51" w:rsidRPr="3B009953">
        <w:rPr>
          <w:rFonts w:ascii="Times New Roman" w:eastAsia="Times New Roman" w:hAnsi="Times New Roman" w:cs="Times New Roman"/>
          <w:i/>
          <w:iCs/>
          <w:sz w:val="24"/>
          <w:szCs w:val="24"/>
          <w:shd w:val="clear" w:color="auto" w:fill="FFFFFF"/>
        </w:rPr>
        <w:t>ex</w:t>
      </w:r>
      <w:r w:rsidR="006165E8" w:rsidRPr="3B009953">
        <w:rPr>
          <w:rFonts w:ascii="Times New Roman" w:eastAsia="Times New Roman" w:hAnsi="Times New Roman" w:cs="Times New Roman"/>
          <w:i/>
          <w:iCs/>
          <w:sz w:val="24"/>
          <w:szCs w:val="24"/>
          <w:shd w:val="clear" w:color="auto" w:fill="FFFFFF"/>
        </w:rPr>
        <w:t xml:space="preserve"> </w:t>
      </w:r>
      <w:r w:rsidR="00CA2F51" w:rsidRPr="3B009953">
        <w:rPr>
          <w:rFonts w:ascii="Times New Roman" w:eastAsia="Times New Roman" w:hAnsi="Times New Roman" w:cs="Times New Roman"/>
          <w:i/>
          <w:iCs/>
          <w:sz w:val="24"/>
          <w:szCs w:val="24"/>
          <w:shd w:val="clear" w:color="auto" w:fill="FFFFFF"/>
        </w:rPr>
        <w:t>ante</w:t>
      </w:r>
      <w:r w:rsidR="00876B35" w:rsidRPr="00BA3DC5">
        <w:rPr>
          <w:rFonts w:ascii="Times New Roman" w:eastAsia="Times New Roman" w:hAnsi="Times New Roman" w:cs="Times New Roman"/>
          <w:sz w:val="24"/>
          <w:szCs w:val="24"/>
          <w:shd w:val="clear" w:color="auto" w:fill="FFFFFF"/>
        </w:rPr>
        <w:t xml:space="preserve">, i.e. </w:t>
      </w:r>
      <w:r w:rsidR="00516837" w:rsidRPr="00BA3DC5">
        <w:rPr>
          <w:rFonts w:ascii="Times New Roman" w:eastAsia="Times New Roman" w:hAnsi="Times New Roman" w:cs="Times New Roman"/>
          <w:sz w:val="24"/>
          <w:szCs w:val="24"/>
          <w:shd w:val="clear" w:color="auto" w:fill="FFFFFF"/>
        </w:rPr>
        <w:t>when applying for a job</w:t>
      </w:r>
      <w:r w:rsidR="00876B35" w:rsidRPr="00BA3DC5">
        <w:rPr>
          <w:rFonts w:ascii="Times New Roman" w:eastAsia="Times New Roman" w:hAnsi="Times New Roman" w:cs="Times New Roman"/>
          <w:sz w:val="24"/>
          <w:szCs w:val="24"/>
          <w:shd w:val="clear" w:color="auto" w:fill="FFFFFF"/>
        </w:rPr>
        <w:t>,</w:t>
      </w:r>
      <w:r w:rsidR="00CA2F51" w:rsidRPr="338B1626">
        <w:rPr>
          <w:rFonts w:ascii="Times New Roman" w:eastAsia="Times New Roman" w:hAnsi="Times New Roman" w:cs="Times New Roman"/>
          <w:sz w:val="24"/>
          <w:szCs w:val="24"/>
          <w:shd w:val="clear" w:color="auto" w:fill="FFFFFF"/>
        </w:rPr>
        <w:t xml:space="preserve"> </w:t>
      </w:r>
      <w:r w:rsidR="00CA2F51" w:rsidRPr="338B1626">
        <w:rPr>
          <w:rFonts w:ascii="Times New Roman" w:eastAsia="Times New Roman" w:hAnsi="Times New Roman" w:cs="Times New Roman"/>
          <w:sz w:val="24"/>
          <w:szCs w:val="24"/>
        </w:rPr>
        <w:t>their underlying productivity to employers through the traditional channels, such as education (Spence</w:t>
      </w:r>
      <w:r w:rsidR="004A57AE" w:rsidRPr="338B1626">
        <w:rPr>
          <w:rFonts w:ascii="Times New Roman" w:eastAsia="Times New Roman" w:hAnsi="Times New Roman" w:cs="Times New Roman"/>
          <w:sz w:val="24"/>
          <w:szCs w:val="24"/>
        </w:rPr>
        <w:t>,</w:t>
      </w:r>
      <w:r w:rsidR="00CA2F51" w:rsidRPr="338B1626">
        <w:rPr>
          <w:rFonts w:ascii="Times New Roman" w:eastAsia="Times New Roman" w:hAnsi="Times New Roman" w:cs="Times New Roman"/>
          <w:sz w:val="24"/>
          <w:szCs w:val="24"/>
        </w:rPr>
        <w:t xml:space="preserve"> 1973) and labour market experience</w:t>
      </w:r>
      <w:r w:rsidR="00CA2F51" w:rsidRPr="338B1626">
        <w:rPr>
          <w:rFonts w:ascii="Times New Roman" w:eastAsia="Times New Roman" w:hAnsi="Times New Roman" w:cs="Times New Roman"/>
          <w:sz w:val="24"/>
          <w:szCs w:val="24"/>
          <w:shd w:val="clear" w:color="auto" w:fill="FFFFFF"/>
        </w:rPr>
        <w:t xml:space="preserve">. As such, </w:t>
      </w:r>
      <w:r w:rsidR="001438B8">
        <w:rPr>
          <w:rFonts w:ascii="Times New Roman" w:eastAsia="Times New Roman" w:hAnsi="Times New Roman" w:cs="Times New Roman"/>
          <w:sz w:val="24"/>
          <w:szCs w:val="24"/>
          <w:shd w:val="clear" w:color="auto" w:fill="FFFFFF"/>
        </w:rPr>
        <w:t xml:space="preserve">this article argues that </w:t>
      </w:r>
      <w:r w:rsidR="00CA2F51" w:rsidRPr="338B1626">
        <w:rPr>
          <w:rFonts w:ascii="Times New Roman" w:eastAsia="Times New Roman" w:hAnsi="Times New Roman" w:cs="Times New Roman"/>
          <w:sz w:val="24"/>
          <w:szCs w:val="24"/>
          <w:shd w:val="clear" w:color="auto" w:fill="FFFFFF"/>
        </w:rPr>
        <w:t xml:space="preserve">recent migrants </w:t>
      </w:r>
      <w:r w:rsidR="00E34E15" w:rsidRPr="338B1626">
        <w:rPr>
          <w:rFonts w:ascii="Times New Roman" w:eastAsia="Times New Roman" w:hAnsi="Times New Roman" w:cs="Times New Roman"/>
          <w:sz w:val="24"/>
          <w:szCs w:val="24"/>
          <w:shd w:val="clear" w:color="auto" w:fill="FFFFFF"/>
        </w:rPr>
        <w:t>have an incentive</w:t>
      </w:r>
      <w:r w:rsidR="00CA2F51" w:rsidRPr="338B1626">
        <w:rPr>
          <w:rFonts w:ascii="Times New Roman" w:eastAsia="Times New Roman" w:hAnsi="Times New Roman" w:cs="Times New Roman"/>
          <w:sz w:val="24"/>
          <w:szCs w:val="24"/>
          <w:shd w:val="clear" w:color="auto" w:fill="FFFFFF"/>
        </w:rPr>
        <w:t xml:space="preserve"> to find new </w:t>
      </w:r>
      <w:r w:rsidR="00CA2F51" w:rsidRPr="3B009953">
        <w:rPr>
          <w:rFonts w:ascii="Times New Roman" w:eastAsia="Times New Roman" w:hAnsi="Times New Roman" w:cs="Times New Roman"/>
          <w:i/>
          <w:iCs/>
          <w:sz w:val="24"/>
          <w:szCs w:val="24"/>
          <w:shd w:val="clear" w:color="auto" w:fill="FFFFFF"/>
        </w:rPr>
        <w:t>ex</w:t>
      </w:r>
      <w:r w:rsidR="006165E8" w:rsidRPr="3B009953">
        <w:rPr>
          <w:rFonts w:ascii="Times New Roman" w:eastAsia="Times New Roman" w:hAnsi="Times New Roman" w:cs="Times New Roman"/>
          <w:i/>
          <w:iCs/>
          <w:sz w:val="24"/>
          <w:szCs w:val="24"/>
          <w:shd w:val="clear" w:color="auto" w:fill="FFFFFF"/>
        </w:rPr>
        <w:t xml:space="preserve"> </w:t>
      </w:r>
      <w:r w:rsidR="00CA2F51" w:rsidRPr="3B009953">
        <w:rPr>
          <w:rFonts w:ascii="Times New Roman" w:eastAsia="Times New Roman" w:hAnsi="Times New Roman" w:cs="Times New Roman"/>
          <w:i/>
          <w:iCs/>
          <w:sz w:val="24"/>
          <w:szCs w:val="24"/>
          <w:shd w:val="clear" w:color="auto" w:fill="FFFFFF"/>
        </w:rPr>
        <w:t>post</w:t>
      </w:r>
      <w:r w:rsidR="00876B35" w:rsidRPr="00BA3DC5">
        <w:rPr>
          <w:rFonts w:ascii="Times New Roman" w:eastAsia="Times New Roman" w:hAnsi="Times New Roman" w:cs="Times New Roman"/>
          <w:sz w:val="24"/>
          <w:szCs w:val="24"/>
          <w:shd w:val="clear" w:color="auto" w:fill="FFFFFF"/>
        </w:rPr>
        <w:t>, i.e. after being employed,</w:t>
      </w:r>
      <w:r w:rsidR="00CA2F51" w:rsidRPr="338B1626">
        <w:rPr>
          <w:rFonts w:ascii="Times New Roman" w:eastAsia="Times New Roman" w:hAnsi="Times New Roman" w:cs="Times New Roman"/>
          <w:sz w:val="24"/>
          <w:szCs w:val="24"/>
          <w:shd w:val="clear" w:color="auto" w:fill="FFFFFF"/>
        </w:rPr>
        <w:t xml:space="preserve"> methods of signalling productivity to employers in order to progress from low</w:t>
      </w:r>
      <w:r w:rsidR="006F04BE" w:rsidRPr="338B1626">
        <w:rPr>
          <w:rFonts w:ascii="Times New Roman" w:eastAsia="Times New Roman" w:hAnsi="Times New Roman" w:cs="Times New Roman"/>
          <w:sz w:val="24"/>
          <w:szCs w:val="24"/>
          <w:shd w:val="clear" w:color="auto" w:fill="FFFFFF"/>
        </w:rPr>
        <w:t xml:space="preserve"> </w:t>
      </w:r>
      <w:r w:rsidR="00CA2F51" w:rsidRPr="338B1626">
        <w:rPr>
          <w:rFonts w:ascii="Times New Roman" w:eastAsia="Times New Roman" w:hAnsi="Times New Roman" w:cs="Times New Roman"/>
          <w:sz w:val="24"/>
          <w:szCs w:val="24"/>
          <w:shd w:val="clear" w:color="auto" w:fill="FFFFFF"/>
        </w:rPr>
        <w:t>skilled</w:t>
      </w:r>
      <w:r w:rsidR="006F04BE" w:rsidRPr="338B1626">
        <w:rPr>
          <w:rFonts w:ascii="Times New Roman" w:eastAsia="Times New Roman" w:hAnsi="Times New Roman" w:cs="Times New Roman"/>
          <w:sz w:val="24"/>
          <w:szCs w:val="24"/>
          <w:shd w:val="clear" w:color="auto" w:fill="FFFFFF"/>
        </w:rPr>
        <w:t>, low paying</w:t>
      </w:r>
      <w:r w:rsidR="00CA2F51" w:rsidRPr="338B1626">
        <w:rPr>
          <w:rFonts w:ascii="Times New Roman" w:eastAsia="Times New Roman" w:hAnsi="Times New Roman" w:cs="Times New Roman"/>
          <w:sz w:val="24"/>
          <w:szCs w:val="24"/>
          <w:shd w:val="clear" w:color="auto" w:fill="FFFFFF"/>
        </w:rPr>
        <w:t xml:space="preserve"> roles</w:t>
      </w:r>
      <w:r w:rsidR="006F04BE" w:rsidRPr="338B1626">
        <w:rPr>
          <w:rFonts w:ascii="Times New Roman" w:eastAsia="Times New Roman" w:hAnsi="Times New Roman" w:cs="Times New Roman"/>
          <w:sz w:val="24"/>
          <w:szCs w:val="24"/>
          <w:shd w:val="clear" w:color="auto" w:fill="FFFFFF"/>
        </w:rPr>
        <w:t xml:space="preserve"> and</w:t>
      </w:r>
      <w:r w:rsidR="00CA2F51" w:rsidRPr="338B1626">
        <w:rPr>
          <w:rFonts w:ascii="Times New Roman" w:eastAsia="Times New Roman" w:hAnsi="Times New Roman" w:cs="Times New Roman"/>
          <w:sz w:val="24"/>
          <w:szCs w:val="24"/>
          <w:shd w:val="clear" w:color="auto" w:fill="FFFFFF"/>
        </w:rPr>
        <w:t xml:space="preserve"> into employment positions that</w:t>
      </w:r>
      <w:r w:rsidR="00CA2F51" w:rsidRPr="338B1626">
        <w:rPr>
          <w:rStyle w:val="apple-converted-space"/>
          <w:rFonts w:ascii="Times New Roman" w:eastAsia="Times New Roman" w:hAnsi="Times New Roman" w:cs="Times New Roman"/>
          <w:sz w:val="24"/>
          <w:szCs w:val="24"/>
          <w:shd w:val="clear" w:color="auto" w:fill="FFFFFF"/>
        </w:rPr>
        <w:t> </w:t>
      </w:r>
      <w:r w:rsidR="00CA2F51" w:rsidRPr="338B1626">
        <w:rPr>
          <w:rFonts w:ascii="Times New Roman" w:eastAsia="Times New Roman" w:hAnsi="Times New Roman" w:cs="Times New Roman"/>
          <w:sz w:val="24"/>
          <w:szCs w:val="24"/>
          <w:shd w:val="clear" w:color="auto" w:fill="FFFFFF"/>
        </w:rPr>
        <w:t xml:space="preserve">better reflect their skill sets. In this view, migrant workers signal productivity through a </w:t>
      </w:r>
      <w:r w:rsidR="00CA2F51" w:rsidRPr="338B1626">
        <w:rPr>
          <w:rFonts w:ascii="Times New Roman" w:eastAsia="Times New Roman" w:hAnsi="Times New Roman" w:cs="Times New Roman"/>
          <w:sz w:val="24"/>
          <w:szCs w:val="24"/>
          <w:shd w:val="clear" w:color="auto" w:fill="FFFFFF"/>
        </w:rPr>
        <w:lastRenderedPageBreak/>
        <w:t>stronger work ethic and</w:t>
      </w:r>
      <w:r w:rsidR="00290E8D" w:rsidRPr="338B1626">
        <w:rPr>
          <w:rFonts w:ascii="Times New Roman" w:eastAsia="Times New Roman" w:hAnsi="Times New Roman" w:cs="Times New Roman"/>
          <w:sz w:val="24"/>
          <w:szCs w:val="24"/>
          <w:shd w:val="clear" w:color="auto" w:fill="FFFFFF"/>
        </w:rPr>
        <w:t>,</w:t>
      </w:r>
      <w:r w:rsidR="00CA2F51" w:rsidRPr="338B1626">
        <w:rPr>
          <w:rFonts w:ascii="Times New Roman" w:eastAsia="Times New Roman" w:hAnsi="Times New Roman" w:cs="Times New Roman"/>
          <w:sz w:val="24"/>
          <w:szCs w:val="24"/>
          <w:shd w:val="clear" w:color="auto" w:fill="FFFFFF"/>
        </w:rPr>
        <w:t xml:space="preserve"> within the context of this study</w:t>
      </w:r>
      <w:r w:rsidR="00290E8D" w:rsidRPr="338B1626">
        <w:rPr>
          <w:rFonts w:ascii="Times New Roman" w:eastAsia="Times New Roman" w:hAnsi="Times New Roman" w:cs="Times New Roman"/>
          <w:sz w:val="24"/>
          <w:szCs w:val="24"/>
          <w:shd w:val="clear" w:color="auto" w:fill="FFFFFF"/>
        </w:rPr>
        <w:t>,</w:t>
      </w:r>
      <w:r w:rsidR="00CA2F51" w:rsidRPr="338B1626">
        <w:rPr>
          <w:rFonts w:ascii="Times New Roman" w:eastAsia="Times New Roman" w:hAnsi="Times New Roman" w:cs="Times New Roman"/>
          <w:sz w:val="24"/>
          <w:szCs w:val="24"/>
          <w:shd w:val="clear" w:color="auto" w:fill="FFFFFF"/>
        </w:rPr>
        <w:t xml:space="preserve"> through lower absenteeism. This signalling of effort </w:t>
      </w:r>
      <w:r w:rsidR="003B546A" w:rsidRPr="338B1626">
        <w:rPr>
          <w:rFonts w:ascii="Times New Roman" w:eastAsia="Times New Roman" w:hAnsi="Times New Roman" w:cs="Times New Roman"/>
          <w:sz w:val="24"/>
          <w:szCs w:val="24"/>
          <w:shd w:val="clear" w:color="auto" w:fill="FFFFFF"/>
        </w:rPr>
        <w:t xml:space="preserve">will be </w:t>
      </w:r>
      <w:r w:rsidR="00CA2F51" w:rsidRPr="338B1626">
        <w:rPr>
          <w:rFonts w:ascii="Times New Roman" w:eastAsia="Times New Roman" w:hAnsi="Times New Roman" w:cs="Times New Roman"/>
          <w:sz w:val="24"/>
          <w:szCs w:val="24"/>
          <w:shd w:val="clear" w:color="auto" w:fill="FFFFFF"/>
        </w:rPr>
        <w:t>over and above that required to signal underlying productivity when UK employers are fully informed about migrant characteristics.</w:t>
      </w:r>
      <w:r w:rsidR="00CA2F51" w:rsidRPr="338B1626">
        <w:rPr>
          <w:rFonts w:ascii="Calibri" w:eastAsia="Calibri" w:hAnsi="Calibri" w:cs="Calibri"/>
          <w:sz w:val="24"/>
          <w:szCs w:val="24"/>
          <w:shd w:val="clear" w:color="auto" w:fill="FFFFFF"/>
        </w:rPr>
        <w:t> </w:t>
      </w:r>
    </w:p>
    <w:p w14:paraId="688B400B" w14:textId="77777777" w:rsidR="00BF0B1B" w:rsidRPr="00E970FA" w:rsidRDefault="00BF0B1B" w:rsidP="00251B63">
      <w:pPr>
        <w:spacing w:after="0" w:line="480" w:lineRule="auto"/>
        <w:jc w:val="both"/>
        <w:rPr>
          <w:rFonts w:ascii="Times New Roman" w:eastAsia="Times New Roman" w:hAnsi="Times New Roman" w:cs="Times New Roman"/>
          <w:sz w:val="24"/>
          <w:szCs w:val="24"/>
        </w:rPr>
      </w:pPr>
    </w:p>
    <w:p w14:paraId="56FDFACC" w14:textId="707A15E7" w:rsidR="00BF0B1B" w:rsidRDefault="00BF0B1B" w:rsidP="00BF0B1B">
      <w:pPr>
        <w:spacing w:after="0" w:line="48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According to the migrant assimilation model pioneered by Chiswick (1978), the employment outcomes of migrants</w:t>
      </w:r>
      <w:r>
        <w:rPr>
          <w:rFonts w:ascii="Times New Roman" w:eastAsia="Times New Roman" w:hAnsi="Times New Roman" w:cs="Times New Roman"/>
          <w:sz w:val="24"/>
          <w:szCs w:val="24"/>
        </w:rPr>
        <w:t xml:space="preserve"> </w:t>
      </w:r>
      <w:r w:rsidR="00FB5B29">
        <w:rPr>
          <w:rFonts w:ascii="Times New Roman" w:eastAsia="Times New Roman" w:hAnsi="Times New Roman" w:cs="Times New Roman"/>
          <w:sz w:val="24"/>
          <w:szCs w:val="24"/>
        </w:rPr>
        <w:t>(e.g. their earnings</w:t>
      </w:r>
      <w:r w:rsidR="000A148F">
        <w:rPr>
          <w:rFonts w:ascii="Times New Roman" w:eastAsia="Times New Roman" w:hAnsi="Times New Roman" w:cs="Times New Roman"/>
          <w:sz w:val="24"/>
          <w:szCs w:val="24"/>
        </w:rPr>
        <w:t xml:space="preserve"> from work</w:t>
      </w:r>
      <w:r w:rsidR="00FB5B29">
        <w:rPr>
          <w:rFonts w:ascii="Times New Roman" w:eastAsia="Times New Roman" w:hAnsi="Times New Roman" w:cs="Times New Roman"/>
          <w:sz w:val="24"/>
          <w:szCs w:val="24"/>
        </w:rPr>
        <w:t xml:space="preserve">) </w:t>
      </w:r>
      <w:r w:rsidRPr="338B1626">
        <w:rPr>
          <w:rFonts w:ascii="Times New Roman" w:eastAsia="Times New Roman" w:hAnsi="Times New Roman" w:cs="Times New Roman"/>
          <w:sz w:val="24"/>
          <w:szCs w:val="24"/>
        </w:rPr>
        <w:t xml:space="preserve">will converge to those of natives as migrants acquire language skills, labour market information, and skills specific to industries in the host nation over the years following arrival. In line with the predictions of the “assimilationist” model, this </w:t>
      </w:r>
      <w:r>
        <w:rPr>
          <w:rFonts w:ascii="Times New Roman" w:eastAsia="Times New Roman" w:hAnsi="Times New Roman" w:cs="Times New Roman"/>
          <w:sz w:val="24"/>
          <w:szCs w:val="24"/>
        </w:rPr>
        <w:t xml:space="preserve">article </w:t>
      </w:r>
      <w:r w:rsidRPr="338B1626">
        <w:rPr>
          <w:rFonts w:ascii="Times New Roman" w:eastAsia="Times New Roman" w:hAnsi="Times New Roman" w:cs="Times New Roman"/>
          <w:sz w:val="24"/>
          <w:szCs w:val="24"/>
        </w:rPr>
        <w:t xml:space="preserve">also assesses the assimilation of the migrant </w:t>
      </w:r>
      <w:r w:rsidRPr="338B1626">
        <w:rPr>
          <w:rFonts w:ascii="Times New Roman" w:eastAsia="Times New Roman" w:hAnsi="Times New Roman" w:cs="Times New Roman"/>
          <w:sz w:val="24"/>
          <w:szCs w:val="24"/>
          <w:shd w:val="clear" w:color="auto" w:fill="FFFFFF"/>
        </w:rPr>
        <w:t>work ethic.</w:t>
      </w:r>
      <w:r w:rsidRPr="338B1626">
        <w:rPr>
          <w:rFonts w:ascii="Times New Roman" w:eastAsia="Times New Roman" w:hAnsi="Times New Roman" w:cs="Times New Roman"/>
          <w:sz w:val="24"/>
          <w:szCs w:val="24"/>
        </w:rPr>
        <w:t xml:space="preserve"> In short, if a longer residency in the UK improves the employment outcomes of migrants, then these migrants will no longer have an incentive to signal productivity through </w:t>
      </w:r>
      <w:r>
        <w:rPr>
          <w:rFonts w:ascii="Times New Roman" w:eastAsia="Times New Roman" w:hAnsi="Times New Roman" w:cs="Times New Roman"/>
          <w:sz w:val="24"/>
          <w:szCs w:val="24"/>
        </w:rPr>
        <w:t xml:space="preserve">behaviours associated with </w:t>
      </w:r>
      <w:r w:rsidRPr="338B1626">
        <w:rPr>
          <w:rFonts w:ascii="Times New Roman" w:eastAsia="Times New Roman" w:hAnsi="Times New Roman" w:cs="Times New Roman"/>
          <w:sz w:val="24"/>
          <w:szCs w:val="24"/>
        </w:rPr>
        <w:t>a stronger work ethic.</w:t>
      </w:r>
    </w:p>
    <w:p w14:paraId="4FC2E2D4" w14:textId="77777777" w:rsidR="007B4A06" w:rsidRPr="00182D67" w:rsidRDefault="007B4A06" w:rsidP="00251B63">
      <w:pPr>
        <w:spacing w:after="0" w:line="480" w:lineRule="auto"/>
        <w:jc w:val="both"/>
        <w:rPr>
          <w:rFonts w:ascii="Times New Roman" w:hAnsi="Times New Roman" w:cs="Times New Roman"/>
          <w:sz w:val="24"/>
          <w:szCs w:val="24"/>
        </w:rPr>
      </w:pPr>
    </w:p>
    <w:p w14:paraId="00D75355" w14:textId="77777777" w:rsidR="00CB2B19" w:rsidRDefault="00CB2B19" w:rsidP="00CB2B19">
      <w:pPr>
        <w:spacing w:after="0" w:line="480" w:lineRule="auto"/>
        <w:jc w:val="both"/>
        <w:rPr>
          <w:rFonts w:ascii="Times New Roman" w:hAnsi="Times New Roman" w:cs="Times New Roman"/>
          <w:b/>
          <w:sz w:val="24"/>
          <w:szCs w:val="24"/>
        </w:rPr>
      </w:pPr>
    </w:p>
    <w:p w14:paraId="26A2C513" w14:textId="4D6FE9CB" w:rsidR="006169B3" w:rsidRPr="003D6988" w:rsidRDefault="598A40B1" w:rsidP="003D6988">
      <w:pPr>
        <w:spacing w:after="0" w:line="480" w:lineRule="auto"/>
        <w:jc w:val="both"/>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 xml:space="preserve">Background </w:t>
      </w:r>
    </w:p>
    <w:p w14:paraId="18817DB2" w14:textId="77777777" w:rsidR="00CB24BD" w:rsidRDefault="00CB24BD" w:rsidP="00251B63">
      <w:pPr>
        <w:spacing w:after="0" w:line="480" w:lineRule="auto"/>
        <w:jc w:val="both"/>
        <w:rPr>
          <w:rFonts w:ascii="Times New Roman" w:eastAsia="Times New Roman" w:hAnsi="Times New Roman" w:cs="Times New Roman"/>
          <w:sz w:val="24"/>
          <w:szCs w:val="24"/>
        </w:rPr>
      </w:pPr>
    </w:p>
    <w:p w14:paraId="3FE888CF" w14:textId="60A86FEA" w:rsidR="00C04BA1" w:rsidRPr="003D6988" w:rsidRDefault="598A40B1" w:rsidP="003D6988">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The current UK context following the A8 EU expansion of 2004 makes the UK a suitable arena for the study of the links between migration and perceived work ethic (Anderson, 2010). The issue of migrant labour has become particularly important in the UK following the A8 expansion of 2004, where eight Central and Eastern European (CEE) nations joined an expanded EU (Ciupijus, 2011). These countries are the Czech Republic, Estonia, Hungary, Latvia, Lithuania, Poland, Slovakia and Slovenia. Whereas other member states imposed restrictions of up to seven years, Sweden, the Republic of Ireland and the </w:t>
      </w:r>
      <w:r w:rsidR="00E6146F">
        <w:rPr>
          <w:rFonts w:ascii="Times New Roman" w:eastAsia="Times New Roman" w:hAnsi="Times New Roman" w:cs="Times New Roman"/>
          <w:sz w:val="24"/>
          <w:szCs w:val="24"/>
        </w:rPr>
        <w:t>UK</w:t>
      </w:r>
      <w:r w:rsidRPr="598A40B1">
        <w:rPr>
          <w:rFonts w:ascii="Times New Roman" w:eastAsia="Times New Roman" w:hAnsi="Times New Roman" w:cs="Times New Roman"/>
          <w:sz w:val="24"/>
          <w:szCs w:val="24"/>
        </w:rPr>
        <w:t xml:space="preserve"> were the only three EU member states to allow full access to workers from the A8 nations to work without restriction</w:t>
      </w:r>
      <w:r w:rsidR="003701FF">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The UK government’s decision was influenced by an original predicted figure of </w:t>
      </w:r>
      <w:r w:rsidRPr="598A40B1">
        <w:rPr>
          <w:rFonts w:ascii="Times New Roman" w:eastAsia="Times New Roman" w:hAnsi="Times New Roman" w:cs="Times New Roman"/>
          <w:sz w:val="24"/>
          <w:szCs w:val="24"/>
        </w:rPr>
        <w:lastRenderedPageBreak/>
        <w:t>increased migration as a result of the expansion of between eight and thirteen thousand (Dustmann et al., 2003), and as such the only requirement for A8 migrants to take work in the UK was to register on the Worker Registration Scheme (WRS). By the time this scheme was closed in April 2011, seven years since the A8 expansion, over a million people had registered. Clark and Drinkwater (2008) show that these changes saw the proportion of the total number of migrants and immigrants to the UK from the A8 countries ris</w:t>
      </w:r>
      <w:r w:rsidR="69017986" w:rsidRPr="598A40B1">
        <w:rPr>
          <w:rFonts w:ascii="Times New Roman" w:eastAsia="Times New Roman" w:hAnsi="Times New Roman" w:cs="Times New Roman"/>
          <w:sz w:val="24"/>
          <w:szCs w:val="24"/>
        </w:rPr>
        <w:t>e</w:t>
      </w:r>
      <w:r w:rsidRPr="598A40B1">
        <w:rPr>
          <w:rFonts w:ascii="Times New Roman" w:eastAsia="Times New Roman" w:hAnsi="Times New Roman" w:cs="Times New Roman"/>
          <w:sz w:val="24"/>
          <w:szCs w:val="24"/>
        </w:rPr>
        <w:t xml:space="preserve"> from 4.1% of the total in 2000-2003 to 36.5% of the total in 2004-2007.</w:t>
      </w:r>
      <w:r w:rsidR="5996B426" w:rsidRPr="598A40B1">
        <w:rPr>
          <w:rFonts w:ascii="Times New Roman" w:eastAsia="Times New Roman" w:hAnsi="Times New Roman" w:cs="Times New Roman"/>
          <w:sz w:val="24"/>
          <w:szCs w:val="24"/>
        </w:rPr>
        <w:t xml:space="preserve">  While there are </w:t>
      </w:r>
      <w:r w:rsidR="009360A6">
        <w:rPr>
          <w:rFonts w:ascii="Times New Roman" w:eastAsia="Times New Roman" w:hAnsi="Times New Roman" w:cs="Times New Roman"/>
          <w:sz w:val="24"/>
          <w:szCs w:val="24"/>
        </w:rPr>
        <w:t>different</w:t>
      </w:r>
      <w:r w:rsidR="5996B426" w:rsidRPr="598A40B1">
        <w:rPr>
          <w:rFonts w:ascii="Times New Roman" w:eastAsia="Times New Roman" w:hAnsi="Times New Roman" w:cs="Times New Roman"/>
          <w:sz w:val="24"/>
          <w:szCs w:val="24"/>
        </w:rPr>
        <w:t xml:space="preserve"> reasons to migrate</w:t>
      </w:r>
      <w:r w:rsidR="0021557E">
        <w:rPr>
          <w:rFonts w:ascii="Times New Roman" w:eastAsia="Times New Roman" w:hAnsi="Times New Roman" w:cs="Times New Roman"/>
          <w:sz w:val="24"/>
          <w:szCs w:val="24"/>
        </w:rPr>
        <w:t>,</w:t>
      </w:r>
      <w:r w:rsidR="5996B426" w:rsidRPr="598A40B1">
        <w:rPr>
          <w:rFonts w:ascii="Times New Roman" w:eastAsia="Times New Roman" w:hAnsi="Times New Roman" w:cs="Times New Roman"/>
          <w:sz w:val="24"/>
          <w:szCs w:val="24"/>
        </w:rPr>
        <w:t xml:space="preserve"> </w:t>
      </w:r>
      <w:r w:rsidR="2B5AB78C" w:rsidRPr="598A40B1">
        <w:rPr>
          <w:rFonts w:ascii="Times New Roman" w:eastAsia="Times New Roman" w:hAnsi="Times New Roman" w:cs="Times New Roman"/>
          <w:sz w:val="24"/>
          <w:szCs w:val="24"/>
        </w:rPr>
        <w:t>as examined by Eade et al. (20</w:t>
      </w:r>
      <w:r w:rsidR="5582B266" w:rsidRPr="598A40B1">
        <w:rPr>
          <w:rFonts w:ascii="Times New Roman" w:eastAsia="Times New Roman" w:hAnsi="Times New Roman" w:cs="Times New Roman"/>
          <w:sz w:val="24"/>
          <w:szCs w:val="24"/>
        </w:rPr>
        <w:t xml:space="preserve">07) and </w:t>
      </w:r>
      <w:r w:rsidR="0007775B">
        <w:rPr>
          <w:rFonts w:ascii="Times New Roman" w:eastAsia="Times New Roman" w:hAnsi="Times New Roman" w:cs="Times New Roman"/>
          <w:sz w:val="24"/>
          <w:szCs w:val="24"/>
        </w:rPr>
        <w:t>Hopkins</w:t>
      </w:r>
      <w:r w:rsidR="5582B266" w:rsidRPr="598A40B1">
        <w:rPr>
          <w:rFonts w:ascii="Times New Roman" w:eastAsia="Times New Roman" w:hAnsi="Times New Roman" w:cs="Times New Roman"/>
          <w:sz w:val="24"/>
          <w:szCs w:val="24"/>
        </w:rPr>
        <w:t xml:space="preserve"> et al. (201</w:t>
      </w:r>
      <w:r w:rsidR="0016072D">
        <w:rPr>
          <w:rFonts w:ascii="Times New Roman" w:eastAsia="Times New Roman" w:hAnsi="Times New Roman" w:cs="Times New Roman"/>
          <w:sz w:val="24"/>
          <w:szCs w:val="24"/>
        </w:rPr>
        <w:t>6</w:t>
      </w:r>
      <w:r w:rsidR="5582B266" w:rsidRPr="598A40B1">
        <w:rPr>
          <w:rFonts w:ascii="Times New Roman" w:eastAsia="Times New Roman" w:hAnsi="Times New Roman" w:cs="Times New Roman"/>
          <w:sz w:val="24"/>
          <w:szCs w:val="24"/>
        </w:rPr>
        <w:t xml:space="preserve">), in-depth qualitative studies have found that a recurring story </w:t>
      </w:r>
      <w:r w:rsidR="0021557E">
        <w:rPr>
          <w:rFonts w:ascii="Times New Roman" w:eastAsia="Times New Roman" w:hAnsi="Times New Roman" w:cs="Times New Roman"/>
          <w:sz w:val="24"/>
          <w:szCs w:val="24"/>
        </w:rPr>
        <w:t xml:space="preserve">among A8 migrants </w:t>
      </w:r>
      <w:r w:rsidR="5582B266" w:rsidRPr="598A40B1">
        <w:rPr>
          <w:rFonts w:ascii="Times New Roman" w:eastAsia="Times New Roman" w:hAnsi="Times New Roman" w:cs="Times New Roman"/>
          <w:sz w:val="24"/>
          <w:szCs w:val="24"/>
        </w:rPr>
        <w:t>is of high</w:t>
      </w:r>
      <w:r w:rsidR="32B7303E" w:rsidRPr="598A40B1">
        <w:rPr>
          <w:rFonts w:ascii="Times New Roman" w:eastAsia="Times New Roman" w:hAnsi="Times New Roman" w:cs="Times New Roman"/>
          <w:sz w:val="24"/>
          <w:szCs w:val="24"/>
        </w:rPr>
        <w:t>ly qualified people taking lower skilled roles</w:t>
      </w:r>
      <w:r w:rsidR="7DBC632B" w:rsidRPr="598A40B1">
        <w:rPr>
          <w:rFonts w:ascii="Times New Roman" w:eastAsia="Times New Roman" w:hAnsi="Times New Roman" w:cs="Times New Roman"/>
          <w:sz w:val="24"/>
          <w:szCs w:val="24"/>
        </w:rPr>
        <w:t>.</w:t>
      </w:r>
      <w:r w:rsidR="32B7303E" w:rsidRPr="598A40B1">
        <w:rPr>
          <w:rFonts w:ascii="Times New Roman" w:eastAsia="Times New Roman" w:hAnsi="Times New Roman" w:cs="Times New Roman"/>
          <w:sz w:val="24"/>
          <w:szCs w:val="24"/>
        </w:rPr>
        <w:t xml:space="preserve"> </w:t>
      </w:r>
      <w:r w:rsidR="353F76A0" w:rsidRPr="598A40B1">
        <w:rPr>
          <w:rFonts w:ascii="Times New Roman" w:eastAsia="Times New Roman" w:hAnsi="Times New Roman" w:cs="Times New Roman"/>
          <w:sz w:val="24"/>
          <w:szCs w:val="24"/>
        </w:rPr>
        <w:t xml:space="preserve">These </w:t>
      </w:r>
      <w:r w:rsidR="009568C4">
        <w:rPr>
          <w:rFonts w:ascii="Times New Roman" w:eastAsia="Times New Roman" w:hAnsi="Times New Roman" w:cs="Times New Roman"/>
          <w:sz w:val="24"/>
          <w:szCs w:val="24"/>
        </w:rPr>
        <w:t xml:space="preserve">migrants </w:t>
      </w:r>
      <w:r w:rsidR="353F76A0" w:rsidRPr="598A40B1">
        <w:rPr>
          <w:rFonts w:ascii="Times New Roman" w:eastAsia="Times New Roman" w:hAnsi="Times New Roman" w:cs="Times New Roman"/>
          <w:sz w:val="24"/>
          <w:szCs w:val="24"/>
        </w:rPr>
        <w:t>are found</w:t>
      </w:r>
      <w:r w:rsidR="32B7303E" w:rsidRPr="598A40B1">
        <w:rPr>
          <w:rFonts w:ascii="Times New Roman" w:eastAsia="Times New Roman" w:hAnsi="Times New Roman" w:cs="Times New Roman"/>
          <w:sz w:val="24"/>
          <w:szCs w:val="24"/>
        </w:rPr>
        <w:t xml:space="preserve"> in sectors such as hospitality (Alberti</w:t>
      </w:r>
      <w:r w:rsidR="005F7D40" w:rsidRPr="005F7D40">
        <w:rPr>
          <w:rFonts w:ascii="Times New Roman" w:eastAsia="Times New Roman" w:hAnsi="Times New Roman" w:cs="Times New Roman"/>
          <w:sz w:val="24"/>
          <w:szCs w:val="24"/>
        </w:rPr>
        <w:t>,</w:t>
      </w:r>
      <w:r w:rsidR="32B7303E" w:rsidRPr="598A40B1">
        <w:rPr>
          <w:rFonts w:ascii="Times New Roman" w:eastAsia="Times New Roman" w:hAnsi="Times New Roman" w:cs="Times New Roman"/>
          <w:sz w:val="24"/>
          <w:szCs w:val="24"/>
        </w:rPr>
        <w:t xml:space="preserve"> 2014</w:t>
      </w:r>
      <w:r w:rsidR="4C535437" w:rsidRPr="598A40B1">
        <w:rPr>
          <w:rFonts w:ascii="Times New Roman" w:eastAsia="Times New Roman" w:hAnsi="Times New Roman" w:cs="Times New Roman"/>
          <w:sz w:val="24"/>
          <w:szCs w:val="24"/>
        </w:rPr>
        <w:t>;</w:t>
      </w:r>
      <w:r w:rsidR="32B7303E" w:rsidRPr="598A40B1">
        <w:rPr>
          <w:rFonts w:ascii="Times New Roman" w:eastAsia="Times New Roman" w:hAnsi="Times New Roman" w:cs="Times New Roman"/>
          <w:sz w:val="24"/>
          <w:szCs w:val="24"/>
        </w:rPr>
        <w:t xml:space="preserve"> McDowell et al.</w:t>
      </w:r>
      <w:r w:rsidR="005F7D40" w:rsidRPr="005F7D40">
        <w:rPr>
          <w:rFonts w:ascii="Times New Roman" w:eastAsia="Times New Roman" w:hAnsi="Times New Roman" w:cs="Times New Roman"/>
          <w:sz w:val="24"/>
          <w:szCs w:val="24"/>
        </w:rPr>
        <w:t>,</w:t>
      </w:r>
      <w:r w:rsidR="32B7303E" w:rsidRPr="598A40B1">
        <w:rPr>
          <w:rFonts w:ascii="Times New Roman" w:eastAsia="Times New Roman" w:hAnsi="Times New Roman" w:cs="Times New Roman"/>
          <w:sz w:val="24"/>
          <w:szCs w:val="24"/>
        </w:rPr>
        <w:t xml:space="preserve"> 2008) and </w:t>
      </w:r>
      <w:r w:rsidR="4C535437" w:rsidRPr="598A40B1">
        <w:rPr>
          <w:rFonts w:ascii="Times New Roman" w:eastAsia="Times New Roman" w:hAnsi="Times New Roman" w:cs="Times New Roman"/>
          <w:sz w:val="24"/>
          <w:szCs w:val="24"/>
        </w:rPr>
        <w:t>manufacturing (</w:t>
      </w:r>
      <w:r w:rsidR="0007775B">
        <w:rPr>
          <w:rFonts w:ascii="Times New Roman" w:eastAsia="Times New Roman" w:hAnsi="Times New Roman" w:cs="Times New Roman"/>
          <w:sz w:val="24"/>
          <w:szCs w:val="24"/>
        </w:rPr>
        <w:t>Hopkins</w:t>
      </w:r>
      <w:r w:rsidR="4C535437" w:rsidRPr="598A40B1">
        <w:rPr>
          <w:rFonts w:ascii="Times New Roman" w:eastAsia="Times New Roman" w:hAnsi="Times New Roman" w:cs="Times New Roman"/>
          <w:sz w:val="24"/>
          <w:szCs w:val="24"/>
        </w:rPr>
        <w:t xml:space="preserve"> et al.</w:t>
      </w:r>
      <w:r w:rsidR="005F7D40" w:rsidRPr="005F7D40">
        <w:rPr>
          <w:rFonts w:ascii="Times New Roman" w:eastAsia="Times New Roman" w:hAnsi="Times New Roman" w:cs="Times New Roman"/>
          <w:sz w:val="24"/>
          <w:szCs w:val="24"/>
        </w:rPr>
        <w:t>,</w:t>
      </w:r>
      <w:r w:rsidR="4C535437" w:rsidRPr="598A40B1">
        <w:rPr>
          <w:rFonts w:ascii="Times New Roman" w:eastAsia="Times New Roman" w:hAnsi="Times New Roman" w:cs="Times New Roman"/>
          <w:sz w:val="24"/>
          <w:szCs w:val="24"/>
        </w:rPr>
        <w:t xml:space="preserve"> 201</w:t>
      </w:r>
      <w:r w:rsidR="0016072D">
        <w:rPr>
          <w:rFonts w:ascii="Times New Roman" w:eastAsia="Times New Roman" w:hAnsi="Times New Roman" w:cs="Times New Roman"/>
          <w:sz w:val="24"/>
          <w:szCs w:val="24"/>
        </w:rPr>
        <w:t>6</w:t>
      </w:r>
      <w:r w:rsidR="4C535437" w:rsidRPr="598A40B1">
        <w:rPr>
          <w:rFonts w:ascii="Times New Roman" w:eastAsia="Times New Roman" w:hAnsi="Times New Roman" w:cs="Times New Roman"/>
          <w:sz w:val="24"/>
          <w:szCs w:val="24"/>
        </w:rPr>
        <w:t>; Tannock</w:t>
      </w:r>
      <w:r w:rsidR="005F7D40" w:rsidRPr="005F7D40">
        <w:rPr>
          <w:rFonts w:ascii="Times New Roman" w:eastAsia="Times New Roman" w:hAnsi="Times New Roman" w:cs="Times New Roman"/>
          <w:sz w:val="24"/>
          <w:szCs w:val="24"/>
        </w:rPr>
        <w:t>,</w:t>
      </w:r>
      <w:r w:rsidR="4C535437" w:rsidRPr="598A40B1">
        <w:rPr>
          <w:rFonts w:ascii="Times New Roman" w:eastAsia="Times New Roman" w:hAnsi="Times New Roman" w:cs="Times New Roman"/>
          <w:sz w:val="24"/>
          <w:szCs w:val="24"/>
        </w:rPr>
        <w:t xml:space="preserve"> 2013</w:t>
      </w:r>
      <w:r w:rsidR="32B7303E" w:rsidRPr="598A40B1">
        <w:rPr>
          <w:rFonts w:ascii="Times New Roman" w:eastAsia="Times New Roman" w:hAnsi="Times New Roman" w:cs="Times New Roman"/>
          <w:sz w:val="24"/>
          <w:szCs w:val="24"/>
        </w:rPr>
        <w:t>)</w:t>
      </w:r>
      <w:r w:rsidR="353F76A0" w:rsidRPr="598A40B1">
        <w:rPr>
          <w:rFonts w:ascii="Times New Roman" w:eastAsia="Times New Roman" w:hAnsi="Times New Roman" w:cs="Times New Roman"/>
          <w:sz w:val="24"/>
          <w:szCs w:val="24"/>
        </w:rPr>
        <w:t xml:space="preserve">, particularly </w:t>
      </w:r>
      <w:r w:rsidR="3B009953" w:rsidRPr="598A40B1">
        <w:rPr>
          <w:rFonts w:ascii="Times New Roman" w:eastAsia="Times New Roman" w:hAnsi="Times New Roman" w:cs="Times New Roman"/>
          <w:sz w:val="24"/>
          <w:szCs w:val="24"/>
        </w:rPr>
        <w:t xml:space="preserve">in roles </w:t>
      </w:r>
      <w:r w:rsidR="353F76A0" w:rsidRPr="598A40B1">
        <w:rPr>
          <w:rFonts w:ascii="Times New Roman" w:eastAsia="Times New Roman" w:hAnsi="Times New Roman" w:cs="Times New Roman"/>
          <w:sz w:val="24"/>
          <w:szCs w:val="24"/>
        </w:rPr>
        <w:t xml:space="preserve">where interaction </w:t>
      </w:r>
      <w:r w:rsidR="005F7D40">
        <w:rPr>
          <w:rFonts w:ascii="Times New Roman" w:eastAsia="Times New Roman" w:hAnsi="Times New Roman" w:cs="Times New Roman"/>
          <w:sz w:val="24"/>
          <w:szCs w:val="24"/>
        </w:rPr>
        <w:t xml:space="preserve">with customers </w:t>
      </w:r>
      <w:r w:rsidR="353F76A0" w:rsidRPr="598A40B1">
        <w:rPr>
          <w:rFonts w:ascii="Times New Roman" w:eastAsia="Times New Roman" w:hAnsi="Times New Roman" w:cs="Times New Roman"/>
          <w:sz w:val="24"/>
          <w:szCs w:val="24"/>
        </w:rPr>
        <w:t xml:space="preserve">is not required </w:t>
      </w:r>
      <w:r w:rsidR="009360A6">
        <w:rPr>
          <w:rFonts w:ascii="Times New Roman" w:eastAsia="Times New Roman" w:hAnsi="Times New Roman" w:cs="Times New Roman"/>
          <w:sz w:val="24"/>
          <w:szCs w:val="24"/>
        </w:rPr>
        <w:t>(</w:t>
      </w:r>
      <w:r w:rsidR="353F76A0" w:rsidRPr="598A40B1">
        <w:rPr>
          <w:rFonts w:ascii="Times New Roman" w:eastAsia="Times New Roman" w:hAnsi="Times New Roman" w:cs="Times New Roman"/>
          <w:sz w:val="24"/>
          <w:szCs w:val="24"/>
        </w:rPr>
        <w:t>for example</w:t>
      </w:r>
      <w:r w:rsidR="009360A6">
        <w:rPr>
          <w:rFonts w:ascii="Times New Roman" w:eastAsia="Times New Roman" w:hAnsi="Times New Roman" w:cs="Times New Roman"/>
          <w:sz w:val="24"/>
          <w:szCs w:val="24"/>
        </w:rPr>
        <w:t>,</w:t>
      </w:r>
      <w:r w:rsidR="353F76A0" w:rsidRPr="598A40B1">
        <w:rPr>
          <w:rFonts w:ascii="Times New Roman" w:eastAsia="Times New Roman" w:hAnsi="Times New Roman" w:cs="Times New Roman"/>
          <w:sz w:val="24"/>
          <w:szCs w:val="24"/>
        </w:rPr>
        <w:t xml:space="preserve"> in distribution warehouses or back of house roles in hospitality</w:t>
      </w:r>
      <w:r w:rsidR="009360A6">
        <w:rPr>
          <w:rFonts w:ascii="Times New Roman" w:eastAsia="Times New Roman" w:hAnsi="Times New Roman" w:cs="Times New Roman"/>
          <w:sz w:val="24"/>
          <w:szCs w:val="24"/>
        </w:rPr>
        <w:t>)</w:t>
      </w:r>
      <w:r w:rsidR="353F76A0" w:rsidRPr="598A40B1">
        <w:rPr>
          <w:rFonts w:ascii="Times New Roman" w:eastAsia="Times New Roman" w:hAnsi="Times New Roman" w:cs="Times New Roman"/>
          <w:sz w:val="24"/>
          <w:szCs w:val="24"/>
        </w:rPr>
        <w:t>.</w:t>
      </w:r>
      <w:r w:rsidR="3C58A483" w:rsidRPr="598A40B1">
        <w:rPr>
          <w:rFonts w:ascii="Times New Roman" w:eastAsia="Times New Roman" w:hAnsi="Times New Roman" w:cs="Times New Roman"/>
          <w:sz w:val="24"/>
          <w:szCs w:val="24"/>
        </w:rPr>
        <w:t xml:space="preserve"> A</w:t>
      </w:r>
      <w:r w:rsidR="07BE06F6" w:rsidRPr="598A40B1">
        <w:rPr>
          <w:rFonts w:ascii="Times New Roman" w:eastAsia="Times New Roman" w:hAnsi="Times New Roman" w:cs="Times New Roman"/>
          <w:sz w:val="24"/>
          <w:szCs w:val="24"/>
        </w:rPr>
        <w:t xml:space="preserve"> notable feature of these sectors is the use of deskilled work practices, which demotes the importance of English langu</w:t>
      </w:r>
      <w:r w:rsidR="37DE614D" w:rsidRPr="598A40B1">
        <w:rPr>
          <w:rFonts w:ascii="Times New Roman" w:eastAsia="Times New Roman" w:hAnsi="Times New Roman" w:cs="Times New Roman"/>
          <w:sz w:val="24"/>
          <w:szCs w:val="24"/>
        </w:rPr>
        <w:t xml:space="preserve">age proficiency.  </w:t>
      </w:r>
      <w:r w:rsidR="07BE06F6" w:rsidRPr="598A40B1">
        <w:rPr>
          <w:rFonts w:ascii="Times New Roman" w:eastAsia="Times New Roman" w:hAnsi="Times New Roman" w:cs="Times New Roman"/>
          <w:sz w:val="24"/>
          <w:szCs w:val="24"/>
        </w:rPr>
        <w:t>A</w:t>
      </w:r>
      <w:r w:rsidR="1F6E154B" w:rsidRPr="598A40B1">
        <w:rPr>
          <w:rFonts w:ascii="Times New Roman" w:eastAsia="Times New Roman" w:hAnsi="Times New Roman" w:cs="Times New Roman"/>
          <w:sz w:val="24"/>
          <w:szCs w:val="24"/>
        </w:rPr>
        <w:t xml:space="preserve"> further recurring theme is </w:t>
      </w:r>
      <w:r w:rsidR="0021557E">
        <w:rPr>
          <w:rFonts w:ascii="Times New Roman" w:eastAsia="Times New Roman" w:hAnsi="Times New Roman" w:cs="Times New Roman"/>
          <w:sz w:val="24"/>
          <w:szCs w:val="24"/>
        </w:rPr>
        <w:t xml:space="preserve">that </w:t>
      </w:r>
      <w:r w:rsidR="1F6E154B" w:rsidRPr="598A40B1">
        <w:rPr>
          <w:rFonts w:ascii="Times New Roman" w:eastAsia="Times New Roman" w:hAnsi="Times New Roman" w:cs="Times New Roman"/>
          <w:sz w:val="24"/>
          <w:szCs w:val="24"/>
        </w:rPr>
        <w:t xml:space="preserve">of managers comparing these migrant workers to those from the UK using the term </w:t>
      </w:r>
      <w:r w:rsidR="009360A6">
        <w:rPr>
          <w:rFonts w:ascii="Times New Roman" w:eastAsia="Times New Roman" w:hAnsi="Times New Roman" w:cs="Times New Roman"/>
          <w:sz w:val="24"/>
          <w:szCs w:val="24"/>
        </w:rPr>
        <w:t>‘</w:t>
      </w:r>
      <w:r w:rsidR="1F6E154B" w:rsidRPr="598A40B1">
        <w:rPr>
          <w:rFonts w:ascii="Times New Roman" w:eastAsia="Times New Roman" w:hAnsi="Times New Roman" w:cs="Times New Roman"/>
          <w:sz w:val="24"/>
          <w:szCs w:val="24"/>
        </w:rPr>
        <w:t>work ethic</w:t>
      </w:r>
      <w:r w:rsidR="009360A6">
        <w:rPr>
          <w:rFonts w:ascii="Times New Roman" w:eastAsia="Times New Roman" w:hAnsi="Times New Roman" w:cs="Times New Roman"/>
          <w:sz w:val="24"/>
          <w:szCs w:val="24"/>
        </w:rPr>
        <w:t>’</w:t>
      </w:r>
      <w:r w:rsidR="1F6E154B" w:rsidRPr="598A40B1">
        <w:rPr>
          <w:rFonts w:ascii="Times New Roman" w:eastAsia="Times New Roman" w:hAnsi="Times New Roman" w:cs="Times New Roman"/>
          <w:sz w:val="24"/>
          <w:szCs w:val="24"/>
        </w:rPr>
        <w:t xml:space="preserve"> </w:t>
      </w:r>
      <w:r w:rsidR="42203D40" w:rsidRPr="598A40B1">
        <w:rPr>
          <w:rFonts w:ascii="Times New Roman" w:eastAsia="Times New Roman" w:hAnsi="Times New Roman" w:cs="Times New Roman"/>
          <w:sz w:val="24"/>
          <w:szCs w:val="24"/>
        </w:rPr>
        <w:t>as a differentiator, which we now examine in greater detail.</w:t>
      </w:r>
    </w:p>
    <w:p w14:paraId="6E1DB303" w14:textId="77777777" w:rsidR="00CB24BD" w:rsidRDefault="00CB24BD" w:rsidP="00CB2B19">
      <w:pPr>
        <w:spacing w:after="0" w:line="480" w:lineRule="auto"/>
        <w:jc w:val="both"/>
        <w:rPr>
          <w:rFonts w:ascii="Times New Roman" w:hAnsi="Times New Roman" w:cs="Times New Roman"/>
          <w:b/>
          <w:sz w:val="24"/>
          <w:szCs w:val="24"/>
        </w:rPr>
      </w:pPr>
    </w:p>
    <w:p w14:paraId="1E5CD43E" w14:textId="77777777" w:rsidR="002B27E6" w:rsidRDefault="002B27E6" w:rsidP="00CB2B19">
      <w:pPr>
        <w:spacing w:after="0" w:line="480" w:lineRule="auto"/>
        <w:jc w:val="both"/>
        <w:rPr>
          <w:rFonts w:ascii="Times New Roman" w:hAnsi="Times New Roman" w:cs="Times New Roman"/>
          <w:b/>
          <w:sz w:val="24"/>
          <w:szCs w:val="24"/>
        </w:rPr>
      </w:pPr>
    </w:p>
    <w:p w14:paraId="569DC985" w14:textId="119AD514" w:rsidR="00C04BA1" w:rsidRPr="003D6988" w:rsidRDefault="598A40B1" w:rsidP="003D6988">
      <w:pPr>
        <w:spacing w:after="0" w:line="480" w:lineRule="auto"/>
        <w:jc w:val="both"/>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Theoretical framework and empirical literature</w:t>
      </w:r>
    </w:p>
    <w:p w14:paraId="30250D71" w14:textId="77777777" w:rsidR="00CB24BD" w:rsidRDefault="00CB24BD" w:rsidP="00251B63">
      <w:pPr>
        <w:spacing w:after="0" w:line="480" w:lineRule="auto"/>
        <w:jc w:val="both"/>
        <w:rPr>
          <w:rFonts w:ascii="Times New Roman" w:eastAsia="Times New Roman" w:hAnsi="Times New Roman" w:cs="Times New Roman"/>
          <w:sz w:val="24"/>
          <w:szCs w:val="24"/>
        </w:rPr>
      </w:pPr>
    </w:p>
    <w:p w14:paraId="3BA91E15" w14:textId="6A455D56" w:rsidR="009814EF" w:rsidRPr="00F93371" w:rsidRDefault="598A40B1" w:rsidP="003D6988">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One of the key themes that has emerged from workplace studies of migrant workers is a preference among managers for A8 migrant workers over native workers (see e.g.  MacKenzie and Forde, 2009; Tannock, 2013). </w:t>
      </w:r>
      <w:r w:rsidR="00EF18E7">
        <w:rPr>
          <w:rFonts w:ascii="Times New Roman" w:eastAsia="Times New Roman" w:hAnsi="Times New Roman" w:cs="Times New Roman"/>
          <w:sz w:val="24"/>
          <w:szCs w:val="24"/>
        </w:rPr>
        <w:t xml:space="preserve">One explanation for this may be </w:t>
      </w:r>
      <w:r w:rsidR="00984EB8">
        <w:rPr>
          <w:rFonts w:ascii="Times New Roman" w:eastAsia="Times New Roman" w:hAnsi="Times New Roman" w:cs="Times New Roman"/>
          <w:sz w:val="24"/>
          <w:szCs w:val="24"/>
        </w:rPr>
        <w:t>the</w:t>
      </w:r>
      <w:r w:rsidR="00EF18E7">
        <w:rPr>
          <w:rFonts w:ascii="Times New Roman" w:eastAsia="Times New Roman" w:hAnsi="Times New Roman" w:cs="Times New Roman"/>
          <w:sz w:val="24"/>
          <w:szCs w:val="24"/>
        </w:rPr>
        <w:t xml:space="preserve"> opportunity to pay lower wages to migrant workers.  However, in the context of minimum wage </w:t>
      </w:r>
      <w:r w:rsidR="00984EB8">
        <w:rPr>
          <w:rFonts w:ascii="Times New Roman" w:eastAsia="Times New Roman" w:hAnsi="Times New Roman" w:cs="Times New Roman"/>
          <w:sz w:val="24"/>
          <w:szCs w:val="24"/>
        </w:rPr>
        <w:t>legislation that</w:t>
      </w:r>
      <w:r w:rsidR="00EF18E7">
        <w:rPr>
          <w:rFonts w:ascii="Times New Roman" w:eastAsia="Times New Roman" w:hAnsi="Times New Roman" w:cs="Times New Roman"/>
          <w:sz w:val="24"/>
          <w:szCs w:val="24"/>
        </w:rPr>
        <w:t xml:space="preserve"> limits this opportunity, </w:t>
      </w:r>
      <w:r w:rsidRPr="598A40B1">
        <w:rPr>
          <w:rFonts w:ascii="Times New Roman" w:eastAsia="Times New Roman" w:hAnsi="Times New Roman" w:cs="Times New Roman"/>
          <w:sz w:val="24"/>
          <w:szCs w:val="24"/>
        </w:rPr>
        <w:t xml:space="preserve">managers </w:t>
      </w:r>
      <w:r w:rsidR="00984EB8">
        <w:rPr>
          <w:rFonts w:ascii="Times New Roman" w:eastAsia="Times New Roman" w:hAnsi="Times New Roman" w:cs="Times New Roman"/>
          <w:sz w:val="24"/>
          <w:szCs w:val="24"/>
        </w:rPr>
        <w:t xml:space="preserve">cite the </w:t>
      </w:r>
      <w:r w:rsidRPr="598A40B1">
        <w:rPr>
          <w:rFonts w:ascii="Times New Roman" w:eastAsia="Times New Roman" w:hAnsi="Times New Roman" w:cs="Times New Roman"/>
          <w:sz w:val="24"/>
          <w:szCs w:val="24"/>
        </w:rPr>
        <w:t xml:space="preserve">stronger </w:t>
      </w:r>
      <w:r w:rsidR="00984EB8">
        <w:rPr>
          <w:rFonts w:ascii="Times New Roman" w:eastAsia="Times New Roman" w:hAnsi="Times New Roman" w:cs="Times New Roman"/>
          <w:sz w:val="24"/>
          <w:szCs w:val="24"/>
        </w:rPr>
        <w:t xml:space="preserve">migrant </w:t>
      </w:r>
      <w:r w:rsidRPr="598A40B1">
        <w:rPr>
          <w:rFonts w:ascii="Times New Roman" w:eastAsia="Times New Roman" w:hAnsi="Times New Roman" w:cs="Times New Roman"/>
          <w:sz w:val="24"/>
          <w:szCs w:val="24"/>
        </w:rPr>
        <w:t xml:space="preserve">work ethic </w:t>
      </w:r>
      <w:r w:rsidR="00984EB8">
        <w:rPr>
          <w:rFonts w:ascii="Times New Roman" w:eastAsia="Times New Roman" w:hAnsi="Times New Roman" w:cs="Times New Roman"/>
          <w:sz w:val="24"/>
          <w:szCs w:val="24"/>
        </w:rPr>
        <w:t xml:space="preserve">as a key reason for choosing migrants over </w:t>
      </w:r>
      <w:r w:rsidRPr="598A40B1">
        <w:rPr>
          <w:rFonts w:ascii="Times New Roman" w:eastAsia="Times New Roman" w:hAnsi="Times New Roman" w:cs="Times New Roman"/>
          <w:sz w:val="24"/>
          <w:szCs w:val="24"/>
        </w:rPr>
        <w:t xml:space="preserve">native workers. But what is this work ethic? Managers repeatedly pointed to low absence in particular, with </w:t>
      </w:r>
      <w:r w:rsidR="0007775B">
        <w:rPr>
          <w:rFonts w:ascii="Times New Roman" w:eastAsia="Times New Roman" w:hAnsi="Times New Roman" w:cs="Times New Roman"/>
          <w:sz w:val="24"/>
          <w:szCs w:val="24"/>
        </w:rPr>
        <w:t>Hopkins</w:t>
      </w:r>
      <w:r w:rsidRPr="598A40B1">
        <w:rPr>
          <w:rFonts w:ascii="Times New Roman" w:eastAsia="Times New Roman" w:hAnsi="Times New Roman" w:cs="Times New Roman"/>
          <w:sz w:val="24"/>
          <w:szCs w:val="24"/>
        </w:rPr>
        <w:t xml:space="preserve">’s (2014) study of absence management finding that managers consider A8 migrants to take less sickness absence than their UK colleagues. </w:t>
      </w:r>
      <w:r w:rsidR="0007775B">
        <w:rPr>
          <w:rFonts w:ascii="Times New Roman" w:eastAsia="Times New Roman" w:hAnsi="Times New Roman" w:cs="Times New Roman"/>
          <w:sz w:val="24"/>
          <w:szCs w:val="24"/>
        </w:rPr>
        <w:t>Hopkins</w:t>
      </w:r>
      <w:r w:rsidR="24AD912A" w:rsidRPr="006779F4">
        <w:rPr>
          <w:rFonts w:ascii="Times New Roman" w:eastAsia="Times New Roman" w:hAnsi="Times New Roman" w:cs="Times New Roman"/>
          <w:sz w:val="24"/>
          <w:szCs w:val="24"/>
        </w:rPr>
        <w:t xml:space="preserve"> (2014) </w:t>
      </w:r>
      <w:r w:rsidR="00606CAB">
        <w:rPr>
          <w:rFonts w:ascii="Times New Roman" w:eastAsia="Times New Roman" w:hAnsi="Times New Roman" w:cs="Times New Roman"/>
          <w:sz w:val="24"/>
          <w:szCs w:val="24"/>
        </w:rPr>
        <w:t xml:space="preserve">also </w:t>
      </w:r>
      <w:r w:rsidR="24AD912A" w:rsidRPr="006779F4">
        <w:rPr>
          <w:rFonts w:ascii="Times New Roman" w:eastAsia="Times New Roman" w:hAnsi="Times New Roman" w:cs="Times New Roman"/>
          <w:sz w:val="24"/>
          <w:szCs w:val="24"/>
        </w:rPr>
        <w:t>examined the influences o</w:t>
      </w:r>
      <w:r w:rsidR="3CA3387B" w:rsidRPr="006779F4">
        <w:rPr>
          <w:rFonts w:ascii="Times New Roman" w:eastAsia="Times New Roman" w:hAnsi="Times New Roman" w:cs="Times New Roman"/>
          <w:sz w:val="24"/>
          <w:szCs w:val="24"/>
        </w:rPr>
        <w:t>f</w:t>
      </w:r>
      <w:r w:rsidR="24AD912A" w:rsidRPr="006779F4">
        <w:rPr>
          <w:rFonts w:ascii="Times New Roman" w:eastAsia="Times New Roman" w:hAnsi="Times New Roman" w:cs="Times New Roman"/>
          <w:sz w:val="24"/>
          <w:szCs w:val="24"/>
        </w:rPr>
        <w:t xml:space="preserve"> factors other than </w:t>
      </w:r>
      <w:r w:rsidR="00F93371" w:rsidRPr="006779F4">
        <w:rPr>
          <w:rFonts w:ascii="Times New Roman" w:eastAsia="Times New Roman" w:hAnsi="Times New Roman" w:cs="Times New Roman"/>
          <w:sz w:val="24"/>
          <w:szCs w:val="24"/>
        </w:rPr>
        <w:t>ill health</w:t>
      </w:r>
      <w:r w:rsidR="24AD912A" w:rsidRPr="006779F4">
        <w:rPr>
          <w:rFonts w:ascii="Times New Roman" w:eastAsia="Times New Roman" w:hAnsi="Times New Roman" w:cs="Times New Roman"/>
          <w:sz w:val="24"/>
          <w:szCs w:val="24"/>
        </w:rPr>
        <w:t xml:space="preserve"> on absence, following Edwards and Scullion’s (1982) view that absence must also be considered as a response to managerial </w:t>
      </w:r>
      <w:r w:rsidR="00DD1A78">
        <w:rPr>
          <w:rFonts w:ascii="Times New Roman" w:eastAsia="Times New Roman" w:hAnsi="Times New Roman" w:cs="Times New Roman"/>
          <w:sz w:val="24"/>
          <w:szCs w:val="24"/>
        </w:rPr>
        <w:t>control</w:t>
      </w:r>
      <w:r w:rsidR="24AD912A" w:rsidRPr="006779F4">
        <w:rPr>
          <w:rFonts w:ascii="Times New Roman" w:eastAsia="Times New Roman" w:hAnsi="Times New Roman" w:cs="Times New Roman"/>
          <w:sz w:val="24"/>
          <w:szCs w:val="24"/>
        </w:rPr>
        <w:t>.</w:t>
      </w:r>
      <w:r w:rsidR="534BDAF5" w:rsidRPr="006779F4">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Qualitative evidence from workplace studies, such as those of MacKenzie and Forde (2009) and Tannock (2013), reveals that managers propose a link between this work ethic and migration and, as a result, they prefer migrant to native workers. Matthews and Ruhs (2007) suggest that in lower skilled roles employers will actually prefer a ‘good work ethic’ over more recognisable qualifications or skills. This creates complex hierarchies among potential recruits, where “workers are often – and in some cases primarily – distinguished and recruited on the basis of their nationality” (Matthews and Ruhs, 2007: 29).  These findings in the UK match with previous research in other countries, for example that of Chiswick (1978) and Waldinger and Lichter (2003), who find a preference for migrant workers among US managers. Waldinger and Lichter (2003: 176) find that managers reported that they preferred Latino migrants as they “liked to work”, while African Americans were reported to be too “Americanized” and thus more likely to demand higher wages and better conditions.</w:t>
      </w:r>
    </w:p>
    <w:p w14:paraId="4092D34C" w14:textId="77777777" w:rsidR="00E915F6" w:rsidRPr="00182D67" w:rsidRDefault="00E915F6" w:rsidP="00251B63">
      <w:pPr>
        <w:spacing w:after="0" w:line="480" w:lineRule="auto"/>
        <w:jc w:val="both"/>
        <w:rPr>
          <w:rFonts w:ascii="Times New Roman" w:hAnsi="Times New Roman" w:cs="Times New Roman"/>
          <w:sz w:val="24"/>
          <w:szCs w:val="24"/>
        </w:rPr>
      </w:pPr>
    </w:p>
    <w:p w14:paraId="61F3EED5" w14:textId="31301F97" w:rsidR="003F5C0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Within the context of this article, it is argued that the stronger migrant work ethic is directly linked to migrant labour market power and, in particular, low levels of English language proficiency and issues around the portability of qualifications. This is despite the higher levels of human capital among this group, as evidenced by higher levels of qualifications (</w:t>
      </w:r>
      <w:r w:rsidR="0007775B">
        <w:rPr>
          <w:rFonts w:ascii="Times New Roman" w:eastAsia="Times New Roman" w:hAnsi="Times New Roman" w:cs="Times New Roman"/>
          <w:sz w:val="24"/>
          <w:szCs w:val="24"/>
        </w:rPr>
        <w:t>Hopkins</w:t>
      </w:r>
      <w:r w:rsidR="4AD89472" w:rsidRPr="598A40B1">
        <w:rPr>
          <w:rFonts w:ascii="Times New Roman" w:eastAsia="Times New Roman" w:hAnsi="Times New Roman" w:cs="Times New Roman"/>
          <w:sz w:val="24"/>
          <w:szCs w:val="24"/>
        </w:rPr>
        <w:t xml:space="preserve"> and </w:t>
      </w:r>
      <w:r w:rsidR="0007775B">
        <w:rPr>
          <w:rFonts w:ascii="Times New Roman" w:eastAsia="Times New Roman" w:hAnsi="Times New Roman" w:cs="Times New Roman"/>
          <w:sz w:val="24"/>
          <w:szCs w:val="24"/>
        </w:rPr>
        <w:t>Dawson</w:t>
      </w:r>
      <w:r w:rsidR="4AD89472" w:rsidRPr="598A40B1">
        <w:rPr>
          <w:rFonts w:ascii="Times New Roman" w:eastAsia="Times New Roman" w:hAnsi="Times New Roman" w:cs="Times New Roman"/>
          <w:sz w:val="24"/>
          <w:szCs w:val="24"/>
        </w:rPr>
        <w:t>, 2016</w:t>
      </w:r>
      <w:r w:rsidR="001242C2">
        <w:rPr>
          <w:rFonts w:ascii="Times New Roman" w:eastAsia="Times New Roman" w:hAnsi="Times New Roman" w:cs="Times New Roman"/>
          <w:sz w:val="24"/>
          <w:szCs w:val="24"/>
        </w:rPr>
        <w:t>; Wadsworth, 2015</w:t>
      </w:r>
      <w:r w:rsidRPr="598A40B1">
        <w:rPr>
          <w:rFonts w:ascii="Times New Roman" w:eastAsia="Times New Roman" w:hAnsi="Times New Roman" w:cs="Times New Roman"/>
          <w:sz w:val="24"/>
          <w:szCs w:val="24"/>
        </w:rPr>
        <w:t xml:space="preserve">). Firstly, </w:t>
      </w:r>
      <w:r w:rsidRPr="598A40B1">
        <w:rPr>
          <w:rFonts w:ascii="Times New Roman" w:eastAsia="Times New Roman" w:hAnsi="Times New Roman" w:cs="Times New Roman"/>
          <w:sz w:val="24"/>
          <w:szCs w:val="24"/>
          <w:lang w:eastAsia="en-GB"/>
        </w:rPr>
        <w:t xml:space="preserve">migrants may endeavour to negate these issues by being more compliant to the demands of employers, which is often termed by these employers as the ‘migrant work ethic’ (see, for example, </w:t>
      </w:r>
      <w:r w:rsidRPr="598A40B1">
        <w:rPr>
          <w:rFonts w:ascii="Times New Roman" w:eastAsia="Times New Roman" w:hAnsi="Times New Roman" w:cs="Times New Roman"/>
          <w:sz w:val="24"/>
          <w:szCs w:val="24"/>
        </w:rPr>
        <w:t>MacKenzie and Forde, 2009</w:t>
      </w:r>
      <w:r w:rsidRPr="598A40B1">
        <w:rPr>
          <w:rFonts w:ascii="Times New Roman" w:eastAsia="Times New Roman" w:hAnsi="Times New Roman" w:cs="Times New Roman"/>
          <w:sz w:val="24"/>
          <w:szCs w:val="24"/>
          <w:lang w:eastAsia="en-GB"/>
        </w:rPr>
        <w:t>). Secondly, a particular consequence of lower migrant labour market power is that</w:t>
      </w:r>
      <w:r w:rsidRPr="598A40B1">
        <w:rPr>
          <w:rFonts w:ascii="Times New Roman" w:eastAsia="Times New Roman" w:hAnsi="Times New Roman" w:cs="Times New Roman"/>
          <w:sz w:val="24"/>
          <w:szCs w:val="24"/>
        </w:rPr>
        <w:t xml:space="preserve"> migrants are forced to supply labour in low-paying, low-skilled employment </w:t>
      </w:r>
      <w:r w:rsidR="00D24161" w:rsidRPr="598A40B1">
        <w:rPr>
          <w:rFonts w:ascii="Times New Roman" w:eastAsia="Times New Roman" w:hAnsi="Times New Roman" w:cs="Times New Roman"/>
          <w:sz w:val="24"/>
          <w:szCs w:val="24"/>
        </w:rPr>
        <w:t>positions, which</w:t>
      </w:r>
      <w:r w:rsidRPr="598A40B1">
        <w:rPr>
          <w:rFonts w:ascii="Times New Roman" w:eastAsia="Times New Roman" w:hAnsi="Times New Roman" w:cs="Times New Roman"/>
          <w:sz w:val="24"/>
          <w:szCs w:val="24"/>
        </w:rPr>
        <w:t xml:space="preserve"> do not adequately reflect their particular skills (McCollum and Findlay, 2015). More specifically, Clark and Drinkwater (2008) find that recent migrants from the A8 countries have the lowest returns to their skills, and relate this to the issue of English language proficiency. Related to this, Dustmann and Faber (2005) find that language proficiency is lowest among those groups that have the largest disadvantages in the labour market. In conjunction with language proficiency, Friedberg (2000) argues that another reason for this poor ability to obtain higher skilled roles is a lack of portability of skills and qualifications between countries, with managers unaware of the value of these if they are earned outside the host nation (see also Clark and Drinkwater, 2008; Dustmann and Faber, 2005; Dustmann et al., 2013; Eckstein and Weiss, 2004). </w:t>
      </w:r>
      <w:r w:rsidR="00EF18E7">
        <w:rPr>
          <w:rFonts w:ascii="Times New Roman" w:eastAsia="Times New Roman" w:hAnsi="Times New Roman" w:cs="Times New Roman"/>
          <w:sz w:val="24"/>
          <w:szCs w:val="24"/>
        </w:rPr>
        <w:t xml:space="preserve">Although this would </w:t>
      </w:r>
      <w:r w:rsidR="00771467">
        <w:rPr>
          <w:rFonts w:ascii="Times New Roman" w:eastAsia="Times New Roman" w:hAnsi="Times New Roman" w:cs="Times New Roman"/>
          <w:sz w:val="24"/>
          <w:szCs w:val="24"/>
        </w:rPr>
        <w:t xml:space="preserve">also </w:t>
      </w:r>
      <w:r w:rsidR="00EF18E7">
        <w:rPr>
          <w:rFonts w:ascii="Times New Roman" w:eastAsia="Times New Roman" w:hAnsi="Times New Roman" w:cs="Times New Roman"/>
          <w:sz w:val="24"/>
          <w:szCs w:val="24"/>
        </w:rPr>
        <w:t xml:space="preserve">be the case for migrant workers from other </w:t>
      </w:r>
      <w:r w:rsidR="00771467">
        <w:rPr>
          <w:rFonts w:ascii="Times New Roman" w:eastAsia="Times New Roman" w:hAnsi="Times New Roman" w:cs="Times New Roman"/>
          <w:sz w:val="24"/>
          <w:szCs w:val="24"/>
        </w:rPr>
        <w:t xml:space="preserve">EU </w:t>
      </w:r>
      <w:r w:rsidR="00EF18E7">
        <w:rPr>
          <w:rFonts w:ascii="Times New Roman" w:eastAsia="Times New Roman" w:hAnsi="Times New Roman" w:cs="Times New Roman"/>
          <w:sz w:val="24"/>
          <w:szCs w:val="24"/>
        </w:rPr>
        <w:t xml:space="preserve">nations, workplace studies have </w:t>
      </w:r>
      <w:r w:rsidR="00771467">
        <w:rPr>
          <w:rFonts w:ascii="Times New Roman" w:eastAsia="Times New Roman" w:hAnsi="Times New Roman" w:cs="Times New Roman"/>
          <w:sz w:val="24"/>
          <w:szCs w:val="24"/>
        </w:rPr>
        <w:t>confirmed</w:t>
      </w:r>
      <w:r w:rsidR="00EF18E7">
        <w:rPr>
          <w:rFonts w:ascii="Times New Roman" w:eastAsia="Times New Roman" w:hAnsi="Times New Roman" w:cs="Times New Roman"/>
          <w:sz w:val="24"/>
          <w:szCs w:val="24"/>
        </w:rPr>
        <w:t xml:space="preserve"> the diversity of qualifications across </w:t>
      </w:r>
      <w:r w:rsidR="00771467">
        <w:rPr>
          <w:rFonts w:ascii="Times New Roman" w:eastAsia="Times New Roman" w:hAnsi="Times New Roman" w:cs="Times New Roman"/>
          <w:sz w:val="24"/>
          <w:szCs w:val="24"/>
        </w:rPr>
        <w:t xml:space="preserve">the </w:t>
      </w:r>
      <w:r w:rsidR="00EF18E7">
        <w:rPr>
          <w:rFonts w:ascii="Times New Roman" w:eastAsia="Times New Roman" w:hAnsi="Times New Roman" w:cs="Times New Roman"/>
          <w:sz w:val="24"/>
          <w:szCs w:val="24"/>
        </w:rPr>
        <w:t xml:space="preserve">eight new accession states as contributing to </w:t>
      </w:r>
      <w:r w:rsidR="00771467">
        <w:rPr>
          <w:rFonts w:ascii="Times New Roman" w:eastAsia="Times New Roman" w:hAnsi="Times New Roman" w:cs="Times New Roman"/>
          <w:sz w:val="24"/>
          <w:szCs w:val="24"/>
        </w:rPr>
        <w:t xml:space="preserve">the </w:t>
      </w:r>
      <w:r w:rsidR="00EF18E7">
        <w:rPr>
          <w:rFonts w:ascii="Times New Roman" w:eastAsia="Times New Roman" w:hAnsi="Times New Roman" w:cs="Times New Roman"/>
          <w:sz w:val="24"/>
          <w:szCs w:val="24"/>
        </w:rPr>
        <w:t xml:space="preserve">lack of </w:t>
      </w:r>
      <w:r w:rsidR="00D428F1">
        <w:rPr>
          <w:rFonts w:ascii="Times New Roman" w:eastAsia="Times New Roman" w:hAnsi="Times New Roman" w:cs="Times New Roman"/>
          <w:sz w:val="24"/>
          <w:szCs w:val="24"/>
        </w:rPr>
        <w:t xml:space="preserve">portability </w:t>
      </w:r>
      <w:r w:rsidR="00EF18E7">
        <w:rPr>
          <w:rFonts w:ascii="Times New Roman" w:eastAsia="Times New Roman" w:hAnsi="Times New Roman" w:cs="Times New Roman"/>
          <w:sz w:val="24"/>
          <w:szCs w:val="24"/>
        </w:rPr>
        <w:t>(</w:t>
      </w:r>
      <w:r w:rsidR="0007775B">
        <w:rPr>
          <w:rFonts w:ascii="Times New Roman" w:eastAsia="Times New Roman" w:hAnsi="Times New Roman" w:cs="Times New Roman"/>
          <w:sz w:val="24"/>
          <w:szCs w:val="24"/>
        </w:rPr>
        <w:t>Hopkins</w:t>
      </w:r>
      <w:r w:rsidR="00EF18E7">
        <w:rPr>
          <w:rFonts w:ascii="Times New Roman" w:eastAsia="Times New Roman" w:hAnsi="Times New Roman" w:cs="Times New Roman"/>
          <w:sz w:val="24"/>
          <w:szCs w:val="24"/>
        </w:rPr>
        <w:t>, 201</w:t>
      </w:r>
      <w:r w:rsidR="00E41C62">
        <w:rPr>
          <w:rFonts w:ascii="Times New Roman" w:eastAsia="Times New Roman" w:hAnsi="Times New Roman" w:cs="Times New Roman"/>
          <w:sz w:val="24"/>
          <w:szCs w:val="24"/>
        </w:rPr>
        <w:t>7</w:t>
      </w:r>
      <w:r w:rsidR="00EF18E7">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This is a contributory factor in the majority of recent migrant workers in the UK taking low-skill jobs (Alberti, 2014), despite their relatively high levels of formal education (</w:t>
      </w:r>
      <w:r w:rsidR="0007775B">
        <w:rPr>
          <w:rFonts w:ascii="Times New Roman" w:eastAsia="Times New Roman" w:hAnsi="Times New Roman" w:cs="Times New Roman"/>
          <w:sz w:val="24"/>
          <w:szCs w:val="24"/>
        </w:rPr>
        <w:t>Hopkins</w:t>
      </w:r>
      <w:r w:rsidR="025B28F8" w:rsidRPr="598A40B1">
        <w:rPr>
          <w:rFonts w:ascii="Times New Roman" w:eastAsia="Times New Roman" w:hAnsi="Times New Roman" w:cs="Times New Roman"/>
          <w:sz w:val="24"/>
          <w:szCs w:val="24"/>
        </w:rPr>
        <w:t xml:space="preserve"> and </w:t>
      </w:r>
      <w:r w:rsidR="0007775B">
        <w:rPr>
          <w:rFonts w:ascii="Times New Roman" w:eastAsia="Times New Roman" w:hAnsi="Times New Roman" w:cs="Times New Roman"/>
          <w:sz w:val="24"/>
          <w:szCs w:val="24"/>
        </w:rPr>
        <w:t>Dawson</w:t>
      </w:r>
      <w:r w:rsidR="025B28F8" w:rsidRPr="598A40B1">
        <w:rPr>
          <w:rFonts w:ascii="Times New Roman" w:eastAsia="Times New Roman" w:hAnsi="Times New Roman" w:cs="Times New Roman"/>
          <w:sz w:val="24"/>
          <w:szCs w:val="24"/>
        </w:rPr>
        <w:t>, 2016</w:t>
      </w:r>
      <w:r w:rsidRPr="598A40B1">
        <w:rPr>
          <w:rFonts w:ascii="Times New Roman" w:eastAsia="Times New Roman" w:hAnsi="Times New Roman" w:cs="Times New Roman"/>
          <w:sz w:val="24"/>
          <w:szCs w:val="24"/>
        </w:rPr>
        <w:t xml:space="preserve">). </w:t>
      </w:r>
      <w:r w:rsidR="007D0763">
        <w:rPr>
          <w:rFonts w:ascii="Times New Roman" w:eastAsia="Times New Roman" w:hAnsi="Times New Roman" w:cs="Times New Roman"/>
          <w:sz w:val="24"/>
          <w:szCs w:val="24"/>
        </w:rPr>
        <w:t>Wadsworth (2015)</w:t>
      </w:r>
      <w:r w:rsidR="009415D1">
        <w:rPr>
          <w:rFonts w:ascii="Times New Roman" w:eastAsia="Times New Roman" w:hAnsi="Times New Roman" w:cs="Times New Roman"/>
          <w:sz w:val="24"/>
          <w:szCs w:val="24"/>
        </w:rPr>
        <w:t xml:space="preserve"> find</w:t>
      </w:r>
      <w:r w:rsidR="00B676DB">
        <w:rPr>
          <w:rFonts w:ascii="Times New Roman" w:eastAsia="Times New Roman" w:hAnsi="Times New Roman" w:cs="Times New Roman"/>
          <w:sz w:val="24"/>
          <w:szCs w:val="24"/>
        </w:rPr>
        <w:t>s</w:t>
      </w:r>
      <w:r w:rsidR="007D0763">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that the immigrant workforce in the UK is better qualified than the native workforce – for example, </w:t>
      </w:r>
      <w:r w:rsidR="001242C2">
        <w:rPr>
          <w:rFonts w:ascii="Times New Roman" w:eastAsia="Times New Roman" w:hAnsi="Times New Roman" w:cs="Times New Roman"/>
          <w:sz w:val="24"/>
          <w:szCs w:val="24"/>
        </w:rPr>
        <w:t>46</w:t>
      </w:r>
      <w:r w:rsidR="001242C2"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percent of the UK</w:t>
      </w:r>
      <w:r w:rsidR="005D5175">
        <w:rPr>
          <w:rFonts w:ascii="Times New Roman" w:eastAsia="Times New Roman" w:hAnsi="Times New Roman" w:cs="Times New Roman"/>
          <w:sz w:val="24"/>
          <w:szCs w:val="24"/>
        </w:rPr>
        <w:t>-born</w:t>
      </w:r>
      <w:r w:rsidRPr="598A40B1">
        <w:rPr>
          <w:rFonts w:ascii="Times New Roman" w:eastAsia="Times New Roman" w:hAnsi="Times New Roman" w:cs="Times New Roman"/>
          <w:sz w:val="24"/>
          <w:szCs w:val="24"/>
        </w:rPr>
        <w:t xml:space="preserve"> workforce </w:t>
      </w:r>
      <w:r w:rsidR="001242C2">
        <w:rPr>
          <w:rFonts w:ascii="Times New Roman" w:eastAsia="Times New Roman" w:hAnsi="Times New Roman" w:cs="Times New Roman"/>
          <w:sz w:val="24"/>
          <w:szCs w:val="24"/>
        </w:rPr>
        <w:t xml:space="preserve">left school </w:t>
      </w:r>
      <w:r w:rsidR="002F5BA2">
        <w:rPr>
          <w:rFonts w:ascii="Times New Roman" w:eastAsia="Times New Roman" w:hAnsi="Times New Roman" w:cs="Times New Roman"/>
          <w:sz w:val="24"/>
          <w:szCs w:val="24"/>
        </w:rPr>
        <w:t>aged</w:t>
      </w:r>
      <w:r w:rsidR="001242C2">
        <w:rPr>
          <w:rFonts w:ascii="Times New Roman" w:eastAsia="Times New Roman" w:hAnsi="Times New Roman" w:cs="Times New Roman"/>
          <w:sz w:val="24"/>
          <w:szCs w:val="24"/>
        </w:rPr>
        <w:t xml:space="preserve"> 16 </w:t>
      </w:r>
      <w:r w:rsidR="007B72E2">
        <w:rPr>
          <w:rFonts w:ascii="Times New Roman" w:eastAsia="Times New Roman" w:hAnsi="Times New Roman" w:cs="Times New Roman"/>
          <w:sz w:val="24"/>
          <w:szCs w:val="24"/>
        </w:rPr>
        <w:t xml:space="preserve">or </w:t>
      </w:r>
      <w:r w:rsidR="002F5BA2">
        <w:rPr>
          <w:rFonts w:ascii="Times New Roman" w:eastAsia="Times New Roman" w:hAnsi="Times New Roman" w:cs="Times New Roman"/>
          <w:sz w:val="24"/>
          <w:szCs w:val="24"/>
        </w:rPr>
        <w:t>younger</w:t>
      </w:r>
      <w:r w:rsidRPr="598A40B1">
        <w:rPr>
          <w:rFonts w:ascii="Times New Roman" w:eastAsia="Times New Roman" w:hAnsi="Times New Roman" w:cs="Times New Roman"/>
          <w:sz w:val="24"/>
          <w:szCs w:val="24"/>
        </w:rPr>
        <w:t xml:space="preserve">, </w:t>
      </w:r>
      <w:r w:rsidR="002F5BA2">
        <w:rPr>
          <w:rFonts w:ascii="Times New Roman" w:eastAsia="Times New Roman" w:hAnsi="Times New Roman" w:cs="Times New Roman"/>
          <w:sz w:val="24"/>
          <w:szCs w:val="24"/>
        </w:rPr>
        <w:t>compared to</w:t>
      </w:r>
      <w:r w:rsidR="001242C2">
        <w:rPr>
          <w:rFonts w:ascii="Times New Roman" w:eastAsia="Times New Roman" w:hAnsi="Times New Roman" w:cs="Times New Roman"/>
          <w:sz w:val="24"/>
          <w:szCs w:val="24"/>
        </w:rPr>
        <w:t xml:space="preserve"> </w:t>
      </w:r>
      <w:r w:rsidR="009B37D5">
        <w:rPr>
          <w:rFonts w:ascii="Times New Roman" w:eastAsia="Times New Roman" w:hAnsi="Times New Roman" w:cs="Times New Roman"/>
          <w:sz w:val="24"/>
          <w:szCs w:val="24"/>
        </w:rPr>
        <w:t>8</w:t>
      </w:r>
      <w:r w:rsidR="001242C2"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percent of the </w:t>
      </w:r>
      <w:r w:rsidR="009B37D5">
        <w:rPr>
          <w:rFonts w:ascii="Times New Roman" w:eastAsia="Times New Roman" w:hAnsi="Times New Roman" w:cs="Times New Roman"/>
          <w:sz w:val="24"/>
          <w:szCs w:val="24"/>
        </w:rPr>
        <w:t xml:space="preserve">A8 </w:t>
      </w:r>
      <w:r w:rsidRPr="598A40B1">
        <w:rPr>
          <w:rFonts w:ascii="Times New Roman" w:eastAsia="Times New Roman" w:hAnsi="Times New Roman" w:cs="Times New Roman"/>
          <w:sz w:val="24"/>
          <w:szCs w:val="24"/>
        </w:rPr>
        <w:t xml:space="preserve">migrant workforce. </w:t>
      </w:r>
    </w:p>
    <w:p w14:paraId="661E4E19" w14:textId="77777777" w:rsidR="00801FDD" w:rsidRPr="005D5175" w:rsidRDefault="00801FDD" w:rsidP="00251B63">
      <w:pPr>
        <w:spacing w:after="0" w:line="480" w:lineRule="auto"/>
        <w:jc w:val="both"/>
        <w:rPr>
          <w:rFonts w:ascii="Times New Roman" w:hAnsi="Times New Roman" w:cs="Times New Roman"/>
          <w:sz w:val="24"/>
          <w:szCs w:val="24"/>
        </w:rPr>
      </w:pPr>
    </w:p>
    <w:p w14:paraId="2961A04B" w14:textId="13AFAB5B" w:rsidR="00C04BA1"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lang w:eastAsia="en-GB"/>
        </w:rPr>
        <w:t>Within this context, a stronger migrant work ethic, for example through lower work absence, enables migrants to signal their underlying productivity to employers. While</w:t>
      </w:r>
      <w:r w:rsidRPr="598A40B1">
        <w:rPr>
          <w:rFonts w:ascii="Times New Roman" w:eastAsia="Times New Roman" w:hAnsi="Times New Roman" w:cs="Times New Roman"/>
          <w:sz w:val="24"/>
          <w:szCs w:val="24"/>
        </w:rPr>
        <w:t xml:space="preserve"> signalling usually takes place </w:t>
      </w:r>
      <w:r w:rsidRPr="3B009953">
        <w:rPr>
          <w:rFonts w:ascii="Times New Roman" w:eastAsia="Times New Roman" w:hAnsi="Times New Roman" w:cs="Times New Roman"/>
          <w:i/>
          <w:iCs/>
          <w:sz w:val="24"/>
          <w:szCs w:val="24"/>
        </w:rPr>
        <w:t>ex ante</w:t>
      </w:r>
      <w:r w:rsidRPr="598A40B1">
        <w:rPr>
          <w:rFonts w:ascii="Times New Roman" w:eastAsia="Times New Roman" w:hAnsi="Times New Roman" w:cs="Times New Roman"/>
          <w:sz w:val="24"/>
          <w:szCs w:val="24"/>
        </w:rPr>
        <w:t xml:space="preserve"> (e.g. Spence, 1973), as UK employers are not fully informed of the value of migrant qualifications (Friedberg, 2000; Clark and Drinkwater, 2008) then migrants will have to find an alternative way of demonstrating their skills and commitment </w:t>
      </w:r>
      <w:r w:rsidRPr="3B009953">
        <w:rPr>
          <w:rFonts w:ascii="Times New Roman" w:eastAsia="Times New Roman" w:hAnsi="Times New Roman" w:cs="Times New Roman"/>
          <w:i/>
          <w:iCs/>
          <w:sz w:val="24"/>
          <w:szCs w:val="24"/>
        </w:rPr>
        <w:t>ex post</w:t>
      </w:r>
      <w:r w:rsidRPr="598A40B1">
        <w:rPr>
          <w:rFonts w:ascii="Times New Roman" w:eastAsia="Times New Roman" w:hAnsi="Times New Roman" w:cs="Times New Roman"/>
          <w:sz w:val="24"/>
          <w:szCs w:val="24"/>
        </w:rPr>
        <w:t>, and signalling this through, in particular, lower levels of absence. As a comparison, Bradley et al. (2014) show that those on a probationary contract will demonstrate a superior work ethic through lower absence in an attempt to increase their chances of gaining a permanent contract. This signalling can therefore be seen as an attempt by individuals to overcome asymmetries of information and, for high-productivity migrant workers, to demonstrate to employers that they truly are more productive in order to be reallocated into more highly-skilled roles which adequately reflect their particular skill sets.</w:t>
      </w:r>
    </w:p>
    <w:p w14:paraId="231306BE" w14:textId="77777777" w:rsidR="00023623" w:rsidRPr="00182D67" w:rsidRDefault="00023623" w:rsidP="00251B63">
      <w:pPr>
        <w:spacing w:after="0" w:line="480" w:lineRule="auto"/>
        <w:jc w:val="both"/>
        <w:rPr>
          <w:rFonts w:ascii="Times New Roman" w:hAnsi="Times New Roman" w:cs="Times New Roman"/>
          <w:sz w:val="24"/>
          <w:szCs w:val="24"/>
        </w:rPr>
      </w:pPr>
    </w:p>
    <w:p w14:paraId="6F80A94E" w14:textId="561EC5D7" w:rsidR="00023623"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While recent A8 migrants are likely to face disadvantages in the UK labour market relative to comparable natives, the pioneering work of Chiswick (1978) showed that, although immigrants earn less than natives when first arriving, there was equality of earnings for immigrants in the US ten to fifteen years following their arrival (although this varied across ethnicities, with Mexican-born immigrants performing less well). The “assimilationist” interpretation of this finding is that, after arrival, migrants will accumulate language skills, labour market information, and other skills specific to industries in the host country. Moreover, employers may have greater information concerning the work-related characteristics of these migrant workers. The accumulation of these skills is expected to increase the labour market power of migrants, leading to better employment prospects and to the assimilation of migrant wages</w:t>
      </w:r>
      <w:r w:rsidR="00C736DC">
        <w:rPr>
          <w:rFonts w:ascii="Times New Roman" w:eastAsia="Times New Roman" w:hAnsi="Times New Roman" w:cs="Times New Roman"/>
          <w:sz w:val="24"/>
          <w:szCs w:val="24"/>
        </w:rPr>
        <w:t>. Empirical evidence consistent with this assimilation is provided by</w:t>
      </w:r>
      <w:r w:rsidRPr="598A40B1">
        <w:rPr>
          <w:rFonts w:ascii="Times New Roman" w:eastAsia="Times New Roman" w:hAnsi="Times New Roman" w:cs="Times New Roman"/>
          <w:sz w:val="24"/>
          <w:szCs w:val="24"/>
        </w:rPr>
        <w:t xml:space="preserve"> Clark and Lindley</w:t>
      </w:r>
      <w:r w:rsidR="00C736DC">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2009</w:t>
      </w:r>
      <w:r w:rsidR="00C736DC">
        <w:rPr>
          <w:rFonts w:ascii="Times New Roman" w:eastAsia="Times New Roman" w:hAnsi="Times New Roman" w:cs="Times New Roman"/>
          <w:sz w:val="24"/>
          <w:szCs w:val="24"/>
        </w:rPr>
        <w:t>) and</w:t>
      </w:r>
      <w:r w:rsidRPr="598A40B1">
        <w:rPr>
          <w:rFonts w:ascii="Times New Roman" w:eastAsia="Times New Roman" w:hAnsi="Times New Roman" w:cs="Times New Roman"/>
          <w:sz w:val="24"/>
          <w:szCs w:val="24"/>
        </w:rPr>
        <w:t xml:space="preserve"> Dickens and McKnight </w:t>
      </w:r>
      <w:r w:rsidR="00C736DC">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2008). As this labour market assimilation process occurs, migrants will no longer have an incentive to signal productivity through additional effort, therefore their reliance on signalling through, for example, lower absence, will lessen. </w:t>
      </w:r>
    </w:p>
    <w:p w14:paraId="3C0476B8" w14:textId="77777777" w:rsidR="008A7EB3" w:rsidRDefault="008A7EB3" w:rsidP="00CB2B19">
      <w:pPr>
        <w:spacing w:after="0" w:line="480" w:lineRule="auto"/>
        <w:jc w:val="both"/>
        <w:rPr>
          <w:rFonts w:ascii="Times New Roman" w:eastAsia="Times New Roman" w:hAnsi="Times New Roman" w:cs="Times New Roman"/>
          <w:b/>
          <w:bCs/>
          <w:sz w:val="24"/>
          <w:szCs w:val="24"/>
        </w:rPr>
      </w:pPr>
    </w:p>
    <w:p w14:paraId="14629C36" w14:textId="3B42230C" w:rsidR="00403505" w:rsidRPr="00F93371" w:rsidRDefault="598A40B1" w:rsidP="00F93371">
      <w:pPr>
        <w:spacing w:after="0" w:line="480" w:lineRule="auto"/>
        <w:jc w:val="both"/>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Data and descriptive statistics</w:t>
      </w:r>
    </w:p>
    <w:p w14:paraId="35EC092D" w14:textId="77777777" w:rsidR="00023623" w:rsidRDefault="00023623" w:rsidP="00251B63">
      <w:pPr>
        <w:spacing w:after="0" w:line="480" w:lineRule="auto"/>
        <w:jc w:val="both"/>
        <w:rPr>
          <w:rFonts w:ascii="Times New Roman" w:eastAsia="Times New Roman" w:hAnsi="Times New Roman" w:cs="Times New Roman"/>
          <w:i/>
          <w:iCs/>
          <w:sz w:val="24"/>
          <w:szCs w:val="24"/>
        </w:rPr>
      </w:pPr>
    </w:p>
    <w:p w14:paraId="3B28D64B" w14:textId="2C87864F" w:rsidR="00023623" w:rsidRPr="00F93371" w:rsidRDefault="598A40B1" w:rsidP="00F93371">
      <w:pPr>
        <w:spacing w:after="0" w:line="480" w:lineRule="auto"/>
        <w:jc w:val="both"/>
        <w:rPr>
          <w:rFonts w:ascii="Times New Roman" w:eastAsia="Times New Roman" w:hAnsi="Times New Roman" w:cs="Times New Roman"/>
          <w:i/>
          <w:iCs/>
          <w:sz w:val="24"/>
          <w:szCs w:val="24"/>
        </w:rPr>
      </w:pPr>
      <w:r w:rsidRPr="3B009953">
        <w:rPr>
          <w:rFonts w:ascii="Times New Roman" w:eastAsia="Times New Roman" w:hAnsi="Times New Roman" w:cs="Times New Roman"/>
          <w:i/>
          <w:iCs/>
          <w:sz w:val="24"/>
          <w:szCs w:val="24"/>
        </w:rPr>
        <w:t>Data source and sample</w:t>
      </w:r>
    </w:p>
    <w:p w14:paraId="66385612" w14:textId="77777777" w:rsidR="00FA121A" w:rsidRPr="00FA121A" w:rsidRDefault="00FA121A" w:rsidP="00251B63">
      <w:pPr>
        <w:spacing w:after="0" w:line="480" w:lineRule="auto"/>
        <w:jc w:val="both"/>
        <w:rPr>
          <w:rFonts w:ascii="Times New Roman" w:hAnsi="Times New Roman" w:cs="Times New Roman"/>
          <w:i/>
          <w:sz w:val="24"/>
          <w:szCs w:val="24"/>
        </w:rPr>
      </w:pPr>
    </w:p>
    <w:p w14:paraId="2AD3A1C3" w14:textId="405230EC" w:rsidR="00DA578F" w:rsidRPr="00F93371" w:rsidRDefault="00905C9A" w:rsidP="00F93371">
      <w:pPr>
        <w:spacing w:after="0" w:line="480" w:lineRule="auto"/>
        <w:jc w:val="both"/>
        <w:rPr>
          <w:rFonts w:ascii="Times New Roman" w:eastAsia="Times New Roman" w:hAnsi="Times New Roman" w:cs="Times New Roman"/>
          <w:sz w:val="24"/>
          <w:szCs w:val="24"/>
        </w:rPr>
      </w:pPr>
      <w:r w:rsidRPr="4B9E7786">
        <w:rPr>
          <w:rFonts w:ascii="Times New Roman" w:eastAsia="Times New Roman" w:hAnsi="Times New Roman" w:cs="Times New Roman"/>
          <w:sz w:val="24"/>
          <w:szCs w:val="24"/>
        </w:rPr>
        <w:t>In o</w:t>
      </w:r>
      <w:r w:rsidR="007D37CD" w:rsidRPr="4B9E7786">
        <w:rPr>
          <w:rFonts w:ascii="Times New Roman" w:eastAsia="Times New Roman" w:hAnsi="Times New Roman" w:cs="Times New Roman"/>
          <w:sz w:val="24"/>
          <w:szCs w:val="24"/>
        </w:rPr>
        <w:t>rder to study the A8</w:t>
      </w:r>
      <w:r w:rsidR="003F1E57" w:rsidRPr="4B9E7786">
        <w:rPr>
          <w:rFonts w:ascii="Times New Roman" w:eastAsia="Times New Roman" w:hAnsi="Times New Roman" w:cs="Times New Roman"/>
          <w:sz w:val="24"/>
          <w:szCs w:val="24"/>
        </w:rPr>
        <w:t xml:space="preserve"> migrant </w:t>
      </w:r>
      <w:r w:rsidR="009D6F4F" w:rsidRPr="4B9E7786">
        <w:rPr>
          <w:rFonts w:ascii="Times New Roman" w:eastAsia="Times New Roman" w:hAnsi="Times New Roman" w:cs="Times New Roman"/>
          <w:sz w:val="24"/>
          <w:szCs w:val="24"/>
        </w:rPr>
        <w:t>work ethic</w:t>
      </w:r>
      <w:r w:rsidRPr="4B9E7786">
        <w:rPr>
          <w:rFonts w:ascii="Times New Roman" w:eastAsia="Times New Roman" w:hAnsi="Times New Roman" w:cs="Times New Roman"/>
          <w:sz w:val="24"/>
          <w:szCs w:val="24"/>
        </w:rPr>
        <w:t xml:space="preserve">, data drawn from the </w:t>
      </w:r>
      <w:r w:rsidR="003A01F0" w:rsidRPr="4B9E7786">
        <w:rPr>
          <w:rFonts w:ascii="Times New Roman" w:eastAsia="Times New Roman" w:hAnsi="Times New Roman" w:cs="Times New Roman"/>
          <w:sz w:val="24"/>
          <w:szCs w:val="24"/>
        </w:rPr>
        <w:t xml:space="preserve">October-December </w:t>
      </w:r>
      <w:r w:rsidR="00814D41" w:rsidRPr="4B9E7786">
        <w:rPr>
          <w:rFonts w:ascii="Times New Roman" w:eastAsia="Times New Roman" w:hAnsi="Times New Roman" w:cs="Times New Roman"/>
          <w:sz w:val="24"/>
          <w:szCs w:val="24"/>
        </w:rPr>
        <w:t xml:space="preserve">rounds </w:t>
      </w:r>
      <w:r w:rsidR="00487095" w:rsidRPr="4B9E7786">
        <w:rPr>
          <w:rFonts w:ascii="Times New Roman" w:eastAsia="Times New Roman" w:hAnsi="Times New Roman" w:cs="Times New Roman"/>
          <w:sz w:val="24"/>
          <w:szCs w:val="24"/>
        </w:rPr>
        <w:t xml:space="preserve">(fourth quarter) </w:t>
      </w:r>
      <w:r w:rsidR="003A01F0" w:rsidRPr="4B9E7786">
        <w:rPr>
          <w:rFonts w:ascii="Times New Roman" w:eastAsia="Times New Roman" w:hAnsi="Times New Roman" w:cs="Times New Roman"/>
          <w:sz w:val="24"/>
          <w:szCs w:val="24"/>
        </w:rPr>
        <w:t xml:space="preserve">of the </w:t>
      </w:r>
      <w:r w:rsidR="003F1E57" w:rsidRPr="4B9E7786">
        <w:rPr>
          <w:rFonts w:ascii="Times New Roman" w:eastAsia="Times New Roman" w:hAnsi="Times New Roman" w:cs="Times New Roman"/>
          <w:sz w:val="24"/>
          <w:szCs w:val="24"/>
        </w:rPr>
        <w:t>QLFS for the years 2005-2015</w:t>
      </w:r>
      <w:r w:rsidR="00053D09">
        <w:rPr>
          <w:rFonts w:ascii="Times New Roman" w:eastAsia="Times New Roman" w:hAnsi="Times New Roman" w:cs="Times New Roman"/>
          <w:sz w:val="24"/>
          <w:szCs w:val="24"/>
        </w:rPr>
        <w:t xml:space="preserve"> are utilized. </w:t>
      </w:r>
      <w:r w:rsidRPr="4B9E7786">
        <w:rPr>
          <w:rFonts w:ascii="Times New Roman" w:eastAsia="Times New Roman" w:hAnsi="Times New Roman" w:cs="Times New Roman"/>
          <w:sz w:val="24"/>
          <w:szCs w:val="24"/>
        </w:rPr>
        <w:t xml:space="preserve">The QLFS is particularly rich in information concerning </w:t>
      </w:r>
      <w:r w:rsidR="003F1E57" w:rsidRPr="4B9E7786">
        <w:rPr>
          <w:rFonts w:ascii="Times New Roman" w:eastAsia="Times New Roman" w:hAnsi="Times New Roman" w:cs="Times New Roman"/>
          <w:sz w:val="24"/>
          <w:szCs w:val="24"/>
        </w:rPr>
        <w:t>working hours and absence from work and this information can be used to construct absence measures</w:t>
      </w:r>
      <w:r w:rsidR="008C4971" w:rsidRPr="4B9E7786">
        <w:rPr>
          <w:rFonts w:ascii="Times New Roman" w:eastAsia="Times New Roman" w:hAnsi="Times New Roman" w:cs="Times New Roman"/>
          <w:sz w:val="24"/>
          <w:szCs w:val="24"/>
        </w:rPr>
        <w:t xml:space="preserve"> that proxy the </w:t>
      </w:r>
      <w:r w:rsidR="009D6F4F" w:rsidRPr="4B9E7786">
        <w:rPr>
          <w:rFonts w:ascii="Times New Roman" w:eastAsia="Times New Roman" w:hAnsi="Times New Roman" w:cs="Times New Roman"/>
          <w:sz w:val="24"/>
          <w:szCs w:val="24"/>
        </w:rPr>
        <w:t>work ethic</w:t>
      </w:r>
      <w:r w:rsidRPr="4B9E7786">
        <w:rPr>
          <w:rFonts w:ascii="Times New Roman" w:eastAsia="Times New Roman" w:hAnsi="Times New Roman" w:cs="Times New Roman"/>
          <w:sz w:val="24"/>
          <w:szCs w:val="24"/>
        </w:rPr>
        <w:t xml:space="preserve"> of individuals working in the UK. </w:t>
      </w:r>
      <w:r w:rsidR="005D2169" w:rsidRPr="4B9E7786">
        <w:rPr>
          <w:rFonts w:ascii="Times New Roman" w:eastAsia="Times New Roman" w:hAnsi="Times New Roman" w:cs="Times New Roman"/>
          <w:sz w:val="24"/>
          <w:szCs w:val="24"/>
        </w:rPr>
        <w:t xml:space="preserve">The QLFS </w:t>
      </w:r>
      <w:r w:rsidR="00370CB6" w:rsidRPr="4B9E7786">
        <w:rPr>
          <w:rFonts w:ascii="Times New Roman" w:eastAsia="Times New Roman" w:hAnsi="Times New Roman" w:cs="Times New Roman"/>
          <w:sz w:val="24"/>
          <w:szCs w:val="24"/>
        </w:rPr>
        <w:t xml:space="preserve">has </w:t>
      </w:r>
      <w:r w:rsidR="005D2169" w:rsidRPr="4B9E7786">
        <w:rPr>
          <w:rFonts w:ascii="Times New Roman" w:eastAsia="Times New Roman" w:hAnsi="Times New Roman" w:cs="Times New Roman"/>
          <w:sz w:val="24"/>
          <w:szCs w:val="24"/>
        </w:rPr>
        <w:t xml:space="preserve">a rotating panel structure, where each </w:t>
      </w:r>
      <w:r w:rsidR="000B4D9C" w:rsidRPr="4B9E7786">
        <w:rPr>
          <w:rFonts w:ascii="Times New Roman" w:eastAsia="Times New Roman" w:hAnsi="Times New Roman" w:cs="Times New Roman"/>
          <w:sz w:val="24"/>
          <w:szCs w:val="24"/>
        </w:rPr>
        <w:t xml:space="preserve">household </w:t>
      </w:r>
      <w:r w:rsidR="005D2169" w:rsidRPr="4B9E7786">
        <w:rPr>
          <w:rFonts w:ascii="Times New Roman" w:eastAsia="Times New Roman" w:hAnsi="Times New Roman" w:cs="Times New Roman"/>
          <w:sz w:val="24"/>
          <w:szCs w:val="24"/>
        </w:rPr>
        <w:t xml:space="preserve">member of the sample is interviewed for </w:t>
      </w:r>
      <w:r w:rsidR="0069215F" w:rsidRPr="4B9E7786">
        <w:rPr>
          <w:rFonts w:ascii="Times New Roman" w:eastAsia="Times New Roman" w:hAnsi="Times New Roman" w:cs="Times New Roman"/>
          <w:sz w:val="24"/>
          <w:szCs w:val="24"/>
        </w:rPr>
        <w:t>five</w:t>
      </w:r>
      <w:r w:rsidR="00C86879" w:rsidRPr="4B9E7786">
        <w:rPr>
          <w:rFonts w:ascii="Times New Roman" w:eastAsia="Times New Roman" w:hAnsi="Times New Roman" w:cs="Times New Roman"/>
          <w:sz w:val="24"/>
          <w:szCs w:val="24"/>
        </w:rPr>
        <w:t xml:space="preserve"> </w:t>
      </w:r>
      <w:r w:rsidR="005D2169" w:rsidRPr="4B9E7786">
        <w:rPr>
          <w:rFonts w:ascii="Times New Roman" w:eastAsia="Times New Roman" w:hAnsi="Times New Roman" w:cs="Times New Roman"/>
          <w:sz w:val="24"/>
          <w:szCs w:val="24"/>
        </w:rPr>
        <w:t>consecutive quarters/</w:t>
      </w:r>
      <w:r w:rsidR="00A279CE">
        <w:rPr>
          <w:rFonts w:ascii="Times New Roman" w:eastAsia="Times New Roman" w:hAnsi="Times New Roman" w:cs="Times New Roman"/>
          <w:sz w:val="24"/>
          <w:szCs w:val="24"/>
        </w:rPr>
        <w:t xml:space="preserve">waves. </w:t>
      </w:r>
      <w:r w:rsidR="00730349" w:rsidRPr="4B9E7786">
        <w:rPr>
          <w:rFonts w:ascii="Times New Roman" w:eastAsia="Times New Roman" w:hAnsi="Times New Roman" w:cs="Times New Roman"/>
          <w:sz w:val="24"/>
          <w:szCs w:val="24"/>
        </w:rPr>
        <w:t xml:space="preserve">Wave </w:t>
      </w:r>
      <w:r w:rsidR="00B15570" w:rsidRPr="4B9E7786">
        <w:rPr>
          <w:rFonts w:ascii="Times New Roman" w:eastAsia="Times New Roman" w:hAnsi="Times New Roman" w:cs="Times New Roman"/>
          <w:sz w:val="24"/>
          <w:szCs w:val="24"/>
        </w:rPr>
        <w:t xml:space="preserve">five </w:t>
      </w:r>
      <w:r w:rsidR="00730349" w:rsidRPr="4B9E7786">
        <w:rPr>
          <w:rFonts w:ascii="Times New Roman" w:eastAsia="Times New Roman" w:hAnsi="Times New Roman" w:cs="Times New Roman"/>
          <w:sz w:val="24"/>
          <w:szCs w:val="24"/>
        </w:rPr>
        <w:t xml:space="preserve">responses </w:t>
      </w:r>
      <w:r w:rsidR="008C1F3D" w:rsidRPr="4B9E7786">
        <w:rPr>
          <w:rFonts w:ascii="Times New Roman" w:eastAsia="Times New Roman" w:hAnsi="Times New Roman" w:cs="Times New Roman"/>
          <w:sz w:val="24"/>
          <w:szCs w:val="24"/>
        </w:rPr>
        <w:t>are excluded from the final sample</w:t>
      </w:r>
      <w:r w:rsidR="00730349" w:rsidRPr="4B9E7786">
        <w:rPr>
          <w:rFonts w:ascii="Times New Roman" w:eastAsia="Times New Roman" w:hAnsi="Times New Roman" w:cs="Times New Roman"/>
          <w:sz w:val="24"/>
          <w:szCs w:val="24"/>
        </w:rPr>
        <w:t xml:space="preserve"> to avoid duplicate </w:t>
      </w:r>
      <w:r w:rsidR="00B15570" w:rsidRPr="4B9E7786">
        <w:rPr>
          <w:rFonts w:ascii="Times New Roman" w:eastAsia="Times New Roman" w:hAnsi="Times New Roman" w:cs="Times New Roman"/>
          <w:sz w:val="24"/>
          <w:szCs w:val="24"/>
        </w:rPr>
        <w:t>observations for respondents that were observed in the</w:t>
      </w:r>
      <w:r w:rsidR="005F146B" w:rsidRPr="4B9E7786">
        <w:rPr>
          <w:rFonts w:ascii="Times New Roman" w:eastAsia="Times New Roman" w:hAnsi="Times New Roman" w:cs="Times New Roman"/>
          <w:sz w:val="24"/>
          <w:szCs w:val="24"/>
        </w:rPr>
        <w:t>ir</w:t>
      </w:r>
      <w:r w:rsidR="00B15570" w:rsidRPr="4B9E7786">
        <w:rPr>
          <w:rFonts w:ascii="Times New Roman" w:eastAsia="Times New Roman" w:hAnsi="Times New Roman" w:cs="Times New Roman"/>
          <w:sz w:val="24"/>
          <w:szCs w:val="24"/>
        </w:rPr>
        <w:t xml:space="preserve"> first wave in the previous year</w:t>
      </w:r>
      <w:r w:rsidR="005D2169" w:rsidRPr="4B9E7786">
        <w:rPr>
          <w:rFonts w:ascii="Times New Roman" w:eastAsia="Times New Roman" w:hAnsi="Times New Roman" w:cs="Times New Roman"/>
          <w:sz w:val="24"/>
          <w:szCs w:val="24"/>
        </w:rPr>
        <w:t>.</w:t>
      </w:r>
      <w:r w:rsidR="00DA578F" w:rsidRPr="4B9E7786">
        <w:rPr>
          <w:rStyle w:val="EndnoteReference"/>
          <w:rFonts w:ascii="Times New Roman" w:eastAsia="Times New Roman" w:hAnsi="Times New Roman" w:cs="Times New Roman"/>
          <w:sz w:val="24"/>
          <w:szCs w:val="24"/>
        </w:rPr>
        <w:endnoteReference w:id="3"/>
      </w:r>
      <w:r w:rsidR="00DA578F" w:rsidRPr="4B9E7786">
        <w:rPr>
          <w:rFonts w:ascii="Times New Roman" w:eastAsia="Times New Roman" w:hAnsi="Times New Roman" w:cs="Times New Roman"/>
          <w:sz w:val="24"/>
          <w:szCs w:val="24"/>
        </w:rPr>
        <w:t xml:space="preserve"> </w:t>
      </w:r>
      <w:r w:rsidR="00A279CE">
        <w:rPr>
          <w:rFonts w:ascii="Times New Roman" w:eastAsia="Times New Roman" w:hAnsi="Times New Roman" w:cs="Times New Roman"/>
          <w:sz w:val="24"/>
          <w:szCs w:val="24"/>
        </w:rPr>
        <w:t xml:space="preserve">The </w:t>
      </w:r>
      <w:r w:rsidR="00DA578F" w:rsidRPr="4B9E7786">
        <w:rPr>
          <w:rFonts w:ascii="Times New Roman" w:eastAsia="Times New Roman" w:hAnsi="Times New Roman" w:cs="Times New Roman"/>
          <w:sz w:val="24"/>
          <w:szCs w:val="24"/>
        </w:rPr>
        <w:t xml:space="preserve">sample </w:t>
      </w:r>
      <w:r w:rsidR="00A279CE">
        <w:rPr>
          <w:rFonts w:ascii="Times New Roman" w:eastAsia="Times New Roman" w:hAnsi="Times New Roman" w:cs="Times New Roman"/>
          <w:sz w:val="24"/>
          <w:szCs w:val="24"/>
        </w:rPr>
        <w:t xml:space="preserve">is also further restricted </w:t>
      </w:r>
      <w:r w:rsidR="00DA578F" w:rsidRPr="4B9E7786">
        <w:rPr>
          <w:rFonts w:ascii="Times New Roman" w:eastAsia="Times New Roman" w:hAnsi="Times New Roman" w:cs="Times New Roman"/>
          <w:sz w:val="24"/>
          <w:szCs w:val="24"/>
        </w:rPr>
        <w:t xml:space="preserve">to employees that are either UK nationals or A8 migrants. In the latter group, only migrants that arrived in the UK in or after 2004 </w:t>
      </w:r>
      <w:r w:rsidR="00A279CE">
        <w:rPr>
          <w:rFonts w:ascii="Times New Roman" w:eastAsia="Times New Roman" w:hAnsi="Times New Roman" w:cs="Times New Roman"/>
          <w:sz w:val="24"/>
          <w:szCs w:val="24"/>
        </w:rPr>
        <w:t xml:space="preserve">are included, </w:t>
      </w:r>
      <w:r w:rsidR="00DA578F" w:rsidRPr="4B9E7786">
        <w:rPr>
          <w:rFonts w:ascii="Times New Roman" w:eastAsia="Times New Roman" w:hAnsi="Times New Roman" w:cs="Times New Roman"/>
          <w:sz w:val="24"/>
          <w:szCs w:val="24"/>
        </w:rPr>
        <w:t>in order to specifically study the wave of migration from the A8 countries after the enla</w:t>
      </w:r>
      <w:r w:rsidR="00A279CE">
        <w:rPr>
          <w:rFonts w:ascii="Times New Roman" w:eastAsia="Times New Roman" w:hAnsi="Times New Roman" w:cs="Times New Roman"/>
          <w:sz w:val="24"/>
          <w:szCs w:val="24"/>
        </w:rPr>
        <w:t>rgement of the EU in that year. W</w:t>
      </w:r>
      <w:r w:rsidR="00DA578F" w:rsidRPr="4B9E7786">
        <w:rPr>
          <w:rFonts w:ascii="Times New Roman" w:eastAsia="Times New Roman" w:hAnsi="Times New Roman" w:cs="Times New Roman"/>
          <w:sz w:val="24"/>
          <w:szCs w:val="24"/>
        </w:rPr>
        <w:t xml:space="preserve">orkers that are full-time students, those that are under 16 years of age or above the state pension age (64 for men, 59 for women), and those that report over 90 usual weekly hours </w:t>
      </w:r>
      <w:r w:rsidR="00A279CE">
        <w:rPr>
          <w:rFonts w:ascii="Times New Roman" w:eastAsia="Times New Roman" w:hAnsi="Times New Roman" w:cs="Times New Roman"/>
          <w:sz w:val="24"/>
          <w:szCs w:val="24"/>
        </w:rPr>
        <w:t>(</w:t>
      </w:r>
      <w:r w:rsidR="00DA578F" w:rsidRPr="4B9E7786">
        <w:rPr>
          <w:rFonts w:ascii="Times New Roman" w:eastAsia="Times New Roman" w:hAnsi="Times New Roman" w:cs="Times New Roman"/>
          <w:sz w:val="24"/>
          <w:szCs w:val="24"/>
        </w:rPr>
        <w:t xml:space="preserve">to </w:t>
      </w:r>
      <w:r w:rsidR="00683F1A">
        <w:rPr>
          <w:rFonts w:ascii="Times New Roman" w:eastAsia="Times New Roman" w:hAnsi="Times New Roman" w:cs="Times New Roman"/>
          <w:sz w:val="24"/>
          <w:szCs w:val="24"/>
        </w:rPr>
        <w:t xml:space="preserve">remove </w:t>
      </w:r>
      <w:r w:rsidR="00DA578F" w:rsidRPr="4B9E7786">
        <w:rPr>
          <w:rFonts w:ascii="Times New Roman" w:eastAsia="Times New Roman" w:hAnsi="Times New Roman" w:cs="Times New Roman"/>
          <w:sz w:val="24"/>
          <w:szCs w:val="24"/>
        </w:rPr>
        <w:t>extreme and/or invalid information</w:t>
      </w:r>
      <w:r w:rsidR="00A279CE">
        <w:rPr>
          <w:rFonts w:ascii="Times New Roman" w:eastAsia="Times New Roman" w:hAnsi="Times New Roman" w:cs="Times New Roman"/>
          <w:sz w:val="24"/>
          <w:szCs w:val="24"/>
        </w:rPr>
        <w:t xml:space="preserve">), are also excluded. Finally, </w:t>
      </w:r>
      <w:r w:rsidR="00CF5166">
        <w:rPr>
          <w:rFonts w:ascii="Times New Roman" w:eastAsia="Times New Roman" w:hAnsi="Times New Roman" w:cs="Times New Roman"/>
          <w:sz w:val="24"/>
          <w:szCs w:val="24"/>
        </w:rPr>
        <w:t xml:space="preserve">as the QLFS allows interviewers to collect information by proxy, i.e. </w:t>
      </w:r>
      <w:r w:rsidR="00CF5166" w:rsidRPr="00CF5166">
        <w:rPr>
          <w:rFonts w:ascii="Times New Roman" w:eastAsia="Times New Roman" w:hAnsi="Times New Roman" w:cs="Times New Roman"/>
          <w:sz w:val="24"/>
          <w:szCs w:val="24"/>
        </w:rPr>
        <w:t xml:space="preserve">from another </w:t>
      </w:r>
      <w:r w:rsidR="00CF5166">
        <w:rPr>
          <w:rFonts w:ascii="Times New Roman" w:eastAsia="Times New Roman" w:hAnsi="Times New Roman" w:cs="Times New Roman"/>
          <w:sz w:val="24"/>
          <w:szCs w:val="24"/>
        </w:rPr>
        <w:t>related</w:t>
      </w:r>
      <w:r w:rsidR="00CF5166" w:rsidRPr="00CF5166">
        <w:rPr>
          <w:rFonts w:ascii="Times New Roman" w:eastAsia="Times New Roman" w:hAnsi="Times New Roman" w:cs="Times New Roman"/>
          <w:sz w:val="24"/>
          <w:szCs w:val="24"/>
        </w:rPr>
        <w:t xml:space="preserve"> adult in the household</w:t>
      </w:r>
      <w:r w:rsidR="00BA3DC5">
        <w:rPr>
          <w:rFonts w:ascii="Times New Roman" w:eastAsia="Times New Roman" w:hAnsi="Times New Roman" w:cs="Times New Roman"/>
          <w:sz w:val="24"/>
          <w:szCs w:val="24"/>
        </w:rPr>
        <w:t xml:space="preserve">, we exclude these responses from our analysis </w:t>
      </w:r>
      <w:r w:rsidR="3CA3387B">
        <w:rPr>
          <w:rFonts w:ascii="Times New Roman" w:eastAsia="Times New Roman" w:hAnsi="Times New Roman" w:cs="Times New Roman"/>
          <w:sz w:val="24"/>
          <w:szCs w:val="24"/>
        </w:rPr>
        <w:t xml:space="preserve">owing </w:t>
      </w:r>
      <w:r w:rsidR="00BA3DC5">
        <w:rPr>
          <w:rFonts w:ascii="Times New Roman" w:eastAsia="Times New Roman" w:hAnsi="Times New Roman" w:cs="Times New Roman"/>
          <w:sz w:val="24"/>
          <w:szCs w:val="24"/>
        </w:rPr>
        <w:t>to potential measurement</w:t>
      </w:r>
      <w:r w:rsidR="007B72E2">
        <w:rPr>
          <w:rFonts w:ascii="Times New Roman" w:eastAsia="Times New Roman" w:hAnsi="Times New Roman" w:cs="Times New Roman"/>
          <w:sz w:val="24"/>
          <w:szCs w:val="24"/>
        </w:rPr>
        <w:t xml:space="preserve"> error</w:t>
      </w:r>
      <w:r w:rsidR="00DA578F" w:rsidRPr="4B9E7786">
        <w:rPr>
          <w:rFonts w:ascii="Times New Roman" w:eastAsia="Times New Roman" w:hAnsi="Times New Roman" w:cs="Times New Roman"/>
          <w:sz w:val="24"/>
          <w:szCs w:val="24"/>
        </w:rPr>
        <w:t xml:space="preserve">. </w:t>
      </w:r>
    </w:p>
    <w:p w14:paraId="13F1838B" w14:textId="77777777" w:rsidR="00DA578F" w:rsidRPr="009F34BF" w:rsidRDefault="00DA578F" w:rsidP="00251B63">
      <w:pPr>
        <w:spacing w:after="0" w:line="480" w:lineRule="auto"/>
        <w:jc w:val="both"/>
        <w:rPr>
          <w:rFonts w:ascii="Times New Roman" w:hAnsi="Times New Roman" w:cs="Times New Roman"/>
          <w:sz w:val="24"/>
          <w:szCs w:val="24"/>
        </w:rPr>
      </w:pPr>
    </w:p>
    <w:p w14:paraId="4915134F" w14:textId="37865C1F" w:rsidR="00DA578F" w:rsidRPr="00182D67" w:rsidRDefault="598A40B1" w:rsidP="00251B63">
      <w:pPr>
        <w:spacing w:after="0" w:line="480" w:lineRule="auto"/>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rPr>
        <w:t xml:space="preserve">In the estimations, four work absence measures are considered as dependent variables: (1) the </w:t>
      </w:r>
      <w:r w:rsidRPr="3B009953">
        <w:rPr>
          <w:rFonts w:ascii="Times New Roman" w:eastAsia="Times New Roman" w:hAnsi="Times New Roman" w:cs="Times New Roman"/>
          <w:i/>
          <w:iCs/>
          <w:sz w:val="24"/>
          <w:szCs w:val="24"/>
        </w:rPr>
        <w:t>sickness absence probability</w:t>
      </w:r>
      <w:r w:rsidRPr="598A40B1">
        <w:rPr>
          <w:rFonts w:ascii="Times New Roman" w:eastAsia="Times New Roman" w:hAnsi="Times New Roman" w:cs="Times New Roman"/>
          <w:sz w:val="24"/>
          <w:szCs w:val="24"/>
        </w:rPr>
        <w:t xml:space="preserve">, (2) the </w:t>
      </w:r>
      <w:r w:rsidRPr="3B009953">
        <w:rPr>
          <w:rFonts w:ascii="Times New Roman" w:eastAsia="Times New Roman" w:hAnsi="Times New Roman" w:cs="Times New Roman"/>
          <w:i/>
          <w:iCs/>
          <w:sz w:val="24"/>
          <w:szCs w:val="24"/>
        </w:rPr>
        <w:t>sickness absence rate</w:t>
      </w:r>
      <w:r w:rsidRPr="598A40B1">
        <w:rPr>
          <w:rFonts w:ascii="Times New Roman" w:eastAsia="Times New Roman" w:hAnsi="Times New Roman" w:cs="Times New Roman"/>
          <w:sz w:val="24"/>
          <w:szCs w:val="24"/>
        </w:rPr>
        <w:t xml:space="preserve">, (3) the </w:t>
      </w:r>
      <w:r w:rsidRPr="3B009953">
        <w:rPr>
          <w:rFonts w:ascii="Times New Roman" w:eastAsia="Times New Roman" w:hAnsi="Times New Roman" w:cs="Times New Roman"/>
          <w:i/>
          <w:iCs/>
          <w:sz w:val="24"/>
          <w:szCs w:val="24"/>
        </w:rPr>
        <w:t>overall absence probability</w:t>
      </w:r>
      <w:r w:rsidRPr="598A40B1">
        <w:rPr>
          <w:rFonts w:ascii="Times New Roman" w:eastAsia="Times New Roman" w:hAnsi="Times New Roman" w:cs="Times New Roman"/>
          <w:sz w:val="24"/>
          <w:szCs w:val="24"/>
        </w:rPr>
        <w:t xml:space="preserve">, and (4) the </w:t>
      </w:r>
      <w:r w:rsidRPr="3B009953">
        <w:rPr>
          <w:rFonts w:ascii="Times New Roman" w:eastAsia="Times New Roman" w:hAnsi="Times New Roman" w:cs="Times New Roman"/>
          <w:i/>
          <w:iCs/>
          <w:sz w:val="24"/>
          <w:szCs w:val="24"/>
        </w:rPr>
        <w:t>overall absence rate</w:t>
      </w:r>
      <w:r w:rsidRPr="598A40B1">
        <w:rPr>
          <w:rFonts w:ascii="Times New Roman" w:eastAsia="Times New Roman" w:hAnsi="Times New Roman" w:cs="Times New Roman"/>
          <w:sz w:val="24"/>
          <w:szCs w:val="24"/>
        </w:rPr>
        <w:t xml:space="preserve">. To construct these measures, </w:t>
      </w:r>
      <w:r w:rsidRPr="598A40B1">
        <w:rPr>
          <w:rFonts w:ascii="Times New Roman" w:eastAsia="Times New Roman" w:hAnsi="Times New Roman" w:cs="Times New Roman"/>
          <w:sz w:val="24"/>
          <w:szCs w:val="24"/>
          <w:lang w:eastAsia="el-GR"/>
        </w:rPr>
        <w:t xml:space="preserve">the procedure outlined in Barmby et al. (2004) has been followed. First, an absence rate is calculated for each individual in the sample as follows: let </w:t>
      </w:r>
      <w:r w:rsidRPr="3B009953">
        <w:rPr>
          <w:rFonts w:ascii="Times New Roman" w:eastAsia="Times New Roman" w:hAnsi="Times New Roman" w:cs="Times New Roman"/>
          <w:i/>
          <w:iCs/>
          <w:sz w:val="24"/>
          <w:szCs w:val="24"/>
          <w:lang w:eastAsia="el-GR"/>
        </w:rPr>
        <w:t>UH</w:t>
      </w:r>
      <w:r w:rsidRPr="3B009953">
        <w:rPr>
          <w:rFonts w:ascii="Times New Roman" w:eastAsia="Times New Roman" w:hAnsi="Times New Roman" w:cs="Times New Roman"/>
          <w:i/>
          <w:iCs/>
          <w:sz w:val="24"/>
          <w:szCs w:val="24"/>
          <w:vertAlign w:val="subscript"/>
          <w:lang w:eastAsia="el-GR"/>
        </w:rPr>
        <w:t>i</w:t>
      </w:r>
      <w:r w:rsidRPr="598A40B1">
        <w:rPr>
          <w:rFonts w:ascii="Times New Roman" w:eastAsia="Times New Roman" w:hAnsi="Times New Roman" w:cs="Times New Roman"/>
          <w:sz w:val="24"/>
          <w:szCs w:val="24"/>
          <w:lang w:eastAsia="el-GR"/>
        </w:rPr>
        <w:t xml:space="preserve"> denote the usual hours the employee </w:t>
      </w:r>
      <w:r w:rsidRPr="3B009953">
        <w:rPr>
          <w:rFonts w:ascii="Times New Roman" w:eastAsia="Times New Roman" w:hAnsi="Times New Roman" w:cs="Times New Roman"/>
          <w:i/>
          <w:iCs/>
          <w:sz w:val="24"/>
          <w:szCs w:val="24"/>
          <w:lang w:eastAsia="el-GR"/>
        </w:rPr>
        <w:t>i</w:t>
      </w:r>
      <w:r w:rsidRPr="598A40B1">
        <w:rPr>
          <w:rFonts w:ascii="Times New Roman" w:eastAsia="Times New Roman" w:hAnsi="Times New Roman" w:cs="Times New Roman"/>
          <w:sz w:val="24"/>
          <w:szCs w:val="24"/>
          <w:lang w:eastAsia="el-GR"/>
        </w:rPr>
        <w:t xml:space="preserve"> works in a week, excluding any overtime work. This is assumed to correspond to the hours the individual is contracted to work. </w:t>
      </w:r>
      <w:r w:rsidRPr="3B009953">
        <w:rPr>
          <w:rFonts w:ascii="Times New Roman" w:eastAsia="Times New Roman" w:hAnsi="Times New Roman" w:cs="Times New Roman"/>
          <w:i/>
          <w:iCs/>
          <w:sz w:val="24"/>
          <w:szCs w:val="24"/>
          <w:lang w:eastAsia="el-GR"/>
        </w:rPr>
        <w:t>AH</w:t>
      </w:r>
      <w:r w:rsidRPr="3B009953">
        <w:rPr>
          <w:rFonts w:ascii="Times New Roman" w:eastAsia="Times New Roman" w:hAnsi="Times New Roman" w:cs="Times New Roman"/>
          <w:i/>
          <w:iCs/>
          <w:sz w:val="24"/>
          <w:szCs w:val="24"/>
          <w:vertAlign w:val="subscript"/>
          <w:lang w:eastAsia="el-GR"/>
        </w:rPr>
        <w:t>i</w:t>
      </w:r>
      <w:r w:rsidRPr="598A40B1">
        <w:rPr>
          <w:rFonts w:ascii="Times New Roman" w:eastAsia="Times New Roman" w:hAnsi="Times New Roman" w:cs="Times New Roman"/>
          <w:sz w:val="24"/>
          <w:szCs w:val="24"/>
          <w:lang w:eastAsia="el-GR"/>
        </w:rPr>
        <w:t xml:space="preserve"> denotes the actual hours the same employee worked in the reference week of the survey, again excluding any overtime. Those respondents who reported working fewer hours than usual during the reference week were asked a follow-up question regarding the reason for this. The exact wording of the QLFS question is as follows:</w:t>
      </w:r>
    </w:p>
    <w:p w14:paraId="2B76598F" w14:textId="77777777" w:rsidR="00D47065" w:rsidRDefault="00D47065" w:rsidP="00251B63">
      <w:pPr>
        <w:spacing w:after="0" w:line="240" w:lineRule="auto"/>
        <w:ind w:left="714"/>
        <w:jc w:val="both"/>
        <w:rPr>
          <w:rFonts w:ascii="Times New Roman" w:eastAsia="Times New Roman" w:hAnsi="Times New Roman" w:cs="Times New Roman"/>
          <w:sz w:val="24"/>
          <w:szCs w:val="24"/>
          <w:lang w:eastAsia="el-GR"/>
        </w:rPr>
      </w:pPr>
    </w:p>
    <w:p w14:paraId="70443926" w14:textId="77777777" w:rsidR="00DA578F" w:rsidRPr="00182D67" w:rsidRDefault="598A40B1" w:rsidP="00251B63">
      <w:pPr>
        <w:spacing w:after="0" w:line="240" w:lineRule="auto"/>
        <w:ind w:left="714"/>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“What was the main reason that you did fewer hours than usual/were away from work in the week ending Sunday the …..?</w:t>
      </w:r>
    </w:p>
    <w:p w14:paraId="045153FB" w14:textId="77777777" w:rsidR="00DA578F" w:rsidRPr="00182D67" w:rsidRDefault="00DA578F" w:rsidP="00251B63">
      <w:pPr>
        <w:spacing w:after="0" w:line="240" w:lineRule="auto"/>
        <w:ind w:left="714"/>
        <w:jc w:val="both"/>
        <w:rPr>
          <w:rFonts w:ascii="Times New Roman" w:eastAsia="Times New Roman" w:hAnsi="Times New Roman" w:cs="Times New Roman"/>
          <w:sz w:val="24"/>
          <w:szCs w:val="24"/>
          <w:lang w:eastAsia="el-GR"/>
        </w:rPr>
      </w:pPr>
    </w:p>
    <w:p w14:paraId="3F0F6A53"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Number of hours worked/overtime varies</w:t>
      </w:r>
    </w:p>
    <w:p w14:paraId="4D6EB716"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Bank holiday</w:t>
      </w:r>
    </w:p>
    <w:p w14:paraId="2B72A507"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Maternity or paternity leave</w:t>
      </w:r>
    </w:p>
    <w:p w14:paraId="6831D5CE" w14:textId="77777777" w:rsidR="00DA578F" w:rsidRPr="00182D67" w:rsidRDefault="598A40B1" w:rsidP="00251B63">
      <w:pPr>
        <w:pStyle w:val="ListParagraph"/>
        <w:numPr>
          <w:ilvl w:val="0"/>
          <w:numId w:val="3"/>
        </w:numPr>
        <w:autoSpaceDE w:val="0"/>
        <w:autoSpaceDN w:val="0"/>
        <w:adjustRightInd w:val="0"/>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Parental leave</w:t>
      </w:r>
    </w:p>
    <w:p w14:paraId="5AE43EFD" w14:textId="77777777" w:rsidR="00DA578F" w:rsidRPr="00182D67" w:rsidRDefault="598A40B1" w:rsidP="00251B63">
      <w:pPr>
        <w:pStyle w:val="ListParagraph"/>
        <w:numPr>
          <w:ilvl w:val="0"/>
          <w:numId w:val="3"/>
        </w:numPr>
        <w:autoSpaceDE w:val="0"/>
        <w:autoSpaceDN w:val="0"/>
        <w:adjustRightInd w:val="0"/>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Other leave/holiday</w:t>
      </w:r>
    </w:p>
    <w:p w14:paraId="0151531F"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Sick or injured</w:t>
      </w:r>
    </w:p>
    <w:p w14:paraId="27EE6C42" w14:textId="77777777" w:rsidR="00DA578F" w:rsidRPr="00182D67" w:rsidRDefault="598A40B1" w:rsidP="00251B63">
      <w:pPr>
        <w:pStyle w:val="ListParagraph"/>
        <w:numPr>
          <w:ilvl w:val="0"/>
          <w:numId w:val="3"/>
        </w:numPr>
        <w:autoSpaceDE w:val="0"/>
        <w:autoSpaceDN w:val="0"/>
        <w:adjustRightInd w:val="0"/>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Attending a training course away from own workplace</w:t>
      </w:r>
    </w:p>
    <w:p w14:paraId="00BBE8F6"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Started new job/ changed jobs</w:t>
      </w:r>
    </w:p>
    <w:p w14:paraId="43E4E133"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Ended job and did not start new one that week</w:t>
      </w:r>
    </w:p>
    <w:p w14:paraId="3EA029B9" w14:textId="77777777" w:rsidR="00DA578F" w:rsidRPr="00182D67" w:rsidRDefault="598A40B1" w:rsidP="00251B63">
      <w:pPr>
        <w:pStyle w:val="ListParagraph"/>
        <w:numPr>
          <w:ilvl w:val="0"/>
          <w:numId w:val="3"/>
        </w:numPr>
        <w:autoSpaceDE w:val="0"/>
        <w:autoSpaceDN w:val="0"/>
        <w:adjustRightInd w:val="0"/>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 xml:space="preserve"> Laid off/short time/work interrupted by bad weather</w:t>
      </w:r>
    </w:p>
    <w:p w14:paraId="216D70C8"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 xml:space="preserve"> Laid off/short time/work interrupted by labour dispute at own workplace</w:t>
      </w:r>
    </w:p>
    <w:p w14:paraId="7E8C6293"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 xml:space="preserve"> Laid off/short time/work interrupted by economic and other causes</w:t>
      </w:r>
    </w:p>
    <w:p w14:paraId="6AAE8AE6"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 xml:space="preserve"> Other personal/family reasons</w:t>
      </w:r>
    </w:p>
    <w:p w14:paraId="4513902B" w14:textId="77777777" w:rsidR="00DA578F" w:rsidRPr="00182D67" w:rsidRDefault="598A40B1" w:rsidP="00251B63">
      <w:pPr>
        <w:pStyle w:val="ListParagraph"/>
        <w:numPr>
          <w:ilvl w:val="0"/>
          <w:numId w:val="3"/>
        </w:numPr>
        <w:spacing w:after="0" w:line="240" w:lineRule="auto"/>
        <w:ind w:left="1428" w:hanging="357"/>
        <w:jc w:val="both"/>
        <w:rPr>
          <w:rFonts w:ascii="Times New Roman" w:eastAsia="Times New Roman" w:hAnsi="Times New Roman" w:cs="Times New Roman"/>
          <w:sz w:val="24"/>
          <w:szCs w:val="24"/>
          <w:lang w:eastAsia="el-GR"/>
        </w:rPr>
      </w:pPr>
      <w:r w:rsidRPr="598A40B1">
        <w:rPr>
          <w:rFonts w:ascii="Times New Roman" w:eastAsia="Times New Roman" w:hAnsi="Times New Roman" w:cs="Times New Roman"/>
          <w:sz w:val="24"/>
          <w:szCs w:val="24"/>
          <w:lang w:eastAsia="el-GR"/>
        </w:rPr>
        <w:t xml:space="preserve"> Other reasons”</w:t>
      </w:r>
    </w:p>
    <w:p w14:paraId="1A8E89B4" w14:textId="77777777" w:rsidR="00DA578F" w:rsidRPr="00182D67" w:rsidRDefault="00DA578F" w:rsidP="00251B63">
      <w:pPr>
        <w:pStyle w:val="ListParagraph"/>
        <w:spacing w:after="0" w:line="240" w:lineRule="auto"/>
        <w:ind w:left="1428"/>
        <w:jc w:val="both"/>
        <w:rPr>
          <w:rFonts w:ascii="Times New Roman" w:eastAsia="Times New Roman" w:hAnsi="Times New Roman" w:cs="Times New Roman"/>
          <w:sz w:val="24"/>
          <w:szCs w:val="24"/>
          <w:lang w:eastAsia="el-GR"/>
        </w:rPr>
      </w:pPr>
    </w:p>
    <w:p w14:paraId="69458E30" w14:textId="2C2B9238" w:rsidR="00DA578F" w:rsidRPr="00F93371" w:rsidRDefault="598A40B1" w:rsidP="00F93371">
      <w:pPr>
        <w:spacing w:after="0" w:line="240" w:lineRule="auto"/>
        <w:ind w:left="714"/>
        <w:jc w:val="both"/>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(Source: QLFS questionnaire, 2012)</w:t>
      </w:r>
    </w:p>
    <w:p w14:paraId="7656888E" w14:textId="77777777" w:rsidR="00D47065" w:rsidRDefault="00D47065" w:rsidP="00251B63">
      <w:pPr>
        <w:spacing w:after="0" w:line="480" w:lineRule="auto"/>
        <w:jc w:val="both"/>
        <w:rPr>
          <w:rFonts w:ascii="Times New Roman" w:eastAsia="Times New Roman" w:hAnsi="Times New Roman" w:cs="Times New Roman"/>
          <w:sz w:val="24"/>
          <w:szCs w:val="24"/>
          <w:lang w:eastAsia="el-GR"/>
        </w:rPr>
      </w:pPr>
    </w:p>
    <w:p w14:paraId="610634D9" w14:textId="085D84E1" w:rsidR="00DA578F" w:rsidRPr="00182D67" w:rsidRDefault="00D47065" w:rsidP="00251B63">
      <w:pPr>
        <w:spacing w:after="0" w:line="48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w:t>
      </w:r>
      <w:r w:rsidR="00DA578F" w:rsidRPr="00182D67">
        <w:rPr>
          <w:rFonts w:ascii="Times New Roman" w:eastAsia="Times New Roman" w:hAnsi="Times New Roman" w:cs="Times New Roman"/>
          <w:sz w:val="24"/>
          <w:szCs w:val="24"/>
          <w:lang w:eastAsia="el-GR"/>
        </w:rPr>
        <w:t xml:space="preserve"> dummy variable </w:t>
      </w:r>
      <m:oMath>
        <m:sSubSup>
          <m:sSubSupPr>
            <m:ctrlPr>
              <w:rPr>
                <w:rFonts w:ascii="Cambria Math" w:eastAsia="Times New Roman" w:hAnsi="Cambria Math" w:cs="Times New Roman"/>
                <w:i/>
                <w:sz w:val="24"/>
                <w:szCs w:val="24"/>
                <w:lang w:eastAsia="el-GR"/>
              </w:rPr>
            </m:ctrlPr>
          </m:sSubSupPr>
          <m:e>
            <m:r>
              <w:rPr>
                <w:rFonts w:ascii="Cambria Math" w:eastAsia="Times New Roman" w:hAnsi="Cambria Math" w:cs="Times New Roman"/>
                <w:sz w:val="24"/>
                <w:szCs w:val="24"/>
                <w:lang w:eastAsia="el-GR"/>
              </w:rPr>
              <m:t>s</m:t>
            </m:r>
          </m:e>
          <m:sub>
            <m:r>
              <w:rPr>
                <w:rFonts w:ascii="Cambria Math" w:eastAsia="Times New Roman" w:hAnsi="Cambria Math" w:cs="Times New Roman"/>
                <w:sz w:val="24"/>
                <w:szCs w:val="24"/>
                <w:lang w:eastAsia="el-GR"/>
              </w:rPr>
              <m:t>i</m:t>
            </m:r>
          </m:sub>
          <m:sup>
            <m:r>
              <w:rPr>
                <w:rFonts w:ascii="Cambria Math" w:eastAsia="Times New Roman" w:hAnsi="Cambria Math" w:cs="Times New Roman"/>
                <w:sz w:val="24"/>
                <w:szCs w:val="24"/>
                <w:lang w:eastAsia="el-GR"/>
              </w:rPr>
              <m:t>j</m:t>
            </m:r>
          </m:sup>
        </m:sSubSup>
      </m:oMath>
      <w:r>
        <w:rPr>
          <w:rFonts w:ascii="Times New Roman" w:eastAsia="Times New Roman" w:hAnsi="Times New Roman" w:cs="Times New Roman"/>
          <w:sz w:val="24"/>
          <w:szCs w:val="24"/>
          <w:lang w:eastAsia="el-GR"/>
        </w:rPr>
        <w:t xml:space="preserve">is then created, </w:t>
      </w:r>
      <w:r w:rsidR="00DA578F" w:rsidRPr="00182D67">
        <w:rPr>
          <w:rFonts w:ascii="Times New Roman" w:eastAsia="Times New Roman" w:hAnsi="Times New Roman" w:cs="Times New Roman"/>
          <w:sz w:val="24"/>
          <w:szCs w:val="24"/>
          <w:lang w:eastAsia="el-GR"/>
        </w:rPr>
        <w:t xml:space="preserve">which takes the value of 1 if the individual’s response was </w:t>
      </w:r>
      <w:r w:rsidR="00DA578F" w:rsidRPr="3B009953">
        <w:rPr>
          <w:rFonts w:ascii="Times New Roman" w:eastAsia="Times New Roman" w:hAnsi="Times New Roman" w:cs="Times New Roman"/>
          <w:i/>
          <w:iCs/>
          <w:sz w:val="24"/>
          <w:szCs w:val="24"/>
          <w:lang w:eastAsia="el-GR"/>
        </w:rPr>
        <w:t xml:space="preserve">j </w:t>
      </w:r>
      <w:r w:rsidR="00DA578F" w:rsidRPr="00182D67">
        <w:rPr>
          <w:rFonts w:ascii="Times New Roman" w:eastAsia="Times New Roman" w:hAnsi="Times New Roman" w:cs="Times New Roman"/>
          <w:sz w:val="24"/>
          <w:szCs w:val="24"/>
          <w:lang w:eastAsia="el-GR"/>
        </w:rPr>
        <w:t xml:space="preserve">= </w:t>
      </w:r>
      <w:r w:rsidR="00DA578F" w:rsidRPr="3B009953">
        <w:rPr>
          <w:rFonts w:ascii="Times New Roman" w:eastAsia="Times New Roman" w:hAnsi="Times New Roman" w:cs="Times New Roman"/>
          <w:i/>
          <w:iCs/>
          <w:sz w:val="24"/>
          <w:szCs w:val="24"/>
        </w:rPr>
        <w:t>sick or injured</w:t>
      </w:r>
      <w:r w:rsidR="00DA578F" w:rsidRPr="338B1626">
        <w:rPr>
          <w:rFonts w:ascii="Times New Roman" w:eastAsia="Times New Roman" w:hAnsi="Times New Roman" w:cs="Times New Roman"/>
          <w:sz w:val="24"/>
          <w:szCs w:val="24"/>
        </w:rPr>
        <w:t xml:space="preserve"> (option 6) in</w:t>
      </w:r>
      <w:r w:rsidR="00DA578F" w:rsidRPr="00182D67">
        <w:rPr>
          <w:rFonts w:ascii="Times New Roman" w:eastAsia="Times New Roman" w:hAnsi="Times New Roman" w:cs="Times New Roman"/>
          <w:sz w:val="24"/>
          <w:szCs w:val="24"/>
          <w:lang w:eastAsia="el-GR"/>
        </w:rPr>
        <w:t xml:space="preserve"> the question above, and 0 otherwise. For the case of overall absence, </w:t>
      </w:r>
      <m:oMath>
        <m:sSubSup>
          <m:sSubSupPr>
            <m:ctrlPr>
              <w:rPr>
                <w:rFonts w:ascii="Cambria Math" w:eastAsia="Times New Roman" w:hAnsi="Cambria Math" w:cs="Times New Roman"/>
                <w:i/>
                <w:sz w:val="24"/>
                <w:szCs w:val="24"/>
                <w:lang w:eastAsia="el-GR"/>
              </w:rPr>
            </m:ctrlPr>
          </m:sSubSupPr>
          <m:e>
            <m:r>
              <w:rPr>
                <w:rFonts w:ascii="Cambria Math" w:eastAsia="Times New Roman" w:hAnsi="Cambria Math" w:cs="Times New Roman"/>
                <w:sz w:val="24"/>
                <w:szCs w:val="24"/>
                <w:lang w:eastAsia="el-GR"/>
              </w:rPr>
              <m:t>s</m:t>
            </m:r>
          </m:e>
          <m:sub>
            <m:r>
              <w:rPr>
                <w:rFonts w:ascii="Cambria Math" w:eastAsia="Times New Roman" w:hAnsi="Cambria Math" w:cs="Times New Roman"/>
                <w:sz w:val="24"/>
                <w:szCs w:val="24"/>
                <w:lang w:eastAsia="el-GR"/>
              </w:rPr>
              <m:t>i</m:t>
            </m:r>
          </m:sub>
          <m:sup>
            <m:r>
              <w:rPr>
                <w:rFonts w:ascii="Cambria Math" w:eastAsia="Times New Roman" w:hAnsi="Cambria Math" w:cs="Times New Roman"/>
                <w:sz w:val="24"/>
                <w:szCs w:val="24"/>
                <w:lang w:eastAsia="el-GR"/>
              </w:rPr>
              <m:t>j</m:t>
            </m:r>
          </m:sup>
        </m:sSubSup>
      </m:oMath>
      <w:r w:rsidR="00DA578F" w:rsidRPr="00182D67">
        <w:rPr>
          <w:rFonts w:ascii="Times New Roman" w:eastAsia="Times New Roman" w:hAnsi="Times New Roman" w:cs="Times New Roman"/>
          <w:sz w:val="24"/>
          <w:szCs w:val="24"/>
          <w:lang w:eastAsia="el-GR"/>
        </w:rPr>
        <w:t xml:space="preserve"> = 1 if the individual’s response was </w:t>
      </w:r>
      <w:r w:rsidR="00DA578F" w:rsidRPr="3B009953">
        <w:rPr>
          <w:rFonts w:ascii="Times New Roman" w:eastAsia="Times New Roman" w:hAnsi="Times New Roman" w:cs="Times New Roman"/>
          <w:i/>
          <w:iCs/>
          <w:sz w:val="24"/>
          <w:szCs w:val="24"/>
          <w:lang w:eastAsia="el-GR"/>
        </w:rPr>
        <w:t xml:space="preserve">j </w:t>
      </w:r>
      <w:r w:rsidR="00DA578F" w:rsidRPr="00182D67">
        <w:rPr>
          <w:rFonts w:ascii="Times New Roman" w:eastAsia="Times New Roman" w:hAnsi="Times New Roman" w:cs="Times New Roman"/>
          <w:sz w:val="24"/>
          <w:szCs w:val="24"/>
          <w:lang w:eastAsia="el-GR"/>
        </w:rPr>
        <w:t xml:space="preserve">= </w:t>
      </w:r>
      <w:r w:rsidR="00DA578F" w:rsidRPr="3B009953">
        <w:rPr>
          <w:rFonts w:ascii="Times New Roman" w:eastAsia="Times New Roman" w:hAnsi="Times New Roman" w:cs="Times New Roman"/>
          <w:i/>
          <w:iCs/>
          <w:sz w:val="24"/>
          <w:szCs w:val="24"/>
        </w:rPr>
        <w:t xml:space="preserve">sick or injured </w:t>
      </w:r>
      <w:r w:rsidR="00DA578F" w:rsidRPr="338B1626">
        <w:rPr>
          <w:rFonts w:ascii="Times New Roman" w:eastAsia="Times New Roman" w:hAnsi="Times New Roman" w:cs="Times New Roman"/>
          <w:sz w:val="24"/>
          <w:szCs w:val="24"/>
        </w:rPr>
        <w:t xml:space="preserve">(option 6), or </w:t>
      </w:r>
      <w:r w:rsidR="00DA578F" w:rsidRPr="3B009953">
        <w:rPr>
          <w:rFonts w:ascii="Times New Roman" w:eastAsia="Times New Roman" w:hAnsi="Times New Roman" w:cs="Times New Roman"/>
          <w:i/>
          <w:iCs/>
          <w:sz w:val="24"/>
          <w:szCs w:val="24"/>
          <w:lang w:eastAsia="el-GR"/>
        </w:rPr>
        <w:t>other personal/family reasons</w:t>
      </w:r>
      <w:r w:rsidR="00DA578F" w:rsidRPr="00182D67">
        <w:rPr>
          <w:rFonts w:ascii="Times New Roman" w:eastAsia="Times New Roman" w:hAnsi="Times New Roman" w:cs="Times New Roman"/>
          <w:sz w:val="24"/>
          <w:szCs w:val="24"/>
          <w:lang w:eastAsia="el-GR"/>
        </w:rPr>
        <w:t xml:space="preserve"> (option 13), or </w:t>
      </w:r>
      <w:r w:rsidR="00DA578F" w:rsidRPr="3B009953">
        <w:rPr>
          <w:rFonts w:ascii="Times New Roman" w:eastAsia="Times New Roman" w:hAnsi="Times New Roman" w:cs="Times New Roman"/>
          <w:i/>
          <w:iCs/>
          <w:sz w:val="24"/>
          <w:szCs w:val="24"/>
          <w:lang w:eastAsia="el-GR"/>
        </w:rPr>
        <w:t>other reasons</w:t>
      </w:r>
      <w:r w:rsidR="00DA578F" w:rsidRPr="00182D67">
        <w:rPr>
          <w:rFonts w:ascii="Times New Roman" w:eastAsia="Times New Roman" w:hAnsi="Times New Roman" w:cs="Times New Roman"/>
          <w:sz w:val="24"/>
          <w:szCs w:val="24"/>
          <w:lang w:eastAsia="el-GR"/>
        </w:rPr>
        <w:t xml:space="preserve"> (option 14), and 0 otherwise.</w:t>
      </w:r>
      <w:r w:rsidR="00DA578F" w:rsidRPr="00182D67">
        <w:rPr>
          <w:rStyle w:val="EndnoteReference"/>
          <w:rFonts w:ascii="Times New Roman" w:eastAsia="Times New Roman" w:hAnsi="Times New Roman" w:cs="Times New Roman"/>
          <w:sz w:val="24"/>
          <w:szCs w:val="24"/>
          <w:lang w:eastAsia="el-GR"/>
        </w:rPr>
        <w:endnoteReference w:id="4"/>
      </w:r>
      <w:r w:rsidR="00DA578F" w:rsidRPr="00182D67">
        <w:rPr>
          <w:rFonts w:ascii="Times New Roman" w:eastAsia="Times New Roman" w:hAnsi="Times New Roman" w:cs="Times New Roman"/>
          <w:sz w:val="24"/>
          <w:szCs w:val="24"/>
          <w:lang w:eastAsia="el-GR"/>
        </w:rPr>
        <w:t xml:space="preserve"> </w:t>
      </w:r>
    </w:p>
    <w:p w14:paraId="46265195" w14:textId="77777777" w:rsidR="00DA578F" w:rsidRPr="00182D67" w:rsidRDefault="00DA578F" w:rsidP="00251B63">
      <w:pPr>
        <w:spacing w:after="0" w:line="480" w:lineRule="auto"/>
        <w:rPr>
          <w:rFonts w:ascii="Times New Roman" w:eastAsia="Times New Roman" w:hAnsi="Times New Roman" w:cs="Times New Roman"/>
          <w:sz w:val="24"/>
          <w:szCs w:val="24"/>
          <w:lang w:eastAsia="el-GR"/>
        </w:rPr>
      </w:pPr>
    </w:p>
    <w:p w14:paraId="7C283229" w14:textId="547E8DC5" w:rsidR="00DA578F" w:rsidRDefault="00DA578F" w:rsidP="00251B63">
      <w:pPr>
        <w:spacing w:after="0" w:line="480" w:lineRule="auto"/>
        <w:jc w:val="both"/>
        <w:rPr>
          <w:rFonts w:ascii="Times New Roman" w:eastAsia="Times New Roman" w:hAnsi="Times New Roman" w:cs="Times New Roman"/>
          <w:sz w:val="24"/>
          <w:szCs w:val="24"/>
          <w:lang w:eastAsia="el-GR"/>
        </w:rPr>
      </w:pPr>
      <w:r w:rsidRPr="00182D67">
        <w:rPr>
          <w:rFonts w:ascii="Times New Roman" w:eastAsia="Times New Roman" w:hAnsi="Times New Roman" w:cs="Times New Roman"/>
          <w:sz w:val="24"/>
          <w:szCs w:val="24"/>
          <w:lang w:eastAsia="el-GR"/>
        </w:rPr>
        <w:t>By using all the above variables, the sickness or overall absence rate</w:t>
      </w:r>
      <w:r w:rsidR="00D47065" w:rsidRPr="00182D67">
        <w:rPr>
          <w:rFonts w:ascii="Times New Roman" w:eastAsia="Times New Roman" w:hAnsi="Times New Roman" w:cs="Times New Roman"/>
          <w:sz w:val="24"/>
          <w:szCs w:val="24"/>
          <w:lang w:eastAsia="el-GR"/>
        </w:rPr>
        <w:t>,</w:t>
      </w:r>
      <w:r w:rsidR="00D47065">
        <w:rPr>
          <w:rFonts w:ascii="Times New Roman" w:eastAsia="Times New Roman" w:hAnsi="Times New Roman" w:cs="Times New Roman"/>
          <w:sz w:val="24"/>
          <w:szCs w:val="24"/>
          <w:lang w:eastAsia="el-GR"/>
        </w:rPr>
        <w:t xml:space="preserve"> </w:t>
      </w:r>
      <m:oMath>
        <m:sSubSup>
          <m:sSubSupPr>
            <m:ctrlPr>
              <w:rPr>
                <w:rFonts w:ascii="Cambria Math" w:eastAsia="Times New Roman" w:hAnsi="Cambria Math" w:cs="Times New Roman"/>
                <w:i/>
                <w:sz w:val="24"/>
                <w:szCs w:val="24"/>
                <w:lang w:eastAsia="el-GR"/>
              </w:rPr>
            </m:ctrlPr>
          </m:sSubSupPr>
          <m:e>
            <m:r>
              <w:rPr>
                <w:rFonts w:ascii="Cambria Math" w:eastAsia="Times New Roman" w:hAnsi="Cambria Math" w:cs="Times New Roman"/>
                <w:sz w:val="24"/>
                <w:szCs w:val="24"/>
                <w:lang w:eastAsia="el-GR"/>
              </w:rPr>
              <m:t>R</m:t>
            </m:r>
          </m:e>
          <m:sub>
            <m:r>
              <w:rPr>
                <w:rFonts w:ascii="Cambria Math" w:eastAsia="Times New Roman" w:hAnsi="Cambria Math" w:cs="Times New Roman"/>
                <w:sz w:val="24"/>
                <w:szCs w:val="24"/>
                <w:lang w:eastAsia="el-GR"/>
              </w:rPr>
              <m:t>i</m:t>
            </m:r>
          </m:sub>
          <m:sup>
            <m:r>
              <w:rPr>
                <w:rFonts w:ascii="Cambria Math" w:eastAsia="Times New Roman" w:hAnsi="Cambria Math" w:cs="Times New Roman"/>
                <w:sz w:val="24"/>
                <w:szCs w:val="24"/>
                <w:lang w:eastAsia="el-GR"/>
              </w:rPr>
              <m:t>j</m:t>
            </m:r>
          </m:sup>
        </m:sSubSup>
      </m:oMath>
      <w:r w:rsidRPr="00182D67">
        <w:rPr>
          <w:rFonts w:ascii="Times New Roman" w:eastAsia="Times New Roman" w:hAnsi="Times New Roman" w:cs="Times New Roman"/>
          <w:sz w:val="24"/>
          <w:szCs w:val="24"/>
          <w:lang w:eastAsia="el-GR"/>
        </w:rPr>
        <w:t xml:space="preserve">, for each individual </w:t>
      </w:r>
      <w:r w:rsidRPr="3B009953">
        <w:rPr>
          <w:rFonts w:ascii="Times New Roman" w:eastAsia="Times New Roman" w:hAnsi="Times New Roman" w:cs="Times New Roman"/>
          <w:i/>
          <w:iCs/>
          <w:sz w:val="24"/>
          <w:szCs w:val="24"/>
          <w:lang w:eastAsia="el-GR"/>
        </w:rPr>
        <w:t>i</w:t>
      </w:r>
      <w:r w:rsidRPr="00182D67">
        <w:rPr>
          <w:rFonts w:ascii="Times New Roman" w:eastAsia="Times New Roman" w:hAnsi="Times New Roman" w:cs="Times New Roman"/>
          <w:sz w:val="24"/>
          <w:szCs w:val="24"/>
          <w:lang w:eastAsia="el-GR"/>
        </w:rPr>
        <w:t xml:space="preserve"> </w:t>
      </w:r>
      <w:r w:rsidR="00D47065">
        <w:rPr>
          <w:rFonts w:ascii="Times New Roman" w:eastAsia="Times New Roman" w:hAnsi="Times New Roman" w:cs="Times New Roman"/>
          <w:sz w:val="24"/>
          <w:szCs w:val="24"/>
          <w:lang w:eastAsia="el-GR"/>
        </w:rPr>
        <w:t xml:space="preserve">is constructed </w:t>
      </w:r>
      <w:r w:rsidRPr="00182D67">
        <w:rPr>
          <w:rFonts w:ascii="Times New Roman" w:eastAsia="Times New Roman" w:hAnsi="Times New Roman" w:cs="Times New Roman"/>
          <w:sz w:val="24"/>
          <w:szCs w:val="24"/>
          <w:lang w:eastAsia="el-GR"/>
        </w:rPr>
        <w:t xml:space="preserve">as follows: </w:t>
      </w:r>
    </w:p>
    <w:p w14:paraId="595DEFA8" w14:textId="77777777" w:rsidR="00DA578F" w:rsidRPr="00182D67" w:rsidRDefault="00DA578F" w:rsidP="00251B63">
      <w:pPr>
        <w:spacing w:after="0" w:line="480" w:lineRule="auto"/>
        <w:jc w:val="both"/>
        <w:rPr>
          <w:rFonts w:ascii="Times New Roman" w:hAnsi="Times New Roman" w:cs="Times New Roman"/>
          <w:sz w:val="24"/>
          <w:szCs w:val="24"/>
        </w:rPr>
      </w:pPr>
    </w:p>
    <w:p w14:paraId="3CEB5BA0" w14:textId="1D460482" w:rsidR="00DA578F" w:rsidRPr="00182D67" w:rsidRDefault="00DA578F" w:rsidP="00251B63">
      <w:pPr>
        <w:tabs>
          <w:tab w:val="center" w:pos="4507"/>
          <w:tab w:val="right" w:pos="9014"/>
        </w:tabs>
        <w:spacing w:after="0" w:line="480" w:lineRule="auto"/>
        <w:rPr>
          <w:rFonts w:ascii="Times New Roman" w:eastAsia="Times New Roman" w:hAnsi="Times New Roman" w:cs="Times New Roman"/>
          <w:sz w:val="24"/>
          <w:szCs w:val="24"/>
          <w:lang w:eastAsia="el-GR"/>
        </w:rPr>
      </w:pPr>
      <w:r w:rsidRPr="00182D67">
        <w:rPr>
          <w:rFonts w:ascii="Times New Roman" w:eastAsia="Times New Roman" w:hAnsi="Times New Roman" w:cs="Times New Roman"/>
          <w:sz w:val="24"/>
          <w:szCs w:val="24"/>
          <w:lang w:eastAsia="el-GR"/>
        </w:rPr>
        <w:tab/>
      </w:r>
      <m:oMath>
        <m:sSubSup>
          <m:sSubSupPr>
            <m:ctrlPr>
              <w:rPr>
                <w:rFonts w:ascii="Cambria Math" w:eastAsia="Times New Roman" w:hAnsi="Cambria Math" w:cs="Times New Roman"/>
                <w:i/>
                <w:sz w:val="28"/>
                <w:szCs w:val="28"/>
                <w:lang w:eastAsia="el-GR"/>
              </w:rPr>
            </m:ctrlPr>
          </m:sSubSupPr>
          <m:e>
            <m:r>
              <w:rPr>
                <w:rFonts w:ascii="Cambria Math" w:eastAsia="Times New Roman" w:hAnsi="Cambria Math" w:cs="Times New Roman"/>
                <w:sz w:val="28"/>
                <w:szCs w:val="28"/>
                <w:lang w:eastAsia="el-GR"/>
              </w:rPr>
              <m:t>R</m:t>
            </m:r>
          </m:e>
          <m:sub>
            <m:r>
              <w:rPr>
                <w:rFonts w:ascii="Cambria Math" w:eastAsia="Times New Roman" w:hAnsi="Cambria Math" w:cs="Times New Roman"/>
                <w:sz w:val="28"/>
                <w:szCs w:val="28"/>
                <w:lang w:eastAsia="el-GR"/>
              </w:rPr>
              <m:t>i</m:t>
            </m:r>
          </m:sub>
          <m:sup>
            <m:r>
              <w:rPr>
                <w:rFonts w:ascii="Cambria Math" w:eastAsia="Times New Roman" w:hAnsi="Cambria Math" w:cs="Times New Roman"/>
                <w:sz w:val="28"/>
                <w:szCs w:val="28"/>
                <w:lang w:eastAsia="el-GR"/>
              </w:rPr>
              <m:t>j</m:t>
            </m:r>
          </m:sup>
        </m:sSubSup>
        <m:r>
          <w:rPr>
            <w:rFonts w:ascii="Cambria Math" w:eastAsia="Times New Roman" w:hAnsi="Cambria Math" w:cs="Times New Roman"/>
            <w:sz w:val="28"/>
            <w:szCs w:val="28"/>
            <w:lang w:eastAsia="el-GR"/>
          </w:rPr>
          <m:t>=</m:t>
        </m:r>
        <m:f>
          <m:fPr>
            <m:ctrlPr>
              <w:rPr>
                <w:rFonts w:ascii="Cambria Math" w:eastAsia="Times New Roman" w:hAnsi="Cambria Math" w:cs="Times New Roman"/>
                <w:i/>
                <w:sz w:val="28"/>
                <w:szCs w:val="28"/>
                <w:lang w:eastAsia="el-GR"/>
              </w:rPr>
            </m:ctrlPr>
          </m:fPr>
          <m:num>
            <m:d>
              <m:dPr>
                <m:ctrlPr>
                  <w:rPr>
                    <w:rFonts w:ascii="Cambria Math" w:eastAsia="Times New Roman" w:hAnsi="Cambria Math" w:cs="Times New Roman"/>
                    <w:i/>
                    <w:sz w:val="28"/>
                    <w:szCs w:val="28"/>
                    <w:lang w:eastAsia="el-GR"/>
                  </w:rPr>
                </m:ctrlPr>
              </m:dPr>
              <m:e>
                <m:sSub>
                  <m:sSubPr>
                    <m:ctrlPr>
                      <w:rPr>
                        <w:rFonts w:ascii="Cambria Math" w:eastAsia="Times New Roman" w:hAnsi="Cambria Math" w:cs="Times New Roman"/>
                        <w:i/>
                        <w:sz w:val="28"/>
                        <w:szCs w:val="28"/>
                        <w:lang w:eastAsia="el-GR"/>
                      </w:rPr>
                    </m:ctrlPr>
                  </m:sSubPr>
                  <m:e>
                    <m:r>
                      <w:rPr>
                        <w:rFonts w:ascii="Cambria Math" w:eastAsia="Times New Roman" w:hAnsi="Cambria Math" w:cs="Times New Roman"/>
                        <w:sz w:val="28"/>
                        <w:szCs w:val="28"/>
                        <w:lang w:eastAsia="el-GR"/>
                      </w:rPr>
                      <m:t>UH</m:t>
                    </m:r>
                  </m:e>
                  <m:sub>
                    <m:r>
                      <w:rPr>
                        <w:rFonts w:ascii="Cambria Math" w:eastAsia="Times New Roman" w:hAnsi="Cambria Math" w:cs="Times New Roman"/>
                        <w:sz w:val="28"/>
                        <w:szCs w:val="28"/>
                        <w:lang w:eastAsia="el-GR"/>
                      </w:rPr>
                      <m:t>i</m:t>
                    </m:r>
                  </m:sub>
                </m:sSub>
                <m:r>
                  <w:rPr>
                    <w:rFonts w:ascii="Cambria Math" w:eastAsia="Times New Roman" w:hAnsi="Cambria Math" w:cs="Times New Roman"/>
                    <w:sz w:val="28"/>
                    <w:szCs w:val="28"/>
                    <w:lang w:eastAsia="el-GR"/>
                  </w:rPr>
                  <m:t>-</m:t>
                </m:r>
                <m:sSub>
                  <m:sSubPr>
                    <m:ctrlPr>
                      <w:rPr>
                        <w:rFonts w:ascii="Cambria Math" w:eastAsia="Times New Roman" w:hAnsi="Cambria Math" w:cs="Times New Roman"/>
                        <w:i/>
                        <w:sz w:val="28"/>
                        <w:szCs w:val="28"/>
                        <w:lang w:eastAsia="el-GR"/>
                      </w:rPr>
                    </m:ctrlPr>
                  </m:sSubPr>
                  <m:e>
                    <m:r>
                      <w:rPr>
                        <w:rFonts w:ascii="Cambria Math" w:eastAsia="Times New Roman" w:hAnsi="Cambria Math" w:cs="Times New Roman"/>
                        <w:sz w:val="28"/>
                        <w:szCs w:val="28"/>
                        <w:lang w:eastAsia="el-GR"/>
                      </w:rPr>
                      <m:t>AH</m:t>
                    </m:r>
                  </m:e>
                  <m:sub>
                    <m:r>
                      <w:rPr>
                        <w:rFonts w:ascii="Cambria Math" w:eastAsia="Times New Roman" w:hAnsi="Cambria Math" w:cs="Times New Roman"/>
                        <w:sz w:val="28"/>
                        <w:szCs w:val="28"/>
                        <w:lang w:eastAsia="el-GR"/>
                      </w:rPr>
                      <m:t>i</m:t>
                    </m:r>
                  </m:sub>
                </m:sSub>
              </m:e>
            </m:d>
            <m:sSubSup>
              <m:sSubSupPr>
                <m:ctrlPr>
                  <w:rPr>
                    <w:rFonts w:ascii="Cambria Math" w:eastAsia="Times New Roman" w:hAnsi="Cambria Math" w:cs="Times New Roman"/>
                    <w:i/>
                    <w:sz w:val="28"/>
                    <w:szCs w:val="28"/>
                    <w:lang w:eastAsia="el-GR"/>
                  </w:rPr>
                </m:ctrlPr>
              </m:sSubSupPr>
              <m:e>
                <m:r>
                  <w:rPr>
                    <w:rFonts w:ascii="Cambria Math" w:eastAsia="Times New Roman" w:hAnsi="Cambria Math" w:cs="Times New Roman"/>
                    <w:sz w:val="28"/>
                    <w:szCs w:val="28"/>
                    <w:lang w:eastAsia="el-GR"/>
                  </w:rPr>
                  <m:t>s</m:t>
                </m:r>
              </m:e>
              <m:sub>
                <m:r>
                  <w:rPr>
                    <w:rFonts w:ascii="Cambria Math" w:eastAsia="Times New Roman" w:hAnsi="Cambria Math" w:cs="Times New Roman"/>
                    <w:sz w:val="28"/>
                    <w:szCs w:val="28"/>
                    <w:lang w:eastAsia="el-GR"/>
                  </w:rPr>
                  <m:t>i</m:t>
                </m:r>
              </m:sub>
              <m:sup>
                <m:r>
                  <w:rPr>
                    <w:rFonts w:ascii="Cambria Math" w:eastAsia="Times New Roman" w:hAnsi="Cambria Math" w:cs="Times New Roman"/>
                    <w:sz w:val="28"/>
                    <w:szCs w:val="28"/>
                    <w:lang w:eastAsia="el-GR"/>
                  </w:rPr>
                  <m:t>j</m:t>
                </m:r>
              </m:sup>
            </m:sSubSup>
          </m:num>
          <m:den>
            <m:sSub>
              <m:sSubPr>
                <m:ctrlPr>
                  <w:rPr>
                    <w:rFonts w:ascii="Cambria Math" w:eastAsia="Times New Roman" w:hAnsi="Cambria Math" w:cs="Times New Roman"/>
                    <w:i/>
                    <w:sz w:val="28"/>
                    <w:szCs w:val="28"/>
                    <w:lang w:eastAsia="el-GR"/>
                  </w:rPr>
                </m:ctrlPr>
              </m:sSubPr>
              <m:e>
                <m:r>
                  <w:rPr>
                    <w:rFonts w:ascii="Cambria Math" w:eastAsia="Times New Roman" w:hAnsi="Cambria Math" w:cs="Times New Roman"/>
                    <w:sz w:val="28"/>
                    <w:szCs w:val="28"/>
                    <w:lang w:eastAsia="el-GR"/>
                  </w:rPr>
                  <m:t>AH</m:t>
                </m:r>
              </m:e>
              <m:sub>
                <m:r>
                  <w:rPr>
                    <w:rFonts w:ascii="Cambria Math" w:eastAsia="Times New Roman" w:hAnsi="Cambria Math" w:cs="Times New Roman"/>
                    <w:sz w:val="28"/>
                    <w:szCs w:val="28"/>
                    <w:lang w:eastAsia="el-GR"/>
                  </w:rPr>
                  <m:t>i</m:t>
                </m:r>
              </m:sub>
            </m:sSub>
            <m:d>
              <m:dPr>
                <m:ctrlPr>
                  <w:rPr>
                    <w:rFonts w:ascii="Cambria Math" w:eastAsia="Times New Roman" w:hAnsi="Cambria Math" w:cs="Times New Roman"/>
                    <w:i/>
                    <w:sz w:val="28"/>
                    <w:szCs w:val="28"/>
                    <w:lang w:eastAsia="el-GR"/>
                  </w:rPr>
                </m:ctrlPr>
              </m:dPr>
              <m:e>
                <m:r>
                  <w:rPr>
                    <w:rFonts w:ascii="Cambria Math" w:eastAsia="Times New Roman" w:hAnsi="Cambria Math" w:cs="Times New Roman"/>
                    <w:sz w:val="28"/>
                    <w:szCs w:val="28"/>
                    <w:lang w:eastAsia="el-GR"/>
                  </w:rPr>
                  <m:t>1-</m:t>
                </m:r>
                <m:sSubSup>
                  <m:sSubSupPr>
                    <m:ctrlPr>
                      <w:rPr>
                        <w:rFonts w:ascii="Cambria Math" w:eastAsia="Times New Roman" w:hAnsi="Cambria Math" w:cs="Times New Roman"/>
                        <w:i/>
                        <w:sz w:val="28"/>
                        <w:szCs w:val="28"/>
                        <w:lang w:eastAsia="el-GR"/>
                      </w:rPr>
                    </m:ctrlPr>
                  </m:sSubSupPr>
                  <m:e>
                    <m:r>
                      <w:rPr>
                        <w:rFonts w:ascii="Cambria Math" w:eastAsia="Times New Roman" w:hAnsi="Cambria Math" w:cs="Times New Roman"/>
                        <w:sz w:val="28"/>
                        <w:szCs w:val="28"/>
                        <w:lang w:eastAsia="el-GR"/>
                      </w:rPr>
                      <m:t>s</m:t>
                    </m:r>
                  </m:e>
                  <m:sub>
                    <m:r>
                      <w:rPr>
                        <w:rFonts w:ascii="Cambria Math" w:eastAsia="Times New Roman" w:hAnsi="Cambria Math" w:cs="Times New Roman"/>
                        <w:sz w:val="28"/>
                        <w:szCs w:val="28"/>
                        <w:lang w:eastAsia="el-GR"/>
                      </w:rPr>
                      <m:t>i</m:t>
                    </m:r>
                  </m:sub>
                  <m:sup>
                    <m:r>
                      <w:rPr>
                        <w:rFonts w:ascii="Cambria Math" w:eastAsia="Times New Roman" w:hAnsi="Cambria Math" w:cs="Times New Roman"/>
                        <w:sz w:val="28"/>
                        <w:szCs w:val="28"/>
                        <w:lang w:eastAsia="el-GR"/>
                      </w:rPr>
                      <m:t>j</m:t>
                    </m:r>
                  </m:sup>
                </m:sSubSup>
              </m:e>
            </m:d>
            <m:r>
              <w:rPr>
                <w:rFonts w:ascii="Cambria Math" w:eastAsia="Times New Roman" w:hAnsi="Cambria Math" w:cs="Times New Roman"/>
                <w:sz w:val="28"/>
                <w:szCs w:val="28"/>
                <w:lang w:eastAsia="el-GR"/>
              </w:rPr>
              <m:t>+</m:t>
            </m:r>
            <m:sSub>
              <m:sSubPr>
                <m:ctrlPr>
                  <w:rPr>
                    <w:rFonts w:ascii="Cambria Math" w:eastAsia="Times New Roman" w:hAnsi="Cambria Math" w:cs="Times New Roman"/>
                    <w:i/>
                    <w:sz w:val="28"/>
                    <w:szCs w:val="28"/>
                    <w:lang w:eastAsia="el-GR"/>
                  </w:rPr>
                </m:ctrlPr>
              </m:sSubPr>
              <m:e>
                <m:r>
                  <w:rPr>
                    <w:rFonts w:ascii="Cambria Math" w:eastAsia="Times New Roman" w:hAnsi="Cambria Math" w:cs="Times New Roman"/>
                    <w:sz w:val="28"/>
                    <w:szCs w:val="28"/>
                    <w:lang w:eastAsia="el-GR"/>
                  </w:rPr>
                  <m:t>UH</m:t>
                </m:r>
              </m:e>
              <m:sub>
                <m:r>
                  <w:rPr>
                    <w:rFonts w:ascii="Cambria Math" w:eastAsia="Times New Roman" w:hAnsi="Cambria Math" w:cs="Times New Roman"/>
                    <w:sz w:val="28"/>
                    <w:szCs w:val="28"/>
                    <w:lang w:eastAsia="el-GR"/>
                  </w:rPr>
                  <m:t>i</m:t>
                </m:r>
              </m:sub>
            </m:sSub>
            <m:sSubSup>
              <m:sSubSupPr>
                <m:ctrlPr>
                  <w:rPr>
                    <w:rFonts w:ascii="Cambria Math" w:eastAsia="Times New Roman" w:hAnsi="Cambria Math" w:cs="Times New Roman"/>
                    <w:i/>
                    <w:sz w:val="28"/>
                    <w:szCs w:val="28"/>
                    <w:lang w:eastAsia="el-GR"/>
                  </w:rPr>
                </m:ctrlPr>
              </m:sSubSupPr>
              <m:e>
                <m:r>
                  <w:rPr>
                    <w:rFonts w:ascii="Cambria Math" w:eastAsia="Times New Roman" w:hAnsi="Cambria Math" w:cs="Times New Roman"/>
                    <w:sz w:val="28"/>
                    <w:szCs w:val="28"/>
                    <w:lang w:eastAsia="el-GR"/>
                  </w:rPr>
                  <m:t>s</m:t>
                </m:r>
              </m:e>
              <m:sub>
                <m:r>
                  <w:rPr>
                    <w:rFonts w:ascii="Cambria Math" w:eastAsia="Times New Roman" w:hAnsi="Cambria Math" w:cs="Times New Roman"/>
                    <w:sz w:val="28"/>
                    <w:szCs w:val="28"/>
                    <w:lang w:eastAsia="el-GR"/>
                  </w:rPr>
                  <m:t>i</m:t>
                </m:r>
              </m:sub>
              <m:sup>
                <m:r>
                  <w:rPr>
                    <w:rFonts w:ascii="Cambria Math" w:eastAsia="Times New Roman" w:hAnsi="Cambria Math" w:cs="Times New Roman"/>
                    <w:sz w:val="28"/>
                    <w:szCs w:val="28"/>
                    <w:lang w:eastAsia="el-GR"/>
                  </w:rPr>
                  <m:t>j</m:t>
                </m:r>
              </m:sup>
            </m:sSubSup>
          </m:den>
        </m:f>
      </m:oMath>
      <w:r w:rsidRPr="00182D67">
        <w:rPr>
          <w:rFonts w:ascii="Times New Roman" w:eastAsia="Times New Roman" w:hAnsi="Times New Roman" w:cs="Times New Roman"/>
          <w:sz w:val="24"/>
          <w:szCs w:val="24"/>
          <w:lang w:eastAsia="el-GR"/>
        </w:rPr>
        <w:tab/>
        <w:t xml:space="preserve">   (1)</w:t>
      </w:r>
    </w:p>
    <w:p w14:paraId="03BFEB7C" w14:textId="77777777" w:rsidR="00DA578F" w:rsidRDefault="00DA578F" w:rsidP="00251B63">
      <w:pPr>
        <w:spacing w:after="0" w:line="480" w:lineRule="auto"/>
        <w:jc w:val="both"/>
        <w:rPr>
          <w:rFonts w:ascii="Times New Roman" w:eastAsia="Times New Roman" w:hAnsi="Times New Roman" w:cs="Times New Roman"/>
          <w:sz w:val="24"/>
          <w:szCs w:val="24"/>
          <w:lang w:eastAsia="el-GR"/>
        </w:rPr>
      </w:pPr>
    </w:p>
    <w:p w14:paraId="2C26E07E" w14:textId="47D6BBB2" w:rsidR="00DA578F" w:rsidRPr="00182D67" w:rsidRDefault="00DA578F" w:rsidP="00251B63">
      <w:pPr>
        <w:spacing w:after="0" w:line="480" w:lineRule="auto"/>
        <w:jc w:val="both"/>
        <w:rPr>
          <w:rFonts w:ascii="Times New Roman" w:eastAsia="Times New Roman" w:hAnsi="Times New Roman" w:cs="Times New Roman"/>
          <w:sz w:val="24"/>
          <w:szCs w:val="24"/>
          <w:lang w:eastAsia="el-GR"/>
        </w:rPr>
      </w:pPr>
      <w:r w:rsidRPr="00182D67">
        <w:rPr>
          <w:rFonts w:ascii="Times New Roman" w:eastAsia="Times New Roman" w:hAnsi="Times New Roman" w:cs="Times New Roman"/>
          <w:sz w:val="24"/>
          <w:szCs w:val="24"/>
          <w:lang w:eastAsia="el-GR"/>
        </w:rPr>
        <w:t xml:space="preserve">where 0 ≤ </w:t>
      </w:r>
      <m:oMath>
        <m:sSubSup>
          <m:sSubSupPr>
            <m:ctrlPr>
              <w:rPr>
                <w:rFonts w:ascii="Cambria Math" w:eastAsia="Times New Roman" w:hAnsi="Cambria Math" w:cs="Times New Roman"/>
                <w:i/>
                <w:sz w:val="24"/>
                <w:szCs w:val="24"/>
                <w:lang w:eastAsia="el-GR"/>
              </w:rPr>
            </m:ctrlPr>
          </m:sSubSupPr>
          <m:e>
            <m:r>
              <w:rPr>
                <w:rFonts w:ascii="Cambria Math" w:eastAsia="Times New Roman" w:hAnsi="Cambria Math" w:cs="Times New Roman"/>
                <w:sz w:val="24"/>
                <w:szCs w:val="24"/>
                <w:lang w:eastAsia="el-GR"/>
              </w:rPr>
              <m:t>R</m:t>
            </m:r>
          </m:e>
          <m:sub>
            <m:r>
              <w:rPr>
                <w:rFonts w:ascii="Cambria Math" w:eastAsia="Times New Roman" w:hAnsi="Cambria Math" w:cs="Times New Roman"/>
                <w:sz w:val="24"/>
                <w:szCs w:val="24"/>
                <w:lang w:eastAsia="el-GR"/>
              </w:rPr>
              <m:t>i</m:t>
            </m:r>
          </m:sub>
          <m:sup>
            <m:r>
              <w:rPr>
                <w:rFonts w:ascii="Cambria Math" w:eastAsia="Times New Roman" w:hAnsi="Cambria Math" w:cs="Times New Roman"/>
                <w:sz w:val="24"/>
                <w:szCs w:val="24"/>
                <w:lang w:eastAsia="el-GR"/>
              </w:rPr>
              <m:t>j</m:t>
            </m:r>
          </m:sup>
        </m:sSubSup>
      </m:oMath>
      <w:r w:rsidRPr="00182D67">
        <w:rPr>
          <w:rFonts w:ascii="Times New Roman" w:eastAsia="Times New Roman" w:hAnsi="Times New Roman" w:cs="Times New Roman"/>
          <w:sz w:val="24"/>
          <w:szCs w:val="24"/>
          <w:lang w:eastAsia="el-GR"/>
        </w:rPr>
        <w:t xml:space="preserve">≤ 1 for each </w:t>
      </w:r>
      <w:r w:rsidRPr="3B009953">
        <w:rPr>
          <w:rFonts w:ascii="Times New Roman" w:eastAsia="Times New Roman" w:hAnsi="Times New Roman" w:cs="Times New Roman"/>
          <w:i/>
          <w:iCs/>
          <w:sz w:val="24"/>
          <w:szCs w:val="24"/>
          <w:lang w:eastAsia="el-GR"/>
        </w:rPr>
        <w:t>i</w:t>
      </w:r>
      <w:r w:rsidRPr="00182D67">
        <w:rPr>
          <w:rFonts w:ascii="Times New Roman" w:eastAsia="Times New Roman" w:hAnsi="Times New Roman" w:cs="Times New Roman"/>
          <w:sz w:val="24"/>
          <w:szCs w:val="24"/>
          <w:lang w:eastAsia="el-GR"/>
        </w:rPr>
        <w:t xml:space="preserve">. This variable measures the proportion of weekly hours lost </w:t>
      </w:r>
      <w:r w:rsidR="3CA3387B" w:rsidRPr="00182D67">
        <w:rPr>
          <w:rFonts w:ascii="Times New Roman" w:eastAsia="Times New Roman" w:hAnsi="Times New Roman" w:cs="Times New Roman"/>
          <w:sz w:val="24"/>
          <w:szCs w:val="24"/>
          <w:lang w:eastAsia="el-GR"/>
        </w:rPr>
        <w:t>owing</w:t>
      </w:r>
      <w:r w:rsidR="48C7C399" w:rsidRPr="00182D67">
        <w:rPr>
          <w:rFonts w:ascii="Times New Roman" w:eastAsia="Times New Roman" w:hAnsi="Times New Roman" w:cs="Times New Roman"/>
          <w:sz w:val="24"/>
          <w:szCs w:val="24"/>
          <w:lang w:eastAsia="el-GR"/>
        </w:rPr>
        <w:t xml:space="preserve"> </w:t>
      </w:r>
      <w:r w:rsidRPr="00182D67">
        <w:rPr>
          <w:rFonts w:ascii="Times New Roman" w:eastAsia="Times New Roman" w:hAnsi="Times New Roman" w:cs="Times New Roman"/>
          <w:sz w:val="24"/>
          <w:szCs w:val="24"/>
          <w:lang w:eastAsia="el-GR"/>
        </w:rPr>
        <w:t xml:space="preserve">to the reasons mentioned above and </w:t>
      </w:r>
      <w:r w:rsidR="00D47065">
        <w:rPr>
          <w:rFonts w:ascii="Times New Roman" w:eastAsia="Times New Roman" w:hAnsi="Times New Roman" w:cs="Times New Roman"/>
          <w:sz w:val="24"/>
          <w:szCs w:val="24"/>
          <w:lang w:eastAsia="el-GR"/>
        </w:rPr>
        <w:t xml:space="preserve">is the </w:t>
      </w:r>
      <w:r w:rsidRPr="3B009953">
        <w:rPr>
          <w:rFonts w:ascii="Times New Roman" w:eastAsia="Times New Roman" w:hAnsi="Times New Roman" w:cs="Times New Roman"/>
          <w:i/>
          <w:iCs/>
          <w:sz w:val="24"/>
          <w:szCs w:val="24"/>
          <w:lang w:eastAsia="el-GR"/>
        </w:rPr>
        <w:t>sickness absence rate</w:t>
      </w:r>
      <w:r w:rsidRPr="00182D67">
        <w:rPr>
          <w:rFonts w:ascii="Times New Roman" w:eastAsia="Times New Roman" w:hAnsi="Times New Roman" w:cs="Times New Roman"/>
          <w:sz w:val="24"/>
          <w:szCs w:val="24"/>
          <w:lang w:eastAsia="el-GR"/>
        </w:rPr>
        <w:t xml:space="preserve"> </w:t>
      </w:r>
      <w:r w:rsidR="00D47065">
        <w:rPr>
          <w:rFonts w:ascii="Times New Roman" w:eastAsia="Times New Roman" w:hAnsi="Times New Roman" w:cs="Times New Roman"/>
          <w:sz w:val="24"/>
          <w:szCs w:val="24"/>
          <w:lang w:eastAsia="el-GR"/>
        </w:rPr>
        <w:t xml:space="preserve">or </w:t>
      </w:r>
      <w:r w:rsidRPr="3B009953">
        <w:rPr>
          <w:rFonts w:ascii="Times New Roman" w:eastAsia="Times New Roman" w:hAnsi="Times New Roman" w:cs="Times New Roman"/>
          <w:i/>
          <w:iCs/>
          <w:sz w:val="24"/>
          <w:szCs w:val="24"/>
          <w:lang w:eastAsia="el-GR"/>
        </w:rPr>
        <w:t>overall absence rate</w:t>
      </w:r>
      <w:r w:rsidR="00D47065">
        <w:rPr>
          <w:rFonts w:ascii="Times New Roman" w:eastAsia="Times New Roman" w:hAnsi="Times New Roman" w:cs="Times New Roman"/>
          <w:sz w:val="24"/>
          <w:szCs w:val="24"/>
          <w:lang w:eastAsia="el-GR"/>
        </w:rPr>
        <w:t xml:space="preserve">, depending on how </w:t>
      </w:r>
      <m:oMath>
        <m:sSubSup>
          <m:sSubSupPr>
            <m:ctrlPr>
              <w:rPr>
                <w:rFonts w:ascii="Cambria Math" w:eastAsia="Times New Roman" w:hAnsi="Cambria Math" w:cs="Times New Roman"/>
                <w:i/>
                <w:sz w:val="24"/>
                <w:szCs w:val="24"/>
                <w:lang w:eastAsia="el-GR"/>
              </w:rPr>
            </m:ctrlPr>
          </m:sSubSupPr>
          <m:e>
            <m:r>
              <w:rPr>
                <w:rFonts w:ascii="Cambria Math" w:eastAsia="Times New Roman" w:hAnsi="Cambria Math" w:cs="Times New Roman"/>
                <w:sz w:val="24"/>
                <w:szCs w:val="24"/>
                <w:lang w:eastAsia="el-GR"/>
              </w:rPr>
              <m:t>s</m:t>
            </m:r>
          </m:e>
          <m:sub>
            <m:r>
              <w:rPr>
                <w:rFonts w:ascii="Cambria Math" w:eastAsia="Times New Roman" w:hAnsi="Cambria Math" w:cs="Times New Roman"/>
                <w:sz w:val="24"/>
                <w:szCs w:val="24"/>
                <w:lang w:eastAsia="el-GR"/>
              </w:rPr>
              <m:t>i</m:t>
            </m:r>
          </m:sub>
          <m:sup>
            <m:r>
              <w:rPr>
                <w:rFonts w:ascii="Cambria Math" w:eastAsia="Times New Roman" w:hAnsi="Cambria Math" w:cs="Times New Roman"/>
                <w:sz w:val="24"/>
                <w:szCs w:val="24"/>
                <w:lang w:eastAsia="el-GR"/>
              </w:rPr>
              <m:t>j</m:t>
            </m:r>
          </m:sup>
        </m:sSubSup>
      </m:oMath>
      <w:r w:rsidR="00D47065">
        <w:rPr>
          <w:rFonts w:ascii="Times New Roman" w:eastAsia="Times New Roman" w:hAnsi="Times New Roman" w:cs="Times New Roman"/>
          <w:sz w:val="24"/>
          <w:szCs w:val="24"/>
          <w:lang w:eastAsia="el-GR"/>
        </w:rPr>
        <w:t xml:space="preserve">is calculated. </w:t>
      </w:r>
      <w:r w:rsidRPr="00182D67">
        <w:rPr>
          <w:rFonts w:ascii="Times New Roman" w:eastAsia="Times New Roman" w:hAnsi="Times New Roman" w:cs="Times New Roman"/>
          <w:sz w:val="24"/>
          <w:szCs w:val="24"/>
          <w:lang w:eastAsia="el-GR"/>
        </w:rPr>
        <w:t xml:space="preserve">By using this rate, we can also construct our </w:t>
      </w:r>
      <w:r w:rsidRPr="3B009953">
        <w:rPr>
          <w:rFonts w:ascii="Times New Roman" w:eastAsia="Times New Roman" w:hAnsi="Times New Roman" w:cs="Times New Roman"/>
          <w:i/>
          <w:iCs/>
          <w:sz w:val="24"/>
          <w:szCs w:val="24"/>
          <w:lang w:eastAsia="el-GR"/>
        </w:rPr>
        <w:t xml:space="preserve">sickness </w:t>
      </w:r>
      <w:r w:rsidRPr="00182D67">
        <w:rPr>
          <w:rFonts w:ascii="Times New Roman" w:eastAsia="Times New Roman" w:hAnsi="Times New Roman" w:cs="Times New Roman"/>
          <w:sz w:val="24"/>
          <w:szCs w:val="24"/>
          <w:lang w:eastAsia="el-GR"/>
        </w:rPr>
        <w:t>and</w:t>
      </w:r>
      <w:r w:rsidRPr="3B009953">
        <w:rPr>
          <w:rFonts w:ascii="Times New Roman" w:eastAsia="Times New Roman" w:hAnsi="Times New Roman" w:cs="Times New Roman"/>
          <w:i/>
          <w:iCs/>
          <w:sz w:val="24"/>
          <w:szCs w:val="24"/>
          <w:lang w:eastAsia="el-GR"/>
        </w:rPr>
        <w:t xml:space="preserve"> overall absence probability</w:t>
      </w:r>
      <w:r w:rsidRPr="00182D67">
        <w:rPr>
          <w:rFonts w:ascii="Times New Roman" w:eastAsia="Times New Roman" w:hAnsi="Times New Roman" w:cs="Times New Roman"/>
          <w:sz w:val="24"/>
          <w:szCs w:val="24"/>
          <w:lang w:eastAsia="el-GR"/>
        </w:rPr>
        <w:t xml:space="preserve"> measures. These are discrete variables taking the value of 1 if the respective absence rate is positive (and 0 otherwise) and they effectively measure the incidence of at least one hour of absence in the reference week. </w:t>
      </w:r>
    </w:p>
    <w:p w14:paraId="6A7F13AB" w14:textId="77777777" w:rsidR="00DA578F" w:rsidRPr="00182D67" w:rsidRDefault="00DA578F" w:rsidP="00251B63">
      <w:pPr>
        <w:spacing w:after="0" w:line="480" w:lineRule="auto"/>
        <w:jc w:val="both"/>
        <w:rPr>
          <w:rFonts w:ascii="Times New Roman" w:eastAsia="Times New Roman" w:hAnsi="Times New Roman" w:cs="Times New Roman"/>
          <w:sz w:val="24"/>
          <w:szCs w:val="24"/>
          <w:lang w:eastAsia="el-GR"/>
        </w:rPr>
      </w:pPr>
    </w:p>
    <w:p w14:paraId="2822756B" w14:textId="2E5B74A8" w:rsidR="00DA578F" w:rsidRPr="00F93371" w:rsidRDefault="00DA578F" w:rsidP="00F93371">
      <w:pPr>
        <w:autoSpaceDE w:val="0"/>
        <w:autoSpaceDN w:val="0"/>
        <w:adjustRightInd w:val="0"/>
        <w:spacing w:after="0" w:line="480" w:lineRule="auto"/>
        <w:jc w:val="both"/>
        <w:rPr>
          <w:rFonts w:ascii="AdvOT6eb13881" w:eastAsia="AdvOT6eb13881" w:hAnsi="AdvOT6eb13881" w:cs="AdvOT6eb13881"/>
          <w:sz w:val="24"/>
          <w:szCs w:val="24"/>
        </w:rPr>
      </w:pPr>
      <w:r w:rsidRPr="338B1626">
        <w:rPr>
          <w:rFonts w:ascii="Times New Roman" w:eastAsia="Times New Roman" w:hAnsi="Times New Roman" w:cs="Times New Roman"/>
          <w:sz w:val="24"/>
          <w:szCs w:val="24"/>
        </w:rPr>
        <w:t xml:space="preserve">In </w:t>
      </w:r>
      <w:r w:rsidR="00D60179">
        <w:rPr>
          <w:rFonts w:ascii="Times New Roman" w:eastAsia="Times New Roman" w:hAnsi="Times New Roman" w:cs="Times New Roman"/>
          <w:sz w:val="24"/>
          <w:szCs w:val="24"/>
        </w:rPr>
        <w:t>the</w:t>
      </w:r>
      <w:r w:rsidRPr="338B1626">
        <w:rPr>
          <w:rFonts w:ascii="Times New Roman" w:eastAsia="Times New Roman" w:hAnsi="Times New Roman" w:cs="Times New Roman"/>
          <w:sz w:val="24"/>
          <w:szCs w:val="24"/>
        </w:rPr>
        <w:t xml:space="preserve"> </w:t>
      </w:r>
      <w:r w:rsidR="00D60179">
        <w:rPr>
          <w:rFonts w:ascii="Times New Roman" w:eastAsia="Times New Roman" w:hAnsi="Times New Roman" w:cs="Times New Roman"/>
          <w:sz w:val="24"/>
          <w:szCs w:val="24"/>
        </w:rPr>
        <w:t xml:space="preserve">multiple regression analysis, </w:t>
      </w:r>
      <w:r w:rsidRPr="338B1626">
        <w:rPr>
          <w:rFonts w:ascii="Times New Roman" w:eastAsia="Times New Roman" w:hAnsi="Times New Roman" w:cs="Times New Roman"/>
          <w:sz w:val="24"/>
          <w:szCs w:val="24"/>
        </w:rPr>
        <w:t xml:space="preserve">linear models for </w:t>
      </w:r>
      <w:r w:rsidR="00C24F1E">
        <w:rPr>
          <w:rFonts w:ascii="Times New Roman" w:eastAsia="Times New Roman" w:hAnsi="Times New Roman" w:cs="Times New Roman"/>
          <w:sz w:val="24"/>
          <w:szCs w:val="24"/>
        </w:rPr>
        <w:t xml:space="preserve">the </w:t>
      </w:r>
      <w:r w:rsidRPr="338B1626">
        <w:rPr>
          <w:rFonts w:ascii="Times New Roman" w:eastAsia="Times New Roman" w:hAnsi="Times New Roman" w:cs="Times New Roman"/>
          <w:sz w:val="24"/>
          <w:szCs w:val="24"/>
        </w:rPr>
        <w:t xml:space="preserve">four dependent variables </w:t>
      </w:r>
      <w:r w:rsidR="00D60179">
        <w:rPr>
          <w:rFonts w:ascii="Times New Roman" w:eastAsia="Times New Roman" w:hAnsi="Times New Roman" w:cs="Times New Roman"/>
          <w:sz w:val="24"/>
          <w:szCs w:val="24"/>
        </w:rPr>
        <w:t xml:space="preserve">are estimated </w:t>
      </w:r>
      <w:r w:rsidRPr="338B1626">
        <w:rPr>
          <w:rFonts w:ascii="Times New Roman" w:eastAsia="Times New Roman" w:hAnsi="Times New Roman" w:cs="Times New Roman"/>
          <w:sz w:val="24"/>
          <w:szCs w:val="24"/>
        </w:rPr>
        <w:t>to investigate whether A8 migrants record more or less absence from work than UK nationals.</w:t>
      </w:r>
      <w:r w:rsidRPr="338B1626">
        <w:rPr>
          <w:rStyle w:val="EndnoteReference"/>
          <w:rFonts w:ascii="Times New Roman" w:eastAsia="Times New Roman" w:hAnsi="Times New Roman" w:cs="Times New Roman"/>
          <w:sz w:val="24"/>
          <w:szCs w:val="24"/>
        </w:rPr>
        <w:endnoteReference w:id="5"/>
      </w:r>
      <w:r w:rsidRPr="338B1626">
        <w:rPr>
          <w:rFonts w:ascii="Times New Roman" w:eastAsia="Times New Roman" w:hAnsi="Times New Roman" w:cs="Times New Roman"/>
          <w:sz w:val="24"/>
          <w:szCs w:val="24"/>
        </w:rPr>
        <w:t xml:space="preserve"> As well as including in the model a dummy variable indicating whether the individual is an A8 migrant, an interaction of this with a variable that measures the number of years an A8 migrant has resided in the UK since migration</w:t>
      </w:r>
      <w:r w:rsidR="00D60179">
        <w:rPr>
          <w:rFonts w:ascii="Times New Roman" w:eastAsia="Times New Roman" w:hAnsi="Times New Roman" w:cs="Times New Roman"/>
          <w:sz w:val="24"/>
          <w:szCs w:val="24"/>
        </w:rPr>
        <w:t xml:space="preserve"> is also included. </w:t>
      </w:r>
      <w:r w:rsidR="00A611B0">
        <w:rPr>
          <w:rFonts w:ascii="Times New Roman" w:eastAsia="Times New Roman" w:hAnsi="Times New Roman" w:cs="Times New Roman"/>
          <w:sz w:val="24"/>
          <w:szCs w:val="24"/>
        </w:rPr>
        <w:t xml:space="preserve">The </w:t>
      </w:r>
      <w:r w:rsidR="00852F1B">
        <w:rPr>
          <w:rFonts w:ascii="Times New Roman" w:eastAsia="Times New Roman" w:hAnsi="Times New Roman" w:cs="Times New Roman"/>
          <w:sz w:val="24"/>
          <w:szCs w:val="24"/>
        </w:rPr>
        <w:t xml:space="preserve">coefficient of the </w:t>
      </w:r>
      <w:r w:rsidR="00852F1B" w:rsidRPr="338B1626">
        <w:rPr>
          <w:rFonts w:ascii="Times New Roman" w:eastAsia="Times New Roman" w:hAnsi="Times New Roman" w:cs="Times New Roman"/>
          <w:sz w:val="24"/>
          <w:szCs w:val="24"/>
        </w:rPr>
        <w:t>A8 dummy</w:t>
      </w:r>
      <w:r w:rsidR="00A611B0">
        <w:rPr>
          <w:rFonts w:ascii="Times New Roman" w:eastAsia="Times New Roman" w:hAnsi="Times New Roman" w:cs="Times New Roman"/>
          <w:sz w:val="24"/>
          <w:szCs w:val="24"/>
        </w:rPr>
        <w:t>,</w:t>
      </w:r>
      <w:r w:rsidR="00852F1B" w:rsidRPr="338B1626">
        <w:rPr>
          <w:rFonts w:ascii="Times New Roman" w:eastAsia="Times New Roman" w:hAnsi="Times New Roman" w:cs="Times New Roman"/>
          <w:sz w:val="24"/>
          <w:szCs w:val="24"/>
        </w:rPr>
        <w:t xml:space="preserve"> </w:t>
      </w:r>
      <w:r w:rsidR="009415D1">
        <w:rPr>
          <w:rFonts w:ascii="Times New Roman" w:eastAsia="Times New Roman" w:hAnsi="Times New Roman" w:cs="Times New Roman"/>
          <w:sz w:val="24"/>
          <w:szCs w:val="24"/>
        </w:rPr>
        <w:t>therefore</w:t>
      </w:r>
      <w:r w:rsidR="00A611B0">
        <w:rPr>
          <w:rFonts w:ascii="Times New Roman" w:eastAsia="Times New Roman" w:hAnsi="Times New Roman" w:cs="Times New Roman"/>
          <w:sz w:val="24"/>
          <w:szCs w:val="24"/>
        </w:rPr>
        <w:t>,</w:t>
      </w:r>
      <w:r w:rsidR="009415D1">
        <w:rPr>
          <w:rFonts w:ascii="Times New Roman" w:eastAsia="Times New Roman" w:hAnsi="Times New Roman" w:cs="Times New Roman"/>
          <w:sz w:val="24"/>
          <w:szCs w:val="24"/>
        </w:rPr>
        <w:t xml:space="preserve"> </w:t>
      </w:r>
      <w:r w:rsidR="00232D3E">
        <w:rPr>
          <w:rFonts w:ascii="Times New Roman" w:eastAsia="Times New Roman" w:hAnsi="Times New Roman" w:cs="Times New Roman"/>
          <w:sz w:val="24"/>
          <w:szCs w:val="24"/>
        </w:rPr>
        <w:t>measures</w:t>
      </w:r>
      <w:r w:rsidR="00852F1B">
        <w:rPr>
          <w:rFonts w:ascii="Times New Roman" w:eastAsia="Times New Roman" w:hAnsi="Times New Roman" w:cs="Times New Roman"/>
          <w:sz w:val="24"/>
          <w:szCs w:val="24"/>
        </w:rPr>
        <w:t xml:space="preserve"> the absence differential between a UK national and an </w:t>
      </w:r>
      <w:r w:rsidR="00852F1B" w:rsidRPr="338B1626">
        <w:rPr>
          <w:rFonts w:ascii="Times New Roman" w:eastAsia="Times New Roman" w:hAnsi="Times New Roman" w:cs="Times New Roman"/>
          <w:sz w:val="24"/>
          <w:szCs w:val="24"/>
        </w:rPr>
        <w:t>A8 migrant that arrived in the UK in the same year as the one he/she is observed in the QLFS</w:t>
      </w:r>
      <w:r w:rsidR="00852F1B">
        <w:rPr>
          <w:rFonts w:ascii="Times New Roman" w:eastAsia="Times New Roman" w:hAnsi="Times New Roman" w:cs="Times New Roman"/>
          <w:sz w:val="24"/>
          <w:szCs w:val="24"/>
        </w:rPr>
        <w:t xml:space="preserve">, while the coefficient of the interaction term measures the rate of </w:t>
      </w:r>
      <w:r w:rsidR="00543E44">
        <w:rPr>
          <w:rFonts w:ascii="Times New Roman" w:eastAsia="Times New Roman" w:hAnsi="Times New Roman" w:cs="Times New Roman"/>
          <w:sz w:val="24"/>
          <w:szCs w:val="24"/>
        </w:rPr>
        <w:t xml:space="preserve">absence </w:t>
      </w:r>
      <w:r w:rsidR="00852F1B">
        <w:rPr>
          <w:rFonts w:ascii="Times New Roman" w:eastAsia="Times New Roman" w:hAnsi="Times New Roman" w:cs="Times New Roman"/>
          <w:sz w:val="24"/>
          <w:szCs w:val="24"/>
        </w:rPr>
        <w:t xml:space="preserve">assimilation </w:t>
      </w:r>
      <w:r w:rsidR="00232D3E">
        <w:rPr>
          <w:rFonts w:ascii="Times New Roman" w:eastAsia="Times New Roman" w:hAnsi="Times New Roman" w:cs="Times New Roman"/>
          <w:sz w:val="24"/>
          <w:szCs w:val="24"/>
        </w:rPr>
        <w:t>as residency in the UK lengthens for A8 migrants.</w:t>
      </w:r>
      <w:r w:rsidR="006E28D8">
        <w:rPr>
          <w:rStyle w:val="EndnoteReference"/>
          <w:rFonts w:ascii="Times New Roman" w:eastAsia="Times New Roman" w:hAnsi="Times New Roman" w:cs="Times New Roman"/>
          <w:sz w:val="24"/>
          <w:szCs w:val="24"/>
        </w:rPr>
        <w:endnoteReference w:id="6"/>
      </w:r>
      <w:r w:rsidR="00543E44">
        <w:rPr>
          <w:rFonts w:ascii="Times New Roman" w:eastAsia="Times New Roman" w:hAnsi="Times New Roman" w:cs="Times New Roman"/>
          <w:sz w:val="24"/>
          <w:szCs w:val="24"/>
        </w:rPr>
        <w:t xml:space="preserve"> </w:t>
      </w:r>
    </w:p>
    <w:p w14:paraId="4CFF4BBC" w14:textId="77777777" w:rsidR="00DA578F" w:rsidRPr="00182D67" w:rsidRDefault="00DA578F" w:rsidP="00251B63">
      <w:pPr>
        <w:spacing w:after="0" w:line="480" w:lineRule="auto"/>
        <w:jc w:val="both"/>
        <w:rPr>
          <w:rFonts w:ascii="Times New Roman" w:hAnsi="Times New Roman" w:cs="Times New Roman"/>
          <w:sz w:val="24"/>
          <w:szCs w:val="24"/>
        </w:rPr>
      </w:pPr>
    </w:p>
    <w:p w14:paraId="7909382C" w14:textId="1E9548EF" w:rsidR="00DA578F" w:rsidRPr="00F93371" w:rsidRDefault="00DA578F" w:rsidP="00F93371">
      <w:pPr>
        <w:spacing w:after="0" w:line="48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 xml:space="preserve">In order to account for the heterogeneity in both personal and labour market circumstances between </w:t>
      </w:r>
      <w:r w:rsidR="00C24F1E">
        <w:rPr>
          <w:rFonts w:ascii="Times New Roman" w:eastAsia="Times New Roman" w:hAnsi="Times New Roman" w:cs="Times New Roman"/>
          <w:sz w:val="24"/>
          <w:szCs w:val="24"/>
        </w:rPr>
        <w:t>the</w:t>
      </w:r>
      <w:r w:rsidRPr="338B1626">
        <w:rPr>
          <w:rFonts w:ascii="Times New Roman" w:eastAsia="Times New Roman" w:hAnsi="Times New Roman" w:cs="Times New Roman"/>
          <w:sz w:val="24"/>
          <w:szCs w:val="24"/>
        </w:rPr>
        <w:t xml:space="preserve"> A8 migrants and UK nationals, a standard barrage of control variables </w:t>
      </w:r>
      <w:r w:rsidR="00C24F1E">
        <w:rPr>
          <w:rFonts w:ascii="Times New Roman" w:eastAsia="Times New Roman" w:hAnsi="Times New Roman" w:cs="Times New Roman"/>
          <w:sz w:val="24"/>
          <w:szCs w:val="24"/>
        </w:rPr>
        <w:t xml:space="preserve">is included </w:t>
      </w:r>
      <w:r w:rsidRPr="338B1626">
        <w:rPr>
          <w:rFonts w:ascii="Times New Roman" w:eastAsia="Times New Roman" w:hAnsi="Times New Roman" w:cs="Times New Roman"/>
          <w:sz w:val="24"/>
          <w:szCs w:val="24"/>
        </w:rPr>
        <w:t xml:space="preserve">in </w:t>
      </w:r>
      <w:r w:rsidR="00C24F1E">
        <w:rPr>
          <w:rFonts w:ascii="Times New Roman" w:eastAsia="Times New Roman" w:hAnsi="Times New Roman" w:cs="Times New Roman"/>
          <w:sz w:val="24"/>
          <w:szCs w:val="24"/>
        </w:rPr>
        <w:t>the</w:t>
      </w:r>
      <w:r w:rsidRPr="338B1626">
        <w:rPr>
          <w:rFonts w:ascii="Times New Roman" w:eastAsia="Times New Roman" w:hAnsi="Times New Roman" w:cs="Times New Roman"/>
          <w:sz w:val="24"/>
          <w:szCs w:val="24"/>
        </w:rPr>
        <w:t xml:space="preserve"> </w:t>
      </w:r>
      <w:r w:rsidR="00C24F1E">
        <w:rPr>
          <w:rFonts w:ascii="Times New Roman" w:eastAsia="Times New Roman" w:hAnsi="Times New Roman" w:cs="Times New Roman"/>
          <w:sz w:val="24"/>
          <w:szCs w:val="24"/>
        </w:rPr>
        <w:t>regression models. B</w:t>
      </w:r>
      <w:r w:rsidRPr="338B1626">
        <w:rPr>
          <w:rFonts w:ascii="Times New Roman" w:eastAsia="Times New Roman" w:hAnsi="Times New Roman" w:cs="Times New Roman"/>
          <w:sz w:val="24"/>
          <w:szCs w:val="24"/>
        </w:rPr>
        <w:t xml:space="preserve">asic demographic </w:t>
      </w:r>
      <w:r w:rsidR="00C24F1E">
        <w:rPr>
          <w:rFonts w:ascii="Times New Roman" w:eastAsia="Times New Roman" w:hAnsi="Times New Roman" w:cs="Times New Roman"/>
          <w:sz w:val="24"/>
          <w:szCs w:val="24"/>
        </w:rPr>
        <w:t xml:space="preserve">variables </w:t>
      </w:r>
      <w:r w:rsidRPr="338B1626">
        <w:rPr>
          <w:rFonts w:ascii="Times New Roman" w:eastAsia="Times New Roman" w:hAnsi="Times New Roman" w:cs="Times New Roman"/>
          <w:sz w:val="24"/>
          <w:szCs w:val="24"/>
        </w:rPr>
        <w:t>includ</w:t>
      </w:r>
      <w:r w:rsidR="00C24F1E">
        <w:rPr>
          <w:rFonts w:ascii="Times New Roman" w:eastAsia="Times New Roman" w:hAnsi="Times New Roman" w:cs="Times New Roman"/>
          <w:sz w:val="24"/>
          <w:szCs w:val="24"/>
        </w:rPr>
        <w:t>e</w:t>
      </w:r>
      <w:r w:rsidRPr="338B1626">
        <w:rPr>
          <w:rFonts w:ascii="Times New Roman" w:eastAsia="Times New Roman" w:hAnsi="Times New Roman" w:cs="Times New Roman"/>
          <w:sz w:val="24"/>
          <w:szCs w:val="24"/>
        </w:rPr>
        <w:t xml:space="preserve"> gender, age (and its square), education (in years)</w:t>
      </w:r>
      <w:r w:rsidRPr="338B1626">
        <w:rPr>
          <w:rStyle w:val="EndnoteReference"/>
          <w:rFonts w:ascii="Times New Roman" w:eastAsia="Times New Roman" w:hAnsi="Times New Roman" w:cs="Times New Roman"/>
          <w:sz w:val="24"/>
          <w:szCs w:val="24"/>
        </w:rPr>
        <w:endnoteReference w:id="7"/>
      </w:r>
      <w:r w:rsidRPr="338B1626">
        <w:rPr>
          <w:rFonts w:ascii="Times New Roman" w:eastAsia="Times New Roman" w:hAnsi="Times New Roman" w:cs="Times New Roman"/>
          <w:sz w:val="24"/>
          <w:szCs w:val="24"/>
        </w:rPr>
        <w:t>, marital status, number of dependent children under 16 years old, and age of the youngest dependent child. Health status, an important variable in all work absence studies (see e.g. Leigh, 1991), is also included and is captured by two dummies indicating (1) whether the respondent suffers from a long-term health problem, and (2) if that problem affects the amount of work for the employee. A series of region of residence and year dummies are also included to control for regional variations in weather conditions and other relevant variations by place and time. Finally, housing tenure and receipt of any state benefits or tax credits are included in the models in order to capture access to the welfare state.</w:t>
      </w:r>
      <w:r w:rsidRPr="338B1626">
        <w:rPr>
          <w:rStyle w:val="EndnoteReference"/>
          <w:rFonts w:ascii="Times New Roman" w:eastAsia="Times New Roman" w:hAnsi="Times New Roman" w:cs="Times New Roman"/>
          <w:sz w:val="24"/>
          <w:szCs w:val="24"/>
        </w:rPr>
        <w:endnoteReference w:id="8"/>
      </w:r>
      <w:r w:rsidRPr="338B1626">
        <w:rPr>
          <w:rFonts w:ascii="Times New Roman" w:eastAsia="Times New Roman" w:hAnsi="Times New Roman" w:cs="Times New Roman"/>
          <w:sz w:val="24"/>
          <w:szCs w:val="24"/>
        </w:rPr>
        <w:t xml:space="preserve"> These are important controls since A8 migrants were not eligible for tax credits before registering with the WRS, while they also could not claim any income-related benefits before having worked continuously for one year (Dustmann et al., 2010: 6). This limited access to the welfare state is, in turn, expected to affect migrant work effort (see </w:t>
      </w:r>
      <w:r w:rsidR="00C24F1E">
        <w:rPr>
          <w:rFonts w:ascii="Times New Roman" w:eastAsia="Times New Roman" w:hAnsi="Times New Roman" w:cs="Times New Roman"/>
          <w:sz w:val="24"/>
          <w:szCs w:val="24"/>
        </w:rPr>
        <w:t xml:space="preserve">also </w:t>
      </w:r>
      <w:r w:rsidRPr="338B1626">
        <w:rPr>
          <w:rFonts w:ascii="Times New Roman" w:eastAsia="Times New Roman" w:hAnsi="Times New Roman" w:cs="Times New Roman"/>
          <w:sz w:val="24"/>
          <w:szCs w:val="24"/>
        </w:rPr>
        <w:t>Hansen and Lofstrom, 2011). To account for possible differential effects of benefits receipt on UK nationals and A8 migrants, an interaction term is added in the model</w:t>
      </w:r>
      <w:r w:rsidR="00C24F1E">
        <w:rPr>
          <w:rFonts w:ascii="Times New Roman" w:eastAsia="Times New Roman" w:hAnsi="Times New Roman" w:cs="Times New Roman"/>
          <w:sz w:val="24"/>
          <w:szCs w:val="24"/>
        </w:rPr>
        <w:t>s</w:t>
      </w:r>
      <w:r w:rsidRPr="338B1626">
        <w:rPr>
          <w:rFonts w:ascii="Times New Roman" w:eastAsia="Times New Roman" w:hAnsi="Times New Roman" w:cs="Times New Roman"/>
          <w:sz w:val="24"/>
          <w:szCs w:val="24"/>
        </w:rPr>
        <w:t xml:space="preserve">.    </w:t>
      </w:r>
    </w:p>
    <w:p w14:paraId="71BCD7C2" w14:textId="77777777" w:rsidR="00DA578F" w:rsidRPr="00182D67" w:rsidRDefault="00DA578F" w:rsidP="00251B63">
      <w:pPr>
        <w:spacing w:after="0" w:line="480" w:lineRule="auto"/>
        <w:jc w:val="both"/>
        <w:rPr>
          <w:rFonts w:ascii="Times New Roman" w:hAnsi="Times New Roman" w:cs="Times New Roman"/>
          <w:sz w:val="24"/>
          <w:szCs w:val="24"/>
        </w:rPr>
      </w:pPr>
    </w:p>
    <w:p w14:paraId="1EFB0D8F" w14:textId="3A992E5B" w:rsidR="00DA578F" w:rsidRPr="00895242" w:rsidRDefault="004A546D" w:rsidP="00251B6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A578F" w:rsidRPr="338B1626">
        <w:rPr>
          <w:rFonts w:ascii="Times New Roman" w:eastAsia="Times New Roman" w:hAnsi="Times New Roman" w:cs="Times New Roman"/>
          <w:sz w:val="24"/>
          <w:szCs w:val="24"/>
        </w:rPr>
        <w:t>abour market heterogeneity is captured through a series of control variables including: usual basic weekly hours worked, paid and unpaid overtime hours, whether the employee works in the public sector, has a second job, a permanent contract, a managerial or supervisory status, whether the employee works at home (or in the same building as his/her home), tenure with current employer, establishment size (see e.g. Barmby and Stephan, 2000), trade union status (see e.g. Allen, 1984) and flexible working arrangements (s</w:t>
      </w:r>
      <w:r w:rsidR="000021AE">
        <w:rPr>
          <w:rFonts w:ascii="Times New Roman" w:eastAsia="Times New Roman" w:hAnsi="Times New Roman" w:cs="Times New Roman"/>
          <w:sz w:val="24"/>
          <w:szCs w:val="24"/>
        </w:rPr>
        <w:t>ee e.g. Heywood and Miller, 2015</w:t>
      </w:r>
      <w:r w:rsidR="00DA578F" w:rsidRPr="338B1626">
        <w:rPr>
          <w:rFonts w:ascii="Times New Roman" w:eastAsia="Times New Roman" w:hAnsi="Times New Roman" w:cs="Times New Roman"/>
          <w:sz w:val="24"/>
          <w:szCs w:val="24"/>
        </w:rPr>
        <w:t xml:space="preserve">). </w:t>
      </w:r>
      <w:r w:rsidR="00895242">
        <w:rPr>
          <w:rFonts w:ascii="Times New Roman" w:eastAsia="Times New Roman" w:hAnsi="Times New Roman" w:cs="Times New Roman"/>
          <w:sz w:val="24"/>
          <w:szCs w:val="24"/>
        </w:rPr>
        <w:t xml:space="preserve">A </w:t>
      </w:r>
      <w:r w:rsidR="00DA578F" w:rsidRPr="338B1626">
        <w:rPr>
          <w:rFonts w:ascii="Times New Roman" w:eastAsia="Times New Roman" w:hAnsi="Times New Roman" w:cs="Times New Roman"/>
          <w:sz w:val="24"/>
          <w:szCs w:val="24"/>
        </w:rPr>
        <w:t>series of occupational and industry dummies are also included in the models.</w:t>
      </w:r>
      <w:r w:rsidR="00DA578F" w:rsidRPr="338B1626">
        <w:rPr>
          <w:rStyle w:val="EndnoteReference"/>
          <w:rFonts w:ascii="Times New Roman" w:eastAsia="Times New Roman" w:hAnsi="Times New Roman" w:cs="Times New Roman"/>
          <w:sz w:val="24"/>
          <w:szCs w:val="24"/>
        </w:rPr>
        <w:endnoteReference w:id="9"/>
      </w:r>
      <w:r w:rsidR="00DA578F" w:rsidRPr="338B1626">
        <w:rPr>
          <w:rFonts w:ascii="Times New Roman" w:eastAsia="Times New Roman" w:hAnsi="Times New Roman" w:cs="Times New Roman"/>
          <w:sz w:val="24"/>
          <w:szCs w:val="24"/>
        </w:rPr>
        <w:t xml:space="preserve"> </w:t>
      </w:r>
      <w:r w:rsidR="00895242">
        <w:rPr>
          <w:rFonts w:ascii="Times New Roman" w:eastAsia="Times New Roman" w:hAnsi="Times New Roman" w:cs="Times New Roman"/>
          <w:sz w:val="24"/>
          <w:szCs w:val="24"/>
        </w:rPr>
        <w:t>Finally, since j</w:t>
      </w:r>
      <w:r w:rsidR="00DA578F" w:rsidRPr="338B1626">
        <w:rPr>
          <w:rFonts w:ascii="Times New Roman" w:eastAsia="Times New Roman" w:hAnsi="Times New Roman" w:cs="Times New Roman"/>
          <w:sz w:val="24"/>
          <w:szCs w:val="24"/>
        </w:rPr>
        <w:t>ob dissatisfaction is a much studied variable in the work absence literature (</w:t>
      </w:r>
      <w:r w:rsidR="00895242">
        <w:rPr>
          <w:rFonts w:ascii="Times New Roman" w:eastAsia="Times New Roman" w:hAnsi="Times New Roman" w:cs="Times New Roman"/>
          <w:sz w:val="24"/>
          <w:szCs w:val="24"/>
        </w:rPr>
        <w:t xml:space="preserve">see </w:t>
      </w:r>
      <w:r w:rsidR="00DA578F" w:rsidRPr="338B1626">
        <w:rPr>
          <w:rFonts w:ascii="Times New Roman" w:eastAsia="Times New Roman" w:hAnsi="Times New Roman" w:cs="Times New Roman"/>
          <w:sz w:val="24"/>
          <w:szCs w:val="24"/>
        </w:rPr>
        <w:t>Steers and Rhodes, 1978)</w:t>
      </w:r>
      <w:r w:rsidR="00895242">
        <w:rPr>
          <w:rFonts w:ascii="Times New Roman" w:eastAsia="Times New Roman" w:hAnsi="Times New Roman" w:cs="Times New Roman"/>
          <w:sz w:val="24"/>
          <w:szCs w:val="24"/>
        </w:rPr>
        <w:t xml:space="preserve">, it </w:t>
      </w:r>
      <w:r w:rsidR="00DA578F">
        <w:rPr>
          <w:rFonts w:ascii="Times New Roman" w:eastAsia="Times New Roman" w:hAnsi="Times New Roman" w:cs="Times New Roman"/>
          <w:sz w:val="24"/>
          <w:szCs w:val="24"/>
        </w:rPr>
        <w:t xml:space="preserve">is </w:t>
      </w:r>
      <w:r w:rsidR="00DA578F" w:rsidRPr="338B1626">
        <w:rPr>
          <w:rFonts w:ascii="Times New Roman" w:eastAsia="Times New Roman" w:hAnsi="Times New Roman" w:cs="Times New Roman"/>
          <w:sz w:val="24"/>
          <w:szCs w:val="24"/>
        </w:rPr>
        <w:t>prox</w:t>
      </w:r>
      <w:r w:rsidR="00DA578F">
        <w:rPr>
          <w:rFonts w:ascii="Times New Roman" w:eastAsia="Times New Roman" w:hAnsi="Times New Roman" w:cs="Times New Roman"/>
          <w:sz w:val="24"/>
          <w:szCs w:val="24"/>
        </w:rPr>
        <w:t>ied</w:t>
      </w:r>
      <w:r w:rsidR="00DA578F" w:rsidRPr="338B1626">
        <w:rPr>
          <w:rFonts w:ascii="Times New Roman" w:eastAsia="Times New Roman" w:hAnsi="Times New Roman" w:cs="Times New Roman"/>
          <w:sz w:val="24"/>
          <w:szCs w:val="24"/>
        </w:rPr>
        <w:t xml:space="preserve"> </w:t>
      </w:r>
      <w:r w:rsidR="00895242">
        <w:rPr>
          <w:rFonts w:ascii="Times New Roman" w:eastAsia="Times New Roman" w:hAnsi="Times New Roman" w:cs="Times New Roman"/>
          <w:sz w:val="24"/>
          <w:szCs w:val="24"/>
        </w:rPr>
        <w:t xml:space="preserve">here </w:t>
      </w:r>
      <w:r w:rsidR="00DA578F">
        <w:rPr>
          <w:rFonts w:ascii="Times New Roman" w:eastAsia="Times New Roman" w:hAnsi="Times New Roman" w:cs="Times New Roman"/>
          <w:sz w:val="24"/>
          <w:szCs w:val="24"/>
        </w:rPr>
        <w:t>by the following variables</w:t>
      </w:r>
      <w:r w:rsidR="00DA578F" w:rsidRPr="338B1626">
        <w:rPr>
          <w:rFonts w:ascii="Times New Roman" w:eastAsia="Times New Roman" w:hAnsi="Times New Roman" w:cs="Times New Roman"/>
          <w:sz w:val="24"/>
          <w:szCs w:val="24"/>
        </w:rPr>
        <w:t>: (1) a variable that captures dissatisfaction with current working hours (“Fewer hours desired”)</w:t>
      </w:r>
      <w:r w:rsidR="00DA578F">
        <w:rPr>
          <w:rFonts w:ascii="Times New Roman" w:eastAsia="Times New Roman" w:hAnsi="Times New Roman" w:cs="Times New Roman"/>
          <w:sz w:val="24"/>
          <w:szCs w:val="24"/>
        </w:rPr>
        <w:t>;</w:t>
      </w:r>
      <w:r w:rsidR="00DA578F" w:rsidRPr="338B1626">
        <w:rPr>
          <w:rFonts w:ascii="Times New Roman" w:eastAsia="Times New Roman" w:hAnsi="Times New Roman" w:cs="Times New Roman"/>
          <w:sz w:val="24"/>
          <w:szCs w:val="24"/>
        </w:rPr>
        <w:t xml:space="preserve"> (2) a dummy indicating whether the employee is looking for an extra job</w:t>
      </w:r>
      <w:r w:rsidR="00DA578F">
        <w:rPr>
          <w:rFonts w:ascii="Times New Roman" w:eastAsia="Times New Roman" w:hAnsi="Times New Roman" w:cs="Times New Roman"/>
          <w:sz w:val="24"/>
          <w:szCs w:val="24"/>
        </w:rPr>
        <w:t>; and</w:t>
      </w:r>
      <w:r w:rsidR="00DA578F" w:rsidRPr="338B1626">
        <w:rPr>
          <w:rFonts w:ascii="Times New Roman" w:eastAsia="Times New Roman" w:hAnsi="Times New Roman" w:cs="Times New Roman"/>
          <w:sz w:val="24"/>
          <w:szCs w:val="24"/>
        </w:rPr>
        <w:t xml:space="preserve"> (3) a dummy taking the value of one if the respondent is looking for a new job. </w:t>
      </w:r>
    </w:p>
    <w:p w14:paraId="15D39529" w14:textId="77777777" w:rsidR="00C24F1E" w:rsidRPr="00182D67" w:rsidRDefault="00C24F1E" w:rsidP="00251B63">
      <w:pPr>
        <w:spacing w:after="0" w:line="480" w:lineRule="auto"/>
        <w:jc w:val="both"/>
        <w:rPr>
          <w:rFonts w:ascii="Times New Roman" w:hAnsi="Times New Roman" w:cs="Times New Roman"/>
          <w:sz w:val="24"/>
          <w:szCs w:val="24"/>
        </w:rPr>
      </w:pPr>
    </w:p>
    <w:p w14:paraId="6944350E" w14:textId="6480C2F1" w:rsidR="00DA578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All the above variables are included in the final models</w:t>
      </w:r>
      <w:r w:rsidR="00664210">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with their corresponding sample means available in Table A1 of the Appendix. A final sample of 113,804 observations is obtained after dropping individuals with missing observations for any of the dependent or independent variables. 112,408 of these (98.8 percent of the total) correspond to UK nationals and 1,396 (1.2 percent) to A8 migrants. The average UK residency of A8 migrants in the final sample is approximately 3.1 years. The full distribution of migrant UK residency is presented in Figure 1.</w:t>
      </w:r>
    </w:p>
    <w:p w14:paraId="03F9386D" w14:textId="77777777" w:rsidR="00DA578F" w:rsidRPr="00182D67" w:rsidRDefault="00DA578F" w:rsidP="00251B63">
      <w:pPr>
        <w:spacing w:after="0" w:line="480" w:lineRule="auto"/>
        <w:jc w:val="both"/>
        <w:rPr>
          <w:rFonts w:ascii="Times New Roman" w:hAnsi="Times New Roman" w:cs="Times New Roman"/>
          <w:sz w:val="24"/>
          <w:szCs w:val="24"/>
        </w:rPr>
      </w:pPr>
    </w:p>
    <w:p w14:paraId="4A9AF21D" w14:textId="6AEE7CFB" w:rsidR="00DA578F" w:rsidRPr="00E2181C" w:rsidRDefault="598A40B1" w:rsidP="00E2181C">
      <w:pPr>
        <w:spacing w:after="0" w:line="480" w:lineRule="auto"/>
        <w:jc w:val="center"/>
        <w:rPr>
          <w:rFonts w:ascii="Times New Roman" w:eastAsia="Times New Roman" w:hAnsi="Times New Roman" w:cs="Times New Roman"/>
          <w:sz w:val="24"/>
          <w:szCs w:val="24"/>
          <w:lang w:eastAsia="en-GB"/>
        </w:rPr>
      </w:pPr>
      <w:r w:rsidRPr="598A40B1">
        <w:rPr>
          <w:rFonts w:ascii="Times New Roman" w:eastAsia="Times New Roman" w:hAnsi="Times New Roman" w:cs="Times New Roman"/>
          <w:sz w:val="24"/>
          <w:szCs w:val="24"/>
          <w:lang w:eastAsia="en-GB"/>
        </w:rPr>
        <w:t>[Figure 1]</w:t>
      </w:r>
    </w:p>
    <w:p w14:paraId="26C4F2BD" w14:textId="77777777" w:rsidR="00DA578F" w:rsidRDefault="00DA578F" w:rsidP="00C266D3">
      <w:pPr>
        <w:tabs>
          <w:tab w:val="left" w:pos="3245"/>
        </w:tabs>
        <w:rPr>
          <w:rFonts w:ascii="Times New Roman" w:hAnsi="Times New Roman" w:cs="Times New Roman"/>
          <w:sz w:val="20"/>
          <w:szCs w:val="20"/>
        </w:rPr>
      </w:pPr>
    </w:p>
    <w:p w14:paraId="638465B7" w14:textId="024C77AB" w:rsidR="00DA578F" w:rsidRDefault="598A40B1" w:rsidP="3B009953">
      <w:pPr>
        <w:spacing w:after="0" w:line="480" w:lineRule="auto"/>
        <w:jc w:val="both"/>
        <w:rPr>
          <w:rFonts w:ascii="Times New Roman" w:eastAsia="Times New Roman" w:hAnsi="Times New Roman" w:cs="Times New Roman"/>
          <w:i/>
          <w:iCs/>
          <w:sz w:val="24"/>
          <w:szCs w:val="24"/>
        </w:rPr>
      </w:pPr>
      <w:r w:rsidRPr="3B009953">
        <w:rPr>
          <w:rFonts w:ascii="Times New Roman" w:eastAsia="Times New Roman" w:hAnsi="Times New Roman" w:cs="Times New Roman"/>
          <w:i/>
          <w:iCs/>
          <w:sz w:val="24"/>
          <w:szCs w:val="24"/>
        </w:rPr>
        <w:t>Descriptive evidence</w:t>
      </w:r>
    </w:p>
    <w:p w14:paraId="2446BAAA" w14:textId="77777777" w:rsidR="00B92044" w:rsidRPr="00182D67" w:rsidRDefault="00B92044" w:rsidP="00251B63">
      <w:pPr>
        <w:spacing w:after="0" w:line="480" w:lineRule="auto"/>
        <w:jc w:val="both"/>
        <w:rPr>
          <w:rFonts w:ascii="Times New Roman" w:hAnsi="Times New Roman" w:cs="Times New Roman"/>
          <w:i/>
          <w:sz w:val="24"/>
          <w:szCs w:val="24"/>
        </w:rPr>
      </w:pPr>
    </w:p>
    <w:p w14:paraId="14D66332" w14:textId="29ED641B" w:rsidR="000B4903" w:rsidRDefault="598A40B1" w:rsidP="00D76962">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Before presenting the ordinary least squares (OLS) coefficient estimates, the raw differences in work absence between the native and migrant samples are briefly considered. Table 1 presents the relevant sample means. </w:t>
      </w:r>
      <w:r w:rsidRPr="598A40B1">
        <w:rPr>
          <w:rFonts w:ascii="Times New Roman," w:eastAsia="Times New Roman," w:hAnsi="Times New Roman," w:cs="Times New Roman,"/>
          <w:sz w:val="24"/>
          <w:szCs w:val="24"/>
        </w:rPr>
        <w:t>Crucially, A8 migrants</w:t>
      </w:r>
      <w:r w:rsidRPr="598A40B1">
        <w:rPr>
          <w:rFonts w:ascii="Times New Roman" w:eastAsia="Times New Roman" w:hAnsi="Times New Roman" w:cs="Times New Roman"/>
          <w:sz w:val="24"/>
          <w:szCs w:val="24"/>
        </w:rPr>
        <w:t xml:space="preserve"> are less likely to be absent from work and also record lower levels of absence than UK nationals. T-tests are performed for the difference in means between the groups; they are highly significant, confirming the differences in each case. </w:t>
      </w:r>
      <w:r w:rsidR="004A546D">
        <w:rPr>
          <w:rFonts w:ascii="Times New Roman" w:eastAsia="Times New Roman" w:hAnsi="Times New Roman" w:cs="Times New Roman"/>
          <w:sz w:val="24"/>
          <w:szCs w:val="24"/>
        </w:rPr>
        <w:t>T</w:t>
      </w:r>
      <w:r w:rsidRPr="598A40B1">
        <w:rPr>
          <w:rFonts w:ascii="Times New Roman" w:eastAsia="Times New Roman" w:hAnsi="Times New Roman" w:cs="Times New Roman"/>
          <w:sz w:val="24"/>
          <w:szCs w:val="24"/>
        </w:rPr>
        <w:t>hese differences are not small; in particular, all absence sample means are 70-90 percent higher for UK nationals</w:t>
      </w:r>
      <w:r w:rsidR="004A546D">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provid</w:t>
      </w:r>
      <w:r w:rsidR="004A546D">
        <w:rPr>
          <w:rFonts w:ascii="Times New Roman" w:eastAsia="Times New Roman" w:hAnsi="Times New Roman" w:cs="Times New Roman"/>
          <w:sz w:val="24"/>
          <w:szCs w:val="24"/>
        </w:rPr>
        <w:t>ing</w:t>
      </w:r>
      <w:r w:rsidRPr="598A40B1">
        <w:rPr>
          <w:rFonts w:ascii="Times New Roman" w:eastAsia="Times New Roman" w:hAnsi="Times New Roman" w:cs="Times New Roman"/>
          <w:sz w:val="24"/>
          <w:szCs w:val="24"/>
        </w:rPr>
        <w:t xml:space="preserve"> </w:t>
      </w:r>
      <w:r w:rsidRPr="3B009953">
        <w:rPr>
          <w:rFonts w:ascii="Times New Roman" w:eastAsia="Times New Roman" w:hAnsi="Times New Roman" w:cs="Times New Roman"/>
          <w:i/>
          <w:iCs/>
          <w:sz w:val="24"/>
          <w:szCs w:val="24"/>
        </w:rPr>
        <w:t>prima facie</w:t>
      </w:r>
      <w:r w:rsidRPr="598A40B1">
        <w:rPr>
          <w:rFonts w:ascii="Times New Roman" w:eastAsia="Times New Roman" w:hAnsi="Times New Roman" w:cs="Times New Roman"/>
          <w:sz w:val="24"/>
          <w:szCs w:val="24"/>
        </w:rPr>
        <w:t xml:space="preserve"> evidence in favour of a better work ethic among A8 migrant workers</w:t>
      </w:r>
      <w:r w:rsidR="004A546D">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w:t>
      </w:r>
    </w:p>
    <w:p w14:paraId="1B82A790" w14:textId="77777777" w:rsidR="005D28CF" w:rsidRDefault="005D28CF" w:rsidP="00D76962">
      <w:pPr>
        <w:spacing w:after="0" w:line="480" w:lineRule="auto"/>
        <w:jc w:val="both"/>
        <w:rPr>
          <w:rFonts w:ascii="Times New Roman" w:eastAsia="Times New Roman" w:hAnsi="Times New Roman" w:cs="Times New Roman"/>
          <w:sz w:val="24"/>
          <w:szCs w:val="24"/>
        </w:rPr>
      </w:pPr>
    </w:p>
    <w:p w14:paraId="7E630B5C" w14:textId="5A3D96BA" w:rsidR="005D28CF" w:rsidRDefault="598A40B1" w:rsidP="005D28CF">
      <w:pPr>
        <w:spacing w:after="0" w:line="480" w:lineRule="auto"/>
        <w:jc w:val="center"/>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[Table 1]</w:t>
      </w:r>
    </w:p>
    <w:p w14:paraId="3057FA50" w14:textId="77777777" w:rsidR="007D10A5" w:rsidRDefault="007D10A5" w:rsidP="00A11DBC">
      <w:pPr>
        <w:spacing w:after="0" w:line="480" w:lineRule="auto"/>
        <w:jc w:val="both"/>
        <w:rPr>
          <w:rFonts w:ascii="Times New Roman" w:eastAsia="Times New Roman" w:hAnsi="Times New Roman" w:cs="Times New Roman"/>
          <w:sz w:val="24"/>
          <w:szCs w:val="24"/>
        </w:rPr>
      </w:pPr>
    </w:p>
    <w:p w14:paraId="3EC50408" w14:textId="07CC4CFE" w:rsidR="000A44C6" w:rsidRPr="000A44C6" w:rsidRDefault="000A44C6" w:rsidP="003D6564">
      <w:pPr>
        <w:spacing w:after="0" w:line="480" w:lineRule="auto"/>
        <w:jc w:val="both"/>
        <w:rPr>
          <w:rFonts w:ascii="Times New Roman" w:eastAsia="Times New Roman" w:hAnsi="Times New Roman" w:cs="Times New Roman"/>
          <w:sz w:val="24"/>
          <w:szCs w:val="24"/>
        </w:rPr>
      </w:pPr>
      <w:r w:rsidRPr="000A44C6">
        <w:rPr>
          <w:rFonts w:ascii="Times New Roman" w:eastAsia="Times New Roman" w:hAnsi="Times New Roman" w:cs="Times New Roman"/>
          <w:sz w:val="24"/>
          <w:szCs w:val="24"/>
        </w:rPr>
        <w:t xml:space="preserve">Table A1 in the Appendix also shows that A8 migrants have on average 2 more years of education than their UK national counterparts. Migrants are also younger, healthier, more likely to work in a temporary full-time job, less likely to have managerial or supervisory duties in their job, less likely to be unionized, and have on average a shorter tenure with their current employer than UK nationals. </w:t>
      </w:r>
      <w:r w:rsidRPr="003D6564">
        <w:rPr>
          <w:rFonts w:ascii="Times New Roman" w:eastAsia="Times New Roman" w:hAnsi="Times New Roman" w:cs="Times New Roman"/>
          <w:sz w:val="24"/>
          <w:szCs w:val="24"/>
          <w:shd w:val="clear" w:color="auto" w:fill="FFFFFF"/>
        </w:rPr>
        <w:t xml:space="preserve">Consistent with the literature on the disadvantages faced by A8 migrants in the UK labour market, A8 migrants </w:t>
      </w:r>
      <w:r w:rsidRPr="000A44C6">
        <w:rPr>
          <w:rFonts w:ascii="Times New Roman" w:eastAsia="Times New Roman" w:hAnsi="Times New Roman" w:cs="Times New Roman"/>
          <w:sz w:val="24"/>
          <w:szCs w:val="24"/>
        </w:rPr>
        <w:t xml:space="preserve">face a substantial hourly wage penalty relative to natives and their </w:t>
      </w:r>
      <w:r w:rsidRPr="003D6564">
        <w:rPr>
          <w:rFonts w:ascii="Times New Roman" w:eastAsia="Times New Roman" w:hAnsi="Times New Roman" w:cs="Times New Roman"/>
          <w:sz w:val="24"/>
          <w:szCs w:val="24"/>
          <w:shd w:val="clear" w:color="auto" w:fill="FFFFFF"/>
        </w:rPr>
        <w:t>work is heavily concentrated in low</w:t>
      </w:r>
      <w:r w:rsidR="003D6564">
        <w:rPr>
          <w:rFonts w:ascii="Times New Roman" w:eastAsia="Times New Roman" w:hAnsi="Times New Roman" w:cs="Times New Roman"/>
          <w:sz w:val="24"/>
          <w:szCs w:val="24"/>
          <w:shd w:val="clear" w:color="auto" w:fill="FFFFFF"/>
        </w:rPr>
        <w:t>-</w:t>
      </w:r>
      <w:r w:rsidRPr="003D6564">
        <w:rPr>
          <w:rFonts w:ascii="Times New Roman" w:eastAsia="Times New Roman" w:hAnsi="Times New Roman" w:cs="Times New Roman"/>
          <w:sz w:val="24"/>
          <w:szCs w:val="24"/>
          <w:shd w:val="clear" w:color="auto" w:fill="FFFFFF"/>
        </w:rPr>
        <w:t xml:space="preserve">skilled occupations. Around </w:t>
      </w:r>
      <w:r w:rsidRPr="003D6564">
        <w:rPr>
          <w:rFonts w:ascii="Times New Roman" w:eastAsia="Times New Roman" w:hAnsi="Times New Roman" w:cs="Times New Roman"/>
          <w:sz w:val="24"/>
          <w:szCs w:val="24"/>
        </w:rPr>
        <w:t>63 percent of</w:t>
      </w:r>
      <w:r w:rsidRPr="003D6564">
        <w:rPr>
          <w:rFonts w:ascii="Times New Roman," w:eastAsia="Times New Roman," w:hAnsi="Times New Roman," w:cs="Times New Roman,"/>
          <w:sz w:val="24"/>
          <w:szCs w:val="24"/>
        </w:rPr>
        <w:t xml:space="preserve"> </w:t>
      </w:r>
      <w:r w:rsidRPr="003D6564">
        <w:rPr>
          <w:rFonts w:ascii="Times New Roman" w:eastAsia="Times New Roman" w:hAnsi="Times New Roman" w:cs="Times New Roman"/>
          <w:sz w:val="24"/>
          <w:szCs w:val="24"/>
        </w:rPr>
        <w:t xml:space="preserve">A8 migrants work as plant and machine operatives or in elementary occupations, while the corresponding percentage for UK </w:t>
      </w:r>
      <w:r w:rsidR="00D428F1">
        <w:rPr>
          <w:rFonts w:ascii="Times New Roman" w:eastAsia="Times New Roman" w:hAnsi="Times New Roman" w:cs="Times New Roman"/>
          <w:sz w:val="24"/>
          <w:szCs w:val="24"/>
        </w:rPr>
        <w:t xml:space="preserve">nationals </w:t>
      </w:r>
      <w:r w:rsidRPr="003D6564">
        <w:rPr>
          <w:rFonts w:ascii="Times New Roman" w:eastAsia="Times New Roman" w:hAnsi="Times New Roman" w:cs="Times New Roman"/>
          <w:sz w:val="24"/>
          <w:szCs w:val="24"/>
        </w:rPr>
        <w:t xml:space="preserve">is only around 16 percent. </w:t>
      </w:r>
      <w:r w:rsidRPr="000A44C6">
        <w:rPr>
          <w:rFonts w:ascii="Times New Roman" w:eastAsia="Times New Roman" w:hAnsi="Times New Roman" w:cs="Times New Roman"/>
          <w:sz w:val="24"/>
          <w:szCs w:val="24"/>
        </w:rPr>
        <w:t xml:space="preserve">A8 migrants also exhibit a lower amount of dissatisfaction with current working hours, although they work substantially more hours (basic and paid overtime) than UK nationals. </w:t>
      </w:r>
    </w:p>
    <w:p w14:paraId="660BE1AF" w14:textId="41CF1B77" w:rsidR="00016212" w:rsidRDefault="00016212" w:rsidP="598A40B1">
      <w:pPr>
        <w:spacing w:after="0" w:line="480" w:lineRule="auto"/>
        <w:jc w:val="both"/>
        <w:rPr>
          <w:rFonts w:ascii="Times New Roman" w:eastAsia="Times New Roman" w:hAnsi="Times New Roman" w:cs="Times New Roman"/>
          <w:sz w:val="24"/>
          <w:szCs w:val="24"/>
          <w:lang w:eastAsia="en-GB"/>
        </w:rPr>
      </w:pPr>
    </w:p>
    <w:p w14:paraId="66F64D0B" w14:textId="77777777" w:rsidR="00016212" w:rsidRDefault="00016212" w:rsidP="00016212">
      <w:pPr>
        <w:spacing w:after="0" w:line="480" w:lineRule="auto"/>
        <w:rPr>
          <w:rFonts w:ascii="Times New Roman" w:eastAsia="Times New Roman" w:hAnsi="Times New Roman" w:cs="Times New Roman"/>
          <w:sz w:val="24"/>
          <w:szCs w:val="24"/>
          <w:lang w:eastAsia="en-GB"/>
        </w:rPr>
      </w:pPr>
    </w:p>
    <w:p w14:paraId="49576489" w14:textId="49E0F1ED" w:rsidR="00DA578F" w:rsidRPr="00016212" w:rsidRDefault="598A40B1" w:rsidP="00016212">
      <w:pPr>
        <w:spacing w:after="0" w:line="480" w:lineRule="auto"/>
        <w:rPr>
          <w:rFonts w:ascii="Times New Roman" w:eastAsia="Times New Roman" w:hAnsi="Times New Roman" w:cs="Times New Roman"/>
          <w:sz w:val="24"/>
          <w:szCs w:val="24"/>
          <w:lang w:eastAsia="en-GB"/>
        </w:rPr>
      </w:pPr>
      <w:r w:rsidRPr="598A40B1">
        <w:rPr>
          <w:rFonts w:ascii="Times New Roman" w:eastAsia="Times New Roman" w:hAnsi="Times New Roman" w:cs="Times New Roman"/>
          <w:b/>
          <w:bCs/>
          <w:sz w:val="24"/>
          <w:szCs w:val="24"/>
        </w:rPr>
        <w:t>Regression results</w:t>
      </w:r>
    </w:p>
    <w:p w14:paraId="6139C601" w14:textId="77777777" w:rsidR="000B4903" w:rsidRPr="00E2181C" w:rsidRDefault="000B4903" w:rsidP="00CB2B19">
      <w:pPr>
        <w:spacing w:after="0" w:line="480" w:lineRule="auto"/>
        <w:rPr>
          <w:rFonts w:ascii="Times New Roman" w:hAnsi="Times New Roman" w:cs="Times New Roman"/>
          <w:b/>
          <w:sz w:val="24"/>
          <w:szCs w:val="24"/>
        </w:rPr>
      </w:pPr>
    </w:p>
    <w:p w14:paraId="41C1D26F" w14:textId="63921E92" w:rsidR="00DA578F" w:rsidRPr="00F93371" w:rsidRDefault="598A40B1" w:rsidP="00F93371">
      <w:pPr>
        <w:spacing w:after="0" w:line="480" w:lineRule="auto"/>
        <w:rPr>
          <w:rFonts w:ascii="Times New Roman" w:eastAsia="Times New Roman" w:hAnsi="Times New Roman" w:cs="Times New Roman"/>
          <w:i/>
          <w:iCs/>
          <w:sz w:val="24"/>
          <w:szCs w:val="24"/>
        </w:rPr>
      </w:pPr>
      <w:r w:rsidRPr="3B009953">
        <w:rPr>
          <w:rFonts w:ascii="Times New Roman" w:eastAsia="Times New Roman" w:hAnsi="Times New Roman" w:cs="Times New Roman"/>
          <w:i/>
          <w:iCs/>
          <w:sz w:val="24"/>
          <w:szCs w:val="24"/>
        </w:rPr>
        <w:t>A8 Migrants and Work Ethic</w:t>
      </w:r>
    </w:p>
    <w:p w14:paraId="006DECA2" w14:textId="77777777" w:rsidR="000B4903" w:rsidRDefault="000B4903" w:rsidP="00182D67">
      <w:pPr>
        <w:spacing w:after="0" w:line="480" w:lineRule="auto"/>
        <w:jc w:val="both"/>
        <w:rPr>
          <w:rFonts w:ascii="Times New Roman" w:eastAsia="Times New Roman" w:hAnsi="Times New Roman" w:cs="Times New Roman"/>
          <w:sz w:val="24"/>
          <w:szCs w:val="24"/>
        </w:rPr>
      </w:pPr>
    </w:p>
    <w:p w14:paraId="04637D5B" w14:textId="10F32FAD" w:rsidR="00DA578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In view of the above differences in personal and job characteristics between the two groups, regression analysis is employed in order to control for these differences and therefore to compare the work ethic of observationally similar UK national and A8 migrant workers. Table 2 presents the estimates. As the main focus of the paper involves the comparison of absence levels between natives and migrants and, furthermore, the assimilation of these levels as UK residency increases, only these core results are presented in the table.</w:t>
      </w:r>
    </w:p>
    <w:p w14:paraId="56FAFD48" w14:textId="77777777" w:rsidR="005D28CF" w:rsidRDefault="005D28CF" w:rsidP="00182D67">
      <w:pPr>
        <w:spacing w:after="0" w:line="480" w:lineRule="auto"/>
        <w:jc w:val="both"/>
        <w:rPr>
          <w:rFonts w:ascii="Times New Roman" w:hAnsi="Times New Roman" w:cs="Times New Roman"/>
          <w:sz w:val="24"/>
          <w:szCs w:val="24"/>
        </w:rPr>
      </w:pPr>
    </w:p>
    <w:p w14:paraId="05EE6B1D" w14:textId="43B26392" w:rsidR="00DA578F" w:rsidRPr="00E2181C" w:rsidRDefault="598A40B1" w:rsidP="00CB2B19">
      <w:pPr>
        <w:spacing w:after="0" w:line="480" w:lineRule="auto"/>
        <w:jc w:val="center"/>
        <w:rPr>
          <w:rFonts w:ascii="Times New Roman" w:eastAsia="Times New Roman" w:hAnsi="Times New Roman" w:cs="Times New Roman"/>
          <w:sz w:val="24"/>
          <w:szCs w:val="24"/>
          <w:lang w:eastAsia="en-GB"/>
        </w:rPr>
      </w:pPr>
      <w:r w:rsidRPr="598A40B1">
        <w:rPr>
          <w:rFonts w:ascii="Times New Roman" w:eastAsia="Times New Roman" w:hAnsi="Times New Roman" w:cs="Times New Roman"/>
          <w:sz w:val="24"/>
          <w:szCs w:val="24"/>
          <w:lang w:eastAsia="en-GB"/>
        </w:rPr>
        <w:t>[Table 2]</w:t>
      </w:r>
    </w:p>
    <w:p w14:paraId="0CE80DF9" w14:textId="77777777" w:rsidR="00DA578F" w:rsidRPr="00182D67" w:rsidRDefault="00DA578F" w:rsidP="00CB2B19">
      <w:pPr>
        <w:spacing w:after="0" w:line="480" w:lineRule="auto"/>
        <w:rPr>
          <w:rFonts w:ascii="Times New Roman" w:hAnsi="Times New Roman" w:cs="Times New Roman"/>
          <w:sz w:val="24"/>
          <w:szCs w:val="24"/>
        </w:rPr>
      </w:pPr>
    </w:p>
    <w:p w14:paraId="5EBC5BA6" w14:textId="4DF18AC4" w:rsidR="00DA578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A common pattern can be observed in all the estimated models in Table 2, confirming the conclusions drawn from the descriptive analysis presented above: A8</w:t>
      </w:r>
      <w:r w:rsidRPr="3B009953">
        <w:rPr>
          <w:rFonts w:ascii="Times New Roman" w:eastAsia="Times New Roman" w:hAnsi="Times New Roman" w:cs="Times New Roman"/>
          <w:i/>
          <w:iCs/>
          <w:sz w:val="24"/>
          <w:szCs w:val="24"/>
        </w:rPr>
        <w:t xml:space="preserve"> </w:t>
      </w:r>
      <w:r w:rsidRPr="598A40B1">
        <w:rPr>
          <w:rFonts w:ascii="Times New Roman" w:eastAsia="Times New Roman" w:hAnsi="Times New Roman" w:cs="Times New Roman"/>
          <w:sz w:val="24"/>
          <w:szCs w:val="24"/>
        </w:rPr>
        <w:t xml:space="preserve">migrants record substantially lower absence incidence and rates than natives. In particular, the A8 migrant sickness absence probability is 3.3 percentage points smaller than for an, observationally similar, UK national. </w:t>
      </w:r>
      <w:r w:rsidRPr="598A40B1">
        <w:rPr>
          <w:rFonts w:ascii="Times New Roman" w:eastAsia="Times New Roman" w:hAnsi="Times New Roman" w:cs="Times New Roman"/>
          <w:sz w:val="24"/>
          <w:szCs w:val="24"/>
          <w:lang w:eastAsia="en-GB"/>
        </w:rPr>
        <w:t>Relative</w:t>
      </w:r>
      <w:r w:rsidRPr="598A40B1">
        <w:rPr>
          <w:rFonts w:ascii="Times New Roman" w:eastAsia="Times New Roman" w:hAnsi="Times New Roman" w:cs="Times New Roman"/>
          <w:sz w:val="24"/>
          <w:szCs w:val="24"/>
        </w:rPr>
        <w:t xml:space="preserve"> to the mean level of a UK national’s sickness absence probability (4.3 percent), this difference corresponds to a more than three times lower probability of absence for A8 migrants. Substantial (and of similar magnitude) differences are also estimated for the rest of the absence measures. </w:t>
      </w:r>
    </w:p>
    <w:p w14:paraId="7B14E2D7" w14:textId="77777777" w:rsidR="00DA578F" w:rsidRPr="00182D67" w:rsidRDefault="00DA578F" w:rsidP="00251B63">
      <w:pPr>
        <w:spacing w:after="0" w:line="480" w:lineRule="auto"/>
        <w:jc w:val="both"/>
        <w:rPr>
          <w:rFonts w:ascii="Times New Roman" w:hAnsi="Times New Roman" w:cs="Times New Roman"/>
          <w:sz w:val="24"/>
          <w:szCs w:val="24"/>
        </w:rPr>
      </w:pPr>
    </w:p>
    <w:p w14:paraId="7E17CEC7" w14:textId="208847D1" w:rsidR="00DA578F" w:rsidRPr="00F93371" w:rsidRDefault="00DA578F" w:rsidP="00F93371">
      <w:pPr>
        <w:spacing w:after="0" w:line="48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 xml:space="preserve">However, </w:t>
      </w:r>
      <w:r w:rsidR="006E28D8">
        <w:rPr>
          <w:rFonts w:ascii="Times New Roman" w:eastAsia="Times New Roman" w:hAnsi="Times New Roman" w:cs="Times New Roman"/>
          <w:sz w:val="24"/>
          <w:szCs w:val="24"/>
        </w:rPr>
        <w:t xml:space="preserve">as mentioned above, </w:t>
      </w:r>
      <w:r w:rsidRPr="338B1626">
        <w:rPr>
          <w:rFonts w:ascii="Times New Roman" w:eastAsia="Times New Roman" w:hAnsi="Times New Roman" w:cs="Times New Roman"/>
          <w:sz w:val="24"/>
          <w:szCs w:val="24"/>
        </w:rPr>
        <w:t xml:space="preserve">owing to the presence of the interaction of the A8 dummy with the variable measuring the length of residence in the UK, the above differences correspond to the comparison of a UK national with an A8 migrant that arrived in the UK in the same year as the one observed in the QLFS. Evidence in favour of an assimilation pattern in work ethic is, thus, given by the positive and statistically significant coefficient of the interaction term in all estimated models. Specifically, the results indicate that the UK-A8 absence differential reduces in size with length of residency in the UK and becomes statistically insignificant after three or four years of residence, depending on the model. A similar pattern is observed in </w:t>
      </w:r>
      <w:r>
        <w:rPr>
          <w:rFonts w:ascii="Times New Roman" w:eastAsia="Times New Roman" w:hAnsi="Times New Roman" w:cs="Times New Roman"/>
          <w:sz w:val="24"/>
          <w:szCs w:val="24"/>
        </w:rPr>
        <w:t xml:space="preserve">Figure </w:t>
      </w:r>
      <w:r w:rsidR="009053EA">
        <w:rPr>
          <w:rFonts w:ascii="Times New Roman" w:eastAsia="Times New Roman" w:hAnsi="Times New Roman" w:cs="Times New Roman"/>
          <w:sz w:val="24"/>
          <w:szCs w:val="24"/>
        </w:rPr>
        <w:t>2,</w:t>
      </w:r>
      <w:r w:rsidR="009053EA" w:rsidRPr="00D60268">
        <w:rPr>
          <w:rFonts w:ascii="Times New Roman" w:eastAsia="Times New Roman" w:hAnsi="Times New Roman" w:cs="Times New Roman"/>
          <w:sz w:val="24"/>
          <w:szCs w:val="24"/>
        </w:rPr>
        <w:t xml:space="preserve"> </w:t>
      </w:r>
      <w:r w:rsidR="009053EA" w:rsidRPr="338B1626">
        <w:rPr>
          <w:rFonts w:ascii="Times New Roman" w:eastAsia="Times New Roman" w:hAnsi="Times New Roman" w:cs="Times New Roman"/>
          <w:sz w:val="24"/>
          <w:szCs w:val="24"/>
        </w:rPr>
        <w:t>which</w:t>
      </w:r>
      <w:r w:rsidRPr="338B1626">
        <w:rPr>
          <w:rFonts w:ascii="Times New Roman" w:eastAsia="Times New Roman" w:hAnsi="Times New Roman" w:cs="Times New Roman"/>
          <w:sz w:val="24"/>
          <w:szCs w:val="24"/>
        </w:rPr>
        <w:t xml:space="preserve"> plots the relevant coefficients and the corresponding confidence intervals</w:t>
      </w:r>
      <w:r w:rsidRPr="338B1626" w:rsidDel="00D60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w:t>
      </w:r>
      <w:r w:rsidR="009053EA">
        <w:rPr>
          <w:rFonts w:ascii="Times New Roman" w:eastAsia="Times New Roman" w:hAnsi="Times New Roman" w:cs="Times New Roman"/>
          <w:sz w:val="24"/>
          <w:szCs w:val="24"/>
        </w:rPr>
        <w:t xml:space="preserve">regression models with </w:t>
      </w:r>
      <w:r>
        <w:rPr>
          <w:rFonts w:ascii="Times New Roman" w:eastAsia="Times New Roman" w:hAnsi="Times New Roman" w:cs="Times New Roman"/>
          <w:sz w:val="24"/>
          <w:szCs w:val="24"/>
        </w:rPr>
        <w:t xml:space="preserve">a more flexible functional form, </w:t>
      </w:r>
      <w:r w:rsidR="009053EA">
        <w:rPr>
          <w:rFonts w:ascii="Times New Roman" w:eastAsia="Times New Roman" w:hAnsi="Times New Roman" w:cs="Times New Roman"/>
          <w:sz w:val="24"/>
          <w:szCs w:val="24"/>
        </w:rPr>
        <w:t xml:space="preserve">where </w:t>
      </w:r>
      <w:r w:rsidRPr="338B1626">
        <w:rPr>
          <w:rFonts w:ascii="Times New Roman" w:eastAsia="Times New Roman" w:hAnsi="Times New Roman" w:cs="Times New Roman"/>
          <w:sz w:val="24"/>
          <w:szCs w:val="24"/>
        </w:rPr>
        <w:t xml:space="preserve">separate coefficients </w:t>
      </w:r>
      <w:r w:rsidR="009053EA">
        <w:rPr>
          <w:rFonts w:ascii="Times New Roman" w:eastAsia="Times New Roman" w:hAnsi="Times New Roman" w:cs="Times New Roman"/>
          <w:sz w:val="24"/>
          <w:szCs w:val="24"/>
        </w:rPr>
        <w:t xml:space="preserve">are estimated </w:t>
      </w:r>
      <w:r w:rsidRPr="338B1626">
        <w:rPr>
          <w:rFonts w:ascii="Times New Roman" w:eastAsia="Times New Roman" w:hAnsi="Times New Roman" w:cs="Times New Roman"/>
          <w:sz w:val="24"/>
          <w:szCs w:val="24"/>
        </w:rPr>
        <w:t>for A8 migrants for each year of length of residency observed in the data.</w:t>
      </w:r>
      <w:r w:rsidRPr="338B1626">
        <w:rPr>
          <w:rStyle w:val="EndnoteReference"/>
          <w:rFonts w:ascii="Times New Roman" w:eastAsia="Times New Roman" w:hAnsi="Times New Roman" w:cs="Times New Roman"/>
          <w:sz w:val="24"/>
          <w:szCs w:val="24"/>
        </w:rPr>
        <w:endnoteReference w:id="10"/>
      </w:r>
      <w:r w:rsidRPr="338B1626">
        <w:rPr>
          <w:rFonts w:ascii="Times New Roman" w:eastAsia="Times New Roman" w:hAnsi="Times New Roman" w:cs="Times New Roman"/>
          <w:sz w:val="24"/>
          <w:szCs w:val="24"/>
        </w:rPr>
        <w:t xml:space="preserve"> The results here indicate that after </w:t>
      </w:r>
      <w:r>
        <w:rPr>
          <w:rFonts w:ascii="Times New Roman" w:eastAsia="Times New Roman" w:hAnsi="Times New Roman" w:cs="Times New Roman"/>
          <w:sz w:val="24"/>
          <w:szCs w:val="24"/>
        </w:rPr>
        <w:t xml:space="preserve">2-4 </w:t>
      </w:r>
      <w:r w:rsidRPr="338B1626">
        <w:rPr>
          <w:rFonts w:ascii="Times New Roman" w:eastAsia="Times New Roman" w:hAnsi="Times New Roman" w:cs="Times New Roman"/>
          <w:sz w:val="24"/>
          <w:szCs w:val="24"/>
        </w:rPr>
        <w:t xml:space="preserve">years in the UK, A8 migrants record similar levels of sickness and overall absence to </w:t>
      </w:r>
      <w:r>
        <w:rPr>
          <w:rFonts w:ascii="Times New Roman" w:eastAsia="Times New Roman" w:hAnsi="Times New Roman" w:cs="Times New Roman"/>
          <w:sz w:val="24"/>
          <w:szCs w:val="24"/>
        </w:rPr>
        <w:t>observational</w:t>
      </w:r>
      <w:r w:rsidR="0096639B">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equivalent </w:t>
      </w:r>
      <w:r w:rsidRPr="338B1626">
        <w:rPr>
          <w:rFonts w:ascii="Times New Roman" w:eastAsia="Times New Roman" w:hAnsi="Times New Roman" w:cs="Times New Roman"/>
          <w:sz w:val="24"/>
          <w:szCs w:val="24"/>
        </w:rPr>
        <w:t xml:space="preserve">UK nationals. </w:t>
      </w:r>
    </w:p>
    <w:p w14:paraId="76887E75" w14:textId="77777777" w:rsidR="009053EA" w:rsidRPr="009053EA" w:rsidRDefault="009053EA" w:rsidP="009053EA">
      <w:pPr>
        <w:spacing w:after="0" w:line="480" w:lineRule="auto"/>
        <w:jc w:val="both"/>
        <w:rPr>
          <w:rFonts w:ascii="Times New Roman" w:hAnsi="Times New Roman" w:cs="Times New Roman"/>
          <w:sz w:val="24"/>
          <w:szCs w:val="24"/>
        </w:rPr>
      </w:pPr>
    </w:p>
    <w:p w14:paraId="11170F59" w14:textId="2DA2B3D4" w:rsidR="00DA578F" w:rsidRDefault="598A40B1" w:rsidP="00CB2B19">
      <w:pPr>
        <w:spacing w:after="0" w:line="480" w:lineRule="auto"/>
        <w:jc w:val="center"/>
        <w:rPr>
          <w:rFonts w:ascii="Times New Roman" w:eastAsia="Times New Roman" w:hAnsi="Times New Roman" w:cs="Times New Roman"/>
          <w:sz w:val="24"/>
          <w:szCs w:val="24"/>
          <w:lang w:eastAsia="en-GB"/>
        </w:rPr>
      </w:pPr>
      <w:r w:rsidRPr="598A40B1">
        <w:rPr>
          <w:rFonts w:ascii="Times New Roman" w:eastAsia="Times New Roman" w:hAnsi="Times New Roman" w:cs="Times New Roman"/>
          <w:sz w:val="24"/>
          <w:szCs w:val="24"/>
          <w:lang w:eastAsia="en-GB"/>
        </w:rPr>
        <w:t xml:space="preserve"> [Figure 2]</w:t>
      </w:r>
    </w:p>
    <w:p w14:paraId="72A6688F" w14:textId="77777777" w:rsidR="00DA578F" w:rsidRDefault="00DA578F" w:rsidP="00CB2B19">
      <w:pPr>
        <w:spacing w:after="0" w:line="480" w:lineRule="auto"/>
        <w:rPr>
          <w:rFonts w:ascii="Times New Roman" w:eastAsia="Times New Roman" w:hAnsi="Times New Roman" w:cs="Times New Roman"/>
          <w:sz w:val="24"/>
          <w:szCs w:val="24"/>
          <w:lang w:eastAsia="en-GB"/>
        </w:rPr>
      </w:pPr>
    </w:p>
    <w:p w14:paraId="117BD8C6" w14:textId="3CB47983" w:rsidR="00DA578F" w:rsidRDefault="598A40B1" w:rsidP="3B009953">
      <w:pPr>
        <w:spacing w:after="0" w:line="480" w:lineRule="auto"/>
        <w:rPr>
          <w:rFonts w:ascii="Times New Roman" w:eastAsia="Times New Roman" w:hAnsi="Times New Roman" w:cs="Times New Roman"/>
          <w:i/>
          <w:iCs/>
          <w:sz w:val="24"/>
          <w:szCs w:val="24"/>
        </w:rPr>
      </w:pPr>
      <w:r w:rsidRPr="3B009953">
        <w:rPr>
          <w:rFonts w:ascii="Times New Roman" w:eastAsia="Times New Roman" w:hAnsi="Times New Roman" w:cs="Times New Roman"/>
          <w:i/>
          <w:iCs/>
          <w:sz w:val="24"/>
          <w:szCs w:val="24"/>
        </w:rPr>
        <w:t>Work Ethic and Labour Market Power</w:t>
      </w:r>
    </w:p>
    <w:p w14:paraId="6D683993" w14:textId="77777777" w:rsidR="009053EA" w:rsidRPr="00CB2B19" w:rsidRDefault="009053EA" w:rsidP="00CB2B19">
      <w:pPr>
        <w:spacing w:after="0" w:line="480" w:lineRule="auto"/>
        <w:rPr>
          <w:rFonts w:ascii="Times New Roman" w:hAnsi="Times New Roman" w:cs="Times New Roman"/>
          <w:i/>
          <w:sz w:val="24"/>
          <w:szCs w:val="24"/>
        </w:rPr>
      </w:pPr>
    </w:p>
    <w:p w14:paraId="517EFA22" w14:textId="5C062C66" w:rsidR="00DA578F" w:rsidRPr="00F93371" w:rsidRDefault="598A40B1" w:rsidP="00F93371">
      <w:pPr>
        <w:autoSpaceDE w:val="0"/>
        <w:autoSpaceDN w:val="0"/>
        <w:adjustRightInd w:val="0"/>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The migrant assimilation model suggests that migrants acquire UK-specific skills over the years following arrival, leading to the assimilation of migrant employment prospects and wages. While the data presented in Table A1 in the Appendix reveal that A8 migrants do indeed face a substantial wage penalty relative to natives despite their higher levels of education (reflecting their lower levels of labour market power), do the labour market outcomes of A8 migrants assimilate and, thus, help also explain the assimilation of the migrant work ethic? In addressing this question, the </w:t>
      </w:r>
      <w:r w:rsidR="009D74B0">
        <w:rPr>
          <w:rFonts w:ascii="Times New Roman" w:eastAsia="Times New Roman" w:hAnsi="Times New Roman" w:cs="Times New Roman"/>
          <w:sz w:val="24"/>
          <w:szCs w:val="24"/>
        </w:rPr>
        <w:t>wage</w:t>
      </w:r>
      <w:r w:rsidRPr="598A40B1">
        <w:rPr>
          <w:rFonts w:ascii="Times New Roman" w:eastAsia="Times New Roman" w:hAnsi="Times New Roman" w:cs="Times New Roman"/>
          <w:sz w:val="24"/>
          <w:szCs w:val="24"/>
        </w:rPr>
        <w:t xml:space="preserve"> assimilation of migrants is now examined. It should be noted here that earnings are not the only indicator of migrants’ labour market assimilation. Previous studies (Chiswick et al., 1997; Clark and Lindley, 2009) have investigated the assimilation of migrants’ ability to find employment relative to natives. Wages are, however, likely to give a more complete picture, as </w:t>
      </w:r>
      <w:r w:rsidR="00802890">
        <w:rPr>
          <w:rFonts w:ascii="Times New Roman" w:eastAsia="Times New Roman" w:hAnsi="Times New Roman" w:cs="Times New Roman"/>
          <w:sz w:val="24"/>
          <w:szCs w:val="24"/>
        </w:rPr>
        <w:t xml:space="preserve">earnings capture </w:t>
      </w:r>
      <w:r w:rsidRPr="598A40B1">
        <w:rPr>
          <w:rFonts w:ascii="Times New Roman" w:eastAsia="Times New Roman" w:hAnsi="Times New Roman" w:cs="Times New Roman"/>
          <w:sz w:val="24"/>
          <w:szCs w:val="24"/>
        </w:rPr>
        <w:t xml:space="preserve">the quality of </w:t>
      </w:r>
      <w:r w:rsidR="00802890">
        <w:rPr>
          <w:rFonts w:ascii="Times New Roman" w:eastAsia="Times New Roman" w:hAnsi="Times New Roman" w:cs="Times New Roman"/>
          <w:sz w:val="24"/>
          <w:szCs w:val="24"/>
        </w:rPr>
        <w:t xml:space="preserve">employment </w:t>
      </w:r>
      <w:r w:rsidRPr="598A40B1">
        <w:rPr>
          <w:rFonts w:ascii="Times New Roman" w:eastAsia="Times New Roman" w:hAnsi="Times New Roman" w:cs="Times New Roman"/>
          <w:sz w:val="24"/>
          <w:szCs w:val="24"/>
        </w:rPr>
        <w:t>found by migrant workers.</w:t>
      </w:r>
    </w:p>
    <w:p w14:paraId="2A6BCB49" w14:textId="77777777" w:rsidR="008B282F" w:rsidRPr="00182D67" w:rsidRDefault="008B282F" w:rsidP="008B282F">
      <w:pPr>
        <w:autoSpaceDE w:val="0"/>
        <w:autoSpaceDN w:val="0"/>
        <w:adjustRightInd w:val="0"/>
        <w:spacing w:after="0" w:line="480" w:lineRule="auto"/>
        <w:jc w:val="both"/>
        <w:rPr>
          <w:rFonts w:ascii="Times New Roman" w:hAnsi="Times New Roman" w:cs="Times New Roman"/>
          <w:sz w:val="24"/>
          <w:szCs w:val="24"/>
        </w:rPr>
      </w:pPr>
    </w:p>
    <w:p w14:paraId="6F9271D9" w14:textId="1E5882AC" w:rsidR="00DA578F" w:rsidRDefault="00DA578F" w:rsidP="00251B63">
      <w:pPr>
        <w:spacing w:after="0" w:line="48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 xml:space="preserve">Examining the wage assimilation </w:t>
      </w:r>
      <w:r w:rsidR="008B282F">
        <w:rPr>
          <w:rFonts w:ascii="Times New Roman" w:eastAsia="Times New Roman" w:hAnsi="Times New Roman" w:cs="Times New Roman"/>
          <w:sz w:val="24"/>
          <w:szCs w:val="24"/>
        </w:rPr>
        <w:t xml:space="preserve">of A8 migrants using the baseline </w:t>
      </w:r>
      <w:r w:rsidRPr="338B1626">
        <w:rPr>
          <w:rFonts w:ascii="Times New Roman" w:eastAsia="Times New Roman" w:hAnsi="Times New Roman" w:cs="Times New Roman"/>
          <w:sz w:val="24"/>
          <w:szCs w:val="24"/>
        </w:rPr>
        <w:t>sample presents</w:t>
      </w:r>
      <w:r w:rsidR="008B282F">
        <w:rPr>
          <w:rFonts w:ascii="Times New Roman" w:eastAsia="Times New Roman" w:hAnsi="Times New Roman" w:cs="Times New Roman"/>
          <w:sz w:val="24"/>
          <w:szCs w:val="24"/>
        </w:rPr>
        <w:t xml:space="preserve">, however, </w:t>
      </w:r>
      <w:r w:rsidRPr="338B1626">
        <w:rPr>
          <w:rFonts w:ascii="Times New Roman" w:eastAsia="Times New Roman" w:hAnsi="Times New Roman" w:cs="Times New Roman"/>
          <w:sz w:val="24"/>
          <w:szCs w:val="24"/>
        </w:rPr>
        <w:t>important technical difficulties. Owing to the availability of earnings information only for employees that are observed in their first (and fifth, which has been excluded</w:t>
      </w:r>
      <w:r w:rsidR="008B282F">
        <w:rPr>
          <w:rFonts w:ascii="Times New Roman" w:eastAsia="Times New Roman" w:hAnsi="Times New Roman" w:cs="Times New Roman"/>
          <w:sz w:val="24"/>
          <w:szCs w:val="24"/>
        </w:rPr>
        <w:t xml:space="preserve"> from the analysis) </w:t>
      </w:r>
      <w:r w:rsidRPr="338B1626">
        <w:rPr>
          <w:rFonts w:ascii="Times New Roman" w:eastAsia="Times New Roman" w:hAnsi="Times New Roman" w:cs="Times New Roman"/>
          <w:sz w:val="24"/>
          <w:szCs w:val="24"/>
        </w:rPr>
        <w:t xml:space="preserve">wave in the QLFS, only around 25 percent of </w:t>
      </w:r>
      <w:r w:rsidR="002D6380">
        <w:rPr>
          <w:rFonts w:ascii="Times New Roman" w:eastAsia="Times New Roman" w:hAnsi="Times New Roman" w:cs="Times New Roman"/>
          <w:sz w:val="24"/>
          <w:szCs w:val="24"/>
        </w:rPr>
        <w:t>the cases in the</w:t>
      </w:r>
      <w:r w:rsidRPr="338B1626">
        <w:rPr>
          <w:rFonts w:ascii="Times New Roman" w:eastAsia="Times New Roman" w:hAnsi="Times New Roman" w:cs="Times New Roman"/>
          <w:sz w:val="24"/>
          <w:szCs w:val="24"/>
        </w:rPr>
        <w:t xml:space="preserve"> baseline sample (about 29,000 observations) can be used for the study of wages. This seriously reduces the number of A8 migrants observed with earnings information (425 observations). For this reason, two relatively parsimonious model specifications </w:t>
      </w:r>
      <w:r w:rsidR="002D6380">
        <w:rPr>
          <w:rFonts w:ascii="Times New Roman" w:eastAsia="Times New Roman" w:hAnsi="Times New Roman" w:cs="Times New Roman"/>
          <w:sz w:val="24"/>
          <w:szCs w:val="24"/>
        </w:rPr>
        <w:t xml:space="preserve">are estimated in order </w:t>
      </w:r>
      <w:r w:rsidRPr="338B1626">
        <w:rPr>
          <w:rFonts w:ascii="Times New Roman" w:eastAsia="Times New Roman" w:hAnsi="Times New Roman" w:cs="Times New Roman"/>
          <w:sz w:val="24"/>
          <w:szCs w:val="24"/>
        </w:rPr>
        <w:t>to examine the wage assimilation of A8 migrants. The migrant variables are constructed now by splitting the A8 sample in only two groups, those with up to 3 years of residency in the UK and those with 4-8 years of residency. This is done to ensure that each group consists of a sufficient number of A8 migrants’ observations for the A8-UK wage gap to be precisely estimated. The dependent variable in both specifications is the log of the real hourly wage.</w:t>
      </w:r>
      <w:r w:rsidR="002D6380">
        <w:rPr>
          <w:rFonts w:ascii="Times New Roman" w:eastAsia="Times New Roman" w:hAnsi="Times New Roman" w:cs="Times New Roman"/>
          <w:sz w:val="24"/>
          <w:szCs w:val="24"/>
        </w:rPr>
        <w:t xml:space="preserve"> </w:t>
      </w:r>
      <w:r w:rsidRPr="338B1626">
        <w:rPr>
          <w:rFonts w:ascii="Times New Roman" w:eastAsia="Times New Roman" w:hAnsi="Times New Roman" w:cs="Times New Roman"/>
          <w:sz w:val="24"/>
          <w:szCs w:val="24"/>
        </w:rPr>
        <w:t xml:space="preserve">In </w:t>
      </w:r>
      <w:r w:rsidR="002D6380">
        <w:rPr>
          <w:rFonts w:ascii="Times New Roman" w:eastAsia="Times New Roman" w:hAnsi="Times New Roman" w:cs="Times New Roman"/>
          <w:sz w:val="24"/>
          <w:szCs w:val="24"/>
        </w:rPr>
        <w:t>the</w:t>
      </w:r>
      <w:r w:rsidRPr="338B1626">
        <w:rPr>
          <w:rFonts w:ascii="Times New Roman" w:eastAsia="Times New Roman" w:hAnsi="Times New Roman" w:cs="Times New Roman"/>
          <w:sz w:val="24"/>
          <w:szCs w:val="24"/>
        </w:rPr>
        <w:t xml:space="preserve"> first specification, the unadjusted wage gaps</w:t>
      </w:r>
      <w:r w:rsidR="002D6380">
        <w:rPr>
          <w:rFonts w:ascii="Times New Roman" w:eastAsia="Times New Roman" w:hAnsi="Times New Roman" w:cs="Times New Roman"/>
          <w:sz w:val="24"/>
          <w:szCs w:val="24"/>
        </w:rPr>
        <w:t xml:space="preserve"> are estimated</w:t>
      </w:r>
      <w:r w:rsidRPr="338B1626">
        <w:rPr>
          <w:rFonts w:ascii="Times New Roman" w:eastAsia="Times New Roman" w:hAnsi="Times New Roman" w:cs="Times New Roman"/>
          <w:sz w:val="24"/>
          <w:szCs w:val="24"/>
        </w:rPr>
        <w:t>, including no further controls in the model apart from the two migra</w:t>
      </w:r>
      <w:r w:rsidR="002D6380">
        <w:rPr>
          <w:rFonts w:ascii="Times New Roman" w:eastAsia="Times New Roman" w:hAnsi="Times New Roman" w:cs="Times New Roman"/>
          <w:sz w:val="24"/>
          <w:szCs w:val="24"/>
        </w:rPr>
        <w:t xml:space="preserve">nt dummies. </w:t>
      </w:r>
      <w:r w:rsidRPr="338B1626">
        <w:rPr>
          <w:rFonts w:ascii="Times New Roman" w:eastAsia="Times New Roman" w:hAnsi="Times New Roman" w:cs="Times New Roman"/>
          <w:sz w:val="24"/>
          <w:szCs w:val="24"/>
        </w:rPr>
        <w:t xml:space="preserve">However, since wages are determined by a number of factors that may themselves be correlated with migrant status or years of residency in the UK, the results from a </w:t>
      </w:r>
      <w:r w:rsidR="002D6380">
        <w:rPr>
          <w:rFonts w:ascii="Times New Roman" w:eastAsia="Times New Roman" w:hAnsi="Times New Roman" w:cs="Times New Roman"/>
          <w:sz w:val="24"/>
          <w:szCs w:val="24"/>
        </w:rPr>
        <w:t>multiple regression</w:t>
      </w:r>
      <w:r w:rsidRPr="338B1626">
        <w:rPr>
          <w:rFonts w:ascii="Times New Roman" w:eastAsia="Times New Roman" w:hAnsi="Times New Roman" w:cs="Times New Roman"/>
          <w:sz w:val="24"/>
          <w:szCs w:val="24"/>
        </w:rPr>
        <w:t xml:space="preserve"> model of assimilation</w:t>
      </w:r>
      <w:r w:rsidR="002D6380">
        <w:rPr>
          <w:rFonts w:ascii="Times New Roman" w:eastAsia="Times New Roman" w:hAnsi="Times New Roman" w:cs="Times New Roman"/>
          <w:sz w:val="24"/>
          <w:szCs w:val="24"/>
        </w:rPr>
        <w:t xml:space="preserve"> are also presented</w:t>
      </w:r>
      <w:r w:rsidRPr="338B1626">
        <w:rPr>
          <w:rFonts w:ascii="Times New Roman" w:eastAsia="Times New Roman" w:hAnsi="Times New Roman" w:cs="Times New Roman"/>
          <w:sz w:val="24"/>
          <w:szCs w:val="24"/>
        </w:rPr>
        <w:t xml:space="preserve">. This </w:t>
      </w:r>
      <w:r w:rsidR="002D6380">
        <w:rPr>
          <w:rFonts w:ascii="Times New Roman" w:eastAsia="Times New Roman" w:hAnsi="Times New Roman" w:cs="Times New Roman"/>
          <w:sz w:val="24"/>
          <w:szCs w:val="24"/>
        </w:rPr>
        <w:t xml:space="preserve">latter </w:t>
      </w:r>
      <w:r w:rsidRPr="338B1626">
        <w:rPr>
          <w:rFonts w:ascii="Times New Roman" w:eastAsia="Times New Roman" w:hAnsi="Times New Roman" w:cs="Times New Roman"/>
          <w:sz w:val="24"/>
          <w:szCs w:val="24"/>
        </w:rPr>
        <w:t>model assumes wages are determined by the following influences: gender, current age in quadratic form, ma</w:t>
      </w:r>
      <w:r w:rsidR="002D6380">
        <w:rPr>
          <w:rFonts w:ascii="Times New Roman" w:eastAsia="Times New Roman" w:hAnsi="Times New Roman" w:cs="Times New Roman"/>
          <w:sz w:val="24"/>
          <w:szCs w:val="24"/>
        </w:rPr>
        <w:t xml:space="preserve">rital status, education, health, </w:t>
      </w:r>
      <w:r w:rsidRPr="338B1626">
        <w:rPr>
          <w:rFonts w:ascii="Times New Roman" w:eastAsia="Times New Roman" w:hAnsi="Times New Roman" w:cs="Times New Roman"/>
          <w:sz w:val="24"/>
          <w:szCs w:val="24"/>
        </w:rPr>
        <w:t>and a set of survey year and region of residence dummy variables. Job characteristics such as industry and occupation are not included as these will capture part of the process through which A8 migrants increase their earnings.</w:t>
      </w:r>
      <w:r w:rsidRPr="338B1626">
        <w:rPr>
          <w:rStyle w:val="EndnoteReference"/>
          <w:rFonts w:ascii="Times New Roman" w:eastAsia="Times New Roman" w:hAnsi="Times New Roman" w:cs="Times New Roman"/>
          <w:sz w:val="24"/>
          <w:szCs w:val="24"/>
        </w:rPr>
        <w:endnoteReference w:id="11"/>
      </w:r>
      <w:r w:rsidRPr="338B1626">
        <w:rPr>
          <w:rFonts w:ascii="Times New Roman" w:eastAsia="Times New Roman" w:hAnsi="Times New Roman" w:cs="Times New Roman"/>
          <w:sz w:val="24"/>
          <w:szCs w:val="24"/>
        </w:rPr>
        <w:t xml:space="preserve"> </w:t>
      </w:r>
    </w:p>
    <w:p w14:paraId="4499D441" w14:textId="77777777" w:rsidR="002D6380" w:rsidRPr="002D6380" w:rsidRDefault="002D6380" w:rsidP="00251B63">
      <w:pPr>
        <w:spacing w:after="0" w:line="480" w:lineRule="auto"/>
        <w:jc w:val="both"/>
        <w:rPr>
          <w:rFonts w:ascii="Times New Roman" w:eastAsia="Times New Roman" w:hAnsi="Times New Roman" w:cs="Times New Roman"/>
          <w:sz w:val="24"/>
          <w:szCs w:val="24"/>
        </w:rPr>
      </w:pPr>
    </w:p>
    <w:p w14:paraId="275D7400" w14:textId="3E566835" w:rsidR="00DA578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Table 3 presents the results. It shows that newly arrived migrants (0-3 years in the UK) face a substantial wage penalty when compared to UK natives. Importantly, there is also some evidence of a reduction in this penalty, since the coefficient for migrants with longer UK residency (4-8 years) is smaller in (absolute) size, and significantly so. This result holds for both specifications.</w:t>
      </w:r>
    </w:p>
    <w:p w14:paraId="0348A06F" w14:textId="77777777" w:rsidR="00DA578F" w:rsidRPr="00182D67" w:rsidRDefault="00DA578F" w:rsidP="00251B63">
      <w:pPr>
        <w:spacing w:after="0" w:line="480" w:lineRule="auto"/>
        <w:jc w:val="both"/>
        <w:rPr>
          <w:rFonts w:ascii="Times New Roman" w:hAnsi="Times New Roman" w:cs="Times New Roman"/>
          <w:sz w:val="24"/>
          <w:szCs w:val="24"/>
        </w:rPr>
      </w:pPr>
    </w:p>
    <w:p w14:paraId="6BA06FE9" w14:textId="16EB14B2" w:rsidR="00DA578F" w:rsidRPr="00E2181C" w:rsidRDefault="598A40B1" w:rsidP="00CB2B19">
      <w:pPr>
        <w:spacing w:after="0" w:line="480" w:lineRule="auto"/>
        <w:jc w:val="center"/>
        <w:rPr>
          <w:rFonts w:ascii="Times New Roman" w:eastAsia="Times New Roman" w:hAnsi="Times New Roman" w:cs="Times New Roman"/>
          <w:sz w:val="24"/>
          <w:szCs w:val="24"/>
          <w:lang w:eastAsia="en-GB"/>
        </w:rPr>
      </w:pPr>
      <w:r w:rsidRPr="598A40B1">
        <w:rPr>
          <w:rFonts w:ascii="Times New Roman" w:eastAsia="Times New Roman" w:hAnsi="Times New Roman" w:cs="Times New Roman"/>
          <w:sz w:val="24"/>
          <w:szCs w:val="24"/>
          <w:lang w:eastAsia="en-GB"/>
        </w:rPr>
        <w:t>[Table 3]</w:t>
      </w:r>
    </w:p>
    <w:p w14:paraId="13F94656" w14:textId="77777777" w:rsidR="00DA578F" w:rsidRPr="00182D67" w:rsidRDefault="00DA578F" w:rsidP="00251B63">
      <w:pPr>
        <w:spacing w:after="0" w:line="480" w:lineRule="auto"/>
        <w:jc w:val="center"/>
        <w:rPr>
          <w:rFonts w:ascii="Times New Roman" w:hAnsi="Times New Roman" w:cs="Times New Roman"/>
          <w:sz w:val="24"/>
          <w:szCs w:val="24"/>
        </w:rPr>
      </w:pPr>
    </w:p>
    <w:p w14:paraId="13E87BCB" w14:textId="184B1C07" w:rsidR="008A03CD" w:rsidRDefault="598A40B1" w:rsidP="00251B63">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While A8 migrants’ wages may not have fully assimilated to those of UK natives, these migrants may also have assimilated in other unobservable ways which may help to explain the assimilation of the migrant work ethic. Firstly, migrants may culturally assimilate into their host nation, by adopting social norms and subsequently behaving more like natives. For example, the General Manager at MacKenzie and Forde’s (2009: 150) workplace study of ‘Glassfix’ stated that “There was a tail off in the Balkan staff, then all of a sudden there was an influx of Poles…50 percent of the accession nationalities are Poles. They are very good”, with the managing director agreeing that “they have a good work ethic”. However, as the Balkan staff had been in the UK for a longer period of time, the managing director of ‘Glassfix’ found that “The Balkan workers were sharper when it came to money and benefits, a lot of the Kosovans had been around a long time, they were more ‘Westernized’. They knew about benefits, knew it was better to draw off benefits – like the English.” In addition, Waldinger and Lichter (2003: 176) found that US managers reported that they felt African Americans were too “Americanized”, and thus more likely to demand higher wages and better conditions (see also Chiswick, 1978). </w:t>
      </w:r>
    </w:p>
    <w:p w14:paraId="6B661EB8" w14:textId="77777777" w:rsidR="008A03CD" w:rsidRDefault="008A03CD" w:rsidP="00251B63">
      <w:pPr>
        <w:spacing w:after="0" w:line="480" w:lineRule="auto"/>
        <w:jc w:val="both"/>
        <w:rPr>
          <w:rFonts w:ascii="Times New Roman" w:eastAsia="Times New Roman" w:hAnsi="Times New Roman" w:cs="Times New Roman"/>
          <w:sz w:val="24"/>
          <w:szCs w:val="24"/>
        </w:rPr>
      </w:pPr>
    </w:p>
    <w:p w14:paraId="213459F4" w14:textId="46D8F111" w:rsidR="007A395F"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Secondly, migrant wage expectations may assimilate, consistent with the dual labour market hypothesis and the migrant ‘frame of reference’ (Piore, 1979). More specifically, suppose that everyone initially sets reservation wages with the belief that they will most likely earn the average of those with the same educational background and other observable characteristics. However, when migrants are added to the UK labour supply, their ‘frame of reference’ is usually the labour market in their home countries, meaning that their wage expectations are significantly lower than those of native workers. So, while recent A8 migrants face a substantial wage penalty relative to natives, wages may still remain significantly above expectations and may therefore be associated with higher worker effort according to a </w:t>
      </w:r>
      <w:r w:rsidR="00CF53C8">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fair wage-effort</w:t>
      </w:r>
      <w:r w:rsidR="00CF53C8">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hypothesis (Akerlof and Yellen, 1990)</w:t>
      </w:r>
      <w:r w:rsidR="009473F3">
        <w:rPr>
          <w:rFonts w:ascii="Times New Roman" w:eastAsia="Times New Roman" w:hAnsi="Times New Roman" w:cs="Times New Roman"/>
          <w:sz w:val="24"/>
          <w:szCs w:val="24"/>
        </w:rPr>
        <w:t xml:space="preserve">, which states that workers </w:t>
      </w:r>
      <w:r w:rsidR="00C518CB">
        <w:rPr>
          <w:rFonts w:ascii="Times New Roman" w:eastAsia="Times New Roman" w:hAnsi="Times New Roman" w:cs="Times New Roman"/>
          <w:sz w:val="24"/>
          <w:szCs w:val="24"/>
        </w:rPr>
        <w:t>should withdraw effort if their actual wage falls short of what they consider a fair wage</w:t>
      </w:r>
      <w:r w:rsidRPr="598A40B1">
        <w:rPr>
          <w:rFonts w:ascii="Times New Roman" w:eastAsia="Times New Roman" w:hAnsi="Times New Roman" w:cs="Times New Roman"/>
          <w:sz w:val="24"/>
          <w:szCs w:val="24"/>
        </w:rPr>
        <w:t>. This is especially likely for the most recent of A8 migrant workers who are less embedded in the UK labour market. Accordingly, as migrants’ experience and knowledge of the UK labour market increase, their ‘frame of reference’ is likely to shift and, as such, wage expectations will adjust accordingly.</w:t>
      </w:r>
    </w:p>
    <w:p w14:paraId="706B973E" w14:textId="77777777" w:rsidR="007A395F" w:rsidRDefault="007A395F" w:rsidP="00251B63">
      <w:pPr>
        <w:spacing w:after="0" w:line="480" w:lineRule="auto"/>
        <w:rPr>
          <w:rFonts w:ascii="Times New Roman" w:hAnsi="Times New Roman" w:cs="Times New Roman"/>
          <w:sz w:val="24"/>
          <w:szCs w:val="24"/>
        </w:rPr>
      </w:pPr>
    </w:p>
    <w:p w14:paraId="6A471BD9" w14:textId="77777777" w:rsidR="002B27E6" w:rsidRPr="00182D67" w:rsidRDefault="002B27E6" w:rsidP="00251B63">
      <w:pPr>
        <w:spacing w:after="0" w:line="480" w:lineRule="auto"/>
        <w:rPr>
          <w:rFonts w:ascii="Times New Roman" w:hAnsi="Times New Roman" w:cs="Times New Roman"/>
          <w:sz w:val="24"/>
          <w:szCs w:val="24"/>
        </w:rPr>
      </w:pPr>
    </w:p>
    <w:p w14:paraId="10F4EC17" w14:textId="137975C9" w:rsidR="0079006D" w:rsidRPr="00F93371" w:rsidRDefault="598A40B1" w:rsidP="00F93371">
      <w:pPr>
        <w:spacing w:after="0" w:line="480" w:lineRule="auto"/>
        <w:jc w:val="both"/>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Discussion and conclusions</w:t>
      </w:r>
    </w:p>
    <w:p w14:paraId="6A9608CD" w14:textId="77777777" w:rsidR="007A395F" w:rsidRDefault="007A395F" w:rsidP="00251B63">
      <w:pPr>
        <w:autoSpaceDE w:val="0"/>
        <w:autoSpaceDN w:val="0"/>
        <w:adjustRightInd w:val="0"/>
        <w:spacing w:after="0" w:line="480" w:lineRule="auto"/>
        <w:jc w:val="both"/>
        <w:rPr>
          <w:rFonts w:ascii="Times New Roman" w:eastAsia="Times New Roman" w:hAnsi="Times New Roman" w:cs="Times New Roman"/>
          <w:sz w:val="24"/>
          <w:szCs w:val="24"/>
        </w:rPr>
      </w:pPr>
    </w:p>
    <w:p w14:paraId="0EE2F998" w14:textId="2182E995" w:rsidR="0079006D" w:rsidRPr="00F93371" w:rsidRDefault="598A40B1" w:rsidP="00F93371">
      <w:pPr>
        <w:autoSpaceDE w:val="0"/>
        <w:autoSpaceDN w:val="0"/>
        <w:adjustRightInd w:val="0"/>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The UK has experienced unprecedented increases in migration in recent years, primarily associated with the entry of the A8 accession countries into the </w:t>
      </w:r>
      <w:r w:rsidR="003742BA">
        <w:rPr>
          <w:rFonts w:ascii="Times New Roman" w:eastAsia="Times New Roman" w:hAnsi="Times New Roman" w:cs="Times New Roman"/>
          <w:sz w:val="24"/>
          <w:szCs w:val="24"/>
        </w:rPr>
        <w:t>EU</w:t>
      </w:r>
      <w:r w:rsidRPr="598A40B1">
        <w:rPr>
          <w:rFonts w:ascii="Times New Roman" w:eastAsia="Times New Roman" w:hAnsi="Times New Roman" w:cs="Times New Roman"/>
          <w:sz w:val="24"/>
          <w:szCs w:val="24"/>
        </w:rPr>
        <w:t xml:space="preserve">. These migrant workers arriving in the UK have been </w:t>
      </w:r>
      <w:r w:rsidR="48C7C399" w:rsidRPr="598A40B1">
        <w:rPr>
          <w:rFonts w:ascii="Times New Roman" w:eastAsia="Times New Roman" w:hAnsi="Times New Roman" w:cs="Times New Roman"/>
          <w:sz w:val="24"/>
          <w:szCs w:val="24"/>
        </w:rPr>
        <w:t xml:space="preserve">praised </w:t>
      </w:r>
      <w:r w:rsidRPr="598A40B1">
        <w:rPr>
          <w:rFonts w:ascii="Times New Roman" w:eastAsia="Times New Roman" w:hAnsi="Times New Roman" w:cs="Times New Roman"/>
          <w:sz w:val="24"/>
          <w:szCs w:val="24"/>
        </w:rPr>
        <w:t xml:space="preserve">by </w:t>
      </w:r>
      <w:r w:rsidR="00802890" w:rsidRPr="598A40B1">
        <w:rPr>
          <w:rFonts w:ascii="Times New Roman" w:eastAsia="Times New Roman" w:hAnsi="Times New Roman" w:cs="Times New Roman"/>
          <w:sz w:val="24"/>
          <w:szCs w:val="24"/>
        </w:rPr>
        <w:t>employers as</w:t>
      </w:r>
      <w:r w:rsidRPr="598A40B1">
        <w:rPr>
          <w:rFonts w:ascii="Times New Roman" w:eastAsia="Times New Roman" w:hAnsi="Times New Roman" w:cs="Times New Roman"/>
          <w:sz w:val="24"/>
          <w:szCs w:val="24"/>
        </w:rPr>
        <w:t xml:space="preserve"> having a stronger work ethic than native workers. Using worker absence data from the QLFS for the period 2005-2012</w:t>
      </w:r>
      <w:r w:rsidR="00BE174B">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and considering migrants from the recent 2004 A8 expansion, this article </w:t>
      </w:r>
      <w:r w:rsidR="00762DC4" w:rsidRPr="00762DC4">
        <w:rPr>
          <w:rFonts w:ascii="Times New Roman" w:eastAsia="Times New Roman" w:hAnsi="Times New Roman" w:cs="Times New Roman"/>
          <w:sz w:val="24"/>
          <w:szCs w:val="24"/>
        </w:rPr>
        <w:t xml:space="preserve">provides quantitative evidence that substantiates </w:t>
      </w:r>
      <w:r w:rsidR="00762DC4">
        <w:rPr>
          <w:rFonts w:ascii="Times New Roman" w:eastAsia="Times New Roman" w:hAnsi="Times New Roman" w:cs="Times New Roman"/>
          <w:sz w:val="24"/>
          <w:szCs w:val="24"/>
        </w:rPr>
        <w:t xml:space="preserve">these </w:t>
      </w:r>
      <w:r w:rsidR="00762DC4" w:rsidRPr="00762DC4">
        <w:rPr>
          <w:rFonts w:ascii="Times New Roman" w:eastAsia="Times New Roman" w:hAnsi="Times New Roman" w:cs="Times New Roman"/>
          <w:sz w:val="24"/>
          <w:szCs w:val="24"/>
        </w:rPr>
        <w:t>perceptions of th</w:t>
      </w:r>
      <w:r w:rsidR="004B5F24">
        <w:rPr>
          <w:rFonts w:ascii="Times New Roman" w:eastAsia="Times New Roman" w:hAnsi="Times New Roman" w:cs="Times New Roman"/>
          <w:sz w:val="24"/>
          <w:szCs w:val="24"/>
        </w:rPr>
        <w:t>is distinctive</w:t>
      </w:r>
      <w:r w:rsidR="2C0C41CB">
        <w:rPr>
          <w:rFonts w:ascii="Times New Roman" w:eastAsia="Times New Roman" w:hAnsi="Times New Roman" w:cs="Times New Roman"/>
          <w:sz w:val="24"/>
          <w:szCs w:val="24"/>
        </w:rPr>
        <w:t xml:space="preserve"> </w:t>
      </w:r>
      <w:r w:rsidR="00762DC4" w:rsidRPr="00762DC4">
        <w:rPr>
          <w:rFonts w:ascii="Times New Roman" w:eastAsia="Times New Roman" w:hAnsi="Times New Roman" w:cs="Times New Roman"/>
          <w:sz w:val="24"/>
          <w:szCs w:val="24"/>
        </w:rPr>
        <w:t>migrant work ethic</w:t>
      </w:r>
      <w:r w:rsidRPr="598A40B1">
        <w:rPr>
          <w:rFonts w:ascii="Times New Roman" w:eastAsia="Times New Roman" w:hAnsi="Times New Roman" w:cs="Times New Roman"/>
          <w:sz w:val="24"/>
          <w:szCs w:val="24"/>
        </w:rPr>
        <w:t xml:space="preserve">. The key </w:t>
      </w:r>
      <w:r w:rsidR="00BE174B">
        <w:rPr>
          <w:rFonts w:ascii="Times New Roman" w:eastAsia="Times New Roman" w:hAnsi="Times New Roman" w:cs="Times New Roman"/>
          <w:sz w:val="24"/>
          <w:szCs w:val="24"/>
        </w:rPr>
        <w:t>finding</w:t>
      </w:r>
      <w:r w:rsidR="00BE174B" w:rsidRPr="598A40B1">
        <w:rPr>
          <w:rFonts w:ascii="Times New Roman" w:eastAsia="Times New Roman" w:hAnsi="Times New Roman" w:cs="Times New Roman"/>
          <w:sz w:val="24"/>
          <w:szCs w:val="24"/>
        </w:rPr>
        <w:t xml:space="preserve"> </w:t>
      </w:r>
      <w:r w:rsidR="00BE174B">
        <w:rPr>
          <w:rFonts w:ascii="Times New Roman" w:eastAsia="Times New Roman" w:hAnsi="Times New Roman" w:cs="Times New Roman"/>
          <w:sz w:val="24"/>
          <w:szCs w:val="24"/>
        </w:rPr>
        <w:t>of</w:t>
      </w:r>
      <w:r w:rsidR="00BE174B"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this article is that A8 migrants record around three times lower worker absence than natives in their first year of residency in the UK. What is a particularly interesting </w:t>
      </w:r>
      <w:r w:rsidR="00BE174B">
        <w:rPr>
          <w:rFonts w:ascii="Times New Roman" w:eastAsia="Times New Roman" w:hAnsi="Times New Roman" w:cs="Times New Roman"/>
          <w:sz w:val="24"/>
          <w:szCs w:val="24"/>
        </w:rPr>
        <w:t>result</w:t>
      </w:r>
      <w:r w:rsidR="00BE174B"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is that it takes migrants between 2 and 4 years to eradicate this difference. </w:t>
      </w:r>
    </w:p>
    <w:p w14:paraId="348DF0AB" w14:textId="77777777" w:rsidR="0079006D" w:rsidRPr="00182D67" w:rsidRDefault="0079006D" w:rsidP="00251B63">
      <w:pPr>
        <w:autoSpaceDE w:val="0"/>
        <w:autoSpaceDN w:val="0"/>
        <w:adjustRightInd w:val="0"/>
        <w:spacing w:after="0" w:line="480" w:lineRule="auto"/>
        <w:jc w:val="both"/>
        <w:rPr>
          <w:rFonts w:ascii="Times New Roman" w:hAnsi="Times New Roman" w:cs="Times New Roman"/>
          <w:sz w:val="24"/>
          <w:szCs w:val="24"/>
        </w:rPr>
      </w:pPr>
    </w:p>
    <w:p w14:paraId="4456AFA8" w14:textId="7F318598" w:rsidR="0079006D"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It has been argued throughout this study that this migrant work ethic is a result of the lower levels of labour market power faced by this recent group of migrants, despite their higher levels of human capital, as evidenced through their higher qualification levels than UK natives (</w:t>
      </w:r>
      <w:r w:rsidR="000C2F84">
        <w:rPr>
          <w:rFonts w:ascii="Times New Roman" w:eastAsia="Times New Roman" w:hAnsi="Times New Roman" w:cs="Times New Roman"/>
          <w:sz w:val="24"/>
          <w:szCs w:val="24"/>
        </w:rPr>
        <w:t>Wadsworth, 2015</w:t>
      </w:r>
      <w:r w:rsidRPr="598A40B1">
        <w:rPr>
          <w:rFonts w:ascii="Times New Roman" w:eastAsia="Times New Roman" w:hAnsi="Times New Roman" w:cs="Times New Roman"/>
          <w:sz w:val="24"/>
          <w:szCs w:val="24"/>
        </w:rPr>
        <w:t>). I</w:t>
      </w:r>
      <w:r w:rsidR="577DC974" w:rsidRPr="598A40B1">
        <w:rPr>
          <w:rFonts w:ascii="Times New Roman" w:eastAsia="Times New Roman" w:hAnsi="Times New Roman" w:cs="Times New Roman"/>
          <w:sz w:val="24"/>
          <w:szCs w:val="24"/>
        </w:rPr>
        <w:t>n</w:t>
      </w:r>
      <w:r w:rsidR="439145C6" w:rsidRPr="598A40B1">
        <w:rPr>
          <w:rFonts w:ascii="Times New Roman" w:eastAsia="Times New Roman" w:hAnsi="Times New Roman" w:cs="Times New Roman"/>
          <w:sz w:val="24"/>
          <w:szCs w:val="24"/>
        </w:rPr>
        <w:t xml:space="preserve"> particular, low levels of English language </w:t>
      </w:r>
      <w:r w:rsidR="00F0739A">
        <w:rPr>
          <w:rFonts w:ascii="Times New Roman" w:eastAsia="Times New Roman" w:hAnsi="Times New Roman" w:cs="Times New Roman"/>
          <w:sz w:val="24"/>
          <w:szCs w:val="24"/>
        </w:rPr>
        <w:t xml:space="preserve">proficiency </w:t>
      </w:r>
      <w:r w:rsidR="439145C6" w:rsidRPr="598A40B1">
        <w:rPr>
          <w:rFonts w:ascii="Times New Roman" w:eastAsia="Times New Roman" w:hAnsi="Times New Roman" w:cs="Times New Roman"/>
          <w:sz w:val="24"/>
          <w:szCs w:val="24"/>
        </w:rPr>
        <w:t>see migrants moving into lower-skilled roles that are not customer facing, frequently on non-standard co</w:t>
      </w:r>
      <w:r w:rsidR="577DC974" w:rsidRPr="598A40B1">
        <w:rPr>
          <w:rFonts w:ascii="Times New Roman" w:eastAsia="Times New Roman" w:hAnsi="Times New Roman" w:cs="Times New Roman"/>
          <w:sz w:val="24"/>
          <w:szCs w:val="24"/>
        </w:rPr>
        <w:t>ntracts and crowded into a small range of sectors (</w:t>
      </w:r>
      <w:r w:rsidR="0007775B">
        <w:rPr>
          <w:rFonts w:ascii="Times New Roman" w:eastAsia="Times New Roman" w:hAnsi="Times New Roman" w:cs="Times New Roman"/>
          <w:sz w:val="24"/>
          <w:szCs w:val="24"/>
        </w:rPr>
        <w:t>Hopkins</w:t>
      </w:r>
      <w:r w:rsidR="577DC974" w:rsidRPr="598A40B1">
        <w:rPr>
          <w:rFonts w:ascii="Times New Roman" w:eastAsia="Times New Roman" w:hAnsi="Times New Roman" w:cs="Times New Roman"/>
          <w:sz w:val="24"/>
          <w:szCs w:val="24"/>
        </w:rPr>
        <w:t xml:space="preserve"> and </w:t>
      </w:r>
      <w:r w:rsidR="0007775B">
        <w:rPr>
          <w:rFonts w:ascii="Times New Roman" w:eastAsia="Times New Roman" w:hAnsi="Times New Roman" w:cs="Times New Roman"/>
          <w:sz w:val="24"/>
          <w:szCs w:val="24"/>
        </w:rPr>
        <w:t>Dawson</w:t>
      </w:r>
      <w:r w:rsidR="577DC974" w:rsidRPr="598A40B1">
        <w:rPr>
          <w:rFonts w:ascii="Times New Roman" w:eastAsia="Times New Roman" w:hAnsi="Times New Roman" w:cs="Times New Roman"/>
          <w:sz w:val="24"/>
          <w:szCs w:val="24"/>
        </w:rPr>
        <w:t xml:space="preserve">, 2016).  </w:t>
      </w:r>
      <w:r w:rsidR="5B94E9E5" w:rsidRPr="598A40B1">
        <w:rPr>
          <w:rFonts w:ascii="Times New Roman" w:eastAsia="Times New Roman" w:hAnsi="Times New Roman" w:cs="Times New Roman"/>
          <w:sz w:val="24"/>
          <w:szCs w:val="24"/>
        </w:rPr>
        <w:t>I</w:t>
      </w:r>
      <w:r w:rsidRPr="598A40B1">
        <w:rPr>
          <w:rFonts w:ascii="Times New Roman" w:eastAsia="Times New Roman" w:hAnsi="Times New Roman" w:cs="Times New Roman"/>
          <w:sz w:val="24"/>
          <w:szCs w:val="24"/>
        </w:rPr>
        <w:t>t is this low labour market power that provides the incentive for migrant workers to exert increased effort through reduced absence, in order to signal to employers their underlying productivity. In line with this view and that of the traditional migrant assimilation model, it was proposed that the observed assimilation of the migrant work ethic would reflect the increasing levels of labour market power and employment prospects of more embedded migrants. Consistent with this, the modelling of the wage assimilation of A8 migrants suggested that these migrant workers face a substantial wage penalty relative to natives</w:t>
      </w:r>
      <w:r w:rsidR="00874326" w:rsidRPr="00874326">
        <w:rPr>
          <w:rFonts w:ascii="Times New Roman" w:eastAsia="Times New Roman" w:hAnsi="Times New Roman" w:cs="Times New Roman"/>
          <w:sz w:val="24"/>
          <w:szCs w:val="24"/>
        </w:rPr>
        <w:t xml:space="preserve"> </w:t>
      </w:r>
      <w:r w:rsidR="00874326" w:rsidRPr="598A40B1">
        <w:rPr>
          <w:rFonts w:ascii="Times New Roman" w:eastAsia="Times New Roman" w:hAnsi="Times New Roman" w:cs="Times New Roman"/>
          <w:sz w:val="24"/>
          <w:szCs w:val="24"/>
        </w:rPr>
        <w:t>when first arriving in the UK</w:t>
      </w:r>
      <w:r w:rsidR="00874326">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despite their higher levels of education. Importantly, this wage penalty was found to decline in magnitude as migrant residency in the UK increased. However, while A8 absence levels were found to fully assimilate to those of natives, wages do not. </w:t>
      </w:r>
      <w:r w:rsidR="009415D1" w:rsidRPr="598A40B1">
        <w:rPr>
          <w:rFonts w:ascii="Times New Roman" w:eastAsia="Times New Roman" w:hAnsi="Times New Roman" w:cs="Times New Roman"/>
          <w:sz w:val="24"/>
          <w:szCs w:val="24"/>
        </w:rPr>
        <w:t>Migrants, thus, may</w:t>
      </w:r>
      <w:r w:rsidR="009415D1">
        <w:rPr>
          <w:rFonts w:ascii="Times New Roman" w:eastAsia="Times New Roman" w:hAnsi="Times New Roman" w:cs="Times New Roman"/>
          <w:sz w:val="24"/>
          <w:szCs w:val="24"/>
        </w:rPr>
        <w:t xml:space="preserve"> </w:t>
      </w:r>
      <w:r w:rsidR="009415D1" w:rsidRPr="598A40B1">
        <w:rPr>
          <w:rFonts w:ascii="Times New Roman" w:eastAsia="Times New Roman" w:hAnsi="Times New Roman" w:cs="Times New Roman"/>
          <w:sz w:val="24"/>
          <w:szCs w:val="24"/>
        </w:rPr>
        <w:t xml:space="preserve">have assimilated </w:t>
      </w:r>
      <w:r w:rsidR="009415D1">
        <w:rPr>
          <w:rFonts w:ascii="Times New Roman" w:eastAsia="Times New Roman" w:hAnsi="Times New Roman" w:cs="Times New Roman"/>
          <w:sz w:val="24"/>
          <w:szCs w:val="24"/>
        </w:rPr>
        <w:t>in other ways, particularly through adopting the social norms of natives or via converging wage expectations.</w:t>
      </w:r>
      <w:r w:rsidR="009415D1" w:rsidRPr="009415D1">
        <w:rPr>
          <w:rFonts w:ascii="Times New Roman" w:eastAsia="Times New Roman" w:hAnsi="Times New Roman" w:cs="Times New Roman"/>
          <w:sz w:val="24"/>
          <w:szCs w:val="24"/>
        </w:rPr>
        <w:t xml:space="preserve"> </w:t>
      </w:r>
      <w:r w:rsidR="009415D1">
        <w:rPr>
          <w:rFonts w:ascii="Times New Roman" w:eastAsia="Times New Roman" w:hAnsi="Times New Roman" w:cs="Times New Roman"/>
          <w:sz w:val="24"/>
          <w:szCs w:val="24"/>
        </w:rPr>
        <w:t>I</w:t>
      </w:r>
      <w:r w:rsidR="009415D1" w:rsidRPr="598A40B1">
        <w:rPr>
          <w:rFonts w:ascii="Times New Roman" w:eastAsia="Times New Roman" w:hAnsi="Times New Roman" w:cs="Times New Roman"/>
          <w:sz w:val="24"/>
          <w:szCs w:val="24"/>
        </w:rPr>
        <w:t>t is left for future work to analyse whether A8 migrants do eventually assimilate in terms of their labour market outcomes</w:t>
      </w:r>
      <w:r w:rsidR="00C736DC">
        <w:rPr>
          <w:rFonts w:ascii="Times New Roman" w:eastAsia="Times New Roman" w:hAnsi="Times New Roman" w:cs="Times New Roman"/>
          <w:sz w:val="24"/>
          <w:szCs w:val="24"/>
        </w:rPr>
        <w:t>,</w:t>
      </w:r>
      <w:r w:rsidR="00B66FFE">
        <w:rPr>
          <w:rFonts w:ascii="Times New Roman" w:eastAsia="Times New Roman" w:hAnsi="Times New Roman" w:cs="Times New Roman"/>
          <w:sz w:val="24"/>
          <w:szCs w:val="24"/>
        </w:rPr>
        <w:t xml:space="preserve"> given a longer time frame.</w:t>
      </w:r>
    </w:p>
    <w:p w14:paraId="4C9D8A36" w14:textId="77777777" w:rsidR="0079006D" w:rsidRPr="00182D67" w:rsidRDefault="0079006D" w:rsidP="00251B63">
      <w:pPr>
        <w:autoSpaceDE w:val="0"/>
        <w:autoSpaceDN w:val="0"/>
        <w:adjustRightInd w:val="0"/>
        <w:spacing w:after="0" w:line="480" w:lineRule="auto"/>
        <w:jc w:val="both"/>
        <w:rPr>
          <w:rFonts w:ascii="Times New Roman" w:hAnsi="Times New Roman" w:cs="Times New Roman"/>
          <w:sz w:val="24"/>
          <w:szCs w:val="24"/>
        </w:rPr>
      </w:pPr>
    </w:p>
    <w:p w14:paraId="52CC0CB6" w14:textId="184EDD0C" w:rsidR="0079006D" w:rsidRPr="00F93371" w:rsidRDefault="598A40B1" w:rsidP="00F93371">
      <w:pPr>
        <w:autoSpaceDE w:val="0"/>
        <w:autoSpaceDN w:val="0"/>
        <w:adjustRightInd w:val="0"/>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While the evidence in this study points to the </w:t>
      </w:r>
      <w:r w:rsidR="00006232">
        <w:rPr>
          <w:rFonts w:ascii="Times New Roman" w:eastAsia="Times New Roman" w:hAnsi="Times New Roman" w:cs="Times New Roman"/>
          <w:sz w:val="24"/>
          <w:szCs w:val="24"/>
        </w:rPr>
        <w:t>assimilation</w:t>
      </w:r>
      <w:r w:rsidR="00006232" w:rsidRPr="598A40B1">
        <w:rPr>
          <w:rFonts w:ascii="Times New Roman" w:eastAsia="Times New Roman" w:hAnsi="Times New Roman" w:cs="Times New Roman"/>
          <w:sz w:val="24"/>
          <w:szCs w:val="24"/>
        </w:rPr>
        <w:t xml:space="preserve"> </w:t>
      </w:r>
      <w:r w:rsidRPr="598A40B1">
        <w:rPr>
          <w:rFonts w:ascii="Times New Roman" w:eastAsia="Times New Roman" w:hAnsi="Times New Roman" w:cs="Times New Roman"/>
          <w:sz w:val="24"/>
          <w:szCs w:val="24"/>
        </w:rPr>
        <w:t xml:space="preserve">of migrant effort levels, there are, however, several limitations of the data that should be noted. Principally, the use of cross-sectional data in studies of migrant </w:t>
      </w:r>
      <w:r w:rsidRPr="3B009953">
        <w:rPr>
          <w:rFonts w:ascii="Times New Roman" w:eastAsia="Times New Roman" w:hAnsi="Times New Roman" w:cs="Times New Roman"/>
          <w:i/>
          <w:iCs/>
          <w:sz w:val="24"/>
          <w:szCs w:val="24"/>
        </w:rPr>
        <w:t>wage</w:t>
      </w:r>
      <w:r w:rsidRPr="598A40B1">
        <w:rPr>
          <w:rFonts w:ascii="Times New Roman" w:eastAsia="Times New Roman" w:hAnsi="Times New Roman" w:cs="Times New Roman"/>
          <w:sz w:val="24"/>
          <w:szCs w:val="24"/>
        </w:rPr>
        <w:t xml:space="preserve"> assimilation has been criticised owing to both cohort effects and the attrition of ‘below-average’ migrants (Borjas, 1985). The former criticism reflects the changing quality of migrants into the host nation. If, for example, there was an improvement in the quality of A8 migrants entering the UK over time, we may expect this to impact upon work effort levels observed in the sample. It does, however, seem unlikely that cohort effects are important within the context of this study, since only a short wave of migration is investigated. Furthermore, if ‘below-average’ A8 migrants are the first to return home, it is not obvious how this migrant attrition may bias the </w:t>
      </w:r>
      <w:r w:rsidRPr="3B009953">
        <w:rPr>
          <w:rFonts w:ascii="Times New Roman" w:eastAsia="Times New Roman" w:hAnsi="Times New Roman" w:cs="Times New Roman"/>
          <w:i/>
          <w:iCs/>
          <w:sz w:val="24"/>
          <w:szCs w:val="24"/>
        </w:rPr>
        <w:t>absence</w:t>
      </w:r>
      <w:r w:rsidRPr="598A40B1">
        <w:rPr>
          <w:rFonts w:ascii="Times New Roman" w:eastAsia="Times New Roman" w:hAnsi="Times New Roman" w:cs="Times New Roman"/>
          <w:sz w:val="24"/>
          <w:szCs w:val="24"/>
        </w:rPr>
        <w:t xml:space="preserve"> results. On the one hand, ‘better than average’ migrants may have more perseverance, which is likely to be associated with </w:t>
      </w:r>
      <w:r w:rsidR="00874326">
        <w:rPr>
          <w:rFonts w:ascii="Times New Roman" w:eastAsia="Times New Roman" w:hAnsi="Times New Roman" w:cs="Times New Roman"/>
          <w:sz w:val="24"/>
          <w:szCs w:val="24"/>
        </w:rPr>
        <w:t>reduced</w:t>
      </w:r>
      <w:r w:rsidRPr="598A40B1">
        <w:rPr>
          <w:rFonts w:ascii="Times New Roman" w:eastAsia="Times New Roman" w:hAnsi="Times New Roman" w:cs="Times New Roman"/>
          <w:sz w:val="24"/>
          <w:szCs w:val="24"/>
        </w:rPr>
        <w:t xml:space="preserve"> absenteeism. On the other hand, ‘better than average’ migrants may be those that are more able to adapt their skill sets to the UK labour market and, therefore, will have a weaker incentive to signal to employers their underlying productivity through reduced absenteeism. Only with the use of appropriate longitudinal data</w:t>
      </w:r>
      <w:r w:rsidR="00821DDE">
        <w:rPr>
          <w:rFonts w:ascii="Times New Roman" w:eastAsia="Times New Roman" w:hAnsi="Times New Roman" w:cs="Times New Roman"/>
          <w:sz w:val="24"/>
          <w:szCs w:val="24"/>
        </w:rPr>
        <w:t>,</w:t>
      </w:r>
      <w:r w:rsidRPr="598A40B1">
        <w:rPr>
          <w:rFonts w:ascii="Times New Roman" w:eastAsia="Times New Roman" w:hAnsi="Times New Roman" w:cs="Times New Roman"/>
          <w:sz w:val="24"/>
          <w:szCs w:val="24"/>
        </w:rPr>
        <w:t xml:space="preserve"> that can track effort convergence for particular migrants, could these methodological issues be addressed.</w:t>
      </w:r>
      <w:r w:rsidR="00EA33A4">
        <w:rPr>
          <w:rStyle w:val="EndnoteReference"/>
          <w:rFonts w:ascii="Times New Roman" w:eastAsia="Times New Roman" w:hAnsi="Times New Roman" w:cs="Times New Roman"/>
          <w:sz w:val="24"/>
          <w:szCs w:val="24"/>
        </w:rPr>
        <w:endnoteReference w:id="12"/>
      </w:r>
      <w:r w:rsidRPr="598A40B1">
        <w:rPr>
          <w:rFonts w:ascii="Times New Roman" w:eastAsia="Times New Roman" w:hAnsi="Times New Roman" w:cs="Times New Roman"/>
          <w:sz w:val="24"/>
          <w:szCs w:val="24"/>
        </w:rPr>
        <w:t xml:space="preserve"> </w:t>
      </w:r>
    </w:p>
    <w:p w14:paraId="79108CD0" w14:textId="77777777" w:rsidR="0079006D" w:rsidRPr="00182D67" w:rsidRDefault="0079006D" w:rsidP="00251B63">
      <w:pPr>
        <w:autoSpaceDE w:val="0"/>
        <w:autoSpaceDN w:val="0"/>
        <w:adjustRightInd w:val="0"/>
        <w:spacing w:after="0" w:line="480" w:lineRule="auto"/>
        <w:jc w:val="both"/>
        <w:rPr>
          <w:rFonts w:ascii="Times New Roman" w:hAnsi="Times New Roman" w:cs="Times New Roman"/>
          <w:sz w:val="24"/>
          <w:szCs w:val="24"/>
        </w:rPr>
      </w:pPr>
    </w:p>
    <w:p w14:paraId="0AF6FA95" w14:textId="2DF5018C" w:rsidR="0079006D" w:rsidRPr="00F93371" w:rsidRDefault="598A40B1" w:rsidP="00F93371">
      <w:pPr>
        <w:autoSpaceDE w:val="0"/>
        <w:autoSpaceDN w:val="0"/>
        <w:adjustRightInd w:val="0"/>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If the estimates presented above are taken at face value, then our findings are in line with qualitative evidence based upon managers’ perceptions of the migrant work ethic. If managers use this information upon which to base their hiring decisions, then </w:t>
      </w:r>
      <w:r w:rsidR="00A8628D">
        <w:rPr>
          <w:rFonts w:ascii="Times New Roman" w:eastAsia="Times New Roman" w:hAnsi="Times New Roman" w:cs="Times New Roman"/>
          <w:sz w:val="24"/>
          <w:szCs w:val="24"/>
        </w:rPr>
        <w:t xml:space="preserve">this may have negative implications for </w:t>
      </w:r>
      <w:r w:rsidRPr="598A40B1">
        <w:rPr>
          <w:rFonts w:ascii="Times New Roman" w:eastAsia="Times New Roman" w:hAnsi="Times New Roman" w:cs="Times New Roman"/>
          <w:sz w:val="24"/>
          <w:szCs w:val="24"/>
        </w:rPr>
        <w:t>unusually productive native workers. These conditions seem likely to hold particularly in low-skilled, low-paying industries where employers regularly use deskilled work practices which demote the importance of English language proficiency. The raw data presented within this study (see Table A1 in the Appendix) report a large concentration of A8 migrants within elementary occupations, and therefore these migrants will be more likely to operate in roles where employers have a preference for a ‘good work ethic’ over more recognisable qualifications or skills (Matthews and Ruhs, 2007). While managers may distinguish among workers on the basis of readily available information such as nationality, the assimilation of the migrant work ethic, however, will lead employers to switch away from more established migrants towards newer groups. Indeed, findings from qualitative investigations of A8 migrant workers in the UK report managers stating that “We are looking forward to the next round of accession states” and “We’ll be picking up new nationalities” (MacKenzie and Forde, 2009: 149), showing that this perception of work ethic among different nationalities affects organisations’ recruitment behaviours (MacKenzie and Forde, 2009; Tannock, 2013). These findings imply that this form of ‘statistical discrimination’ may have adverse effects for native workers in the short run, but, importantly, this may only be a short run effect.</w:t>
      </w:r>
    </w:p>
    <w:p w14:paraId="3FF7D2B6" w14:textId="77777777" w:rsidR="0079006D" w:rsidRPr="00182D67" w:rsidRDefault="0079006D" w:rsidP="00251B63">
      <w:pPr>
        <w:spacing w:after="0" w:line="480" w:lineRule="auto"/>
        <w:jc w:val="both"/>
        <w:rPr>
          <w:sz w:val="24"/>
          <w:szCs w:val="24"/>
        </w:rPr>
      </w:pPr>
    </w:p>
    <w:p w14:paraId="224A7CA8" w14:textId="77777777" w:rsidR="00415945" w:rsidRDefault="00415945" w:rsidP="00DA578F">
      <w:pPr>
        <w:spacing w:after="0" w:line="480" w:lineRule="auto"/>
        <w:jc w:val="both"/>
        <w:rPr>
          <w:rFonts w:ascii="Times New Roman" w:eastAsia="Times New Roman" w:hAnsi="Times New Roman" w:cs="Times New Roman"/>
          <w:sz w:val="24"/>
          <w:szCs w:val="24"/>
        </w:rPr>
      </w:pPr>
    </w:p>
    <w:p w14:paraId="722221E3" w14:textId="77777777" w:rsidR="00567ED1" w:rsidRDefault="00567ED1" w:rsidP="00DA578F">
      <w:pPr>
        <w:spacing w:after="0" w:line="480" w:lineRule="auto"/>
        <w:jc w:val="both"/>
        <w:rPr>
          <w:rFonts w:ascii="Times New Roman" w:eastAsia="Times New Roman" w:hAnsi="Times New Roman" w:cs="Times New Roman"/>
          <w:sz w:val="24"/>
          <w:szCs w:val="24"/>
        </w:rPr>
      </w:pPr>
    </w:p>
    <w:p w14:paraId="3294F249" w14:textId="77777777" w:rsidR="00B35B81" w:rsidRDefault="00B35B81" w:rsidP="00DA578F">
      <w:pPr>
        <w:spacing w:after="0" w:line="480" w:lineRule="auto"/>
        <w:jc w:val="both"/>
        <w:rPr>
          <w:rFonts w:ascii="Times New Roman" w:eastAsia="Times New Roman" w:hAnsi="Times New Roman" w:cs="Times New Roman"/>
          <w:sz w:val="24"/>
          <w:szCs w:val="24"/>
        </w:rPr>
      </w:pPr>
    </w:p>
    <w:p w14:paraId="55ADEBC3" w14:textId="77777777" w:rsidR="005E4F84" w:rsidRDefault="005E4F84" w:rsidP="00DA578F">
      <w:pPr>
        <w:spacing w:after="0" w:line="480" w:lineRule="auto"/>
        <w:jc w:val="both"/>
        <w:rPr>
          <w:rFonts w:ascii="Times New Roman" w:eastAsia="Times New Roman" w:hAnsi="Times New Roman" w:cs="Times New Roman"/>
          <w:sz w:val="24"/>
          <w:szCs w:val="24"/>
        </w:rPr>
      </w:pPr>
    </w:p>
    <w:p w14:paraId="0C3A6971" w14:textId="77777777" w:rsidR="005E4F84" w:rsidRDefault="005E4F84" w:rsidP="00DA578F">
      <w:pPr>
        <w:spacing w:after="0" w:line="480" w:lineRule="auto"/>
        <w:jc w:val="both"/>
        <w:rPr>
          <w:rFonts w:ascii="Times New Roman" w:eastAsia="Times New Roman" w:hAnsi="Times New Roman" w:cs="Times New Roman"/>
          <w:sz w:val="24"/>
          <w:szCs w:val="24"/>
        </w:rPr>
      </w:pPr>
    </w:p>
    <w:p w14:paraId="58182ADE"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32315E8A"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2B04B072"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6DF1D6DC"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71CCA0C4"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5240804E"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0F8708FB"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4A703417"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3A0B3E3D" w14:textId="77777777" w:rsidR="0003705C" w:rsidRDefault="0003705C" w:rsidP="00DA578F">
      <w:pPr>
        <w:spacing w:after="0" w:line="480" w:lineRule="auto"/>
        <w:jc w:val="both"/>
        <w:rPr>
          <w:rFonts w:ascii="Times New Roman" w:eastAsia="Times New Roman" w:hAnsi="Times New Roman" w:cs="Times New Roman"/>
          <w:b/>
          <w:bCs/>
          <w:sz w:val="24"/>
          <w:szCs w:val="24"/>
        </w:rPr>
      </w:pPr>
    </w:p>
    <w:p w14:paraId="45043F0E" w14:textId="77777777" w:rsidR="002B27E6" w:rsidRDefault="002B27E6" w:rsidP="00DA578F">
      <w:pPr>
        <w:spacing w:after="0" w:line="480" w:lineRule="auto"/>
        <w:jc w:val="both"/>
        <w:rPr>
          <w:rFonts w:ascii="Times New Roman" w:eastAsia="Times New Roman" w:hAnsi="Times New Roman" w:cs="Times New Roman"/>
          <w:b/>
          <w:bCs/>
          <w:sz w:val="24"/>
          <w:szCs w:val="24"/>
        </w:rPr>
      </w:pPr>
    </w:p>
    <w:p w14:paraId="7A71BCC3" w14:textId="77777777" w:rsidR="00F93371" w:rsidRDefault="00F93371" w:rsidP="00DA578F">
      <w:pPr>
        <w:spacing w:after="0" w:line="480" w:lineRule="auto"/>
        <w:jc w:val="both"/>
        <w:rPr>
          <w:rFonts w:ascii="Times New Roman" w:eastAsia="Times New Roman" w:hAnsi="Times New Roman" w:cs="Times New Roman"/>
          <w:b/>
          <w:bCs/>
          <w:sz w:val="24"/>
          <w:szCs w:val="24"/>
        </w:rPr>
      </w:pPr>
    </w:p>
    <w:p w14:paraId="78636C9D" w14:textId="77777777" w:rsidR="00F93371" w:rsidRDefault="00F93371" w:rsidP="00DA578F">
      <w:pPr>
        <w:spacing w:after="0" w:line="480" w:lineRule="auto"/>
        <w:jc w:val="both"/>
        <w:rPr>
          <w:rFonts w:ascii="Times New Roman" w:eastAsia="Times New Roman" w:hAnsi="Times New Roman" w:cs="Times New Roman"/>
          <w:b/>
          <w:bCs/>
          <w:sz w:val="24"/>
          <w:szCs w:val="24"/>
        </w:rPr>
      </w:pPr>
    </w:p>
    <w:p w14:paraId="1229F686" w14:textId="77777777" w:rsidR="00666C9A" w:rsidRDefault="00666C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1082042" w14:textId="246D5A32" w:rsidR="009851AF" w:rsidRPr="003D6988" w:rsidRDefault="598A40B1" w:rsidP="00F93371">
      <w:pPr>
        <w:spacing w:after="0" w:line="480" w:lineRule="auto"/>
        <w:jc w:val="both"/>
        <w:rPr>
          <w:rFonts w:ascii="Times New Roman" w:eastAsia="Times New Roman" w:hAnsi="Times New Roman" w:cs="Times New Roman"/>
          <w:b/>
          <w:bCs/>
          <w:sz w:val="24"/>
          <w:szCs w:val="24"/>
        </w:rPr>
        <w:sectPr w:rsidR="009851AF" w:rsidRPr="003D6988" w:rsidSect="00CB2B19">
          <w:headerReference w:type="default" r:id="rId9"/>
          <w:footerReference w:type="default" r:id="rId10"/>
          <w:endnotePr>
            <w:numFmt w:val="decimal"/>
          </w:endnotePr>
          <w:pgSz w:w="11906" w:h="16838"/>
          <w:pgMar w:top="1440" w:right="1276" w:bottom="1440" w:left="1800" w:header="709" w:footer="709" w:gutter="0"/>
          <w:cols w:space="708"/>
          <w:docGrid w:linePitch="360"/>
        </w:sectPr>
      </w:pPr>
      <w:r w:rsidRPr="598A40B1">
        <w:rPr>
          <w:rFonts w:ascii="Times New Roman" w:eastAsia="Times New Roman" w:hAnsi="Times New Roman" w:cs="Times New Roman"/>
          <w:b/>
          <w:bCs/>
          <w:sz w:val="24"/>
          <w:szCs w:val="24"/>
        </w:rPr>
        <w:t>Endnotes</w:t>
      </w:r>
    </w:p>
    <w:p w14:paraId="3BECC047" w14:textId="35A869D3" w:rsidR="0057608D" w:rsidRPr="00F93371" w:rsidRDefault="598A40B1" w:rsidP="00F93371">
      <w:pPr>
        <w:spacing w:after="0" w:line="48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b/>
          <w:bCs/>
          <w:sz w:val="24"/>
          <w:szCs w:val="24"/>
        </w:rPr>
        <w:t>REFERENCES</w:t>
      </w:r>
    </w:p>
    <w:p w14:paraId="5B95FDA4" w14:textId="0B28A0F1" w:rsidR="00910377" w:rsidRPr="00F93371" w:rsidRDefault="004212D8" w:rsidP="00F93371">
      <w:pPr>
        <w:spacing w:after="0" w:line="24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Akerlof</w:t>
      </w:r>
      <w:r w:rsidR="004D40AB" w:rsidRPr="338B1626">
        <w:rPr>
          <w:rFonts w:ascii="Times New Roman" w:eastAsia="Times New Roman" w:hAnsi="Times New Roman" w:cs="Times New Roman"/>
          <w:sz w:val="24"/>
          <w:szCs w:val="24"/>
        </w:rPr>
        <w:t xml:space="preserve"> </w:t>
      </w:r>
      <w:r w:rsidRPr="338B1626">
        <w:rPr>
          <w:rFonts w:ascii="Times New Roman" w:eastAsia="Times New Roman" w:hAnsi="Times New Roman" w:cs="Times New Roman"/>
          <w:sz w:val="24"/>
          <w:szCs w:val="24"/>
        </w:rPr>
        <w:t>GA</w:t>
      </w:r>
      <w:r w:rsidR="00567ED1">
        <w:rPr>
          <w:rFonts w:ascii="Times New Roman" w:eastAsia="Times New Roman" w:hAnsi="Times New Roman" w:cs="Times New Roman"/>
          <w:sz w:val="24"/>
          <w:szCs w:val="24"/>
        </w:rPr>
        <w:t xml:space="preserve">, </w:t>
      </w:r>
      <w:r w:rsidRPr="338B1626">
        <w:rPr>
          <w:rFonts w:ascii="Times New Roman" w:eastAsia="Times New Roman" w:hAnsi="Times New Roman" w:cs="Times New Roman"/>
          <w:sz w:val="24"/>
          <w:szCs w:val="24"/>
        </w:rPr>
        <w:t xml:space="preserve">Yellen JL (1990) </w:t>
      </w:r>
      <w:r w:rsidR="00910377" w:rsidRPr="338B1626">
        <w:rPr>
          <w:rFonts w:ascii="Times New Roman" w:eastAsia="Times New Roman" w:hAnsi="Times New Roman" w:cs="Times New Roman"/>
          <w:sz w:val="24"/>
          <w:szCs w:val="24"/>
        </w:rPr>
        <w:t>The fair wage-effo</w:t>
      </w:r>
      <w:r w:rsidR="004D40AB" w:rsidRPr="338B1626">
        <w:rPr>
          <w:rFonts w:ascii="Times New Roman" w:eastAsia="Times New Roman" w:hAnsi="Times New Roman" w:cs="Times New Roman"/>
          <w:sz w:val="24"/>
          <w:szCs w:val="24"/>
        </w:rPr>
        <w:t>rt hypothesis and unemployment.</w:t>
      </w:r>
      <w:r w:rsidR="00910377" w:rsidRPr="338B1626">
        <w:rPr>
          <w:rFonts w:ascii="Times New Roman" w:eastAsia="Times New Roman" w:hAnsi="Times New Roman" w:cs="Times New Roman"/>
          <w:sz w:val="24"/>
          <w:szCs w:val="24"/>
        </w:rPr>
        <w:t xml:space="preserve"> </w:t>
      </w:r>
      <w:r w:rsidR="00910377" w:rsidRPr="3B009953">
        <w:rPr>
          <w:rFonts w:ascii="Times New Roman" w:eastAsia="Times New Roman" w:hAnsi="Times New Roman" w:cs="Times New Roman"/>
          <w:i/>
          <w:iCs/>
          <w:sz w:val="24"/>
          <w:szCs w:val="24"/>
        </w:rPr>
        <w:t>The Quarterly Journal of Economics</w:t>
      </w:r>
      <w:r w:rsidRPr="338B1626">
        <w:rPr>
          <w:rFonts w:ascii="Times New Roman" w:eastAsia="Times New Roman" w:hAnsi="Times New Roman" w:cs="Times New Roman"/>
          <w:sz w:val="24"/>
          <w:szCs w:val="24"/>
        </w:rPr>
        <w:t xml:space="preserve"> </w:t>
      </w:r>
      <w:r w:rsidR="004D40AB" w:rsidRPr="338B1626">
        <w:rPr>
          <w:rFonts w:ascii="Times New Roman" w:eastAsia="Times New Roman" w:hAnsi="Times New Roman" w:cs="Times New Roman"/>
          <w:sz w:val="24"/>
          <w:szCs w:val="24"/>
          <w:shd w:val="clear" w:color="auto" w:fill="FFFFFF"/>
        </w:rPr>
        <w:t>105(2): 255-283</w:t>
      </w:r>
      <w:r w:rsidR="004D40AB" w:rsidRPr="338B1626">
        <w:rPr>
          <w:rFonts w:ascii="Times New Roman" w:eastAsia="Times New Roman" w:hAnsi="Times New Roman" w:cs="Times New Roman"/>
          <w:shd w:val="clear" w:color="auto" w:fill="FFFFFF"/>
        </w:rPr>
        <w:t>.</w:t>
      </w:r>
    </w:p>
    <w:p w14:paraId="05A29DA7" w14:textId="77777777" w:rsidR="00910377" w:rsidRPr="008F2942" w:rsidRDefault="00910377" w:rsidP="00BD73D3">
      <w:pPr>
        <w:spacing w:after="0" w:line="240" w:lineRule="auto"/>
        <w:jc w:val="both"/>
        <w:rPr>
          <w:rFonts w:ascii="Times New Roman" w:hAnsi="Times New Roman" w:cs="Times New Roman"/>
          <w:sz w:val="24"/>
          <w:szCs w:val="24"/>
        </w:rPr>
      </w:pPr>
    </w:p>
    <w:p w14:paraId="4A86CE62" w14:textId="048E5AA2" w:rsidR="00910377"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Allen SG (1984) Trade unions, absenteeism and exit-voice. </w:t>
      </w:r>
      <w:r w:rsidRPr="3B009953">
        <w:rPr>
          <w:rFonts w:ascii="Times New Roman" w:eastAsia="Times New Roman" w:hAnsi="Times New Roman" w:cs="Times New Roman"/>
          <w:i/>
          <w:iCs/>
          <w:sz w:val="24"/>
          <w:szCs w:val="24"/>
        </w:rPr>
        <w:t>Industrial and Labour Relations Review</w:t>
      </w:r>
      <w:r w:rsidRPr="598A40B1">
        <w:rPr>
          <w:rFonts w:ascii="Times New Roman" w:eastAsia="Times New Roman" w:hAnsi="Times New Roman" w:cs="Times New Roman"/>
          <w:sz w:val="24"/>
          <w:szCs w:val="24"/>
        </w:rPr>
        <w:t xml:space="preserve"> 37(3): 331-345.</w:t>
      </w:r>
    </w:p>
    <w:p w14:paraId="30A860B7" w14:textId="77777777" w:rsidR="00910377" w:rsidRPr="008F2942" w:rsidRDefault="00910377" w:rsidP="00BD73D3">
      <w:pPr>
        <w:spacing w:after="0" w:line="240" w:lineRule="auto"/>
        <w:jc w:val="both"/>
        <w:rPr>
          <w:rFonts w:ascii="Times New Roman" w:hAnsi="Times New Roman" w:cs="Times New Roman"/>
          <w:sz w:val="24"/>
          <w:szCs w:val="24"/>
        </w:rPr>
      </w:pPr>
    </w:p>
    <w:p w14:paraId="0B7BEDE0" w14:textId="495C8E37" w:rsidR="00567ED1" w:rsidRDefault="598A40B1" w:rsidP="00BD73D3">
      <w:pPr>
        <w:spacing w:after="0" w:line="240" w:lineRule="auto"/>
        <w:jc w:val="both"/>
      </w:pPr>
      <w:r w:rsidRPr="598A40B1">
        <w:rPr>
          <w:rFonts w:ascii="Times New Roman" w:eastAsia="Times New Roman" w:hAnsi="Times New Roman" w:cs="Times New Roman"/>
          <w:sz w:val="24"/>
          <w:szCs w:val="24"/>
        </w:rPr>
        <w:t>Alberti G (2014) Mobility strategies, ‘mobility differentials’ and ‘transnational exit’: the experiences of precarious migrant</w:t>
      </w:r>
      <w:r w:rsidR="00006232">
        <w:rPr>
          <w:rFonts w:ascii="Times New Roman" w:eastAsia="Times New Roman" w:hAnsi="Times New Roman" w:cs="Times New Roman"/>
          <w:sz w:val="24"/>
          <w:szCs w:val="24"/>
        </w:rPr>
        <w:t xml:space="preserve">s in London’s hospitality jobs. </w:t>
      </w:r>
      <w:r w:rsidRPr="3B009953">
        <w:rPr>
          <w:rFonts w:ascii="Times New Roman" w:eastAsia="Times New Roman" w:hAnsi="Times New Roman" w:cs="Times New Roman"/>
          <w:i/>
          <w:iCs/>
          <w:sz w:val="24"/>
          <w:szCs w:val="24"/>
        </w:rPr>
        <w:t>Work, Employment and Society</w:t>
      </w:r>
      <w:r w:rsidRPr="598A40B1">
        <w:rPr>
          <w:rFonts w:ascii="Times New Roman" w:eastAsia="Times New Roman" w:hAnsi="Times New Roman" w:cs="Times New Roman"/>
          <w:sz w:val="24"/>
          <w:szCs w:val="24"/>
        </w:rPr>
        <w:t xml:space="preserve"> 28(6): 865-881. </w:t>
      </w:r>
    </w:p>
    <w:p w14:paraId="3100A759" w14:textId="77777777" w:rsidR="00567ED1" w:rsidRDefault="00567ED1" w:rsidP="00BD73D3">
      <w:pPr>
        <w:spacing w:after="0" w:line="240" w:lineRule="auto"/>
        <w:jc w:val="both"/>
      </w:pPr>
    </w:p>
    <w:p w14:paraId="626E50B6" w14:textId="59E70175" w:rsidR="00567ED1" w:rsidRDefault="598A40B1" w:rsidP="00BD73D3">
      <w:pPr>
        <w:spacing w:after="0" w:line="240" w:lineRule="auto"/>
        <w:jc w:val="both"/>
      </w:pPr>
      <w:r w:rsidRPr="598A40B1">
        <w:rPr>
          <w:rFonts w:ascii="Times New Roman" w:eastAsia="Times New Roman" w:hAnsi="Times New Roman" w:cs="Times New Roman"/>
          <w:sz w:val="24"/>
          <w:szCs w:val="24"/>
          <w:lang w:val="en-US"/>
        </w:rPr>
        <w:t xml:space="preserve">Anderson B (2010) Migration, immigration controls and the fashioning of precarious workers. </w:t>
      </w:r>
      <w:r w:rsidRPr="3B009953">
        <w:rPr>
          <w:rFonts w:ascii="Times New Roman" w:eastAsia="Times New Roman" w:hAnsi="Times New Roman" w:cs="Times New Roman"/>
          <w:i/>
          <w:iCs/>
          <w:sz w:val="24"/>
          <w:szCs w:val="24"/>
          <w:lang w:val="en-US"/>
        </w:rPr>
        <w:t>Work, Employment and Society</w:t>
      </w:r>
      <w:r w:rsidRPr="598A40B1">
        <w:rPr>
          <w:rFonts w:ascii="Times New Roman" w:eastAsia="Times New Roman" w:hAnsi="Times New Roman" w:cs="Times New Roman"/>
          <w:sz w:val="24"/>
          <w:szCs w:val="24"/>
          <w:lang w:val="en-US"/>
        </w:rPr>
        <w:t xml:space="preserve"> 24(2): 300-317.</w:t>
      </w:r>
    </w:p>
    <w:p w14:paraId="56DDA935" w14:textId="77777777" w:rsidR="00567ED1" w:rsidRDefault="00567ED1" w:rsidP="00BD73D3">
      <w:pPr>
        <w:spacing w:after="0" w:line="240" w:lineRule="auto"/>
        <w:jc w:val="both"/>
      </w:pPr>
    </w:p>
    <w:p w14:paraId="27EFC855" w14:textId="741FFEB1" w:rsidR="004212D8" w:rsidRPr="00567ED1" w:rsidRDefault="598A40B1" w:rsidP="00BD73D3">
      <w:pPr>
        <w:spacing w:after="0" w:line="240" w:lineRule="auto"/>
        <w:jc w:val="both"/>
      </w:pPr>
      <w:r w:rsidRPr="598A40B1">
        <w:rPr>
          <w:rFonts w:ascii="Times New Roman" w:eastAsia="Times New Roman" w:hAnsi="Times New Roman" w:cs="Times New Roman"/>
          <w:sz w:val="24"/>
          <w:szCs w:val="24"/>
          <w:lang w:val="en-US"/>
        </w:rPr>
        <w:t>Barmby T, Stephan G (2000) Worker absente</w:t>
      </w:r>
      <w:r w:rsidR="00006232">
        <w:rPr>
          <w:rFonts w:ascii="Times New Roman" w:eastAsia="Times New Roman" w:hAnsi="Times New Roman" w:cs="Times New Roman"/>
          <w:sz w:val="24"/>
          <w:szCs w:val="24"/>
          <w:lang w:val="en-US"/>
        </w:rPr>
        <w:t xml:space="preserve">eism: why firm size may matter. </w:t>
      </w:r>
      <w:r w:rsidRPr="3B009953">
        <w:rPr>
          <w:rFonts w:ascii="Times New Roman" w:eastAsia="Times New Roman" w:hAnsi="Times New Roman" w:cs="Times New Roman"/>
          <w:i/>
          <w:iCs/>
          <w:sz w:val="24"/>
          <w:szCs w:val="24"/>
          <w:lang w:val="en-US"/>
        </w:rPr>
        <w:t>The Manchester School</w:t>
      </w:r>
      <w:r w:rsidRPr="598A40B1">
        <w:rPr>
          <w:rFonts w:ascii="Times New Roman" w:eastAsia="Times New Roman" w:hAnsi="Times New Roman" w:cs="Times New Roman"/>
          <w:sz w:val="24"/>
          <w:szCs w:val="24"/>
          <w:lang w:val="en-US"/>
        </w:rPr>
        <w:t xml:space="preserve"> 68(5): 568-577.</w:t>
      </w:r>
    </w:p>
    <w:p w14:paraId="34E532E1" w14:textId="77777777" w:rsidR="004212D8" w:rsidRPr="008F2942" w:rsidRDefault="004212D8" w:rsidP="00BD73D3">
      <w:pPr>
        <w:spacing w:after="0" w:line="240" w:lineRule="auto"/>
        <w:jc w:val="both"/>
        <w:rPr>
          <w:rFonts w:ascii="Times New Roman" w:hAnsi="Times New Roman" w:cs="Times New Roman"/>
          <w:sz w:val="24"/>
          <w:szCs w:val="24"/>
        </w:rPr>
      </w:pPr>
    </w:p>
    <w:p w14:paraId="57DDBEF3" w14:textId="10B14334" w:rsidR="004212D8" w:rsidRPr="00F93371" w:rsidRDefault="598A40B1" w:rsidP="00F93371">
      <w:pPr>
        <w:spacing w:after="0" w:line="240" w:lineRule="auto"/>
        <w:jc w:val="both"/>
        <w:rPr>
          <w:rFonts w:ascii="Times New Roman" w:eastAsia="Times New Roman" w:hAnsi="Times New Roman" w:cs="Times New Roman"/>
          <w:sz w:val="24"/>
          <w:szCs w:val="24"/>
          <w:lang w:val="en-US"/>
        </w:rPr>
      </w:pPr>
      <w:r w:rsidRPr="598A40B1">
        <w:rPr>
          <w:rFonts w:ascii="Times New Roman" w:eastAsia="Times New Roman" w:hAnsi="Times New Roman" w:cs="Times New Roman"/>
          <w:sz w:val="24"/>
          <w:szCs w:val="24"/>
          <w:lang w:val="en-US"/>
        </w:rPr>
        <w:t xml:space="preserve">Barmby T, Ercolani M, and Treble J (2004) Sickness absence in the UK 1984-2002. </w:t>
      </w:r>
      <w:r w:rsidRPr="3B009953">
        <w:rPr>
          <w:rFonts w:ascii="Times New Roman" w:eastAsia="Times New Roman" w:hAnsi="Times New Roman" w:cs="Times New Roman"/>
          <w:i/>
          <w:iCs/>
          <w:sz w:val="24"/>
          <w:szCs w:val="24"/>
          <w:lang w:val="en-US"/>
        </w:rPr>
        <w:t>Swedish Economic Policy Review</w:t>
      </w:r>
      <w:r w:rsidRPr="598A40B1">
        <w:rPr>
          <w:rFonts w:ascii="Times New Roman" w:eastAsia="Times New Roman" w:hAnsi="Times New Roman" w:cs="Times New Roman"/>
          <w:sz w:val="24"/>
          <w:szCs w:val="24"/>
          <w:lang w:val="en-US"/>
        </w:rPr>
        <w:t xml:space="preserve"> 11: 65-88.</w:t>
      </w:r>
    </w:p>
    <w:p w14:paraId="70F3489D" w14:textId="77777777" w:rsidR="004212D8" w:rsidRPr="008F2942" w:rsidRDefault="004212D8" w:rsidP="00BD73D3">
      <w:pPr>
        <w:spacing w:after="0" w:line="240" w:lineRule="auto"/>
        <w:jc w:val="both"/>
        <w:rPr>
          <w:rFonts w:ascii="Times New Roman" w:hAnsi="Times New Roman" w:cs="Times New Roman"/>
          <w:sz w:val="24"/>
          <w:szCs w:val="24"/>
          <w:lang w:val="en-US"/>
        </w:rPr>
      </w:pPr>
    </w:p>
    <w:p w14:paraId="47F62FEA" w14:textId="7991F0CC"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Borjas GJ (1985) Assimilation, changes in cohort quality, and the earnings of immigrants. </w:t>
      </w:r>
      <w:r w:rsidRPr="3B009953">
        <w:rPr>
          <w:rFonts w:ascii="Times New Roman" w:eastAsia="Times New Roman" w:hAnsi="Times New Roman" w:cs="Times New Roman"/>
          <w:i/>
          <w:iCs/>
          <w:sz w:val="24"/>
          <w:szCs w:val="24"/>
        </w:rPr>
        <w:t>Journal of Labor Economics</w:t>
      </w:r>
      <w:r w:rsidRPr="598A40B1">
        <w:rPr>
          <w:rFonts w:ascii="Times New Roman" w:eastAsia="Times New Roman" w:hAnsi="Times New Roman" w:cs="Times New Roman"/>
          <w:sz w:val="24"/>
          <w:szCs w:val="24"/>
        </w:rPr>
        <w:t xml:space="preserve"> 3(4): 463-489.</w:t>
      </w:r>
    </w:p>
    <w:p w14:paraId="4A98F408" w14:textId="77777777" w:rsidR="004C6B04" w:rsidRPr="003A2C66" w:rsidRDefault="004C6B04" w:rsidP="00BD73D3">
      <w:pPr>
        <w:spacing w:after="0" w:line="240" w:lineRule="auto"/>
        <w:jc w:val="both"/>
        <w:rPr>
          <w:rFonts w:ascii="Times New Roman" w:hAnsi="Times New Roman" w:cs="Times New Roman"/>
          <w:sz w:val="24"/>
          <w:szCs w:val="24"/>
        </w:rPr>
      </w:pPr>
    </w:p>
    <w:p w14:paraId="68D6B072" w14:textId="51134894"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Bradley S, Green C, and Leeves G (2014) Employment protection, threat and incentive effects on worker absence. </w:t>
      </w:r>
      <w:r w:rsidRPr="3B009953">
        <w:rPr>
          <w:rFonts w:ascii="Times New Roman" w:eastAsia="Times New Roman" w:hAnsi="Times New Roman" w:cs="Times New Roman"/>
          <w:i/>
          <w:iCs/>
          <w:sz w:val="24"/>
          <w:szCs w:val="24"/>
        </w:rPr>
        <w:t>British Journal of Industrial Relations</w:t>
      </w:r>
      <w:r w:rsidRPr="598A40B1">
        <w:rPr>
          <w:rFonts w:ascii="Times New Roman" w:eastAsia="Times New Roman" w:hAnsi="Times New Roman" w:cs="Times New Roman"/>
          <w:sz w:val="24"/>
          <w:szCs w:val="24"/>
        </w:rPr>
        <w:t xml:space="preserve"> 52(2): 333-358. </w:t>
      </w:r>
    </w:p>
    <w:p w14:paraId="0F3BE194" w14:textId="77777777" w:rsidR="004C6B04" w:rsidRPr="003A2C66" w:rsidRDefault="004C6B04" w:rsidP="00BD73D3">
      <w:pPr>
        <w:spacing w:after="0" w:line="240" w:lineRule="auto"/>
        <w:jc w:val="both"/>
        <w:rPr>
          <w:rFonts w:ascii="Times New Roman" w:hAnsi="Times New Roman" w:cs="Times New Roman"/>
          <w:sz w:val="24"/>
          <w:szCs w:val="24"/>
        </w:rPr>
      </w:pPr>
    </w:p>
    <w:p w14:paraId="0749AE48" w14:textId="56E6A03C"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Chiswick BR (1978) The effect of Americanization on the earnings of foreign-born men. </w:t>
      </w:r>
      <w:r w:rsidRPr="3B009953">
        <w:rPr>
          <w:rFonts w:ascii="Times New Roman" w:eastAsia="Times New Roman" w:hAnsi="Times New Roman" w:cs="Times New Roman"/>
          <w:i/>
          <w:iCs/>
          <w:sz w:val="24"/>
          <w:szCs w:val="24"/>
        </w:rPr>
        <w:t>Journal of Political Economy</w:t>
      </w:r>
      <w:r w:rsidRPr="598A40B1">
        <w:rPr>
          <w:rFonts w:ascii="Times New Roman" w:eastAsia="Times New Roman" w:hAnsi="Times New Roman" w:cs="Times New Roman"/>
          <w:sz w:val="24"/>
          <w:szCs w:val="24"/>
        </w:rPr>
        <w:t xml:space="preserve"> 86: 897-921.</w:t>
      </w:r>
    </w:p>
    <w:p w14:paraId="30AFA685" w14:textId="77777777" w:rsidR="004C6B04" w:rsidRPr="003A2C66" w:rsidRDefault="004C6B04" w:rsidP="00BD73D3">
      <w:pPr>
        <w:spacing w:after="0" w:line="240" w:lineRule="auto"/>
        <w:jc w:val="both"/>
        <w:rPr>
          <w:rFonts w:ascii="Times New Roman" w:hAnsi="Times New Roman" w:cs="Times New Roman"/>
          <w:sz w:val="24"/>
          <w:szCs w:val="24"/>
        </w:rPr>
      </w:pPr>
    </w:p>
    <w:p w14:paraId="5D941627" w14:textId="689E0C04"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Chiswick B, Cohen Y, and Zach T (1997) The labor market status of immigrants: Effects of the unemployment rate at arrival and duration of residence. </w:t>
      </w:r>
      <w:r w:rsidRPr="3B009953">
        <w:rPr>
          <w:rFonts w:ascii="Times New Roman" w:eastAsia="Times New Roman" w:hAnsi="Times New Roman" w:cs="Times New Roman"/>
          <w:i/>
          <w:iCs/>
          <w:sz w:val="24"/>
          <w:szCs w:val="24"/>
        </w:rPr>
        <w:t>Industrial and Labor Relations Review</w:t>
      </w:r>
      <w:r w:rsidRPr="598A40B1">
        <w:rPr>
          <w:rFonts w:ascii="Times New Roman" w:eastAsia="Times New Roman" w:hAnsi="Times New Roman" w:cs="Times New Roman"/>
          <w:sz w:val="24"/>
          <w:szCs w:val="24"/>
        </w:rPr>
        <w:t xml:space="preserve"> 50(2): 289-303.  </w:t>
      </w:r>
    </w:p>
    <w:p w14:paraId="7D36BF1D" w14:textId="77777777" w:rsidR="004C6B04" w:rsidRPr="003A2C66" w:rsidRDefault="004C6B04" w:rsidP="00BD73D3">
      <w:pPr>
        <w:spacing w:after="0" w:line="240" w:lineRule="auto"/>
        <w:jc w:val="both"/>
        <w:rPr>
          <w:rFonts w:ascii="Times New Roman" w:hAnsi="Times New Roman" w:cs="Times New Roman"/>
          <w:sz w:val="24"/>
          <w:szCs w:val="24"/>
        </w:rPr>
      </w:pPr>
    </w:p>
    <w:p w14:paraId="3120CF04" w14:textId="1E2B1BCB"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Clark K, Drinkwater S (2008) The labour-market performance of recent migrants. </w:t>
      </w:r>
      <w:r w:rsidRPr="3B009953">
        <w:rPr>
          <w:rFonts w:ascii="Times New Roman" w:eastAsia="Times New Roman" w:hAnsi="Times New Roman" w:cs="Times New Roman"/>
          <w:i/>
          <w:iCs/>
          <w:sz w:val="24"/>
          <w:szCs w:val="24"/>
        </w:rPr>
        <w:t>Oxford Review of Economic Policy</w:t>
      </w:r>
      <w:r w:rsidRPr="598A40B1">
        <w:rPr>
          <w:rFonts w:ascii="Times New Roman" w:eastAsia="Times New Roman" w:hAnsi="Times New Roman" w:cs="Times New Roman"/>
          <w:sz w:val="24"/>
          <w:szCs w:val="24"/>
        </w:rPr>
        <w:t xml:space="preserve"> 24(3): 495-516.</w:t>
      </w:r>
    </w:p>
    <w:p w14:paraId="52B294E8" w14:textId="77777777" w:rsidR="004C6B04" w:rsidRPr="008F2942" w:rsidRDefault="004C6B04" w:rsidP="00BD73D3">
      <w:pPr>
        <w:spacing w:after="0" w:line="240" w:lineRule="auto"/>
        <w:jc w:val="both"/>
        <w:rPr>
          <w:rFonts w:ascii="Times New Roman" w:hAnsi="Times New Roman" w:cs="Times New Roman"/>
          <w:sz w:val="24"/>
          <w:szCs w:val="24"/>
        </w:rPr>
      </w:pPr>
    </w:p>
    <w:p w14:paraId="28077AEC" w14:textId="209FBF4C" w:rsidR="004C6B04"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Clark K, Lindley JK (2009) Immigrant assimilation pre and post labour market entry: evidence from the UK Labour Force Survey. </w:t>
      </w:r>
      <w:r w:rsidRPr="3B009953">
        <w:rPr>
          <w:rFonts w:ascii="Times New Roman" w:eastAsia="Times New Roman" w:hAnsi="Times New Roman" w:cs="Times New Roman"/>
          <w:i/>
          <w:iCs/>
          <w:sz w:val="24"/>
          <w:szCs w:val="24"/>
        </w:rPr>
        <w:t xml:space="preserve">Journal of Population Economics </w:t>
      </w:r>
      <w:r w:rsidRPr="598A40B1">
        <w:rPr>
          <w:rFonts w:ascii="Times New Roman" w:eastAsia="Times New Roman" w:hAnsi="Times New Roman" w:cs="Times New Roman"/>
          <w:sz w:val="24"/>
          <w:szCs w:val="24"/>
        </w:rPr>
        <w:t>22(1): 175-198.</w:t>
      </w:r>
    </w:p>
    <w:p w14:paraId="048B11BD" w14:textId="77777777" w:rsidR="004C6B04" w:rsidRPr="008F2942" w:rsidRDefault="004C6B04" w:rsidP="00BD73D3">
      <w:pPr>
        <w:spacing w:after="0" w:line="240" w:lineRule="auto"/>
        <w:jc w:val="both"/>
        <w:rPr>
          <w:rFonts w:ascii="Times New Roman" w:hAnsi="Times New Roman" w:cs="Times New Roman"/>
          <w:sz w:val="24"/>
          <w:szCs w:val="24"/>
        </w:rPr>
      </w:pPr>
    </w:p>
    <w:p w14:paraId="0CDEB543" w14:textId="77777777" w:rsidR="00567ED1" w:rsidRDefault="598A40B1" w:rsidP="00BD73D3">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Ciupijus Z (2011) Mobile central eastern Europeans in Britain: successful European citizens and disadvantaged labour migrants? </w:t>
      </w:r>
      <w:r w:rsidRPr="3B009953">
        <w:rPr>
          <w:rFonts w:ascii="Times New Roman" w:eastAsia="Times New Roman" w:hAnsi="Times New Roman" w:cs="Times New Roman"/>
          <w:i/>
          <w:iCs/>
          <w:sz w:val="24"/>
          <w:szCs w:val="24"/>
        </w:rPr>
        <w:t xml:space="preserve">Work, Employment and Society </w:t>
      </w:r>
      <w:r w:rsidRPr="598A40B1">
        <w:rPr>
          <w:rFonts w:ascii="Times New Roman" w:eastAsia="Times New Roman" w:hAnsi="Times New Roman" w:cs="Times New Roman"/>
          <w:sz w:val="24"/>
          <w:szCs w:val="24"/>
        </w:rPr>
        <w:t>25(3): 540-550.</w:t>
      </w:r>
    </w:p>
    <w:p w14:paraId="65C5D4E7" w14:textId="77777777" w:rsidR="00567ED1" w:rsidRDefault="00567ED1" w:rsidP="00BD73D3">
      <w:pPr>
        <w:spacing w:after="0" w:line="240" w:lineRule="auto"/>
        <w:jc w:val="both"/>
        <w:rPr>
          <w:rFonts w:ascii="Times New Roman" w:eastAsia="Times New Roman" w:hAnsi="Times New Roman" w:cs="Times New Roman"/>
          <w:sz w:val="24"/>
          <w:szCs w:val="24"/>
        </w:rPr>
      </w:pPr>
    </w:p>
    <w:p w14:paraId="66344065" w14:textId="052F24CC" w:rsidR="004C6B04" w:rsidRPr="00567ED1" w:rsidRDefault="598A40B1" w:rsidP="00BD73D3">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Dickens R, McKnight A (2008) </w:t>
      </w:r>
      <w:r w:rsidRPr="3B009953">
        <w:rPr>
          <w:rFonts w:ascii="Times New Roman" w:eastAsia="Times New Roman" w:hAnsi="Times New Roman" w:cs="Times New Roman"/>
          <w:i/>
          <w:iCs/>
          <w:sz w:val="24"/>
          <w:szCs w:val="24"/>
        </w:rPr>
        <w:t>Assimilation of migrants into the British labour market</w:t>
      </w:r>
      <w:r w:rsidRPr="598A40B1">
        <w:rPr>
          <w:rFonts w:ascii="Times New Roman" w:eastAsia="Times New Roman" w:hAnsi="Times New Roman" w:cs="Times New Roman"/>
          <w:sz w:val="24"/>
          <w:szCs w:val="24"/>
        </w:rPr>
        <w:t>. LSE London: Centre for Economic Performance Working Paper.</w:t>
      </w:r>
    </w:p>
    <w:p w14:paraId="7D97607E" w14:textId="77777777" w:rsidR="004C6B04" w:rsidRPr="008F2942" w:rsidRDefault="004C6B04" w:rsidP="00BD73D3">
      <w:pPr>
        <w:spacing w:after="0" w:line="240" w:lineRule="auto"/>
        <w:jc w:val="both"/>
        <w:rPr>
          <w:rFonts w:ascii="Times New Roman" w:hAnsi="Times New Roman" w:cs="Times New Roman"/>
          <w:sz w:val="24"/>
          <w:szCs w:val="24"/>
          <w:lang w:val="en-US"/>
        </w:rPr>
      </w:pPr>
    </w:p>
    <w:p w14:paraId="57457C38" w14:textId="1DA4D453" w:rsidR="0057608D" w:rsidRPr="00F93371" w:rsidRDefault="00E33802" w:rsidP="00F93371">
      <w:pPr>
        <w:spacing w:after="0" w:line="240" w:lineRule="auto"/>
        <w:jc w:val="both"/>
        <w:rPr>
          <w:rFonts w:ascii="Times New Roman" w:eastAsia="Times New Roman" w:hAnsi="Times New Roman" w:cs="Times New Roman"/>
          <w:sz w:val="24"/>
          <w:szCs w:val="24"/>
          <w:shd w:val="clear" w:color="auto" w:fill="FFFFFF"/>
        </w:rPr>
      </w:pPr>
      <w:r w:rsidRPr="338B1626">
        <w:rPr>
          <w:rFonts w:ascii="Times New Roman" w:eastAsia="Times New Roman" w:hAnsi="Times New Roman" w:cs="Times New Roman"/>
          <w:sz w:val="24"/>
          <w:szCs w:val="24"/>
        </w:rPr>
        <w:t xml:space="preserve">Dustmann C, Casanove M, Fertig M, </w:t>
      </w:r>
      <w:r w:rsidR="000021AE">
        <w:rPr>
          <w:rFonts w:ascii="Times New Roman" w:eastAsia="Times New Roman" w:hAnsi="Times New Roman" w:cs="Times New Roman"/>
          <w:sz w:val="24"/>
          <w:szCs w:val="24"/>
        </w:rPr>
        <w:t xml:space="preserve">Preston I, and Schmidt C </w:t>
      </w:r>
      <w:r w:rsidRPr="338B1626">
        <w:rPr>
          <w:rFonts w:ascii="Times New Roman" w:eastAsia="Times New Roman" w:hAnsi="Times New Roman" w:cs="Times New Roman"/>
          <w:sz w:val="24"/>
          <w:szCs w:val="24"/>
        </w:rPr>
        <w:t>(2003)</w:t>
      </w:r>
      <w:r w:rsidR="00182D67" w:rsidRPr="338B1626">
        <w:rPr>
          <w:rFonts w:ascii="Times New Roman" w:eastAsia="Times New Roman" w:hAnsi="Times New Roman" w:cs="Times New Roman"/>
          <w:sz w:val="24"/>
          <w:szCs w:val="24"/>
        </w:rPr>
        <w:t xml:space="preserve"> </w:t>
      </w:r>
      <w:r w:rsidR="0057608D" w:rsidRPr="3B009953">
        <w:rPr>
          <w:rFonts w:ascii="Times New Roman" w:eastAsia="Times New Roman" w:hAnsi="Times New Roman" w:cs="Times New Roman"/>
          <w:i/>
          <w:iCs/>
          <w:sz w:val="24"/>
          <w:szCs w:val="24"/>
          <w:shd w:val="clear" w:color="auto" w:fill="FFFFFF"/>
        </w:rPr>
        <w:t xml:space="preserve">The </w:t>
      </w:r>
      <w:r w:rsidR="0013232F" w:rsidRPr="3B009953">
        <w:rPr>
          <w:rFonts w:ascii="Times New Roman" w:eastAsia="Times New Roman" w:hAnsi="Times New Roman" w:cs="Times New Roman"/>
          <w:i/>
          <w:iCs/>
          <w:sz w:val="24"/>
          <w:szCs w:val="24"/>
          <w:shd w:val="clear" w:color="auto" w:fill="FFFFFF"/>
        </w:rPr>
        <w:t>i</w:t>
      </w:r>
      <w:r w:rsidR="0057608D" w:rsidRPr="3B009953">
        <w:rPr>
          <w:rFonts w:ascii="Times New Roman" w:eastAsia="Times New Roman" w:hAnsi="Times New Roman" w:cs="Times New Roman"/>
          <w:i/>
          <w:iCs/>
          <w:sz w:val="24"/>
          <w:szCs w:val="24"/>
          <w:shd w:val="clear" w:color="auto" w:fill="FFFFFF"/>
        </w:rPr>
        <w:t xml:space="preserve">mpact of EU </w:t>
      </w:r>
      <w:r w:rsidR="0013232F" w:rsidRPr="3B009953">
        <w:rPr>
          <w:rFonts w:ascii="Times New Roman" w:eastAsia="Times New Roman" w:hAnsi="Times New Roman" w:cs="Times New Roman"/>
          <w:i/>
          <w:iCs/>
          <w:sz w:val="24"/>
          <w:szCs w:val="24"/>
          <w:shd w:val="clear" w:color="auto" w:fill="FFFFFF"/>
        </w:rPr>
        <w:t>e</w:t>
      </w:r>
      <w:r w:rsidR="0057608D" w:rsidRPr="3B009953">
        <w:rPr>
          <w:rFonts w:ascii="Times New Roman" w:eastAsia="Times New Roman" w:hAnsi="Times New Roman" w:cs="Times New Roman"/>
          <w:i/>
          <w:iCs/>
          <w:sz w:val="24"/>
          <w:szCs w:val="24"/>
          <w:shd w:val="clear" w:color="auto" w:fill="FFFFFF"/>
        </w:rPr>
        <w:t xml:space="preserve">nlargement on </w:t>
      </w:r>
      <w:r w:rsidR="0013232F" w:rsidRPr="3B009953">
        <w:rPr>
          <w:rFonts w:ascii="Times New Roman" w:eastAsia="Times New Roman" w:hAnsi="Times New Roman" w:cs="Times New Roman"/>
          <w:i/>
          <w:iCs/>
          <w:sz w:val="24"/>
          <w:szCs w:val="24"/>
          <w:shd w:val="clear" w:color="auto" w:fill="FFFFFF"/>
        </w:rPr>
        <w:t>m</w:t>
      </w:r>
      <w:r w:rsidR="0057608D" w:rsidRPr="3B009953">
        <w:rPr>
          <w:rFonts w:ascii="Times New Roman" w:eastAsia="Times New Roman" w:hAnsi="Times New Roman" w:cs="Times New Roman"/>
          <w:i/>
          <w:iCs/>
          <w:sz w:val="24"/>
          <w:szCs w:val="24"/>
          <w:shd w:val="clear" w:color="auto" w:fill="FFFFFF"/>
        </w:rPr>
        <w:t xml:space="preserve">igration </w:t>
      </w:r>
      <w:r w:rsidR="0013232F" w:rsidRPr="3B009953">
        <w:rPr>
          <w:rFonts w:ascii="Times New Roman" w:eastAsia="Times New Roman" w:hAnsi="Times New Roman" w:cs="Times New Roman"/>
          <w:i/>
          <w:iCs/>
          <w:sz w:val="24"/>
          <w:szCs w:val="24"/>
          <w:shd w:val="clear" w:color="auto" w:fill="FFFFFF"/>
        </w:rPr>
        <w:t>f</w:t>
      </w:r>
      <w:r w:rsidR="0057608D" w:rsidRPr="3B009953">
        <w:rPr>
          <w:rFonts w:ascii="Times New Roman" w:eastAsia="Times New Roman" w:hAnsi="Times New Roman" w:cs="Times New Roman"/>
          <w:i/>
          <w:iCs/>
          <w:sz w:val="24"/>
          <w:szCs w:val="24"/>
          <w:shd w:val="clear" w:color="auto" w:fill="FFFFFF"/>
        </w:rPr>
        <w:t>lows</w:t>
      </w:r>
      <w:r w:rsidR="00567ED1">
        <w:rPr>
          <w:rFonts w:ascii="Times New Roman" w:eastAsia="Times New Roman" w:hAnsi="Times New Roman" w:cs="Times New Roman"/>
          <w:sz w:val="24"/>
          <w:szCs w:val="24"/>
          <w:shd w:val="clear" w:color="auto" w:fill="FFFFFF"/>
        </w:rPr>
        <w:t xml:space="preserve">. No. 25/03, </w:t>
      </w:r>
      <w:r w:rsidR="0057608D" w:rsidRPr="338B1626">
        <w:rPr>
          <w:rFonts w:ascii="Times New Roman" w:eastAsia="Times New Roman" w:hAnsi="Times New Roman" w:cs="Times New Roman"/>
          <w:sz w:val="24"/>
          <w:szCs w:val="24"/>
          <w:shd w:val="clear" w:color="auto" w:fill="FFFFFF"/>
        </w:rPr>
        <w:t>Research Development and Statistics Directorate, Home Office.</w:t>
      </w:r>
    </w:p>
    <w:p w14:paraId="1FBB4F48" w14:textId="77777777" w:rsidR="0057608D" w:rsidRPr="008F2942" w:rsidRDefault="0057608D" w:rsidP="00BD73D3">
      <w:pPr>
        <w:spacing w:after="0" w:line="240" w:lineRule="auto"/>
        <w:jc w:val="both"/>
        <w:rPr>
          <w:rFonts w:ascii="Times New Roman" w:hAnsi="Times New Roman" w:cs="Times New Roman"/>
          <w:sz w:val="24"/>
          <w:szCs w:val="24"/>
        </w:rPr>
      </w:pPr>
    </w:p>
    <w:p w14:paraId="005E5099" w14:textId="396CB779" w:rsidR="00E33802" w:rsidRPr="00F93371" w:rsidRDefault="00567ED1" w:rsidP="00F93371">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Dustmann C, </w:t>
      </w:r>
      <w:r w:rsidR="00E33802" w:rsidRPr="4B9E7786">
        <w:rPr>
          <w:rFonts w:ascii="Times New Roman" w:eastAsia="Times New Roman" w:hAnsi="Times New Roman" w:cs="Times New Roman"/>
          <w:sz w:val="24"/>
          <w:szCs w:val="24"/>
          <w:shd w:val="clear" w:color="auto" w:fill="FFFFFF"/>
        </w:rPr>
        <w:t xml:space="preserve">Faber F (2005) Immigrants in the British </w:t>
      </w:r>
      <w:r w:rsidR="0013232F" w:rsidRPr="4B9E7786">
        <w:rPr>
          <w:rFonts w:ascii="Times New Roman" w:eastAsia="Times New Roman" w:hAnsi="Times New Roman" w:cs="Times New Roman"/>
          <w:sz w:val="24"/>
          <w:szCs w:val="24"/>
          <w:shd w:val="clear" w:color="auto" w:fill="FFFFFF"/>
        </w:rPr>
        <w:t>l</w:t>
      </w:r>
      <w:r w:rsidR="00E33802" w:rsidRPr="4B9E7786">
        <w:rPr>
          <w:rFonts w:ascii="Times New Roman" w:eastAsia="Times New Roman" w:hAnsi="Times New Roman" w:cs="Times New Roman"/>
          <w:sz w:val="24"/>
          <w:szCs w:val="24"/>
          <w:shd w:val="clear" w:color="auto" w:fill="FFFFFF"/>
        </w:rPr>
        <w:t xml:space="preserve">abour </w:t>
      </w:r>
      <w:r w:rsidR="0013232F" w:rsidRPr="4B9E7786">
        <w:rPr>
          <w:rFonts w:ascii="Times New Roman" w:eastAsia="Times New Roman" w:hAnsi="Times New Roman" w:cs="Times New Roman"/>
          <w:sz w:val="24"/>
          <w:szCs w:val="24"/>
          <w:shd w:val="clear" w:color="auto" w:fill="FFFFFF"/>
        </w:rPr>
        <w:t>m</w:t>
      </w:r>
      <w:r w:rsidR="00E33802" w:rsidRPr="4B9E7786">
        <w:rPr>
          <w:rFonts w:ascii="Times New Roman" w:eastAsia="Times New Roman" w:hAnsi="Times New Roman" w:cs="Times New Roman"/>
          <w:sz w:val="24"/>
          <w:szCs w:val="24"/>
          <w:shd w:val="clear" w:color="auto" w:fill="FFFFFF"/>
        </w:rPr>
        <w:t>arket</w:t>
      </w:r>
      <w:r w:rsidR="0013232F" w:rsidRPr="4B9E7786">
        <w:rPr>
          <w:rFonts w:ascii="Times New Roman" w:eastAsia="Times New Roman" w:hAnsi="Times New Roman" w:cs="Times New Roman"/>
          <w:sz w:val="24"/>
          <w:szCs w:val="24"/>
          <w:shd w:val="clear" w:color="auto" w:fill="FFFFFF"/>
        </w:rPr>
        <w:t>.</w:t>
      </w:r>
      <w:r w:rsidR="00E33802" w:rsidRPr="4B9E7786">
        <w:rPr>
          <w:rFonts w:ascii="Times New Roman" w:eastAsia="Times New Roman" w:hAnsi="Times New Roman" w:cs="Times New Roman"/>
          <w:sz w:val="24"/>
          <w:szCs w:val="24"/>
          <w:shd w:val="clear" w:color="auto" w:fill="FFFFFF"/>
        </w:rPr>
        <w:t xml:space="preserve"> </w:t>
      </w:r>
      <w:r w:rsidR="00E33802" w:rsidRPr="3B009953">
        <w:rPr>
          <w:rFonts w:ascii="Times New Roman" w:eastAsia="Times New Roman" w:hAnsi="Times New Roman" w:cs="Times New Roman"/>
          <w:i/>
          <w:iCs/>
          <w:sz w:val="24"/>
          <w:szCs w:val="24"/>
          <w:shd w:val="clear" w:color="auto" w:fill="FFFFFF"/>
        </w:rPr>
        <w:t>Fiscal Studies</w:t>
      </w:r>
      <w:r w:rsidR="00E33802" w:rsidRPr="4B9E7786">
        <w:rPr>
          <w:rStyle w:val="apple-converted-space"/>
          <w:rFonts w:ascii="Times New Roman" w:eastAsia="Times New Roman" w:hAnsi="Times New Roman" w:cs="Times New Roman"/>
          <w:sz w:val="24"/>
          <w:szCs w:val="24"/>
          <w:shd w:val="clear" w:color="auto" w:fill="FFFFFF"/>
        </w:rPr>
        <w:t> </w:t>
      </w:r>
      <w:r w:rsidR="00E33802" w:rsidRPr="4B9E7786">
        <w:rPr>
          <w:rFonts w:ascii="Times New Roman" w:eastAsia="Times New Roman" w:hAnsi="Times New Roman" w:cs="Times New Roman"/>
          <w:sz w:val="24"/>
          <w:szCs w:val="24"/>
          <w:shd w:val="clear" w:color="auto" w:fill="FFFFFF"/>
        </w:rPr>
        <w:t>26</w:t>
      </w:r>
      <w:r w:rsidR="003A2C66" w:rsidRPr="4B9E7786">
        <w:rPr>
          <w:rFonts w:ascii="Times New Roman" w:eastAsia="Times New Roman" w:hAnsi="Times New Roman" w:cs="Times New Roman"/>
          <w:sz w:val="24"/>
          <w:szCs w:val="24"/>
          <w:shd w:val="clear" w:color="auto" w:fill="FFFFFF"/>
        </w:rPr>
        <w:t>(4):</w:t>
      </w:r>
      <w:r w:rsidR="00E33802" w:rsidRPr="4B9E7786">
        <w:rPr>
          <w:rFonts w:ascii="Times New Roman" w:eastAsia="Times New Roman" w:hAnsi="Times New Roman" w:cs="Times New Roman"/>
          <w:sz w:val="24"/>
          <w:szCs w:val="24"/>
          <w:shd w:val="clear" w:color="auto" w:fill="FFFFFF"/>
        </w:rPr>
        <w:t xml:space="preserve"> 423-470. </w:t>
      </w:r>
    </w:p>
    <w:p w14:paraId="39DAC4B4" w14:textId="77777777" w:rsidR="000D55DB" w:rsidRPr="008F2942" w:rsidRDefault="000D55DB" w:rsidP="00BD73D3">
      <w:pPr>
        <w:spacing w:after="0" w:line="240" w:lineRule="auto"/>
        <w:jc w:val="both"/>
        <w:rPr>
          <w:rFonts w:ascii="Times New Roman" w:hAnsi="Times New Roman" w:cs="Times New Roman"/>
          <w:sz w:val="24"/>
          <w:szCs w:val="24"/>
          <w:shd w:val="clear" w:color="auto" w:fill="FFFFFF"/>
        </w:rPr>
      </w:pPr>
    </w:p>
    <w:p w14:paraId="18B912B2" w14:textId="1AC77BAB" w:rsidR="000D55DB"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Dustmann C, Frattini T, and Hall C (2010) Assessing the fiscal costs and benefits of A8 migration to the UK. </w:t>
      </w:r>
      <w:r w:rsidRPr="3B009953">
        <w:rPr>
          <w:rFonts w:ascii="Times New Roman" w:eastAsia="Times New Roman" w:hAnsi="Times New Roman" w:cs="Times New Roman"/>
          <w:i/>
          <w:iCs/>
          <w:sz w:val="24"/>
          <w:szCs w:val="24"/>
        </w:rPr>
        <w:t>Fiscal Studies</w:t>
      </w:r>
      <w:r w:rsidRPr="598A40B1">
        <w:rPr>
          <w:rFonts w:ascii="Times New Roman" w:eastAsia="Times New Roman" w:hAnsi="Times New Roman" w:cs="Times New Roman"/>
          <w:sz w:val="24"/>
          <w:szCs w:val="24"/>
        </w:rPr>
        <w:t xml:space="preserve"> 31(1): 1–41.</w:t>
      </w:r>
    </w:p>
    <w:p w14:paraId="16236B8F" w14:textId="77777777" w:rsidR="0057608D" w:rsidRPr="008F2942" w:rsidRDefault="0057608D" w:rsidP="00BD73D3">
      <w:pPr>
        <w:spacing w:after="0" w:line="240" w:lineRule="auto"/>
        <w:jc w:val="both"/>
        <w:rPr>
          <w:rFonts w:ascii="Times New Roman" w:hAnsi="Times New Roman" w:cs="Times New Roman"/>
          <w:sz w:val="24"/>
          <w:szCs w:val="24"/>
        </w:rPr>
      </w:pPr>
    </w:p>
    <w:p w14:paraId="67E1FD93" w14:textId="71E0195F" w:rsidR="0057608D" w:rsidRPr="00F93371" w:rsidRDefault="00E33802" w:rsidP="00F93371">
      <w:pPr>
        <w:spacing w:after="0" w:line="240" w:lineRule="auto"/>
        <w:jc w:val="both"/>
        <w:rPr>
          <w:rFonts w:ascii="Times New Roman" w:eastAsia="Times New Roman" w:hAnsi="Times New Roman" w:cs="Times New Roman"/>
          <w:sz w:val="24"/>
          <w:szCs w:val="24"/>
          <w:shd w:val="clear" w:color="auto" w:fill="FFFFFF"/>
        </w:rPr>
      </w:pPr>
      <w:r w:rsidRPr="338B1626">
        <w:rPr>
          <w:rFonts w:ascii="Times New Roman" w:eastAsia="Times New Roman" w:hAnsi="Times New Roman" w:cs="Times New Roman"/>
          <w:sz w:val="24"/>
          <w:szCs w:val="24"/>
        </w:rPr>
        <w:t>Dustmann C, Frattini T</w:t>
      </w:r>
      <w:r w:rsidR="00567ED1">
        <w:rPr>
          <w:rFonts w:ascii="Times New Roman" w:eastAsia="Times New Roman" w:hAnsi="Times New Roman" w:cs="Times New Roman"/>
          <w:sz w:val="24"/>
          <w:szCs w:val="24"/>
        </w:rPr>
        <w:t>,</w:t>
      </w:r>
      <w:r w:rsidRPr="338B1626">
        <w:rPr>
          <w:rFonts w:ascii="Times New Roman" w:eastAsia="Times New Roman" w:hAnsi="Times New Roman" w:cs="Times New Roman"/>
          <w:sz w:val="24"/>
          <w:szCs w:val="24"/>
        </w:rPr>
        <w:t xml:space="preserve"> and Preston I (2013)</w:t>
      </w:r>
      <w:r w:rsidR="004A2908" w:rsidRPr="338B1626">
        <w:rPr>
          <w:rFonts w:ascii="Times New Roman" w:eastAsia="Times New Roman" w:hAnsi="Times New Roman" w:cs="Times New Roman"/>
          <w:sz w:val="24"/>
          <w:szCs w:val="24"/>
          <w:shd w:val="clear" w:color="auto" w:fill="FFFFFF"/>
        </w:rPr>
        <w:t xml:space="preserve"> </w:t>
      </w:r>
      <w:r w:rsidR="0057608D" w:rsidRPr="338B1626">
        <w:rPr>
          <w:rFonts w:ascii="Times New Roman" w:eastAsia="Times New Roman" w:hAnsi="Times New Roman" w:cs="Times New Roman"/>
          <w:sz w:val="24"/>
          <w:szCs w:val="24"/>
          <w:shd w:val="clear" w:color="auto" w:fill="FFFFFF"/>
        </w:rPr>
        <w:t xml:space="preserve">The </w:t>
      </w:r>
      <w:r w:rsidR="0013232F" w:rsidRPr="338B1626">
        <w:rPr>
          <w:rFonts w:ascii="Times New Roman" w:eastAsia="Times New Roman" w:hAnsi="Times New Roman" w:cs="Times New Roman"/>
          <w:sz w:val="24"/>
          <w:szCs w:val="24"/>
          <w:shd w:val="clear" w:color="auto" w:fill="FFFFFF"/>
        </w:rPr>
        <w:t>e</w:t>
      </w:r>
      <w:r w:rsidR="0057608D" w:rsidRPr="338B1626">
        <w:rPr>
          <w:rFonts w:ascii="Times New Roman" w:eastAsia="Times New Roman" w:hAnsi="Times New Roman" w:cs="Times New Roman"/>
          <w:sz w:val="24"/>
          <w:szCs w:val="24"/>
          <w:shd w:val="clear" w:color="auto" w:fill="FFFFFF"/>
        </w:rPr>
        <w:t xml:space="preserve">ffect of </w:t>
      </w:r>
      <w:r w:rsidR="0013232F" w:rsidRPr="338B1626">
        <w:rPr>
          <w:rFonts w:ascii="Times New Roman" w:eastAsia="Times New Roman" w:hAnsi="Times New Roman" w:cs="Times New Roman"/>
          <w:sz w:val="24"/>
          <w:szCs w:val="24"/>
          <w:shd w:val="clear" w:color="auto" w:fill="FFFFFF"/>
        </w:rPr>
        <w:t>i</w:t>
      </w:r>
      <w:r w:rsidR="0057608D" w:rsidRPr="338B1626">
        <w:rPr>
          <w:rFonts w:ascii="Times New Roman" w:eastAsia="Times New Roman" w:hAnsi="Times New Roman" w:cs="Times New Roman"/>
          <w:sz w:val="24"/>
          <w:szCs w:val="24"/>
          <w:shd w:val="clear" w:color="auto" w:fill="FFFFFF"/>
        </w:rPr>
        <w:t xml:space="preserve">mmigration </w:t>
      </w:r>
      <w:r w:rsidR="0013232F" w:rsidRPr="338B1626">
        <w:rPr>
          <w:rFonts w:ascii="Times New Roman" w:eastAsia="Times New Roman" w:hAnsi="Times New Roman" w:cs="Times New Roman"/>
          <w:sz w:val="24"/>
          <w:szCs w:val="24"/>
          <w:shd w:val="clear" w:color="auto" w:fill="FFFFFF"/>
        </w:rPr>
        <w:t>a</w:t>
      </w:r>
      <w:r w:rsidR="0057608D" w:rsidRPr="338B1626">
        <w:rPr>
          <w:rFonts w:ascii="Times New Roman" w:eastAsia="Times New Roman" w:hAnsi="Times New Roman" w:cs="Times New Roman"/>
          <w:sz w:val="24"/>
          <w:szCs w:val="24"/>
          <w:shd w:val="clear" w:color="auto" w:fill="FFFFFF"/>
        </w:rPr>
        <w:t xml:space="preserve">long the </w:t>
      </w:r>
      <w:r w:rsidR="0013232F" w:rsidRPr="338B1626">
        <w:rPr>
          <w:rFonts w:ascii="Times New Roman" w:eastAsia="Times New Roman" w:hAnsi="Times New Roman" w:cs="Times New Roman"/>
          <w:sz w:val="24"/>
          <w:szCs w:val="24"/>
          <w:shd w:val="clear" w:color="auto" w:fill="FFFFFF"/>
        </w:rPr>
        <w:t>d</w:t>
      </w:r>
      <w:r w:rsidR="0057608D" w:rsidRPr="338B1626">
        <w:rPr>
          <w:rFonts w:ascii="Times New Roman" w:eastAsia="Times New Roman" w:hAnsi="Times New Roman" w:cs="Times New Roman"/>
          <w:sz w:val="24"/>
          <w:szCs w:val="24"/>
          <w:shd w:val="clear" w:color="auto" w:fill="FFFFFF"/>
        </w:rPr>
        <w:t xml:space="preserve">istribution of </w:t>
      </w:r>
      <w:r w:rsidR="0013232F" w:rsidRPr="338B1626">
        <w:rPr>
          <w:rFonts w:ascii="Times New Roman" w:eastAsia="Times New Roman" w:hAnsi="Times New Roman" w:cs="Times New Roman"/>
          <w:sz w:val="24"/>
          <w:szCs w:val="24"/>
          <w:shd w:val="clear" w:color="auto" w:fill="FFFFFF"/>
        </w:rPr>
        <w:t>w</w:t>
      </w:r>
      <w:r w:rsidR="0057608D" w:rsidRPr="338B1626">
        <w:rPr>
          <w:rFonts w:ascii="Times New Roman" w:eastAsia="Times New Roman" w:hAnsi="Times New Roman" w:cs="Times New Roman"/>
          <w:sz w:val="24"/>
          <w:szCs w:val="24"/>
          <w:shd w:val="clear" w:color="auto" w:fill="FFFFFF"/>
        </w:rPr>
        <w:t>ages</w:t>
      </w:r>
      <w:r w:rsidR="0013232F" w:rsidRPr="338B1626">
        <w:rPr>
          <w:rFonts w:ascii="Times New Roman" w:eastAsia="Times New Roman" w:hAnsi="Times New Roman" w:cs="Times New Roman"/>
          <w:sz w:val="24"/>
          <w:szCs w:val="24"/>
          <w:shd w:val="clear" w:color="auto" w:fill="FFFFFF"/>
        </w:rPr>
        <w:t>.</w:t>
      </w:r>
      <w:r w:rsidR="0057608D" w:rsidRPr="338B1626">
        <w:rPr>
          <w:rStyle w:val="apple-converted-space"/>
          <w:rFonts w:ascii="Times New Roman" w:eastAsia="Times New Roman" w:hAnsi="Times New Roman" w:cs="Times New Roman"/>
          <w:sz w:val="24"/>
          <w:szCs w:val="24"/>
          <w:shd w:val="clear" w:color="auto" w:fill="FFFFFF"/>
        </w:rPr>
        <w:t> </w:t>
      </w:r>
      <w:r w:rsidR="0057608D" w:rsidRPr="3B009953">
        <w:rPr>
          <w:rFonts w:ascii="Times New Roman" w:eastAsia="Times New Roman" w:hAnsi="Times New Roman" w:cs="Times New Roman"/>
          <w:i/>
          <w:iCs/>
          <w:sz w:val="24"/>
          <w:szCs w:val="24"/>
          <w:shd w:val="clear" w:color="auto" w:fill="FFFFFF"/>
        </w:rPr>
        <w:t xml:space="preserve">The Review of Economic Studies </w:t>
      </w:r>
      <w:r w:rsidR="0057608D" w:rsidRPr="338B1626">
        <w:rPr>
          <w:rFonts w:ascii="Times New Roman" w:eastAsia="Times New Roman" w:hAnsi="Times New Roman" w:cs="Times New Roman"/>
          <w:sz w:val="24"/>
          <w:szCs w:val="24"/>
          <w:shd w:val="clear" w:color="auto" w:fill="FFFFFF"/>
        </w:rPr>
        <w:t>80</w:t>
      </w:r>
      <w:r w:rsidR="003A2C66" w:rsidRPr="338B1626">
        <w:rPr>
          <w:rFonts w:ascii="Times New Roman" w:eastAsia="Times New Roman" w:hAnsi="Times New Roman" w:cs="Times New Roman"/>
          <w:sz w:val="24"/>
          <w:szCs w:val="24"/>
          <w:shd w:val="clear" w:color="auto" w:fill="FFFFFF"/>
        </w:rPr>
        <w:t>(1):</w:t>
      </w:r>
      <w:r w:rsidR="0057608D" w:rsidRPr="338B1626">
        <w:rPr>
          <w:rFonts w:ascii="Times New Roman" w:eastAsia="Times New Roman" w:hAnsi="Times New Roman" w:cs="Times New Roman"/>
          <w:sz w:val="24"/>
          <w:szCs w:val="24"/>
          <w:shd w:val="clear" w:color="auto" w:fill="FFFFFF"/>
        </w:rPr>
        <w:t xml:space="preserve"> 145-73.</w:t>
      </w:r>
    </w:p>
    <w:p w14:paraId="36B87C53" w14:textId="77777777" w:rsidR="00E33802" w:rsidRPr="008F2942" w:rsidRDefault="00E33802" w:rsidP="00BD73D3">
      <w:pPr>
        <w:spacing w:after="0" w:line="240" w:lineRule="auto"/>
        <w:jc w:val="both"/>
        <w:rPr>
          <w:rFonts w:ascii="Times New Roman" w:hAnsi="Times New Roman" w:cs="Times New Roman"/>
          <w:sz w:val="24"/>
          <w:szCs w:val="24"/>
          <w:shd w:val="clear" w:color="auto" w:fill="FFFFFF"/>
        </w:rPr>
      </w:pPr>
    </w:p>
    <w:p w14:paraId="77350744" w14:textId="1B3EC097" w:rsidR="00E33802" w:rsidRPr="003A2C66" w:rsidRDefault="1E1837F8" w:rsidP="00BD73D3">
      <w:pPr>
        <w:spacing w:after="0" w:line="240" w:lineRule="auto"/>
        <w:jc w:val="both"/>
      </w:pPr>
      <w:r w:rsidRPr="00063703">
        <w:rPr>
          <w:rFonts w:ascii="Times New Roman" w:eastAsia="Times New Roman" w:hAnsi="Times New Roman" w:cs="Times New Roman"/>
          <w:sz w:val="24"/>
          <w:szCs w:val="24"/>
        </w:rPr>
        <w:t>Eade J, Drinkwater S and Garapich M (2007) Class and Ethnicity – Polish Migrants in London. Swindon: ESRC.</w:t>
      </w:r>
    </w:p>
    <w:p w14:paraId="737A00A7" w14:textId="77777777" w:rsidR="0003705C" w:rsidRDefault="0003705C" w:rsidP="0003705C">
      <w:pPr>
        <w:spacing w:after="0"/>
        <w:jc w:val="both"/>
      </w:pPr>
    </w:p>
    <w:p w14:paraId="6535F077" w14:textId="33E01CA5" w:rsidR="7D6FE458" w:rsidRPr="00F93371" w:rsidRDefault="7D6FE458" w:rsidP="00F93371">
      <w:pPr>
        <w:spacing w:after="0"/>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Eckstein Z, Weiss Y (2004) On the wage growth of immigrants: Israel 1990-2000. </w:t>
      </w:r>
      <w:r w:rsidRPr="3B009953">
        <w:rPr>
          <w:rFonts w:ascii="Times New Roman" w:eastAsia="Times New Roman" w:hAnsi="Times New Roman" w:cs="Times New Roman"/>
          <w:i/>
          <w:iCs/>
          <w:sz w:val="24"/>
          <w:szCs w:val="24"/>
        </w:rPr>
        <w:t>Journal of the European Economic Association</w:t>
      </w:r>
      <w:r w:rsidRPr="598A40B1">
        <w:rPr>
          <w:rFonts w:ascii="Times New Roman" w:eastAsia="Times New Roman" w:hAnsi="Times New Roman" w:cs="Times New Roman"/>
          <w:sz w:val="24"/>
          <w:szCs w:val="24"/>
        </w:rPr>
        <w:t xml:space="preserve"> 2(4): 665-695.</w:t>
      </w:r>
    </w:p>
    <w:p w14:paraId="5BC2AF45" w14:textId="77777777" w:rsidR="0003705C" w:rsidRPr="008F2942" w:rsidRDefault="0003705C" w:rsidP="00BD73D3">
      <w:pPr>
        <w:spacing w:after="0" w:line="240" w:lineRule="auto"/>
        <w:jc w:val="both"/>
        <w:rPr>
          <w:rFonts w:ascii="Times New Roman" w:hAnsi="Times New Roman" w:cs="Times New Roman"/>
          <w:sz w:val="24"/>
          <w:szCs w:val="24"/>
        </w:rPr>
      </w:pPr>
    </w:p>
    <w:p w14:paraId="16283C77" w14:textId="5EA8B79B" w:rsidR="00E33802" w:rsidRDefault="46A50481" w:rsidP="00BD73D3">
      <w:pPr>
        <w:spacing w:after="0" w:line="240" w:lineRule="auto"/>
        <w:jc w:val="both"/>
        <w:rPr>
          <w:rFonts w:ascii="Times New Roman" w:eastAsia="Times New Roman" w:hAnsi="Times New Roman" w:cs="Times New Roman"/>
          <w:sz w:val="24"/>
          <w:szCs w:val="24"/>
        </w:rPr>
      </w:pPr>
      <w:r w:rsidRPr="00063703">
        <w:rPr>
          <w:rFonts w:ascii="Times New Roman" w:eastAsia="Times New Roman" w:hAnsi="Times New Roman" w:cs="Times New Roman"/>
          <w:sz w:val="24"/>
          <w:szCs w:val="24"/>
        </w:rPr>
        <w:t xml:space="preserve">Edwards PK, Scullion H (1982) </w:t>
      </w:r>
      <w:r w:rsidRPr="3B009953">
        <w:rPr>
          <w:rFonts w:ascii="Times New Roman" w:eastAsia="Times New Roman" w:hAnsi="Times New Roman" w:cs="Times New Roman"/>
          <w:i/>
          <w:iCs/>
          <w:sz w:val="24"/>
          <w:szCs w:val="24"/>
        </w:rPr>
        <w:t>The Social Organization of Industrial Conflict</w:t>
      </w:r>
      <w:r w:rsidRPr="00063703">
        <w:rPr>
          <w:rFonts w:ascii="Times New Roman" w:eastAsia="Times New Roman" w:hAnsi="Times New Roman" w:cs="Times New Roman"/>
          <w:sz w:val="24"/>
          <w:szCs w:val="24"/>
        </w:rPr>
        <w:t>. Oxford: Blackwell.</w:t>
      </w:r>
    </w:p>
    <w:p w14:paraId="291ED5D0" w14:textId="2633A8B2" w:rsidR="00E33802" w:rsidRPr="00F93371" w:rsidRDefault="598A40B1" w:rsidP="00F93371">
      <w:pPr>
        <w:spacing w:after="0" w:line="240" w:lineRule="auto"/>
        <w:jc w:val="both"/>
        <w:rPr>
          <w:rFonts w:ascii="Times New Roman" w:eastAsia="Times New Roman" w:hAnsi="Times New Roman" w:cs="Times New Roman"/>
          <w:sz w:val="24"/>
          <w:szCs w:val="24"/>
          <w:lang w:val="en-US"/>
        </w:rPr>
      </w:pPr>
      <w:r>
        <w:br/>
      </w:r>
      <w:r w:rsidRPr="598A40B1">
        <w:rPr>
          <w:rFonts w:ascii="Times New Roman" w:eastAsia="Times New Roman" w:hAnsi="Times New Roman" w:cs="Times New Roman"/>
          <w:sz w:val="24"/>
          <w:szCs w:val="24"/>
          <w:lang w:val="en-US"/>
        </w:rPr>
        <w:t xml:space="preserve">Engellandt A, Riphahn R T (2005) Temporary contracts and employee effort. </w:t>
      </w:r>
      <w:r w:rsidRPr="3B009953">
        <w:rPr>
          <w:rFonts w:ascii="Times New Roman" w:eastAsia="Times New Roman" w:hAnsi="Times New Roman" w:cs="Times New Roman"/>
          <w:i/>
          <w:iCs/>
          <w:sz w:val="24"/>
          <w:szCs w:val="24"/>
          <w:lang w:val="en-US"/>
        </w:rPr>
        <w:t>Labour Economics</w:t>
      </w:r>
      <w:r w:rsidRPr="598A40B1">
        <w:rPr>
          <w:rFonts w:ascii="Times New Roman" w:eastAsia="Times New Roman" w:hAnsi="Times New Roman" w:cs="Times New Roman"/>
          <w:sz w:val="24"/>
          <w:szCs w:val="24"/>
          <w:lang w:val="en-US"/>
        </w:rPr>
        <w:t xml:space="preserve"> 12(3): 281-299.</w:t>
      </w:r>
    </w:p>
    <w:p w14:paraId="58D5B84F" w14:textId="77777777" w:rsidR="0057608D" w:rsidRPr="008F2942" w:rsidRDefault="0057608D" w:rsidP="00BD73D3">
      <w:pPr>
        <w:spacing w:after="0" w:line="240" w:lineRule="auto"/>
        <w:jc w:val="both"/>
        <w:rPr>
          <w:rFonts w:ascii="Times New Roman" w:hAnsi="Times New Roman" w:cs="Times New Roman"/>
          <w:sz w:val="24"/>
          <w:szCs w:val="24"/>
          <w:shd w:val="clear" w:color="auto" w:fill="FFFFFF"/>
        </w:rPr>
      </w:pPr>
    </w:p>
    <w:p w14:paraId="749CF317" w14:textId="704C1B54" w:rsidR="004E5551"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Friedberg RM (2000) You can’t take it with you?  Immigrant assimilation and the portability of human capital. </w:t>
      </w:r>
      <w:r w:rsidRPr="3B009953">
        <w:rPr>
          <w:rFonts w:ascii="Times New Roman" w:eastAsia="Times New Roman" w:hAnsi="Times New Roman" w:cs="Times New Roman"/>
          <w:i/>
          <w:iCs/>
          <w:sz w:val="24"/>
          <w:szCs w:val="24"/>
        </w:rPr>
        <w:t xml:space="preserve">Journal of Labor Economics </w:t>
      </w:r>
      <w:r w:rsidRPr="598A40B1">
        <w:rPr>
          <w:rFonts w:ascii="Times New Roman" w:eastAsia="Times New Roman" w:hAnsi="Times New Roman" w:cs="Times New Roman"/>
          <w:sz w:val="24"/>
          <w:szCs w:val="24"/>
        </w:rPr>
        <w:t>18(2): 251-252.</w:t>
      </w:r>
    </w:p>
    <w:p w14:paraId="4DFA9292" w14:textId="77777777" w:rsidR="004E5551" w:rsidRPr="008F2942" w:rsidRDefault="004E5551" w:rsidP="00BD73D3">
      <w:pPr>
        <w:spacing w:after="0" w:line="240" w:lineRule="auto"/>
        <w:jc w:val="both"/>
        <w:rPr>
          <w:rFonts w:ascii="Times New Roman" w:hAnsi="Times New Roman" w:cs="Times New Roman"/>
          <w:sz w:val="24"/>
          <w:szCs w:val="24"/>
        </w:rPr>
      </w:pPr>
    </w:p>
    <w:p w14:paraId="2B738B61" w14:textId="1CD56B5B" w:rsidR="00EF4A7B"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Hansen J, Lofstrom M (2011) Immigrant-Native differences in welfare participation: The role of entry and exit rates.</w:t>
      </w:r>
      <w:r w:rsidRPr="3B009953">
        <w:rPr>
          <w:rFonts w:ascii="Times New Roman" w:eastAsia="Times New Roman" w:hAnsi="Times New Roman" w:cs="Times New Roman"/>
          <w:i/>
          <w:iCs/>
          <w:sz w:val="24"/>
          <w:szCs w:val="24"/>
        </w:rPr>
        <w:t xml:space="preserve"> Industrial Relations</w:t>
      </w:r>
      <w:r w:rsidRPr="598A40B1">
        <w:rPr>
          <w:rFonts w:ascii="Times New Roman" w:eastAsia="Times New Roman" w:hAnsi="Times New Roman" w:cs="Times New Roman"/>
          <w:sz w:val="24"/>
          <w:szCs w:val="24"/>
        </w:rPr>
        <w:t xml:space="preserve"> 50(3): 412-42.</w:t>
      </w:r>
    </w:p>
    <w:p w14:paraId="23E6B821" w14:textId="77777777" w:rsidR="00EF4A7B" w:rsidRPr="008F2942" w:rsidRDefault="00EF4A7B" w:rsidP="00BD73D3">
      <w:pPr>
        <w:spacing w:after="0" w:line="240" w:lineRule="auto"/>
        <w:jc w:val="both"/>
        <w:rPr>
          <w:rFonts w:ascii="Times New Roman" w:hAnsi="Times New Roman" w:cs="Times New Roman"/>
          <w:sz w:val="24"/>
          <w:szCs w:val="24"/>
        </w:rPr>
      </w:pPr>
    </w:p>
    <w:p w14:paraId="11B7CE66" w14:textId="3C6ABD15" w:rsidR="0057608D" w:rsidRPr="00F93371" w:rsidRDefault="000021AE" w:rsidP="00F933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Heywood JS, Miller L (2015</w:t>
      </w:r>
      <w:r w:rsidR="004E5551" w:rsidRPr="338B1626">
        <w:rPr>
          <w:rFonts w:ascii="Times New Roman" w:eastAsia="Times New Roman" w:hAnsi="Times New Roman" w:cs="Times New Roman"/>
          <w:sz w:val="24"/>
          <w:szCs w:val="24"/>
        </w:rPr>
        <w:t>)</w:t>
      </w:r>
      <w:r w:rsidR="0057608D" w:rsidRPr="338B1626">
        <w:rPr>
          <w:rFonts w:ascii="Times New Roman" w:eastAsia="Times New Roman" w:hAnsi="Times New Roman" w:cs="Times New Roman"/>
          <w:sz w:val="24"/>
          <w:szCs w:val="24"/>
          <w:shd w:val="clear" w:color="auto" w:fill="FFFFFF"/>
        </w:rPr>
        <w:t xml:space="preserve"> Schedule </w:t>
      </w:r>
      <w:r w:rsidR="00FE56AE" w:rsidRPr="338B1626">
        <w:rPr>
          <w:rFonts w:ascii="Times New Roman" w:eastAsia="Times New Roman" w:hAnsi="Times New Roman" w:cs="Times New Roman"/>
          <w:sz w:val="24"/>
          <w:szCs w:val="24"/>
          <w:shd w:val="clear" w:color="auto" w:fill="FFFFFF"/>
        </w:rPr>
        <w:t>f</w:t>
      </w:r>
      <w:r w:rsidR="0057608D" w:rsidRPr="338B1626">
        <w:rPr>
          <w:rFonts w:ascii="Times New Roman" w:eastAsia="Times New Roman" w:hAnsi="Times New Roman" w:cs="Times New Roman"/>
          <w:sz w:val="24"/>
          <w:szCs w:val="24"/>
          <w:shd w:val="clear" w:color="auto" w:fill="FFFFFF"/>
        </w:rPr>
        <w:t xml:space="preserve">lexibility, </w:t>
      </w:r>
      <w:r w:rsidR="00FE56AE" w:rsidRPr="338B1626">
        <w:rPr>
          <w:rFonts w:ascii="Times New Roman" w:eastAsia="Times New Roman" w:hAnsi="Times New Roman" w:cs="Times New Roman"/>
          <w:sz w:val="24"/>
          <w:szCs w:val="24"/>
          <w:shd w:val="clear" w:color="auto" w:fill="FFFFFF"/>
        </w:rPr>
        <w:t>f</w:t>
      </w:r>
      <w:r w:rsidR="0057608D" w:rsidRPr="338B1626">
        <w:rPr>
          <w:rFonts w:ascii="Times New Roman" w:eastAsia="Times New Roman" w:hAnsi="Times New Roman" w:cs="Times New Roman"/>
          <w:sz w:val="24"/>
          <w:szCs w:val="24"/>
          <w:shd w:val="clear" w:color="auto" w:fill="FFFFFF"/>
        </w:rPr>
        <w:t xml:space="preserve">amily </w:t>
      </w:r>
      <w:r w:rsidR="00FE56AE" w:rsidRPr="338B1626">
        <w:rPr>
          <w:rFonts w:ascii="Times New Roman" w:eastAsia="Times New Roman" w:hAnsi="Times New Roman" w:cs="Times New Roman"/>
          <w:sz w:val="24"/>
          <w:szCs w:val="24"/>
          <w:shd w:val="clear" w:color="auto" w:fill="FFFFFF"/>
        </w:rPr>
        <w:t>f</w:t>
      </w:r>
      <w:r w:rsidR="0057608D" w:rsidRPr="338B1626">
        <w:rPr>
          <w:rFonts w:ascii="Times New Roman" w:eastAsia="Times New Roman" w:hAnsi="Times New Roman" w:cs="Times New Roman"/>
          <w:sz w:val="24"/>
          <w:szCs w:val="24"/>
          <w:shd w:val="clear" w:color="auto" w:fill="FFFFFF"/>
        </w:rPr>
        <w:t xml:space="preserve">riendly </w:t>
      </w:r>
      <w:r w:rsidR="00FE56AE" w:rsidRPr="338B1626">
        <w:rPr>
          <w:rFonts w:ascii="Times New Roman" w:eastAsia="Times New Roman" w:hAnsi="Times New Roman" w:cs="Times New Roman"/>
          <w:sz w:val="24"/>
          <w:szCs w:val="24"/>
          <w:shd w:val="clear" w:color="auto" w:fill="FFFFFF"/>
        </w:rPr>
        <w:t>p</w:t>
      </w:r>
      <w:r w:rsidR="0057608D" w:rsidRPr="338B1626">
        <w:rPr>
          <w:rFonts w:ascii="Times New Roman" w:eastAsia="Times New Roman" w:hAnsi="Times New Roman" w:cs="Times New Roman"/>
          <w:sz w:val="24"/>
          <w:szCs w:val="24"/>
          <w:shd w:val="clear" w:color="auto" w:fill="FFFFFF"/>
        </w:rPr>
        <w:t xml:space="preserve">olicies and </w:t>
      </w:r>
      <w:r w:rsidR="00FE56AE" w:rsidRPr="338B1626">
        <w:rPr>
          <w:rFonts w:ascii="Times New Roman" w:eastAsia="Times New Roman" w:hAnsi="Times New Roman" w:cs="Times New Roman"/>
          <w:sz w:val="24"/>
          <w:szCs w:val="24"/>
          <w:shd w:val="clear" w:color="auto" w:fill="FFFFFF"/>
        </w:rPr>
        <w:t>a</w:t>
      </w:r>
      <w:r w:rsidR="0057608D" w:rsidRPr="338B1626">
        <w:rPr>
          <w:rFonts w:ascii="Times New Roman" w:eastAsia="Times New Roman" w:hAnsi="Times New Roman" w:cs="Times New Roman"/>
          <w:sz w:val="24"/>
          <w:szCs w:val="24"/>
          <w:shd w:val="clear" w:color="auto" w:fill="FFFFFF"/>
        </w:rPr>
        <w:t>bsence</w:t>
      </w:r>
      <w:r w:rsidR="00FE56AE" w:rsidRPr="338B1626">
        <w:rPr>
          <w:rFonts w:ascii="Times New Roman" w:eastAsia="Times New Roman" w:hAnsi="Times New Roman" w:cs="Times New Roman"/>
          <w:sz w:val="24"/>
          <w:szCs w:val="24"/>
          <w:shd w:val="clear" w:color="auto" w:fill="FFFFFF"/>
        </w:rPr>
        <w:t>.</w:t>
      </w:r>
      <w:r w:rsidR="0057608D" w:rsidRPr="338B1626">
        <w:rPr>
          <w:rStyle w:val="apple-converted-space"/>
          <w:rFonts w:ascii="Times New Roman" w:eastAsia="Times New Roman" w:hAnsi="Times New Roman" w:cs="Times New Roman"/>
          <w:sz w:val="24"/>
          <w:szCs w:val="24"/>
          <w:shd w:val="clear" w:color="auto" w:fill="FFFFFF"/>
        </w:rPr>
        <w:t> </w:t>
      </w:r>
      <w:r w:rsidR="0057608D" w:rsidRPr="3B009953">
        <w:rPr>
          <w:rFonts w:ascii="Times New Roman" w:eastAsia="Times New Roman" w:hAnsi="Times New Roman" w:cs="Times New Roman"/>
          <w:i/>
          <w:iCs/>
          <w:sz w:val="24"/>
          <w:szCs w:val="24"/>
          <w:shd w:val="clear" w:color="auto" w:fill="FFFFFF"/>
        </w:rPr>
        <w:t>The Manchester School</w:t>
      </w:r>
      <w:r w:rsidR="0057608D" w:rsidRPr="338B1626">
        <w:rPr>
          <w:rStyle w:val="apple-converted-space"/>
          <w:rFonts w:ascii="Times New Roman" w:eastAsia="Times New Roman" w:hAnsi="Times New Roman" w:cs="Times New Roman"/>
          <w:sz w:val="24"/>
          <w:szCs w:val="24"/>
          <w:shd w:val="clear" w:color="auto" w:fill="FFFFFF"/>
        </w:rPr>
        <w:t xml:space="preserve"> </w:t>
      </w:r>
      <w:r>
        <w:rPr>
          <w:rStyle w:val="apple-converted-space"/>
          <w:rFonts w:ascii="Times New Roman" w:eastAsia="Times New Roman" w:hAnsi="Times New Roman" w:cs="Times New Roman"/>
          <w:sz w:val="24"/>
          <w:szCs w:val="24"/>
          <w:shd w:val="clear" w:color="auto" w:fill="FFFFFF"/>
        </w:rPr>
        <w:t xml:space="preserve">83(6): 652-675. </w:t>
      </w:r>
    </w:p>
    <w:p w14:paraId="11226AAF" w14:textId="77777777" w:rsidR="00D026F6" w:rsidRPr="008F2942" w:rsidRDefault="00D026F6" w:rsidP="00BD73D3">
      <w:pPr>
        <w:spacing w:after="0" w:line="240" w:lineRule="auto"/>
        <w:jc w:val="both"/>
        <w:rPr>
          <w:rFonts w:ascii="Times New Roman" w:hAnsi="Times New Roman" w:cs="Times New Roman"/>
          <w:sz w:val="24"/>
          <w:szCs w:val="24"/>
        </w:rPr>
      </w:pPr>
    </w:p>
    <w:p w14:paraId="402C44BF" w14:textId="77777777" w:rsidR="0007775B" w:rsidRDefault="0007775B" w:rsidP="00F93371">
      <w:pPr>
        <w:spacing w:after="0" w:line="240" w:lineRule="auto"/>
        <w:jc w:val="both"/>
        <w:rPr>
          <w:rFonts w:ascii="Times New Roman" w:eastAsia="Times New Roman" w:hAnsi="Times New Roman" w:cs="Times New Roman"/>
          <w:sz w:val="24"/>
          <w:szCs w:val="24"/>
        </w:rPr>
      </w:pPr>
      <w:r w:rsidRPr="338B1626">
        <w:rPr>
          <w:rFonts w:ascii="Times New Roman" w:eastAsia="Times New Roman" w:hAnsi="Times New Roman" w:cs="Times New Roman"/>
          <w:sz w:val="24"/>
          <w:szCs w:val="24"/>
        </w:rPr>
        <w:t xml:space="preserve">Hopkins B (2014) Explaining variations in absence rates: temporary and agency workers in the food manufacturing sector. </w:t>
      </w:r>
      <w:r w:rsidRPr="338B1626">
        <w:rPr>
          <w:rFonts w:ascii="Times New Roman" w:eastAsia="Times New Roman" w:hAnsi="Times New Roman" w:cs="Times New Roman"/>
          <w:i/>
          <w:iCs/>
          <w:sz w:val="24"/>
          <w:szCs w:val="24"/>
        </w:rPr>
        <w:t>Human Resource Management Journal</w:t>
      </w:r>
      <w:r>
        <w:rPr>
          <w:rFonts w:ascii="Times New Roman" w:eastAsia="Times New Roman" w:hAnsi="Times New Roman" w:cs="Times New Roman"/>
          <w:sz w:val="24"/>
          <w:szCs w:val="24"/>
        </w:rPr>
        <w:t xml:space="preserve"> 24(2): 227–240.</w:t>
      </w:r>
    </w:p>
    <w:p w14:paraId="05745C9D" w14:textId="77777777" w:rsidR="0007775B" w:rsidRDefault="0007775B" w:rsidP="00F93371">
      <w:pPr>
        <w:spacing w:after="0" w:line="240" w:lineRule="auto"/>
        <w:jc w:val="both"/>
        <w:rPr>
          <w:rFonts w:ascii="Times New Roman" w:eastAsia="Times New Roman" w:hAnsi="Times New Roman" w:cs="Times New Roman"/>
          <w:sz w:val="24"/>
          <w:szCs w:val="24"/>
        </w:rPr>
      </w:pPr>
    </w:p>
    <w:p w14:paraId="1958D663" w14:textId="36BFF4D5" w:rsidR="0007775B" w:rsidRDefault="0007775B" w:rsidP="00F933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Hopkins B (2017) </w:t>
      </w:r>
      <w:r w:rsidRPr="0066378C">
        <w:rPr>
          <w:rFonts w:ascii="Times New Roman" w:eastAsia="Times New Roman" w:hAnsi="Times New Roman" w:cs="Times New Roman"/>
          <w:sz w:val="24"/>
          <w:szCs w:val="24"/>
        </w:rPr>
        <w:t>Analysing the ‘migrant work ethic’ – Comparing managers’ perceptions of local workers and Central and Eastern European migrants in the United Kingdom</w:t>
      </w:r>
      <w:r>
        <w:rPr>
          <w:rFonts w:ascii="Times New Roman" w:eastAsia="Times New Roman" w:hAnsi="Times New Roman" w:cs="Times New Roman"/>
          <w:sz w:val="24"/>
          <w:szCs w:val="24"/>
        </w:rPr>
        <w:t xml:space="preserve">. </w:t>
      </w:r>
      <w:r w:rsidRPr="0066378C">
        <w:rPr>
          <w:rFonts w:ascii="Times New Roman" w:eastAsia="Times New Roman" w:hAnsi="Times New Roman" w:cs="Times New Roman"/>
          <w:i/>
          <w:sz w:val="24"/>
          <w:szCs w:val="24"/>
        </w:rPr>
        <w:t>European Urban and Regional Studies</w:t>
      </w:r>
      <w:r>
        <w:rPr>
          <w:rFonts w:ascii="Times New Roman" w:eastAsia="Times New Roman" w:hAnsi="Times New Roman" w:cs="Times New Roman"/>
          <w:sz w:val="24"/>
          <w:szCs w:val="24"/>
        </w:rPr>
        <w:t xml:space="preserve">. earlyview. </w:t>
      </w:r>
    </w:p>
    <w:p w14:paraId="3546596F" w14:textId="77777777" w:rsidR="0007775B" w:rsidRDefault="0007775B" w:rsidP="00F93371">
      <w:pPr>
        <w:spacing w:after="0" w:line="240" w:lineRule="auto"/>
        <w:jc w:val="both"/>
        <w:rPr>
          <w:rFonts w:ascii="Times New Roman" w:eastAsia="Times New Roman" w:hAnsi="Times New Roman" w:cs="Times New Roman"/>
          <w:sz w:val="24"/>
          <w:szCs w:val="24"/>
        </w:rPr>
      </w:pPr>
    </w:p>
    <w:p w14:paraId="1FC635F3" w14:textId="499E12F5" w:rsidR="0007775B" w:rsidRDefault="0007775B" w:rsidP="00F933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Hopkins B, Dawson C (2016) </w:t>
      </w:r>
      <w:r w:rsidRPr="00A1776E">
        <w:rPr>
          <w:rFonts w:ascii="Times New Roman" w:eastAsia="Times New Roman" w:hAnsi="Times New Roman" w:cs="Times New Roman"/>
          <w:sz w:val="24"/>
          <w:szCs w:val="24"/>
        </w:rPr>
        <w:t>Migrant workers and involuntary non-permanent jobs: agencies as new IR actors?</w:t>
      </w:r>
      <w:r>
        <w:rPr>
          <w:rFonts w:ascii="Times New Roman" w:eastAsia="Times New Roman" w:hAnsi="Times New Roman" w:cs="Times New Roman"/>
          <w:sz w:val="24"/>
          <w:szCs w:val="24"/>
        </w:rPr>
        <w:t xml:space="preserve"> </w:t>
      </w:r>
      <w:r w:rsidRPr="00A1776E">
        <w:rPr>
          <w:rFonts w:ascii="Times New Roman" w:eastAsia="Times New Roman" w:hAnsi="Times New Roman" w:cs="Times New Roman"/>
          <w:i/>
          <w:sz w:val="24"/>
          <w:szCs w:val="24"/>
        </w:rPr>
        <w:t>Industrial Relations Journal</w:t>
      </w:r>
      <w:r>
        <w:rPr>
          <w:rFonts w:ascii="Times New Roman" w:eastAsia="Times New Roman" w:hAnsi="Times New Roman" w:cs="Times New Roman"/>
          <w:sz w:val="24"/>
          <w:szCs w:val="24"/>
        </w:rPr>
        <w:t xml:space="preserve"> 47(2): 163-180.</w:t>
      </w:r>
    </w:p>
    <w:p w14:paraId="62AE5E0E" w14:textId="77777777" w:rsidR="0007775B" w:rsidRDefault="0007775B" w:rsidP="00F93371">
      <w:pPr>
        <w:spacing w:after="0" w:line="240" w:lineRule="auto"/>
        <w:jc w:val="both"/>
        <w:rPr>
          <w:rFonts w:ascii="Times New Roman" w:eastAsia="Times New Roman" w:hAnsi="Times New Roman" w:cs="Times New Roman"/>
          <w:sz w:val="24"/>
          <w:szCs w:val="24"/>
        </w:rPr>
      </w:pPr>
    </w:p>
    <w:p w14:paraId="16B0433B" w14:textId="77777777" w:rsidR="0007775B" w:rsidRDefault="0007775B" w:rsidP="00F933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Hopkins B, Dawson C, and Veliziotis M (2016) </w:t>
      </w:r>
      <w:r w:rsidRPr="00861123">
        <w:rPr>
          <w:rFonts w:ascii="Times New Roman" w:hAnsi="Times New Roman" w:cs="Times New Roman"/>
          <w:sz w:val="24"/>
          <w:szCs w:val="24"/>
        </w:rPr>
        <w:t>Absence management of migrant agency workers in the food manufacturing sector</w:t>
      </w:r>
      <w:r>
        <w:rPr>
          <w:rFonts w:ascii="Times New Roman" w:hAnsi="Times New Roman" w:cs="Times New Roman"/>
          <w:sz w:val="24"/>
          <w:szCs w:val="24"/>
        </w:rPr>
        <w:t xml:space="preserve">. </w:t>
      </w:r>
      <w:r w:rsidRPr="00861123">
        <w:rPr>
          <w:rFonts w:ascii="Times New Roman" w:hAnsi="Times New Roman" w:cs="Times New Roman"/>
          <w:i/>
          <w:sz w:val="24"/>
          <w:szCs w:val="24"/>
        </w:rPr>
        <w:t>The International Journal of Human Resource Management</w:t>
      </w:r>
      <w:r>
        <w:rPr>
          <w:rFonts w:ascii="Times New Roman" w:hAnsi="Times New Roman" w:cs="Times New Roman"/>
          <w:sz w:val="24"/>
          <w:szCs w:val="24"/>
        </w:rPr>
        <w:t xml:space="preserve"> 27(10): 1082-1100.</w:t>
      </w:r>
    </w:p>
    <w:p w14:paraId="6B35C7C3" w14:textId="77777777" w:rsidR="0007775B" w:rsidRDefault="0007775B" w:rsidP="00F93371">
      <w:pPr>
        <w:spacing w:after="0" w:line="240" w:lineRule="auto"/>
        <w:jc w:val="both"/>
        <w:rPr>
          <w:rFonts w:ascii="Times New Roman" w:hAnsi="Times New Roman" w:cs="Times New Roman"/>
          <w:sz w:val="24"/>
          <w:szCs w:val="24"/>
        </w:rPr>
      </w:pPr>
    </w:p>
    <w:p w14:paraId="61965C86" w14:textId="2123886F" w:rsidR="004E5551" w:rsidRPr="00F93371" w:rsidRDefault="598A40B1" w:rsidP="00F93371">
      <w:pPr>
        <w:spacing w:after="0" w:line="240" w:lineRule="auto"/>
        <w:jc w:val="both"/>
        <w:rPr>
          <w:rFonts w:ascii="Times New Roman" w:eastAsia="Times New Roman" w:hAnsi="Times New Roman" w:cs="Times New Roman"/>
          <w:sz w:val="24"/>
          <w:szCs w:val="24"/>
          <w:lang w:val="en-US"/>
        </w:rPr>
      </w:pPr>
      <w:r w:rsidRPr="598A40B1">
        <w:rPr>
          <w:rFonts w:ascii="Times New Roman" w:eastAsia="Times New Roman" w:hAnsi="Times New Roman" w:cs="Times New Roman"/>
          <w:sz w:val="24"/>
          <w:szCs w:val="24"/>
          <w:lang w:val="en-US"/>
        </w:rPr>
        <w:t xml:space="preserve">Leigh JP (1991) Employee and job attributes as predictors of absenteeism in a national sample of workers: the importance of health and dangerous working conditions. </w:t>
      </w:r>
      <w:r w:rsidRPr="3B009953">
        <w:rPr>
          <w:rFonts w:ascii="Times New Roman" w:eastAsia="Times New Roman" w:hAnsi="Times New Roman" w:cs="Times New Roman"/>
          <w:i/>
          <w:iCs/>
          <w:sz w:val="24"/>
          <w:szCs w:val="24"/>
          <w:lang w:val="en-US"/>
        </w:rPr>
        <w:t>Social Science and Medicine</w:t>
      </w:r>
      <w:r w:rsidRPr="598A40B1">
        <w:rPr>
          <w:rFonts w:ascii="Times New Roman" w:eastAsia="Times New Roman" w:hAnsi="Times New Roman" w:cs="Times New Roman"/>
          <w:sz w:val="24"/>
          <w:szCs w:val="24"/>
          <w:lang w:val="en-US"/>
        </w:rPr>
        <w:t xml:space="preserve"> 33(2): 127-137.</w:t>
      </w:r>
    </w:p>
    <w:p w14:paraId="24B3C56D" w14:textId="77777777" w:rsidR="004E5551" w:rsidRPr="003A2C66" w:rsidRDefault="004E5551" w:rsidP="00BD73D3">
      <w:pPr>
        <w:spacing w:after="0" w:line="240" w:lineRule="auto"/>
        <w:jc w:val="both"/>
        <w:rPr>
          <w:rFonts w:ascii="Times New Roman" w:hAnsi="Times New Roman" w:cs="Times New Roman"/>
          <w:sz w:val="24"/>
          <w:szCs w:val="24"/>
          <w:lang w:val="en-US"/>
        </w:rPr>
      </w:pPr>
    </w:p>
    <w:p w14:paraId="1FA99D99" w14:textId="4CE6DD6C" w:rsidR="004E5551" w:rsidRPr="00F93371" w:rsidRDefault="598A40B1" w:rsidP="00F93371">
      <w:pPr>
        <w:spacing w:after="0" w:line="240" w:lineRule="auto"/>
        <w:jc w:val="both"/>
        <w:rPr>
          <w:rFonts w:ascii="Times New Roman" w:eastAsia="Times New Roman" w:hAnsi="Times New Roman" w:cs="Times New Roman"/>
          <w:sz w:val="24"/>
          <w:szCs w:val="24"/>
          <w:lang w:val="en"/>
        </w:rPr>
      </w:pPr>
      <w:r w:rsidRPr="598A40B1">
        <w:rPr>
          <w:rFonts w:ascii="Times New Roman" w:eastAsia="Times New Roman" w:hAnsi="Times New Roman" w:cs="Times New Roman"/>
          <w:sz w:val="24"/>
          <w:szCs w:val="24"/>
          <w:lang w:val="en"/>
        </w:rPr>
        <w:t xml:space="preserve">MacKenzie R, Forde C (2009) The rhetoric of the ‘good worker’ versus the realities of employers’ use and the experiences of migrant workers. </w:t>
      </w:r>
      <w:r w:rsidRPr="3B009953">
        <w:rPr>
          <w:rFonts w:ascii="Times New Roman" w:eastAsia="Times New Roman" w:hAnsi="Times New Roman" w:cs="Times New Roman"/>
          <w:i/>
          <w:iCs/>
          <w:sz w:val="24"/>
          <w:szCs w:val="24"/>
          <w:lang w:val="en"/>
        </w:rPr>
        <w:t>Work, Employment and Society</w:t>
      </w:r>
      <w:r w:rsidRPr="598A40B1">
        <w:rPr>
          <w:rFonts w:ascii="Times New Roman" w:eastAsia="Times New Roman" w:hAnsi="Times New Roman" w:cs="Times New Roman"/>
          <w:sz w:val="24"/>
          <w:szCs w:val="24"/>
          <w:lang w:val="en"/>
        </w:rPr>
        <w:t xml:space="preserve"> 23(1): 142-159.</w:t>
      </w:r>
    </w:p>
    <w:p w14:paraId="490FB67F" w14:textId="77777777" w:rsidR="004E5551" w:rsidRPr="003A2C66" w:rsidRDefault="004E5551" w:rsidP="00BD73D3">
      <w:pPr>
        <w:spacing w:after="0" w:line="240" w:lineRule="auto"/>
        <w:jc w:val="both"/>
        <w:rPr>
          <w:rFonts w:ascii="Times New Roman" w:hAnsi="Times New Roman" w:cs="Times New Roman"/>
          <w:sz w:val="24"/>
          <w:szCs w:val="24"/>
          <w:lang w:val="en"/>
        </w:rPr>
      </w:pPr>
    </w:p>
    <w:p w14:paraId="7AD8FDA6" w14:textId="1418BB78" w:rsidR="004E5551"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Matthews G, Ruhs M (2007) Are you being served?  Employer demand for migrant labour in the UK’s hospitality sector. COMPAS Working Paper WP-07-51, University of Oxford.</w:t>
      </w:r>
    </w:p>
    <w:p w14:paraId="7187CF80" w14:textId="77777777" w:rsidR="004E5551" w:rsidRPr="008F2942" w:rsidRDefault="004E5551" w:rsidP="00BD73D3">
      <w:pPr>
        <w:spacing w:after="0" w:line="240" w:lineRule="auto"/>
        <w:jc w:val="both"/>
        <w:rPr>
          <w:rFonts w:ascii="Times New Roman" w:hAnsi="Times New Roman" w:cs="Times New Roman"/>
          <w:sz w:val="24"/>
          <w:szCs w:val="24"/>
        </w:rPr>
      </w:pPr>
    </w:p>
    <w:p w14:paraId="27E15AAA" w14:textId="41D6490B" w:rsidR="00B94553" w:rsidRPr="003D6988" w:rsidRDefault="598A40B1" w:rsidP="00F93371">
      <w:pPr>
        <w:spacing w:after="0" w:line="240" w:lineRule="auto"/>
        <w:jc w:val="both"/>
        <w:rPr>
          <w:rFonts w:ascii="Times New Roman" w:eastAsia="Times New Roman" w:hAnsi="Times New Roman" w:cs="Times New Roman"/>
          <w:i/>
          <w:iCs/>
          <w:sz w:val="24"/>
          <w:szCs w:val="24"/>
        </w:rPr>
      </w:pPr>
      <w:r w:rsidRPr="598A40B1">
        <w:rPr>
          <w:rFonts w:ascii="Times New Roman" w:eastAsia="Times New Roman" w:hAnsi="Times New Roman" w:cs="Times New Roman"/>
          <w:sz w:val="24"/>
          <w:szCs w:val="24"/>
        </w:rPr>
        <w:t xml:space="preserve">McCollum D, Findlay A (2015) ‘Flexible’ workers for ‘flexible’ jobs?  The labour market function of A8 migrant labour in the UK. </w:t>
      </w:r>
      <w:r w:rsidRPr="3B009953">
        <w:rPr>
          <w:rFonts w:ascii="Times New Roman" w:eastAsia="Times New Roman" w:hAnsi="Times New Roman" w:cs="Times New Roman"/>
          <w:i/>
          <w:iCs/>
          <w:sz w:val="24"/>
          <w:szCs w:val="24"/>
        </w:rPr>
        <w:t>Work, Employment and Society</w:t>
      </w:r>
      <w:r w:rsidRPr="598A40B1">
        <w:rPr>
          <w:rFonts w:ascii="Times New Roman" w:eastAsia="Times New Roman" w:hAnsi="Times New Roman" w:cs="Times New Roman"/>
          <w:sz w:val="24"/>
          <w:szCs w:val="24"/>
        </w:rPr>
        <w:t xml:space="preserve"> 29(3): 427-443. </w:t>
      </w:r>
    </w:p>
    <w:p w14:paraId="13DCAB8F" w14:textId="77777777" w:rsidR="000021AE" w:rsidRDefault="000021AE" w:rsidP="00BD73D3">
      <w:pPr>
        <w:spacing w:after="0" w:line="240" w:lineRule="auto"/>
        <w:jc w:val="both"/>
        <w:rPr>
          <w:rFonts w:ascii="Times New Roman" w:eastAsia="Times New Roman" w:hAnsi="Times New Roman" w:cs="Times New Roman"/>
          <w:sz w:val="24"/>
          <w:szCs w:val="24"/>
        </w:rPr>
      </w:pPr>
    </w:p>
    <w:p w14:paraId="158B21F5" w14:textId="41E3D85B" w:rsidR="00BD73D3" w:rsidRDefault="598A40B1" w:rsidP="00BD73D3">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Piore M (1979) </w:t>
      </w:r>
      <w:r w:rsidRPr="3B009953">
        <w:rPr>
          <w:rFonts w:ascii="Times New Roman" w:eastAsia="Times New Roman" w:hAnsi="Times New Roman" w:cs="Times New Roman"/>
          <w:i/>
          <w:iCs/>
          <w:sz w:val="24"/>
          <w:szCs w:val="24"/>
        </w:rPr>
        <w:t>Birds of Passage: Migrant Labor and Industrial Societies</w:t>
      </w:r>
      <w:r w:rsidRPr="598A40B1">
        <w:rPr>
          <w:rFonts w:ascii="Times New Roman" w:eastAsia="Times New Roman" w:hAnsi="Times New Roman" w:cs="Times New Roman"/>
          <w:sz w:val="24"/>
          <w:szCs w:val="24"/>
        </w:rPr>
        <w:t>. New York: Cambridge University Press.</w:t>
      </w:r>
    </w:p>
    <w:p w14:paraId="1AAF568F" w14:textId="77777777" w:rsidR="00A1572F" w:rsidRDefault="00A1572F" w:rsidP="00BD73D3">
      <w:pPr>
        <w:spacing w:after="0" w:line="240" w:lineRule="auto"/>
        <w:jc w:val="both"/>
        <w:rPr>
          <w:rFonts w:ascii="Times New Roman" w:eastAsia="Times New Roman" w:hAnsi="Times New Roman" w:cs="Times New Roman"/>
          <w:sz w:val="24"/>
          <w:szCs w:val="24"/>
        </w:rPr>
      </w:pPr>
    </w:p>
    <w:p w14:paraId="53987D52" w14:textId="05140FA6" w:rsidR="00A1572F" w:rsidRPr="003806FE" w:rsidRDefault="00A1572F" w:rsidP="00BD73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ONS (2013) </w:t>
      </w:r>
      <w:r w:rsidRPr="3B009953">
        <w:rPr>
          <w:rFonts w:ascii="Times New Roman" w:eastAsia="Times New Roman" w:hAnsi="Times New Roman" w:cs="Times New Roman"/>
          <w:i/>
          <w:iCs/>
          <w:sz w:val="24"/>
          <w:szCs w:val="24"/>
        </w:rPr>
        <w:t>2011 Census: Detailed analysis - English language proficiency in England and Wales, Main language and general health characteristics</w:t>
      </w:r>
      <w:r w:rsidR="003806FE">
        <w:rPr>
          <w:rFonts w:ascii="Times New Roman" w:eastAsia="Times New Roman" w:hAnsi="Times New Roman" w:cs="Times New Roman"/>
          <w:sz w:val="24"/>
          <w:szCs w:val="24"/>
        </w:rPr>
        <w:t xml:space="preserve">. London: Office for National Statistics. </w:t>
      </w:r>
    </w:p>
    <w:p w14:paraId="2548BF87" w14:textId="77777777" w:rsidR="00BD73D3" w:rsidRPr="008F2942" w:rsidRDefault="00BD73D3" w:rsidP="00BD73D3">
      <w:pPr>
        <w:spacing w:after="0" w:line="240" w:lineRule="auto"/>
        <w:jc w:val="both"/>
        <w:rPr>
          <w:rFonts w:ascii="Times New Roman" w:hAnsi="Times New Roman" w:cs="Times New Roman"/>
          <w:color w:val="000000" w:themeColor="text1"/>
          <w:sz w:val="24"/>
          <w:szCs w:val="24"/>
        </w:rPr>
      </w:pPr>
    </w:p>
    <w:p w14:paraId="40800006" w14:textId="25C50D57" w:rsidR="00BD73D3" w:rsidRPr="00F93371" w:rsidRDefault="598A40B1" w:rsidP="00F93371">
      <w:pPr>
        <w:spacing w:after="0" w:line="240" w:lineRule="auto"/>
        <w:jc w:val="both"/>
        <w:rPr>
          <w:rFonts w:ascii="Times New Roman" w:eastAsia="Times New Roman" w:hAnsi="Times New Roman" w:cs="Times New Roman"/>
          <w:color w:val="000000" w:themeColor="text1"/>
          <w:sz w:val="24"/>
          <w:szCs w:val="24"/>
        </w:rPr>
      </w:pPr>
      <w:r w:rsidRPr="598A40B1">
        <w:rPr>
          <w:rFonts w:ascii="Times New Roman" w:eastAsia="Times New Roman" w:hAnsi="Times New Roman" w:cs="Times New Roman"/>
          <w:color w:val="000000" w:themeColor="text1"/>
          <w:sz w:val="24"/>
          <w:szCs w:val="24"/>
        </w:rPr>
        <w:t xml:space="preserve">Steers RM, Rhodes SR (1978) Major influences on employee attendance: a process model. </w:t>
      </w:r>
      <w:r w:rsidRPr="3B009953">
        <w:rPr>
          <w:rFonts w:ascii="Times New Roman" w:eastAsia="Times New Roman" w:hAnsi="Times New Roman" w:cs="Times New Roman"/>
          <w:i/>
          <w:iCs/>
          <w:color w:val="000000" w:themeColor="text1"/>
          <w:sz w:val="24"/>
          <w:szCs w:val="24"/>
        </w:rPr>
        <w:t>Journal of Applied Psychology</w:t>
      </w:r>
      <w:r w:rsidRPr="598A40B1">
        <w:rPr>
          <w:rFonts w:ascii="Times New Roman" w:eastAsia="Times New Roman" w:hAnsi="Times New Roman" w:cs="Times New Roman"/>
          <w:color w:val="000000" w:themeColor="text1"/>
          <w:sz w:val="24"/>
          <w:szCs w:val="24"/>
        </w:rPr>
        <w:t xml:space="preserve"> 63(4): 391-407.  </w:t>
      </w:r>
    </w:p>
    <w:p w14:paraId="098DB575" w14:textId="77777777" w:rsidR="00BD73D3" w:rsidRPr="003A2C66" w:rsidRDefault="00BD73D3" w:rsidP="00BD73D3">
      <w:pPr>
        <w:spacing w:after="0" w:line="240" w:lineRule="auto"/>
        <w:jc w:val="both"/>
        <w:rPr>
          <w:rFonts w:ascii="Times New Roman" w:hAnsi="Times New Roman" w:cs="Times New Roman"/>
          <w:sz w:val="24"/>
          <w:szCs w:val="24"/>
        </w:rPr>
      </w:pPr>
    </w:p>
    <w:p w14:paraId="1C7703BA" w14:textId="5FFD98FF" w:rsidR="00BD73D3"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Spence M (1973) Job market signalling. </w:t>
      </w:r>
      <w:r w:rsidRPr="3B009953">
        <w:rPr>
          <w:rFonts w:ascii="Times New Roman" w:eastAsia="Times New Roman" w:hAnsi="Times New Roman" w:cs="Times New Roman"/>
          <w:i/>
          <w:iCs/>
          <w:sz w:val="24"/>
          <w:szCs w:val="24"/>
        </w:rPr>
        <w:t>The Quarterly Journal of Economics</w:t>
      </w:r>
      <w:r w:rsidRPr="598A40B1">
        <w:rPr>
          <w:rFonts w:ascii="Times New Roman" w:eastAsia="Times New Roman" w:hAnsi="Times New Roman" w:cs="Times New Roman"/>
          <w:sz w:val="24"/>
          <w:szCs w:val="24"/>
        </w:rPr>
        <w:t xml:space="preserve"> 87(3) 355-374.</w:t>
      </w:r>
    </w:p>
    <w:p w14:paraId="3ADA02F5" w14:textId="77777777" w:rsidR="00BD73D3" w:rsidRPr="003A2C66" w:rsidRDefault="00BD73D3" w:rsidP="00BD73D3">
      <w:pPr>
        <w:spacing w:after="0" w:line="240" w:lineRule="auto"/>
        <w:jc w:val="both"/>
        <w:rPr>
          <w:rFonts w:ascii="Times New Roman" w:hAnsi="Times New Roman" w:cs="Times New Roman"/>
          <w:sz w:val="24"/>
          <w:szCs w:val="24"/>
          <w:shd w:val="clear" w:color="auto" w:fill="FFFFFF"/>
        </w:rPr>
      </w:pPr>
    </w:p>
    <w:p w14:paraId="58B03AA8" w14:textId="06E050CD" w:rsidR="00BD73D3" w:rsidRPr="00F93371" w:rsidRDefault="598A40B1" w:rsidP="00F93371">
      <w:pPr>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Tannock S (2013) Bad attitude? Migrant workers, meat processing work and the local unemployed in a peripheral region of the UK. </w:t>
      </w:r>
      <w:r w:rsidRPr="3B009953">
        <w:rPr>
          <w:rFonts w:ascii="Times New Roman" w:eastAsia="Times New Roman" w:hAnsi="Times New Roman" w:cs="Times New Roman"/>
          <w:i/>
          <w:iCs/>
          <w:sz w:val="24"/>
          <w:szCs w:val="24"/>
        </w:rPr>
        <w:t>European Urban and Regional Studies</w:t>
      </w:r>
      <w:r w:rsidRPr="598A40B1">
        <w:rPr>
          <w:rFonts w:ascii="Times New Roman" w:eastAsia="Times New Roman" w:hAnsi="Times New Roman" w:cs="Times New Roman"/>
          <w:sz w:val="24"/>
          <w:szCs w:val="24"/>
        </w:rPr>
        <w:t xml:space="preserve"> 22(4): 416-430.</w:t>
      </w:r>
    </w:p>
    <w:p w14:paraId="07B33DB2" w14:textId="77777777" w:rsidR="00D026F6" w:rsidRPr="008F2942" w:rsidRDefault="00D026F6" w:rsidP="00BD73D3">
      <w:pPr>
        <w:spacing w:after="0" w:line="240" w:lineRule="auto"/>
        <w:jc w:val="both"/>
        <w:rPr>
          <w:rFonts w:ascii="Times New Roman" w:hAnsi="Times New Roman" w:cs="Times New Roman"/>
          <w:sz w:val="24"/>
          <w:szCs w:val="24"/>
        </w:rPr>
      </w:pPr>
    </w:p>
    <w:p w14:paraId="23AC1949" w14:textId="39689785" w:rsidR="00B94553" w:rsidRDefault="000021AE" w:rsidP="00BD73D3">
      <w:pPr>
        <w:spacing w:after="0" w:line="240" w:lineRule="auto"/>
        <w:jc w:val="both"/>
        <w:rPr>
          <w:rFonts w:ascii="Times New Roman" w:eastAsia="Times New Roman" w:hAnsi="Times New Roman" w:cs="Times New Roman"/>
          <w:sz w:val="24"/>
          <w:szCs w:val="24"/>
        </w:rPr>
      </w:pPr>
      <w:r>
        <w:rPr>
          <w:rStyle w:val="apple-converted-space"/>
          <w:rFonts w:ascii="Times New Roman" w:eastAsia="Times New Roman" w:hAnsi="Times New Roman" w:cs="Times New Roman"/>
          <w:sz w:val="24"/>
          <w:szCs w:val="24"/>
          <w:shd w:val="clear" w:color="auto" w:fill="FFFFFF"/>
        </w:rPr>
        <w:t xml:space="preserve">Vershinina </w:t>
      </w:r>
      <w:r w:rsidR="00B94553">
        <w:rPr>
          <w:rStyle w:val="apple-converted-space"/>
          <w:rFonts w:ascii="Times New Roman" w:eastAsia="Times New Roman" w:hAnsi="Times New Roman" w:cs="Times New Roman"/>
          <w:sz w:val="24"/>
          <w:szCs w:val="24"/>
          <w:shd w:val="clear" w:color="auto" w:fill="FFFFFF"/>
        </w:rPr>
        <w:t>N, Barrett R</w:t>
      </w:r>
      <w:r>
        <w:rPr>
          <w:rStyle w:val="apple-converted-space"/>
          <w:rFonts w:ascii="Times New Roman" w:eastAsia="Times New Roman" w:hAnsi="Times New Roman" w:cs="Times New Roman"/>
          <w:sz w:val="24"/>
          <w:szCs w:val="24"/>
          <w:shd w:val="clear" w:color="auto" w:fill="FFFFFF"/>
        </w:rPr>
        <w:t>,</w:t>
      </w:r>
      <w:r w:rsidR="00B94553">
        <w:rPr>
          <w:rStyle w:val="apple-converted-space"/>
          <w:rFonts w:ascii="Times New Roman" w:eastAsia="Times New Roman" w:hAnsi="Times New Roman" w:cs="Times New Roman"/>
          <w:sz w:val="24"/>
          <w:szCs w:val="24"/>
          <w:shd w:val="clear" w:color="auto" w:fill="FFFFFF"/>
        </w:rPr>
        <w:t xml:space="preserve"> and Meyer M (2011) Forms of capital, intra-ethnic variation and Polish entrepreneurs in Leicester. </w:t>
      </w:r>
      <w:r w:rsidR="00B94553" w:rsidRPr="3B009953">
        <w:rPr>
          <w:rFonts w:ascii="Times New Roman" w:eastAsia="Times New Roman" w:hAnsi="Times New Roman" w:cs="Times New Roman"/>
          <w:i/>
          <w:iCs/>
          <w:sz w:val="24"/>
          <w:szCs w:val="24"/>
        </w:rPr>
        <w:t>Work, Employment and Society</w:t>
      </w:r>
      <w:r w:rsidR="00B94553">
        <w:rPr>
          <w:rFonts w:ascii="Times New Roman" w:eastAsia="Times New Roman" w:hAnsi="Times New Roman" w:cs="Times New Roman"/>
          <w:sz w:val="24"/>
          <w:szCs w:val="24"/>
        </w:rPr>
        <w:t xml:space="preserve"> 25(1): 101-117</w:t>
      </w:r>
      <w:r w:rsidR="00B94553" w:rsidRPr="338B1626">
        <w:rPr>
          <w:rFonts w:ascii="Times New Roman" w:eastAsia="Times New Roman" w:hAnsi="Times New Roman" w:cs="Times New Roman"/>
          <w:sz w:val="24"/>
          <w:szCs w:val="24"/>
        </w:rPr>
        <w:t>.</w:t>
      </w:r>
    </w:p>
    <w:p w14:paraId="5BCDF256" w14:textId="77777777" w:rsidR="001242C2" w:rsidRDefault="001242C2" w:rsidP="00BD73D3">
      <w:pPr>
        <w:spacing w:after="0" w:line="240" w:lineRule="auto"/>
        <w:jc w:val="both"/>
        <w:rPr>
          <w:rFonts w:ascii="Times New Roman" w:eastAsia="Times New Roman" w:hAnsi="Times New Roman" w:cs="Times New Roman"/>
          <w:sz w:val="24"/>
          <w:szCs w:val="24"/>
        </w:rPr>
      </w:pPr>
    </w:p>
    <w:p w14:paraId="06D6A24A" w14:textId="5D9B0B69" w:rsidR="001242C2" w:rsidRDefault="001242C2" w:rsidP="00BD73D3">
      <w:pPr>
        <w:spacing w:after="0" w:line="240" w:lineRule="auto"/>
        <w:jc w:val="both"/>
        <w:rPr>
          <w:rStyle w:val="apple-converted-space"/>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Wadsworth J (2015) </w:t>
      </w:r>
      <w:r w:rsidRPr="3B009953">
        <w:rPr>
          <w:rFonts w:ascii="Times New Roman" w:eastAsia="Times New Roman" w:hAnsi="Times New Roman" w:cs="Times New Roman"/>
          <w:i/>
          <w:iCs/>
          <w:sz w:val="24"/>
          <w:szCs w:val="24"/>
        </w:rPr>
        <w:t>Immigration and the UK Labour Market</w:t>
      </w:r>
      <w:r>
        <w:rPr>
          <w:rFonts w:ascii="Times New Roman" w:eastAsia="Times New Roman" w:hAnsi="Times New Roman" w:cs="Times New Roman"/>
          <w:sz w:val="24"/>
          <w:szCs w:val="24"/>
        </w:rPr>
        <w:t>. Paper No CEPEA019, Centre for Economic Performance, LSE</w:t>
      </w:r>
      <w:r w:rsidR="003806FE">
        <w:rPr>
          <w:rFonts w:ascii="Times New Roman" w:eastAsia="Times New Roman" w:hAnsi="Times New Roman" w:cs="Times New Roman"/>
          <w:sz w:val="24"/>
          <w:szCs w:val="24"/>
        </w:rPr>
        <w:t xml:space="preserve">. </w:t>
      </w:r>
    </w:p>
    <w:p w14:paraId="7F93214D" w14:textId="77777777" w:rsidR="0057608D" w:rsidRPr="008F2942" w:rsidRDefault="0057608D" w:rsidP="00BD73D3">
      <w:pPr>
        <w:spacing w:after="0" w:line="240" w:lineRule="auto"/>
        <w:jc w:val="both"/>
        <w:rPr>
          <w:rFonts w:ascii="Times New Roman" w:hAnsi="Times New Roman" w:cs="Times New Roman"/>
          <w:sz w:val="24"/>
          <w:szCs w:val="24"/>
        </w:rPr>
      </w:pPr>
    </w:p>
    <w:p w14:paraId="4F82F365" w14:textId="54682DEA" w:rsidR="0007775B" w:rsidRDefault="598A40B1" w:rsidP="00F93371">
      <w:pPr>
        <w:autoSpaceDE w:val="0"/>
        <w:autoSpaceDN w:val="0"/>
        <w:adjustRightInd w:val="0"/>
        <w:spacing w:after="0" w:line="240" w:lineRule="auto"/>
        <w:jc w:val="both"/>
        <w:rPr>
          <w:rFonts w:ascii="Times New Roman" w:eastAsia="Times New Roman" w:hAnsi="Times New Roman" w:cs="Times New Roman"/>
          <w:sz w:val="24"/>
          <w:szCs w:val="24"/>
        </w:rPr>
      </w:pPr>
      <w:r w:rsidRPr="598A40B1">
        <w:rPr>
          <w:rFonts w:ascii="Times New Roman" w:eastAsia="Times New Roman" w:hAnsi="Times New Roman" w:cs="Times New Roman"/>
          <w:sz w:val="24"/>
          <w:szCs w:val="24"/>
        </w:rPr>
        <w:t xml:space="preserve">Waldinger R, Lichter MI (2003) </w:t>
      </w:r>
      <w:r w:rsidRPr="3B009953">
        <w:rPr>
          <w:rFonts w:ascii="Times New Roman" w:eastAsia="Times New Roman" w:hAnsi="Times New Roman" w:cs="Times New Roman"/>
          <w:i/>
          <w:iCs/>
          <w:sz w:val="24"/>
          <w:szCs w:val="24"/>
        </w:rPr>
        <w:t>How the Other Half Works</w:t>
      </w:r>
      <w:r w:rsidRPr="598A40B1">
        <w:rPr>
          <w:rFonts w:ascii="Times New Roman" w:eastAsia="Times New Roman" w:hAnsi="Times New Roman" w:cs="Times New Roman"/>
          <w:sz w:val="24"/>
          <w:szCs w:val="24"/>
        </w:rPr>
        <w:t>.</w:t>
      </w:r>
      <w:r w:rsidRPr="3B009953">
        <w:rPr>
          <w:rFonts w:ascii="Times New Roman" w:eastAsia="Times New Roman" w:hAnsi="Times New Roman" w:cs="Times New Roman"/>
          <w:i/>
          <w:iCs/>
          <w:sz w:val="24"/>
          <w:szCs w:val="24"/>
        </w:rPr>
        <w:t xml:space="preserve"> </w:t>
      </w:r>
      <w:r w:rsidRPr="598A40B1">
        <w:rPr>
          <w:rFonts w:ascii="Times New Roman" w:eastAsia="Times New Roman" w:hAnsi="Times New Roman" w:cs="Times New Roman"/>
          <w:sz w:val="24"/>
          <w:szCs w:val="24"/>
        </w:rPr>
        <w:t>Berkeley: University of California Press.</w:t>
      </w:r>
    </w:p>
    <w:p w14:paraId="3BB65502" w14:textId="77777777" w:rsidR="0007775B" w:rsidRDefault="000777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70EF8B6" w14:textId="4B6544AE" w:rsidR="00BD73D3" w:rsidRPr="00666C9A" w:rsidRDefault="00666C9A" w:rsidP="00F93371">
      <w:pPr>
        <w:autoSpaceDE w:val="0"/>
        <w:autoSpaceDN w:val="0"/>
        <w:adjustRightInd w:val="0"/>
        <w:spacing w:after="0" w:line="240" w:lineRule="auto"/>
        <w:jc w:val="both"/>
        <w:rPr>
          <w:rFonts w:ascii="Times New Roman" w:eastAsia="Times New Roman" w:hAnsi="Times New Roman" w:cs="Times New Roman"/>
          <w:b/>
          <w:sz w:val="24"/>
          <w:szCs w:val="24"/>
        </w:rPr>
      </w:pPr>
      <w:r w:rsidRPr="00666C9A">
        <w:rPr>
          <w:rFonts w:ascii="Times New Roman" w:eastAsia="Times New Roman" w:hAnsi="Times New Roman" w:cs="Times New Roman"/>
          <w:b/>
          <w:sz w:val="24"/>
          <w:szCs w:val="24"/>
        </w:rPr>
        <w:t>AUTHOR BIOGRAPHIES</w:t>
      </w:r>
    </w:p>
    <w:p w14:paraId="42010A1C" w14:textId="054A88CF"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p>
    <w:p w14:paraId="176F26E6" w14:textId="014E5889"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p>
    <w:p w14:paraId="35A741C8" w14:textId="27F07DB0"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r w:rsidRPr="5CA61176">
        <w:rPr>
          <w:rFonts w:ascii="Times New Roman" w:eastAsia="Times New Roman" w:hAnsi="Times New Roman" w:cs="Times New Roman"/>
          <w:sz w:val="24"/>
          <w:szCs w:val="24"/>
        </w:rPr>
        <w:t>Dr Chris Dawson is currently Associate Professor in Business Economics at the School of Management, University of Bath. He is a labour economist, with a focus on the causes and consequences of atypical employment. He has also undertaken research funded by the Low Pay Commission.</w:t>
      </w:r>
    </w:p>
    <w:p w14:paraId="5012893A" w14:textId="725199F3"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p>
    <w:p w14:paraId="3F8BF284" w14:textId="5AC1EFC2"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r w:rsidRPr="5CA61176">
        <w:rPr>
          <w:rFonts w:ascii="Times New Roman" w:eastAsia="Times New Roman" w:hAnsi="Times New Roman" w:cs="Times New Roman"/>
          <w:sz w:val="24"/>
          <w:szCs w:val="24"/>
        </w:rPr>
        <w:t xml:space="preserve">Dr Michail Veliziotis is currently a </w:t>
      </w:r>
      <w:r>
        <w:rPr>
          <w:rFonts w:ascii="Times New Roman" w:eastAsia="Times New Roman" w:hAnsi="Times New Roman" w:cs="Times New Roman"/>
          <w:sz w:val="24"/>
          <w:szCs w:val="24"/>
        </w:rPr>
        <w:t>Lecturer in</w:t>
      </w:r>
      <w:r w:rsidRPr="5CA611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Human Resource Management </w:t>
      </w:r>
      <w:r w:rsidRPr="5CA61176">
        <w:rPr>
          <w:rFonts w:ascii="Times New Roman" w:eastAsia="Times New Roman" w:hAnsi="Times New Roman" w:cs="Times New Roman"/>
          <w:sz w:val="24"/>
          <w:szCs w:val="24"/>
        </w:rPr>
        <w:t xml:space="preserve">within the </w:t>
      </w:r>
      <w:r>
        <w:rPr>
          <w:rFonts w:ascii="Times New Roman" w:eastAsia="Times New Roman" w:hAnsi="Times New Roman" w:cs="Times New Roman"/>
          <w:sz w:val="24"/>
          <w:szCs w:val="24"/>
        </w:rPr>
        <w:t>Southampton</w:t>
      </w:r>
      <w:r w:rsidRPr="5CA61176">
        <w:rPr>
          <w:rFonts w:ascii="Times New Roman" w:eastAsia="Times New Roman" w:hAnsi="Times New Roman" w:cs="Times New Roman"/>
          <w:sz w:val="24"/>
          <w:szCs w:val="24"/>
        </w:rPr>
        <w:t xml:space="preserve"> Business School at the University of </w:t>
      </w:r>
      <w:r>
        <w:rPr>
          <w:rFonts w:ascii="Times New Roman" w:eastAsia="Times New Roman" w:hAnsi="Times New Roman" w:cs="Times New Roman"/>
          <w:sz w:val="24"/>
          <w:szCs w:val="24"/>
        </w:rPr>
        <w:t>Southampton</w:t>
      </w:r>
      <w:r w:rsidRPr="5CA61176">
        <w:rPr>
          <w:rFonts w:ascii="Times New Roman" w:eastAsia="Times New Roman" w:hAnsi="Times New Roman" w:cs="Times New Roman"/>
          <w:sz w:val="24"/>
          <w:szCs w:val="24"/>
        </w:rPr>
        <w:t>. His areas of expertise include employment studies, employee relations, and applied statistics.</w:t>
      </w:r>
      <w:r>
        <w:rPr>
          <w:rFonts w:ascii="Times New Roman" w:eastAsia="Times New Roman" w:hAnsi="Times New Roman" w:cs="Times New Roman"/>
          <w:sz w:val="24"/>
          <w:szCs w:val="24"/>
        </w:rPr>
        <w:t xml:space="preserve"> </w:t>
      </w:r>
      <w:r w:rsidRPr="5CA61176">
        <w:rPr>
          <w:rFonts w:ascii="Times New Roman" w:eastAsia="Times New Roman" w:hAnsi="Times New Roman" w:cs="Times New Roman"/>
          <w:sz w:val="24"/>
          <w:szCs w:val="24"/>
        </w:rPr>
        <w:t xml:space="preserve">His articles have appeared in journals such as the </w:t>
      </w:r>
      <w:r w:rsidRPr="5CA61176">
        <w:rPr>
          <w:rFonts w:ascii="Times New Roman" w:eastAsia="Times New Roman" w:hAnsi="Times New Roman" w:cs="Times New Roman"/>
          <w:i/>
          <w:iCs/>
          <w:sz w:val="24"/>
          <w:szCs w:val="24"/>
        </w:rPr>
        <w:t>Economic and Industrial Democracy</w:t>
      </w:r>
      <w:r w:rsidRPr="5CA61176">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European Journal of Industrial Relations</w:t>
      </w:r>
      <w:r w:rsidRPr="5CA61176">
        <w:rPr>
          <w:rFonts w:ascii="Times New Roman" w:eastAsia="Times New Roman" w:hAnsi="Times New Roman" w:cs="Times New Roman"/>
          <w:sz w:val="24"/>
          <w:szCs w:val="24"/>
        </w:rPr>
        <w:t xml:space="preserve">, and </w:t>
      </w:r>
      <w:r w:rsidRPr="5CA61176">
        <w:rPr>
          <w:rFonts w:ascii="Times New Roman" w:eastAsia="Times New Roman" w:hAnsi="Times New Roman" w:cs="Times New Roman"/>
          <w:i/>
          <w:iCs/>
          <w:sz w:val="24"/>
          <w:szCs w:val="24"/>
        </w:rPr>
        <w:t>The International Journal of HRM</w:t>
      </w:r>
      <w:r w:rsidRPr="5CA61176">
        <w:rPr>
          <w:rFonts w:ascii="Times New Roman" w:eastAsia="Times New Roman" w:hAnsi="Times New Roman" w:cs="Times New Roman"/>
          <w:sz w:val="24"/>
          <w:szCs w:val="24"/>
        </w:rPr>
        <w:t>. He has also undertaken research funded by the Low Pay Commission</w:t>
      </w:r>
      <w:r>
        <w:rPr>
          <w:rFonts w:ascii="Times New Roman" w:eastAsia="Times New Roman" w:hAnsi="Times New Roman" w:cs="Times New Roman"/>
          <w:sz w:val="24"/>
          <w:szCs w:val="24"/>
        </w:rPr>
        <w:t xml:space="preserve"> and </w:t>
      </w:r>
      <w:r w:rsidRPr="5CA61176">
        <w:rPr>
          <w:rFonts w:ascii="Times New Roman" w:eastAsia="Times New Roman" w:hAnsi="Times New Roman" w:cs="Times New Roman"/>
          <w:sz w:val="24"/>
          <w:szCs w:val="24"/>
        </w:rPr>
        <w:t>the Joseph Rowntree Foundation.</w:t>
      </w:r>
    </w:p>
    <w:p w14:paraId="63732DF3" w14:textId="4C7C1D76" w:rsidR="0007775B"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p>
    <w:p w14:paraId="50831959" w14:textId="29167504" w:rsidR="0007775B" w:rsidRPr="00F93371" w:rsidRDefault="0007775B" w:rsidP="00F93371">
      <w:pPr>
        <w:autoSpaceDE w:val="0"/>
        <w:autoSpaceDN w:val="0"/>
        <w:adjustRightInd w:val="0"/>
        <w:spacing w:after="0" w:line="240" w:lineRule="auto"/>
        <w:jc w:val="both"/>
        <w:rPr>
          <w:rFonts w:ascii="Times New Roman" w:eastAsia="Times New Roman" w:hAnsi="Times New Roman" w:cs="Times New Roman"/>
          <w:sz w:val="24"/>
          <w:szCs w:val="24"/>
        </w:rPr>
      </w:pPr>
      <w:r w:rsidRPr="5CA61176">
        <w:rPr>
          <w:rFonts w:ascii="Times New Roman" w:eastAsia="Times New Roman" w:hAnsi="Times New Roman" w:cs="Times New Roman"/>
          <w:sz w:val="24"/>
          <w:szCs w:val="24"/>
        </w:rPr>
        <w:t>Dr Benjamin Hopkins is Lecturer in Work and Employment at the University of Leicester.  His research interests include non-permanent work, migration, and the causes and consequences of wage inequality.</w:t>
      </w:r>
    </w:p>
    <w:p w14:paraId="6A0A41E7" w14:textId="22AC6604" w:rsidR="00E2181C" w:rsidRDefault="00E2181C">
      <w:r>
        <w:br w:type="page"/>
      </w:r>
    </w:p>
    <w:p w14:paraId="1402B689" w14:textId="4669E6EA" w:rsidR="00E2181C" w:rsidRPr="00BB7264" w:rsidRDefault="598A40B1" w:rsidP="00BB7264">
      <w:pPr>
        <w:tabs>
          <w:tab w:val="left" w:pos="1089"/>
          <w:tab w:val="center" w:pos="4415"/>
        </w:tabs>
        <w:spacing w:after="0"/>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Figure 1: Distribution of A8 Migrants by Years of Migrant Residency in the UK</w:t>
      </w:r>
    </w:p>
    <w:p w14:paraId="66AB8912" w14:textId="7E08A802" w:rsidR="00E2181C" w:rsidRPr="00CB2B19" w:rsidRDefault="00CB2B19" w:rsidP="003B0520">
      <w:pPr>
        <w:tabs>
          <w:tab w:val="left" w:pos="1089"/>
          <w:tab w:val="center" w:pos="4415"/>
        </w:tabs>
        <w:spacing w:after="0"/>
        <w:rPr>
          <w:rFonts w:ascii="Times New Roman" w:hAnsi="Times New Roman" w:cs="Times New Roman"/>
          <w:b/>
          <w:sz w:val="24"/>
          <w:szCs w:val="24"/>
        </w:rPr>
      </w:pPr>
      <w:r w:rsidRPr="00FA78B5">
        <w:rPr>
          <w:noProof/>
          <w:lang w:eastAsia="zh-CN"/>
        </w:rPr>
        <w:drawing>
          <wp:inline distT="0" distB="0" distL="0" distR="0" wp14:anchorId="3C41A65A" wp14:editId="3D97A7AF">
            <wp:extent cx="3851910" cy="281861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8363" cy="2830649"/>
                    </a:xfrm>
                    <a:prstGeom prst="rect">
                      <a:avLst/>
                    </a:prstGeom>
                    <a:noFill/>
                    <a:ln>
                      <a:noFill/>
                    </a:ln>
                  </pic:spPr>
                </pic:pic>
              </a:graphicData>
            </a:graphic>
          </wp:inline>
        </w:drawing>
      </w:r>
    </w:p>
    <w:p w14:paraId="5DB67617" w14:textId="73F4A259" w:rsidR="00E2181C" w:rsidRPr="00BB7264" w:rsidRDefault="598A40B1">
      <w:pPr>
        <w:tabs>
          <w:tab w:val="left" w:pos="3245"/>
        </w:tabs>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Source: UK QLFS 2005-2012.</w:t>
      </w:r>
    </w:p>
    <w:p w14:paraId="077712F7" w14:textId="77777777" w:rsidR="00E2181C" w:rsidRDefault="00E2181C">
      <w:pPr>
        <w:rPr>
          <w:rFonts w:ascii="Times New Roman" w:hAnsi="Times New Roman" w:cs="Times New Roman"/>
          <w:b/>
          <w:sz w:val="24"/>
          <w:szCs w:val="24"/>
        </w:rPr>
      </w:pPr>
      <w:r>
        <w:rPr>
          <w:rFonts w:ascii="Times New Roman" w:hAnsi="Times New Roman" w:cs="Times New Roman"/>
          <w:b/>
          <w:sz w:val="24"/>
          <w:szCs w:val="24"/>
        </w:rPr>
        <w:br w:type="page"/>
      </w:r>
    </w:p>
    <w:p w14:paraId="435BB3D8" w14:textId="0C4E9E8A" w:rsidR="00E2181C" w:rsidRPr="0000359B" w:rsidRDefault="598A40B1" w:rsidP="0000359B">
      <w:pPr>
        <w:spacing w:after="0"/>
        <w:jc w:val="center"/>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Table 1: Absence from work by nationality</w:t>
      </w:r>
    </w:p>
    <w:p w14:paraId="300F4A8C" w14:textId="77777777" w:rsidR="00E2181C" w:rsidRDefault="00E2181C" w:rsidP="00E2181C">
      <w:pPr>
        <w:spacing w:after="0" w:line="240" w:lineRule="auto"/>
        <w:jc w:val="center"/>
        <w:rPr>
          <w:rFonts w:ascii="Times New Roman" w:hAnsi="Times New Roman" w:cs="Times New Roman"/>
        </w:rPr>
      </w:pPr>
    </w:p>
    <w:tbl>
      <w:tblPr>
        <w:tblW w:w="7148" w:type="dxa"/>
        <w:jc w:val="center"/>
        <w:tblBorders>
          <w:top w:val="single" w:sz="12" w:space="0" w:color="000000"/>
          <w:bottom w:val="single" w:sz="12" w:space="0" w:color="000000"/>
        </w:tblBorders>
        <w:tblLayout w:type="fixed"/>
        <w:tblLook w:val="0020" w:firstRow="1" w:lastRow="0" w:firstColumn="0" w:lastColumn="0" w:noHBand="0" w:noVBand="0"/>
      </w:tblPr>
      <w:tblGrid>
        <w:gridCol w:w="4130"/>
        <w:gridCol w:w="1408"/>
        <w:gridCol w:w="1610"/>
      </w:tblGrid>
      <w:tr w:rsidR="00E2181C" w14:paraId="5ADDF88B" w14:textId="77777777" w:rsidTr="0000359B">
        <w:trPr>
          <w:trHeight w:val="261"/>
          <w:jc w:val="center"/>
        </w:trPr>
        <w:tc>
          <w:tcPr>
            <w:tcW w:w="4130" w:type="dxa"/>
            <w:tcBorders>
              <w:top w:val="single" w:sz="12" w:space="0" w:color="000000" w:themeColor="text1"/>
              <w:left w:val="nil"/>
              <w:bottom w:val="single" w:sz="12" w:space="0" w:color="000000" w:themeColor="text1"/>
              <w:right w:val="nil"/>
            </w:tcBorders>
            <w:noWrap/>
            <w:vAlign w:val="center"/>
            <w:hideMark/>
          </w:tcPr>
          <w:p w14:paraId="55ABB7F9" w14:textId="77777777" w:rsidR="00E2181C" w:rsidRPr="0000359B" w:rsidRDefault="598A40B1" w:rsidP="0000359B">
            <w:pPr>
              <w:spacing w:after="0" w:line="240" w:lineRule="auto"/>
              <w:rPr>
                <w:rFonts w:ascii="Times New Roman" w:eastAsia="Times New Roman" w:hAnsi="Times New Roman" w:cs="Times New Roman"/>
                <w:b/>
                <w:bCs/>
                <w:sz w:val="20"/>
                <w:szCs w:val="20"/>
              </w:rPr>
            </w:pPr>
            <w:r w:rsidRPr="598A40B1">
              <w:rPr>
                <w:rFonts w:ascii="Times New Roman" w:eastAsia="Times New Roman" w:hAnsi="Times New Roman" w:cs="Times New Roman"/>
                <w:b/>
                <w:bCs/>
                <w:sz w:val="20"/>
                <w:szCs w:val="20"/>
              </w:rPr>
              <w:t>Variable</w:t>
            </w:r>
          </w:p>
        </w:tc>
        <w:tc>
          <w:tcPr>
            <w:tcW w:w="1408" w:type="dxa"/>
            <w:tcBorders>
              <w:top w:val="single" w:sz="12" w:space="0" w:color="000000" w:themeColor="text1"/>
              <w:left w:val="nil"/>
              <w:bottom w:val="single" w:sz="12" w:space="0" w:color="000000" w:themeColor="text1"/>
              <w:right w:val="nil"/>
            </w:tcBorders>
            <w:noWrap/>
            <w:vAlign w:val="center"/>
            <w:hideMark/>
          </w:tcPr>
          <w:p w14:paraId="37BDA080" w14:textId="77777777" w:rsidR="00E2181C" w:rsidRPr="0000359B" w:rsidRDefault="598A40B1" w:rsidP="0000359B">
            <w:pPr>
              <w:tabs>
                <w:tab w:val="decimal" w:pos="99"/>
              </w:tabs>
              <w:spacing w:after="0" w:line="240" w:lineRule="auto"/>
              <w:jc w:val="center"/>
              <w:rPr>
                <w:rFonts w:ascii="Times New Roman" w:eastAsia="Times New Roman" w:hAnsi="Times New Roman" w:cs="Times New Roman"/>
                <w:b/>
                <w:bCs/>
                <w:sz w:val="20"/>
                <w:szCs w:val="20"/>
              </w:rPr>
            </w:pPr>
            <w:r w:rsidRPr="598A40B1">
              <w:rPr>
                <w:rFonts w:ascii="Times New Roman" w:eastAsia="Times New Roman" w:hAnsi="Times New Roman" w:cs="Times New Roman"/>
                <w:b/>
                <w:bCs/>
                <w:sz w:val="20"/>
                <w:szCs w:val="20"/>
              </w:rPr>
              <w:t>UK Nationals</w:t>
            </w:r>
          </w:p>
        </w:tc>
        <w:tc>
          <w:tcPr>
            <w:tcW w:w="1610" w:type="dxa"/>
            <w:tcBorders>
              <w:top w:val="single" w:sz="12" w:space="0" w:color="000000" w:themeColor="text1"/>
              <w:left w:val="nil"/>
              <w:bottom w:val="single" w:sz="12" w:space="0" w:color="000000" w:themeColor="text1"/>
              <w:right w:val="nil"/>
            </w:tcBorders>
            <w:noWrap/>
            <w:vAlign w:val="center"/>
            <w:hideMark/>
          </w:tcPr>
          <w:p w14:paraId="00C32E90" w14:textId="77777777" w:rsidR="00E2181C" w:rsidRPr="0000359B" w:rsidRDefault="598A40B1" w:rsidP="0000359B">
            <w:pPr>
              <w:spacing w:after="0" w:line="240" w:lineRule="auto"/>
              <w:jc w:val="center"/>
              <w:rPr>
                <w:rFonts w:ascii="Times New Roman" w:eastAsia="Times New Roman" w:hAnsi="Times New Roman" w:cs="Times New Roman"/>
                <w:b/>
                <w:bCs/>
                <w:sz w:val="20"/>
                <w:szCs w:val="20"/>
              </w:rPr>
            </w:pPr>
            <w:r w:rsidRPr="598A40B1">
              <w:rPr>
                <w:rFonts w:ascii="Times New Roman" w:eastAsia="Times New Roman" w:hAnsi="Times New Roman" w:cs="Times New Roman"/>
                <w:b/>
                <w:bCs/>
                <w:sz w:val="20"/>
                <w:szCs w:val="20"/>
              </w:rPr>
              <w:t xml:space="preserve">A8 Migrants </w:t>
            </w:r>
          </w:p>
        </w:tc>
      </w:tr>
      <w:tr w:rsidR="00E2181C" w14:paraId="47072C0E" w14:textId="77777777" w:rsidTr="0000359B">
        <w:trPr>
          <w:trHeight w:val="261"/>
          <w:jc w:val="center"/>
        </w:trPr>
        <w:tc>
          <w:tcPr>
            <w:tcW w:w="4130" w:type="dxa"/>
            <w:tcBorders>
              <w:top w:val="nil"/>
              <w:left w:val="nil"/>
              <w:bottom w:val="nil"/>
              <w:right w:val="nil"/>
            </w:tcBorders>
            <w:noWrap/>
            <w:vAlign w:val="center"/>
            <w:hideMark/>
          </w:tcPr>
          <w:p w14:paraId="1094C91D" w14:textId="03185611" w:rsidR="00E2181C" w:rsidRDefault="00E2181C" w:rsidP="00E2181C">
            <w:pPr>
              <w:spacing w:after="0" w:line="240" w:lineRule="auto"/>
              <w:rPr>
                <w:rFonts w:ascii="Times New Roman" w:hAnsi="Times New Roman" w:cs="Times New Roman"/>
                <w:b/>
                <w:sz w:val="20"/>
                <w:szCs w:val="20"/>
              </w:rPr>
            </w:pPr>
          </w:p>
        </w:tc>
        <w:tc>
          <w:tcPr>
            <w:tcW w:w="1408" w:type="dxa"/>
            <w:tcBorders>
              <w:top w:val="nil"/>
              <w:left w:val="nil"/>
              <w:bottom w:val="nil"/>
              <w:right w:val="nil"/>
            </w:tcBorders>
            <w:noWrap/>
            <w:vAlign w:val="center"/>
          </w:tcPr>
          <w:p w14:paraId="36F40998" w14:textId="77777777" w:rsidR="00E2181C" w:rsidRDefault="00E2181C" w:rsidP="00E2181C">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4B20DE91" w14:textId="77777777" w:rsidR="00E2181C" w:rsidRDefault="00E2181C" w:rsidP="00E2181C">
            <w:pPr>
              <w:tabs>
                <w:tab w:val="decimal" w:pos="317"/>
              </w:tabs>
              <w:spacing w:after="0" w:line="240" w:lineRule="auto"/>
              <w:jc w:val="center"/>
              <w:rPr>
                <w:rFonts w:ascii="Times New Roman" w:hAnsi="Times New Roman" w:cs="Times New Roman"/>
                <w:sz w:val="20"/>
                <w:szCs w:val="20"/>
              </w:rPr>
            </w:pPr>
          </w:p>
        </w:tc>
      </w:tr>
      <w:tr w:rsidR="00E2181C" w14:paraId="7903D23E" w14:textId="77777777" w:rsidTr="0000359B">
        <w:trPr>
          <w:trHeight w:val="261"/>
          <w:jc w:val="center"/>
        </w:trPr>
        <w:tc>
          <w:tcPr>
            <w:tcW w:w="4130" w:type="dxa"/>
            <w:tcBorders>
              <w:top w:val="nil"/>
              <w:left w:val="nil"/>
              <w:bottom w:val="nil"/>
              <w:right w:val="nil"/>
            </w:tcBorders>
            <w:noWrap/>
            <w:vAlign w:val="center"/>
            <w:hideMark/>
          </w:tcPr>
          <w:p w14:paraId="7931E495" w14:textId="77777777" w:rsidR="00E2181C" w:rsidRPr="0000359B" w:rsidRDefault="598A40B1" w:rsidP="0000359B">
            <w:pPr>
              <w:spacing w:after="0" w:line="240" w:lineRule="auto"/>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Sickness Absence Probability</w:t>
            </w:r>
          </w:p>
        </w:tc>
        <w:tc>
          <w:tcPr>
            <w:tcW w:w="1408" w:type="dxa"/>
            <w:tcBorders>
              <w:top w:val="nil"/>
              <w:left w:val="nil"/>
              <w:bottom w:val="nil"/>
              <w:right w:val="nil"/>
            </w:tcBorders>
            <w:noWrap/>
            <w:vAlign w:val="center"/>
            <w:hideMark/>
          </w:tcPr>
          <w:p w14:paraId="0A1B1D9F" w14:textId="77777777" w:rsidR="00E2181C" w:rsidRPr="0000359B" w:rsidRDefault="00E2181C" w:rsidP="0000359B">
            <w:pPr>
              <w:tabs>
                <w:tab w:val="decimal" w:pos="459"/>
              </w:tabs>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0.043</w:t>
            </w:r>
          </w:p>
        </w:tc>
        <w:tc>
          <w:tcPr>
            <w:tcW w:w="1610" w:type="dxa"/>
            <w:tcBorders>
              <w:top w:val="nil"/>
              <w:left w:val="nil"/>
              <w:bottom w:val="nil"/>
              <w:right w:val="nil"/>
            </w:tcBorders>
            <w:noWrap/>
            <w:vAlign w:val="center"/>
            <w:hideMark/>
          </w:tcPr>
          <w:p w14:paraId="4D4C090B" w14:textId="77777777" w:rsidR="00E2181C" w:rsidRPr="0000359B" w:rsidRDefault="598A40B1" w:rsidP="0000359B">
            <w:pPr>
              <w:tabs>
                <w:tab w:val="decimal" w:pos="317"/>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0.024***</w:t>
            </w:r>
          </w:p>
        </w:tc>
      </w:tr>
      <w:tr w:rsidR="00E2181C" w14:paraId="17171C5A" w14:textId="77777777" w:rsidTr="0000359B">
        <w:trPr>
          <w:trHeight w:val="261"/>
          <w:jc w:val="center"/>
        </w:trPr>
        <w:tc>
          <w:tcPr>
            <w:tcW w:w="4130" w:type="dxa"/>
            <w:tcBorders>
              <w:top w:val="nil"/>
              <w:left w:val="nil"/>
              <w:bottom w:val="nil"/>
              <w:right w:val="nil"/>
            </w:tcBorders>
            <w:noWrap/>
            <w:vAlign w:val="center"/>
            <w:hideMark/>
          </w:tcPr>
          <w:p w14:paraId="22A5A044" w14:textId="77777777" w:rsidR="00E2181C" w:rsidRPr="0000359B" w:rsidRDefault="598A40B1" w:rsidP="0000359B">
            <w:pPr>
              <w:spacing w:after="0" w:line="240" w:lineRule="auto"/>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Sickness Absence Rate</w:t>
            </w:r>
          </w:p>
        </w:tc>
        <w:tc>
          <w:tcPr>
            <w:tcW w:w="1408" w:type="dxa"/>
            <w:tcBorders>
              <w:top w:val="nil"/>
              <w:left w:val="nil"/>
              <w:bottom w:val="nil"/>
              <w:right w:val="nil"/>
            </w:tcBorders>
            <w:noWrap/>
            <w:vAlign w:val="center"/>
            <w:hideMark/>
          </w:tcPr>
          <w:p w14:paraId="47022167" w14:textId="77777777" w:rsidR="00E2181C" w:rsidRPr="0000359B" w:rsidRDefault="00E2181C" w:rsidP="0000359B">
            <w:pPr>
              <w:tabs>
                <w:tab w:val="decimal" w:pos="459"/>
              </w:tabs>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0.031</w:t>
            </w:r>
          </w:p>
        </w:tc>
        <w:tc>
          <w:tcPr>
            <w:tcW w:w="1610" w:type="dxa"/>
            <w:tcBorders>
              <w:top w:val="nil"/>
              <w:left w:val="nil"/>
              <w:bottom w:val="nil"/>
              <w:right w:val="nil"/>
            </w:tcBorders>
            <w:noWrap/>
            <w:vAlign w:val="center"/>
            <w:hideMark/>
          </w:tcPr>
          <w:p w14:paraId="37C837F2" w14:textId="77777777" w:rsidR="00E2181C" w:rsidRPr="0000359B" w:rsidRDefault="598A40B1" w:rsidP="0000359B">
            <w:pPr>
              <w:tabs>
                <w:tab w:val="decimal" w:pos="317"/>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w:t>
            </w:r>
            <w:r w:rsidRPr="598A40B1">
              <w:rPr>
                <w:rFonts w:ascii="Times New Roman" w:eastAsia="Times New Roman" w:hAnsi="Times New Roman" w:cs="Times New Roman"/>
                <w:sz w:val="20"/>
                <w:szCs w:val="20"/>
                <w:lang w:val="el-GR"/>
              </w:rPr>
              <w:t>18</w:t>
            </w:r>
            <w:r w:rsidRPr="598A40B1">
              <w:rPr>
                <w:rFonts w:ascii="Times New Roman" w:eastAsia="Times New Roman" w:hAnsi="Times New Roman" w:cs="Times New Roman"/>
                <w:sz w:val="20"/>
                <w:szCs w:val="20"/>
              </w:rPr>
              <w:t>***</w:t>
            </w:r>
          </w:p>
        </w:tc>
      </w:tr>
      <w:tr w:rsidR="00E2181C" w14:paraId="13F06CED" w14:textId="77777777" w:rsidTr="0000359B">
        <w:trPr>
          <w:trHeight w:val="261"/>
          <w:jc w:val="center"/>
        </w:trPr>
        <w:tc>
          <w:tcPr>
            <w:tcW w:w="4130" w:type="dxa"/>
            <w:tcBorders>
              <w:top w:val="nil"/>
              <w:left w:val="nil"/>
              <w:bottom w:val="nil"/>
              <w:right w:val="nil"/>
            </w:tcBorders>
            <w:noWrap/>
            <w:vAlign w:val="center"/>
            <w:hideMark/>
          </w:tcPr>
          <w:p w14:paraId="6CA76F93" w14:textId="77777777" w:rsidR="00E2181C" w:rsidRPr="0000359B" w:rsidRDefault="598A40B1" w:rsidP="0000359B">
            <w:pPr>
              <w:spacing w:after="0" w:line="240" w:lineRule="auto"/>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Overall Absence Probability</w:t>
            </w:r>
          </w:p>
        </w:tc>
        <w:tc>
          <w:tcPr>
            <w:tcW w:w="1408" w:type="dxa"/>
            <w:tcBorders>
              <w:top w:val="nil"/>
              <w:left w:val="nil"/>
              <w:bottom w:val="nil"/>
              <w:right w:val="nil"/>
            </w:tcBorders>
            <w:noWrap/>
            <w:vAlign w:val="center"/>
            <w:hideMark/>
          </w:tcPr>
          <w:p w14:paraId="6E705429" w14:textId="77777777" w:rsidR="00E2181C" w:rsidRPr="0000359B" w:rsidRDefault="00E2181C" w:rsidP="0000359B">
            <w:pPr>
              <w:tabs>
                <w:tab w:val="decimal" w:pos="459"/>
              </w:tabs>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0.053</w:t>
            </w:r>
          </w:p>
        </w:tc>
        <w:tc>
          <w:tcPr>
            <w:tcW w:w="1610" w:type="dxa"/>
            <w:tcBorders>
              <w:top w:val="nil"/>
              <w:left w:val="nil"/>
              <w:bottom w:val="nil"/>
              <w:right w:val="nil"/>
            </w:tcBorders>
            <w:noWrap/>
            <w:vAlign w:val="center"/>
            <w:hideMark/>
          </w:tcPr>
          <w:p w14:paraId="6659892D" w14:textId="77777777" w:rsidR="00E2181C" w:rsidRPr="0000359B" w:rsidRDefault="598A40B1" w:rsidP="0000359B">
            <w:pPr>
              <w:tabs>
                <w:tab w:val="decimal" w:pos="317"/>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w:t>
            </w:r>
            <w:r w:rsidRPr="598A40B1">
              <w:rPr>
                <w:rFonts w:ascii="Times New Roman" w:eastAsia="Times New Roman" w:hAnsi="Times New Roman" w:cs="Times New Roman"/>
                <w:sz w:val="20"/>
                <w:szCs w:val="20"/>
                <w:lang w:val="el-GR"/>
              </w:rPr>
              <w:t>28</w:t>
            </w:r>
            <w:r w:rsidRPr="598A40B1">
              <w:rPr>
                <w:rFonts w:ascii="Times New Roman" w:eastAsia="Times New Roman" w:hAnsi="Times New Roman" w:cs="Times New Roman"/>
                <w:sz w:val="20"/>
                <w:szCs w:val="20"/>
              </w:rPr>
              <w:t>***</w:t>
            </w:r>
          </w:p>
        </w:tc>
      </w:tr>
      <w:tr w:rsidR="00E2181C" w14:paraId="4AFF5E60" w14:textId="77777777" w:rsidTr="0000359B">
        <w:trPr>
          <w:trHeight w:val="261"/>
          <w:jc w:val="center"/>
        </w:trPr>
        <w:tc>
          <w:tcPr>
            <w:tcW w:w="4130" w:type="dxa"/>
            <w:tcBorders>
              <w:top w:val="nil"/>
              <w:left w:val="nil"/>
              <w:bottom w:val="nil"/>
              <w:right w:val="nil"/>
            </w:tcBorders>
            <w:noWrap/>
            <w:vAlign w:val="center"/>
            <w:hideMark/>
          </w:tcPr>
          <w:p w14:paraId="098F70F4" w14:textId="77777777" w:rsidR="00E2181C" w:rsidRPr="0000359B" w:rsidRDefault="598A40B1" w:rsidP="0000359B">
            <w:pPr>
              <w:spacing w:after="0" w:line="240" w:lineRule="auto"/>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Overall Absence Rate</w:t>
            </w:r>
          </w:p>
        </w:tc>
        <w:tc>
          <w:tcPr>
            <w:tcW w:w="1408" w:type="dxa"/>
            <w:tcBorders>
              <w:top w:val="nil"/>
              <w:left w:val="nil"/>
              <w:bottom w:val="nil"/>
              <w:right w:val="nil"/>
            </w:tcBorders>
            <w:noWrap/>
            <w:vAlign w:val="center"/>
            <w:hideMark/>
          </w:tcPr>
          <w:p w14:paraId="5EED0499" w14:textId="77777777" w:rsidR="00E2181C" w:rsidRPr="0000359B" w:rsidRDefault="00E2181C" w:rsidP="0000359B">
            <w:pPr>
              <w:tabs>
                <w:tab w:val="decimal" w:pos="459"/>
              </w:tabs>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0.034</w:t>
            </w:r>
          </w:p>
        </w:tc>
        <w:tc>
          <w:tcPr>
            <w:tcW w:w="1610" w:type="dxa"/>
            <w:tcBorders>
              <w:top w:val="nil"/>
              <w:left w:val="nil"/>
              <w:bottom w:val="nil"/>
              <w:right w:val="nil"/>
            </w:tcBorders>
            <w:noWrap/>
            <w:vAlign w:val="center"/>
            <w:hideMark/>
          </w:tcPr>
          <w:p w14:paraId="45D6581E" w14:textId="77777777" w:rsidR="00E2181C" w:rsidRPr="0000359B" w:rsidRDefault="598A40B1" w:rsidP="0000359B">
            <w:pPr>
              <w:tabs>
                <w:tab w:val="decimal" w:pos="317"/>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0.01</w:t>
            </w:r>
            <w:r w:rsidRPr="598A40B1">
              <w:rPr>
                <w:rFonts w:ascii="Times New Roman" w:eastAsia="Times New Roman" w:hAnsi="Times New Roman" w:cs="Times New Roman"/>
                <w:sz w:val="20"/>
                <w:szCs w:val="20"/>
                <w:lang w:val="el-GR"/>
              </w:rPr>
              <w:t>9</w:t>
            </w:r>
            <w:r w:rsidRPr="598A40B1">
              <w:rPr>
                <w:rFonts w:ascii="Times New Roman" w:eastAsia="Times New Roman" w:hAnsi="Times New Roman" w:cs="Times New Roman"/>
                <w:sz w:val="20"/>
                <w:szCs w:val="20"/>
              </w:rPr>
              <w:t>***</w:t>
            </w:r>
          </w:p>
        </w:tc>
      </w:tr>
      <w:tr w:rsidR="00BD5C4D" w14:paraId="78BA6127" w14:textId="77777777" w:rsidTr="0000359B">
        <w:trPr>
          <w:trHeight w:val="261"/>
          <w:jc w:val="center"/>
        </w:trPr>
        <w:tc>
          <w:tcPr>
            <w:tcW w:w="4130" w:type="dxa"/>
            <w:tcBorders>
              <w:top w:val="nil"/>
              <w:left w:val="nil"/>
              <w:bottom w:val="nil"/>
              <w:right w:val="nil"/>
            </w:tcBorders>
            <w:noWrap/>
            <w:vAlign w:val="center"/>
          </w:tcPr>
          <w:p w14:paraId="41D45CCB" w14:textId="77777777" w:rsidR="00BD5C4D" w:rsidRDefault="00BD5C4D" w:rsidP="00E2181C">
            <w:pPr>
              <w:spacing w:after="0" w:line="240" w:lineRule="auto"/>
              <w:rPr>
                <w:rFonts w:ascii="Times New Roman" w:hAnsi="Times New Roman" w:cs="Times New Roman"/>
                <w:sz w:val="20"/>
                <w:szCs w:val="20"/>
              </w:rPr>
            </w:pPr>
          </w:p>
        </w:tc>
        <w:tc>
          <w:tcPr>
            <w:tcW w:w="1408" w:type="dxa"/>
            <w:tcBorders>
              <w:top w:val="nil"/>
              <w:left w:val="nil"/>
              <w:bottom w:val="nil"/>
              <w:right w:val="nil"/>
            </w:tcBorders>
            <w:noWrap/>
            <w:vAlign w:val="center"/>
          </w:tcPr>
          <w:p w14:paraId="0AF8C25F" w14:textId="77777777" w:rsidR="00BD5C4D" w:rsidRDefault="00BD5C4D" w:rsidP="00E2181C">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04457C33" w14:textId="77777777" w:rsidR="00BD5C4D" w:rsidRDefault="00BD5C4D" w:rsidP="00E2181C">
            <w:pPr>
              <w:tabs>
                <w:tab w:val="decimal" w:pos="317"/>
              </w:tabs>
              <w:spacing w:after="0" w:line="240" w:lineRule="auto"/>
              <w:jc w:val="center"/>
              <w:rPr>
                <w:rFonts w:ascii="Times New Roman" w:hAnsi="Times New Roman" w:cs="Times New Roman"/>
                <w:sz w:val="20"/>
                <w:szCs w:val="20"/>
              </w:rPr>
            </w:pPr>
          </w:p>
        </w:tc>
      </w:tr>
      <w:tr w:rsidR="00BD5C4D" w14:paraId="4B7C627E" w14:textId="77777777" w:rsidTr="0000359B">
        <w:trPr>
          <w:trHeight w:val="261"/>
          <w:jc w:val="center"/>
        </w:trPr>
        <w:tc>
          <w:tcPr>
            <w:tcW w:w="4130" w:type="dxa"/>
            <w:tcBorders>
              <w:top w:val="nil"/>
              <w:left w:val="nil"/>
              <w:bottom w:val="single" w:sz="12" w:space="0" w:color="auto"/>
              <w:right w:val="nil"/>
            </w:tcBorders>
            <w:noWrap/>
            <w:vAlign w:val="center"/>
          </w:tcPr>
          <w:p w14:paraId="212E10F4" w14:textId="4A2B2A32" w:rsidR="00BD5C4D" w:rsidRPr="0000359B" w:rsidRDefault="598A40B1" w:rsidP="0000359B">
            <w:pPr>
              <w:spacing w:after="0" w:line="240" w:lineRule="auto"/>
              <w:rPr>
                <w:rFonts w:ascii="Times New Roman" w:eastAsia="Times New Roman" w:hAnsi="Times New Roman" w:cs="Times New Roman"/>
                <w:b/>
                <w:bCs/>
                <w:sz w:val="20"/>
                <w:szCs w:val="20"/>
              </w:rPr>
            </w:pPr>
            <w:r w:rsidRPr="598A40B1">
              <w:rPr>
                <w:rFonts w:ascii="Times New Roman" w:eastAsia="Times New Roman" w:hAnsi="Times New Roman" w:cs="Times New Roman"/>
                <w:b/>
                <w:bCs/>
                <w:sz w:val="20"/>
                <w:szCs w:val="20"/>
              </w:rPr>
              <w:t>Observations</w:t>
            </w:r>
          </w:p>
        </w:tc>
        <w:tc>
          <w:tcPr>
            <w:tcW w:w="1408" w:type="dxa"/>
            <w:tcBorders>
              <w:top w:val="nil"/>
              <w:left w:val="nil"/>
              <w:bottom w:val="single" w:sz="12" w:space="0" w:color="auto"/>
              <w:right w:val="nil"/>
            </w:tcBorders>
            <w:noWrap/>
            <w:vAlign w:val="center"/>
          </w:tcPr>
          <w:p w14:paraId="7F4D16CF" w14:textId="283FC3C9" w:rsidR="00BD5C4D" w:rsidRPr="0000359B" w:rsidRDefault="598A40B1" w:rsidP="0000359B">
            <w:pPr>
              <w:tabs>
                <w:tab w:val="decimal" w:pos="459"/>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112,408</w:t>
            </w:r>
          </w:p>
        </w:tc>
        <w:tc>
          <w:tcPr>
            <w:tcW w:w="1610" w:type="dxa"/>
            <w:tcBorders>
              <w:top w:val="nil"/>
              <w:left w:val="nil"/>
              <w:bottom w:val="single" w:sz="12" w:space="0" w:color="auto"/>
              <w:right w:val="nil"/>
            </w:tcBorders>
            <w:noWrap/>
            <w:vAlign w:val="center"/>
          </w:tcPr>
          <w:p w14:paraId="4B710FEA" w14:textId="3146C06D" w:rsidR="00BD5C4D" w:rsidRPr="0000359B" w:rsidRDefault="598A40B1" w:rsidP="0000359B">
            <w:pPr>
              <w:tabs>
                <w:tab w:val="decimal" w:pos="317"/>
              </w:tabs>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1,396</w:t>
            </w:r>
          </w:p>
        </w:tc>
      </w:tr>
      <w:tr w:rsidR="00BD5C4D" w14:paraId="6536449B" w14:textId="77777777" w:rsidTr="0000359B">
        <w:trPr>
          <w:trHeight w:val="261"/>
          <w:jc w:val="center"/>
        </w:trPr>
        <w:tc>
          <w:tcPr>
            <w:tcW w:w="7148" w:type="dxa"/>
            <w:gridSpan w:val="3"/>
            <w:tcBorders>
              <w:top w:val="single" w:sz="12" w:space="0" w:color="auto"/>
              <w:left w:val="nil"/>
              <w:bottom w:val="nil"/>
              <w:right w:val="nil"/>
            </w:tcBorders>
            <w:noWrap/>
          </w:tcPr>
          <w:p w14:paraId="74FE8E63" w14:textId="77777777" w:rsidR="005D28CF" w:rsidRDefault="005D28CF" w:rsidP="00B14F6E">
            <w:pPr>
              <w:tabs>
                <w:tab w:val="decimal" w:pos="317"/>
              </w:tabs>
              <w:spacing w:after="0" w:line="240" w:lineRule="auto"/>
              <w:jc w:val="both"/>
              <w:rPr>
                <w:rFonts w:ascii="Times New Roman" w:hAnsi="Times New Roman" w:cs="Times New Roman"/>
                <w:sz w:val="16"/>
                <w:szCs w:val="16"/>
              </w:rPr>
            </w:pPr>
          </w:p>
          <w:p w14:paraId="6F861DCA" w14:textId="77777777" w:rsidR="00BD5C4D" w:rsidRPr="0000359B" w:rsidRDefault="598A40B1" w:rsidP="0000359B">
            <w:pPr>
              <w:tabs>
                <w:tab w:val="decimal" w:pos="317"/>
              </w:tabs>
              <w:spacing w:after="0" w:line="240" w:lineRule="auto"/>
              <w:jc w:val="both"/>
              <w:rPr>
                <w:rFonts w:ascii="Times New Roman" w:eastAsia="Times New Roman" w:hAnsi="Times New Roman" w:cs="Times New Roman"/>
                <w:sz w:val="16"/>
                <w:szCs w:val="16"/>
                <w:lang w:val="en-US"/>
              </w:rPr>
            </w:pPr>
            <w:r w:rsidRPr="598A40B1">
              <w:rPr>
                <w:rFonts w:ascii="Times New Roman" w:eastAsia="Times New Roman" w:hAnsi="Times New Roman" w:cs="Times New Roman"/>
                <w:sz w:val="16"/>
                <w:szCs w:val="16"/>
                <w:lang w:val="en-US"/>
              </w:rPr>
              <w:t xml:space="preserve">Source: UK QLFS 2005-2012. </w:t>
            </w:r>
          </w:p>
          <w:p w14:paraId="4B43057C" w14:textId="2482E636" w:rsidR="00BD5C4D" w:rsidRPr="0000359B" w:rsidRDefault="598A40B1" w:rsidP="0000359B">
            <w:pPr>
              <w:spacing w:after="0" w:line="240" w:lineRule="auto"/>
              <w:rPr>
                <w:rFonts w:ascii="Times New Roman" w:eastAsia="Times New Roman" w:hAnsi="Times New Roman" w:cs="Times New Roman"/>
                <w:sz w:val="20"/>
                <w:szCs w:val="20"/>
                <w:lang w:val="en-US"/>
              </w:rPr>
            </w:pPr>
            <w:r w:rsidRPr="598A40B1">
              <w:rPr>
                <w:rFonts w:ascii="Times New Roman" w:eastAsia="Times New Roman" w:hAnsi="Times New Roman" w:cs="Times New Roman"/>
                <w:sz w:val="16"/>
                <w:szCs w:val="16"/>
                <w:lang w:val="en-US"/>
              </w:rPr>
              <w:t xml:space="preserve">Notes: Numbers in table are sample means; *** </w:t>
            </w:r>
            <w:r w:rsidR="00CE5F3B">
              <w:rPr>
                <w:rFonts w:ascii="Times New Roman" w:eastAsia="Times New Roman" w:hAnsi="Times New Roman" w:cs="Times New Roman"/>
                <w:sz w:val="16"/>
                <w:szCs w:val="16"/>
                <w:lang w:val="en-US"/>
              </w:rPr>
              <w:t>t</w:t>
            </w:r>
            <w:r w:rsidR="00696484">
              <w:rPr>
                <w:rFonts w:ascii="Times New Roman" w:eastAsia="Times New Roman" w:hAnsi="Times New Roman" w:cs="Times New Roman"/>
                <w:sz w:val="16"/>
                <w:szCs w:val="16"/>
                <w:lang w:val="en-US"/>
              </w:rPr>
              <w:t>-test significant</w:t>
            </w:r>
            <w:r w:rsidRPr="598A40B1">
              <w:rPr>
                <w:rFonts w:ascii="Times New Roman" w:eastAsia="Times New Roman" w:hAnsi="Times New Roman" w:cs="Times New Roman"/>
                <w:sz w:val="16"/>
                <w:szCs w:val="16"/>
                <w:lang w:val="en-US"/>
              </w:rPr>
              <w:t xml:space="preserve"> at 1%. </w:t>
            </w:r>
          </w:p>
        </w:tc>
      </w:tr>
    </w:tbl>
    <w:p w14:paraId="04A9BE0F" w14:textId="69E873AF" w:rsidR="00CB2B19" w:rsidRDefault="00CB2B19"/>
    <w:p w14:paraId="15AADD1D" w14:textId="77777777" w:rsidR="00422F1E" w:rsidRDefault="00422F1E"/>
    <w:tbl>
      <w:tblPr>
        <w:tblW w:w="8378" w:type="dxa"/>
        <w:jc w:val="center"/>
        <w:tblLayout w:type="fixed"/>
        <w:tblLook w:val="04A0" w:firstRow="1" w:lastRow="0" w:firstColumn="1" w:lastColumn="0" w:noHBand="0" w:noVBand="1"/>
      </w:tblPr>
      <w:tblGrid>
        <w:gridCol w:w="3558"/>
        <w:gridCol w:w="1205"/>
        <w:gridCol w:w="1205"/>
        <w:gridCol w:w="1205"/>
        <w:gridCol w:w="1205"/>
      </w:tblGrid>
      <w:tr w:rsidR="00CB2B19" w:rsidRPr="005963B4" w14:paraId="4DE15072" w14:textId="77777777" w:rsidTr="0000359B">
        <w:trPr>
          <w:trHeight w:val="255"/>
          <w:jc w:val="center"/>
        </w:trPr>
        <w:tc>
          <w:tcPr>
            <w:tcW w:w="8378" w:type="dxa"/>
            <w:gridSpan w:val="5"/>
            <w:tcBorders>
              <w:left w:val="nil"/>
              <w:bottom w:val="single" w:sz="12" w:space="0" w:color="000000" w:themeColor="text1"/>
              <w:right w:val="nil"/>
            </w:tcBorders>
            <w:shd w:val="clear" w:color="auto" w:fill="auto"/>
            <w:noWrap/>
            <w:vAlign w:val="bottom"/>
            <w:hideMark/>
          </w:tcPr>
          <w:p w14:paraId="7EECE823" w14:textId="6066799F" w:rsidR="00CB2B19" w:rsidRPr="0000359B" w:rsidRDefault="598A40B1" w:rsidP="0000359B">
            <w:pPr>
              <w:spacing w:after="0"/>
              <w:jc w:val="center"/>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Table 2: A8 migrants and work absence – Regression results</w:t>
            </w:r>
          </w:p>
          <w:p w14:paraId="61928ABD" w14:textId="77777777" w:rsidR="00CB2B19" w:rsidRPr="005963B4" w:rsidRDefault="00CB2B19" w:rsidP="008F2942">
            <w:pPr>
              <w:spacing w:after="0" w:line="240" w:lineRule="auto"/>
              <w:jc w:val="center"/>
              <w:rPr>
                <w:rFonts w:ascii="Times New Roman" w:eastAsia="Times New Roman" w:hAnsi="Times New Roman" w:cs="Times New Roman"/>
                <w:sz w:val="20"/>
                <w:szCs w:val="20"/>
                <w:lang w:eastAsia="en-GB"/>
              </w:rPr>
            </w:pPr>
          </w:p>
        </w:tc>
      </w:tr>
      <w:tr w:rsidR="00CB2B19" w:rsidRPr="005963B4" w14:paraId="1F3736C4" w14:textId="77777777" w:rsidTr="0000359B">
        <w:trPr>
          <w:trHeight w:val="255"/>
          <w:jc w:val="center"/>
        </w:trPr>
        <w:tc>
          <w:tcPr>
            <w:tcW w:w="3558" w:type="dxa"/>
            <w:tcBorders>
              <w:top w:val="single" w:sz="12" w:space="0" w:color="000000" w:themeColor="text1"/>
              <w:left w:val="nil"/>
              <w:bottom w:val="nil"/>
              <w:right w:val="nil"/>
            </w:tcBorders>
            <w:shd w:val="clear" w:color="auto" w:fill="auto"/>
            <w:noWrap/>
            <w:vAlign w:val="bottom"/>
            <w:hideMark/>
          </w:tcPr>
          <w:p w14:paraId="57D812CF" w14:textId="77777777" w:rsidR="00CB2B19" w:rsidRPr="003D6988" w:rsidRDefault="598A40B1" w:rsidP="0000359B">
            <w:pPr>
              <w:spacing w:after="0" w:line="240" w:lineRule="auto"/>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 </w:t>
            </w:r>
          </w:p>
        </w:tc>
        <w:tc>
          <w:tcPr>
            <w:tcW w:w="1205" w:type="dxa"/>
            <w:tcBorders>
              <w:top w:val="single" w:sz="12" w:space="0" w:color="000000" w:themeColor="text1"/>
              <w:left w:val="nil"/>
              <w:bottom w:val="nil"/>
              <w:right w:val="nil"/>
            </w:tcBorders>
            <w:shd w:val="clear" w:color="auto" w:fill="auto"/>
            <w:noWrap/>
            <w:vAlign w:val="bottom"/>
            <w:hideMark/>
          </w:tcPr>
          <w:p w14:paraId="17567089"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(1)</w:t>
            </w:r>
          </w:p>
        </w:tc>
        <w:tc>
          <w:tcPr>
            <w:tcW w:w="1205" w:type="dxa"/>
            <w:tcBorders>
              <w:top w:val="single" w:sz="12" w:space="0" w:color="000000" w:themeColor="text1"/>
              <w:left w:val="nil"/>
              <w:bottom w:val="nil"/>
              <w:right w:val="nil"/>
            </w:tcBorders>
            <w:shd w:val="clear" w:color="auto" w:fill="auto"/>
            <w:noWrap/>
            <w:vAlign w:val="bottom"/>
            <w:hideMark/>
          </w:tcPr>
          <w:p w14:paraId="6A27E95F"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(2)</w:t>
            </w:r>
          </w:p>
        </w:tc>
        <w:tc>
          <w:tcPr>
            <w:tcW w:w="1205" w:type="dxa"/>
            <w:tcBorders>
              <w:top w:val="single" w:sz="12" w:space="0" w:color="000000" w:themeColor="text1"/>
              <w:left w:val="nil"/>
              <w:bottom w:val="nil"/>
              <w:right w:val="nil"/>
            </w:tcBorders>
            <w:shd w:val="clear" w:color="auto" w:fill="auto"/>
            <w:noWrap/>
            <w:vAlign w:val="bottom"/>
            <w:hideMark/>
          </w:tcPr>
          <w:p w14:paraId="1830C4CB"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(3)</w:t>
            </w:r>
          </w:p>
        </w:tc>
        <w:tc>
          <w:tcPr>
            <w:tcW w:w="1205" w:type="dxa"/>
            <w:tcBorders>
              <w:top w:val="single" w:sz="12" w:space="0" w:color="000000" w:themeColor="text1"/>
              <w:left w:val="nil"/>
              <w:bottom w:val="nil"/>
              <w:right w:val="nil"/>
            </w:tcBorders>
            <w:shd w:val="clear" w:color="auto" w:fill="auto"/>
            <w:noWrap/>
            <w:vAlign w:val="bottom"/>
            <w:hideMark/>
          </w:tcPr>
          <w:p w14:paraId="21FA6D13"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(4)</w:t>
            </w:r>
          </w:p>
        </w:tc>
      </w:tr>
      <w:tr w:rsidR="00CB2B19" w:rsidRPr="005963B4" w14:paraId="48C7A28D" w14:textId="77777777" w:rsidTr="0000359B">
        <w:trPr>
          <w:trHeight w:val="255"/>
          <w:jc w:val="center"/>
        </w:trPr>
        <w:tc>
          <w:tcPr>
            <w:tcW w:w="3558" w:type="dxa"/>
            <w:tcBorders>
              <w:top w:val="nil"/>
              <w:left w:val="nil"/>
              <w:bottom w:val="single" w:sz="12" w:space="0" w:color="000000" w:themeColor="text1"/>
              <w:right w:val="nil"/>
            </w:tcBorders>
            <w:shd w:val="clear" w:color="auto" w:fill="auto"/>
            <w:noWrap/>
            <w:vAlign w:val="bottom"/>
            <w:hideMark/>
          </w:tcPr>
          <w:p w14:paraId="243CADE9" w14:textId="77777777" w:rsidR="00CB2B19" w:rsidRPr="005963B4" w:rsidRDefault="00CB2B19" w:rsidP="008F2942">
            <w:pPr>
              <w:spacing w:after="0" w:line="240" w:lineRule="auto"/>
              <w:rPr>
                <w:rFonts w:ascii="Times New Roman" w:eastAsia="Times New Roman" w:hAnsi="Times New Roman" w:cs="Times New Roman"/>
                <w:b/>
                <w:sz w:val="20"/>
                <w:szCs w:val="20"/>
                <w:lang w:eastAsia="en-GB"/>
              </w:rPr>
            </w:pPr>
          </w:p>
        </w:tc>
        <w:tc>
          <w:tcPr>
            <w:tcW w:w="1205" w:type="dxa"/>
            <w:tcBorders>
              <w:top w:val="nil"/>
              <w:left w:val="nil"/>
              <w:bottom w:val="single" w:sz="12" w:space="0" w:color="000000" w:themeColor="text1"/>
              <w:right w:val="nil"/>
            </w:tcBorders>
            <w:shd w:val="clear" w:color="auto" w:fill="auto"/>
            <w:noWrap/>
            <w:vAlign w:val="bottom"/>
            <w:hideMark/>
          </w:tcPr>
          <w:p w14:paraId="46E879AB"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Sickness Absence Probability</w:t>
            </w:r>
          </w:p>
        </w:tc>
        <w:tc>
          <w:tcPr>
            <w:tcW w:w="1205" w:type="dxa"/>
            <w:tcBorders>
              <w:top w:val="nil"/>
              <w:left w:val="nil"/>
              <w:bottom w:val="single" w:sz="12" w:space="0" w:color="000000" w:themeColor="text1"/>
              <w:right w:val="nil"/>
            </w:tcBorders>
            <w:shd w:val="clear" w:color="auto" w:fill="auto"/>
            <w:noWrap/>
            <w:vAlign w:val="bottom"/>
            <w:hideMark/>
          </w:tcPr>
          <w:p w14:paraId="5F906D89"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Sickness Absence Rate</w:t>
            </w:r>
          </w:p>
        </w:tc>
        <w:tc>
          <w:tcPr>
            <w:tcW w:w="1205" w:type="dxa"/>
            <w:tcBorders>
              <w:top w:val="nil"/>
              <w:left w:val="nil"/>
              <w:bottom w:val="single" w:sz="12" w:space="0" w:color="000000" w:themeColor="text1"/>
              <w:right w:val="nil"/>
            </w:tcBorders>
            <w:shd w:val="clear" w:color="auto" w:fill="auto"/>
            <w:noWrap/>
            <w:vAlign w:val="bottom"/>
            <w:hideMark/>
          </w:tcPr>
          <w:p w14:paraId="42C7077F"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Overall Absence Probability</w:t>
            </w:r>
          </w:p>
        </w:tc>
        <w:tc>
          <w:tcPr>
            <w:tcW w:w="1205" w:type="dxa"/>
            <w:tcBorders>
              <w:top w:val="nil"/>
              <w:left w:val="nil"/>
              <w:bottom w:val="single" w:sz="12" w:space="0" w:color="000000" w:themeColor="text1"/>
              <w:right w:val="nil"/>
            </w:tcBorders>
            <w:shd w:val="clear" w:color="auto" w:fill="auto"/>
            <w:noWrap/>
            <w:vAlign w:val="bottom"/>
            <w:hideMark/>
          </w:tcPr>
          <w:p w14:paraId="68776E19"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Overall Absence Rate</w:t>
            </w:r>
          </w:p>
        </w:tc>
      </w:tr>
      <w:tr w:rsidR="00CB2B19" w:rsidRPr="005963B4" w14:paraId="334865C3" w14:textId="77777777" w:rsidTr="0000359B">
        <w:trPr>
          <w:trHeight w:val="255"/>
          <w:jc w:val="center"/>
        </w:trPr>
        <w:tc>
          <w:tcPr>
            <w:tcW w:w="3558" w:type="dxa"/>
            <w:tcBorders>
              <w:top w:val="single" w:sz="12" w:space="0" w:color="000000" w:themeColor="text1"/>
              <w:left w:val="nil"/>
              <w:bottom w:val="nil"/>
              <w:right w:val="nil"/>
            </w:tcBorders>
            <w:shd w:val="clear" w:color="auto" w:fill="auto"/>
            <w:noWrap/>
            <w:vAlign w:val="bottom"/>
            <w:hideMark/>
          </w:tcPr>
          <w:p w14:paraId="2DB3E386" w14:textId="77777777" w:rsidR="00CB2B19" w:rsidRPr="005963B4"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 </w:t>
            </w:r>
          </w:p>
        </w:tc>
        <w:tc>
          <w:tcPr>
            <w:tcW w:w="1205" w:type="dxa"/>
            <w:tcBorders>
              <w:top w:val="single" w:sz="12" w:space="0" w:color="000000" w:themeColor="text1"/>
              <w:left w:val="nil"/>
              <w:bottom w:val="nil"/>
              <w:right w:val="nil"/>
            </w:tcBorders>
            <w:shd w:val="clear" w:color="auto" w:fill="auto"/>
            <w:noWrap/>
            <w:vAlign w:val="bottom"/>
            <w:hideMark/>
          </w:tcPr>
          <w:p w14:paraId="692C5F86" w14:textId="77777777" w:rsidR="00CB2B19" w:rsidRPr="005963B4" w:rsidRDefault="598A40B1" w:rsidP="008F2942">
            <w:pPr>
              <w:tabs>
                <w:tab w:val="decimal" w:pos="272"/>
              </w:tabs>
              <w:spacing w:after="0" w:line="240" w:lineRule="auto"/>
              <w:jc w:val="center"/>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 </w:t>
            </w:r>
          </w:p>
        </w:tc>
        <w:tc>
          <w:tcPr>
            <w:tcW w:w="1205" w:type="dxa"/>
            <w:tcBorders>
              <w:top w:val="single" w:sz="12" w:space="0" w:color="000000" w:themeColor="text1"/>
              <w:left w:val="nil"/>
              <w:bottom w:val="nil"/>
              <w:right w:val="nil"/>
            </w:tcBorders>
            <w:shd w:val="clear" w:color="auto" w:fill="auto"/>
            <w:noWrap/>
            <w:vAlign w:val="bottom"/>
            <w:hideMark/>
          </w:tcPr>
          <w:p w14:paraId="66597B55" w14:textId="77777777" w:rsidR="00CB2B19" w:rsidRPr="005963B4" w:rsidRDefault="598A40B1" w:rsidP="008F2942">
            <w:pPr>
              <w:spacing w:after="0" w:line="240" w:lineRule="auto"/>
              <w:jc w:val="center"/>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 </w:t>
            </w:r>
          </w:p>
        </w:tc>
        <w:tc>
          <w:tcPr>
            <w:tcW w:w="1205" w:type="dxa"/>
            <w:tcBorders>
              <w:top w:val="single" w:sz="12" w:space="0" w:color="000000" w:themeColor="text1"/>
              <w:left w:val="nil"/>
              <w:bottom w:val="nil"/>
              <w:right w:val="nil"/>
            </w:tcBorders>
            <w:shd w:val="clear" w:color="auto" w:fill="auto"/>
            <w:noWrap/>
            <w:vAlign w:val="bottom"/>
            <w:hideMark/>
          </w:tcPr>
          <w:p w14:paraId="11DD5C0D" w14:textId="77777777" w:rsidR="00CB2B19" w:rsidRPr="005963B4" w:rsidRDefault="598A40B1" w:rsidP="008F2942">
            <w:pPr>
              <w:spacing w:after="0" w:line="240" w:lineRule="auto"/>
              <w:jc w:val="center"/>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 </w:t>
            </w:r>
          </w:p>
        </w:tc>
        <w:tc>
          <w:tcPr>
            <w:tcW w:w="1205" w:type="dxa"/>
            <w:tcBorders>
              <w:top w:val="single" w:sz="12" w:space="0" w:color="000000" w:themeColor="text1"/>
              <w:left w:val="nil"/>
              <w:bottom w:val="nil"/>
              <w:right w:val="nil"/>
            </w:tcBorders>
            <w:shd w:val="clear" w:color="auto" w:fill="auto"/>
            <w:noWrap/>
            <w:vAlign w:val="bottom"/>
            <w:hideMark/>
          </w:tcPr>
          <w:p w14:paraId="74210EF9" w14:textId="77777777" w:rsidR="00CB2B19" w:rsidRPr="005963B4" w:rsidRDefault="598A40B1" w:rsidP="008F2942">
            <w:pPr>
              <w:spacing w:after="0" w:line="240" w:lineRule="auto"/>
              <w:jc w:val="center"/>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 </w:t>
            </w:r>
          </w:p>
        </w:tc>
      </w:tr>
      <w:tr w:rsidR="00CB2B19" w:rsidRPr="005963B4" w14:paraId="06889FCE" w14:textId="77777777" w:rsidTr="0000359B">
        <w:trPr>
          <w:trHeight w:val="255"/>
          <w:jc w:val="center"/>
        </w:trPr>
        <w:tc>
          <w:tcPr>
            <w:tcW w:w="3558" w:type="dxa"/>
            <w:tcBorders>
              <w:top w:val="nil"/>
              <w:left w:val="nil"/>
              <w:bottom w:val="nil"/>
              <w:right w:val="nil"/>
            </w:tcBorders>
            <w:shd w:val="clear" w:color="auto" w:fill="auto"/>
            <w:noWrap/>
            <w:vAlign w:val="bottom"/>
            <w:hideMark/>
          </w:tcPr>
          <w:p w14:paraId="7B74B4B1" w14:textId="77777777" w:rsidR="00CB2B19" w:rsidRPr="005963B4"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A8</w:t>
            </w:r>
          </w:p>
        </w:tc>
        <w:tc>
          <w:tcPr>
            <w:tcW w:w="1205" w:type="dxa"/>
            <w:tcBorders>
              <w:top w:val="nil"/>
              <w:left w:val="nil"/>
              <w:bottom w:val="nil"/>
              <w:right w:val="nil"/>
            </w:tcBorders>
            <w:shd w:val="clear" w:color="auto" w:fill="auto"/>
            <w:noWrap/>
            <w:vAlign w:val="bottom"/>
            <w:hideMark/>
          </w:tcPr>
          <w:p w14:paraId="4744D5BF"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-0.0333***</w:t>
            </w:r>
          </w:p>
        </w:tc>
        <w:tc>
          <w:tcPr>
            <w:tcW w:w="1205" w:type="dxa"/>
            <w:tcBorders>
              <w:top w:val="nil"/>
              <w:left w:val="nil"/>
              <w:bottom w:val="nil"/>
              <w:right w:val="nil"/>
            </w:tcBorders>
            <w:shd w:val="clear" w:color="auto" w:fill="auto"/>
            <w:noWrap/>
            <w:vAlign w:val="bottom"/>
            <w:hideMark/>
          </w:tcPr>
          <w:p w14:paraId="36C8EC5C"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-0.0211***</w:t>
            </w:r>
          </w:p>
        </w:tc>
        <w:tc>
          <w:tcPr>
            <w:tcW w:w="1205" w:type="dxa"/>
            <w:tcBorders>
              <w:top w:val="nil"/>
              <w:left w:val="nil"/>
              <w:bottom w:val="nil"/>
              <w:right w:val="nil"/>
            </w:tcBorders>
            <w:shd w:val="clear" w:color="auto" w:fill="auto"/>
            <w:noWrap/>
            <w:vAlign w:val="bottom"/>
            <w:hideMark/>
          </w:tcPr>
          <w:p w14:paraId="55205572"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-0.0354***</w:t>
            </w:r>
          </w:p>
        </w:tc>
        <w:tc>
          <w:tcPr>
            <w:tcW w:w="1205" w:type="dxa"/>
            <w:tcBorders>
              <w:top w:val="nil"/>
              <w:left w:val="nil"/>
              <w:bottom w:val="nil"/>
              <w:right w:val="nil"/>
            </w:tcBorders>
            <w:shd w:val="clear" w:color="auto" w:fill="auto"/>
            <w:noWrap/>
            <w:vAlign w:val="bottom"/>
            <w:hideMark/>
          </w:tcPr>
          <w:p w14:paraId="547ACFF4"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-0.0202***</w:t>
            </w:r>
          </w:p>
        </w:tc>
      </w:tr>
      <w:tr w:rsidR="00CB2B19" w:rsidRPr="005963B4" w14:paraId="0B889E0D" w14:textId="77777777" w:rsidTr="0000359B">
        <w:trPr>
          <w:trHeight w:val="255"/>
          <w:jc w:val="center"/>
        </w:trPr>
        <w:tc>
          <w:tcPr>
            <w:tcW w:w="3558" w:type="dxa"/>
            <w:tcBorders>
              <w:top w:val="nil"/>
              <w:left w:val="nil"/>
              <w:bottom w:val="nil"/>
              <w:right w:val="nil"/>
            </w:tcBorders>
            <w:shd w:val="clear" w:color="auto" w:fill="auto"/>
            <w:noWrap/>
            <w:vAlign w:val="bottom"/>
            <w:hideMark/>
          </w:tcPr>
          <w:p w14:paraId="42676559" w14:textId="77777777" w:rsidR="00CB2B19" w:rsidRPr="005963B4" w:rsidRDefault="00CB2B19" w:rsidP="008F2942">
            <w:pPr>
              <w:spacing w:after="0" w:line="240" w:lineRule="auto"/>
              <w:rPr>
                <w:rFonts w:ascii="Times New Roman" w:eastAsia="Times New Roman" w:hAnsi="Times New Roman" w:cs="Times New Roman"/>
                <w:sz w:val="20"/>
                <w:szCs w:val="20"/>
                <w:lang w:eastAsia="en-GB"/>
              </w:rPr>
            </w:pPr>
          </w:p>
        </w:tc>
        <w:tc>
          <w:tcPr>
            <w:tcW w:w="1205" w:type="dxa"/>
            <w:tcBorders>
              <w:top w:val="nil"/>
              <w:left w:val="nil"/>
              <w:bottom w:val="nil"/>
              <w:right w:val="nil"/>
            </w:tcBorders>
            <w:shd w:val="clear" w:color="auto" w:fill="auto"/>
            <w:noWrap/>
            <w:vAlign w:val="bottom"/>
            <w:hideMark/>
          </w:tcPr>
          <w:p w14:paraId="13A7D410"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[0.0058]</w:t>
            </w:r>
          </w:p>
        </w:tc>
        <w:tc>
          <w:tcPr>
            <w:tcW w:w="1205" w:type="dxa"/>
            <w:tcBorders>
              <w:top w:val="nil"/>
              <w:left w:val="nil"/>
              <w:bottom w:val="nil"/>
              <w:right w:val="nil"/>
            </w:tcBorders>
            <w:shd w:val="clear" w:color="auto" w:fill="auto"/>
            <w:noWrap/>
            <w:vAlign w:val="bottom"/>
            <w:hideMark/>
          </w:tcPr>
          <w:p w14:paraId="287F1D4A"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[0.0045]</w:t>
            </w:r>
          </w:p>
        </w:tc>
        <w:tc>
          <w:tcPr>
            <w:tcW w:w="1205" w:type="dxa"/>
            <w:tcBorders>
              <w:top w:val="nil"/>
              <w:left w:val="nil"/>
              <w:bottom w:val="nil"/>
              <w:right w:val="nil"/>
            </w:tcBorders>
            <w:shd w:val="clear" w:color="auto" w:fill="auto"/>
            <w:noWrap/>
            <w:vAlign w:val="bottom"/>
            <w:hideMark/>
          </w:tcPr>
          <w:p w14:paraId="2F93718E"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[0.0069]</w:t>
            </w:r>
          </w:p>
        </w:tc>
        <w:tc>
          <w:tcPr>
            <w:tcW w:w="1205" w:type="dxa"/>
            <w:tcBorders>
              <w:top w:val="nil"/>
              <w:left w:val="nil"/>
              <w:bottom w:val="nil"/>
              <w:right w:val="nil"/>
            </w:tcBorders>
            <w:shd w:val="clear" w:color="auto" w:fill="auto"/>
            <w:noWrap/>
            <w:vAlign w:val="bottom"/>
            <w:hideMark/>
          </w:tcPr>
          <w:p w14:paraId="46782DFA"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[0.0049]</w:t>
            </w:r>
          </w:p>
        </w:tc>
      </w:tr>
      <w:tr w:rsidR="00CB2B19" w:rsidRPr="005963B4" w14:paraId="214191D0" w14:textId="77777777" w:rsidTr="0000359B">
        <w:trPr>
          <w:trHeight w:val="255"/>
          <w:jc w:val="center"/>
        </w:trPr>
        <w:tc>
          <w:tcPr>
            <w:tcW w:w="3558" w:type="dxa"/>
            <w:tcBorders>
              <w:top w:val="nil"/>
              <w:left w:val="nil"/>
              <w:bottom w:val="nil"/>
              <w:right w:val="nil"/>
            </w:tcBorders>
            <w:shd w:val="clear" w:color="auto" w:fill="auto"/>
            <w:noWrap/>
            <w:vAlign w:val="bottom"/>
            <w:hideMark/>
          </w:tcPr>
          <w:p w14:paraId="1323FE1D" w14:textId="77777777" w:rsidR="00CB2B19" w:rsidRPr="005963B4"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A8*(Years in UK)</w:t>
            </w:r>
          </w:p>
        </w:tc>
        <w:tc>
          <w:tcPr>
            <w:tcW w:w="1205" w:type="dxa"/>
            <w:tcBorders>
              <w:top w:val="nil"/>
              <w:left w:val="nil"/>
              <w:bottom w:val="nil"/>
              <w:right w:val="nil"/>
            </w:tcBorders>
            <w:shd w:val="clear" w:color="auto" w:fill="auto"/>
            <w:noWrap/>
            <w:vAlign w:val="bottom"/>
            <w:hideMark/>
          </w:tcPr>
          <w:p w14:paraId="66D86A83"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0.0080***</w:t>
            </w:r>
          </w:p>
        </w:tc>
        <w:tc>
          <w:tcPr>
            <w:tcW w:w="1205" w:type="dxa"/>
            <w:tcBorders>
              <w:top w:val="nil"/>
              <w:left w:val="nil"/>
              <w:bottom w:val="nil"/>
              <w:right w:val="nil"/>
            </w:tcBorders>
            <w:shd w:val="clear" w:color="auto" w:fill="auto"/>
            <w:noWrap/>
            <w:vAlign w:val="bottom"/>
            <w:hideMark/>
          </w:tcPr>
          <w:p w14:paraId="177B047A"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0.0063***</w:t>
            </w:r>
          </w:p>
        </w:tc>
        <w:tc>
          <w:tcPr>
            <w:tcW w:w="1205" w:type="dxa"/>
            <w:tcBorders>
              <w:top w:val="nil"/>
              <w:left w:val="nil"/>
              <w:bottom w:val="nil"/>
              <w:right w:val="nil"/>
            </w:tcBorders>
            <w:shd w:val="clear" w:color="auto" w:fill="auto"/>
            <w:noWrap/>
            <w:vAlign w:val="bottom"/>
            <w:hideMark/>
          </w:tcPr>
          <w:p w14:paraId="65676A79"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0.0072***</w:t>
            </w:r>
          </w:p>
        </w:tc>
        <w:tc>
          <w:tcPr>
            <w:tcW w:w="1205" w:type="dxa"/>
            <w:tcBorders>
              <w:top w:val="nil"/>
              <w:left w:val="nil"/>
              <w:bottom w:val="nil"/>
              <w:right w:val="nil"/>
            </w:tcBorders>
            <w:shd w:val="clear" w:color="auto" w:fill="auto"/>
            <w:noWrap/>
            <w:vAlign w:val="bottom"/>
            <w:hideMark/>
          </w:tcPr>
          <w:p w14:paraId="4B6C9FF7"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0.0059***</w:t>
            </w:r>
          </w:p>
        </w:tc>
      </w:tr>
      <w:tr w:rsidR="00CB2B19" w:rsidRPr="005963B4" w14:paraId="4A947813" w14:textId="77777777" w:rsidTr="0000359B">
        <w:trPr>
          <w:trHeight w:val="255"/>
          <w:jc w:val="center"/>
        </w:trPr>
        <w:tc>
          <w:tcPr>
            <w:tcW w:w="3558" w:type="dxa"/>
            <w:tcBorders>
              <w:top w:val="nil"/>
              <w:left w:val="nil"/>
              <w:bottom w:val="nil"/>
              <w:right w:val="nil"/>
            </w:tcBorders>
            <w:shd w:val="clear" w:color="auto" w:fill="auto"/>
            <w:noWrap/>
            <w:vAlign w:val="bottom"/>
            <w:hideMark/>
          </w:tcPr>
          <w:p w14:paraId="6B838C30" w14:textId="77777777" w:rsidR="00CB2B19" w:rsidRPr="005963B4" w:rsidRDefault="00CB2B19" w:rsidP="008F2942">
            <w:pPr>
              <w:spacing w:after="0" w:line="240" w:lineRule="auto"/>
              <w:rPr>
                <w:rFonts w:ascii="Times New Roman" w:eastAsia="Times New Roman" w:hAnsi="Times New Roman" w:cs="Times New Roman"/>
                <w:sz w:val="20"/>
                <w:szCs w:val="20"/>
                <w:lang w:eastAsia="en-GB"/>
              </w:rPr>
            </w:pPr>
          </w:p>
        </w:tc>
        <w:tc>
          <w:tcPr>
            <w:tcW w:w="1205" w:type="dxa"/>
            <w:tcBorders>
              <w:top w:val="nil"/>
              <w:left w:val="nil"/>
              <w:bottom w:val="nil"/>
              <w:right w:val="nil"/>
            </w:tcBorders>
            <w:shd w:val="clear" w:color="auto" w:fill="auto"/>
            <w:noWrap/>
            <w:vAlign w:val="bottom"/>
            <w:hideMark/>
          </w:tcPr>
          <w:p w14:paraId="30A5ED0C"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[0.0021]</w:t>
            </w:r>
          </w:p>
        </w:tc>
        <w:tc>
          <w:tcPr>
            <w:tcW w:w="1205" w:type="dxa"/>
            <w:tcBorders>
              <w:top w:val="nil"/>
              <w:left w:val="nil"/>
              <w:bottom w:val="nil"/>
              <w:right w:val="nil"/>
            </w:tcBorders>
            <w:shd w:val="clear" w:color="auto" w:fill="auto"/>
            <w:noWrap/>
            <w:vAlign w:val="bottom"/>
            <w:hideMark/>
          </w:tcPr>
          <w:p w14:paraId="6883B681"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[0.0018]</w:t>
            </w:r>
          </w:p>
        </w:tc>
        <w:tc>
          <w:tcPr>
            <w:tcW w:w="1205" w:type="dxa"/>
            <w:tcBorders>
              <w:top w:val="nil"/>
              <w:left w:val="nil"/>
              <w:bottom w:val="nil"/>
              <w:right w:val="nil"/>
            </w:tcBorders>
            <w:shd w:val="clear" w:color="auto" w:fill="auto"/>
            <w:noWrap/>
            <w:vAlign w:val="bottom"/>
            <w:hideMark/>
          </w:tcPr>
          <w:p w14:paraId="1FFD6834"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[0.0022]</w:t>
            </w:r>
          </w:p>
        </w:tc>
        <w:tc>
          <w:tcPr>
            <w:tcW w:w="1205" w:type="dxa"/>
            <w:tcBorders>
              <w:top w:val="nil"/>
              <w:left w:val="nil"/>
              <w:bottom w:val="nil"/>
              <w:right w:val="nil"/>
            </w:tcBorders>
            <w:shd w:val="clear" w:color="auto" w:fill="auto"/>
            <w:noWrap/>
            <w:vAlign w:val="bottom"/>
            <w:hideMark/>
          </w:tcPr>
          <w:p w14:paraId="57935799"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[0.0018]</w:t>
            </w:r>
          </w:p>
        </w:tc>
      </w:tr>
      <w:tr w:rsidR="008A03CD" w:rsidRPr="005963B4" w14:paraId="4CA0B4A7" w14:textId="77777777" w:rsidTr="0000359B">
        <w:trPr>
          <w:trHeight w:val="255"/>
          <w:jc w:val="center"/>
        </w:trPr>
        <w:tc>
          <w:tcPr>
            <w:tcW w:w="3558" w:type="dxa"/>
            <w:tcBorders>
              <w:top w:val="nil"/>
              <w:left w:val="nil"/>
              <w:bottom w:val="nil"/>
              <w:right w:val="nil"/>
            </w:tcBorders>
            <w:shd w:val="clear" w:color="auto" w:fill="auto"/>
            <w:noWrap/>
            <w:vAlign w:val="bottom"/>
          </w:tcPr>
          <w:p w14:paraId="20CD5973" w14:textId="77777777" w:rsidR="008A03CD" w:rsidRPr="005963B4" w:rsidRDefault="008A03CD" w:rsidP="008F2942">
            <w:pPr>
              <w:spacing w:after="0" w:line="240" w:lineRule="auto"/>
              <w:rPr>
                <w:rFonts w:ascii="Times New Roman" w:eastAsia="Times New Roman" w:hAnsi="Times New Roman" w:cs="Times New Roman"/>
                <w:sz w:val="20"/>
                <w:szCs w:val="20"/>
                <w:lang w:eastAsia="en-GB"/>
              </w:rPr>
            </w:pPr>
          </w:p>
        </w:tc>
        <w:tc>
          <w:tcPr>
            <w:tcW w:w="1205" w:type="dxa"/>
            <w:tcBorders>
              <w:top w:val="nil"/>
              <w:left w:val="nil"/>
              <w:bottom w:val="nil"/>
              <w:right w:val="nil"/>
            </w:tcBorders>
            <w:shd w:val="clear" w:color="auto" w:fill="auto"/>
            <w:noWrap/>
            <w:vAlign w:val="bottom"/>
          </w:tcPr>
          <w:p w14:paraId="00ED5065"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tcPr>
          <w:p w14:paraId="2B31EE56"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tcPr>
          <w:p w14:paraId="35912333"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c>
          <w:tcPr>
            <w:tcW w:w="1205" w:type="dxa"/>
            <w:tcBorders>
              <w:top w:val="nil"/>
              <w:left w:val="nil"/>
              <w:bottom w:val="nil"/>
              <w:right w:val="nil"/>
            </w:tcBorders>
            <w:shd w:val="clear" w:color="auto" w:fill="auto"/>
            <w:noWrap/>
            <w:vAlign w:val="bottom"/>
          </w:tcPr>
          <w:p w14:paraId="1C002539"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r>
      <w:tr w:rsidR="008A03CD" w:rsidRPr="005963B4" w14:paraId="46301F1C" w14:textId="77777777" w:rsidTr="0000359B">
        <w:trPr>
          <w:trHeight w:val="255"/>
          <w:jc w:val="center"/>
        </w:trPr>
        <w:tc>
          <w:tcPr>
            <w:tcW w:w="3558" w:type="dxa"/>
            <w:tcBorders>
              <w:top w:val="nil"/>
              <w:left w:val="nil"/>
              <w:bottom w:val="nil"/>
              <w:right w:val="nil"/>
            </w:tcBorders>
            <w:shd w:val="clear" w:color="auto" w:fill="auto"/>
            <w:noWrap/>
            <w:vAlign w:val="bottom"/>
          </w:tcPr>
          <w:p w14:paraId="4C3F464E" w14:textId="5E3C4BF5" w:rsidR="008A03CD" w:rsidRPr="005963B4"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Control variables</w:t>
            </w:r>
          </w:p>
        </w:tc>
        <w:tc>
          <w:tcPr>
            <w:tcW w:w="1205" w:type="dxa"/>
            <w:tcBorders>
              <w:top w:val="nil"/>
              <w:left w:val="nil"/>
              <w:bottom w:val="nil"/>
              <w:right w:val="nil"/>
            </w:tcBorders>
            <w:shd w:val="clear" w:color="auto" w:fill="auto"/>
            <w:noWrap/>
            <w:vAlign w:val="bottom"/>
          </w:tcPr>
          <w:p w14:paraId="3278FDCC" w14:textId="3DC2DFF7" w:rsidR="008A03CD" w:rsidRPr="338B1626" w:rsidRDefault="598A40B1" w:rsidP="008F2942">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Yes</w:t>
            </w:r>
          </w:p>
        </w:tc>
        <w:tc>
          <w:tcPr>
            <w:tcW w:w="1205" w:type="dxa"/>
            <w:tcBorders>
              <w:top w:val="nil"/>
              <w:left w:val="nil"/>
              <w:bottom w:val="nil"/>
              <w:right w:val="nil"/>
            </w:tcBorders>
            <w:shd w:val="clear" w:color="auto" w:fill="auto"/>
            <w:noWrap/>
            <w:vAlign w:val="bottom"/>
          </w:tcPr>
          <w:p w14:paraId="66AD3E51" w14:textId="7816E91C" w:rsidR="008A03CD" w:rsidRPr="338B1626" w:rsidRDefault="598A40B1" w:rsidP="008F2942">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Yes</w:t>
            </w:r>
          </w:p>
        </w:tc>
        <w:tc>
          <w:tcPr>
            <w:tcW w:w="1205" w:type="dxa"/>
            <w:tcBorders>
              <w:top w:val="nil"/>
              <w:left w:val="nil"/>
              <w:bottom w:val="nil"/>
              <w:right w:val="nil"/>
            </w:tcBorders>
            <w:shd w:val="clear" w:color="auto" w:fill="auto"/>
            <w:noWrap/>
            <w:vAlign w:val="bottom"/>
          </w:tcPr>
          <w:p w14:paraId="1F3CA702" w14:textId="21F9C3F8" w:rsidR="008A03CD" w:rsidRPr="338B1626" w:rsidRDefault="598A40B1" w:rsidP="008F2942">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Yes</w:t>
            </w:r>
          </w:p>
        </w:tc>
        <w:tc>
          <w:tcPr>
            <w:tcW w:w="1205" w:type="dxa"/>
            <w:tcBorders>
              <w:top w:val="nil"/>
              <w:left w:val="nil"/>
              <w:bottom w:val="nil"/>
              <w:right w:val="nil"/>
            </w:tcBorders>
            <w:shd w:val="clear" w:color="auto" w:fill="auto"/>
            <w:noWrap/>
            <w:vAlign w:val="bottom"/>
          </w:tcPr>
          <w:p w14:paraId="74DFBBAF" w14:textId="05DFD10C" w:rsidR="008A03CD" w:rsidRPr="338B1626" w:rsidRDefault="598A40B1" w:rsidP="008F2942">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Yes</w:t>
            </w:r>
          </w:p>
        </w:tc>
      </w:tr>
      <w:tr w:rsidR="00CB2B19" w:rsidRPr="005963B4" w14:paraId="56253E95" w14:textId="77777777" w:rsidTr="0000359B">
        <w:trPr>
          <w:trHeight w:val="255"/>
          <w:jc w:val="center"/>
        </w:trPr>
        <w:tc>
          <w:tcPr>
            <w:tcW w:w="8378" w:type="dxa"/>
            <w:gridSpan w:val="5"/>
            <w:tcBorders>
              <w:top w:val="single" w:sz="12" w:space="0" w:color="000000" w:themeColor="text1"/>
              <w:left w:val="nil"/>
              <w:right w:val="nil"/>
            </w:tcBorders>
            <w:shd w:val="clear" w:color="auto" w:fill="auto"/>
            <w:noWrap/>
            <w:vAlign w:val="bottom"/>
            <w:hideMark/>
          </w:tcPr>
          <w:p w14:paraId="3CCF5588" w14:textId="77777777" w:rsidR="00CB2B19" w:rsidRPr="005963B4" w:rsidRDefault="00CB2B19" w:rsidP="008F2942">
            <w:pPr>
              <w:spacing w:after="0" w:line="240" w:lineRule="auto"/>
              <w:jc w:val="both"/>
              <w:rPr>
                <w:rFonts w:ascii="Times New Roman" w:hAnsi="Times New Roman" w:cs="Times New Roman"/>
                <w:sz w:val="16"/>
                <w:szCs w:val="16"/>
                <w:lang w:val="en-US"/>
              </w:rPr>
            </w:pPr>
          </w:p>
          <w:p w14:paraId="79111A12" w14:textId="77777777" w:rsidR="00CB2B19" w:rsidRPr="0000359B" w:rsidRDefault="598A40B1" w:rsidP="0000359B">
            <w:pPr>
              <w:tabs>
                <w:tab w:val="decimal" w:pos="317"/>
              </w:tabs>
              <w:spacing w:after="0" w:line="240" w:lineRule="auto"/>
              <w:jc w:val="both"/>
              <w:rPr>
                <w:rFonts w:ascii="Times New Roman" w:eastAsia="Times New Roman" w:hAnsi="Times New Roman" w:cs="Times New Roman"/>
                <w:sz w:val="16"/>
                <w:szCs w:val="16"/>
                <w:lang w:val="en-US"/>
              </w:rPr>
            </w:pPr>
            <w:r w:rsidRPr="598A40B1">
              <w:rPr>
                <w:rFonts w:ascii="Times New Roman" w:eastAsia="Times New Roman" w:hAnsi="Times New Roman" w:cs="Times New Roman"/>
                <w:sz w:val="16"/>
                <w:szCs w:val="16"/>
                <w:lang w:val="en-US"/>
              </w:rPr>
              <w:t xml:space="preserve">Source: UK QLFS 2005-2012. </w:t>
            </w:r>
          </w:p>
          <w:p w14:paraId="20221250" w14:textId="70466009" w:rsidR="00CB2B19" w:rsidRPr="005963B4" w:rsidRDefault="598A40B1" w:rsidP="00CE5F3B">
            <w:pPr>
              <w:spacing w:after="0" w:line="240" w:lineRule="auto"/>
              <w:jc w:val="both"/>
              <w:rPr>
                <w:rFonts w:ascii="Times New Roman" w:eastAsia="Times New Roman" w:hAnsi="Times New Roman" w:cs="Times New Roman"/>
                <w:sz w:val="16"/>
                <w:szCs w:val="16"/>
                <w:lang w:eastAsia="en-GB"/>
              </w:rPr>
            </w:pPr>
            <w:r w:rsidRPr="598A40B1">
              <w:rPr>
                <w:rFonts w:ascii="Times New Roman" w:eastAsia="Times New Roman" w:hAnsi="Times New Roman" w:cs="Times New Roman"/>
                <w:sz w:val="16"/>
                <w:szCs w:val="16"/>
                <w:lang w:val="en-US"/>
              </w:rPr>
              <w:t xml:space="preserve">Notes: Sample size for all models is </w:t>
            </w:r>
            <w:r w:rsidRPr="598A40B1">
              <w:rPr>
                <w:rFonts w:ascii="Times New Roman" w:eastAsia="Times New Roman" w:hAnsi="Times New Roman" w:cs="Times New Roman"/>
                <w:sz w:val="16"/>
                <w:szCs w:val="16"/>
              </w:rPr>
              <w:t>113,804</w:t>
            </w:r>
            <w:r w:rsidRPr="598A40B1">
              <w:rPr>
                <w:rFonts w:ascii="Times New Roman" w:eastAsia="Times New Roman" w:hAnsi="Times New Roman" w:cs="Times New Roman"/>
                <w:sz w:val="16"/>
                <w:szCs w:val="16"/>
                <w:lang w:val="en-US"/>
              </w:rPr>
              <w:t xml:space="preserve"> observations; </w:t>
            </w:r>
            <w:r w:rsidR="00CE5F3B">
              <w:rPr>
                <w:rFonts w:ascii="Times New Roman" w:eastAsia="Times New Roman" w:hAnsi="Times New Roman" w:cs="Times New Roman"/>
                <w:sz w:val="16"/>
                <w:szCs w:val="16"/>
                <w:lang w:val="en-US"/>
              </w:rPr>
              <w:t>OLS estimates</w:t>
            </w:r>
            <w:r w:rsidRPr="598A40B1">
              <w:rPr>
                <w:rFonts w:ascii="Times New Roman" w:eastAsia="Times New Roman" w:hAnsi="Times New Roman" w:cs="Times New Roman"/>
                <w:sz w:val="16"/>
                <w:szCs w:val="16"/>
                <w:lang w:val="en-US"/>
              </w:rPr>
              <w:t xml:space="preserve">; Huber-White (robust) standard errors in brackets; all models include controls for gender, age, age squared, marital status, health, education, number of dependent children, age of youngest dependent child, usual basic hours of work, paid and unpaid overtime hours, public sector, permanent contract, holding a second job, working from home, managerial status, looking for new job, looking for extra job, number of fewer working hours desired, job tenure, establishment size, trade union status, flexible working arrangements, housing tenure, claiming any benefits and its interaction with A8 migrant status, industry, occupation, region of </w:t>
            </w:r>
            <w:r w:rsidRPr="598A40B1">
              <w:rPr>
                <w:rFonts w:ascii="Times New Roman" w:eastAsia="Times New Roman" w:hAnsi="Times New Roman" w:cs="Times New Roman"/>
                <w:sz w:val="16"/>
                <w:szCs w:val="16"/>
              </w:rPr>
              <w:t>residence</w:t>
            </w:r>
            <w:r w:rsidRPr="598A40B1">
              <w:rPr>
                <w:rFonts w:ascii="Times New Roman" w:eastAsia="Times New Roman" w:hAnsi="Times New Roman" w:cs="Times New Roman"/>
                <w:sz w:val="16"/>
                <w:szCs w:val="16"/>
                <w:lang w:val="en-US"/>
              </w:rPr>
              <w:t xml:space="preserve"> and survey year; full results are available from the authors upon request. *** Significant at 1%. </w:t>
            </w:r>
          </w:p>
        </w:tc>
      </w:tr>
    </w:tbl>
    <w:p w14:paraId="418DF869" w14:textId="4A5CC2A3" w:rsidR="00CB2B19" w:rsidRDefault="00CB2B19" w:rsidP="00ED1422"/>
    <w:p w14:paraId="0A197CA4" w14:textId="56F16186" w:rsidR="00CB2B19" w:rsidRPr="00422F1E" w:rsidRDefault="00CB2B19" w:rsidP="00422F1E">
      <w:pPr>
        <w:sectPr w:rsidR="00CB2B19" w:rsidRPr="00422F1E" w:rsidSect="00CB2B19">
          <w:endnotePr>
            <w:numFmt w:val="decimal"/>
          </w:endnotePr>
          <w:pgSz w:w="11906" w:h="16838"/>
          <w:pgMar w:top="1440" w:right="1276" w:bottom="1440" w:left="1800" w:header="709" w:footer="709" w:gutter="0"/>
          <w:cols w:space="708"/>
          <w:docGrid w:linePitch="360"/>
        </w:sectPr>
      </w:pPr>
      <w:r>
        <w:br w:type="page"/>
      </w:r>
    </w:p>
    <w:p w14:paraId="6BF8C15C" w14:textId="68D68E2E" w:rsidR="00CB2B19" w:rsidRPr="00BB7264" w:rsidRDefault="598A40B1" w:rsidP="00BB7264">
      <w:pPr>
        <w:spacing w:after="0"/>
        <w:jc w:val="center"/>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Figure 2: A8-UK Absence Gaps by Years of Migrant Residency in the UK</w:t>
      </w:r>
    </w:p>
    <w:p w14:paraId="411EDD69" w14:textId="77777777" w:rsidR="00CB2B19" w:rsidRPr="00B94A46" w:rsidRDefault="00CB2B19" w:rsidP="00CB2B19">
      <w:pPr>
        <w:spacing w:after="0" w:line="240" w:lineRule="auto"/>
        <w:rPr>
          <w:rFonts w:ascii="Times New Roman" w:hAnsi="Times New Roman" w:cs="Times New Roman"/>
          <w:b/>
          <w:sz w:val="24"/>
          <w:szCs w:val="24"/>
        </w:rPr>
      </w:pPr>
    </w:p>
    <w:p w14:paraId="5820C9B4" w14:textId="77777777" w:rsidR="00CB2B19" w:rsidRDefault="00CB2B19" w:rsidP="00CB2B19">
      <w:pPr>
        <w:jc w:val="center"/>
      </w:pPr>
      <w:r>
        <w:rPr>
          <w:noProof/>
          <w:lang w:eastAsia="zh-CN"/>
        </w:rPr>
        <w:drawing>
          <wp:inline distT="0" distB="0" distL="0" distR="0" wp14:anchorId="2E117D03" wp14:editId="6FF5B181">
            <wp:extent cx="6955881" cy="4488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7" t="2232" r="894" b="1287"/>
                    <a:stretch/>
                  </pic:blipFill>
                  <pic:spPr bwMode="auto">
                    <a:xfrm>
                      <a:off x="0" y="0"/>
                      <a:ext cx="7005770" cy="4520370"/>
                    </a:xfrm>
                    <a:prstGeom prst="rect">
                      <a:avLst/>
                    </a:prstGeom>
                    <a:noFill/>
                    <a:ln>
                      <a:noFill/>
                    </a:ln>
                    <a:extLst>
                      <a:ext uri="{53640926-AAD7-44D8-BBD7-CCE9431645EC}">
                        <a14:shadowObscured xmlns:a14="http://schemas.microsoft.com/office/drawing/2010/main"/>
                      </a:ext>
                    </a:extLst>
                  </pic:spPr>
                </pic:pic>
              </a:graphicData>
            </a:graphic>
          </wp:inline>
        </w:drawing>
      </w:r>
    </w:p>
    <w:p w14:paraId="7CE6DFF2" w14:textId="77777777" w:rsidR="00CB2B19" w:rsidRPr="0000359B" w:rsidRDefault="598A40B1" w:rsidP="0000359B">
      <w:pPr>
        <w:tabs>
          <w:tab w:val="decimal" w:pos="317"/>
        </w:tabs>
        <w:spacing w:after="0" w:line="240" w:lineRule="auto"/>
        <w:jc w:val="both"/>
        <w:rPr>
          <w:rFonts w:ascii="Times New Roman" w:eastAsia="Times New Roman" w:hAnsi="Times New Roman" w:cs="Times New Roman"/>
          <w:sz w:val="16"/>
          <w:szCs w:val="16"/>
          <w:lang w:val="en-US"/>
        </w:rPr>
      </w:pPr>
      <w:r w:rsidRPr="598A40B1">
        <w:rPr>
          <w:rFonts w:ascii="Times New Roman" w:eastAsia="Times New Roman" w:hAnsi="Times New Roman" w:cs="Times New Roman"/>
          <w:sz w:val="16"/>
          <w:szCs w:val="16"/>
          <w:lang w:val="en-US"/>
        </w:rPr>
        <w:t xml:space="preserve">Source: UK QLFS 2005-2012. </w:t>
      </w:r>
    </w:p>
    <w:p w14:paraId="402A33C9" w14:textId="7E073286" w:rsidR="009851AF" w:rsidRPr="0000359B" w:rsidRDefault="598A40B1">
      <w:pPr>
        <w:tabs>
          <w:tab w:val="left" w:pos="2605"/>
        </w:tabs>
        <w:rPr>
          <w:rFonts w:ascii="Times New Roman" w:eastAsia="Times New Roman" w:hAnsi="Times New Roman" w:cs="Times New Roman"/>
          <w:sz w:val="16"/>
          <w:szCs w:val="16"/>
        </w:rPr>
        <w:sectPr w:rsidR="009851AF" w:rsidRPr="0000359B" w:rsidSect="00CB2B19">
          <w:endnotePr>
            <w:numFmt w:val="decimal"/>
          </w:endnotePr>
          <w:pgSz w:w="16838" w:h="11906" w:orient="landscape"/>
          <w:pgMar w:top="1797" w:right="1440" w:bottom="1276" w:left="1440" w:header="709" w:footer="709" w:gutter="0"/>
          <w:cols w:space="708"/>
          <w:docGrid w:linePitch="360"/>
        </w:sectPr>
      </w:pPr>
      <w:r w:rsidRPr="598A40B1">
        <w:rPr>
          <w:rFonts w:ascii="Times New Roman" w:eastAsia="Times New Roman" w:hAnsi="Times New Roman" w:cs="Times New Roman"/>
          <w:sz w:val="16"/>
          <w:szCs w:val="16"/>
        </w:rPr>
        <w:t xml:space="preserve">Notes: The bold lines show the estimate of the A8-UK coefficient for each length of residency in the UK; the dashed lines indicate the 95% confidence intervals. </w:t>
      </w:r>
    </w:p>
    <w:tbl>
      <w:tblPr>
        <w:tblW w:w="6255" w:type="dxa"/>
        <w:jc w:val="center"/>
        <w:tblLayout w:type="fixed"/>
        <w:tblLook w:val="04A0" w:firstRow="1" w:lastRow="0" w:firstColumn="1" w:lastColumn="0" w:noHBand="0" w:noVBand="1"/>
      </w:tblPr>
      <w:tblGrid>
        <w:gridCol w:w="3728"/>
        <w:gridCol w:w="1262"/>
        <w:gridCol w:w="1265"/>
      </w:tblGrid>
      <w:tr w:rsidR="00CB2B19" w:rsidRPr="00EE59C2" w14:paraId="77FDA9A8" w14:textId="77777777" w:rsidTr="0000359B">
        <w:trPr>
          <w:trHeight w:val="192"/>
          <w:jc w:val="center"/>
        </w:trPr>
        <w:tc>
          <w:tcPr>
            <w:tcW w:w="6255" w:type="dxa"/>
            <w:gridSpan w:val="3"/>
            <w:tcBorders>
              <w:left w:val="nil"/>
              <w:bottom w:val="single" w:sz="4" w:space="0" w:color="auto"/>
              <w:right w:val="nil"/>
            </w:tcBorders>
            <w:shd w:val="clear" w:color="auto" w:fill="auto"/>
            <w:noWrap/>
            <w:vAlign w:val="bottom"/>
          </w:tcPr>
          <w:p w14:paraId="2FD420DE" w14:textId="28C7B8B2" w:rsidR="00CB2B19" w:rsidRPr="0000359B" w:rsidRDefault="598A40B1" w:rsidP="0000359B">
            <w:pPr>
              <w:spacing w:after="0"/>
              <w:jc w:val="center"/>
              <w:rPr>
                <w:rFonts w:ascii="Times New Roman" w:eastAsia="Times New Roman" w:hAnsi="Times New Roman" w:cs="Times New Roman"/>
                <w:b/>
                <w:bCs/>
                <w:sz w:val="24"/>
                <w:szCs w:val="24"/>
              </w:rPr>
            </w:pPr>
            <w:r w:rsidRPr="598A40B1">
              <w:rPr>
                <w:rFonts w:ascii="Times New Roman" w:eastAsia="Times New Roman" w:hAnsi="Times New Roman" w:cs="Times New Roman"/>
                <w:b/>
                <w:bCs/>
                <w:sz w:val="24"/>
                <w:szCs w:val="24"/>
              </w:rPr>
              <w:t>TABLE 3: Wage regression results</w:t>
            </w:r>
          </w:p>
        </w:tc>
      </w:tr>
      <w:tr w:rsidR="00CB2B19" w:rsidRPr="005963B4" w14:paraId="41973D2B" w14:textId="77777777" w:rsidTr="0000359B">
        <w:trPr>
          <w:trHeight w:val="192"/>
          <w:jc w:val="center"/>
        </w:trPr>
        <w:tc>
          <w:tcPr>
            <w:tcW w:w="3728" w:type="dxa"/>
            <w:tcBorders>
              <w:top w:val="single" w:sz="12" w:space="0" w:color="auto"/>
              <w:left w:val="nil"/>
              <w:bottom w:val="single" w:sz="12" w:space="0" w:color="000000" w:themeColor="text1"/>
              <w:right w:val="nil"/>
            </w:tcBorders>
            <w:shd w:val="clear" w:color="auto" w:fill="auto"/>
            <w:noWrap/>
            <w:hideMark/>
          </w:tcPr>
          <w:p w14:paraId="59627709" w14:textId="77777777" w:rsidR="00CB2B19" w:rsidRPr="005963B4" w:rsidRDefault="00CB2B19" w:rsidP="008F2942">
            <w:pPr>
              <w:spacing w:after="0" w:line="240" w:lineRule="auto"/>
              <w:jc w:val="center"/>
              <w:rPr>
                <w:rFonts w:ascii="Times New Roman" w:eastAsia="Times New Roman" w:hAnsi="Times New Roman" w:cs="Times New Roman"/>
                <w:b/>
                <w:sz w:val="20"/>
                <w:szCs w:val="20"/>
                <w:lang w:eastAsia="en-GB"/>
              </w:rPr>
            </w:pPr>
          </w:p>
        </w:tc>
        <w:tc>
          <w:tcPr>
            <w:tcW w:w="1262" w:type="dxa"/>
            <w:tcBorders>
              <w:top w:val="single" w:sz="12" w:space="0" w:color="auto"/>
              <w:left w:val="nil"/>
              <w:bottom w:val="single" w:sz="12" w:space="0" w:color="000000" w:themeColor="text1"/>
              <w:right w:val="nil"/>
            </w:tcBorders>
            <w:shd w:val="clear" w:color="auto" w:fill="auto"/>
            <w:noWrap/>
            <w:hideMark/>
          </w:tcPr>
          <w:p w14:paraId="317D686A"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(1)</w:t>
            </w:r>
          </w:p>
        </w:tc>
        <w:tc>
          <w:tcPr>
            <w:tcW w:w="1265" w:type="dxa"/>
            <w:tcBorders>
              <w:top w:val="single" w:sz="12" w:space="0" w:color="auto"/>
              <w:left w:val="nil"/>
              <w:bottom w:val="single" w:sz="12" w:space="0" w:color="000000" w:themeColor="text1"/>
              <w:right w:val="nil"/>
            </w:tcBorders>
            <w:shd w:val="clear" w:color="auto" w:fill="auto"/>
            <w:noWrap/>
            <w:hideMark/>
          </w:tcPr>
          <w:p w14:paraId="331B83AC" w14:textId="77777777" w:rsidR="00CB2B19" w:rsidRPr="003D6988" w:rsidRDefault="598A40B1" w:rsidP="0000359B">
            <w:pPr>
              <w:spacing w:after="0" w:line="240" w:lineRule="auto"/>
              <w:jc w:val="center"/>
              <w:rPr>
                <w:rFonts w:ascii="Times New Roman" w:eastAsia="Times New Roman" w:hAnsi="Times New Roman" w:cs="Times New Roman"/>
                <w:b/>
                <w:bCs/>
                <w:sz w:val="20"/>
                <w:szCs w:val="20"/>
                <w:lang w:eastAsia="en-GB"/>
              </w:rPr>
            </w:pPr>
            <w:r w:rsidRPr="598A40B1">
              <w:rPr>
                <w:rFonts w:ascii="Times New Roman" w:eastAsia="Times New Roman" w:hAnsi="Times New Roman" w:cs="Times New Roman"/>
                <w:b/>
                <w:bCs/>
                <w:sz w:val="20"/>
                <w:szCs w:val="20"/>
                <w:lang w:eastAsia="en-GB"/>
              </w:rPr>
              <w:t>(2)</w:t>
            </w:r>
          </w:p>
        </w:tc>
      </w:tr>
      <w:tr w:rsidR="00CB2B19" w:rsidRPr="007C52E0" w14:paraId="64EC7D3D" w14:textId="77777777" w:rsidTr="0000359B">
        <w:trPr>
          <w:trHeight w:val="192"/>
          <w:jc w:val="center"/>
        </w:trPr>
        <w:tc>
          <w:tcPr>
            <w:tcW w:w="3728" w:type="dxa"/>
            <w:tcBorders>
              <w:top w:val="nil"/>
              <w:left w:val="nil"/>
              <w:bottom w:val="nil"/>
              <w:right w:val="nil"/>
            </w:tcBorders>
            <w:shd w:val="clear" w:color="auto" w:fill="auto"/>
            <w:noWrap/>
            <w:hideMark/>
          </w:tcPr>
          <w:p w14:paraId="621272BC" w14:textId="77777777" w:rsidR="00CB2B19" w:rsidRPr="00833703"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A8</w:t>
            </w:r>
            <w:r w:rsidRPr="598A40B1">
              <w:rPr>
                <w:rFonts w:ascii="Times New Roman" w:eastAsia="Times New Roman" w:hAnsi="Times New Roman" w:cs="Times New Roman"/>
                <w:sz w:val="20"/>
                <w:szCs w:val="20"/>
                <w:lang w:val="el-GR" w:eastAsia="en-GB"/>
              </w:rPr>
              <w:t xml:space="preserve"> 0-3 Years in UK</w:t>
            </w:r>
          </w:p>
        </w:tc>
        <w:tc>
          <w:tcPr>
            <w:tcW w:w="1262" w:type="dxa"/>
            <w:tcBorders>
              <w:top w:val="nil"/>
              <w:left w:val="nil"/>
              <w:bottom w:val="nil"/>
              <w:right w:val="nil"/>
            </w:tcBorders>
            <w:shd w:val="clear" w:color="auto" w:fill="auto"/>
            <w:noWrap/>
          </w:tcPr>
          <w:p w14:paraId="78C88783"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-0.5213***</w:t>
            </w:r>
          </w:p>
        </w:tc>
        <w:tc>
          <w:tcPr>
            <w:tcW w:w="1265" w:type="dxa"/>
            <w:tcBorders>
              <w:top w:val="nil"/>
              <w:left w:val="nil"/>
              <w:bottom w:val="nil"/>
              <w:right w:val="nil"/>
            </w:tcBorders>
            <w:shd w:val="clear" w:color="auto" w:fill="auto"/>
            <w:noWrap/>
          </w:tcPr>
          <w:p w14:paraId="4003980A"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-0.5633***</w:t>
            </w:r>
          </w:p>
        </w:tc>
      </w:tr>
      <w:tr w:rsidR="00CB2B19" w:rsidRPr="007C52E0" w14:paraId="79FB9BDA" w14:textId="77777777" w:rsidTr="0000359B">
        <w:trPr>
          <w:trHeight w:val="192"/>
          <w:jc w:val="center"/>
        </w:trPr>
        <w:tc>
          <w:tcPr>
            <w:tcW w:w="3728" w:type="dxa"/>
            <w:tcBorders>
              <w:top w:val="nil"/>
              <w:left w:val="nil"/>
              <w:bottom w:val="nil"/>
              <w:right w:val="nil"/>
            </w:tcBorders>
            <w:shd w:val="clear" w:color="auto" w:fill="auto"/>
            <w:noWrap/>
            <w:hideMark/>
          </w:tcPr>
          <w:p w14:paraId="5F8D838C" w14:textId="77777777" w:rsidR="00CB2B19" w:rsidRPr="00833703" w:rsidRDefault="00CB2B19" w:rsidP="008F2942">
            <w:pPr>
              <w:spacing w:after="0" w:line="240" w:lineRule="auto"/>
              <w:rPr>
                <w:rFonts w:ascii="Times New Roman" w:eastAsia="Times New Roman" w:hAnsi="Times New Roman" w:cs="Times New Roman"/>
                <w:sz w:val="20"/>
                <w:szCs w:val="20"/>
                <w:lang w:eastAsia="en-GB"/>
              </w:rPr>
            </w:pPr>
          </w:p>
        </w:tc>
        <w:tc>
          <w:tcPr>
            <w:tcW w:w="1262" w:type="dxa"/>
            <w:tcBorders>
              <w:top w:val="nil"/>
              <w:left w:val="nil"/>
              <w:bottom w:val="nil"/>
              <w:right w:val="nil"/>
            </w:tcBorders>
            <w:shd w:val="clear" w:color="auto" w:fill="auto"/>
            <w:noWrap/>
          </w:tcPr>
          <w:p w14:paraId="52FC6B66"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[0.0294]</w:t>
            </w:r>
          </w:p>
        </w:tc>
        <w:tc>
          <w:tcPr>
            <w:tcW w:w="1265" w:type="dxa"/>
            <w:tcBorders>
              <w:top w:val="nil"/>
              <w:left w:val="nil"/>
              <w:bottom w:val="nil"/>
              <w:right w:val="nil"/>
            </w:tcBorders>
            <w:shd w:val="clear" w:color="auto" w:fill="auto"/>
            <w:noWrap/>
          </w:tcPr>
          <w:p w14:paraId="38B10438"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[0.0321]</w:t>
            </w:r>
          </w:p>
        </w:tc>
      </w:tr>
      <w:tr w:rsidR="00CB2B19" w:rsidRPr="007C52E0" w14:paraId="09A6FC1D" w14:textId="77777777" w:rsidTr="0000359B">
        <w:trPr>
          <w:trHeight w:val="192"/>
          <w:jc w:val="center"/>
        </w:trPr>
        <w:tc>
          <w:tcPr>
            <w:tcW w:w="3728" w:type="dxa"/>
            <w:tcBorders>
              <w:top w:val="nil"/>
              <w:left w:val="nil"/>
              <w:bottom w:val="nil"/>
              <w:right w:val="nil"/>
            </w:tcBorders>
            <w:shd w:val="clear" w:color="auto" w:fill="auto"/>
            <w:noWrap/>
            <w:hideMark/>
          </w:tcPr>
          <w:p w14:paraId="4496ED49" w14:textId="77777777" w:rsidR="00CB2B19" w:rsidRPr="00833703"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A8 4-8 Years in UK</w:t>
            </w:r>
          </w:p>
        </w:tc>
        <w:tc>
          <w:tcPr>
            <w:tcW w:w="1262" w:type="dxa"/>
            <w:tcBorders>
              <w:top w:val="nil"/>
              <w:left w:val="nil"/>
              <w:bottom w:val="nil"/>
              <w:right w:val="nil"/>
            </w:tcBorders>
            <w:shd w:val="clear" w:color="auto" w:fill="auto"/>
            <w:noWrap/>
          </w:tcPr>
          <w:p w14:paraId="6D19E35B"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-0.4376***</w:t>
            </w:r>
          </w:p>
        </w:tc>
        <w:tc>
          <w:tcPr>
            <w:tcW w:w="1265" w:type="dxa"/>
            <w:tcBorders>
              <w:top w:val="nil"/>
              <w:left w:val="nil"/>
              <w:bottom w:val="nil"/>
              <w:right w:val="nil"/>
            </w:tcBorders>
            <w:shd w:val="clear" w:color="auto" w:fill="auto"/>
            <w:noWrap/>
          </w:tcPr>
          <w:p w14:paraId="15341219" w14:textId="7BD8B671"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-0.4812***</w:t>
            </w:r>
          </w:p>
        </w:tc>
      </w:tr>
      <w:tr w:rsidR="00CB2B19" w:rsidRPr="00A41099" w14:paraId="4AE0FC3B" w14:textId="77777777" w:rsidTr="0000359B">
        <w:trPr>
          <w:trHeight w:val="192"/>
          <w:jc w:val="center"/>
        </w:trPr>
        <w:tc>
          <w:tcPr>
            <w:tcW w:w="3728" w:type="dxa"/>
            <w:tcBorders>
              <w:top w:val="nil"/>
              <w:left w:val="nil"/>
              <w:right w:val="nil"/>
            </w:tcBorders>
            <w:shd w:val="clear" w:color="auto" w:fill="auto"/>
            <w:noWrap/>
            <w:hideMark/>
          </w:tcPr>
          <w:p w14:paraId="66228C65" w14:textId="77777777" w:rsidR="00CB2B19" w:rsidRPr="00833703" w:rsidRDefault="00CB2B19" w:rsidP="008F2942">
            <w:pPr>
              <w:spacing w:after="0" w:line="240" w:lineRule="auto"/>
              <w:rPr>
                <w:rFonts w:ascii="Times New Roman" w:eastAsia="Times New Roman" w:hAnsi="Times New Roman" w:cs="Times New Roman"/>
                <w:sz w:val="20"/>
                <w:szCs w:val="20"/>
                <w:lang w:eastAsia="en-GB"/>
              </w:rPr>
            </w:pPr>
          </w:p>
        </w:tc>
        <w:tc>
          <w:tcPr>
            <w:tcW w:w="1262" w:type="dxa"/>
            <w:tcBorders>
              <w:top w:val="nil"/>
              <w:left w:val="nil"/>
              <w:right w:val="nil"/>
            </w:tcBorders>
            <w:shd w:val="clear" w:color="auto" w:fill="auto"/>
            <w:noWrap/>
          </w:tcPr>
          <w:p w14:paraId="5670F0CE"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[0.0242]</w:t>
            </w:r>
          </w:p>
        </w:tc>
        <w:tc>
          <w:tcPr>
            <w:tcW w:w="1265" w:type="dxa"/>
            <w:tcBorders>
              <w:top w:val="nil"/>
              <w:left w:val="nil"/>
              <w:right w:val="nil"/>
            </w:tcBorders>
            <w:shd w:val="clear" w:color="auto" w:fill="auto"/>
            <w:noWrap/>
          </w:tcPr>
          <w:p w14:paraId="45D3012D"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[0.0249]</w:t>
            </w:r>
          </w:p>
        </w:tc>
      </w:tr>
      <w:tr w:rsidR="008A03CD" w:rsidRPr="007C52E0" w14:paraId="22B23CD0" w14:textId="77777777" w:rsidTr="0000359B">
        <w:trPr>
          <w:trHeight w:val="192"/>
          <w:jc w:val="center"/>
        </w:trPr>
        <w:tc>
          <w:tcPr>
            <w:tcW w:w="3728" w:type="dxa"/>
            <w:tcBorders>
              <w:top w:val="nil"/>
              <w:left w:val="nil"/>
              <w:right w:val="nil"/>
            </w:tcBorders>
            <w:shd w:val="clear" w:color="auto" w:fill="auto"/>
            <w:noWrap/>
          </w:tcPr>
          <w:p w14:paraId="4723E253" w14:textId="77777777" w:rsidR="008A03CD" w:rsidRPr="00833703" w:rsidRDefault="008A03CD" w:rsidP="008F2942">
            <w:pPr>
              <w:spacing w:after="0" w:line="240" w:lineRule="auto"/>
              <w:rPr>
                <w:rFonts w:ascii="Times New Roman" w:eastAsia="Times New Roman" w:hAnsi="Times New Roman" w:cs="Times New Roman"/>
                <w:sz w:val="20"/>
                <w:szCs w:val="20"/>
                <w:lang w:eastAsia="en-GB"/>
              </w:rPr>
            </w:pPr>
          </w:p>
        </w:tc>
        <w:tc>
          <w:tcPr>
            <w:tcW w:w="1262" w:type="dxa"/>
            <w:tcBorders>
              <w:top w:val="nil"/>
              <w:left w:val="nil"/>
              <w:right w:val="nil"/>
            </w:tcBorders>
            <w:shd w:val="clear" w:color="auto" w:fill="auto"/>
            <w:noWrap/>
          </w:tcPr>
          <w:p w14:paraId="46AE74C6"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c>
          <w:tcPr>
            <w:tcW w:w="1265" w:type="dxa"/>
            <w:tcBorders>
              <w:top w:val="nil"/>
              <w:left w:val="nil"/>
              <w:right w:val="nil"/>
            </w:tcBorders>
            <w:shd w:val="clear" w:color="auto" w:fill="auto"/>
            <w:noWrap/>
          </w:tcPr>
          <w:p w14:paraId="2DC2BBFA" w14:textId="77777777" w:rsidR="008A03CD" w:rsidRPr="338B1626" w:rsidRDefault="008A03CD" w:rsidP="008F2942">
            <w:pPr>
              <w:spacing w:after="0" w:line="240" w:lineRule="auto"/>
              <w:jc w:val="center"/>
              <w:rPr>
                <w:rFonts w:ascii="Times New Roman" w:eastAsia="Times New Roman" w:hAnsi="Times New Roman" w:cs="Times New Roman"/>
                <w:sz w:val="20"/>
                <w:szCs w:val="20"/>
              </w:rPr>
            </w:pPr>
          </w:p>
        </w:tc>
      </w:tr>
      <w:tr w:rsidR="00CB2B19" w:rsidRPr="007C52E0" w14:paraId="71B1DF91" w14:textId="77777777" w:rsidTr="0000359B">
        <w:trPr>
          <w:trHeight w:val="192"/>
          <w:jc w:val="center"/>
        </w:trPr>
        <w:tc>
          <w:tcPr>
            <w:tcW w:w="3728" w:type="dxa"/>
            <w:tcBorders>
              <w:top w:val="nil"/>
              <w:left w:val="nil"/>
              <w:right w:val="nil"/>
            </w:tcBorders>
            <w:shd w:val="clear" w:color="auto" w:fill="auto"/>
            <w:noWrap/>
          </w:tcPr>
          <w:p w14:paraId="343937F4" w14:textId="4FA007FB" w:rsidR="00CB2B19" w:rsidRPr="00833703"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Control variables</w:t>
            </w:r>
          </w:p>
        </w:tc>
        <w:tc>
          <w:tcPr>
            <w:tcW w:w="1262" w:type="dxa"/>
            <w:tcBorders>
              <w:top w:val="nil"/>
              <w:left w:val="nil"/>
              <w:right w:val="nil"/>
            </w:tcBorders>
            <w:shd w:val="clear" w:color="auto" w:fill="auto"/>
            <w:noWrap/>
          </w:tcPr>
          <w:p w14:paraId="12246149"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No</w:t>
            </w:r>
          </w:p>
        </w:tc>
        <w:tc>
          <w:tcPr>
            <w:tcW w:w="1265" w:type="dxa"/>
            <w:tcBorders>
              <w:top w:val="nil"/>
              <w:left w:val="nil"/>
              <w:right w:val="nil"/>
            </w:tcBorders>
            <w:shd w:val="clear" w:color="auto" w:fill="auto"/>
            <w:noWrap/>
          </w:tcPr>
          <w:p w14:paraId="18B4F89A" w14:textId="77777777" w:rsidR="00CB2B19" w:rsidRPr="0000359B" w:rsidRDefault="598A40B1" w:rsidP="0000359B">
            <w:pPr>
              <w:spacing w:after="0" w:line="240" w:lineRule="auto"/>
              <w:jc w:val="center"/>
              <w:rPr>
                <w:rFonts w:ascii="Times New Roman" w:eastAsia="Times New Roman" w:hAnsi="Times New Roman" w:cs="Times New Roman"/>
                <w:sz w:val="20"/>
                <w:szCs w:val="20"/>
              </w:rPr>
            </w:pPr>
            <w:r w:rsidRPr="598A40B1">
              <w:rPr>
                <w:rFonts w:ascii="Times New Roman" w:eastAsia="Times New Roman" w:hAnsi="Times New Roman" w:cs="Times New Roman"/>
                <w:sz w:val="20"/>
                <w:szCs w:val="20"/>
              </w:rPr>
              <w:t>Yes</w:t>
            </w:r>
          </w:p>
        </w:tc>
      </w:tr>
      <w:tr w:rsidR="00CB2B19" w14:paraId="5431D89B" w14:textId="77777777" w:rsidTr="0000359B">
        <w:trPr>
          <w:trHeight w:val="192"/>
          <w:jc w:val="center"/>
        </w:trPr>
        <w:tc>
          <w:tcPr>
            <w:tcW w:w="3728" w:type="dxa"/>
            <w:tcBorders>
              <w:top w:val="nil"/>
              <w:left w:val="nil"/>
              <w:bottom w:val="single" w:sz="12" w:space="0" w:color="auto"/>
              <w:right w:val="nil"/>
            </w:tcBorders>
            <w:shd w:val="clear" w:color="auto" w:fill="auto"/>
            <w:noWrap/>
          </w:tcPr>
          <w:p w14:paraId="4FDAC3A6" w14:textId="77777777" w:rsidR="00CB2B19" w:rsidRPr="00A30CBC" w:rsidRDefault="598A40B1" w:rsidP="008F2942">
            <w:pPr>
              <w:spacing w:after="0" w:line="240" w:lineRule="auto"/>
              <w:rPr>
                <w:rFonts w:ascii="Times New Roman" w:eastAsia="Times New Roman" w:hAnsi="Times New Roman" w:cs="Times New Roman"/>
                <w:sz w:val="20"/>
                <w:szCs w:val="20"/>
                <w:lang w:eastAsia="en-GB"/>
              </w:rPr>
            </w:pPr>
            <w:r w:rsidRPr="598A40B1">
              <w:rPr>
                <w:rFonts w:ascii="Times New Roman" w:eastAsia="Times New Roman" w:hAnsi="Times New Roman" w:cs="Times New Roman"/>
                <w:sz w:val="20"/>
                <w:szCs w:val="20"/>
                <w:lang w:eastAsia="en-GB"/>
              </w:rPr>
              <w:t>F-test for equality of A8 dummies (</w:t>
            </w:r>
            <w:r w:rsidRPr="3B009953">
              <w:rPr>
                <w:rFonts w:ascii="Times New Roman" w:eastAsia="Times New Roman" w:hAnsi="Times New Roman" w:cs="Times New Roman"/>
                <w:i/>
                <w:iCs/>
                <w:sz w:val="20"/>
                <w:szCs w:val="20"/>
                <w:lang w:eastAsia="en-GB"/>
              </w:rPr>
              <w:t>p</w:t>
            </w:r>
            <w:r w:rsidRPr="598A40B1">
              <w:rPr>
                <w:rFonts w:ascii="Times New Roman" w:eastAsia="Times New Roman" w:hAnsi="Times New Roman" w:cs="Times New Roman"/>
                <w:sz w:val="20"/>
                <w:szCs w:val="20"/>
                <w:lang w:eastAsia="en-GB"/>
              </w:rPr>
              <w:t>-value)</w:t>
            </w:r>
          </w:p>
        </w:tc>
        <w:tc>
          <w:tcPr>
            <w:tcW w:w="1262" w:type="dxa"/>
            <w:tcBorders>
              <w:top w:val="nil"/>
              <w:left w:val="nil"/>
              <w:bottom w:val="single" w:sz="12" w:space="0" w:color="auto"/>
              <w:right w:val="nil"/>
            </w:tcBorders>
            <w:shd w:val="clear" w:color="auto" w:fill="auto"/>
            <w:noWrap/>
          </w:tcPr>
          <w:p w14:paraId="16908874" w14:textId="77777777" w:rsidR="00CB2B19" w:rsidRPr="0000359B" w:rsidRDefault="00CB2B19" w:rsidP="0000359B">
            <w:pPr>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0.0266</w:t>
            </w:r>
          </w:p>
        </w:tc>
        <w:tc>
          <w:tcPr>
            <w:tcW w:w="1265" w:type="dxa"/>
            <w:tcBorders>
              <w:top w:val="nil"/>
              <w:left w:val="nil"/>
              <w:bottom w:val="single" w:sz="12" w:space="0" w:color="auto"/>
              <w:right w:val="nil"/>
            </w:tcBorders>
            <w:shd w:val="clear" w:color="auto" w:fill="auto"/>
            <w:noWrap/>
          </w:tcPr>
          <w:p w14:paraId="41CF991E" w14:textId="77777777" w:rsidR="00CB2B19" w:rsidRPr="0000359B" w:rsidRDefault="00CB2B19" w:rsidP="0000359B">
            <w:pPr>
              <w:spacing w:after="0" w:line="240" w:lineRule="auto"/>
              <w:jc w:val="center"/>
              <w:rPr>
                <w:rFonts w:ascii="Times New Roman" w:eastAsia="Times New Roman" w:hAnsi="Times New Roman" w:cs="Times New Roman"/>
                <w:sz w:val="20"/>
                <w:szCs w:val="20"/>
              </w:rPr>
            </w:pPr>
            <w:r w:rsidRPr="0000359B">
              <w:rPr>
                <w:rFonts w:ascii="Times New Roman" w:eastAsia="Times New Roman" w:hAnsi="Times New Roman" w:cs="Times New Roman"/>
                <w:sz w:val="20"/>
                <w:szCs w:val="20"/>
              </w:rPr>
              <w:t>0.0400</w:t>
            </w:r>
          </w:p>
        </w:tc>
      </w:tr>
      <w:tr w:rsidR="00CB2B19" w:rsidRPr="00EE59C2" w14:paraId="74B132F0" w14:textId="77777777" w:rsidTr="0000359B">
        <w:trPr>
          <w:trHeight w:val="192"/>
          <w:jc w:val="center"/>
        </w:trPr>
        <w:tc>
          <w:tcPr>
            <w:tcW w:w="6255" w:type="dxa"/>
            <w:gridSpan w:val="3"/>
            <w:tcBorders>
              <w:top w:val="single" w:sz="12" w:space="0" w:color="auto"/>
              <w:left w:val="nil"/>
              <w:bottom w:val="nil"/>
              <w:right w:val="nil"/>
            </w:tcBorders>
            <w:shd w:val="clear" w:color="auto" w:fill="auto"/>
            <w:noWrap/>
            <w:vAlign w:val="bottom"/>
          </w:tcPr>
          <w:p w14:paraId="174FA1CE" w14:textId="77777777" w:rsidR="00CB2B19" w:rsidRDefault="00CB2B19" w:rsidP="008F2942">
            <w:pPr>
              <w:spacing w:after="0" w:line="240" w:lineRule="auto"/>
              <w:jc w:val="both"/>
              <w:rPr>
                <w:rFonts w:ascii="Times New Roman" w:hAnsi="Times New Roman" w:cs="Times New Roman"/>
                <w:sz w:val="16"/>
                <w:szCs w:val="16"/>
                <w:lang w:val="en-US"/>
              </w:rPr>
            </w:pPr>
          </w:p>
          <w:p w14:paraId="64FF1A19" w14:textId="77777777" w:rsidR="00CB2B19" w:rsidRPr="0000359B" w:rsidRDefault="598A40B1" w:rsidP="0000359B">
            <w:pPr>
              <w:tabs>
                <w:tab w:val="decimal" w:pos="317"/>
              </w:tabs>
              <w:spacing w:after="0" w:line="240" w:lineRule="auto"/>
              <w:jc w:val="both"/>
              <w:rPr>
                <w:rFonts w:ascii="Times New Roman" w:eastAsia="Times New Roman" w:hAnsi="Times New Roman" w:cs="Times New Roman"/>
                <w:sz w:val="16"/>
                <w:szCs w:val="16"/>
                <w:lang w:val="en-US"/>
              </w:rPr>
            </w:pPr>
            <w:r w:rsidRPr="598A40B1">
              <w:rPr>
                <w:rFonts w:ascii="Times New Roman" w:eastAsia="Times New Roman" w:hAnsi="Times New Roman" w:cs="Times New Roman"/>
                <w:sz w:val="16"/>
                <w:szCs w:val="16"/>
                <w:lang w:val="en-US"/>
              </w:rPr>
              <w:t xml:space="preserve">Source: UK QLFS 2005-2012. </w:t>
            </w:r>
          </w:p>
          <w:p w14:paraId="29992F1D" w14:textId="00B96360" w:rsidR="00CB2B19" w:rsidRPr="0000359B" w:rsidRDefault="598A40B1" w:rsidP="0000359B">
            <w:pPr>
              <w:spacing w:after="0" w:line="240" w:lineRule="auto"/>
              <w:jc w:val="both"/>
              <w:rPr>
                <w:rFonts w:ascii="Times New Roman" w:eastAsia="Times New Roman" w:hAnsi="Times New Roman" w:cs="Times New Roman"/>
                <w:sz w:val="16"/>
                <w:szCs w:val="16"/>
              </w:rPr>
            </w:pPr>
            <w:r w:rsidRPr="598A40B1">
              <w:rPr>
                <w:rFonts w:ascii="Times New Roman" w:eastAsia="Times New Roman" w:hAnsi="Times New Roman" w:cs="Times New Roman"/>
                <w:sz w:val="16"/>
                <w:szCs w:val="16"/>
                <w:lang w:val="en-US"/>
              </w:rPr>
              <w:t xml:space="preserve">Notes: Sample size for all models is </w:t>
            </w:r>
            <w:r w:rsidRPr="598A40B1">
              <w:rPr>
                <w:rFonts w:ascii="Times New Roman" w:eastAsia="Times New Roman" w:hAnsi="Times New Roman" w:cs="Times New Roman"/>
                <w:sz w:val="16"/>
                <w:szCs w:val="16"/>
              </w:rPr>
              <w:t>28,521</w:t>
            </w:r>
            <w:r w:rsidRPr="598A40B1">
              <w:rPr>
                <w:rFonts w:ascii="Times New Roman" w:eastAsia="Times New Roman" w:hAnsi="Times New Roman" w:cs="Times New Roman"/>
                <w:sz w:val="16"/>
                <w:szCs w:val="16"/>
                <w:lang w:val="en-US"/>
              </w:rPr>
              <w:t xml:space="preserve"> observations; dependent variable in both models is the log of the real hourly wage; OLS estimates; Huber-White (robust) standard errors are in brackets; controls include: female, age, age squared, education, marital status, health, survey year and region of residence dummies; full results are available from the authors upon request. *** Significant at 1%. </w:t>
            </w:r>
          </w:p>
        </w:tc>
      </w:tr>
    </w:tbl>
    <w:p w14:paraId="58C95B54" w14:textId="1D550722" w:rsidR="0007775B" w:rsidRDefault="0007775B" w:rsidP="00ED1422"/>
    <w:p w14:paraId="61FF62BD" w14:textId="77777777" w:rsidR="0007775B" w:rsidRDefault="0007775B">
      <w:r>
        <w:br w:type="page"/>
      </w:r>
    </w:p>
    <w:p w14:paraId="0FA345B4" w14:textId="77777777" w:rsidR="0007775B" w:rsidRDefault="0007775B" w:rsidP="0007775B">
      <w:pPr>
        <w:spacing w:after="0"/>
        <w:jc w:val="center"/>
        <w:rPr>
          <w:rFonts w:ascii="Times New Roman" w:hAnsi="Times New Roman" w:cs="Times New Roman"/>
          <w:b/>
          <w:sz w:val="24"/>
          <w:szCs w:val="24"/>
        </w:rPr>
      </w:pPr>
      <w:r w:rsidRPr="338B1626">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A</w:t>
      </w:r>
      <w:r w:rsidRPr="338B1626">
        <w:rPr>
          <w:rFonts w:ascii="Times New Roman" w:eastAsia="Times New Roman" w:hAnsi="Times New Roman" w:cs="Times New Roman"/>
          <w:b/>
          <w:bCs/>
          <w:sz w:val="24"/>
          <w:szCs w:val="24"/>
        </w:rPr>
        <w:t xml:space="preserve">1: Sample means </w:t>
      </w:r>
      <w:r>
        <w:rPr>
          <w:rFonts w:ascii="Times New Roman" w:eastAsia="Times New Roman" w:hAnsi="Times New Roman" w:cs="Times New Roman"/>
          <w:b/>
          <w:bCs/>
          <w:sz w:val="24"/>
          <w:szCs w:val="24"/>
        </w:rPr>
        <w:t xml:space="preserve">for all variables </w:t>
      </w:r>
      <w:r w:rsidRPr="338B1626">
        <w:rPr>
          <w:rFonts w:ascii="Times New Roman" w:eastAsia="Times New Roman" w:hAnsi="Times New Roman" w:cs="Times New Roman"/>
          <w:b/>
          <w:bCs/>
          <w:sz w:val="24"/>
          <w:szCs w:val="24"/>
        </w:rPr>
        <w:t>by nationality</w:t>
      </w:r>
    </w:p>
    <w:p w14:paraId="05B5C60A" w14:textId="77777777" w:rsidR="0007775B" w:rsidRPr="004D028F" w:rsidRDefault="0007775B" w:rsidP="0007775B">
      <w:pPr>
        <w:spacing w:after="0"/>
        <w:jc w:val="center"/>
        <w:rPr>
          <w:rFonts w:ascii="Times New Roman" w:hAnsi="Times New Roman" w:cs="Times New Roman"/>
          <w:b/>
          <w:sz w:val="24"/>
          <w:szCs w:val="24"/>
        </w:rPr>
      </w:pPr>
    </w:p>
    <w:tbl>
      <w:tblPr>
        <w:tblW w:w="7148" w:type="dxa"/>
        <w:jc w:val="center"/>
        <w:tblBorders>
          <w:top w:val="single" w:sz="12" w:space="0" w:color="000000"/>
          <w:bottom w:val="single" w:sz="12" w:space="0" w:color="000000"/>
        </w:tblBorders>
        <w:tblLayout w:type="fixed"/>
        <w:tblLook w:val="0020" w:firstRow="1" w:lastRow="0" w:firstColumn="0" w:lastColumn="0" w:noHBand="0" w:noVBand="0"/>
      </w:tblPr>
      <w:tblGrid>
        <w:gridCol w:w="4130"/>
        <w:gridCol w:w="1408"/>
        <w:gridCol w:w="1610"/>
      </w:tblGrid>
      <w:tr w:rsidR="0007775B" w14:paraId="70966D65" w14:textId="77777777" w:rsidTr="0007775B">
        <w:trPr>
          <w:trHeight w:val="261"/>
          <w:jc w:val="center"/>
        </w:trPr>
        <w:tc>
          <w:tcPr>
            <w:tcW w:w="4130" w:type="dxa"/>
            <w:tcBorders>
              <w:top w:val="single" w:sz="12" w:space="0" w:color="auto"/>
              <w:left w:val="nil"/>
              <w:bottom w:val="single" w:sz="12" w:space="0" w:color="auto"/>
              <w:right w:val="nil"/>
            </w:tcBorders>
            <w:noWrap/>
            <w:vAlign w:val="center"/>
          </w:tcPr>
          <w:p w14:paraId="297B1CBA" w14:textId="77777777" w:rsidR="0007775B" w:rsidRPr="338B1626" w:rsidRDefault="0007775B" w:rsidP="0007775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Variable</w:t>
            </w:r>
          </w:p>
        </w:tc>
        <w:tc>
          <w:tcPr>
            <w:tcW w:w="1408" w:type="dxa"/>
            <w:tcBorders>
              <w:top w:val="single" w:sz="12" w:space="0" w:color="auto"/>
              <w:left w:val="nil"/>
              <w:bottom w:val="single" w:sz="12" w:space="0" w:color="auto"/>
              <w:right w:val="nil"/>
            </w:tcBorders>
            <w:noWrap/>
            <w:vAlign w:val="center"/>
          </w:tcPr>
          <w:p w14:paraId="7309D868" w14:textId="77777777" w:rsidR="0007775B" w:rsidRPr="004D028F" w:rsidRDefault="0007775B" w:rsidP="0007775B">
            <w:pPr>
              <w:tabs>
                <w:tab w:val="decimal" w:pos="459"/>
              </w:tabs>
              <w:spacing w:after="0" w:line="240" w:lineRule="auto"/>
              <w:jc w:val="center"/>
              <w:rPr>
                <w:rFonts w:ascii="Times New Roman" w:hAnsi="Times New Roman" w:cs="Times New Roman"/>
                <w:b/>
                <w:sz w:val="20"/>
                <w:szCs w:val="20"/>
              </w:rPr>
            </w:pPr>
            <w:r w:rsidRPr="004D028F">
              <w:rPr>
                <w:rFonts w:ascii="Times New Roman" w:hAnsi="Times New Roman" w:cs="Times New Roman"/>
                <w:b/>
                <w:sz w:val="20"/>
                <w:szCs w:val="20"/>
              </w:rPr>
              <w:t>UK Nationals</w:t>
            </w:r>
          </w:p>
        </w:tc>
        <w:tc>
          <w:tcPr>
            <w:tcW w:w="1610" w:type="dxa"/>
            <w:tcBorders>
              <w:top w:val="single" w:sz="12" w:space="0" w:color="auto"/>
              <w:left w:val="nil"/>
              <w:bottom w:val="single" w:sz="12" w:space="0" w:color="auto"/>
              <w:right w:val="nil"/>
            </w:tcBorders>
            <w:noWrap/>
            <w:vAlign w:val="center"/>
          </w:tcPr>
          <w:p w14:paraId="5BC00541" w14:textId="77777777" w:rsidR="0007775B" w:rsidRPr="004D028F" w:rsidRDefault="0007775B" w:rsidP="0007775B">
            <w:pPr>
              <w:tabs>
                <w:tab w:val="decimal" w:pos="317"/>
              </w:tabs>
              <w:spacing w:after="0" w:line="240" w:lineRule="auto"/>
              <w:jc w:val="center"/>
              <w:rPr>
                <w:rFonts w:ascii="Times New Roman" w:hAnsi="Times New Roman" w:cs="Times New Roman"/>
                <w:b/>
                <w:sz w:val="20"/>
                <w:szCs w:val="20"/>
              </w:rPr>
            </w:pPr>
            <w:r w:rsidRPr="004D028F">
              <w:rPr>
                <w:rFonts w:ascii="Times New Roman" w:hAnsi="Times New Roman" w:cs="Times New Roman"/>
                <w:b/>
                <w:sz w:val="20"/>
                <w:szCs w:val="20"/>
              </w:rPr>
              <w:t>A8 Migrants</w:t>
            </w:r>
          </w:p>
        </w:tc>
      </w:tr>
      <w:tr w:rsidR="0007775B" w14:paraId="4F01E5B6" w14:textId="77777777" w:rsidTr="0007775B">
        <w:trPr>
          <w:trHeight w:val="261"/>
          <w:jc w:val="center"/>
        </w:trPr>
        <w:tc>
          <w:tcPr>
            <w:tcW w:w="4130" w:type="dxa"/>
            <w:tcBorders>
              <w:top w:val="single" w:sz="12" w:space="0" w:color="auto"/>
              <w:left w:val="nil"/>
              <w:bottom w:val="nil"/>
              <w:right w:val="nil"/>
            </w:tcBorders>
            <w:noWrap/>
            <w:vAlign w:val="center"/>
            <w:hideMark/>
          </w:tcPr>
          <w:p w14:paraId="55EFB347" w14:textId="77777777" w:rsidR="0007775B" w:rsidRDefault="0007775B" w:rsidP="0007775B">
            <w:pPr>
              <w:spacing w:after="0" w:line="240" w:lineRule="auto"/>
              <w:rPr>
                <w:rFonts w:ascii="Times New Roman" w:eastAsia="Times New Roman" w:hAnsi="Times New Roman" w:cs="Times New Roman"/>
                <w:b/>
                <w:bCs/>
                <w:sz w:val="20"/>
                <w:szCs w:val="20"/>
              </w:rPr>
            </w:pPr>
          </w:p>
          <w:p w14:paraId="67BD80BC" w14:textId="77777777" w:rsidR="0007775B" w:rsidRDefault="0007775B" w:rsidP="0007775B">
            <w:pPr>
              <w:spacing w:after="0" w:line="240" w:lineRule="auto"/>
              <w:rPr>
                <w:rFonts w:ascii="Times New Roman" w:eastAsia="Times New Roman" w:hAnsi="Times New Roman" w:cs="Times New Roman"/>
                <w:b/>
                <w:bCs/>
                <w:sz w:val="20"/>
                <w:szCs w:val="20"/>
              </w:rPr>
            </w:pPr>
            <w:r w:rsidRPr="338B1626">
              <w:rPr>
                <w:rFonts w:ascii="Times New Roman" w:eastAsia="Times New Roman" w:hAnsi="Times New Roman" w:cs="Times New Roman"/>
                <w:b/>
                <w:bCs/>
                <w:sz w:val="20"/>
                <w:szCs w:val="20"/>
              </w:rPr>
              <w:t>Demographic characteristics</w:t>
            </w:r>
          </w:p>
          <w:p w14:paraId="6C00933F" w14:textId="77777777" w:rsidR="0007775B" w:rsidRDefault="0007775B" w:rsidP="0007775B">
            <w:pPr>
              <w:spacing w:after="0" w:line="240" w:lineRule="auto"/>
              <w:rPr>
                <w:rFonts w:ascii="Times New Roman" w:hAnsi="Times New Roman" w:cs="Times New Roman"/>
                <w:b/>
                <w:sz w:val="20"/>
                <w:szCs w:val="20"/>
              </w:rPr>
            </w:pPr>
          </w:p>
        </w:tc>
        <w:tc>
          <w:tcPr>
            <w:tcW w:w="1408" w:type="dxa"/>
            <w:tcBorders>
              <w:top w:val="single" w:sz="12" w:space="0" w:color="auto"/>
              <w:left w:val="nil"/>
              <w:bottom w:val="nil"/>
              <w:right w:val="nil"/>
            </w:tcBorders>
            <w:noWrap/>
            <w:vAlign w:val="center"/>
          </w:tcPr>
          <w:p w14:paraId="6D1DC7C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single" w:sz="12" w:space="0" w:color="auto"/>
              <w:left w:val="nil"/>
              <w:bottom w:val="nil"/>
              <w:right w:val="nil"/>
            </w:tcBorders>
            <w:noWrap/>
            <w:vAlign w:val="center"/>
          </w:tcPr>
          <w:p w14:paraId="2A85184C"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2A9E4B19" w14:textId="77777777" w:rsidTr="0007775B">
        <w:trPr>
          <w:trHeight w:val="261"/>
          <w:jc w:val="center"/>
        </w:trPr>
        <w:tc>
          <w:tcPr>
            <w:tcW w:w="4130" w:type="dxa"/>
            <w:tcBorders>
              <w:top w:val="nil"/>
              <w:left w:val="nil"/>
              <w:bottom w:val="nil"/>
              <w:right w:val="nil"/>
            </w:tcBorders>
            <w:noWrap/>
            <w:vAlign w:val="center"/>
            <w:hideMark/>
          </w:tcPr>
          <w:p w14:paraId="16D6699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Female</w:t>
            </w:r>
          </w:p>
        </w:tc>
        <w:tc>
          <w:tcPr>
            <w:tcW w:w="1408" w:type="dxa"/>
            <w:tcBorders>
              <w:top w:val="nil"/>
              <w:left w:val="nil"/>
              <w:bottom w:val="nil"/>
              <w:right w:val="nil"/>
            </w:tcBorders>
            <w:noWrap/>
            <w:vAlign w:val="center"/>
            <w:hideMark/>
          </w:tcPr>
          <w:p w14:paraId="3A9E4E2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0.535</w:t>
            </w:r>
          </w:p>
        </w:tc>
        <w:tc>
          <w:tcPr>
            <w:tcW w:w="1610" w:type="dxa"/>
            <w:tcBorders>
              <w:top w:val="nil"/>
              <w:left w:val="nil"/>
              <w:bottom w:val="nil"/>
              <w:right w:val="nil"/>
            </w:tcBorders>
            <w:noWrap/>
            <w:vAlign w:val="center"/>
            <w:hideMark/>
          </w:tcPr>
          <w:p w14:paraId="6628144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0.451***</w:t>
            </w:r>
          </w:p>
        </w:tc>
      </w:tr>
      <w:tr w:rsidR="0007775B" w14:paraId="0B25A835" w14:textId="77777777" w:rsidTr="0007775B">
        <w:trPr>
          <w:trHeight w:val="261"/>
          <w:jc w:val="center"/>
        </w:trPr>
        <w:tc>
          <w:tcPr>
            <w:tcW w:w="4130" w:type="dxa"/>
            <w:tcBorders>
              <w:top w:val="nil"/>
              <w:left w:val="nil"/>
              <w:bottom w:val="nil"/>
              <w:right w:val="nil"/>
            </w:tcBorders>
            <w:noWrap/>
            <w:vAlign w:val="center"/>
            <w:hideMark/>
          </w:tcPr>
          <w:p w14:paraId="15B3C21F"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Age</w:t>
            </w:r>
          </w:p>
        </w:tc>
        <w:tc>
          <w:tcPr>
            <w:tcW w:w="1408" w:type="dxa"/>
            <w:tcBorders>
              <w:top w:val="nil"/>
              <w:left w:val="nil"/>
              <w:bottom w:val="nil"/>
              <w:right w:val="nil"/>
            </w:tcBorders>
            <w:noWrap/>
            <w:vAlign w:val="center"/>
            <w:hideMark/>
          </w:tcPr>
          <w:p w14:paraId="2C2AD00B"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42.526</w:t>
            </w:r>
          </w:p>
        </w:tc>
        <w:tc>
          <w:tcPr>
            <w:tcW w:w="1610" w:type="dxa"/>
            <w:tcBorders>
              <w:top w:val="nil"/>
              <w:left w:val="nil"/>
              <w:bottom w:val="nil"/>
              <w:right w:val="nil"/>
            </w:tcBorders>
            <w:noWrap/>
            <w:vAlign w:val="center"/>
            <w:hideMark/>
          </w:tcPr>
          <w:p w14:paraId="017BF2F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31.112***</w:t>
            </w:r>
          </w:p>
        </w:tc>
      </w:tr>
      <w:tr w:rsidR="0007775B" w14:paraId="2FBB154C" w14:textId="77777777" w:rsidTr="0007775B">
        <w:trPr>
          <w:trHeight w:val="261"/>
          <w:jc w:val="center"/>
        </w:trPr>
        <w:tc>
          <w:tcPr>
            <w:tcW w:w="4130" w:type="dxa"/>
            <w:tcBorders>
              <w:top w:val="nil"/>
              <w:left w:val="nil"/>
              <w:bottom w:val="nil"/>
              <w:right w:val="nil"/>
            </w:tcBorders>
            <w:noWrap/>
            <w:vAlign w:val="center"/>
            <w:hideMark/>
          </w:tcPr>
          <w:p w14:paraId="3EB2B9FE"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Education (years)</w:t>
            </w:r>
          </w:p>
        </w:tc>
        <w:tc>
          <w:tcPr>
            <w:tcW w:w="1408" w:type="dxa"/>
            <w:tcBorders>
              <w:top w:val="nil"/>
              <w:left w:val="nil"/>
              <w:bottom w:val="nil"/>
              <w:right w:val="nil"/>
            </w:tcBorders>
            <w:noWrap/>
            <w:vAlign w:val="center"/>
            <w:hideMark/>
          </w:tcPr>
          <w:p w14:paraId="6996283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11.905</w:t>
            </w:r>
          </w:p>
        </w:tc>
        <w:tc>
          <w:tcPr>
            <w:tcW w:w="1610" w:type="dxa"/>
            <w:tcBorders>
              <w:top w:val="nil"/>
              <w:left w:val="nil"/>
              <w:bottom w:val="nil"/>
              <w:right w:val="nil"/>
            </w:tcBorders>
            <w:noWrap/>
            <w:vAlign w:val="center"/>
            <w:hideMark/>
          </w:tcPr>
          <w:p w14:paraId="4091AD8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14.044***</w:t>
            </w:r>
          </w:p>
        </w:tc>
      </w:tr>
      <w:tr w:rsidR="0007775B" w14:paraId="4960F64C" w14:textId="77777777" w:rsidTr="0007775B">
        <w:trPr>
          <w:trHeight w:val="261"/>
          <w:jc w:val="center"/>
        </w:trPr>
        <w:tc>
          <w:tcPr>
            <w:tcW w:w="4130" w:type="dxa"/>
            <w:tcBorders>
              <w:top w:val="nil"/>
              <w:left w:val="nil"/>
              <w:bottom w:val="nil"/>
              <w:right w:val="nil"/>
            </w:tcBorders>
            <w:noWrap/>
            <w:vAlign w:val="center"/>
            <w:hideMark/>
          </w:tcPr>
          <w:p w14:paraId="372CC4C0"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Long-term Health Problem</w:t>
            </w:r>
          </w:p>
        </w:tc>
        <w:tc>
          <w:tcPr>
            <w:tcW w:w="1408" w:type="dxa"/>
            <w:tcBorders>
              <w:top w:val="nil"/>
              <w:left w:val="nil"/>
              <w:bottom w:val="nil"/>
              <w:right w:val="nil"/>
            </w:tcBorders>
            <w:noWrap/>
            <w:vAlign w:val="center"/>
            <w:hideMark/>
          </w:tcPr>
          <w:p w14:paraId="4B84BFCF"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0.262</w:t>
            </w:r>
          </w:p>
        </w:tc>
        <w:tc>
          <w:tcPr>
            <w:tcW w:w="1610" w:type="dxa"/>
            <w:tcBorders>
              <w:top w:val="nil"/>
              <w:left w:val="nil"/>
              <w:bottom w:val="nil"/>
              <w:right w:val="nil"/>
            </w:tcBorders>
            <w:noWrap/>
            <w:vAlign w:val="center"/>
            <w:hideMark/>
          </w:tcPr>
          <w:p w14:paraId="3EBF3BAB"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0.092***</w:t>
            </w:r>
          </w:p>
        </w:tc>
      </w:tr>
      <w:tr w:rsidR="0007775B" w14:paraId="4BC33937" w14:textId="77777777" w:rsidTr="0007775B">
        <w:trPr>
          <w:trHeight w:val="261"/>
          <w:jc w:val="center"/>
        </w:trPr>
        <w:tc>
          <w:tcPr>
            <w:tcW w:w="4130" w:type="dxa"/>
            <w:tcBorders>
              <w:top w:val="nil"/>
              <w:left w:val="nil"/>
              <w:bottom w:val="nil"/>
              <w:right w:val="nil"/>
            </w:tcBorders>
            <w:noWrap/>
            <w:vAlign w:val="center"/>
            <w:hideMark/>
          </w:tcPr>
          <w:p w14:paraId="27D5A005"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Long-term Health Problem Limits Work</w:t>
            </w:r>
          </w:p>
        </w:tc>
        <w:tc>
          <w:tcPr>
            <w:tcW w:w="1408" w:type="dxa"/>
            <w:tcBorders>
              <w:top w:val="nil"/>
              <w:left w:val="nil"/>
              <w:bottom w:val="nil"/>
              <w:right w:val="nil"/>
            </w:tcBorders>
            <w:noWrap/>
            <w:vAlign w:val="center"/>
            <w:hideMark/>
          </w:tcPr>
          <w:p w14:paraId="4968B48F"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0.059</w:t>
            </w:r>
          </w:p>
        </w:tc>
        <w:tc>
          <w:tcPr>
            <w:tcW w:w="1610" w:type="dxa"/>
            <w:tcBorders>
              <w:top w:val="nil"/>
              <w:left w:val="nil"/>
              <w:bottom w:val="nil"/>
              <w:right w:val="nil"/>
            </w:tcBorders>
            <w:noWrap/>
            <w:vAlign w:val="center"/>
            <w:hideMark/>
          </w:tcPr>
          <w:p w14:paraId="50E3BC7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0.029***</w:t>
            </w:r>
          </w:p>
        </w:tc>
      </w:tr>
      <w:tr w:rsidR="0007775B" w14:paraId="10AA9F27" w14:textId="77777777" w:rsidTr="0007775B">
        <w:trPr>
          <w:trHeight w:val="261"/>
          <w:jc w:val="center"/>
        </w:trPr>
        <w:tc>
          <w:tcPr>
            <w:tcW w:w="4130" w:type="dxa"/>
            <w:tcBorders>
              <w:top w:val="nil"/>
              <w:left w:val="nil"/>
              <w:bottom w:val="nil"/>
              <w:right w:val="nil"/>
            </w:tcBorders>
            <w:noWrap/>
            <w:vAlign w:val="center"/>
            <w:hideMark/>
          </w:tcPr>
          <w:p w14:paraId="1B76CE19"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Married or Cohabiting</w:t>
            </w:r>
          </w:p>
        </w:tc>
        <w:tc>
          <w:tcPr>
            <w:tcW w:w="1408" w:type="dxa"/>
            <w:tcBorders>
              <w:top w:val="nil"/>
              <w:left w:val="nil"/>
              <w:bottom w:val="nil"/>
              <w:right w:val="nil"/>
            </w:tcBorders>
            <w:noWrap/>
            <w:vAlign w:val="center"/>
            <w:hideMark/>
          </w:tcPr>
          <w:p w14:paraId="37CD43C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0.687</w:t>
            </w:r>
          </w:p>
        </w:tc>
        <w:tc>
          <w:tcPr>
            <w:tcW w:w="1610" w:type="dxa"/>
            <w:tcBorders>
              <w:top w:val="nil"/>
              <w:left w:val="nil"/>
              <w:bottom w:val="nil"/>
              <w:right w:val="nil"/>
            </w:tcBorders>
            <w:noWrap/>
            <w:vAlign w:val="center"/>
            <w:hideMark/>
          </w:tcPr>
          <w:p w14:paraId="58AD6FE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0.633***</w:t>
            </w:r>
          </w:p>
        </w:tc>
      </w:tr>
      <w:tr w:rsidR="0007775B" w14:paraId="4AF12432" w14:textId="77777777" w:rsidTr="0007775B">
        <w:trPr>
          <w:trHeight w:val="261"/>
          <w:jc w:val="center"/>
        </w:trPr>
        <w:tc>
          <w:tcPr>
            <w:tcW w:w="4130" w:type="dxa"/>
            <w:tcBorders>
              <w:top w:val="nil"/>
              <w:left w:val="nil"/>
              <w:bottom w:val="nil"/>
              <w:right w:val="nil"/>
            </w:tcBorders>
            <w:noWrap/>
            <w:vAlign w:val="center"/>
            <w:hideMark/>
          </w:tcPr>
          <w:p w14:paraId="7CA8516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Number of dependent children &lt;16 y.o.</w:t>
            </w:r>
          </w:p>
        </w:tc>
        <w:tc>
          <w:tcPr>
            <w:tcW w:w="1408" w:type="dxa"/>
            <w:tcBorders>
              <w:top w:val="nil"/>
              <w:left w:val="nil"/>
              <w:bottom w:val="nil"/>
              <w:right w:val="nil"/>
            </w:tcBorders>
            <w:noWrap/>
            <w:vAlign w:val="center"/>
            <w:hideMark/>
          </w:tcPr>
          <w:p w14:paraId="60483CD4"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0.592</w:t>
            </w:r>
          </w:p>
        </w:tc>
        <w:tc>
          <w:tcPr>
            <w:tcW w:w="1610" w:type="dxa"/>
            <w:tcBorders>
              <w:top w:val="nil"/>
              <w:left w:val="nil"/>
              <w:bottom w:val="nil"/>
              <w:right w:val="nil"/>
            </w:tcBorders>
            <w:noWrap/>
            <w:vAlign w:val="center"/>
            <w:hideMark/>
          </w:tcPr>
          <w:p w14:paraId="4E526B7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0.473***</w:t>
            </w:r>
          </w:p>
        </w:tc>
      </w:tr>
      <w:tr w:rsidR="0007775B" w14:paraId="291E68DF" w14:textId="77777777" w:rsidTr="0007775B">
        <w:trPr>
          <w:trHeight w:val="261"/>
          <w:jc w:val="center"/>
        </w:trPr>
        <w:tc>
          <w:tcPr>
            <w:tcW w:w="4130" w:type="dxa"/>
            <w:tcBorders>
              <w:top w:val="nil"/>
              <w:left w:val="nil"/>
              <w:bottom w:val="nil"/>
              <w:right w:val="nil"/>
            </w:tcBorders>
            <w:noWrap/>
            <w:vAlign w:val="center"/>
            <w:hideMark/>
          </w:tcPr>
          <w:p w14:paraId="200670F3"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3227EB80" w14:textId="77777777" w:rsidR="0007775B" w:rsidRPr="00B376DD"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i/>
                <w:iCs/>
                <w:sz w:val="20"/>
                <w:szCs w:val="20"/>
              </w:rPr>
              <w:t>Dummy Variables for Age of youngest dependent child</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4082637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652DCD0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7081C7B5" w14:textId="77777777" w:rsidTr="0007775B">
        <w:trPr>
          <w:trHeight w:val="261"/>
          <w:jc w:val="center"/>
        </w:trPr>
        <w:tc>
          <w:tcPr>
            <w:tcW w:w="4130" w:type="dxa"/>
            <w:tcBorders>
              <w:top w:val="nil"/>
              <w:left w:val="nil"/>
              <w:bottom w:val="nil"/>
              <w:right w:val="nil"/>
            </w:tcBorders>
            <w:noWrap/>
            <w:vAlign w:val="center"/>
            <w:hideMark/>
          </w:tcPr>
          <w:p w14:paraId="0EA9EDC2"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0-2 years</w:t>
            </w:r>
          </w:p>
        </w:tc>
        <w:tc>
          <w:tcPr>
            <w:tcW w:w="1408" w:type="dxa"/>
            <w:tcBorders>
              <w:top w:val="nil"/>
              <w:left w:val="nil"/>
              <w:bottom w:val="nil"/>
              <w:right w:val="nil"/>
            </w:tcBorders>
            <w:noWrap/>
            <w:vAlign w:val="center"/>
            <w:hideMark/>
          </w:tcPr>
          <w:p w14:paraId="2812EE8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0.082</w:t>
            </w:r>
          </w:p>
        </w:tc>
        <w:tc>
          <w:tcPr>
            <w:tcW w:w="1610" w:type="dxa"/>
            <w:tcBorders>
              <w:top w:val="nil"/>
              <w:left w:val="nil"/>
              <w:bottom w:val="nil"/>
              <w:right w:val="nil"/>
            </w:tcBorders>
            <w:noWrap/>
            <w:vAlign w:val="center"/>
            <w:hideMark/>
          </w:tcPr>
          <w:p w14:paraId="7955ED6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0.146***</w:t>
            </w:r>
          </w:p>
        </w:tc>
      </w:tr>
      <w:tr w:rsidR="0007775B" w14:paraId="2203E84C" w14:textId="77777777" w:rsidTr="0007775B">
        <w:trPr>
          <w:trHeight w:val="261"/>
          <w:jc w:val="center"/>
        </w:trPr>
        <w:tc>
          <w:tcPr>
            <w:tcW w:w="4130" w:type="dxa"/>
            <w:tcBorders>
              <w:top w:val="nil"/>
              <w:left w:val="nil"/>
              <w:bottom w:val="nil"/>
              <w:right w:val="nil"/>
            </w:tcBorders>
            <w:noWrap/>
            <w:vAlign w:val="center"/>
            <w:hideMark/>
          </w:tcPr>
          <w:p w14:paraId="3DD7609E"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3-4 years</w:t>
            </w:r>
          </w:p>
        </w:tc>
        <w:tc>
          <w:tcPr>
            <w:tcW w:w="1408" w:type="dxa"/>
            <w:tcBorders>
              <w:top w:val="nil"/>
              <w:left w:val="nil"/>
              <w:bottom w:val="nil"/>
              <w:right w:val="nil"/>
            </w:tcBorders>
            <w:noWrap/>
            <w:vAlign w:val="center"/>
            <w:hideMark/>
          </w:tcPr>
          <w:p w14:paraId="0AA25C9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1610" w:type="dxa"/>
            <w:tcBorders>
              <w:top w:val="nil"/>
              <w:left w:val="nil"/>
              <w:bottom w:val="nil"/>
              <w:right w:val="nil"/>
            </w:tcBorders>
            <w:noWrap/>
            <w:vAlign w:val="center"/>
            <w:hideMark/>
          </w:tcPr>
          <w:p w14:paraId="11C7333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0.044</w:t>
            </w:r>
          </w:p>
        </w:tc>
      </w:tr>
      <w:tr w:rsidR="0007775B" w14:paraId="22BF1746" w14:textId="77777777" w:rsidTr="0007775B">
        <w:trPr>
          <w:trHeight w:val="261"/>
          <w:jc w:val="center"/>
        </w:trPr>
        <w:tc>
          <w:tcPr>
            <w:tcW w:w="4130" w:type="dxa"/>
            <w:tcBorders>
              <w:top w:val="nil"/>
              <w:left w:val="nil"/>
              <w:bottom w:val="nil"/>
              <w:right w:val="nil"/>
            </w:tcBorders>
            <w:noWrap/>
            <w:vAlign w:val="center"/>
            <w:hideMark/>
          </w:tcPr>
          <w:p w14:paraId="0AF36B0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5-9 years</w:t>
            </w:r>
          </w:p>
        </w:tc>
        <w:tc>
          <w:tcPr>
            <w:tcW w:w="1408" w:type="dxa"/>
            <w:tcBorders>
              <w:top w:val="nil"/>
              <w:left w:val="nil"/>
              <w:bottom w:val="nil"/>
              <w:right w:val="nil"/>
            </w:tcBorders>
            <w:noWrap/>
            <w:vAlign w:val="center"/>
            <w:hideMark/>
          </w:tcPr>
          <w:p w14:paraId="375CAC1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0.101</w:t>
            </w:r>
          </w:p>
        </w:tc>
        <w:tc>
          <w:tcPr>
            <w:tcW w:w="1610" w:type="dxa"/>
            <w:tcBorders>
              <w:top w:val="nil"/>
              <w:left w:val="nil"/>
              <w:bottom w:val="nil"/>
              <w:right w:val="nil"/>
            </w:tcBorders>
            <w:noWrap/>
            <w:vAlign w:val="center"/>
            <w:hideMark/>
          </w:tcPr>
          <w:p w14:paraId="794337C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0.083**</w:t>
            </w:r>
          </w:p>
        </w:tc>
      </w:tr>
      <w:tr w:rsidR="0007775B" w14:paraId="0D477B31" w14:textId="77777777" w:rsidTr="0007775B">
        <w:trPr>
          <w:trHeight w:val="261"/>
          <w:jc w:val="center"/>
        </w:trPr>
        <w:tc>
          <w:tcPr>
            <w:tcW w:w="4130" w:type="dxa"/>
            <w:tcBorders>
              <w:top w:val="nil"/>
              <w:left w:val="nil"/>
              <w:bottom w:val="nil"/>
              <w:right w:val="nil"/>
            </w:tcBorders>
            <w:noWrap/>
            <w:vAlign w:val="center"/>
            <w:hideMark/>
          </w:tcPr>
          <w:p w14:paraId="17EC8D68"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10-15 years</w:t>
            </w:r>
          </w:p>
        </w:tc>
        <w:tc>
          <w:tcPr>
            <w:tcW w:w="1408" w:type="dxa"/>
            <w:tcBorders>
              <w:top w:val="nil"/>
              <w:left w:val="nil"/>
              <w:bottom w:val="nil"/>
              <w:right w:val="nil"/>
            </w:tcBorders>
            <w:noWrap/>
            <w:vAlign w:val="center"/>
            <w:hideMark/>
          </w:tcPr>
          <w:p w14:paraId="68F9925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w:t>
            </w:r>
          </w:p>
        </w:tc>
        <w:tc>
          <w:tcPr>
            <w:tcW w:w="1610" w:type="dxa"/>
            <w:tcBorders>
              <w:top w:val="nil"/>
              <w:left w:val="nil"/>
              <w:bottom w:val="nil"/>
              <w:right w:val="nil"/>
            </w:tcBorders>
            <w:noWrap/>
            <w:vAlign w:val="center"/>
            <w:hideMark/>
          </w:tcPr>
          <w:p w14:paraId="4970F3D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0.061***</w:t>
            </w:r>
          </w:p>
        </w:tc>
      </w:tr>
      <w:tr w:rsidR="0007775B" w14:paraId="48BDC1E6" w14:textId="77777777" w:rsidTr="0007775B">
        <w:trPr>
          <w:trHeight w:val="261"/>
          <w:jc w:val="center"/>
        </w:trPr>
        <w:tc>
          <w:tcPr>
            <w:tcW w:w="4130" w:type="dxa"/>
            <w:tcBorders>
              <w:top w:val="nil"/>
              <w:left w:val="nil"/>
              <w:bottom w:val="nil"/>
              <w:right w:val="nil"/>
            </w:tcBorders>
            <w:noWrap/>
            <w:vAlign w:val="center"/>
            <w:hideMark/>
          </w:tcPr>
          <w:p w14:paraId="0A4DB27D"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16-18 years</w:t>
            </w:r>
          </w:p>
        </w:tc>
        <w:tc>
          <w:tcPr>
            <w:tcW w:w="1408" w:type="dxa"/>
            <w:tcBorders>
              <w:top w:val="nil"/>
              <w:left w:val="nil"/>
              <w:bottom w:val="nil"/>
              <w:right w:val="nil"/>
            </w:tcBorders>
            <w:noWrap/>
            <w:vAlign w:val="center"/>
            <w:hideMark/>
          </w:tcPr>
          <w:p w14:paraId="61C514E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0.046</w:t>
            </w:r>
          </w:p>
        </w:tc>
        <w:tc>
          <w:tcPr>
            <w:tcW w:w="1610" w:type="dxa"/>
            <w:tcBorders>
              <w:top w:val="nil"/>
              <w:left w:val="nil"/>
              <w:bottom w:val="nil"/>
              <w:right w:val="nil"/>
            </w:tcBorders>
            <w:noWrap/>
            <w:vAlign w:val="center"/>
            <w:hideMark/>
          </w:tcPr>
          <w:p w14:paraId="60C034F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0.014***</w:t>
            </w:r>
          </w:p>
        </w:tc>
      </w:tr>
      <w:tr w:rsidR="0007775B" w14:paraId="32EE1E3A" w14:textId="77777777" w:rsidTr="0007775B">
        <w:trPr>
          <w:trHeight w:val="261"/>
          <w:jc w:val="center"/>
        </w:trPr>
        <w:tc>
          <w:tcPr>
            <w:tcW w:w="4130" w:type="dxa"/>
            <w:tcBorders>
              <w:top w:val="nil"/>
              <w:left w:val="nil"/>
              <w:bottom w:val="nil"/>
              <w:right w:val="nil"/>
            </w:tcBorders>
            <w:noWrap/>
            <w:vAlign w:val="center"/>
            <w:hideMark/>
          </w:tcPr>
          <w:p w14:paraId="32C4754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6. No child</w:t>
            </w:r>
          </w:p>
        </w:tc>
        <w:tc>
          <w:tcPr>
            <w:tcW w:w="1408" w:type="dxa"/>
            <w:tcBorders>
              <w:top w:val="nil"/>
              <w:left w:val="nil"/>
              <w:bottom w:val="nil"/>
              <w:right w:val="nil"/>
            </w:tcBorders>
            <w:noWrap/>
            <w:vAlign w:val="center"/>
            <w:hideMark/>
          </w:tcPr>
          <w:p w14:paraId="35D45E7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0.592</w:t>
            </w:r>
          </w:p>
        </w:tc>
        <w:tc>
          <w:tcPr>
            <w:tcW w:w="1610" w:type="dxa"/>
            <w:tcBorders>
              <w:top w:val="nil"/>
              <w:left w:val="nil"/>
              <w:bottom w:val="nil"/>
              <w:right w:val="nil"/>
            </w:tcBorders>
            <w:noWrap/>
            <w:vAlign w:val="center"/>
            <w:hideMark/>
          </w:tcPr>
          <w:p w14:paraId="2F38D91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0.652***</w:t>
            </w:r>
          </w:p>
        </w:tc>
      </w:tr>
      <w:tr w:rsidR="0007775B" w14:paraId="0A415037" w14:textId="77777777" w:rsidTr="0007775B">
        <w:trPr>
          <w:trHeight w:val="261"/>
          <w:jc w:val="center"/>
        </w:trPr>
        <w:tc>
          <w:tcPr>
            <w:tcW w:w="4130" w:type="dxa"/>
            <w:tcBorders>
              <w:top w:val="nil"/>
              <w:left w:val="nil"/>
              <w:bottom w:val="nil"/>
              <w:right w:val="nil"/>
            </w:tcBorders>
            <w:noWrap/>
            <w:vAlign w:val="center"/>
            <w:hideMark/>
          </w:tcPr>
          <w:p w14:paraId="740A7819" w14:textId="77777777" w:rsidR="0007775B" w:rsidRDefault="0007775B" w:rsidP="0007775B">
            <w:pPr>
              <w:spacing w:after="0" w:line="240" w:lineRule="auto"/>
              <w:rPr>
                <w:rFonts w:ascii="Times New Roman" w:hAnsi="Times New Roman" w:cs="Times New Roman"/>
                <w:b/>
                <w:sz w:val="20"/>
                <w:szCs w:val="20"/>
              </w:rPr>
            </w:pPr>
          </w:p>
          <w:p w14:paraId="50AE5FE7" w14:textId="77777777" w:rsidR="0007775B" w:rsidRDefault="0007775B" w:rsidP="0007775B">
            <w:pPr>
              <w:spacing w:after="0" w:line="240" w:lineRule="auto"/>
              <w:rPr>
                <w:rFonts w:ascii="Times New Roman" w:eastAsia="Times New Roman" w:hAnsi="Times New Roman" w:cs="Times New Roman"/>
                <w:b/>
                <w:bCs/>
                <w:sz w:val="20"/>
                <w:szCs w:val="20"/>
              </w:rPr>
            </w:pPr>
            <w:r w:rsidRPr="338B1626">
              <w:rPr>
                <w:rFonts w:ascii="Times New Roman" w:eastAsia="Times New Roman" w:hAnsi="Times New Roman" w:cs="Times New Roman"/>
                <w:b/>
                <w:bCs/>
                <w:sz w:val="20"/>
                <w:szCs w:val="20"/>
              </w:rPr>
              <w:t>Job Characteristics</w:t>
            </w:r>
          </w:p>
          <w:p w14:paraId="4CA1EE78" w14:textId="77777777" w:rsidR="0007775B" w:rsidRDefault="0007775B" w:rsidP="0007775B">
            <w:pPr>
              <w:spacing w:after="0" w:line="240" w:lineRule="auto"/>
              <w:rPr>
                <w:rFonts w:ascii="Times New Roman" w:hAnsi="Times New Roman" w:cs="Times New Roman"/>
                <w:b/>
                <w:sz w:val="20"/>
                <w:szCs w:val="20"/>
              </w:rPr>
            </w:pPr>
          </w:p>
        </w:tc>
        <w:tc>
          <w:tcPr>
            <w:tcW w:w="1408" w:type="dxa"/>
            <w:tcBorders>
              <w:top w:val="nil"/>
              <w:left w:val="nil"/>
              <w:bottom w:val="nil"/>
              <w:right w:val="nil"/>
            </w:tcBorders>
            <w:noWrap/>
            <w:vAlign w:val="center"/>
          </w:tcPr>
          <w:p w14:paraId="7B464B5B"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52C5D32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0331AD4E" w14:textId="77777777" w:rsidTr="0007775B">
        <w:trPr>
          <w:trHeight w:val="261"/>
          <w:jc w:val="center"/>
        </w:trPr>
        <w:tc>
          <w:tcPr>
            <w:tcW w:w="4130" w:type="dxa"/>
            <w:tcBorders>
              <w:top w:val="nil"/>
              <w:left w:val="nil"/>
              <w:bottom w:val="nil"/>
              <w:right w:val="nil"/>
            </w:tcBorders>
            <w:noWrap/>
            <w:vAlign w:val="center"/>
            <w:hideMark/>
          </w:tcPr>
          <w:p w14:paraId="06AEFC71" w14:textId="77777777" w:rsidR="0007775B" w:rsidRPr="00B376DD" w:rsidRDefault="0007775B" w:rsidP="0007775B">
            <w:pPr>
              <w:spacing w:after="0" w:line="240" w:lineRule="auto"/>
              <w:rPr>
                <w:rFonts w:ascii="Times New Roman" w:hAnsi="Times New Roman" w:cs="Times New Roman"/>
                <w:b/>
                <w:i/>
                <w:sz w:val="20"/>
                <w:szCs w:val="20"/>
              </w:rPr>
            </w:pPr>
            <w:r w:rsidRPr="338B1626">
              <w:rPr>
                <w:rFonts w:ascii="Times New Roman" w:eastAsia="Times New Roman" w:hAnsi="Times New Roman" w:cs="Times New Roman"/>
                <w:b/>
                <w:bCs/>
                <w:i/>
                <w:iCs/>
                <w:sz w:val="20"/>
                <w:szCs w:val="20"/>
              </w:rPr>
              <w:t>Dummy Variables for Usual Basic Hours</w:t>
            </w:r>
          </w:p>
        </w:tc>
        <w:tc>
          <w:tcPr>
            <w:tcW w:w="1408" w:type="dxa"/>
            <w:tcBorders>
              <w:top w:val="nil"/>
              <w:left w:val="nil"/>
              <w:bottom w:val="nil"/>
              <w:right w:val="nil"/>
            </w:tcBorders>
            <w:noWrap/>
            <w:vAlign w:val="center"/>
          </w:tcPr>
          <w:p w14:paraId="02171FD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4C2D5C1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321ACBB4" w14:textId="77777777" w:rsidTr="0007775B">
        <w:trPr>
          <w:trHeight w:val="261"/>
          <w:jc w:val="center"/>
        </w:trPr>
        <w:tc>
          <w:tcPr>
            <w:tcW w:w="4130" w:type="dxa"/>
            <w:tcBorders>
              <w:top w:val="nil"/>
              <w:left w:val="nil"/>
              <w:bottom w:val="nil"/>
              <w:right w:val="nil"/>
            </w:tcBorders>
            <w:noWrap/>
            <w:vAlign w:val="center"/>
            <w:hideMark/>
          </w:tcPr>
          <w:p w14:paraId="23D24B80"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1-15</w:t>
            </w:r>
          </w:p>
        </w:tc>
        <w:tc>
          <w:tcPr>
            <w:tcW w:w="1408" w:type="dxa"/>
            <w:tcBorders>
              <w:top w:val="nil"/>
              <w:left w:val="nil"/>
              <w:bottom w:val="nil"/>
              <w:right w:val="nil"/>
            </w:tcBorders>
            <w:noWrap/>
            <w:vAlign w:val="center"/>
            <w:hideMark/>
          </w:tcPr>
          <w:p w14:paraId="55A72FE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0.058</w:t>
            </w:r>
          </w:p>
        </w:tc>
        <w:tc>
          <w:tcPr>
            <w:tcW w:w="1610" w:type="dxa"/>
            <w:tcBorders>
              <w:top w:val="nil"/>
              <w:left w:val="nil"/>
              <w:bottom w:val="nil"/>
              <w:right w:val="nil"/>
            </w:tcBorders>
            <w:noWrap/>
            <w:vAlign w:val="center"/>
            <w:hideMark/>
          </w:tcPr>
          <w:p w14:paraId="09E505C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0.015***</w:t>
            </w:r>
          </w:p>
        </w:tc>
      </w:tr>
      <w:tr w:rsidR="0007775B" w14:paraId="2D95FBAD" w14:textId="77777777" w:rsidTr="0007775B">
        <w:trPr>
          <w:trHeight w:val="261"/>
          <w:jc w:val="center"/>
        </w:trPr>
        <w:tc>
          <w:tcPr>
            <w:tcW w:w="4130" w:type="dxa"/>
            <w:tcBorders>
              <w:top w:val="nil"/>
              <w:left w:val="nil"/>
              <w:bottom w:val="nil"/>
              <w:right w:val="nil"/>
            </w:tcBorders>
            <w:noWrap/>
            <w:vAlign w:val="center"/>
            <w:hideMark/>
          </w:tcPr>
          <w:p w14:paraId="49058544"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16-29</w:t>
            </w:r>
          </w:p>
        </w:tc>
        <w:tc>
          <w:tcPr>
            <w:tcW w:w="1408" w:type="dxa"/>
            <w:tcBorders>
              <w:top w:val="nil"/>
              <w:left w:val="nil"/>
              <w:bottom w:val="nil"/>
              <w:right w:val="nil"/>
            </w:tcBorders>
            <w:noWrap/>
            <w:vAlign w:val="center"/>
            <w:hideMark/>
          </w:tcPr>
          <w:p w14:paraId="73D6697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0.178</w:t>
            </w:r>
          </w:p>
        </w:tc>
        <w:tc>
          <w:tcPr>
            <w:tcW w:w="1610" w:type="dxa"/>
            <w:tcBorders>
              <w:top w:val="nil"/>
              <w:left w:val="nil"/>
              <w:bottom w:val="nil"/>
              <w:right w:val="nil"/>
            </w:tcBorders>
            <w:noWrap/>
            <w:vAlign w:val="center"/>
            <w:hideMark/>
          </w:tcPr>
          <w:p w14:paraId="03995D1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0.099***</w:t>
            </w:r>
          </w:p>
        </w:tc>
      </w:tr>
      <w:tr w:rsidR="0007775B" w14:paraId="6670656B" w14:textId="77777777" w:rsidTr="0007775B">
        <w:trPr>
          <w:trHeight w:val="261"/>
          <w:jc w:val="center"/>
        </w:trPr>
        <w:tc>
          <w:tcPr>
            <w:tcW w:w="4130" w:type="dxa"/>
            <w:tcBorders>
              <w:top w:val="nil"/>
              <w:left w:val="nil"/>
              <w:bottom w:val="nil"/>
              <w:right w:val="nil"/>
            </w:tcBorders>
            <w:noWrap/>
            <w:vAlign w:val="center"/>
            <w:hideMark/>
          </w:tcPr>
          <w:p w14:paraId="6DE4E307"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30-35</w:t>
            </w:r>
          </w:p>
        </w:tc>
        <w:tc>
          <w:tcPr>
            <w:tcW w:w="1408" w:type="dxa"/>
            <w:tcBorders>
              <w:top w:val="nil"/>
              <w:left w:val="nil"/>
              <w:bottom w:val="nil"/>
              <w:right w:val="nil"/>
            </w:tcBorders>
            <w:noWrap/>
            <w:vAlign w:val="center"/>
            <w:hideMark/>
          </w:tcPr>
          <w:p w14:paraId="00E672D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0.159</w:t>
            </w:r>
          </w:p>
        </w:tc>
        <w:tc>
          <w:tcPr>
            <w:tcW w:w="1610" w:type="dxa"/>
            <w:tcBorders>
              <w:top w:val="nil"/>
              <w:left w:val="nil"/>
              <w:bottom w:val="nil"/>
              <w:right w:val="nil"/>
            </w:tcBorders>
            <w:noWrap/>
            <w:vAlign w:val="center"/>
            <w:hideMark/>
          </w:tcPr>
          <w:p w14:paraId="23CF655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0.082***</w:t>
            </w:r>
          </w:p>
        </w:tc>
      </w:tr>
      <w:tr w:rsidR="0007775B" w14:paraId="45160D77" w14:textId="77777777" w:rsidTr="0007775B">
        <w:trPr>
          <w:trHeight w:val="261"/>
          <w:jc w:val="center"/>
        </w:trPr>
        <w:tc>
          <w:tcPr>
            <w:tcW w:w="4130" w:type="dxa"/>
            <w:tcBorders>
              <w:top w:val="nil"/>
              <w:left w:val="nil"/>
              <w:bottom w:val="nil"/>
              <w:right w:val="nil"/>
            </w:tcBorders>
            <w:noWrap/>
            <w:vAlign w:val="center"/>
            <w:hideMark/>
          </w:tcPr>
          <w:p w14:paraId="00EFADE7"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36-40</w:t>
            </w:r>
          </w:p>
        </w:tc>
        <w:tc>
          <w:tcPr>
            <w:tcW w:w="1408" w:type="dxa"/>
            <w:tcBorders>
              <w:top w:val="nil"/>
              <w:left w:val="nil"/>
              <w:bottom w:val="nil"/>
              <w:right w:val="nil"/>
            </w:tcBorders>
            <w:noWrap/>
            <w:vAlign w:val="center"/>
            <w:hideMark/>
          </w:tcPr>
          <w:p w14:paraId="05EF21A2"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0.489</w:t>
            </w:r>
          </w:p>
        </w:tc>
        <w:tc>
          <w:tcPr>
            <w:tcW w:w="1610" w:type="dxa"/>
            <w:tcBorders>
              <w:top w:val="nil"/>
              <w:left w:val="nil"/>
              <w:bottom w:val="nil"/>
              <w:right w:val="nil"/>
            </w:tcBorders>
            <w:noWrap/>
            <w:vAlign w:val="center"/>
            <w:hideMark/>
          </w:tcPr>
          <w:p w14:paraId="41E9E57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0.620***</w:t>
            </w:r>
          </w:p>
        </w:tc>
      </w:tr>
      <w:tr w:rsidR="0007775B" w14:paraId="26AC58C8" w14:textId="77777777" w:rsidTr="0007775B">
        <w:trPr>
          <w:trHeight w:val="261"/>
          <w:jc w:val="center"/>
        </w:trPr>
        <w:tc>
          <w:tcPr>
            <w:tcW w:w="4130" w:type="dxa"/>
            <w:tcBorders>
              <w:top w:val="nil"/>
              <w:left w:val="nil"/>
              <w:bottom w:val="nil"/>
              <w:right w:val="nil"/>
            </w:tcBorders>
            <w:noWrap/>
            <w:vAlign w:val="center"/>
            <w:hideMark/>
          </w:tcPr>
          <w:p w14:paraId="7A0F5E07"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41-48</w:t>
            </w:r>
          </w:p>
        </w:tc>
        <w:tc>
          <w:tcPr>
            <w:tcW w:w="1408" w:type="dxa"/>
            <w:tcBorders>
              <w:top w:val="nil"/>
              <w:left w:val="nil"/>
              <w:bottom w:val="nil"/>
              <w:right w:val="nil"/>
            </w:tcBorders>
            <w:noWrap/>
            <w:vAlign w:val="center"/>
            <w:hideMark/>
          </w:tcPr>
          <w:p w14:paraId="3A971D8B"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0.072</w:t>
            </w:r>
          </w:p>
        </w:tc>
        <w:tc>
          <w:tcPr>
            <w:tcW w:w="1610" w:type="dxa"/>
            <w:tcBorders>
              <w:top w:val="nil"/>
              <w:left w:val="nil"/>
              <w:bottom w:val="nil"/>
              <w:right w:val="nil"/>
            </w:tcBorders>
            <w:noWrap/>
            <w:vAlign w:val="center"/>
            <w:hideMark/>
          </w:tcPr>
          <w:p w14:paraId="52551FA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0.134***</w:t>
            </w:r>
          </w:p>
        </w:tc>
      </w:tr>
      <w:tr w:rsidR="0007775B" w14:paraId="3F1CC130" w14:textId="77777777" w:rsidTr="0007775B">
        <w:trPr>
          <w:trHeight w:val="261"/>
          <w:jc w:val="center"/>
        </w:trPr>
        <w:tc>
          <w:tcPr>
            <w:tcW w:w="4130" w:type="dxa"/>
            <w:tcBorders>
              <w:top w:val="nil"/>
              <w:left w:val="nil"/>
              <w:bottom w:val="nil"/>
              <w:right w:val="nil"/>
            </w:tcBorders>
            <w:noWrap/>
            <w:vAlign w:val="center"/>
            <w:hideMark/>
          </w:tcPr>
          <w:p w14:paraId="3CD6C7F3"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6. 48+</w:t>
            </w:r>
          </w:p>
        </w:tc>
        <w:tc>
          <w:tcPr>
            <w:tcW w:w="1408" w:type="dxa"/>
            <w:tcBorders>
              <w:top w:val="nil"/>
              <w:left w:val="nil"/>
              <w:bottom w:val="nil"/>
              <w:right w:val="nil"/>
            </w:tcBorders>
            <w:noWrap/>
            <w:vAlign w:val="center"/>
            <w:hideMark/>
          </w:tcPr>
          <w:p w14:paraId="16C18035"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1610" w:type="dxa"/>
            <w:tcBorders>
              <w:top w:val="nil"/>
              <w:left w:val="nil"/>
              <w:bottom w:val="nil"/>
              <w:right w:val="nil"/>
            </w:tcBorders>
            <w:noWrap/>
            <w:vAlign w:val="center"/>
            <w:hideMark/>
          </w:tcPr>
          <w:p w14:paraId="18603D4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r>
      <w:tr w:rsidR="0007775B" w14:paraId="3E770370" w14:textId="77777777" w:rsidTr="0007775B">
        <w:trPr>
          <w:trHeight w:val="261"/>
          <w:jc w:val="center"/>
        </w:trPr>
        <w:tc>
          <w:tcPr>
            <w:tcW w:w="4130" w:type="dxa"/>
            <w:tcBorders>
              <w:top w:val="nil"/>
              <w:left w:val="nil"/>
              <w:bottom w:val="nil"/>
              <w:right w:val="nil"/>
            </w:tcBorders>
            <w:noWrap/>
            <w:vAlign w:val="center"/>
          </w:tcPr>
          <w:p w14:paraId="4D2C1ED6" w14:textId="77777777" w:rsidR="0007775B" w:rsidRPr="338B1626" w:rsidRDefault="0007775B" w:rsidP="0007775B">
            <w:pPr>
              <w:spacing w:after="0" w:line="240" w:lineRule="auto"/>
              <w:rPr>
                <w:rFonts w:ascii="Times New Roman" w:eastAsia="Times New Roman" w:hAnsi="Times New Roman" w:cs="Times New Roman"/>
                <w:sz w:val="20"/>
                <w:szCs w:val="20"/>
              </w:rPr>
            </w:pPr>
          </w:p>
        </w:tc>
        <w:tc>
          <w:tcPr>
            <w:tcW w:w="1408" w:type="dxa"/>
            <w:tcBorders>
              <w:top w:val="nil"/>
              <w:left w:val="nil"/>
              <w:bottom w:val="nil"/>
              <w:right w:val="nil"/>
            </w:tcBorders>
            <w:noWrap/>
            <w:vAlign w:val="center"/>
          </w:tcPr>
          <w:p w14:paraId="30A7CDC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308D796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rsidRPr="006D7F48" w14:paraId="5FC647EB" w14:textId="77777777" w:rsidTr="0007775B">
        <w:trPr>
          <w:trHeight w:val="261"/>
          <w:jc w:val="center"/>
        </w:trPr>
        <w:tc>
          <w:tcPr>
            <w:tcW w:w="4130" w:type="dxa"/>
            <w:tcBorders>
              <w:top w:val="nil"/>
              <w:left w:val="nil"/>
              <w:bottom w:val="nil"/>
              <w:right w:val="nil"/>
            </w:tcBorders>
            <w:noWrap/>
            <w:vAlign w:val="center"/>
          </w:tcPr>
          <w:p w14:paraId="76CBC12B"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Public sector</w:t>
            </w:r>
          </w:p>
        </w:tc>
        <w:tc>
          <w:tcPr>
            <w:tcW w:w="1408" w:type="dxa"/>
            <w:tcBorders>
              <w:top w:val="nil"/>
              <w:left w:val="nil"/>
              <w:bottom w:val="nil"/>
              <w:right w:val="nil"/>
            </w:tcBorders>
            <w:noWrap/>
            <w:vAlign w:val="center"/>
          </w:tcPr>
          <w:p w14:paraId="01BE7487" w14:textId="77777777" w:rsidR="0007775B" w:rsidRPr="006D7F48" w:rsidRDefault="0007775B" w:rsidP="0007775B">
            <w:pPr>
              <w:tabs>
                <w:tab w:val="decimal" w:pos="459"/>
              </w:tabs>
              <w:spacing w:after="0" w:line="240" w:lineRule="auto"/>
              <w:jc w:val="center"/>
              <w:rPr>
                <w:rFonts w:ascii="Times New Roman" w:hAnsi="Times New Roman" w:cs="Times New Roman"/>
                <w:sz w:val="20"/>
                <w:szCs w:val="20"/>
                <w:lang w:val="el-GR"/>
              </w:rPr>
            </w:pPr>
            <w:r>
              <w:rPr>
                <w:rFonts w:ascii="Times New Roman" w:hAnsi="Times New Roman" w:cs="Times New Roman"/>
                <w:sz w:val="20"/>
                <w:szCs w:val="20"/>
                <w:lang w:val="el-GR"/>
              </w:rPr>
              <w:t>0.326</w:t>
            </w:r>
          </w:p>
        </w:tc>
        <w:tc>
          <w:tcPr>
            <w:tcW w:w="1610" w:type="dxa"/>
            <w:tcBorders>
              <w:top w:val="nil"/>
              <w:left w:val="nil"/>
              <w:bottom w:val="nil"/>
              <w:right w:val="nil"/>
            </w:tcBorders>
            <w:noWrap/>
            <w:vAlign w:val="center"/>
          </w:tcPr>
          <w:p w14:paraId="028913B9" w14:textId="77777777" w:rsidR="0007775B" w:rsidRPr="006D7F48" w:rsidRDefault="0007775B" w:rsidP="0007775B">
            <w:pPr>
              <w:tabs>
                <w:tab w:val="decimal" w:pos="317"/>
              </w:tabs>
              <w:spacing w:after="0" w:line="240" w:lineRule="auto"/>
              <w:jc w:val="center"/>
              <w:rPr>
                <w:rFonts w:ascii="Times New Roman" w:hAnsi="Times New Roman" w:cs="Times New Roman"/>
                <w:sz w:val="20"/>
                <w:szCs w:val="20"/>
                <w:lang w:val="el-GR"/>
              </w:rPr>
            </w:pPr>
            <w:r w:rsidRPr="338B1626">
              <w:rPr>
                <w:rFonts w:ascii="Times New Roman" w:eastAsia="Times New Roman" w:hAnsi="Times New Roman" w:cs="Times New Roman"/>
                <w:sz w:val="20"/>
                <w:szCs w:val="20"/>
                <w:lang w:val="el-GR"/>
              </w:rPr>
              <w:t>0.055***</w:t>
            </w:r>
          </w:p>
        </w:tc>
      </w:tr>
      <w:tr w:rsidR="0007775B" w14:paraId="39482A05" w14:textId="77777777" w:rsidTr="0007775B">
        <w:trPr>
          <w:trHeight w:val="261"/>
          <w:jc w:val="center"/>
        </w:trPr>
        <w:tc>
          <w:tcPr>
            <w:tcW w:w="4130" w:type="dxa"/>
            <w:tcBorders>
              <w:top w:val="nil"/>
              <w:left w:val="nil"/>
              <w:bottom w:val="nil"/>
              <w:right w:val="nil"/>
            </w:tcBorders>
            <w:noWrap/>
            <w:vAlign w:val="center"/>
            <w:hideMark/>
          </w:tcPr>
          <w:p w14:paraId="54C1FD8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Paid Overtime Hours</w:t>
            </w:r>
          </w:p>
        </w:tc>
        <w:tc>
          <w:tcPr>
            <w:tcW w:w="1408" w:type="dxa"/>
            <w:tcBorders>
              <w:top w:val="nil"/>
              <w:left w:val="nil"/>
              <w:bottom w:val="nil"/>
              <w:right w:val="nil"/>
            </w:tcBorders>
            <w:noWrap/>
            <w:vAlign w:val="center"/>
            <w:hideMark/>
          </w:tcPr>
          <w:p w14:paraId="3128CDBC" w14:textId="77777777" w:rsidR="0007775B" w:rsidRPr="006D7F48" w:rsidRDefault="0007775B" w:rsidP="0007775B">
            <w:pPr>
              <w:tabs>
                <w:tab w:val="decimal" w:pos="459"/>
              </w:tabs>
              <w:spacing w:after="0" w:line="240" w:lineRule="auto"/>
              <w:jc w:val="center"/>
              <w:rPr>
                <w:rFonts w:ascii="Times New Roman" w:hAnsi="Times New Roman" w:cs="Times New Roman"/>
                <w:sz w:val="20"/>
                <w:szCs w:val="20"/>
                <w:lang w:val="el-GR"/>
              </w:rPr>
            </w:pPr>
            <w:r>
              <w:rPr>
                <w:rFonts w:ascii="Times New Roman" w:hAnsi="Times New Roman" w:cs="Times New Roman"/>
                <w:sz w:val="20"/>
                <w:szCs w:val="20"/>
              </w:rPr>
              <w:t>1.14</w:t>
            </w:r>
            <w:r>
              <w:rPr>
                <w:rFonts w:ascii="Times New Roman" w:hAnsi="Times New Roman" w:cs="Times New Roman"/>
                <w:sz w:val="20"/>
                <w:szCs w:val="20"/>
                <w:lang w:val="el-GR"/>
              </w:rPr>
              <w:t>3</w:t>
            </w:r>
          </w:p>
        </w:tc>
        <w:tc>
          <w:tcPr>
            <w:tcW w:w="1610" w:type="dxa"/>
            <w:tcBorders>
              <w:top w:val="nil"/>
              <w:left w:val="nil"/>
              <w:bottom w:val="nil"/>
              <w:right w:val="nil"/>
            </w:tcBorders>
            <w:noWrap/>
            <w:vAlign w:val="center"/>
            <w:hideMark/>
          </w:tcPr>
          <w:p w14:paraId="05697207"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2.384***</w:t>
            </w:r>
          </w:p>
        </w:tc>
      </w:tr>
      <w:tr w:rsidR="0007775B" w14:paraId="28469FC8" w14:textId="77777777" w:rsidTr="0007775B">
        <w:trPr>
          <w:trHeight w:val="261"/>
          <w:jc w:val="center"/>
        </w:trPr>
        <w:tc>
          <w:tcPr>
            <w:tcW w:w="4130" w:type="dxa"/>
            <w:tcBorders>
              <w:top w:val="nil"/>
              <w:left w:val="nil"/>
              <w:bottom w:val="nil"/>
              <w:right w:val="nil"/>
            </w:tcBorders>
            <w:noWrap/>
            <w:vAlign w:val="center"/>
            <w:hideMark/>
          </w:tcPr>
          <w:p w14:paraId="2080D37E"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Unpaid Overtime Hours</w:t>
            </w:r>
          </w:p>
        </w:tc>
        <w:tc>
          <w:tcPr>
            <w:tcW w:w="1408" w:type="dxa"/>
            <w:tcBorders>
              <w:top w:val="nil"/>
              <w:left w:val="nil"/>
              <w:bottom w:val="nil"/>
              <w:right w:val="nil"/>
            </w:tcBorders>
            <w:noWrap/>
            <w:vAlign w:val="center"/>
            <w:hideMark/>
          </w:tcPr>
          <w:p w14:paraId="093E3BCE"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1.792</w:t>
            </w:r>
          </w:p>
        </w:tc>
        <w:tc>
          <w:tcPr>
            <w:tcW w:w="1610" w:type="dxa"/>
            <w:tcBorders>
              <w:top w:val="nil"/>
              <w:left w:val="nil"/>
              <w:bottom w:val="nil"/>
              <w:right w:val="nil"/>
            </w:tcBorders>
            <w:noWrap/>
            <w:vAlign w:val="center"/>
            <w:hideMark/>
          </w:tcPr>
          <w:p w14:paraId="3388F5B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0.214***</w:t>
            </w:r>
          </w:p>
        </w:tc>
      </w:tr>
      <w:tr w:rsidR="0007775B" w14:paraId="0E9E6992" w14:textId="77777777" w:rsidTr="0007775B">
        <w:trPr>
          <w:trHeight w:val="261"/>
          <w:jc w:val="center"/>
        </w:trPr>
        <w:tc>
          <w:tcPr>
            <w:tcW w:w="4130" w:type="dxa"/>
            <w:tcBorders>
              <w:top w:val="nil"/>
              <w:left w:val="nil"/>
              <w:bottom w:val="nil"/>
              <w:right w:val="nil"/>
            </w:tcBorders>
            <w:noWrap/>
            <w:vAlign w:val="center"/>
            <w:hideMark/>
          </w:tcPr>
          <w:p w14:paraId="386C87A2"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Holding Second Job</w:t>
            </w:r>
          </w:p>
        </w:tc>
        <w:tc>
          <w:tcPr>
            <w:tcW w:w="1408" w:type="dxa"/>
            <w:tcBorders>
              <w:top w:val="nil"/>
              <w:left w:val="nil"/>
              <w:bottom w:val="nil"/>
              <w:right w:val="nil"/>
            </w:tcBorders>
            <w:noWrap/>
            <w:vAlign w:val="center"/>
            <w:hideMark/>
          </w:tcPr>
          <w:p w14:paraId="369C32BC"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1610" w:type="dxa"/>
            <w:tcBorders>
              <w:top w:val="nil"/>
              <w:left w:val="nil"/>
              <w:bottom w:val="nil"/>
              <w:right w:val="nil"/>
            </w:tcBorders>
            <w:noWrap/>
            <w:vAlign w:val="center"/>
            <w:hideMark/>
          </w:tcPr>
          <w:p w14:paraId="21532AD1"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0.026***</w:t>
            </w:r>
          </w:p>
        </w:tc>
      </w:tr>
      <w:tr w:rsidR="0007775B" w14:paraId="55298AEB" w14:textId="77777777" w:rsidTr="0007775B">
        <w:trPr>
          <w:trHeight w:val="261"/>
          <w:jc w:val="center"/>
        </w:trPr>
        <w:tc>
          <w:tcPr>
            <w:tcW w:w="4130" w:type="dxa"/>
            <w:tcBorders>
              <w:top w:val="nil"/>
              <w:left w:val="nil"/>
              <w:bottom w:val="nil"/>
              <w:right w:val="nil"/>
            </w:tcBorders>
            <w:noWrap/>
            <w:vAlign w:val="center"/>
            <w:hideMark/>
          </w:tcPr>
          <w:p w14:paraId="6E44D11D"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Working from Home or Same Building</w:t>
            </w:r>
          </w:p>
        </w:tc>
        <w:tc>
          <w:tcPr>
            <w:tcW w:w="1408" w:type="dxa"/>
            <w:tcBorders>
              <w:top w:val="nil"/>
              <w:left w:val="nil"/>
              <w:bottom w:val="nil"/>
              <w:right w:val="nil"/>
            </w:tcBorders>
            <w:noWrap/>
            <w:vAlign w:val="center"/>
            <w:hideMark/>
          </w:tcPr>
          <w:p w14:paraId="611745E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0.061</w:t>
            </w:r>
          </w:p>
        </w:tc>
        <w:tc>
          <w:tcPr>
            <w:tcW w:w="1610" w:type="dxa"/>
            <w:tcBorders>
              <w:top w:val="nil"/>
              <w:left w:val="nil"/>
              <w:bottom w:val="nil"/>
              <w:right w:val="nil"/>
            </w:tcBorders>
            <w:noWrap/>
            <w:vAlign w:val="center"/>
            <w:hideMark/>
          </w:tcPr>
          <w:p w14:paraId="54E0F52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w:t>
            </w:r>
            <w:r w:rsidRPr="338B1626">
              <w:rPr>
                <w:rFonts w:ascii="Times New Roman" w:eastAsia="Times New Roman" w:hAnsi="Times New Roman" w:cs="Times New Roman"/>
                <w:sz w:val="20"/>
                <w:szCs w:val="20"/>
                <w:lang w:val="el-GR"/>
              </w:rPr>
              <w:t>21</w:t>
            </w:r>
            <w:r w:rsidRPr="338B1626">
              <w:rPr>
                <w:rFonts w:ascii="Times New Roman" w:eastAsia="Times New Roman" w:hAnsi="Times New Roman" w:cs="Times New Roman"/>
                <w:sz w:val="20"/>
                <w:szCs w:val="20"/>
              </w:rPr>
              <w:t>***</w:t>
            </w:r>
          </w:p>
        </w:tc>
      </w:tr>
      <w:tr w:rsidR="0007775B" w14:paraId="25832AEB" w14:textId="77777777" w:rsidTr="0007775B">
        <w:trPr>
          <w:trHeight w:val="261"/>
          <w:jc w:val="center"/>
        </w:trPr>
        <w:tc>
          <w:tcPr>
            <w:tcW w:w="4130" w:type="dxa"/>
            <w:tcBorders>
              <w:top w:val="nil"/>
              <w:left w:val="nil"/>
              <w:bottom w:val="nil"/>
              <w:right w:val="nil"/>
            </w:tcBorders>
            <w:noWrap/>
            <w:vAlign w:val="center"/>
            <w:hideMark/>
          </w:tcPr>
          <w:p w14:paraId="35C34A97"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Permanent Job</w:t>
            </w:r>
          </w:p>
        </w:tc>
        <w:tc>
          <w:tcPr>
            <w:tcW w:w="1408" w:type="dxa"/>
            <w:tcBorders>
              <w:top w:val="nil"/>
              <w:left w:val="nil"/>
              <w:bottom w:val="nil"/>
              <w:right w:val="nil"/>
            </w:tcBorders>
            <w:noWrap/>
            <w:vAlign w:val="center"/>
            <w:hideMark/>
          </w:tcPr>
          <w:p w14:paraId="201147F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0.962</w:t>
            </w:r>
          </w:p>
        </w:tc>
        <w:tc>
          <w:tcPr>
            <w:tcW w:w="1610" w:type="dxa"/>
            <w:tcBorders>
              <w:top w:val="nil"/>
              <w:left w:val="nil"/>
              <w:bottom w:val="nil"/>
              <w:right w:val="nil"/>
            </w:tcBorders>
            <w:noWrap/>
            <w:vAlign w:val="center"/>
            <w:hideMark/>
          </w:tcPr>
          <w:p w14:paraId="5201AE2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w:t>
            </w:r>
            <w:r w:rsidRPr="338B1626">
              <w:rPr>
                <w:rFonts w:ascii="Times New Roman" w:eastAsia="Times New Roman" w:hAnsi="Times New Roman" w:cs="Times New Roman"/>
                <w:sz w:val="20"/>
                <w:szCs w:val="20"/>
                <w:lang w:val="el-GR"/>
              </w:rPr>
              <w:t>892</w:t>
            </w:r>
            <w:r w:rsidRPr="338B1626">
              <w:rPr>
                <w:rFonts w:ascii="Times New Roman" w:eastAsia="Times New Roman" w:hAnsi="Times New Roman" w:cs="Times New Roman"/>
                <w:sz w:val="20"/>
                <w:szCs w:val="20"/>
              </w:rPr>
              <w:t>***</w:t>
            </w:r>
          </w:p>
        </w:tc>
      </w:tr>
      <w:tr w:rsidR="0007775B" w14:paraId="3BDBCAD8" w14:textId="77777777" w:rsidTr="0007775B">
        <w:trPr>
          <w:trHeight w:val="261"/>
          <w:jc w:val="center"/>
        </w:trPr>
        <w:tc>
          <w:tcPr>
            <w:tcW w:w="4130" w:type="dxa"/>
            <w:tcBorders>
              <w:top w:val="nil"/>
              <w:left w:val="nil"/>
              <w:bottom w:val="nil"/>
              <w:right w:val="nil"/>
            </w:tcBorders>
            <w:noWrap/>
            <w:vAlign w:val="center"/>
            <w:hideMark/>
          </w:tcPr>
          <w:p w14:paraId="341252E9"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Manager/Foreman/Supervisor</w:t>
            </w:r>
          </w:p>
        </w:tc>
        <w:tc>
          <w:tcPr>
            <w:tcW w:w="1408" w:type="dxa"/>
            <w:tcBorders>
              <w:top w:val="nil"/>
              <w:left w:val="nil"/>
              <w:bottom w:val="nil"/>
              <w:right w:val="nil"/>
            </w:tcBorders>
            <w:noWrap/>
            <w:vAlign w:val="center"/>
            <w:hideMark/>
          </w:tcPr>
          <w:p w14:paraId="3E0390CF"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0.419</w:t>
            </w:r>
          </w:p>
        </w:tc>
        <w:tc>
          <w:tcPr>
            <w:tcW w:w="1610" w:type="dxa"/>
            <w:tcBorders>
              <w:top w:val="nil"/>
              <w:left w:val="nil"/>
              <w:bottom w:val="nil"/>
              <w:right w:val="nil"/>
            </w:tcBorders>
            <w:noWrap/>
            <w:vAlign w:val="center"/>
            <w:hideMark/>
          </w:tcPr>
          <w:p w14:paraId="29D718B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w:t>
            </w:r>
            <w:r w:rsidRPr="338B1626">
              <w:rPr>
                <w:rFonts w:ascii="Times New Roman" w:eastAsia="Times New Roman" w:hAnsi="Times New Roman" w:cs="Times New Roman"/>
                <w:sz w:val="20"/>
                <w:szCs w:val="20"/>
                <w:lang w:val="el-GR"/>
              </w:rPr>
              <w:t>150</w:t>
            </w:r>
            <w:r w:rsidRPr="338B1626">
              <w:rPr>
                <w:rFonts w:ascii="Times New Roman" w:eastAsia="Times New Roman" w:hAnsi="Times New Roman" w:cs="Times New Roman"/>
                <w:sz w:val="20"/>
                <w:szCs w:val="20"/>
              </w:rPr>
              <w:t>***</w:t>
            </w:r>
          </w:p>
        </w:tc>
      </w:tr>
      <w:tr w:rsidR="0007775B" w14:paraId="5BE5B6E2" w14:textId="77777777" w:rsidTr="0007775B">
        <w:trPr>
          <w:trHeight w:val="261"/>
          <w:jc w:val="center"/>
        </w:trPr>
        <w:tc>
          <w:tcPr>
            <w:tcW w:w="4130" w:type="dxa"/>
            <w:tcBorders>
              <w:top w:val="nil"/>
              <w:left w:val="nil"/>
              <w:bottom w:val="nil"/>
              <w:right w:val="nil"/>
            </w:tcBorders>
            <w:noWrap/>
            <w:vAlign w:val="center"/>
            <w:hideMark/>
          </w:tcPr>
          <w:p w14:paraId="7A019A4E"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Fewer Hours Desired (Number of hours)</w:t>
            </w:r>
          </w:p>
        </w:tc>
        <w:tc>
          <w:tcPr>
            <w:tcW w:w="1408" w:type="dxa"/>
            <w:tcBorders>
              <w:top w:val="nil"/>
              <w:left w:val="nil"/>
              <w:bottom w:val="nil"/>
              <w:right w:val="nil"/>
            </w:tcBorders>
            <w:noWrap/>
            <w:vAlign w:val="center"/>
            <w:hideMark/>
          </w:tcPr>
          <w:p w14:paraId="2A899A5F"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1.049</w:t>
            </w:r>
          </w:p>
        </w:tc>
        <w:tc>
          <w:tcPr>
            <w:tcW w:w="1610" w:type="dxa"/>
            <w:tcBorders>
              <w:top w:val="nil"/>
              <w:left w:val="nil"/>
              <w:bottom w:val="nil"/>
              <w:right w:val="nil"/>
            </w:tcBorders>
            <w:noWrap/>
            <w:vAlign w:val="center"/>
            <w:hideMark/>
          </w:tcPr>
          <w:p w14:paraId="7BF4080C"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w:t>
            </w:r>
            <w:r w:rsidRPr="338B1626">
              <w:rPr>
                <w:rFonts w:ascii="Times New Roman" w:eastAsia="Times New Roman" w:hAnsi="Times New Roman" w:cs="Times New Roman"/>
                <w:sz w:val="20"/>
                <w:szCs w:val="20"/>
                <w:lang w:val="el-GR"/>
              </w:rPr>
              <w:t>261</w:t>
            </w:r>
            <w:r w:rsidRPr="338B1626">
              <w:rPr>
                <w:rFonts w:ascii="Times New Roman" w:eastAsia="Times New Roman" w:hAnsi="Times New Roman" w:cs="Times New Roman"/>
                <w:sz w:val="20"/>
                <w:szCs w:val="20"/>
              </w:rPr>
              <w:t>***</w:t>
            </w:r>
          </w:p>
        </w:tc>
      </w:tr>
      <w:tr w:rsidR="0007775B" w14:paraId="40955D2E" w14:textId="77777777" w:rsidTr="0007775B">
        <w:trPr>
          <w:trHeight w:val="261"/>
          <w:jc w:val="center"/>
        </w:trPr>
        <w:tc>
          <w:tcPr>
            <w:tcW w:w="4130" w:type="dxa"/>
            <w:tcBorders>
              <w:top w:val="nil"/>
              <w:left w:val="nil"/>
              <w:bottom w:val="nil"/>
              <w:right w:val="nil"/>
            </w:tcBorders>
            <w:noWrap/>
            <w:vAlign w:val="center"/>
            <w:hideMark/>
          </w:tcPr>
          <w:p w14:paraId="16A5E62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Looking for New Job</w:t>
            </w:r>
          </w:p>
        </w:tc>
        <w:tc>
          <w:tcPr>
            <w:tcW w:w="1408" w:type="dxa"/>
            <w:tcBorders>
              <w:top w:val="nil"/>
              <w:left w:val="nil"/>
              <w:bottom w:val="nil"/>
              <w:right w:val="nil"/>
            </w:tcBorders>
            <w:noWrap/>
            <w:vAlign w:val="center"/>
            <w:hideMark/>
          </w:tcPr>
          <w:p w14:paraId="757A3449"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0.056</w:t>
            </w:r>
          </w:p>
        </w:tc>
        <w:tc>
          <w:tcPr>
            <w:tcW w:w="1610" w:type="dxa"/>
            <w:tcBorders>
              <w:top w:val="nil"/>
              <w:left w:val="nil"/>
              <w:bottom w:val="nil"/>
              <w:right w:val="nil"/>
            </w:tcBorders>
            <w:noWrap/>
            <w:vAlign w:val="center"/>
            <w:hideMark/>
          </w:tcPr>
          <w:p w14:paraId="6C34CC7A"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0.090***</w:t>
            </w:r>
          </w:p>
        </w:tc>
      </w:tr>
      <w:tr w:rsidR="0007775B" w14:paraId="53372823" w14:textId="77777777" w:rsidTr="0007775B">
        <w:trPr>
          <w:trHeight w:val="261"/>
          <w:jc w:val="center"/>
        </w:trPr>
        <w:tc>
          <w:tcPr>
            <w:tcW w:w="4130" w:type="dxa"/>
            <w:tcBorders>
              <w:top w:val="nil"/>
              <w:left w:val="nil"/>
              <w:bottom w:val="nil"/>
              <w:right w:val="nil"/>
            </w:tcBorders>
            <w:noWrap/>
            <w:vAlign w:val="center"/>
            <w:hideMark/>
          </w:tcPr>
          <w:p w14:paraId="3D24871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Looking for Extra Job</w:t>
            </w:r>
          </w:p>
        </w:tc>
        <w:tc>
          <w:tcPr>
            <w:tcW w:w="1408" w:type="dxa"/>
            <w:tcBorders>
              <w:top w:val="nil"/>
              <w:left w:val="nil"/>
              <w:bottom w:val="nil"/>
              <w:right w:val="nil"/>
            </w:tcBorders>
            <w:noWrap/>
            <w:vAlign w:val="center"/>
            <w:hideMark/>
          </w:tcPr>
          <w:p w14:paraId="3D5FBEAC"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0.008</w:t>
            </w:r>
          </w:p>
        </w:tc>
        <w:tc>
          <w:tcPr>
            <w:tcW w:w="1610" w:type="dxa"/>
            <w:tcBorders>
              <w:top w:val="nil"/>
              <w:left w:val="nil"/>
              <w:bottom w:val="nil"/>
              <w:right w:val="nil"/>
            </w:tcBorders>
            <w:noWrap/>
            <w:vAlign w:val="center"/>
            <w:hideMark/>
          </w:tcPr>
          <w:p w14:paraId="1D22983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0.015***</w:t>
            </w:r>
          </w:p>
        </w:tc>
      </w:tr>
      <w:tr w:rsidR="0007775B" w14:paraId="553A9950" w14:textId="77777777" w:rsidTr="0007775B">
        <w:trPr>
          <w:trHeight w:val="261"/>
          <w:jc w:val="center"/>
        </w:trPr>
        <w:tc>
          <w:tcPr>
            <w:tcW w:w="4130" w:type="dxa"/>
            <w:tcBorders>
              <w:top w:val="nil"/>
              <w:left w:val="nil"/>
              <w:bottom w:val="nil"/>
              <w:right w:val="nil"/>
            </w:tcBorders>
            <w:noWrap/>
            <w:vAlign w:val="center"/>
            <w:hideMark/>
          </w:tcPr>
          <w:p w14:paraId="060BA79A"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08296D1B" w14:textId="77777777" w:rsidR="0007775B" w:rsidRPr="00B376DD"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i/>
                <w:iCs/>
                <w:sz w:val="20"/>
                <w:szCs w:val="20"/>
              </w:rPr>
              <w:t>Dummy Variables for Establishment Size</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384B541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3CE5C16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004CEEE1" w14:textId="77777777" w:rsidTr="0007775B">
        <w:trPr>
          <w:trHeight w:val="261"/>
          <w:jc w:val="center"/>
        </w:trPr>
        <w:tc>
          <w:tcPr>
            <w:tcW w:w="4130" w:type="dxa"/>
            <w:tcBorders>
              <w:top w:val="nil"/>
              <w:left w:val="nil"/>
              <w:bottom w:val="nil"/>
              <w:right w:val="nil"/>
            </w:tcBorders>
            <w:noWrap/>
            <w:vAlign w:val="center"/>
            <w:hideMark/>
          </w:tcPr>
          <w:p w14:paraId="441871A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Size 1-24</w:t>
            </w:r>
          </w:p>
        </w:tc>
        <w:tc>
          <w:tcPr>
            <w:tcW w:w="1408" w:type="dxa"/>
            <w:tcBorders>
              <w:top w:val="nil"/>
              <w:left w:val="nil"/>
              <w:bottom w:val="nil"/>
              <w:right w:val="nil"/>
            </w:tcBorders>
            <w:noWrap/>
            <w:vAlign w:val="center"/>
            <w:hideMark/>
          </w:tcPr>
          <w:p w14:paraId="78CDA4A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0.324</w:t>
            </w:r>
          </w:p>
        </w:tc>
        <w:tc>
          <w:tcPr>
            <w:tcW w:w="1610" w:type="dxa"/>
            <w:tcBorders>
              <w:top w:val="nil"/>
              <w:left w:val="nil"/>
              <w:bottom w:val="nil"/>
              <w:right w:val="nil"/>
            </w:tcBorders>
            <w:noWrap/>
            <w:vAlign w:val="center"/>
            <w:hideMark/>
          </w:tcPr>
          <w:p w14:paraId="0431A9D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0.255***</w:t>
            </w:r>
          </w:p>
        </w:tc>
      </w:tr>
      <w:tr w:rsidR="0007775B" w14:paraId="0EDDE958" w14:textId="77777777" w:rsidTr="0007775B">
        <w:trPr>
          <w:trHeight w:val="261"/>
          <w:jc w:val="center"/>
        </w:trPr>
        <w:tc>
          <w:tcPr>
            <w:tcW w:w="4130" w:type="dxa"/>
            <w:tcBorders>
              <w:top w:val="nil"/>
              <w:left w:val="nil"/>
              <w:bottom w:val="nil"/>
              <w:right w:val="nil"/>
            </w:tcBorders>
            <w:noWrap/>
            <w:vAlign w:val="center"/>
            <w:hideMark/>
          </w:tcPr>
          <w:p w14:paraId="2274DE72"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Size 25-49</w:t>
            </w:r>
          </w:p>
        </w:tc>
        <w:tc>
          <w:tcPr>
            <w:tcW w:w="1408" w:type="dxa"/>
            <w:tcBorders>
              <w:top w:val="nil"/>
              <w:left w:val="nil"/>
              <w:bottom w:val="nil"/>
              <w:right w:val="nil"/>
            </w:tcBorders>
            <w:noWrap/>
            <w:vAlign w:val="center"/>
            <w:hideMark/>
          </w:tcPr>
          <w:p w14:paraId="78867170"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0.137</w:t>
            </w:r>
          </w:p>
        </w:tc>
        <w:tc>
          <w:tcPr>
            <w:tcW w:w="1610" w:type="dxa"/>
            <w:tcBorders>
              <w:top w:val="nil"/>
              <w:left w:val="nil"/>
              <w:bottom w:val="nil"/>
              <w:right w:val="nil"/>
            </w:tcBorders>
            <w:noWrap/>
            <w:vAlign w:val="center"/>
            <w:hideMark/>
          </w:tcPr>
          <w:p w14:paraId="58BABC7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w:t>
            </w:r>
          </w:p>
        </w:tc>
      </w:tr>
      <w:tr w:rsidR="0007775B" w14:paraId="1CF7AFAC" w14:textId="77777777" w:rsidTr="0007775B">
        <w:trPr>
          <w:trHeight w:val="261"/>
          <w:jc w:val="center"/>
        </w:trPr>
        <w:tc>
          <w:tcPr>
            <w:tcW w:w="4130" w:type="dxa"/>
            <w:tcBorders>
              <w:top w:val="nil"/>
              <w:left w:val="nil"/>
              <w:bottom w:val="nil"/>
              <w:right w:val="nil"/>
            </w:tcBorders>
            <w:noWrap/>
            <w:vAlign w:val="center"/>
            <w:hideMark/>
          </w:tcPr>
          <w:p w14:paraId="724D97F4"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Size 50-499</w:t>
            </w:r>
          </w:p>
        </w:tc>
        <w:tc>
          <w:tcPr>
            <w:tcW w:w="1408" w:type="dxa"/>
            <w:tcBorders>
              <w:top w:val="nil"/>
              <w:left w:val="nil"/>
              <w:bottom w:val="nil"/>
              <w:right w:val="nil"/>
            </w:tcBorders>
            <w:noWrap/>
            <w:vAlign w:val="center"/>
            <w:hideMark/>
          </w:tcPr>
          <w:p w14:paraId="25CB545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0.344</w:t>
            </w:r>
          </w:p>
        </w:tc>
        <w:tc>
          <w:tcPr>
            <w:tcW w:w="1610" w:type="dxa"/>
            <w:tcBorders>
              <w:top w:val="nil"/>
              <w:left w:val="nil"/>
              <w:bottom w:val="nil"/>
              <w:right w:val="nil"/>
            </w:tcBorders>
            <w:noWrap/>
            <w:vAlign w:val="center"/>
            <w:hideMark/>
          </w:tcPr>
          <w:p w14:paraId="046E77D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0.465***</w:t>
            </w:r>
          </w:p>
        </w:tc>
      </w:tr>
      <w:tr w:rsidR="0007775B" w14:paraId="1C7AA2C0" w14:textId="77777777" w:rsidTr="0007775B">
        <w:trPr>
          <w:trHeight w:val="261"/>
          <w:jc w:val="center"/>
        </w:trPr>
        <w:tc>
          <w:tcPr>
            <w:tcW w:w="4130" w:type="dxa"/>
            <w:tcBorders>
              <w:top w:val="nil"/>
              <w:left w:val="nil"/>
              <w:bottom w:val="nil"/>
              <w:right w:val="nil"/>
            </w:tcBorders>
            <w:noWrap/>
            <w:vAlign w:val="center"/>
            <w:hideMark/>
          </w:tcPr>
          <w:p w14:paraId="651B210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Size 500+</w:t>
            </w:r>
          </w:p>
        </w:tc>
        <w:tc>
          <w:tcPr>
            <w:tcW w:w="1408" w:type="dxa"/>
            <w:tcBorders>
              <w:top w:val="nil"/>
              <w:left w:val="nil"/>
              <w:bottom w:val="nil"/>
              <w:right w:val="nil"/>
            </w:tcBorders>
            <w:noWrap/>
            <w:vAlign w:val="center"/>
            <w:hideMark/>
          </w:tcPr>
          <w:p w14:paraId="5CCF686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0.195</w:t>
            </w:r>
          </w:p>
        </w:tc>
        <w:tc>
          <w:tcPr>
            <w:tcW w:w="1610" w:type="dxa"/>
            <w:tcBorders>
              <w:top w:val="nil"/>
              <w:left w:val="nil"/>
              <w:bottom w:val="nil"/>
              <w:right w:val="nil"/>
            </w:tcBorders>
            <w:noWrap/>
            <w:vAlign w:val="center"/>
            <w:hideMark/>
          </w:tcPr>
          <w:p w14:paraId="1BE432B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0.145***</w:t>
            </w:r>
          </w:p>
        </w:tc>
      </w:tr>
      <w:tr w:rsidR="0007775B" w14:paraId="23C40CF5" w14:textId="77777777" w:rsidTr="0007775B">
        <w:trPr>
          <w:trHeight w:val="261"/>
          <w:jc w:val="center"/>
        </w:trPr>
        <w:tc>
          <w:tcPr>
            <w:tcW w:w="4130" w:type="dxa"/>
            <w:tcBorders>
              <w:top w:val="nil"/>
              <w:left w:val="nil"/>
              <w:bottom w:val="nil"/>
              <w:right w:val="nil"/>
            </w:tcBorders>
            <w:noWrap/>
            <w:vAlign w:val="center"/>
            <w:hideMark/>
          </w:tcPr>
          <w:p w14:paraId="27C2546D"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652DA7AC" w14:textId="77777777" w:rsidR="0007775B" w:rsidRPr="00B376DD" w:rsidRDefault="0007775B" w:rsidP="0007775B">
            <w:pPr>
              <w:spacing w:after="0" w:line="240" w:lineRule="auto"/>
              <w:rPr>
                <w:rFonts w:ascii="Times New Roman" w:hAnsi="Times New Roman" w:cs="Times New Roman"/>
                <w:b/>
                <w:i/>
                <w:sz w:val="20"/>
                <w:szCs w:val="20"/>
              </w:rPr>
            </w:pPr>
            <w:r w:rsidRPr="338B1626">
              <w:rPr>
                <w:rFonts w:ascii="Times New Roman" w:eastAsia="Times New Roman" w:hAnsi="Times New Roman" w:cs="Times New Roman"/>
                <w:b/>
                <w:bCs/>
                <w:i/>
                <w:iCs/>
                <w:sz w:val="20"/>
                <w:szCs w:val="20"/>
              </w:rPr>
              <w:t>Dummy Variables for one-digit occupation</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238655A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73912EF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63BEB8DE" w14:textId="77777777" w:rsidTr="0007775B">
        <w:trPr>
          <w:trHeight w:val="261"/>
          <w:jc w:val="center"/>
        </w:trPr>
        <w:tc>
          <w:tcPr>
            <w:tcW w:w="4130" w:type="dxa"/>
            <w:tcBorders>
              <w:top w:val="nil"/>
              <w:left w:val="nil"/>
              <w:bottom w:val="nil"/>
              <w:right w:val="nil"/>
            </w:tcBorders>
            <w:noWrap/>
            <w:vAlign w:val="center"/>
            <w:hideMark/>
          </w:tcPr>
          <w:p w14:paraId="3331C847"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Managers and S.O.</w:t>
            </w:r>
          </w:p>
        </w:tc>
        <w:tc>
          <w:tcPr>
            <w:tcW w:w="1408" w:type="dxa"/>
            <w:tcBorders>
              <w:top w:val="nil"/>
              <w:left w:val="nil"/>
              <w:bottom w:val="nil"/>
              <w:right w:val="nil"/>
            </w:tcBorders>
            <w:noWrap/>
            <w:vAlign w:val="center"/>
            <w:hideMark/>
          </w:tcPr>
          <w:p w14:paraId="17DD2B4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0.156</w:t>
            </w:r>
          </w:p>
        </w:tc>
        <w:tc>
          <w:tcPr>
            <w:tcW w:w="1610" w:type="dxa"/>
            <w:tcBorders>
              <w:top w:val="nil"/>
              <w:left w:val="nil"/>
              <w:bottom w:val="nil"/>
              <w:right w:val="nil"/>
            </w:tcBorders>
            <w:noWrap/>
            <w:vAlign w:val="center"/>
            <w:hideMark/>
          </w:tcPr>
          <w:p w14:paraId="1AD11FD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0.028***</w:t>
            </w:r>
          </w:p>
        </w:tc>
      </w:tr>
      <w:tr w:rsidR="0007775B" w14:paraId="633DA0A6" w14:textId="77777777" w:rsidTr="0007775B">
        <w:trPr>
          <w:trHeight w:val="261"/>
          <w:jc w:val="center"/>
        </w:trPr>
        <w:tc>
          <w:tcPr>
            <w:tcW w:w="4130" w:type="dxa"/>
            <w:tcBorders>
              <w:top w:val="nil"/>
              <w:left w:val="nil"/>
              <w:bottom w:val="nil"/>
              <w:right w:val="nil"/>
            </w:tcBorders>
            <w:noWrap/>
            <w:vAlign w:val="center"/>
            <w:hideMark/>
          </w:tcPr>
          <w:p w14:paraId="26C706F9"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Professionals</w:t>
            </w:r>
          </w:p>
        </w:tc>
        <w:tc>
          <w:tcPr>
            <w:tcW w:w="1408" w:type="dxa"/>
            <w:tcBorders>
              <w:top w:val="nil"/>
              <w:left w:val="nil"/>
              <w:bottom w:val="nil"/>
              <w:right w:val="nil"/>
            </w:tcBorders>
            <w:noWrap/>
            <w:vAlign w:val="center"/>
            <w:hideMark/>
          </w:tcPr>
          <w:p w14:paraId="3C634EA1"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1610" w:type="dxa"/>
            <w:tcBorders>
              <w:top w:val="nil"/>
              <w:left w:val="nil"/>
              <w:bottom w:val="nil"/>
              <w:right w:val="nil"/>
            </w:tcBorders>
            <w:noWrap/>
            <w:vAlign w:val="center"/>
            <w:hideMark/>
          </w:tcPr>
          <w:p w14:paraId="48CC5DF7"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0.039***</w:t>
            </w:r>
          </w:p>
        </w:tc>
      </w:tr>
      <w:tr w:rsidR="0007775B" w14:paraId="334B93BE" w14:textId="77777777" w:rsidTr="0007775B">
        <w:trPr>
          <w:trHeight w:val="261"/>
          <w:jc w:val="center"/>
        </w:trPr>
        <w:tc>
          <w:tcPr>
            <w:tcW w:w="4130" w:type="dxa"/>
            <w:tcBorders>
              <w:top w:val="nil"/>
              <w:left w:val="nil"/>
              <w:bottom w:val="nil"/>
              <w:right w:val="nil"/>
            </w:tcBorders>
            <w:noWrap/>
            <w:vAlign w:val="center"/>
            <w:hideMark/>
          </w:tcPr>
          <w:p w14:paraId="4E48EAED"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Ass. Profess. And Technical</w:t>
            </w:r>
          </w:p>
        </w:tc>
        <w:tc>
          <w:tcPr>
            <w:tcW w:w="1408" w:type="dxa"/>
            <w:tcBorders>
              <w:top w:val="nil"/>
              <w:left w:val="nil"/>
              <w:bottom w:val="nil"/>
              <w:right w:val="nil"/>
            </w:tcBorders>
            <w:noWrap/>
            <w:vAlign w:val="center"/>
            <w:hideMark/>
          </w:tcPr>
          <w:p w14:paraId="5E697225"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0.157</w:t>
            </w:r>
          </w:p>
        </w:tc>
        <w:tc>
          <w:tcPr>
            <w:tcW w:w="1610" w:type="dxa"/>
            <w:tcBorders>
              <w:top w:val="nil"/>
              <w:left w:val="nil"/>
              <w:bottom w:val="nil"/>
              <w:right w:val="nil"/>
            </w:tcBorders>
            <w:noWrap/>
            <w:vAlign w:val="center"/>
            <w:hideMark/>
          </w:tcPr>
          <w:p w14:paraId="0E4CCC7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0.042***</w:t>
            </w:r>
          </w:p>
        </w:tc>
      </w:tr>
      <w:tr w:rsidR="0007775B" w14:paraId="6E788BF4" w14:textId="77777777" w:rsidTr="0007775B">
        <w:trPr>
          <w:trHeight w:val="261"/>
          <w:jc w:val="center"/>
        </w:trPr>
        <w:tc>
          <w:tcPr>
            <w:tcW w:w="4130" w:type="dxa"/>
            <w:tcBorders>
              <w:top w:val="nil"/>
              <w:left w:val="nil"/>
              <w:bottom w:val="nil"/>
              <w:right w:val="nil"/>
            </w:tcBorders>
            <w:noWrap/>
            <w:vAlign w:val="center"/>
            <w:hideMark/>
          </w:tcPr>
          <w:p w14:paraId="756FBC8F"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Administrative and Secretarial</w:t>
            </w:r>
          </w:p>
        </w:tc>
        <w:tc>
          <w:tcPr>
            <w:tcW w:w="1408" w:type="dxa"/>
            <w:tcBorders>
              <w:top w:val="nil"/>
              <w:left w:val="nil"/>
              <w:bottom w:val="nil"/>
              <w:right w:val="nil"/>
            </w:tcBorders>
            <w:noWrap/>
            <w:vAlign w:val="center"/>
            <w:hideMark/>
          </w:tcPr>
          <w:p w14:paraId="5AA1A04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0.142</w:t>
            </w:r>
          </w:p>
        </w:tc>
        <w:tc>
          <w:tcPr>
            <w:tcW w:w="1610" w:type="dxa"/>
            <w:tcBorders>
              <w:top w:val="nil"/>
              <w:left w:val="nil"/>
              <w:bottom w:val="nil"/>
              <w:right w:val="nil"/>
            </w:tcBorders>
            <w:noWrap/>
            <w:vAlign w:val="center"/>
            <w:hideMark/>
          </w:tcPr>
          <w:p w14:paraId="058F889C"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w:t>
            </w:r>
            <w:r w:rsidRPr="338B1626">
              <w:rPr>
                <w:rFonts w:ascii="Times New Roman" w:eastAsia="Times New Roman" w:hAnsi="Times New Roman" w:cs="Times New Roman"/>
                <w:sz w:val="20"/>
                <w:szCs w:val="20"/>
                <w:lang w:val="el-GR"/>
              </w:rPr>
              <w:t>51</w:t>
            </w:r>
            <w:r w:rsidRPr="338B1626">
              <w:rPr>
                <w:rFonts w:ascii="Times New Roman" w:eastAsia="Times New Roman" w:hAnsi="Times New Roman" w:cs="Times New Roman"/>
                <w:sz w:val="20"/>
                <w:szCs w:val="20"/>
              </w:rPr>
              <w:t>***</w:t>
            </w:r>
          </w:p>
        </w:tc>
      </w:tr>
      <w:tr w:rsidR="0007775B" w14:paraId="573CE078" w14:textId="77777777" w:rsidTr="0007775B">
        <w:trPr>
          <w:trHeight w:val="261"/>
          <w:jc w:val="center"/>
        </w:trPr>
        <w:tc>
          <w:tcPr>
            <w:tcW w:w="4130" w:type="dxa"/>
            <w:tcBorders>
              <w:top w:val="nil"/>
              <w:left w:val="nil"/>
              <w:bottom w:val="nil"/>
              <w:right w:val="nil"/>
            </w:tcBorders>
            <w:noWrap/>
            <w:vAlign w:val="center"/>
            <w:hideMark/>
          </w:tcPr>
          <w:p w14:paraId="219E143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Skilled Trades</w:t>
            </w:r>
          </w:p>
        </w:tc>
        <w:tc>
          <w:tcPr>
            <w:tcW w:w="1408" w:type="dxa"/>
            <w:tcBorders>
              <w:top w:val="nil"/>
              <w:left w:val="nil"/>
              <w:bottom w:val="nil"/>
              <w:right w:val="nil"/>
            </w:tcBorders>
            <w:noWrap/>
            <w:vAlign w:val="center"/>
            <w:hideMark/>
          </w:tcPr>
          <w:p w14:paraId="48795BB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0.070</w:t>
            </w:r>
          </w:p>
        </w:tc>
        <w:tc>
          <w:tcPr>
            <w:tcW w:w="1610" w:type="dxa"/>
            <w:tcBorders>
              <w:top w:val="nil"/>
              <w:left w:val="nil"/>
              <w:bottom w:val="nil"/>
              <w:right w:val="nil"/>
            </w:tcBorders>
            <w:noWrap/>
            <w:vAlign w:val="center"/>
            <w:hideMark/>
          </w:tcPr>
          <w:p w14:paraId="72C052F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0.117***</w:t>
            </w:r>
          </w:p>
        </w:tc>
      </w:tr>
      <w:tr w:rsidR="0007775B" w14:paraId="66B96005" w14:textId="77777777" w:rsidTr="0007775B">
        <w:trPr>
          <w:trHeight w:val="261"/>
          <w:jc w:val="center"/>
        </w:trPr>
        <w:tc>
          <w:tcPr>
            <w:tcW w:w="4130" w:type="dxa"/>
            <w:tcBorders>
              <w:top w:val="nil"/>
              <w:left w:val="nil"/>
              <w:bottom w:val="nil"/>
              <w:right w:val="nil"/>
            </w:tcBorders>
            <w:noWrap/>
            <w:vAlign w:val="center"/>
            <w:hideMark/>
          </w:tcPr>
          <w:p w14:paraId="557C41B8"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6. Personal Services</w:t>
            </w:r>
          </w:p>
        </w:tc>
        <w:tc>
          <w:tcPr>
            <w:tcW w:w="1408" w:type="dxa"/>
            <w:tcBorders>
              <w:top w:val="nil"/>
              <w:left w:val="nil"/>
              <w:bottom w:val="nil"/>
              <w:right w:val="nil"/>
            </w:tcBorders>
            <w:noWrap/>
            <w:vAlign w:val="center"/>
            <w:hideMark/>
          </w:tcPr>
          <w:p w14:paraId="1AF21FCA"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0.090</w:t>
            </w:r>
          </w:p>
        </w:tc>
        <w:tc>
          <w:tcPr>
            <w:tcW w:w="1610" w:type="dxa"/>
            <w:tcBorders>
              <w:top w:val="nil"/>
              <w:left w:val="nil"/>
              <w:bottom w:val="nil"/>
              <w:right w:val="nil"/>
            </w:tcBorders>
            <w:noWrap/>
            <w:vAlign w:val="center"/>
            <w:hideMark/>
          </w:tcPr>
          <w:p w14:paraId="55BA4A1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w:t>
            </w:r>
            <w:r w:rsidRPr="338B1626">
              <w:rPr>
                <w:rFonts w:ascii="Times New Roman" w:eastAsia="Times New Roman" w:hAnsi="Times New Roman" w:cs="Times New Roman"/>
                <w:sz w:val="20"/>
                <w:szCs w:val="20"/>
                <w:lang w:val="el-GR"/>
              </w:rPr>
              <w:t>68*</w:t>
            </w:r>
            <w:r w:rsidRPr="338B1626">
              <w:rPr>
                <w:rFonts w:ascii="Times New Roman" w:eastAsia="Times New Roman" w:hAnsi="Times New Roman" w:cs="Times New Roman"/>
                <w:sz w:val="20"/>
                <w:szCs w:val="20"/>
              </w:rPr>
              <w:t>**</w:t>
            </w:r>
          </w:p>
        </w:tc>
      </w:tr>
      <w:tr w:rsidR="0007775B" w14:paraId="462E57A4" w14:textId="77777777" w:rsidTr="0007775B">
        <w:trPr>
          <w:trHeight w:val="261"/>
          <w:jc w:val="center"/>
        </w:trPr>
        <w:tc>
          <w:tcPr>
            <w:tcW w:w="4130" w:type="dxa"/>
            <w:tcBorders>
              <w:top w:val="nil"/>
              <w:left w:val="nil"/>
              <w:bottom w:val="nil"/>
              <w:right w:val="nil"/>
            </w:tcBorders>
            <w:noWrap/>
            <w:vAlign w:val="center"/>
            <w:hideMark/>
          </w:tcPr>
          <w:p w14:paraId="70A58FD5"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7. Sales and Customer Services</w:t>
            </w:r>
          </w:p>
        </w:tc>
        <w:tc>
          <w:tcPr>
            <w:tcW w:w="1408" w:type="dxa"/>
            <w:tcBorders>
              <w:top w:val="nil"/>
              <w:left w:val="nil"/>
              <w:bottom w:val="nil"/>
              <w:right w:val="nil"/>
            </w:tcBorders>
            <w:noWrap/>
            <w:vAlign w:val="center"/>
            <w:hideMark/>
          </w:tcPr>
          <w:p w14:paraId="1A8BCD6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0.068</w:t>
            </w:r>
          </w:p>
        </w:tc>
        <w:tc>
          <w:tcPr>
            <w:tcW w:w="1610" w:type="dxa"/>
            <w:tcBorders>
              <w:top w:val="nil"/>
              <w:left w:val="nil"/>
              <w:bottom w:val="nil"/>
              <w:right w:val="nil"/>
            </w:tcBorders>
            <w:noWrap/>
            <w:vAlign w:val="center"/>
            <w:hideMark/>
          </w:tcPr>
          <w:p w14:paraId="0054899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0.030***</w:t>
            </w:r>
          </w:p>
        </w:tc>
      </w:tr>
      <w:tr w:rsidR="0007775B" w14:paraId="73C9E23E" w14:textId="77777777" w:rsidTr="0007775B">
        <w:trPr>
          <w:trHeight w:val="261"/>
          <w:jc w:val="center"/>
        </w:trPr>
        <w:tc>
          <w:tcPr>
            <w:tcW w:w="4130" w:type="dxa"/>
            <w:tcBorders>
              <w:top w:val="nil"/>
              <w:left w:val="nil"/>
              <w:bottom w:val="nil"/>
              <w:right w:val="nil"/>
            </w:tcBorders>
            <w:noWrap/>
            <w:vAlign w:val="center"/>
            <w:hideMark/>
          </w:tcPr>
          <w:p w14:paraId="7AE511DB"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8. Plant and Machine Operatives</w:t>
            </w:r>
          </w:p>
        </w:tc>
        <w:tc>
          <w:tcPr>
            <w:tcW w:w="1408" w:type="dxa"/>
            <w:tcBorders>
              <w:top w:val="nil"/>
              <w:left w:val="nil"/>
              <w:bottom w:val="nil"/>
              <w:right w:val="nil"/>
            </w:tcBorders>
            <w:noWrap/>
            <w:vAlign w:val="center"/>
            <w:hideMark/>
          </w:tcPr>
          <w:p w14:paraId="40EB00A2"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w:t>
            </w:r>
          </w:p>
        </w:tc>
        <w:tc>
          <w:tcPr>
            <w:tcW w:w="1610" w:type="dxa"/>
            <w:tcBorders>
              <w:top w:val="nil"/>
              <w:left w:val="nil"/>
              <w:bottom w:val="nil"/>
              <w:right w:val="nil"/>
            </w:tcBorders>
            <w:noWrap/>
            <w:vAlign w:val="center"/>
            <w:hideMark/>
          </w:tcPr>
          <w:p w14:paraId="12842D4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0.226***</w:t>
            </w:r>
          </w:p>
        </w:tc>
      </w:tr>
      <w:tr w:rsidR="0007775B" w14:paraId="2460870B" w14:textId="77777777" w:rsidTr="0007775B">
        <w:trPr>
          <w:trHeight w:val="261"/>
          <w:jc w:val="center"/>
        </w:trPr>
        <w:tc>
          <w:tcPr>
            <w:tcW w:w="4130" w:type="dxa"/>
            <w:tcBorders>
              <w:top w:val="nil"/>
              <w:left w:val="nil"/>
              <w:bottom w:val="nil"/>
              <w:right w:val="nil"/>
            </w:tcBorders>
            <w:noWrap/>
            <w:vAlign w:val="center"/>
            <w:hideMark/>
          </w:tcPr>
          <w:p w14:paraId="22F9627B"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9. Elementary</w:t>
            </w:r>
          </w:p>
        </w:tc>
        <w:tc>
          <w:tcPr>
            <w:tcW w:w="1408" w:type="dxa"/>
            <w:tcBorders>
              <w:top w:val="nil"/>
              <w:left w:val="nil"/>
              <w:bottom w:val="nil"/>
              <w:right w:val="nil"/>
            </w:tcBorders>
            <w:noWrap/>
            <w:vAlign w:val="center"/>
            <w:hideMark/>
          </w:tcPr>
          <w:p w14:paraId="5443C932"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0.094</w:t>
            </w:r>
          </w:p>
        </w:tc>
        <w:tc>
          <w:tcPr>
            <w:tcW w:w="1610" w:type="dxa"/>
            <w:tcBorders>
              <w:top w:val="nil"/>
              <w:left w:val="nil"/>
              <w:bottom w:val="nil"/>
              <w:right w:val="nil"/>
            </w:tcBorders>
            <w:noWrap/>
            <w:vAlign w:val="center"/>
            <w:hideMark/>
          </w:tcPr>
          <w:p w14:paraId="478A6C1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0.400***</w:t>
            </w:r>
          </w:p>
        </w:tc>
      </w:tr>
      <w:tr w:rsidR="0007775B" w14:paraId="54B6CC63" w14:textId="77777777" w:rsidTr="0007775B">
        <w:trPr>
          <w:trHeight w:val="261"/>
          <w:jc w:val="center"/>
        </w:trPr>
        <w:tc>
          <w:tcPr>
            <w:tcW w:w="4130" w:type="dxa"/>
            <w:tcBorders>
              <w:top w:val="nil"/>
              <w:left w:val="nil"/>
              <w:bottom w:val="nil"/>
              <w:right w:val="nil"/>
            </w:tcBorders>
            <w:noWrap/>
            <w:vAlign w:val="center"/>
            <w:hideMark/>
          </w:tcPr>
          <w:p w14:paraId="262973AF"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1F47CD61" w14:textId="77777777" w:rsidR="0007775B" w:rsidRPr="00B376DD"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i/>
                <w:iCs/>
                <w:sz w:val="20"/>
                <w:szCs w:val="20"/>
              </w:rPr>
              <w:t>Tenure Dummies</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209EBCAF"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04B95321"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4194457B" w14:textId="77777777" w:rsidTr="0007775B">
        <w:trPr>
          <w:trHeight w:val="261"/>
          <w:jc w:val="center"/>
        </w:trPr>
        <w:tc>
          <w:tcPr>
            <w:tcW w:w="4130" w:type="dxa"/>
            <w:tcBorders>
              <w:top w:val="nil"/>
              <w:left w:val="nil"/>
              <w:bottom w:val="nil"/>
              <w:right w:val="nil"/>
            </w:tcBorders>
            <w:noWrap/>
            <w:vAlign w:val="center"/>
            <w:hideMark/>
          </w:tcPr>
          <w:p w14:paraId="03CBE309"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0-3 months</w:t>
            </w:r>
          </w:p>
        </w:tc>
        <w:tc>
          <w:tcPr>
            <w:tcW w:w="1408" w:type="dxa"/>
            <w:tcBorders>
              <w:top w:val="nil"/>
              <w:left w:val="nil"/>
              <w:bottom w:val="nil"/>
              <w:right w:val="nil"/>
            </w:tcBorders>
            <w:noWrap/>
            <w:vAlign w:val="center"/>
            <w:hideMark/>
          </w:tcPr>
          <w:p w14:paraId="3FD1876B"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0.036</w:t>
            </w:r>
          </w:p>
        </w:tc>
        <w:tc>
          <w:tcPr>
            <w:tcW w:w="1610" w:type="dxa"/>
            <w:tcBorders>
              <w:top w:val="nil"/>
              <w:left w:val="nil"/>
              <w:bottom w:val="nil"/>
              <w:right w:val="nil"/>
            </w:tcBorders>
            <w:noWrap/>
            <w:vAlign w:val="center"/>
            <w:hideMark/>
          </w:tcPr>
          <w:p w14:paraId="6444E1B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0.091***</w:t>
            </w:r>
          </w:p>
        </w:tc>
      </w:tr>
      <w:tr w:rsidR="0007775B" w14:paraId="5787DD77" w14:textId="77777777" w:rsidTr="0007775B">
        <w:trPr>
          <w:trHeight w:val="261"/>
          <w:jc w:val="center"/>
        </w:trPr>
        <w:tc>
          <w:tcPr>
            <w:tcW w:w="4130" w:type="dxa"/>
            <w:tcBorders>
              <w:top w:val="nil"/>
              <w:left w:val="nil"/>
              <w:bottom w:val="nil"/>
              <w:right w:val="nil"/>
            </w:tcBorders>
            <w:noWrap/>
            <w:vAlign w:val="center"/>
            <w:hideMark/>
          </w:tcPr>
          <w:p w14:paraId="703A6043"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3-6 months</w:t>
            </w:r>
          </w:p>
        </w:tc>
        <w:tc>
          <w:tcPr>
            <w:tcW w:w="1408" w:type="dxa"/>
            <w:tcBorders>
              <w:top w:val="nil"/>
              <w:left w:val="nil"/>
              <w:bottom w:val="nil"/>
              <w:right w:val="nil"/>
            </w:tcBorders>
            <w:noWrap/>
            <w:vAlign w:val="center"/>
            <w:hideMark/>
          </w:tcPr>
          <w:p w14:paraId="0A8BEFB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0.034</w:t>
            </w:r>
          </w:p>
        </w:tc>
        <w:tc>
          <w:tcPr>
            <w:tcW w:w="1610" w:type="dxa"/>
            <w:tcBorders>
              <w:top w:val="nil"/>
              <w:left w:val="nil"/>
              <w:bottom w:val="nil"/>
              <w:right w:val="nil"/>
            </w:tcBorders>
            <w:noWrap/>
            <w:vAlign w:val="center"/>
            <w:hideMark/>
          </w:tcPr>
          <w:p w14:paraId="3577FF3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w:t>
            </w:r>
            <w:r w:rsidRPr="338B1626">
              <w:rPr>
                <w:rFonts w:ascii="Times New Roman" w:eastAsia="Times New Roman" w:hAnsi="Times New Roman" w:cs="Times New Roman"/>
                <w:sz w:val="20"/>
                <w:szCs w:val="20"/>
                <w:lang w:val="el-GR"/>
              </w:rPr>
              <w:t>109</w:t>
            </w:r>
            <w:r w:rsidRPr="338B1626">
              <w:rPr>
                <w:rFonts w:ascii="Times New Roman" w:eastAsia="Times New Roman" w:hAnsi="Times New Roman" w:cs="Times New Roman"/>
                <w:sz w:val="20"/>
                <w:szCs w:val="20"/>
              </w:rPr>
              <w:t>***</w:t>
            </w:r>
          </w:p>
        </w:tc>
      </w:tr>
      <w:tr w:rsidR="0007775B" w14:paraId="2CDCAA8E" w14:textId="77777777" w:rsidTr="0007775B">
        <w:trPr>
          <w:trHeight w:val="261"/>
          <w:jc w:val="center"/>
        </w:trPr>
        <w:tc>
          <w:tcPr>
            <w:tcW w:w="4130" w:type="dxa"/>
            <w:tcBorders>
              <w:top w:val="nil"/>
              <w:left w:val="nil"/>
              <w:bottom w:val="nil"/>
              <w:right w:val="nil"/>
            </w:tcBorders>
            <w:noWrap/>
            <w:vAlign w:val="center"/>
            <w:hideMark/>
          </w:tcPr>
          <w:p w14:paraId="1248064F"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6-12 months</w:t>
            </w:r>
          </w:p>
        </w:tc>
        <w:tc>
          <w:tcPr>
            <w:tcW w:w="1408" w:type="dxa"/>
            <w:tcBorders>
              <w:top w:val="nil"/>
              <w:left w:val="nil"/>
              <w:bottom w:val="nil"/>
              <w:right w:val="nil"/>
            </w:tcBorders>
            <w:noWrap/>
            <w:vAlign w:val="center"/>
            <w:hideMark/>
          </w:tcPr>
          <w:p w14:paraId="7026C3A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1610" w:type="dxa"/>
            <w:tcBorders>
              <w:top w:val="nil"/>
              <w:left w:val="nil"/>
              <w:bottom w:val="nil"/>
              <w:right w:val="nil"/>
            </w:tcBorders>
            <w:noWrap/>
            <w:vAlign w:val="center"/>
            <w:hideMark/>
          </w:tcPr>
          <w:p w14:paraId="1A2C343C"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w:t>
            </w:r>
            <w:r w:rsidRPr="338B1626">
              <w:rPr>
                <w:rFonts w:ascii="Times New Roman" w:eastAsia="Times New Roman" w:hAnsi="Times New Roman" w:cs="Times New Roman"/>
                <w:sz w:val="20"/>
                <w:szCs w:val="20"/>
                <w:lang w:val="el-GR"/>
              </w:rPr>
              <w:t>138</w:t>
            </w:r>
            <w:r w:rsidRPr="338B1626">
              <w:rPr>
                <w:rFonts w:ascii="Times New Roman" w:eastAsia="Times New Roman" w:hAnsi="Times New Roman" w:cs="Times New Roman"/>
                <w:sz w:val="20"/>
                <w:szCs w:val="20"/>
              </w:rPr>
              <w:t>***</w:t>
            </w:r>
          </w:p>
        </w:tc>
      </w:tr>
      <w:tr w:rsidR="0007775B" w14:paraId="36A843A4" w14:textId="77777777" w:rsidTr="0007775B">
        <w:trPr>
          <w:trHeight w:val="261"/>
          <w:jc w:val="center"/>
        </w:trPr>
        <w:tc>
          <w:tcPr>
            <w:tcW w:w="4130" w:type="dxa"/>
            <w:tcBorders>
              <w:top w:val="nil"/>
              <w:left w:val="nil"/>
              <w:bottom w:val="nil"/>
              <w:right w:val="nil"/>
            </w:tcBorders>
            <w:noWrap/>
            <w:vAlign w:val="center"/>
            <w:hideMark/>
          </w:tcPr>
          <w:p w14:paraId="2887CB60"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12-24 months</w:t>
            </w:r>
          </w:p>
        </w:tc>
        <w:tc>
          <w:tcPr>
            <w:tcW w:w="1408" w:type="dxa"/>
            <w:tcBorders>
              <w:top w:val="nil"/>
              <w:left w:val="nil"/>
              <w:bottom w:val="nil"/>
              <w:right w:val="nil"/>
            </w:tcBorders>
            <w:noWrap/>
            <w:vAlign w:val="center"/>
            <w:hideMark/>
          </w:tcPr>
          <w:p w14:paraId="7C91E7C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0.091</w:t>
            </w:r>
          </w:p>
        </w:tc>
        <w:tc>
          <w:tcPr>
            <w:tcW w:w="1610" w:type="dxa"/>
            <w:tcBorders>
              <w:top w:val="nil"/>
              <w:left w:val="nil"/>
              <w:bottom w:val="nil"/>
              <w:right w:val="nil"/>
            </w:tcBorders>
            <w:noWrap/>
            <w:vAlign w:val="center"/>
            <w:hideMark/>
          </w:tcPr>
          <w:p w14:paraId="0475CF8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0.218***</w:t>
            </w:r>
          </w:p>
        </w:tc>
      </w:tr>
      <w:tr w:rsidR="0007775B" w14:paraId="291F83E7" w14:textId="77777777" w:rsidTr="0007775B">
        <w:trPr>
          <w:trHeight w:val="261"/>
          <w:jc w:val="center"/>
        </w:trPr>
        <w:tc>
          <w:tcPr>
            <w:tcW w:w="4130" w:type="dxa"/>
            <w:tcBorders>
              <w:top w:val="nil"/>
              <w:left w:val="nil"/>
              <w:bottom w:val="nil"/>
              <w:right w:val="nil"/>
            </w:tcBorders>
            <w:noWrap/>
            <w:vAlign w:val="center"/>
            <w:hideMark/>
          </w:tcPr>
          <w:p w14:paraId="7037C83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24-60 months</w:t>
            </w:r>
          </w:p>
        </w:tc>
        <w:tc>
          <w:tcPr>
            <w:tcW w:w="1408" w:type="dxa"/>
            <w:tcBorders>
              <w:top w:val="nil"/>
              <w:left w:val="nil"/>
              <w:bottom w:val="nil"/>
              <w:right w:val="nil"/>
            </w:tcBorders>
            <w:noWrap/>
            <w:vAlign w:val="center"/>
            <w:hideMark/>
          </w:tcPr>
          <w:p w14:paraId="2709A7F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0.211</w:t>
            </w:r>
          </w:p>
        </w:tc>
        <w:tc>
          <w:tcPr>
            <w:tcW w:w="1610" w:type="dxa"/>
            <w:tcBorders>
              <w:top w:val="nil"/>
              <w:left w:val="nil"/>
              <w:bottom w:val="nil"/>
              <w:right w:val="nil"/>
            </w:tcBorders>
            <w:noWrap/>
            <w:vAlign w:val="center"/>
            <w:hideMark/>
          </w:tcPr>
          <w:p w14:paraId="387CDC6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0.359***</w:t>
            </w:r>
          </w:p>
        </w:tc>
      </w:tr>
      <w:tr w:rsidR="0007775B" w14:paraId="5926052B" w14:textId="77777777" w:rsidTr="0007775B">
        <w:trPr>
          <w:trHeight w:val="261"/>
          <w:jc w:val="center"/>
        </w:trPr>
        <w:tc>
          <w:tcPr>
            <w:tcW w:w="4130" w:type="dxa"/>
            <w:tcBorders>
              <w:top w:val="nil"/>
              <w:left w:val="nil"/>
              <w:bottom w:val="nil"/>
              <w:right w:val="nil"/>
            </w:tcBorders>
            <w:noWrap/>
            <w:vAlign w:val="center"/>
            <w:hideMark/>
          </w:tcPr>
          <w:p w14:paraId="391408C3"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6. 60+ months</w:t>
            </w:r>
          </w:p>
        </w:tc>
        <w:tc>
          <w:tcPr>
            <w:tcW w:w="1408" w:type="dxa"/>
            <w:tcBorders>
              <w:top w:val="nil"/>
              <w:left w:val="nil"/>
              <w:bottom w:val="nil"/>
              <w:right w:val="nil"/>
            </w:tcBorders>
            <w:noWrap/>
            <w:vAlign w:val="center"/>
            <w:hideMark/>
          </w:tcPr>
          <w:p w14:paraId="50A1047E"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0.575</w:t>
            </w:r>
          </w:p>
        </w:tc>
        <w:tc>
          <w:tcPr>
            <w:tcW w:w="1610" w:type="dxa"/>
            <w:tcBorders>
              <w:top w:val="nil"/>
              <w:left w:val="nil"/>
              <w:bottom w:val="nil"/>
              <w:right w:val="nil"/>
            </w:tcBorders>
            <w:noWrap/>
            <w:vAlign w:val="center"/>
            <w:hideMark/>
          </w:tcPr>
          <w:p w14:paraId="4C3645F1"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0.085***</w:t>
            </w:r>
          </w:p>
        </w:tc>
      </w:tr>
      <w:tr w:rsidR="0007775B" w14:paraId="4285EC9B" w14:textId="77777777" w:rsidTr="0007775B">
        <w:trPr>
          <w:trHeight w:val="261"/>
          <w:jc w:val="center"/>
        </w:trPr>
        <w:tc>
          <w:tcPr>
            <w:tcW w:w="4130" w:type="dxa"/>
            <w:tcBorders>
              <w:top w:val="nil"/>
              <w:left w:val="nil"/>
              <w:bottom w:val="nil"/>
              <w:right w:val="nil"/>
            </w:tcBorders>
            <w:noWrap/>
            <w:vAlign w:val="center"/>
            <w:hideMark/>
          </w:tcPr>
          <w:p w14:paraId="22A11B90"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19AB2E18" w14:textId="77777777" w:rsidR="0007775B" w:rsidRPr="00B376DD" w:rsidRDefault="0007775B" w:rsidP="0007775B">
            <w:pPr>
              <w:spacing w:after="0" w:line="240" w:lineRule="auto"/>
              <w:rPr>
                <w:rFonts w:ascii="Times New Roman" w:hAnsi="Times New Roman" w:cs="Times New Roman"/>
                <w:b/>
                <w:i/>
                <w:sz w:val="20"/>
                <w:szCs w:val="20"/>
              </w:rPr>
            </w:pPr>
            <w:r w:rsidRPr="338B1626">
              <w:rPr>
                <w:rFonts w:ascii="Times New Roman" w:eastAsia="Times New Roman" w:hAnsi="Times New Roman" w:cs="Times New Roman"/>
                <w:b/>
                <w:bCs/>
                <w:i/>
                <w:iCs/>
                <w:sz w:val="20"/>
                <w:szCs w:val="20"/>
              </w:rPr>
              <w:t>Dummy Variables for Industries</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57140CD5"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373D377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300C7510" w14:textId="77777777" w:rsidTr="0007775B">
        <w:trPr>
          <w:trHeight w:val="261"/>
          <w:jc w:val="center"/>
        </w:trPr>
        <w:tc>
          <w:tcPr>
            <w:tcW w:w="4130" w:type="dxa"/>
            <w:tcBorders>
              <w:top w:val="nil"/>
              <w:left w:val="nil"/>
              <w:bottom w:val="nil"/>
              <w:right w:val="nil"/>
            </w:tcBorders>
            <w:noWrap/>
            <w:vAlign w:val="center"/>
            <w:hideMark/>
          </w:tcPr>
          <w:p w14:paraId="26D2D35F"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Agriculture and Fishing</w:t>
            </w:r>
          </w:p>
        </w:tc>
        <w:tc>
          <w:tcPr>
            <w:tcW w:w="1408" w:type="dxa"/>
            <w:tcBorders>
              <w:top w:val="nil"/>
              <w:left w:val="nil"/>
              <w:bottom w:val="nil"/>
              <w:right w:val="nil"/>
            </w:tcBorders>
            <w:noWrap/>
            <w:vAlign w:val="center"/>
            <w:hideMark/>
          </w:tcPr>
          <w:p w14:paraId="0103ADEB"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0.006</w:t>
            </w:r>
          </w:p>
        </w:tc>
        <w:tc>
          <w:tcPr>
            <w:tcW w:w="1610" w:type="dxa"/>
            <w:tcBorders>
              <w:top w:val="nil"/>
              <w:left w:val="nil"/>
              <w:bottom w:val="nil"/>
              <w:right w:val="nil"/>
            </w:tcBorders>
            <w:noWrap/>
            <w:vAlign w:val="center"/>
            <w:hideMark/>
          </w:tcPr>
          <w:p w14:paraId="0533D203"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0.024***</w:t>
            </w:r>
          </w:p>
        </w:tc>
      </w:tr>
      <w:tr w:rsidR="0007775B" w14:paraId="197A9469" w14:textId="77777777" w:rsidTr="0007775B">
        <w:trPr>
          <w:trHeight w:val="261"/>
          <w:jc w:val="center"/>
        </w:trPr>
        <w:tc>
          <w:tcPr>
            <w:tcW w:w="4130" w:type="dxa"/>
            <w:tcBorders>
              <w:top w:val="nil"/>
              <w:left w:val="nil"/>
              <w:bottom w:val="nil"/>
              <w:right w:val="nil"/>
            </w:tcBorders>
            <w:noWrap/>
            <w:vAlign w:val="center"/>
            <w:hideMark/>
          </w:tcPr>
          <w:p w14:paraId="68F3C015"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Energy and Water</w:t>
            </w:r>
          </w:p>
        </w:tc>
        <w:tc>
          <w:tcPr>
            <w:tcW w:w="1408" w:type="dxa"/>
            <w:tcBorders>
              <w:top w:val="nil"/>
              <w:left w:val="nil"/>
              <w:bottom w:val="nil"/>
              <w:right w:val="nil"/>
            </w:tcBorders>
            <w:noWrap/>
            <w:vAlign w:val="center"/>
            <w:hideMark/>
          </w:tcPr>
          <w:p w14:paraId="6A1CDB4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1610" w:type="dxa"/>
            <w:tcBorders>
              <w:top w:val="nil"/>
              <w:left w:val="nil"/>
              <w:bottom w:val="nil"/>
              <w:right w:val="nil"/>
            </w:tcBorders>
            <w:noWrap/>
            <w:vAlign w:val="center"/>
            <w:hideMark/>
          </w:tcPr>
          <w:p w14:paraId="7016104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r>
      <w:tr w:rsidR="0007775B" w14:paraId="41A78600" w14:textId="77777777" w:rsidTr="0007775B">
        <w:trPr>
          <w:trHeight w:val="261"/>
          <w:jc w:val="center"/>
        </w:trPr>
        <w:tc>
          <w:tcPr>
            <w:tcW w:w="4130" w:type="dxa"/>
            <w:tcBorders>
              <w:top w:val="nil"/>
              <w:left w:val="nil"/>
              <w:bottom w:val="nil"/>
              <w:right w:val="nil"/>
            </w:tcBorders>
            <w:noWrap/>
            <w:vAlign w:val="center"/>
            <w:hideMark/>
          </w:tcPr>
          <w:p w14:paraId="0E9C514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Manufacturing</w:t>
            </w:r>
          </w:p>
        </w:tc>
        <w:tc>
          <w:tcPr>
            <w:tcW w:w="1408" w:type="dxa"/>
            <w:tcBorders>
              <w:top w:val="nil"/>
              <w:left w:val="nil"/>
              <w:bottom w:val="nil"/>
              <w:right w:val="nil"/>
            </w:tcBorders>
            <w:noWrap/>
            <w:vAlign w:val="center"/>
            <w:hideMark/>
          </w:tcPr>
          <w:p w14:paraId="1DE77939"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0.127</w:t>
            </w:r>
          </w:p>
        </w:tc>
        <w:tc>
          <w:tcPr>
            <w:tcW w:w="1610" w:type="dxa"/>
            <w:tcBorders>
              <w:top w:val="nil"/>
              <w:left w:val="nil"/>
              <w:bottom w:val="nil"/>
              <w:right w:val="nil"/>
            </w:tcBorders>
            <w:noWrap/>
            <w:vAlign w:val="center"/>
            <w:hideMark/>
          </w:tcPr>
          <w:p w14:paraId="5422446A"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0.297***</w:t>
            </w:r>
          </w:p>
        </w:tc>
      </w:tr>
      <w:tr w:rsidR="0007775B" w14:paraId="236DF800" w14:textId="77777777" w:rsidTr="0007775B">
        <w:trPr>
          <w:trHeight w:val="261"/>
          <w:jc w:val="center"/>
        </w:trPr>
        <w:tc>
          <w:tcPr>
            <w:tcW w:w="4130" w:type="dxa"/>
            <w:tcBorders>
              <w:top w:val="nil"/>
              <w:left w:val="nil"/>
              <w:bottom w:val="nil"/>
              <w:right w:val="nil"/>
            </w:tcBorders>
            <w:noWrap/>
            <w:vAlign w:val="center"/>
            <w:hideMark/>
          </w:tcPr>
          <w:p w14:paraId="52CC92A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Construction</w:t>
            </w:r>
          </w:p>
        </w:tc>
        <w:tc>
          <w:tcPr>
            <w:tcW w:w="1408" w:type="dxa"/>
            <w:tcBorders>
              <w:top w:val="nil"/>
              <w:left w:val="nil"/>
              <w:bottom w:val="nil"/>
              <w:right w:val="nil"/>
            </w:tcBorders>
            <w:noWrap/>
            <w:vAlign w:val="center"/>
            <w:hideMark/>
          </w:tcPr>
          <w:p w14:paraId="0D22022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1610" w:type="dxa"/>
            <w:tcBorders>
              <w:top w:val="nil"/>
              <w:left w:val="nil"/>
              <w:bottom w:val="nil"/>
              <w:right w:val="nil"/>
            </w:tcBorders>
            <w:noWrap/>
            <w:vAlign w:val="center"/>
            <w:hideMark/>
          </w:tcPr>
          <w:p w14:paraId="6CB97FEF"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0.047</w:t>
            </w:r>
          </w:p>
        </w:tc>
      </w:tr>
      <w:tr w:rsidR="0007775B" w14:paraId="55F3EFF8" w14:textId="77777777" w:rsidTr="0007775B">
        <w:trPr>
          <w:trHeight w:val="261"/>
          <w:jc w:val="center"/>
        </w:trPr>
        <w:tc>
          <w:tcPr>
            <w:tcW w:w="4130" w:type="dxa"/>
            <w:tcBorders>
              <w:top w:val="nil"/>
              <w:left w:val="nil"/>
              <w:bottom w:val="nil"/>
              <w:right w:val="nil"/>
            </w:tcBorders>
            <w:noWrap/>
            <w:vAlign w:val="center"/>
            <w:hideMark/>
          </w:tcPr>
          <w:p w14:paraId="4CCFDB5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Distribution, Hotels and Restaurants</w:t>
            </w:r>
          </w:p>
        </w:tc>
        <w:tc>
          <w:tcPr>
            <w:tcW w:w="1408" w:type="dxa"/>
            <w:tcBorders>
              <w:top w:val="nil"/>
              <w:left w:val="nil"/>
              <w:bottom w:val="nil"/>
              <w:right w:val="nil"/>
            </w:tcBorders>
            <w:noWrap/>
            <w:vAlign w:val="center"/>
            <w:hideMark/>
          </w:tcPr>
          <w:p w14:paraId="5D1F3D9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0.160</w:t>
            </w:r>
          </w:p>
        </w:tc>
        <w:tc>
          <w:tcPr>
            <w:tcW w:w="1610" w:type="dxa"/>
            <w:tcBorders>
              <w:top w:val="nil"/>
              <w:left w:val="nil"/>
              <w:bottom w:val="nil"/>
              <w:right w:val="nil"/>
            </w:tcBorders>
            <w:noWrap/>
            <w:vAlign w:val="center"/>
            <w:hideMark/>
          </w:tcPr>
          <w:p w14:paraId="128A127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0.261***</w:t>
            </w:r>
          </w:p>
        </w:tc>
      </w:tr>
      <w:tr w:rsidR="0007775B" w14:paraId="36C1B81D" w14:textId="77777777" w:rsidTr="0007775B">
        <w:trPr>
          <w:trHeight w:val="261"/>
          <w:jc w:val="center"/>
        </w:trPr>
        <w:tc>
          <w:tcPr>
            <w:tcW w:w="4130" w:type="dxa"/>
            <w:tcBorders>
              <w:top w:val="nil"/>
              <w:left w:val="nil"/>
              <w:bottom w:val="nil"/>
              <w:right w:val="nil"/>
            </w:tcBorders>
            <w:noWrap/>
            <w:vAlign w:val="center"/>
            <w:hideMark/>
          </w:tcPr>
          <w:p w14:paraId="0A49DD88"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6. Transport and Communications</w:t>
            </w:r>
          </w:p>
        </w:tc>
        <w:tc>
          <w:tcPr>
            <w:tcW w:w="1408" w:type="dxa"/>
            <w:tcBorders>
              <w:top w:val="nil"/>
              <w:left w:val="nil"/>
              <w:bottom w:val="nil"/>
              <w:right w:val="nil"/>
            </w:tcBorders>
            <w:noWrap/>
            <w:vAlign w:val="center"/>
            <w:hideMark/>
          </w:tcPr>
          <w:p w14:paraId="4EC4551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0.076</w:t>
            </w:r>
          </w:p>
        </w:tc>
        <w:tc>
          <w:tcPr>
            <w:tcW w:w="1610" w:type="dxa"/>
            <w:tcBorders>
              <w:top w:val="nil"/>
              <w:left w:val="nil"/>
              <w:bottom w:val="nil"/>
              <w:right w:val="nil"/>
            </w:tcBorders>
            <w:noWrap/>
            <w:vAlign w:val="center"/>
            <w:hideMark/>
          </w:tcPr>
          <w:p w14:paraId="5D0227E7"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0.112***</w:t>
            </w:r>
          </w:p>
        </w:tc>
      </w:tr>
      <w:tr w:rsidR="0007775B" w14:paraId="07360140" w14:textId="77777777" w:rsidTr="0007775B">
        <w:trPr>
          <w:trHeight w:val="261"/>
          <w:jc w:val="center"/>
        </w:trPr>
        <w:tc>
          <w:tcPr>
            <w:tcW w:w="4130" w:type="dxa"/>
            <w:tcBorders>
              <w:top w:val="nil"/>
              <w:left w:val="nil"/>
              <w:bottom w:val="nil"/>
              <w:right w:val="nil"/>
            </w:tcBorders>
            <w:noWrap/>
            <w:vAlign w:val="center"/>
            <w:hideMark/>
          </w:tcPr>
          <w:p w14:paraId="40C0F94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7. Banking, Finance and Insurance</w:t>
            </w:r>
          </w:p>
        </w:tc>
        <w:tc>
          <w:tcPr>
            <w:tcW w:w="1408" w:type="dxa"/>
            <w:tcBorders>
              <w:top w:val="nil"/>
              <w:left w:val="nil"/>
              <w:bottom w:val="nil"/>
              <w:right w:val="nil"/>
            </w:tcBorders>
            <w:noWrap/>
            <w:vAlign w:val="center"/>
            <w:hideMark/>
          </w:tcPr>
          <w:p w14:paraId="4628740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0.154</w:t>
            </w:r>
          </w:p>
        </w:tc>
        <w:tc>
          <w:tcPr>
            <w:tcW w:w="1610" w:type="dxa"/>
            <w:tcBorders>
              <w:top w:val="nil"/>
              <w:left w:val="nil"/>
              <w:bottom w:val="nil"/>
              <w:right w:val="nil"/>
            </w:tcBorders>
            <w:noWrap/>
            <w:vAlign w:val="center"/>
            <w:hideMark/>
          </w:tcPr>
          <w:p w14:paraId="18F8432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0.112***</w:t>
            </w:r>
          </w:p>
        </w:tc>
      </w:tr>
      <w:tr w:rsidR="0007775B" w14:paraId="7203A4CF" w14:textId="77777777" w:rsidTr="0007775B">
        <w:trPr>
          <w:trHeight w:val="261"/>
          <w:jc w:val="center"/>
        </w:trPr>
        <w:tc>
          <w:tcPr>
            <w:tcW w:w="4130" w:type="dxa"/>
            <w:tcBorders>
              <w:top w:val="nil"/>
              <w:left w:val="nil"/>
              <w:bottom w:val="nil"/>
              <w:right w:val="nil"/>
            </w:tcBorders>
            <w:noWrap/>
            <w:vAlign w:val="center"/>
            <w:hideMark/>
          </w:tcPr>
          <w:p w14:paraId="3DDA96F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8. Public Admin., Education and Health</w:t>
            </w:r>
          </w:p>
        </w:tc>
        <w:tc>
          <w:tcPr>
            <w:tcW w:w="1408" w:type="dxa"/>
            <w:tcBorders>
              <w:top w:val="nil"/>
              <w:left w:val="nil"/>
              <w:bottom w:val="nil"/>
              <w:right w:val="nil"/>
            </w:tcBorders>
            <w:noWrap/>
            <w:vAlign w:val="center"/>
            <w:hideMark/>
          </w:tcPr>
          <w:p w14:paraId="05DD793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0.368</w:t>
            </w:r>
          </w:p>
        </w:tc>
        <w:tc>
          <w:tcPr>
            <w:tcW w:w="1610" w:type="dxa"/>
            <w:tcBorders>
              <w:top w:val="nil"/>
              <w:left w:val="nil"/>
              <w:bottom w:val="nil"/>
              <w:right w:val="nil"/>
            </w:tcBorders>
            <w:noWrap/>
            <w:vAlign w:val="center"/>
            <w:hideMark/>
          </w:tcPr>
          <w:p w14:paraId="1C7FE868"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0.105***</w:t>
            </w:r>
          </w:p>
        </w:tc>
      </w:tr>
      <w:tr w:rsidR="0007775B" w14:paraId="4E3170C7" w14:textId="77777777" w:rsidTr="0007775B">
        <w:trPr>
          <w:trHeight w:val="261"/>
          <w:jc w:val="center"/>
        </w:trPr>
        <w:tc>
          <w:tcPr>
            <w:tcW w:w="4130" w:type="dxa"/>
            <w:tcBorders>
              <w:top w:val="nil"/>
              <w:left w:val="nil"/>
              <w:bottom w:val="nil"/>
              <w:right w:val="nil"/>
            </w:tcBorders>
            <w:noWrap/>
            <w:vAlign w:val="center"/>
            <w:hideMark/>
          </w:tcPr>
          <w:p w14:paraId="10D6A0E6"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9. Other Services</w:t>
            </w:r>
          </w:p>
        </w:tc>
        <w:tc>
          <w:tcPr>
            <w:tcW w:w="1408" w:type="dxa"/>
            <w:tcBorders>
              <w:top w:val="nil"/>
              <w:left w:val="nil"/>
              <w:bottom w:val="nil"/>
              <w:right w:val="nil"/>
            </w:tcBorders>
            <w:noWrap/>
            <w:vAlign w:val="center"/>
            <w:hideMark/>
          </w:tcPr>
          <w:p w14:paraId="14E7493C"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0.044</w:t>
            </w:r>
          </w:p>
        </w:tc>
        <w:tc>
          <w:tcPr>
            <w:tcW w:w="1610" w:type="dxa"/>
            <w:tcBorders>
              <w:top w:val="nil"/>
              <w:left w:val="nil"/>
              <w:bottom w:val="nil"/>
              <w:right w:val="nil"/>
            </w:tcBorders>
            <w:noWrap/>
            <w:vAlign w:val="center"/>
            <w:hideMark/>
          </w:tcPr>
          <w:p w14:paraId="07F146B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0.031**</w:t>
            </w:r>
          </w:p>
        </w:tc>
      </w:tr>
      <w:tr w:rsidR="0007775B" w14:paraId="339896E9" w14:textId="77777777" w:rsidTr="0007775B">
        <w:trPr>
          <w:trHeight w:val="261"/>
          <w:jc w:val="center"/>
        </w:trPr>
        <w:tc>
          <w:tcPr>
            <w:tcW w:w="4130" w:type="dxa"/>
            <w:tcBorders>
              <w:top w:val="nil"/>
              <w:left w:val="nil"/>
              <w:bottom w:val="nil"/>
              <w:right w:val="nil"/>
            </w:tcBorders>
            <w:noWrap/>
            <w:vAlign w:val="center"/>
          </w:tcPr>
          <w:p w14:paraId="59C06DE4"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46449760" w14:textId="77777777" w:rsidR="0007775B" w:rsidRPr="00B376DD"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i/>
                <w:iCs/>
                <w:sz w:val="20"/>
                <w:szCs w:val="20"/>
              </w:rPr>
              <w:t>Dummy variables for trade union status</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507005A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7495D851"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rsidRPr="00A62F61" w14:paraId="6199E3A2" w14:textId="77777777" w:rsidTr="0007775B">
        <w:trPr>
          <w:trHeight w:val="261"/>
          <w:jc w:val="center"/>
        </w:trPr>
        <w:tc>
          <w:tcPr>
            <w:tcW w:w="4130" w:type="dxa"/>
            <w:tcBorders>
              <w:top w:val="nil"/>
              <w:left w:val="nil"/>
              <w:bottom w:val="nil"/>
              <w:right w:val="nil"/>
            </w:tcBorders>
            <w:noWrap/>
            <w:vAlign w:val="center"/>
          </w:tcPr>
          <w:p w14:paraId="7FE2294E" w14:textId="77777777" w:rsidR="0007775B" w:rsidRPr="00EC3626"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Covered member</w:t>
            </w:r>
          </w:p>
        </w:tc>
        <w:tc>
          <w:tcPr>
            <w:tcW w:w="1408" w:type="dxa"/>
            <w:tcBorders>
              <w:top w:val="nil"/>
              <w:left w:val="nil"/>
              <w:bottom w:val="nil"/>
              <w:right w:val="nil"/>
            </w:tcBorders>
            <w:noWrap/>
            <w:vAlign w:val="center"/>
          </w:tcPr>
          <w:p w14:paraId="22578C2D" w14:textId="77777777" w:rsidR="0007775B" w:rsidRPr="00A62F61" w:rsidRDefault="0007775B" w:rsidP="0007775B">
            <w:pPr>
              <w:tabs>
                <w:tab w:val="decimal" w:pos="459"/>
              </w:tabs>
              <w:spacing w:after="0" w:line="240" w:lineRule="auto"/>
              <w:jc w:val="center"/>
              <w:rPr>
                <w:rFonts w:ascii="Times New Roman" w:hAnsi="Times New Roman" w:cs="Times New Roman"/>
                <w:sz w:val="20"/>
                <w:szCs w:val="20"/>
                <w:lang w:val="el-GR"/>
              </w:rPr>
            </w:pPr>
            <w:r>
              <w:rPr>
                <w:rFonts w:ascii="Times New Roman" w:hAnsi="Times New Roman" w:cs="Times New Roman"/>
                <w:sz w:val="20"/>
                <w:szCs w:val="20"/>
                <w:lang w:val="el-GR"/>
              </w:rPr>
              <w:t>0.242</w:t>
            </w:r>
          </w:p>
        </w:tc>
        <w:tc>
          <w:tcPr>
            <w:tcW w:w="1610" w:type="dxa"/>
            <w:tcBorders>
              <w:top w:val="nil"/>
              <w:left w:val="nil"/>
              <w:bottom w:val="nil"/>
              <w:right w:val="nil"/>
            </w:tcBorders>
            <w:noWrap/>
            <w:vAlign w:val="center"/>
          </w:tcPr>
          <w:p w14:paraId="13A95120" w14:textId="77777777" w:rsidR="0007775B" w:rsidRPr="00A62F61" w:rsidRDefault="0007775B" w:rsidP="0007775B">
            <w:pPr>
              <w:tabs>
                <w:tab w:val="decimal" w:pos="317"/>
              </w:tabs>
              <w:spacing w:after="0" w:line="240" w:lineRule="auto"/>
              <w:jc w:val="center"/>
              <w:rPr>
                <w:rFonts w:ascii="Times New Roman" w:hAnsi="Times New Roman" w:cs="Times New Roman"/>
                <w:sz w:val="20"/>
                <w:szCs w:val="20"/>
                <w:lang w:val="el-GR"/>
              </w:rPr>
            </w:pPr>
            <w:r w:rsidRPr="338B1626">
              <w:rPr>
                <w:rFonts w:ascii="Times New Roman" w:eastAsia="Times New Roman" w:hAnsi="Times New Roman" w:cs="Times New Roman"/>
                <w:sz w:val="20"/>
                <w:szCs w:val="20"/>
                <w:lang w:val="el-GR"/>
              </w:rPr>
              <w:t>0.076***</w:t>
            </w:r>
          </w:p>
        </w:tc>
      </w:tr>
      <w:tr w:rsidR="0007775B" w:rsidRPr="00A62F61" w14:paraId="503D753A" w14:textId="77777777" w:rsidTr="0007775B">
        <w:trPr>
          <w:trHeight w:val="261"/>
          <w:jc w:val="center"/>
        </w:trPr>
        <w:tc>
          <w:tcPr>
            <w:tcW w:w="4130" w:type="dxa"/>
            <w:tcBorders>
              <w:top w:val="nil"/>
              <w:left w:val="nil"/>
              <w:bottom w:val="nil"/>
              <w:right w:val="nil"/>
            </w:tcBorders>
            <w:noWrap/>
            <w:vAlign w:val="center"/>
          </w:tcPr>
          <w:p w14:paraId="67BEA1BB"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Covered non-member</w:t>
            </w:r>
          </w:p>
        </w:tc>
        <w:tc>
          <w:tcPr>
            <w:tcW w:w="1408" w:type="dxa"/>
            <w:tcBorders>
              <w:top w:val="nil"/>
              <w:left w:val="nil"/>
              <w:bottom w:val="nil"/>
              <w:right w:val="nil"/>
            </w:tcBorders>
            <w:noWrap/>
            <w:vAlign w:val="center"/>
          </w:tcPr>
          <w:p w14:paraId="174F61A5" w14:textId="77777777" w:rsidR="0007775B" w:rsidRPr="00A62F61" w:rsidRDefault="0007775B" w:rsidP="0007775B">
            <w:pPr>
              <w:tabs>
                <w:tab w:val="decimal" w:pos="459"/>
              </w:tabs>
              <w:spacing w:after="0" w:line="240" w:lineRule="auto"/>
              <w:jc w:val="center"/>
              <w:rPr>
                <w:rFonts w:ascii="Times New Roman" w:hAnsi="Times New Roman" w:cs="Times New Roman"/>
                <w:sz w:val="20"/>
                <w:szCs w:val="20"/>
                <w:lang w:val="el-GR"/>
              </w:rPr>
            </w:pPr>
            <w:r>
              <w:rPr>
                <w:rFonts w:ascii="Times New Roman" w:hAnsi="Times New Roman" w:cs="Times New Roman"/>
                <w:sz w:val="20"/>
                <w:szCs w:val="20"/>
                <w:lang w:val="el-GR"/>
              </w:rPr>
              <w:t>0.123</w:t>
            </w:r>
          </w:p>
        </w:tc>
        <w:tc>
          <w:tcPr>
            <w:tcW w:w="1610" w:type="dxa"/>
            <w:tcBorders>
              <w:top w:val="nil"/>
              <w:left w:val="nil"/>
              <w:bottom w:val="nil"/>
              <w:right w:val="nil"/>
            </w:tcBorders>
            <w:noWrap/>
            <w:vAlign w:val="center"/>
          </w:tcPr>
          <w:p w14:paraId="5B61C132" w14:textId="77777777" w:rsidR="0007775B" w:rsidRPr="00A62F61" w:rsidRDefault="0007775B" w:rsidP="0007775B">
            <w:pPr>
              <w:tabs>
                <w:tab w:val="decimal" w:pos="317"/>
              </w:tabs>
              <w:spacing w:after="0" w:line="240" w:lineRule="auto"/>
              <w:jc w:val="center"/>
              <w:rPr>
                <w:rFonts w:ascii="Times New Roman" w:hAnsi="Times New Roman" w:cs="Times New Roman"/>
                <w:sz w:val="20"/>
                <w:szCs w:val="20"/>
                <w:lang w:val="el-GR"/>
              </w:rPr>
            </w:pPr>
            <w:r w:rsidRPr="338B1626">
              <w:rPr>
                <w:rFonts w:ascii="Times New Roman" w:eastAsia="Times New Roman" w:hAnsi="Times New Roman" w:cs="Times New Roman"/>
                <w:sz w:val="20"/>
                <w:szCs w:val="20"/>
                <w:lang w:val="el-GR"/>
              </w:rPr>
              <w:t>0.100***</w:t>
            </w:r>
          </w:p>
        </w:tc>
      </w:tr>
      <w:tr w:rsidR="0007775B" w:rsidRPr="00A62F61" w14:paraId="2916C19F" w14:textId="77777777" w:rsidTr="0007775B">
        <w:trPr>
          <w:trHeight w:val="261"/>
          <w:jc w:val="center"/>
        </w:trPr>
        <w:tc>
          <w:tcPr>
            <w:tcW w:w="4130" w:type="dxa"/>
            <w:tcBorders>
              <w:top w:val="nil"/>
              <w:left w:val="nil"/>
              <w:bottom w:val="nil"/>
              <w:right w:val="nil"/>
            </w:tcBorders>
            <w:noWrap/>
            <w:vAlign w:val="center"/>
          </w:tcPr>
          <w:p w14:paraId="60C718A5" w14:textId="77777777" w:rsidR="0007775B" w:rsidRPr="00A62F61"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Not covered member</w:t>
            </w:r>
          </w:p>
        </w:tc>
        <w:tc>
          <w:tcPr>
            <w:tcW w:w="1408" w:type="dxa"/>
            <w:tcBorders>
              <w:top w:val="nil"/>
              <w:left w:val="nil"/>
              <w:bottom w:val="nil"/>
              <w:right w:val="nil"/>
            </w:tcBorders>
            <w:noWrap/>
            <w:vAlign w:val="center"/>
          </w:tcPr>
          <w:p w14:paraId="51096555" w14:textId="77777777" w:rsidR="0007775B" w:rsidRPr="00A62F61"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0.085</w:t>
            </w:r>
          </w:p>
        </w:tc>
        <w:tc>
          <w:tcPr>
            <w:tcW w:w="1610" w:type="dxa"/>
            <w:tcBorders>
              <w:top w:val="nil"/>
              <w:left w:val="nil"/>
              <w:bottom w:val="nil"/>
              <w:right w:val="nil"/>
            </w:tcBorders>
            <w:noWrap/>
            <w:vAlign w:val="center"/>
          </w:tcPr>
          <w:p w14:paraId="70813D3A" w14:textId="77777777" w:rsidR="0007775B" w:rsidRPr="00A62F61"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0.031***</w:t>
            </w:r>
          </w:p>
        </w:tc>
      </w:tr>
      <w:tr w:rsidR="0007775B" w:rsidRPr="00A62F61" w14:paraId="5B7283ED" w14:textId="77777777" w:rsidTr="0007775B">
        <w:trPr>
          <w:trHeight w:val="261"/>
          <w:jc w:val="center"/>
        </w:trPr>
        <w:tc>
          <w:tcPr>
            <w:tcW w:w="4130" w:type="dxa"/>
            <w:tcBorders>
              <w:top w:val="nil"/>
              <w:left w:val="nil"/>
              <w:bottom w:val="nil"/>
              <w:right w:val="nil"/>
            </w:tcBorders>
            <w:noWrap/>
            <w:vAlign w:val="center"/>
          </w:tcPr>
          <w:p w14:paraId="690ECBC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Not covered non-member</w:t>
            </w:r>
          </w:p>
        </w:tc>
        <w:tc>
          <w:tcPr>
            <w:tcW w:w="1408" w:type="dxa"/>
            <w:tcBorders>
              <w:top w:val="nil"/>
              <w:left w:val="nil"/>
              <w:bottom w:val="nil"/>
              <w:right w:val="nil"/>
            </w:tcBorders>
            <w:noWrap/>
            <w:vAlign w:val="center"/>
          </w:tcPr>
          <w:p w14:paraId="77AD458B" w14:textId="77777777" w:rsidR="0007775B" w:rsidRPr="00A62F61"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0.549</w:t>
            </w:r>
          </w:p>
        </w:tc>
        <w:tc>
          <w:tcPr>
            <w:tcW w:w="1610" w:type="dxa"/>
            <w:tcBorders>
              <w:top w:val="nil"/>
              <w:left w:val="nil"/>
              <w:bottom w:val="nil"/>
              <w:right w:val="nil"/>
            </w:tcBorders>
            <w:noWrap/>
            <w:vAlign w:val="center"/>
          </w:tcPr>
          <w:p w14:paraId="4D51F00A" w14:textId="77777777" w:rsidR="0007775B" w:rsidRPr="00A62F61"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0.794***</w:t>
            </w:r>
          </w:p>
        </w:tc>
      </w:tr>
      <w:tr w:rsidR="0007775B" w14:paraId="5F08BEF2" w14:textId="77777777" w:rsidTr="0007775B">
        <w:trPr>
          <w:trHeight w:val="261"/>
          <w:jc w:val="center"/>
        </w:trPr>
        <w:tc>
          <w:tcPr>
            <w:tcW w:w="4130" w:type="dxa"/>
            <w:tcBorders>
              <w:top w:val="nil"/>
              <w:left w:val="nil"/>
              <w:bottom w:val="nil"/>
              <w:right w:val="nil"/>
            </w:tcBorders>
            <w:noWrap/>
            <w:vAlign w:val="center"/>
          </w:tcPr>
          <w:p w14:paraId="533C0233" w14:textId="77777777" w:rsidR="0007775B" w:rsidRDefault="0007775B" w:rsidP="0007775B">
            <w:pPr>
              <w:spacing w:after="0" w:line="240" w:lineRule="auto"/>
              <w:rPr>
                <w:rFonts w:ascii="Times New Roman" w:eastAsia="Times New Roman" w:hAnsi="Times New Roman" w:cs="Times New Roman"/>
                <w:b/>
                <w:bCs/>
                <w:i/>
                <w:iCs/>
                <w:sz w:val="20"/>
                <w:szCs w:val="20"/>
              </w:rPr>
            </w:pPr>
          </w:p>
          <w:p w14:paraId="402D35F8" w14:textId="77777777" w:rsidR="0007775B" w:rsidRPr="00B376DD"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i/>
                <w:iCs/>
                <w:sz w:val="20"/>
                <w:szCs w:val="20"/>
              </w:rPr>
              <w:t>Dummy variables for flexible working arrangements</w:t>
            </w:r>
            <w:r w:rsidRPr="338B1626">
              <w:rPr>
                <w:rFonts w:ascii="Times New Roman" w:eastAsia="Times New Roman" w:hAnsi="Times New Roman" w:cs="Times New Roman"/>
                <w:b/>
                <w:bCs/>
                <w:sz w:val="20"/>
                <w:szCs w:val="20"/>
              </w:rPr>
              <w:t>:</w:t>
            </w:r>
          </w:p>
        </w:tc>
        <w:tc>
          <w:tcPr>
            <w:tcW w:w="1408" w:type="dxa"/>
            <w:tcBorders>
              <w:top w:val="nil"/>
              <w:left w:val="nil"/>
              <w:bottom w:val="nil"/>
              <w:right w:val="nil"/>
            </w:tcBorders>
            <w:noWrap/>
            <w:vAlign w:val="center"/>
          </w:tcPr>
          <w:p w14:paraId="217C43F6"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3747F82E"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6D1AF151" w14:textId="77777777" w:rsidTr="0007775B">
        <w:trPr>
          <w:trHeight w:val="261"/>
          <w:jc w:val="center"/>
        </w:trPr>
        <w:tc>
          <w:tcPr>
            <w:tcW w:w="4130" w:type="dxa"/>
            <w:tcBorders>
              <w:top w:val="nil"/>
              <w:left w:val="nil"/>
              <w:bottom w:val="nil"/>
              <w:right w:val="nil"/>
            </w:tcBorders>
            <w:noWrap/>
            <w:vAlign w:val="center"/>
          </w:tcPr>
          <w:p w14:paraId="6D9239A1" w14:textId="77777777" w:rsidR="0007775B" w:rsidRPr="00EC3626"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Flexitime</w:t>
            </w:r>
          </w:p>
        </w:tc>
        <w:tc>
          <w:tcPr>
            <w:tcW w:w="1408" w:type="dxa"/>
            <w:tcBorders>
              <w:top w:val="nil"/>
              <w:left w:val="nil"/>
              <w:bottom w:val="nil"/>
              <w:right w:val="nil"/>
            </w:tcBorders>
            <w:noWrap/>
            <w:vAlign w:val="center"/>
          </w:tcPr>
          <w:p w14:paraId="1DB9CF06"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0.140</w:t>
            </w:r>
          </w:p>
        </w:tc>
        <w:tc>
          <w:tcPr>
            <w:tcW w:w="1610" w:type="dxa"/>
            <w:tcBorders>
              <w:top w:val="nil"/>
              <w:left w:val="nil"/>
              <w:bottom w:val="nil"/>
              <w:right w:val="nil"/>
            </w:tcBorders>
            <w:noWrap/>
            <w:vAlign w:val="center"/>
          </w:tcPr>
          <w:p w14:paraId="7C47E4A1"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0.045***</w:t>
            </w:r>
          </w:p>
        </w:tc>
      </w:tr>
      <w:tr w:rsidR="0007775B" w14:paraId="5D0278E4" w14:textId="77777777" w:rsidTr="0007775B">
        <w:trPr>
          <w:trHeight w:val="261"/>
          <w:jc w:val="center"/>
        </w:trPr>
        <w:tc>
          <w:tcPr>
            <w:tcW w:w="4130" w:type="dxa"/>
            <w:tcBorders>
              <w:top w:val="nil"/>
              <w:left w:val="nil"/>
              <w:bottom w:val="nil"/>
              <w:right w:val="nil"/>
            </w:tcBorders>
            <w:noWrap/>
            <w:vAlign w:val="center"/>
          </w:tcPr>
          <w:p w14:paraId="3DA8A1F1"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Annualized hours contract</w:t>
            </w:r>
          </w:p>
        </w:tc>
        <w:tc>
          <w:tcPr>
            <w:tcW w:w="1408" w:type="dxa"/>
            <w:tcBorders>
              <w:top w:val="nil"/>
              <w:left w:val="nil"/>
              <w:bottom w:val="nil"/>
              <w:right w:val="nil"/>
            </w:tcBorders>
            <w:noWrap/>
            <w:vAlign w:val="center"/>
          </w:tcPr>
          <w:p w14:paraId="09597B96"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1610" w:type="dxa"/>
            <w:tcBorders>
              <w:top w:val="nil"/>
              <w:left w:val="nil"/>
              <w:bottom w:val="nil"/>
              <w:right w:val="nil"/>
            </w:tcBorders>
            <w:noWrap/>
            <w:vAlign w:val="center"/>
          </w:tcPr>
          <w:p w14:paraId="48E6E59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0.029***</w:t>
            </w:r>
          </w:p>
        </w:tc>
      </w:tr>
      <w:tr w:rsidR="0007775B" w14:paraId="13DCB4D8" w14:textId="77777777" w:rsidTr="0007775B">
        <w:trPr>
          <w:trHeight w:val="261"/>
          <w:jc w:val="center"/>
        </w:trPr>
        <w:tc>
          <w:tcPr>
            <w:tcW w:w="4130" w:type="dxa"/>
            <w:tcBorders>
              <w:top w:val="nil"/>
              <w:left w:val="nil"/>
              <w:bottom w:val="nil"/>
              <w:right w:val="nil"/>
            </w:tcBorders>
            <w:noWrap/>
            <w:vAlign w:val="center"/>
          </w:tcPr>
          <w:p w14:paraId="42E4B505"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 Term time working</w:t>
            </w:r>
          </w:p>
        </w:tc>
        <w:tc>
          <w:tcPr>
            <w:tcW w:w="1408" w:type="dxa"/>
            <w:tcBorders>
              <w:top w:val="nil"/>
              <w:left w:val="nil"/>
              <w:bottom w:val="nil"/>
              <w:right w:val="nil"/>
            </w:tcBorders>
            <w:noWrap/>
            <w:vAlign w:val="center"/>
          </w:tcPr>
          <w:p w14:paraId="5B0153C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1610" w:type="dxa"/>
            <w:tcBorders>
              <w:top w:val="nil"/>
              <w:left w:val="nil"/>
              <w:bottom w:val="nil"/>
              <w:right w:val="nil"/>
            </w:tcBorders>
            <w:noWrap/>
            <w:vAlign w:val="center"/>
          </w:tcPr>
          <w:p w14:paraId="5CF73C9A"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0.001***</w:t>
            </w:r>
          </w:p>
        </w:tc>
      </w:tr>
      <w:tr w:rsidR="0007775B" w14:paraId="66705497" w14:textId="77777777" w:rsidTr="0007775B">
        <w:trPr>
          <w:trHeight w:val="261"/>
          <w:jc w:val="center"/>
        </w:trPr>
        <w:tc>
          <w:tcPr>
            <w:tcW w:w="4130" w:type="dxa"/>
            <w:tcBorders>
              <w:top w:val="nil"/>
              <w:left w:val="nil"/>
              <w:bottom w:val="nil"/>
              <w:right w:val="nil"/>
            </w:tcBorders>
            <w:noWrap/>
            <w:vAlign w:val="center"/>
          </w:tcPr>
          <w:p w14:paraId="15126E3B"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Other flexible arrangement</w:t>
            </w:r>
          </w:p>
        </w:tc>
        <w:tc>
          <w:tcPr>
            <w:tcW w:w="1408" w:type="dxa"/>
            <w:tcBorders>
              <w:top w:val="nil"/>
              <w:left w:val="nil"/>
              <w:bottom w:val="nil"/>
              <w:right w:val="nil"/>
            </w:tcBorders>
            <w:noWrap/>
            <w:vAlign w:val="center"/>
          </w:tcPr>
          <w:p w14:paraId="7F1B83E7"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0.028</w:t>
            </w:r>
          </w:p>
        </w:tc>
        <w:tc>
          <w:tcPr>
            <w:tcW w:w="1610" w:type="dxa"/>
            <w:tcBorders>
              <w:top w:val="nil"/>
              <w:left w:val="nil"/>
              <w:bottom w:val="nil"/>
              <w:right w:val="nil"/>
            </w:tcBorders>
            <w:noWrap/>
            <w:vAlign w:val="center"/>
          </w:tcPr>
          <w:p w14:paraId="5DA0372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0.014***</w:t>
            </w:r>
          </w:p>
        </w:tc>
      </w:tr>
      <w:tr w:rsidR="0007775B" w:rsidRPr="00073ED5" w14:paraId="5BCF83C9" w14:textId="77777777" w:rsidTr="0007775B">
        <w:trPr>
          <w:trHeight w:val="261"/>
          <w:jc w:val="center"/>
        </w:trPr>
        <w:tc>
          <w:tcPr>
            <w:tcW w:w="4130" w:type="dxa"/>
            <w:tcBorders>
              <w:top w:val="nil"/>
              <w:left w:val="nil"/>
              <w:bottom w:val="nil"/>
              <w:right w:val="nil"/>
            </w:tcBorders>
            <w:noWrap/>
            <w:vAlign w:val="center"/>
          </w:tcPr>
          <w:p w14:paraId="7E6A1000"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5. No flexible arrangement</w:t>
            </w:r>
          </w:p>
        </w:tc>
        <w:tc>
          <w:tcPr>
            <w:tcW w:w="1408" w:type="dxa"/>
            <w:tcBorders>
              <w:top w:val="nil"/>
              <w:left w:val="nil"/>
              <w:bottom w:val="nil"/>
              <w:right w:val="nil"/>
            </w:tcBorders>
            <w:noWrap/>
            <w:vAlign w:val="center"/>
          </w:tcPr>
          <w:p w14:paraId="45F4C676"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0.073</w:t>
            </w:r>
          </w:p>
        </w:tc>
        <w:tc>
          <w:tcPr>
            <w:tcW w:w="1610" w:type="dxa"/>
            <w:tcBorders>
              <w:top w:val="nil"/>
              <w:left w:val="nil"/>
              <w:bottom w:val="nil"/>
              <w:right w:val="nil"/>
            </w:tcBorders>
            <w:noWrap/>
            <w:vAlign w:val="center"/>
          </w:tcPr>
          <w:p w14:paraId="5A6E7D73" w14:textId="77777777" w:rsidR="0007775B" w:rsidRPr="00073ED5"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0.910***</w:t>
            </w:r>
          </w:p>
        </w:tc>
      </w:tr>
      <w:tr w:rsidR="0007775B" w14:paraId="6E643DD2" w14:textId="77777777" w:rsidTr="0007775B">
        <w:trPr>
          <w:trHeight w:val="261"/>
          <w:jc w:val="center"/>
        </w:trPr>
        <w:tc>
          <w:tcPr>
            <w:tcW w:w="4130" w:type="dxa"/>
            <w:tcBorders>
              <w:top w:val="nil"/>
              <w:left w:val="nil"/>
              <w:bottom w:val="nil"/>
              <w:right w:val="nil"/>
            </w:tcBorders>
            <w:noWrap/>
            <w:vAlign w:val="center"/>
            <w:hideMark/>
          </w:tcPr>
          <w:p w14:paraId="42FF9C26" w14:textId="77777777" w:rsidR="0007775B" w:rsidRDefault="0007775B" w:rsidP="0007775B">
            <w:pPr>
              <w:spacing w:after="0" w:line="240" w:lineRule="auto"/>
              <w:rPr>
                <w:rFonts w:ascii="Times New Roman" w:eastAsia="Times New Roman" w:hAnsi="Times New Roman" w:cs="Times New Roman"/>
                <w:b/>
                <w:bCs/>
                <w:sz w:val="20"/>
                <w:szCs w:val="20"/>
              </w:rPr>
            </w:pPr>
          </w:p>
          <w:p w14:paraId="63162762" w14:textId="77777777" w:rsidR="0007775B"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sz w:val="20"/>
                <w:szCs w:val="20"/>
              </w:rPr>
              <w:t>Hourly wage</w:t>
            </w:r>
          </w:p>
        </w:tc>
        <w:tc>
          <w:tcPr>
            <w:tcW w:w="1408" w:type="dxa"/>
            <w:tcBorders>
              <w:top w:val="nil"/>
              <w:left w:val="nil"/>
              <w:bottom w:val="nil"/>
              <w:right w:val="nil"/>
            </w:tcBorders>
            <w:noWrap/>
            <w:vAlign w:val="center"/>
          </w:tcPr>
          <w:p w14:paraId="63F1C2AD"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4CC64C2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51B1E868" w14:textId="77777777" w:rsidTr="0007775B">
        <w:trPr>
          <w:trHeight w:val="261"/>
          <w:jc w:val="center"/>
        </w:trPr>
        <w:tc>
          <w:tcPr>
            <w:tcW w:w="4130" w:type="dxa"/>
            <w:tcBorders>
              <w:top w:val="nil"/>
              <w:left w:val="nil"/>
              <w:bottom w:val="nil"/>
              <w:right w:val="nil"/>
            </w:tcBorders>
            <w:noWrap/>
            <w:vAlign w:val="center"/>
            <w:hideMark/>
          </w:tcPr>
          <w:p w14:paraId="16A49056"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Real hourly wage</w:t>
            </w:r>
          </w:p>
        </w:tc>
        <w:tc>
          <w:tcPr>
            <w:tcW w:w="1408" w:type="dxa"/>
            <w:tcBorders>
              <w:top w:val="nil"/>
              <w:left w:val="nil"/>
              <w:bottom w:val="nil"/>
              <w:right w:val="nil"/>
            </w:tcBorders>
            <w:noWrap/>
            <w:vAlign w:val="center"/>
            <w:hideMark/>
          </w:tcPr>
          <w:p w14:paraId="4241EE36"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11.806</w:t>
            </w:r>
          </w:p>
        </w:tc>
        <w:tc>
          <w:tcPr>
            <w:tcW w:w="1610" w:type="dxa"/>
            <w:tcBorders>
              <w:top w:val="nil"/>
              <w:left w:val="nil"/>
              <w:bottom w:val="nil"/>
              <w:right w:val="nil"/>
            </w:tcBorders>
            <w:noWrap/>
            <w:vAlign w:val="center"/>
            <w:hideMark/>
          </w:tcPr>
          <w:p w14:paraId="765C6594"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6.627***</w:t>
            </w:r>
          </w:p>
        </w:tc>
      </w:tr>
      <w:tr w:rsidR="0007775B" w14:paraId="44B76FDD" w14:textId="77777777" w:rsidTr="0007775B">
        <w:trPr>
          <w:trHeight w:val="261"/>
          <w:jc w:val="center"/>
        </w:trPr>
        <w:tc>
          <w:tcPr>
            <w:tcW w:w="4130" w:type="dxa"/>
            <w:tcBorders>
              <w:top w:val="nil"/>
              <w:left w:val="nil"/>
              <w:bottom w:val="nil"/>
              <w:right w:val="nil"/>
            </w:tcBorders>
            <w:noWrap/>
            <w:vAlign w:val="center"/>
            <w:hideMark/>
          </w:tcPr>
          <w:p w14:paraId="312DD18C"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Log of real hourly wage</w:t>
            </w:r>
          </w:p>
        </w:tc>
        <w:tc>
          <w:tcPr>
            <w:tcW w:w="1408" w:type="dxa"/>
            <w:tcBorders>
              <w:top w:val="nil"/>
              <w:left w:val="nil"/>
              <w:bottom w:val="nil"/>
              <w:right w:val="nil"/>
            </w:tcBorders>
            <w:noWrap/>
            <w:vAlign w:val="center"/>
            <w:hideMark/>
          </w:tcPr>
          <w:p w14:paraId="45CCB3B0"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2.303</w:t>
            </w:r>
          </w:p>
        </w:tc>
        <w:tc>
          <w:tcPr>
            <w:tcW w:w="1610" w:type="dxa"/>
            <w:tcBorders>
              <w:top w:val="nil"/>
              <w:left w:val="nil"/>
              <w:bottom w:val="nil"/>
              <w:right w:val="nil"/>
            </w:tcBorders>
            <w:noWrap/>
            <w:vAlign w:val="center"/>
            <w:hideMark/>
          </w:tcPr>
          <w:p w14:paraId="591639E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1.816***</w:t>
            </w:r>
          </w:p>
        </w:tc>
      </w:tr>
      <w:tr w:rsidR="0007775B" w14:paraId="7391DD56" w14:textId="77777777" w:rsidTr="0007775B">
        <w:trPr>
          <w:trHeight w:val="261"/>
          <w:jc w:val="center"/>
        </w:trPr>
        <w:tc>
          <w:tcPr>
            <w:tcW w:w="4130" w:type="dxa"/>
            <w:tcBorders>
              <w:top w:val="nil"/>
              <w:left w:val="nil"/>
              <w:bottom w:val="nil"/>
              <w:right w:val="nil"/>
            </w:tcBorders>
            <w:noWrap/>
            <w:vAlign w:val="center"/>
            <w:hideMark/>
          </w:tcPr>
          <w:p w14:paraId="4C4B462E" w14:textId="77777777" w:rsidR="0007775B" w:rsidRDefault="0007775B" w:rsidP="0007775B">
            <w:pPr>
              <w:spacing w:after="0" w:line="240" w:lineRule="auto"/>
              <w:rPr>
                <w:rFonts w:ascii="Times New Roman" w:eastAsia="Times New Roman" w:hAnsi="Times New Roman" w:cs="Times New Roman"/>
                <w:b/>
                <w:bCs/>
                <w:sz w:val="20"/>
                <w:szCs w:val="20"/>
              </w:rPr>
            </w:pPr>
          </w:p>
          <w:p w14:paraId="7ED024D4" w14:textId="77777777" w:rsidR="0007775B" w:rsidRPr="00C266D3"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sz w:val="20"/>
                <w:szCs w:val="20"/>
              </w:rPr>
              <w:t>Housing Tenure &amp; Benefits</w:t>
            </w:r>
          </w:p>
        </w:tc>
        <w:tc>
          <w:tcPr>
            <w:tcW w:w="1408" w:type="dxa"/>
            <w:tcBorders>
              <w:top w:val="nil"/>
              <w:left w:val="nil"/>
              <w:bottom w:val="nil"/>
              <w:right w:val="nil"/>
            </w:tcBorders>
            <w:noWrap/>
            <w:vAlign w:val="center"/>
          </w:tcPr>
          <w:p w14:paraId="1221DC38"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380A05EB"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5DA171B0" w14:textId="77777777" w:rsidTr="0007775B">
        <w:trPr>
          <w:trHeight w:val="261"/>
          <w:jc w:val="center"/>
        </w:trPr>
        <w:tc>
          <w:tcPr>
            <w:tcW w:w="4130" w:type="dxa"/>
            <w:tcBorders>
              <w:top w:val="nil"/>
              <w:left w:val="nil"/>
              <w:bottom w:val="nil"/>
              <w:right w:val="nil"/>
            </w:tcBorders>
            <w:noWrap/>
            <w:vAlign w:val="center"/>
            <w:hideMark/>
          </w:tcPr>
          <w:p w14:paraId="3DE52BB2"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1. Outright Owner</w:t>
            </w:r>
          </w:p>
        </w:tc>
        <w:tc>
          <w:tcPr>
            <w:tcW w:w="1408" w:type="dxa"/>
            <w:tcBorders>
              <w:top w:val="nil"/>
              <w:left w:val="nil"/>
              <w:bottom w:val="nil"/>
              <w:right w:val="nil"/>
            </w:tcBorders>
            <w:noWrap/>
            <w:vAlign w:val="center"/>
            <w:hideMark/>
          </w:tcPr>
          <w:p w14:paraId="1BCA2475"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0.172</w:t>
            </w:r>
          </w:p>
        </w:tc>
        <w:tc>
          <w:tcPr>
            <w:tcW w:w="1610" w:type="dxa"/>
            <w:tcBorders>
              <w:top w:val="nil"/>
              <w:left w:val="nil"/>
              <w:bottom w:val="nil"/>
              <w:right w:val="nil"/>
            </w:tcBorders>
            <w:noWrap/>
            <w:vAlign w:val="center"/>
            <w:hideMark/>
          </w:tcPr>
          <w:p w14:paraId="34E55959"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0.007***</w:t>
            </w:r>
          </w:p>
        </w:tc>
      </w:tr>
      <w:tr w:rsidR="0007775B" w14:paraId="2DEBFFAF" w14:textId="77777777" w:rsidTr="0007775B">
        <w:trPr>
          <w:trHeight w:val="261"/>
          <w:jc w:val="center"/>
        </w:trPr>
        <w:tc>
          <w:tcPr>
            <w:tcW w:w="4130" w:type="dxa"/>
            <w:tcBorders>
              <w:top w:val="nil"/>
              <w:left w:val="nil"/>
              <w:bottom w:val="nil"/>
              <w:right w:val="nil"/>
            </w:tcBorders>
            <w:noWrap/>
            <w:vAlign w:val="center"/>
            <w:hideMark/>
          </w:tcPr>
          <w:p w14:paraId="15935C49"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2. Owned with Mortgage</w:t>
            </w:r>
          </w:p>
        </w:tc>
        <w:tc>
          <w:tcPr>
            <w:tcW w:w="1408" w:type="dxa"/>
            <w:tcBorders>
              <w:top w:val="nil"/>
              <w:left w:val="nil"/>
              <w:bottom w:val="nil"/>
              <w:right w:val="nil"/>
            </w:tcBorders>
            <w:noWrap/>
            <w:vAlign w:val="center"/>
            <w:hideMark/>
          </w:tcPr>
          <w:p w14:paraId="51480CD9"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0.621</w:t>
            </w:r>
          </w:p>
        </w:tc>
        <w:tc>
          <w:tcPr>
            <w:tcW w:w="1610" w:type="dxa"/>
            <w:tcBorders>
              <w:top w:val="nil"/>
              <w:left w:val="nil"/>
              <w:bottom w:val="nil"/>
              <w:right w:val="nil"/>
            </w:tcBorders>
            <w:noWrap/>
            <w:vAlign w:val="center"/>
            <w:hideMark/>
          </w:tcPr>
          <w:p w14:paraId="5421C0BD"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0.080***</w:t>
            </w:r>
          </w:p>
        </w:tc>
      </w:tr>
      <w:tr w:rsidR="0007775B" w14:paraId="7AEF41A8" w14:textId="77777777" w:rsidTr="0007775B">
        <w:trPr>
          <w:trHeight w:val="261"/>
          <w:jc w:val="center"/>
        </w:trPr>
        <w:tc>
          <w:tcPr>
            <w:tcW w:w="4130" w:type="dxa"/>
            <w:tcBorders>
              <w:top w:val="nil"/>
              <w:left w:val="nil"/>
              <w:bottom w:val="nil"/>
              <w:right w:val="nil"/>
            </w:tcBorders>
            <w:noWrap/>
            <w:vAlign w:val="center"/>
            <w:hideMark/>
          </w:tcPr>
          <w:p w14:paraId="51BC9B10"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3.Private Renter</w:t>
            </w:r>
          </w:p>
        </w:tc>
        <w:tc>
          <w:tcPr>
            <w:tcW w:w="1408" w:type="dxa"/>
            <w:tcBorders>
              <w:top w:val="nil"/>
              <w:left w:val="nil"/>
              <w:bottom w:val="nil"/>
              <w:right w:val="nil"/>
            </w:tcBorders>
            <w:noWrap/>
            <w:vAlign w:val="center"/>
            <w:hideMark/>
          </w:tcPr>
          <w:p w14:paraId="4B95A162"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0.114</w:t>
            </w:r>
          </w:p>
        </w:tc>
        <w:tc>
          <w:tcPr>
            <w:tcW w:w="1610" w:type="dxa"/>
            <w:tcBorders>
              <w:top w:val="nil"/>
              <w:left w:val="nil"/>
              <w:bottom w:val="nil"/>
              <w:right w:val="nil"/>
            </w:tcBorders>
            <w:noWrap/>
            <w:vAlign w:val="center"/>
            <w:hideMark/>
          </w:tcPr>
          <w:p w14:paraId="465D0E0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0.812***</w:t>
            </w:r>
          </w:p>
        </w:tc>
      </w:tr>
      <w:tr w:rsidR="0007775B" w14:paraId="50E920F3" w14:textId="77777777" w:rsidTr="0007775B">
        <w:trPr>
          <w:trHeight w:val="261"/>
          <w:jc w:val="center"/>
        </w:trPr>
        <w:tc>
          <w:tcPr>
            <w:tcW w:w="4130" w:type="dxa"/>
            <w:tcBorders>
              <w:top w:val="nil"/>
              <w:left w:val="nil"/>
              <w:bottom w:val="nil"/>
              <w:right w:val="nil"/>
            </w:tcBorders>
            <w:noWrap/>
            <w:vAlign w:val="center"/>
            <w:hideMark/>
          </w:tcPr>
          <w:p w14:paraId="47B6CF8E"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4. Social Housing</w:t>
            </w:r>
          </w:p>
        </w:tc>
        <w:tc>
          <w:tcPr>
            <w:tcW w:w="1408" w:type="dxa"/>
            <w:tcBorders>
              <w:top w:val="nil"/>
              <w:left w:val="nil"/>
              <w:bottom w:val="nil"/>
              <w:right w:val="nil"/>
            </w:tcBorders>
            <w:noWrap/>
            <w:vAlign w:val="center"/>
            <w:hideMark/>
          </w:tcPr>
          <w:p w14:paraId="4B454870"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0.093</w:t>
            </w:r>
          </w:p>
        </w:tc>
        <w:tc>
          <w:tcPr>
            <w:tcW w:w="1610" w:type="dxa"/>
            <w:tcBorders>
              <w:top w:val="nil"/>
              <w:left w:val="nil"/>
              <w:bottom w:val="nil"/>
              <w:right w:val="nil"/>
            </w:tcBorders>
            <w:noWrap/>
            <w:vAlign w:val="center"/>
            <w:hideMark/>
          </w:tcPr>
          <w:p w14:paraId="3BF8BFF6"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0.101</w:t>
            </w:r>
          </w:p>
        </w:tc>
      </w:tr>
      <w:tr w:rsidR="0007775B" w14:paraId="25D9BE2E" w14:textId="77777777" w:rsidTr="0007775B">
        <w:trPr>
          <w:trHeight w:val="261"/>
          <w:jc w:val="center"/>
        </w:trPr>
        <w:tc>
          <w:tcPr>
            <w:tcW w:w="4130" w:type="dxa"/>
            <w:tcBorders>
              <w:top w:val="nil"/>
              <w:left w:val="nil"/>
              <w:bottom w:val="nil"/>
              <w:right w:val="nil"/>
            </w:tcBorders>
            <w:noWrap/>
            <w:vAlign w:val="center"/>
            <w:hideMark/>
          </w:tcPr>
          <w:p w14:paraId="1AA1E94A" w14:textId="77777777" w:rsidR="0007775B" w:rsidRDefault="0007775B" w:rsidP="0007775B">
            <w:pPr>
              <w:spacing w:after="0" w:line="240" w:lineRule="auto"/>
              <w:rPr>
                <w:rFonts w:ascii="Times New Roman" w:hAnsi="Times New Roman" w:cs="Times New Roman"/>
                <w:sz w:val="20"/>
                <w:szCs w:val="20"/>
              </w:rPr>
            </w:pPr>
            <w:r w:rsidRPr="338B1626">
              <w:rPr>
                <w:rFonts w:ascii="Times New Roman" w:eastAsia="Times New Roman" w:hAnsi="Times New Roman" w:cs="Times New Roman"/>
                <w:sz w:val="20"/>
                <w:szCs w:val="20"/>
              </w:rPr>
              <w:t>Claims any benefits</w:t>
            </w:r>
          </w:p>
        </w:tc>
        <w:tc>
          <w:tcPr>
            <w:tcW w:w="1408" w:type="dxa"/>
            <w:tcBorders>
              <w:top w:val="nil"/>
              <w:left w:val="nil"/>
              <w:bottom w:val="nil"/>
              <w:right w:val="nil"/>
            </w:tcBorders>
            <w:noWrap/>
            <w:vAlign w:val="center"/>
            <w:hideMark/>
          </w:tcPr>
          <w:p w14:paraId="507F7BA5"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0.306</w:t>
            </w:r>
          </w:p>
        </w:tc>
        <w:tc>
          <w:tcPr>
            <w:tcW w:w="1610" w:type="dxa"/>
            <w:tcBorders>
              <w:top w:val="nil"/>
              <w:left w:val="nil"/>
              <w:bottom w:val="nil"/>
              <w:right w:val="nil"/>
            </w:tcBorders>
            <w:noWrap/>
            <w:vAlign w:val="center"/>
            <w:hideMark/>
          </w:tcPr>
          <w:p w14:paraId="45B758E2"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0.251***</w:t>
            </w:r>
          </w:p>
        </w:tc>
      </w:tr>
      <w:tr w:rsidR="0007775B" w14:paraId="16D6C190" w14:textId="77777777" w:rsidTr="0007775B">
        <w:trPr>
          <w:trHeight w:val="261"/>
          <w:jc w:val="center"/>
        </w:trPr>
        <w:tc>
          <w:tcPr>
            <w:tcW w:w="4130" w:type="dxa"/>
            <w:tcBorders>
              <w:top w:val="nil"/>
              <w:left w:val="nil"/>
              <w:bottom w:val="nil"/>
              <w:right w:val="nil"/>
            </w:tcBorders>
            <w:noWrap/>
            <w:vAlign w:val="center"/>
          </w:tcPr>
          <w:p w14:paraId="2D61A9A7" w14:textId="77777777" w:rsidR="0007775B" w:rsidRDefault="0007775B" w:rsidP="0007775B">
            <w:pPr>
              <w:spacing w:after="0" w:line="240" w:lineRule="auto"/>
              <w:rPr>
                <w:rFonts w:ascii="Times New Roman" w:hAnsi="Times New Roman" w:cs="Times New Roman"/>
                <w:sz w:val="20"/>
                <w:szCs w:val="20"/>
              </w:rPr>
            </w:pPr>
          </w:p>
        </w:tc>
        <w:tc>
          <w:tcPr>
            <w:tcW w:w="1408" w:type="dxa"/>
            <w:tcBorders>
              <w:top w:val="nil"/>
              <w:left w:val="nil"/>
              <w:bottom w:val="nil"/>
              <w:right w:val="nil"/>
            </w:tcBorders>
            <w:noWrap/>
            <w:vAlign w:val="center"/>
          </w:tcPr>
          <w:p w14:paraId="16B63553" w14:textId="77777777" w:rsidR="0007775B" w:rsidRDefault="0007775B" w:rsidP="0007775B">
            <w:pPr>
              <w:tabs>
                <w:tab w:val="decimal" w:pos="459"/>
              </w:tabs>
              <w:spacing w:after="0" w:line="240" w:lineRule="auto"/>
              <w:jc w:val="center"/>
              <w:rPr>
                <w:rFonts w:ascii="Times New Roman" w:hAnsi="Times New Roman" w:cs="Times New Roman"/>
                <w:sz w:val="20"/>
                <w:szCs w:val="20"/>
              </w:rPr>
            </w:pPr>
          </w:p>
        </w:tc>
        <w:tc>
          <w:tcPr>
            <w:tcW w:w="1610" w:type="dxa"/>
            <w:tcBorders>
              <w:top w:val="nil"/>
              <w:left w:val="nil"/>
              <w:bottom w:val="nil"/>
              <w:right w:val="nil"/>
            </w:tcBorders>
            <w:noWrap/>
            <w:vAlign w:val="center"/>
          </w:tcPr>
          <w:p w14:paraId="672879D5" w14:textId="77777777" w:rsidR="0007775B" w:rsidRDefault="0007775B" w:rsidP="0007775B">
            <w:pPr>
              <w:tabs>
                <w:tab w:val="decimal" w:pos="317"/>
              </w:tabs>
              <w:spacing w:after="0" w:line="240" w:lineRule="auto"/>
              <w:jc w:val="center"/>
              <w:rPr>
                <w:rFonts w:ascii="Times New Roman" w:hAnsi="Times New Roman" w:cs="Times New Roman"/>
                <w:sz w:val="20"/>
                <w:szCs w:val="20"/>
              </w:rPr>
            </w:pPr>
          </w:p>
        </w:tc>
      </w:tr>
      <w:tr w:rsidR="0007775B" w14:paraId="57215094" w14:textId="77777777" w:rsidTr="0007775B">
        <w:trPr>
          <w:trHeight w:val="44"/>
          <w:jc w:val="center"/>
        </w:trPr>
        <w:tc>
          <w:tcPr>
            <w:tcW w:w="4130" w:type="dxa"/>
            <w:tcBorders>
              <w:top w:val="nil"/>
              <w:left w:val="nil"/>
              <w:bottom w:val="single" w:sz="12" w:space="0" w:color="auto"/>
              <w:right w:val="nil"/>
            </w:tcBorders>
            <w:noWrap/>
            <w:vAlign w:val="center"/>
            <w:hideMark/>
          </w:tcPr>
          <w:p w14:paraId="47CC7B57" w14:textId="77777777" w:rsidR="0007775B" w:rsidRPr="00C266D3" w:rsidRDefault="0007775B" w:rsidP="0007775B">
            <w:pPr>
              <w:spacing w:after="0" w:line="240" w:lineRule="auto"/>
              <w:rPr>
                <w:rFonts w:ascii="Times New Roman" w:hAnsi="Times New Roman" w:cs="Times New Roman"/>
                <w:b/>
                <w:sz w:val="20"/>
                <w:szCs w:val="20"/>
              </w:rPr>
            </w:pPr>
            <w:r w:rsidRPr="338B1626">
              <w:rPr>
                <w:rFonts w:ascii="Times New Roman" w:eastAsia="Times New Roman" w:hAnsi="Times New Roman" w:cs="Times New Roman"/>
                <w:b/>
                <w:bCs/>
                <w:sz w:val="20"/>
                <w:szCs w:val="20"/>
              </w:rPr>
              <w:t>Observations</w:t>
            </w:r>
          </w:p>
        </w:tc>
        <w:tc>
          <w:tcPr>
            <w:tcW w:w="1408" w:type="dxa"/>
            <w:tcBorders>
              <w:top w:val="nil"/>
              <w:left w:val="nil"/>
              <w:bottom w:val="single" w:sz="12" w:space="0" w:color="auto"/>
              <w:right w:val="nil"/>
            </w:tcBorders>
            <w:noWrap/>
            <w:vAlign w:val="center"/>
            <w:hideMark/>
          </w:tcPr>
          <w:p w14:paraId="0AA4A422" w14:textId="77777777" w:rsidR="0007775B" w:rsidRDefault="0007775B" w:rsidP="0007775B">
            <w:pPr>
              <w:tabs>
                <w:tab w:val="decimal" w:pos="459"/>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112,408</w:t>
            </w:r>
          </w:p>
        </w:tc>
        <w:tc>
          <w:tcPr>
            <w:tcW w:w="1610" w:type="dxa"/>
            <w:tcBorders>
              <w:top w:val="nil"/>
              <w:left w:val="nil"/>
              <w:bottom w:val="single" w:sz="12" w:space="0" w:color="auto"/>
              <w:right w:val="nil"/>
            </w:tcBorders>
            <w:noWrap/>
            <w:vAlign w:val="center"/>
            <w:hideMark/>
          </w:tcPr>
          <w:p w14:paraId="69395290" w14:textId="77777777" w:rsidR="0007775B" w:rsidRDefault="0007775B" w:rsidP="0007775B">
            <w:pPr>
              <w:tabs>
                <w:tab w:val="decimal" w:pos="317"/>
              </w:tabs>
              <w:spacing w:after="0" w:line="240" w:lineRule="auto"/>
              <w:jc w:val="center"/>
              <w:rPr>
                <w:rFonts w:ascii="Times New Roman" w:hAnsi="Times New Roman" w:cs="Times New Roman"/>
                <w:sz w:val="20"/>
                <w:szCs w:val="20"/>
              </w:rPr>
            </w:pPr>
            <w:r w:rsidRPr="338B1626">
              <w:rPr>
                <w:rFonts w:ascii="Times New Roman" w:eastAsia="Times New Roman" w:hAnsi="Times New Roman" w:cs="Times New Roman"/>
                <w:sz w:val="20"/>
                <w:szCs w:val="20"/>
              </w:rPr>
              <w:t>1,396</w:t>
            </w:r>
          </w:p>
        </w:tc>
      </w:tr>
      <w:tr w:rsidR="0007775B" w:rsidRPr="00524416" w14:paraId="513D19D4" w14:textId="77777777" w:rsidTr="0007775B">
        <w:trPr>
          <w:trHeight w:val="261"/>
          <w:jc w:val="center"/>
        </w:trPr>
        <w:tc>
          <w:tcPr>
            <w:tcW w:w="7148" w:type="dxa"/>
            <w:gridSpan w:val="3"/>
            <w:tcBorders>
              <w:top w:val="single" w:sz="12" w:space="0" w:color="auto"/>
              <w:left w:val="nil"/>
              <w:bottom w:val="nil"/>
              <w:right w:val="nil"/>
            </w:tcBorders>
            <w:noWrap/>
          </w:tcPr>
          <w:p w14:paraId="341D17AE" w14:textId="77777777" w:rsidR="0007775B" w:rsidRDefault="0007775B" w:rsidP="0007775B">
            <w:pPr>
              <w:tabs>
                <w:tab w:val="decimal" w:pos="317"/>
              </w:tabs>
              <w:spacing w:after="0" w:line="240" w:lineRule="auto"/>
              <w:jc w:val="both"/>
              <w:rPr>
                <w:rFonts w:ascii="Times New Roman" w:hAnsi="Times New Roman" w:cs="Times New Roman"/>
                <w:sz w:val="16"/>
                <w:szCs w:val="16"/>
              </w:rPr>
            </w:pPr>
          </w:p>
          <w:p w14:paraId="5B2246DA" w14:textId="77777777" w:rsidR="0007775B" w:rsidRDefault="0007775B" w:rsidP="0007775B">
            <w:pPr>
              <w:tabs>
                <w:tab w:val="decimal" w:pos="317"/>
              </w:tabs>
              <w:spacing w:after="0" w:line="240" w:lineRule="auto"/>
              <w:jc w:val="both"/>
              <w:rPr>
                <w:rFonts w:ascii="Times New Roman" w:hAnsi="Times New Roman" w:cs="Times New Roman"/>
                <w:sz w:val="16"/>
                <w:szCs w:val="16"/>
                <w:lang w:val="en-US"/>
              </w:rPr>
            </w:pPr>
            <w:r w:rsidRPr="338B1626">
              <w:rPr>
                <w:rFonts w:ascii="Times New Roman" w:eastAsia="Times New Roman" w:hAnsi="Times New Roman" w:cs="Times New Roman"/>
                <w:sz w:val="16"/>
                <w:szCs w:val="16"/>
                <w:lang w:val="en-US"/>
              </w:rPr>
              <w:t xml:space="preserve">Source: UK QLFS 2005-2012. </w:t>
            </w:r>
          </w:p>
          <w:p w14:paraId="4D04EE77" w14:textId="77777777" w:rsidR="0007775B" w:rsidRPr="00524416" w:rsidRDefault="0007775B" w:rsidP="0007775B">
            <w:pPr>
              <w:tabs>
                <w:tab w:val="decimal" w:pos="317"/>
              </w:tabs>
              <w:spacing w:after="0" w:line="240" w:lineRule="auto"/>
              <w:jc w:val="both"/>
              <w:rPr>
                <w:rFonts w:ascii="Times New Roman" w:hAnsi="Times New Roman" w:cs="Times New Roman"/>
                <w:sz w:val="16"/>
                <w:szCs w:val="16"/>
              </w:rPr>
            </w:pPr>
            <w:r w:rsidRPr="338B1626">
              <w:rPr>
                <w:rFonts w:ascii="Times New Roman" w:eastAsia="Times New Roman" w:hAnsi="Times New Roman" w:cs="Times New Roman"/>
                <w:sz w:val="16"/>
                <w:szCs w:val="16"/>
                <w:lang w:val="en-US"/>
              </w:rPr>
              <w:t xml:space="preserve">Notes: </w:t>
            </w:r>
            <w:r>
              <w:rPr>
                <w:rFonts w:ascii="Times New Roman" w:eastAsia="Times New Roman" w:hAnsi="Times New Roman" w:cs="Times New Roman"/>
                <w:sz w:val="16"/>
                <w:szCs w:val="16"/>
                <w:lang w:val="en-US"/>
              </w:rPr>
              <w:t>Numbers in table are sample means; t</w:t>
            </w:r>
            <w:r w:rsidRPr="338B1626">
              <w:rPr>
                <w:rFonts w:ascii="Times New Roman" w:eastAsia="Times New Roman" w:hAnsi="Times New Roman" w:cs="Times New Roman"/>
                <w:sz w:val="16"/>
                <w:szCs w:val="16"/>
                <w:lang w:val="en-US"/>
              </w:rPr>
              <w:t>otal sample size is 113,804 observations; the sample size for average wage calculations is 28,521; *** Sample mean difference significant at 1%; ** at 5%</w:t>
            </w:r>
            <w:r>
              <w:rPr>
                <w:rFonts w:ascii="Times New Roman" w:eastAsia="Times New Roman" w:hAnsi="Times New Roman" w:cs="Times New Roman"/>
                <w:sz w:val="16"/>
                <w:szCs w:val="16"/>
                <w:lang w:val="en-US"/>
              </w:rPr>
              <w:t xml:space="preserve">. </w:t>
            </w:r>
            <w:r w:rsidRPr="338B1626">
              <w:rPr>
                <w:rFonts w:ascii="Times New Roman" w:eastAsia="Times New Roman" w:hAnsi="Times New Roman" w:cs="Times New Roman"/>
                <w:sz w:val="16"/>
                <w:szCs w:val="16"/>
                <w:lang w:val="en-US"/>
              </w:rPr>
              <w:t xml:space="preserve"> </w:t>
            </w:r>
          </w:p>
        </w:tc>
      </w:tr>
    </w:tbl>
    <w:p w14:paraId="1A1E7401" w14:textId="7076F706" w:rsidR="00DD2F5D" w:rsidRDefault="00DD2F5D" w:rsidP="00666C9A"/>
    <w:sectPr w:rsidR="00DD2F5D" w:rsidSect="003D69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0C21E" w14:textId="77777777" w:rsidR="0007775B" w:rsidRDefault="0007775B" w:rsidP="00905C9A">
      <w:pPr>
        <w:spacing w:after="0" w:line="240" w:lineRule="auto"/>
      </w:pPr>
      <w:r>
        <w:separator/>
      </w:r>
    </w:p>
  </w:endnote>
  <w:endnote w:type="continuationSeparator" w:id="0">
    <w:p w14:paraId="5F75314A" w14:textId="77777777" w:rsidR="0007775B" w:rsidRDefault="0007775B" w:rsidP="00905C9A">
      <w:pPr>
        <w:spacing w:after="0" w:line="240" w:lineRule="auto"/>
      </w:pPr>
      <w:r>
        <w:continuationSeparator/>
      </w:r>
    </w:p>
  </w:endnote>
  <w:endnote w:id="1">
    <w:p w14:paraId="65EAFB25" w14:textId="18A073E6" w:rsidR="0007775B" w:rsidRPr="00DB69D3" w:rsidRDefault="0007775B" w:rsidP="00D7623F">
      <w:pPr>
        <w:pStyle w:val="EndnoteText"/>
        <w:jc w:val="both"/>
      </w:pPr>
      <w:r>
        <w:rPr>
          <w:rStyle w:val="EndnoteReference"/>
        </w:rPr>
        <w:endnoteRef/>
      </w:r>
      <w:r>
        <w:t xml:space="preserve"> Throughout this article, it is argued that </w:t>
      </w:r>
      <w:r w:rsidRPr="00DB69D3">
        <w:t xml:space="preserve">absence </w:t>
      </w:r>
      <w:r>
        <w:t xml:space="preserve">from </w:t>
      </w:r>
      <w:r w:rsidRPr="00DB69D3">
        <w:t>work is a reasona</w:t>
      </w:r>
      <w:r>
        <w:t xml:space="preserve">ble proxy of work ethic. This </w:t>
      </w:r>
      <w:r w:rsidRPr="00DB69D3">
        <w:t xml:space="preserve">measure is the best available in our data source and can provide useful insights that are consistent </w:t>
      </w:r>
      <w:r>
        <w:t xml:space="preserve">with our theoretical framework set out below. Other relevant proxies, e.g. work intensity, are not </w:t>
      </w:r>
      <w:r w:rsidRPr="00DB69D3">
        <w:t xml:space="preserve">available in the </w:t>
      </w:r>
      <w:r>
        <w:t>dataset</w:t>
      </w:r>
      <w:r w:rsidRPr="00DB69D3">
        <w:t>.</w:t>
      </w:r>
    </w:p>
  </w:endnote>
  <w:endnote w:id="2">
    <w:p w14:paraId="6B053353" w14:textId="65A35070" w:rsidR="0007775B" w:rsidRPr="00320AC7" w:rsidRDefault="0007775B" w:rsidP="00320AC7">
      <w:pPr>
        <w:pStyle w:val="EndnoteText"/>
        <w:jc w:val="both"/>
      </w:pPr>
      <w:r>
        <w:rPr>
          <w:rStyle w:val="EndnoteReference"/>
        </w:rPr>
        <w:endnoteRef/>
      </w:r>
      <w:r w:rsidRPr="7F249460">
        <w:t xml:space="preserve"> </w:t>
      </w:r>
      <w:r>
        <w:t xml:space="preserve">According to the Office for National Statistics, only around 70% of the Polish- and Latvian-speaking population in England and Wales can speak English “very well” or “well” (ONS, 2013). </w:t>
      </w:r>
      <w:r w:rsidRPr="7F249460">
        <w:t xml:space="preserve"> </w:t>
      </w:r>
    </w:p>
  </w:endnote>
  <w:endnote w:id="3">
    <w:p w14:paraId="2C691884" w14:textId="14FDBCDD" w:rsidR="0007775B" w:rsidRDefault="0007775B" w:rsidP="00A558F3">
      <w:pPr>
        <w:pStyle w:val="EndnoteText"/>
        <w:jc w:val="both"/>
      </w:pPr>
      <w:r>
        <w:rPr>
          <w:rStyle w:val="EndnoteReference"/>
        </w:rPr>
        <w:endnoteRef/>
      </w:r>
      <w:r w:rsidRPr="7F249460">
        <w:t xml:space="preserve"> </w:t>
      </w:r>
      <w:r>
        <w:t xml:space="preserve">An alternative sample selection procedure would be to combine data </w:t>
      </w:r>
      <w:r w:rsidRPr="007A5643">
        <w:t>fro</w:t>
      </w:r>
      <w:r>
        <w:t>m all quarters and only select</w:t>
      </w:r>
      <w:r w:rsidRPr="007A5643">
        <w:t xml:space="preserve"> individuals in their first wave</w:t>
      </w:r>
      <w:r>
        <w:t xml:space="preserve"> in the survey to avoid repeated observations</w:t>
      </w:r>
      <w:r w:rsidRPr="7F249460">
        <w:t xml:space="preserve">. </w:t>
      </w:r>
      <w:r w:rsidRPr="007A5643">
        <w:t xml:space="preserve">However, </w:t>
      </w:r>
      <w:r>
        <w:t>certain variables used in the analysis (e.g. trade union status and flexible working arrangements) are only available in the October-December quarters of each year</w:t>
      </w:r>
      <w:r w:rsidRPr="7F249460">
        <w:t xml:space="preserve">. </w:t>
      </w:r>
      <w:r>
        <w:t>Finally, all results presented below are based on unweighted data. Using weights to account for non-response and make the QLFS samples representative of the UK population</w:t>
      </w:r>
      <w:r w:rsidRPr="7F249460">
        <w:t>,</w:t>
      </w:r>
      <w:r>
        <w:t xml:space="preserve"> produced nearly identical results. </w:t>
      </w:r>
    </w:p>
  </w:endnote>
  <w:endnote w:id="4">
    <w:p w14:paraId="29CBC211" w14:textId="2D986170" w:rsidR="0007775B" w:rsidRPr="00543E44" w:rsidRDefault="0007775B" w:rsidP="006B4A12">
      <w:pPr>
        <w:pStyle w:val="EndnoteText"/>
        <w:jc w:val="both"/>
        <w:rPr>
          <w:lang w:val="en-GB"/>
        </w:rPr>
      </w:pPr>
      <w:r>
        <w:rPr>
          <w:rStyle w:val="EndnoteReference"/>
        </w:rPr>
        <w:endnoteRef/>
      </w:r>
      <w:r w:rsidRPr="7F249460">
        <w:t xml:space="preserve"> </w:t>
      </w:r>
      <w:r>
        <w:t xml:space="preserve">Employees that </w:t>
      </w:r>
      <w:r w:rsidRPr="3B009953">
        <w:rPr>
          <w:i/>
          <w:iCs/>
        </w:rPr>
        <w:t>did not</w:t>
      </w:r>
      <w:r>
        <w:t xml:space="preserve"> work fewer hours than usual in their reference week do not answer this question. Hence, </w:t>
      </w:r>
      <m:oMath>
        <m:sSubSup>
          <m:sSubSupPr>
            <m:ctrlPr>
              <w:rPr>
                <w:rFonts w:ascii="Cambria Math" w:hAnsi="Cambria Math"/>
                <w:i/>
                <w:sz w:val="24"/>
                <w:szCs w:val="24"/>
                <w:lang w:eastAsia="el-GR"/>
              </w:rPr>
            </m:ctrlPr>
          </m:sSubSupPr>
          <m:e>
            <m:r>
              <w:rPr>
                <w:rFonts w:ascii="Cambria Math" w:hAnsi="Cambria Math"/>
                <w:sz w:val="24"/>
                <w:szCs w:val="24"/>
                <w:lang w:eastAsia="el-GR"/>
              </w:rPr>
              <m:t>s</m:t>
            </m:r>
          </m:e>
          <m:sub>
            <m:r>
              <w:rPr>
                <w:rFonts w:ascii="Cambria Math" w:hAnsi="Cambria Math"/>
                <w:sz w:val="24"/>
                <w:szCs w:val="24"/>
                <w:lang w:eastAsia="el-GR"/>
              </w:rPr>
              <m:t>i</m:t>
            </m:r>
          </m:sub>
          <m:sup>
            <m:r>
              <w:rPr>
                <w:rFonts w:ascii="Cambria Math" w:hAnsi="Cambria Math"/>
                <w:sz w:val="24"/>
                <w:szCs w:val="24"/>
                <w:lang w:eastAsia="el-GR"/>
              </w:rPr>
              <m:t>j</m:t>
            </m:r>
          </m:sup>
        </m:sSubSup>
      </m:oMath>
      <w:r w:rsidRPr="00313F65">
        <w:t xml:space="preserve">= 0 </w:t>
      </w:r>
      <w:r>
        <w:t>for these individuals.</w:t>
      </w:r>
      <w:r w:rsidRPr="7F249460">
        <w:t xml:space="preserve"> </w:t>
      </w:r>
      <w:r w:rsidRPr="00543E44">
        <w:rPr>
          <w:lang w:val="en-GB"/>
        </w:rPr>
        <w:t xml:space="preserve">Other reasons </w:t>
      </w:r>
      <w:r>
        <w:rPr>
          <w:lang w:val="en-GB"/>
        </w:rPr>
        <w:t xml:space="preserve">for absence </w:t>
      </w:r>
      <w:r w:rsidRPr="00543E44">
        <w:rPr>
          <w:lang w:val="en-GB"/>
        </w:rPr>
        <w:t>can include a variety of factors, ran</w:t>
      </w:r>
      <w:r>
        <w:rPr>
          <w:lang w:val="en-GB"/>
        </w:rPr>
        <w:t xml:space="preserve">ging from dealing with a personal/family errand to pure shirking. These, of course, </w:t>
      </w:r>
      <w:r w:rsidRPr="00543E44">
        <w:rPr>
          <w:lang w:val="en-GB"/>
        </w:rPr>
        <w:t>are closely relate</w:t>
      </w:r>
      <w:r>
        <w:rPr>
          <w:lang w:val="en-GB"/>
        </w:rPr>
        <w:t xml:space="preserve">d to the concept of effort we want to capture, and complement the more multifaceted phenomenon of sickness absence.  </w:t>
      </w:r>
      <w:r w:rsidRPr="00543E44">
        <w:rPr>
          <w:lang w:val="en-GB"/>
        </w:rPr>
        <w:t xml:space="preserve">  </w:t>
      </w:r>
    </w:p>
  </w:endnote>
  <w:endnote w:id="5">
    <w:p w14:paraId="08E0DF7E" w14:textId="283A6CAD" w:rsidR="0007775B" w:rsidRDefault="0007775B" w:rsidP="006B4A12">
      <w:pPr>
        <w:pStyle w:val="EndnoteText"/>
        <w:jc w:val="both"/>
      </w:pPr>
      <w:r>
        <w:rPr>
          <w:rStyle w:val="EndnoteReference"/>
        </w:rPr>
        <w:endnoteRef/>
      </w:r>
      <w:r w:rsidRPr="46A50481">
        <w:t xml:space="preserve"> </w:t>
      </w:r>
      <w:r w:rsidRPr="0013356E">
        <w:t xml:space="preserve">Though the appropriate models would be binary choice </w:t>
      </w:r>
      <w:r>
        <w:t xml:space="preserve">ones </w:t>
      </w:r>
      <w:r w:rsidRPr="0013356E">
        <w:t xml:space="preserve">in the case of the </w:t>
      </w:r>
      <w:r>
        <w:t xml:space="preserve">discrete </w:t>
      </w:r>
      <w:r w:rsidRPr="0013356E">
        <w:t>dependent variables, we choose to present results from linear models estimated by OLS</w:t>
      </w:r>
      <w:r>
        <w:t xml:space="preserve"> for ease of interpretation</w:t>
      </w:r>
      <w:r w:rsidRPr="006E12AA">
        <w:t xml:space="preserve">. The estimation of non-linear models for the two binary dependent variables gave qualitatively and quantitatively similar results. Moreover, the two fractional dependent variables (the absence rates) can also cause problems in standard </w:t>
      </w:r>
      <w:r>
        <w:t xml:space="preserve">statistical </w:t>
      </w:r>
      <w:r w:rsidRPr="006E12AA">
        <w:t>analysis. However, the estimation of fractional probit models also gave very similar results.</w:t>
      </w:r>
    </w:p>
  </w:endnote>
  <w:endnote w:id="6">
    <w:p w14:paraId="6D1F38BB" w14:textId="2A81228C" w:rsidR="0007775B" w:rsidRPr="006E28D8" w:rsidRDefault="0007775B" w:rsidP="006E28D8">
      <w:pPr>
        <w:pStyle w:val="EndnoteText"/>
        <w:jc w:val="both"/>
      </w:pPr>
      <w:r>
        <w:rPr>
          <w:rStyle w:val="EndnoteReference"/>
        </w:rPr>
        <w:endnoteRef/>
      </w:r>
      <w:r w:rsidRPr="7F249460">
        <w:t xml:space="preserve"> </w:t>
      </w:r>
      <w:r>
        <w:t>For the model to be estimated, UK nationals are assigned a value of zero for the Years in UK variable.</w:t>
      </w:r>
    </w:p>
  </w:endnote>
  <w:endnote w:id="7">
    <w:p w14:paraId="35EAAC08" w14:textId="544184B2" w:rsidR="0007775B" w:rsidRPr="0051084B" w:rsidRDefault="0007775B" w:rsidP="004C5710">
      <w:pPr>
        <w:pStyle w:val="EndnoteText"/>
        <w:jc w:val="both"/>
        <w:rPr>
          <w:lang w:val="en-GB"/>
        </w:rPr>
      </w:pPr>
      <w:r>
        <w:rPr>
          <w:rStyle w:val="EndnoteReference"/>
        </w:rPr>
        <w:endnoteRef/>
      </w:r>
      <w:r w:rsidRPr="7F249460">
        <w:t xml:space="preserve"> </w:t>
      </w:r>
      <w:r w:rsidRPr="00A85034">
        <w:t xml:space="preserve">Education is </w:t>
      </w:r>
      <w:r w:rsidRPr="006E12AA">
        <w:t>captured as a continuous variable, computed from the age an individual left full-time education minus six. The QLFS does provide an alternative coding framework based on the UK education system</w:t>
      </w:r>
      <w:r w:rsidRPr="7F249460">
        <w:t xml:space="preserve">. </w:t>
      </w:r>
      <w:r>
        <w:t>However, up to 2010, foreign qualifications were only recorded as “other qualifications” in the QLFS, irrespective of their level</w:t>
      </w:r>
      <w:r w:rsidRPr="7F249460">
        <w:t>.</w:t>
      </w:r>
    </w:p>
  </w:endnote>
  <w:endnote w:id="8">
    <w:p w14:paraId="06D67EC9" w14:textId="77777777" w:rsidR="0007775B" w:rsidRPr="006E12AA" w:rsidRDefault="0007775B" w:rsidP="00BA485A">
      <w:pPr>
        <w:pStyle w:val="EndnoteText"/>
        <w:jc w:val="both"/>
      </w:pPr>
      <w:r w:rsidRPr="006E12AA">
        <w:rPr>
          <w:rStyle w:val="EndnoteReference"/>
        </w:rPr>
        <w:endnoteRef/>
      </w:r>
      <w:r w:rsidRPr="006E12AA">
        <w:t xml:space="preserve"> Benefits include: income support (not as an unemployed person), sickness or disability benefits, family related benefits, child benefits, housing/council tax benefits or rent rebate, tax credits or other.</w:t>
      </w:r>
    </w:p>
  </w:endnote>
  <w:endnote w:id="9">
    <w:p w14:paraId="6DCA8A42" w14:textId="5C692189" w:rsidR="0007775B" w:rsidRPr="006E12AA" w:rsidRDefault="0007775B" w:rsidP="00E557BE">
      <w:pPr>
        <w:pStyle w:val="EndnoteText"/>
        <w:jc w:val="both"/>
      </w:pPr>
      <w:r w:rsidRPr="006E12AA">
        <w:rPr>
          <w:rStyle w:val="EndnoteReference"/>
        </w:rPr>
        <w:endnoteRef/>
      </w:r>
      <w:r w:rsidRPr="006E12AA">
        <w:t xml:space="preserve"> Note that a wag</w:t>
      </w:r>
      <w:r>
        <w:t xml:space="preserve">e variable is not included in the final models. </w:t>
      </w:r>
      <w:r w:rsidRPr="006E12AA">
        <w:t>Although earnings should be an important determinant of absence through a</w:t>
      </w:r>
      <w:r>
        <w:t>n</w:t>
      </w:r>
      <w:r w:rsidRPr="7F249460">
        <w:t xml:space="preserve"> </w:t>
      </w:r>
      <w:r>
        <w:t xml:space="preserve">opportunity cost of absence or an </w:t>
      </w:r>
      <w:r w:rsidRPr="7F249460">
        <w:t>“</w:t>
      </w:r>
      <w:r w:rsidRPr="006E12AA">
        <w:t>efficiency wage</w:t>
      </w:r>
      <w:r w:rsidRPr="7F249460">
        <w:t xml:space="preserve">” </w:t>
      </w:r>
      <w:r>
        <w:t>argument (</w:t>
      </w:r>
      <w:r w:rsidRPr="00516837">
        <w:t xml:space="preserve">whereby </w:t>
      </w:r>
      <w:r>
        <w:t>employers pay workers</w:t>
      </w:r>
      <w:r w:rsidRPr="00516837">
        <w:t xml:space="preserve"> above the </w:t>
      </w:r>
      <w:r w:rsidRPr="7F249460">
        <w:t>“</w:t>
      </w:r>
      <w:r>
        <w:t xml:space="preserve">market” wage </w:t>
      </w:r>
      <w:r w:rsidRPr="00516837">
        <w:t xml:space="preserve">in order to increase their </w:t>
      </w:r>
      <w:r>
        <w:t>effort/</w:t>
      </w:r>
      <w:r w:rsidRPr="00516837">
        <w:t>productivity and reduce the costs associated with turnover</w:t>
      </w:r>
      <w:r w:rsidRPr="7F249460">
        <w:t>)</w:t>
      </w:r>
      <w:r>
        <w:t>, the</w:t>
      </w:r>
      <w:r w:rsidRPr="006E12AA">
        <w:t xml:space="preserve"> inclusion of a wage variable is like</w:t>
      </w:r>
      <w:r>
        <w:t>ly to lead to simultaneity bias</w:t>
      </w:r>
      <w:r w:rsidRPr="7F249460">
        <w:t xml:space="preserve"> </w:t>
      </w:r>
      <w:r>
        <w:t>(s</w:t>
      </w:r>
      <w:r w:rsidRPr="006E12AA">
        <w:t>ee Allen</w:t>
      </w:r>
      <w:r w:rsidRPr="7F249460">
        <w:t>,</w:t>
      </w:r>
      <w:r w:rsidRPr="006E12AA">
        <w:t xml:space="preserve"> 1984</w:t>
      </w:r>
      <w:r w:rsidRPr="7F249460">
        <w:t>).</w:t>
      </w:r>
      <w:r>
        <w:t xml:space="preserve"> Moreover, earnings questions are only asked to employees in their first and fifth wave in the LFS and the inclusion of the wage in the models would substantially decrease the final sample</w:t>
      </w:r>
      <w:r w:rsidRPr="7F249460">
        <w:t xml:space="preserve">. </w:t>
      </w:r>
      <w:r>
        <w:t>We return to the issue of wages below</w:t>
      </w:r>
      <w:r w:rsidRPr="7F249460">
        <w:t>.</w:t>
      </w:r>
    </w:p>
  </w:endnote>
  <w:endnote w:id="10">
    <w:p w14:paraId="744EE78D" w14:textId="5DA23241" w:rsidR="0007775B" w:rsidRDefault="0007775B" w:rsidP="00BE5617">
      <w:pPr>
        <w:pStyle w:val="EndnoteText"/>
        <w:jc w:val="both"/>
      </w:pPr>
      <w:r>
        <w:rPr>
          <w:rStyle w:val="EndnoteReference"/>
        </w:rPr>
        <w:endnoteRef/>
      </w:r>
      <w:r>
        <w:t xml:space="preserve"> Due to the very small number of A8 migrants with eight years of UK residency in the sample (see Figure 1), a single dummy for seven or eight years of residency is used in these models.  </w:t>
      </w:r>
    </w:p>
  </w:endnote>
  <w:endnote w:id="11">
    <w:p w14:paraId="2FC1F353" w14:textId="736A0A86" w:rsidR="0007775B" w:rsidRPr="006E12AA" w:rsidRDefault="0007775B" w:rsidP="0010697A">
      <w:pPr>
        <w:pStyle w:val="EndnoteText"/>
        <w:jc w:val="both"/>
      </w:pPr>
      <w:r w:rsidRPr="006E12AA">
        <w:rPr>
          <w:rStyle w:val="EndnoteReference"/>
        </w:rPr>
        <w:endnoteRef/>
      </w:r>
      <w:r w:rsidRPr="006E12AA">
        <w:t xml:space="preserve"> The u</w:t>
      </w:r>
      <w:r>
        <w:t xml:space="preserve">se of cross-sectional data when </w:t>
      </w:r>
      <w:r w:rsidRPr="006E12AA">
        <w:t>analy</w:t>
      </w:r>
      <w:r>
        <w:t>s</w:t>
      </w:r>
      <w:r w:rsidRPr="006E12AA">
        <w:t xml:space="preserve">ing the assimilation of migrant wages has come under some scrutiny in the </w:t>
      </w:r>
      <w:r>
        <w:t xml:space="preserve">relevant </w:t>
      </w:r>
      <w:r w:rsidRPr="006E12AA">
        <w:t>literature (Borjas</w:t>
      </w:r>
      <w:r w:rsidRPr="46A50481">
        <w:t>,</w:t>
      </w:r>
      <w:r w:rsidRPr="006E12AA">
        <w:t xml:space="preserve"> 1985</w:t>
      </w:r>
      <w:r w:rsidRPr="338B1626">
        <w:t>)</w:t>
      </w:r>
      <w:r w:rsidRPr="006E12AA">
        <w:t>. Firstly</w:t>
      </w:r>
      <w:r>
        <w:t>,</w:t>
      </w:r>
      <w:r w:rsidRPr="006E12AA">
        <w:t xml:space="preserve"> </w:t>
      </w:r>
      <w:r>
        <w:t>if</w:t>
      </w:r>
      <w:r w:rsidRPr="006E12AA">
        <w:t xml:space="preserve"> there is a decrease in the quality of migrants </w:t>
      </w:r>
      <w:r>
        <w:t>belonging to different entry cohorts</w:t>
      </w:r>
      <w:r w:rsidRPr="006E12AA">
        <w:t>, migrant wage growth may be upward biased (Borjas</w:t>
      </w:r>
      <w:r w:rsidRPr="46A50481">
        <w:t xml:space="preserve">, </w:t>
      </w:r>
      <w:r>
        <w:t>1985). However, this typical short</w:t>
      </w:r>
      <w:r w:rsidRPr="006E12AA">
        <w:t xml:space="preserve">coming seems unlikely </w:t>
      </w:r>
      <w:r>
        <w:t>within the 9-</w:t>
      </w:r>
      <w:r w:rsidRPr="006E12AA">
        <w:t>year period</w:t>
      </w:r>
      <w:r>
        <w:t xml:space="preserve"> examined here. </w:t>
      </w:r>
      <w:r w:rsidRPr="006E12AA">
        <w:t>Secondly, poor</w:t>
      </w:r>
      <w:r>
        <w:t>ly</w:t>
      </w:r>
      <w:r w:rsidRPr="006E12AA">
        <w:t xml:space="preserve"> performing migrants are typi</w:t>
      </w:r>
      <w:r>
        <w:t xml:space="preserve">cally the first to return home; </w:t>
      </w:r>
      <w:r w:rsidRPr="006E12AA">
        <w:t>consequently</w:t>
      </w:r>
      <w:r>
        <w:t xml:space="preserve">, the </w:t>
      </w:r>
      <w:r w:rsidRPr="006E12AA">
        <w:t>sample of A8 migrants with longer residency may be a selection of better than average migrants.</w:t>
      </w:r>
      <w:r>
        <w:rPr>
          <w:sz w:val="24"/>
          <w:szCs w:val="24"/>
        </w:rPr>
        <w:t xml:space="preserve"> </w:t>
      </w:r>
      <w:r>
        <w:t>Th</w:t>
      </w:r>
      <w:r w:rsidRPr="006E12AA">
        <w:t xml:space="preserve">is phenomenon would </w:t>
      </w:r>
      <w:r>
        <w:t>also</w:t>
      </w:r>
      <w:r w:rsidRPr="006E12AA">
        <w:t xml:space="preserve"> lead to migrant wage growth being upward biased.</w:t>
      </w:r>
      <w:r>
        <w:t xml:space="preserve"> An examination of such issues requires a longitudinal dataset and is out of the scope of this study.  </w:t>
      </w:r>
    </w:p>
  </w:endnote>
  <w:endnote w:id="12">
    <w:p w14:paraId="13C7D6A8" w14:textId="4622B5C2" w:rsidR="0007775B" w:rsidRPr="00EA33A4" w:rsidRDefault="0007775B" w:rsidP="00FE14E4">
      <w:pPr>
        <w:pStyle w:val="EndnoteText"/>
        <w:jc w:val="both"/>
        <w:rPr>
          <w:lang w:val="en-GB"/>
        </w:rPr>
      </w:pPr>
      <w:r>
        <w:rPr>
          <w:rStyle w:val="EndnoteReference"/>
        </w:rPr>
        <w:endnoteRef/>
      </w:r>
      <w:r>
        <w:t xml:space="preserve"> Future work can also extend the empirical analysis presented in this article to other migrant groups</w:t>
      </w:r>
      <w:r w:rsidRPr="7F249460">
        <w:t xml:space="preserve"> </w:t>
      </w:r>
      <w:r>
        <w:t>from different countries of origin.</w:t>
      </w:r>
      <w:r w:rsidRPr="7F249460">
        <w:t xml:space="preserve"> </w:t>
      </w:r>
      <w:r>
        <w:t xml:space="preserve">This may also shed light on the issue of English-language proficiency by examining the behavior of migrants from English-speaking countries. </w:t>
      </w:r>
      <w:r w:rsidRPr="7F249460">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vOT6eb13881">
    <w:altName w:val="Times New Roman"/>
    <w:panose1 w:val="00000000000000000000"/>
    <w:charset w:val="00"/>
    <w:family w:val="roman"/>
    <w:notTrueType/>
    <w:pitch w:val="default"/>
    <w:sig w:usb0="00000003" w:usb1="00000000" w:usb2="00000000" w:usb3="00000000" w:csb0="00000001" w:csb1="00000000"/>
  </w:font>
  <w:font w:name="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300427"/>
      <w:docPartObj>
        <w:docPartGallery w:val="Page Numbers (Bottom of Page)"/>
        <w:docPartUnique/>
      </w:docPartObj>
    </w:sdtPr>
    <w:sdtEndPr>
      <w:rPr>
        <w:rFonts w:ascii="Times New Roman" w:hAnsi="Times New Roman" w:cs="Times New Roman"/>
        <w:noProof/>
      </w:rPr>
    </w:sdtEndPr>
    <w:sdtContent>
      <w:p w14:paraId="32692C27" w14:textId="47830BE5" w:rsidR="0007775B" w:rsidRPr="00E10C45" w:rsidRDefault="0007775B">
        <w:pPr>
          <w:pStyle w:val="Footer"/>
          <w:jc w:val="right"/>
          <w:rPr>
            <w:rFonts w:ascii="Times New Roman" w:hAnsi="Times New Roman" w:cs="Times New Roman"/>
          </w:rPr>
        </w:pPr>
        <w:r w:rsidRPr="00E10C45">
          <w:rPr>
            <w:rFonts w:ascii="Times New Roman" w:hAnsi="Times New Roman" w:cs="Times New Roman"/>
          </w:rPr>
          <w:fldChar w:fldCharType="begin"/>
        </w:r>
        <w:r w:rsidRPr="00E10C45">
          <w:rPr>
            <w:rFonts w:ascii="Times New Roman" w:hAnsi="Times New Roman" w:cs="Times New Roman"/>
          </w:rPr>
          <w:instrText xml:space="preserve"> PAGE   \* MERGEFORMAT </w:instrText>
        </w:r>
        <w:r w:rsidRPr="00E10C45">
          <w:rPr>
            <w:rFonts w:ascii="Times New Roman" w:hAnsi="Times New Roman" w:cs="Times New Roman"/>
          </w:rPr>
          <w:fldChar w:fldCharType="separate"/>
        </w:r>
        <w:r w:rsidR="00DC36D7">
          <w:rPr>
            <w:rFonts w:ascii="Times New Roman" w:hAnsi="Times New Roman" w:cs="Times New Roman"/>
            <w:noProof/>
          </w:rPr>
          <w:t>35</w:t>
        </w:r>
        <w:r w:rsidRPr="00E10C45">
          <w:rPr>
            <w:rFonts w:ascii="Times New Roman" w:hAnsi="Times New Roman" w:cs="Times New Roman"/>
            <w:noProof/>
          </w:rPr>
          <w:fldChar w:fldCharType="end"/>
        </w:r>
      </w:p>
    </w:sdtContent>
  </w:sdt>
  <w:p w14:paraId="07CFAAA4" w14:textId="77777777" w:rsidR="0007775B" w:rsidRDefault="00077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126B4" w14:textId="77777777" w:rsidR="0007775B" w:rsidRDefault="0007775B" w:rsidP="00905C9A">
      <w:pPr>
        <w:spacing w:after="0" w:line="240" w:lineRule="auto"/>
      </w:pPr>
      <w:r>
        <w:separator/>
      </w:r>
    </w:p>
  </w:footnote>
  <w:footnote w:type="continuationSeparator" w:id="0">
    <w:p w14:paraId="05E9CAE5" w14:textId="77777777" w:rsidR="0007775B" w:rsidRDefault="0007775B" w:rsidP="00905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840B" w14:textId="77777777" w:rsidR="0007775B" w:rsidRDefault="0007775B">
    <w:pPr>
      <w:pStyle w:val="Header"/>
      <w:jc w:val="right"/>
    </w:pPr>
  </w:p>
  <w:p w14:paraId="7AE7946D" w14:textId="77777777" w:rsidR="0007775B" w:rsidRDefault="00077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C6F9D"/>
    <w:multiLevelType w:val="hybridMultilevel"/>
    <w:tmpl w:val="56101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41162"/>
    <w:multiLevelType w:val="hybridMultilevel"/>
    <w:tmpl w:val="FCB66498"/>
    <w:lvl w:ilvl="0" w:tplc="B7C48E1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2723B"/>
    <w:multiLevelType w:val="hybridMultilevel"/>
    <w:tmpl w:val="4DB21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7E6DEA"/>
    <w:multiLevelType w:val="hybridMultilevel"/>
    <w:tmpl w:val="4DF2CEF2"/>
    <w:lvl w:ilvl="0" w:tplc="A4BA09FC">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C3089"/>
    <w:multiLevelType w:val="hybridMultilevel"/>
    <w:tmpl w:val="55A4C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C648B0"/>
    <w:multiLevelType w:val="multilevel"/>
    <w:tmpl w:val="DB20F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D74A0B"/>
    <w:multiLevelType w:val="hybridMultilevel"/>
    <w:tmpl w:val="288AAD2E"/>
    <w:lvl w:ilvl="0" w:tplc="288AB02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06AB3"/>
    <w:multiLevelType w:val="hybridMultilevel"/>
    <w:tmpl w:val="31A26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1F"/>
    <w:rsid w:val="0000061D"/>
    <w:rsid w:val="000009B2"/>
    <w:rsid w:val="0000191F"/>
    <w:rsid w:val="000021AE"/>
    <w:rsid w:val="0000359B"/>
    <w:rsid w:val="000054A9"/>
    <w:rsid w:val="00006232"/>
    <w:rsid w:val="0000651F"/>
    <w:rsid w:val="00007536"/>
    <w:rsid w:val="00007BDE"/>
    <w:rsid w:val="00012B9B"/>
    <w:rsid w:val="00012E02"/>
    <w:rsid w:val="00012F03"/>
    <w:rsid w:val="000137DA"/>
    <w:rsid w:val="000139DC"/>
    <w:rsid w:val="00015772"/>
    <w:rsid w:val="00016212"/>
    <w:rsid w:val="00017B17"/>
    <w:rsid w:val="00017E53"/>
    <w:rsid w:val="00022DFD"/>
    <w:rsid w:val="00023623"/>
    <w:rsid w:val="00026CE5"/>
    <w:rsid w:val="00027134"/>
    <w:rsid w:val="00031337"/>
    <w:rsid w:val="00031808"/>
    <w:rsid w:val="000329CE"/>
    <w:rsid w:val="0003616E"/>
    <w:rsid w:val="00036BB6"/>
    <w:rsid w:val="0003705C"/>
    <w:rsid w:val="00037B0B"/>
    <w:rsid w:val="00040EEA"/>
    <w:rsid w:val="00041C54"/>
    <w:rsid w:val="00041F9C"/>
    <w:rsid w:val="00042652"/>
    <w:rsid w:val="000427D6"/>
    <w:rsid w:val="00042C2D"/>
    <w:rsid w:val="00042F40"/>
    <w:rsid w:val="000436B4"/>
    <w:rsid w:val="00050BAB"/>
    <w:rsid w:val="0005212A"/>
    <w:rsid w:val="00052B80"/>
    <w:rsid w:val="00052EC3"/>
    <w:rsid w:val="00053260"/>
    <w:rsid w:val="00053D09"/>
    <w:rsid w:val="00054574"/>
    <w:rsid w:val="0005536B"/>
    <w:rsid w:val="00055A2D"/>
    <w:rsid w:val="00057609"/>
    <w:rsid w:val="0006063F"/>
    <w:rsid w:val="000612C0"/>
    <w:rsid w:val="000632A3"/>
    <w:rsid w:val="00063685"/>
    <w:rsid w:val="00063703"/>
    <w:rsid w:val="000638C8"/>
    <w:rsid w:val="000655FE"/>
    <w:rsid w:val="000679E5"/>
    <w:rsid w:val="0007224F"/>
    <w:rsid w:val="00073868"/>
    <w:rsid w:val="00073DCC"/>
    <w:rsid w:val="00073ED5"/>
    <w:rsid w:val="0007775B"/>
    <w:rsid w:val="00077A74"/>
    <w:rsid w:val="00080D15"/>
    <w:rsid w:val="00085FFA"/>
    <w:rsid w:val="000862BF"/>
    <w:rsid w:val="000867D5"/>
    <w:rsid w:val="00086875"/>
    <w:rsid w:val="00091AE2"/>
    <w:rsid w:val="000923E3"/>
    <w:rsid w:val="00092EFE"/>
    <w:rsid w:val="00093483"/>
    <w:rsid w:val="000942D3"/>
    <w:rsid w:val="0009619D"/>
    <w:rsid w:val="00097544"/>
    <w:rsid w:val="000977C8"/>
    <w:rsid w:val="00097847"/>
    <w:rsid w:val="000A081B"/>
    <w:rsid w:val="000A0B30"/>
    <w:rsid w:val="000A148F"/>
    <w:rsid w:val="000A15C8"/>
    <w:rsid w:val="000A18C3"/>
    <w:rsid w:val="000A1EA7"/>
    <w:rsid w:val="000A3466"/>
    <w:rsid w:val="000A44C6"/>
    <w:rsid w:val="000A6B9B"/>
    <w:rsid w:val="000A74B8"/>
    <w:rsid w:val="000A7E85"/>
    <w:rsid w:val="000B1829"/>
    <w:rsid w:val="000B27BF"/>
    <w:rsid w:val="000B3B88"/>
    <w:rsid w:val="000B426F"/>
    <w:rsid w:val="000B469C"/>
    <w:rsid w:val="000B4903"/>
    <w:rsid w:val="000B4D9C"/>
    <w:rsid w:val="000B53AC"/>
    <w:rsid w:val="000B59A1"/>
    <w:rsid w:val="000B6978"/>
    <w:rsid w:val="000B7491"/>
    <w:rsid w:val="000C04C2"/>
    <w:rsid w:val="000C0E29"/>
    <w:rsid w:val="000C0EAF"/>
    <w:rsid w:val="000C2747"/>
    <w:rsid w:val="000C2F84"/>
    <w:rsid w:val="000C3B4D"/>
    <w:rsid w:val="000C4EB3"/>
    <w:rsid w:val="000C536E"/>
    <w:rsid w:val="000C5E52"/>
    <w:rsid w:val="000C6B1B"/>
    <w:rsid w:val="000C79FB"/>
    <w:rsid w:val="000D0CB8"/>
    <w:rsid w:val="000D40CA"/>
    <w:rsid w:val="000D539C"/>
    <w:rsid w:val="000D55DB"/>
    <w:rsid w:val="000D6C2F"/>
    <w:rsid w:val="000D76B6"/>
    <w:rsid w:val="000D7D7E"/>
    <w:rsid w:val="000E0121"/>
    <w:rsid w:val="000E0CEB"/>
    <w:rsid w:val="000E3089"/>
    <w:rsid w:val="000E7833"/>
    <w:rsid w:val="000F25C9"/>
    <w:rsid w:val="000F39A7"/>
    <w:rsid w:val="000F3A21"/>
    <w:rsid w:val="000F56F3"/>
    <w:rsid w:val="000F5D16"/>
    <w:rsid w:val="000F6323"/>
    <w:rsid w:val="000F64DE"/>
    <w:rsid w:val="000F65E2"/>
    <w:rsid w:val="000F6E8D"/>
    <w:rsid w:val="000F6F44"/>
    <w:rsid w:val="000F6FAD"/>
    <w:rsid w:val="000F7A1E"/>
    <w:rsid w:val="001003F4"/>
    <w:rsid w:val="00100928"/>
    <w:rsid w:val="0010222A"/>
    <w:rsid w:val="0010235E"/>
    <w:rsid w:val="001031B3"/>
    <w:rsid w:val="001038B1"/>
    <w:rsid w:val="0010475D"/>
    <w:rsid w:val="001066EE"/>
    <w:rsid w:val="0010697A"/>
    <w:rsid w:val="00112D1E"/>
    <w:rsid w:val="00114C41"/>
    <w:rsid w:val="00114E2F"/>
    <w:rsid w:val="0011506B"/>
    <w:rsid w:val="00116744"/>
    <w:rsid w:val="00116A08"/>
    <w:rsid w:val="001179F2"/>
    <w:rsid w:val="001222D1"/>
    <w:rsid w:val="00124138"/>
    <w:rsid w:val="001242C2"/>
    <w:rsid w:val="001246C0"/>
    <w:rsid w:val="00124ED8"/>
    <w:rsid w:val="00126257"/>
    <w:rsid w:val="0012768A"/>
    <w:rsid w:val="0013030B"/>
    <w:rsid w:val="001303E2"/>
    <w:rsid w:val="00130E4D"/>
    <w:rsid w:val="00131644"/>
    <w:rsid w:val="0013232F"/>
    <w:rsid w:val="0013281D"/>
    <w:rsid w:val="0013356E"/>
    <w:rsid w:val="00133A6C"/>
    <w:rsid w:val="001356EB"/>
    <w:rsid w:val="00135DBA"/>
    <w:rsid w:val="001369C6"/>
    <w:rsid w:val="001370AF"/>
    <w:rsid w:val="001414F8"/>
    <w:rsid w:val="001438B8"/>
    <w:rsid w:val="001468AC"/>
    <w:rsid w:val="00147B3A"/>
    <w:rsid w:val="00150758"/>
    <w:rsid w:val="00150968"/>
    <w:rsid w:val="001531B7"/>
    <w:rsid w:val="00153732"/>
    <w:rsid w:val="0015403F"/>
    <w:rsid w:val="00154130"/>
    <w:rsid w:val="00157272"/>
    <w:rsid w:val="001579AD"/>
    <w:rsid w:val="001605C9"/>
    <w:rsid w:val="00160630"/>
    <w:rsid w:val="0016072D"/>
    <w:rsid w:val="00162179"/>
    <w:rsid w:val="00162FD6"/>
    <w:rsid w:val="00163C0A"/>
    <w:rsid w:val="00165322"/>
    <w:rsid w:val="0016558C"/>
    <w:rsid w:val="00165BFF"/>
    <w:rsid w:val="00166742"/>
    <w:rsid w:val="00166ECE"/>
    <w:rsid w:val="00171EE1"/>
    <w:rsid w:val="00172C3C"/>
    <w:rsid w:val="001730E0"/>
    <w:rsid w:val="001739ED"/>
    <w:rsid w:val="001749A7"/>
    <w:rsid w:val="00176387"/>
    <w:rsid w:val="0018078D"/>
    <w:rsid w:val="0018209C"/>
    <w:rsid w:val="00182D67"/>
    <w:rsid w:val="001840B8"/>
    <w:rsid w:val="00186869"/>
    <w:rsid w:val="00186A1F"/>
    <w:rsid w:val="00187A1F"/>
    <w:rsid w:val="00187AC2"/>
    <w:rsid w:val="001951B5"/>
    <w:rsid w:val="0019603F"/>
    <w:rsid w:val="001962E9"/>
    <w:rsid w:val="00197E03"/>
    <w:rsid w:val="001A26C3"/>
    <w:rsid w:val="001A2B5B"/>
    <w:rsid w:val="001A3485"/>
    <w:rsid w:val="001A3974"/>
    <w:rsid w:val="001A3B1C"/>
    <w:rsid w:val="001A5D0E"/>
    <w:rsid w:val="001A5ECC"/>
    <w:rsid w:val="001A5EDC"/>
    <w:rsid w:val="001A6979"/>
    <w:rsid w:val="001A6DF0"/>
    <w:rsid w:val="001B053C"/>
    <w:rsid w:val="001B1758"/>
    <w:rsid w:val="001B1F48"/>
    <w:rsid w:val="001B3692"/>
    <w:rsid w:val="001B4F7C"/>
    <w:rsid w:val="001B5816"/>
    <w:rsid w:val="001B629B"/>
    <w:rsid w:val="001B6864"/>
    <w:rsid w:val="001C03AB"/>
    <w:rsid w:val="001C10AD"/>
    <w:rsid w:val="001C15D1"/>
    <w:rsid w:val="001C3D86"/>
    <w:rsid w:val="001C533E"/>
    <w:rsid w:val="001C5569"/>
    <w:rsid w:val="001C6788"/>
    <w:rsid w:val="001C6BFC"/>
    <w:rsid w:val="001D1A59"/>
    <w:rsid w:val="001D20DB"/>
    <w:rsid w:val="001D3D74"/>
    <w:rsid w:val="001D3E42"/>
    <w:rsid w:val="001D42CA"/>
    <w:rsid w:val="001D48EC"/>
    <w:rsid w:val="001D4EEC"/>
    <w:rsid w:val="001D50A5"/>
    <w:rsid w:val="001D6233"/>
    <w:rsid w:val="001D7DC3"/>
    <w:rsid w:val="001D7F5D"/>
    <w:rsid w:val="001E04AB"/>
    <w:rsid w:val="001E0D8E"/>
    <w:rsid w:val="001E1D5B"/>
    <w:rsid w:val="001E21EA"/>
    <w:rsid w:val="001E32F0"/>
    <w:rsid w:val="001E3D1A"/>
    <w:rsid w:val="001E5894"/>
    <w:rsid w:val="001F0AEF"/>
    <w:rsid w:val="001F14E9"/>
    <w:rsid w:val="001F1EB7"/>
    <w:rsid w:val="001F2438"/>
    <w:rsid w:val="001F5123"/>
    <w:rsid w:val="001F54FD"/>
    <w:rsid w:val="001F7431"/>
    <w:rsid w:val="001F7C51"/>
    <w:rsid w:val="001F7C6A"/>
    <w:rsid w:val="00202BE0"/>
    <w:rsid w:val="00203EC0"/>
    <w:rsid w:val="00204640"/>
    <w:rsid w:val="00205A42"/>
    <w:rsid w:val="00206639"/>
    <w:rsid w:val="00206837"/>
    <w:rsid w:val="0020724D"/>
    <w:rsid w:val="00207C6D"/>
    <w:rsid w:val="00207C71"/>
    <w:rsid w:val="00207C79"/>
    <w:rsid w:val="00210D7F"/>
    <w:rsid w:val="002112DD"/>
    <w:rsid w:val="00213003"/>
    <w:rsid w:val="0021332E"/>
    <w:rsid w:val="002135E7"/>
    <w:rsid w:val="0021557E"/>
    <w:rsid w:val="002158B0"/>
    <w:rsid w:val="00221465"/>
    <w:rsid w:val="0022260C"/>
    <w:rsid w:val="002234A0"/>
    <w:rsid w:val="00224549"/>
    <w:rsid w:val="00226E95"/>
    <w:rsid w:val="002274F1"/>
    <w:rsid w:val="00227CB6"/>
    <w:rsid w:val="002302CB"/>
    <w:rsid w:val="0023133E"/>
    <w:rsid w:val="0023194E"/>
    <w:rsid w:val="00232D3E"/>
    <w:rsid w:val="00234759"/>
    <w:rsid w:val="002352C7"/>
    <w:rsid w:val="00235998"/>
    <w:rsid w:val="002376B9"/>
    <w:rsid w:val="0024062D"/>
    <w:rsid w:val="00240D4F"/>
    <w:rsid w:val="00242FB4"/>
    <w:rsid w:val="00243A4D"/>
    <w:rsid w:val="002445B0"/>
    <w:rsid w:val="00246865"/>
    <w:rsid w:val="00246893"/>
    <w:rsid w:val="0024694D"/>
    <w:rsid w:val="00250221"/>
    <w:rsid w:val="00250BC3"/>
    <w:rsid w:val="002511E4"/>
    <w:rsid w:val="00251B63"/>
    <w:rsid w:val="002538B1"/>
    <w:rsid w:val="002544A7"/>
    <w:rsid w:val="00254930"/>
    <w:rsid w:val="00256437"/>
    <w:rsid w:val="00256C00"/>
    <w:rsid w:val="00257E64"/>
    <w:rsid w:val="0026003F"/>
    <w:rsid w:val="002617DD"/>
    <w:rsid w:val="00262197"/>
    <w:rsid w:val="00262247"/>
    <w:rsid w:val="0026228E"/>
    <w:rsid w:val="00263E97"/>
    <w:rsid w:val="0026563D"/>
    <w:rsid w:val="0026729A"/>
    <w:rsid w:val="00271207"/>
    <w:rsid w:val="00271DEF"/>
    <w:rsid w:val="00272E4F"/>
    <w:rsid w:val="00274FF7"/>
    <w:rsid w:val="002759FB"/>
    <w:rsid w:val="0027725D"/>
    <w:rsid w:val="0028069E"/>
    <w:rsid w:val="002811EF"/>
    <w:rsid w:val="0028334B"/>
    <w:rsid w:val="002865D7"/>
    <w:rsid w:val="00286B4E"/>
    <w:rsid w:val="0029085B"/>
    <w:rsid w:val="00290E8D"/>
    <w:rsid w:val="0029142F"/>
    <w:rsid w:val="0029181F"/>
    <w:rsid w:val="00293801"/>
    <w:rsid w:val="00293C0E"/>
    <w:rsid w:val="00294CDA"/>
    <w:rsid w:val="0029529B"/>
    <w:rsid w:val="0029540A"/>
    <w:rsid w:val="00295A1E"/>
    <w:rsid w:val="00295CFC"/>
    <w:rsid w:val="00295D73"/>
    <w:rsid w:val="00296B64"/>
    <w:rsid w:val="002A06E6"/>
    <w:rsid w:val="002A0739"/>
    <w:rsid w:val="002A1697"/>
    <w:rsid w:val="002A371F"/>
    <w:rsid w:val="002A3B6C"/>
    <w:rsid w:val="002A4A41"/>
    <w:rsid w:val="002B0049"/>
    <w:rsid w:val="002B202B"/>
    <w:rsid w:val="002B27E6"/>
    <w:rsid w:val="002B3364"/>
    <w:rsid w:val="002B6F40"/>
    <w:rsid w:val="002C16C4"/>
    <w:rsid w:val="002C42F2"/>
    <w:rsid w:val="002C5A9F"/>
    <w:rsid w:val="002C72FC"/>
    <w:rsid w:val="002D2033"/>
    <w:rsid w:val="002D363F"/>
    <w:rsid w:val="002D3CF9"/>
    <w:rsid w:val="002D508E"/>
    <w:rsid w:val="002D5125"/>
    <w:rsid w:val="002D6380"/>
    <w:rsid w:val="002D666F"/>
    <w:rsid w:val="002D72FB"/>
    <w:rsid w:val="002E0E97"/>
    <w:rsid w:val="002E33BA"/>
    <w:rsid w:val="002E33BC"/>
    <w:rsid w:val="002E5AB6"/>
    <w:rsid w:val="002E6C67"/>
    <w:rsid w:val="002E6D60"/>
    <w:rsid w:val="002E785E"/>
    <w:rsid w:val="002E7DAE"/>
    <w:rsid w:val="002F17CF"/>
    <w:rsid w:val="002F2FA4"/>
    <w:rsid w:val="002F4A21"/>
    <w:rsid w:val="002F4D48"/>
    <w:rsid w:val="002F4ECA"/>
    <w:rsid w:val="002F50AE"/>
    <w:rsid w:val="002F5249"/>
    <w:rsid w:val="002F5BA2"/>
    <w:rsid w:val="002F77EA"/>
    <w:rsid w:val="002F7AE9"/>
    <w:rsid w:val="00300A31"/>
    <w:rsid w:val="00300C15"/>
    <w:rsid w:val="00300F87"/>
    <w:rsid w:val="0030181C"/>
    <w:rsid w:val="003020C7"/>
    <w:rsid w:val="0030511E"/>
    <w:rsid w:val="00306169"/>
    <w:rsid w:val="003113D8"/>
    <w:rsid w:val="00312CA5"/>
    <w:rsid w:val="00313729"/>
    <w:rsid w:val="00313815"/>
    <w:rsid w:val="00313A3C"/>
    <w:rsid w:val="00313F65"/>
    <w:rsid w:val="00315184"/>
    <w:rsid w:val="00315B5D"/>
    <w:rsid w:val="00316E3B"/>
    <w:rsid w:val="00317509"/>
    <w:rsid w:val="00320AC7"/>
    <w:rsid w:val="00320DB8"/>
    <w:rsid w:val="0032162E"/>
    <w:rsid w:val="003223D9"/>
    <w:rsid w:val="00323605"/>
    <w:rsid w:val="003265C3"/>
    <w:rsid w:val="00327975"/>
    <w:rsid w:val="0033268E"/>
    <w:rsid w:val="00332CD1"/>
    <w:rsid w:val="0033598E"/>
    <w:rsid w:val="00335AEA"/>
    <w:rsid w:val="00335C95"/>
    <w:rsid w:val="00335DB8"/>
    <w:rsid w:val="003369B6"/>
    <w:rsid w:val="00336EB4"/>
    <w:rsid w:val="003371AF"/>
    <w:rsid w:val="003373FF"/>
    <w:rsid w:val="003375E5"/>
    <w:rsid w:val="003401BA"/>
    <w:rsid w:val="00340D50"/>
    <w:rsid w:val="003415B8"/>
    <w:rsid w:val="00342814"/>
    <w:rsid w:val="00342D7D"/>
    <w:rsid w:val="0034332C"/>
    <w:rsid w:val="003437AF"/>
    <w:rsid w:val="003449F4"/>
    <w:rsid w:val="00344D7B"/>
    <w:rsid w:val="00345086"/>
    <w:rsid w:val="00345154"/>
    <w:rsid w:val="00350D50"/>
    <w:rsid w:val="00352695"/>
    <w:rsid w:val="003531C5"/>
    <w:rsid w:val="00353743"/>
    <w:rsid w:val="00354003"/>
    <w:rsid w:val="00354AD7"/>
    <w:rsid w:val="003553D7"/>
    <w:rsid w:val="00356246"/>
    <w:rsid w:val="00356477"/>
    <w:rsid w:val="00356F54"/>
    <w:rsid w:val="00357138"/>
    <w:rsid w:val="00357BA1"/>
    <w:rsid w:val="00361539"/>
    <w:rsid w:val="00362C91"/>
    <w:rsid w:val="00365350"/>
    <w:rsid w:val="0036784C"/>
    <w:rsid w:val="00367D00"/>
    <w:rsid w:val="00367F00"/>
    <w:rsid w:val="00370118"/>
    <w:rsid w:val="003701FF"/>
    <w:rsid w:val="00370CB6"/>
    <w:rsid w:val="00371B55"/>
    <w:rsid w:val="00371B8B"/>
    <w:rsid w:val="003742BA"/>
    <w:rsid w:val="00377B88"/>
    <w:rsid w:val="00380276"/>
    <w:rsid w:val="003806FE"/>
    <w:rsid w:val="003811BA"/>
    <w:rsid w:val="003854ED"/>
    <w:rsid w:val="003905A6"/>
    <w:rsid w:val="00391D1B"/>
    <w:rsid w:val="003928A7"/>
    <w:rsid w:val="00392FEF"/>
    <w:rsid w:val="00392FFC"/>
    <w:rsid w:val="003938C0"/>
    <w:rsid w:val="00393E9B"/>
    <w:rsid w:val="00396ACB"/>
    <w:rsid w:val="003973E0"/>
    <w:rsid w:val="00397AA6"/>
    <w:rsid w:val="00397D6B"/>
    <w:rsid w:val="003A01F0"/>
    <w:rsid w:val="003A1B93"/>
    <w:rsid w:val="003A1F57"/>
    <w:rsid w:val="003A27C5"/>
    <w:rsid w:val="003A2C66"/>
    <w:rsid w:val="003A3F7C"/>
    <w:rsid w:val="003A4DD0"/>
    <w:rsid w:val="003A62E9"/>
    <w:rsid w:val="003A7E78"/>
    <w:rsid w:val="003B03F2"/>
    <w:rsid w:val="003B0520"/>
    <w:rsid w:val="003B1075"/>
    <w:rsid w:val="003B1789"/>
    <w:rsid w:val="003B192F"/>
    <w:rsid w:val="003B1FFC"/>
    <w:rsid w:val="003B2709"/>
    <w:rsid w:val="003B4F81"/>
    <w:rsid w:val="003B546A"/>
    <w:rsid w:val="003B55E6"/>
    <w:rsid w:val="003B704C"/>
    <w:rsid w:val="003B7678"/>
    <w:rsid w:val="003C0E72"/>
    <w:rsid w:val="003C1D98"/>
    <w:rsid w:val="003C28C3"/>
    <w:rsid w:val="003C2DAF"/>
    <w:rsid w:val="003C3485"/>
    <w:rsid w:val="003C3A58"/>
    <w:rsid w:val="003C4BB4"/>
    <w:rsid w:val="003C4C18"/>
    <w:rsid w:val="003D04D3"/>
    <w:rsid w:val="003D1DDA"/>
    <w:rsid w:val="003D2B06"/>
    <w:rsid w:val="003D31AB"/>
    <w:rsid w:val="003D3E09"/>
    <w:rsid w:val="003D454C"/>
    <w:rsid w:val="003D5C77"/>
    <w:rsid w:val="003D60BB"/>
    <w:rsid w:val="003D6564"/>
    <w:rsid w:val="003D6988"/>
    <w:rsid w:val="003D6F8D"/>
    <w:rsid w:val="003D762A"/>
    <w:rsid w:val="003D7BC5"/>
    <w:rsid w:val="003E0F1A"/>
    <w:rsid w:val="003E1FDB"/>
    <w:rsid w:val="003E2393"/>
    <w:rsid w:val="003E3828"/>
    <w:rsid w:val="003E3F58"/>
    <w:rsid w:val="003E7439"/>
    <w:rsid w:val="003E7D96"/>
    <w:rsid w:val="003F0AB7"/>
    <w:rsid w:val="003F0F76"/>
    <w:rsid w:val="003F1E2D"/>
    <w:rsid w:val="003F1E57"/>
    <w:rsid w:val="003F262A"/>
    <w:rsid w:val="003F2F94"/>
    <w:rsid w:val="003F3664"/>
    <w:rsid w:val="003F4568"/>
    <w:rsid w:val="003F4BD1"/>
    <w:rsid w:val="003F4FA1"/>
    <w:rsid w:val="003F5C0F"/>
    <w:rsid w:val="003F6079"/>
    <w:rsid w:val="003F71DE"/>
    <w:rsid w:val="003F76F7"/>
    <w:rsid w:val="003F7892"/>
    <w:rsid w:val="00403505"/>
    <w:rsid w:val="00403DA5"/>
    <w:rsid w:val="00404302"/>
    <w:rsid w:val="00404A6D"/>
    <w:rsid w:val="00406EBA"/>
    <w:rsid w:val="0040793C"/>
    <w:rsid w:val="00411673"/>
    <w:rsid w:val="004128EC"/>
    <w:rsid w:val="00413D6E"/>
    <w:rsid w:val="00414AB1"/>
    <w:rsid w:val="00415945"/>
    <w:rsid w:val="00416033"/>
    <w:rsid w:val="00417ACA"/>
    <w:rsid w:val="004212D8"/>
    <w:rsid w:val="00421669"/>
    <w:rsid w:val="004221E4"/>
    <w:rsid w:val="00422431"/>
    <w:rsid w:val="00422F1E"/>
    <w:rsid w:val="004235A6"/>
    <w:rsid w:val="004243C2"/>
    <w:rsid w:val="00425FBE"/>
    <w:rsid w:val="00427992"/>
    <w:rsid w:val="004303DA"/>
    <w:rsid w:val="00433686"/>
    <w:rsid w:val="00433830"/>
    <w:rsid w:val="00433E6A"/>
    <w:rsid w:val="004344C4"/>
    <w:rsid w:val="00434AEF"/>
    <w:rsid w:val="0043635B"/>
    <w:rsid w:val="00436F28"/>
    <w:rsid w:val="004377B8"/>
    <w:rsid w:val="0044043A"/>
    <w:rsid w:val="004421AB"/>
    <w:rsid w:val="00442DC4"/>
    <w:rsid w:val="00443C6B"/>
    <w:rsid w:val="00444272"/>
    <w:rsid w:val="00444927"/>
    <w:rsid w:val="00444AEF"/>
    <w:rsid w:val="00445953"/>
    <w:rsid w:val="00447860"/>
    <w:rsid w:val="00450171"/>
    <w:rsid w:val="004514CA"/>
    <w:rsid w:val="00451E83"/>
    <w:rsid w:val="00454D34"/>
    <w:rsid w:val="00455B9A"/>
    <w:rsid w:val="004620D3"/>
    <w:rsid w:val="004622AF"/>
    <w:rsid w:val="00462B49"/>
    <w:rsid w:val="00462B7A"/>
    <w:rsid w:val="00462FA3"/>
    <w:rsid w:val="0046375A"/>
    <w:rsid w:val="00463B86"/>
    <w:rsid w:val="0046497B"/>
    <w:rsid w:val="00465EB6"/>
    <w:rsid w:val="00467C3A"/>
    <w:rsid w:val="004709A0"/>
    <w:rsid w:val="00473981"/>
    <w:rsid w:val="00474C3B"/>
    <w:rsid w:val="0047564A"/>
    <w:rsid w:val="00475894"/>
    <w:rsid w:val="00477047"/>
    <w:rsid w:val="00477C3F"/>
    <w:rsid w:val="0048053A"/>
    <w:rsid w:val="00480F87"/>
    <w:rsid w:val="00480F9E"/>
    <w:rsid w:val="004818C7"/>
    <w:rsid w:val="00482A9A"/>
    <w:rsid w:val="0048303D"/>
    <w:rsid w:val="004830FB"/>
    <w:rsid w:val="00484210"/>
    <w:rsid w:val="00485E92"/>
    <w:rsid w:val="00486195"/>
    <w:rsid w:val="00487095"/>
    <w:rsid w:val="004900BF"/>
    <w:rsid w:val="00490DD0"/>
    <w:rsid w:val="00491FA8"/>
    <w:rsid w:val="00495046"/>
    <w:rsid w:val="004967B2"/>
    <w:rsid w:val="004A22F1"/>
    <w:rsid w:val="004A2908"/>
    <w:rsid w:val="004A546D"/>
    <w:rsid w:val="004A57AE"/>
    <w:rsid w:val="004A7401"/>
    <w:rsid w:val="004A79FF"/>
    <w:rsid w:val="004A7AB8"/>
    <w:rsid w:val="004B0B83"/>
    <w:rsid w:val="004B0E1D"/>
    <w:rsid w:val="004B2709"/>
    <w:rsid w:val="004B36C6"/>
    <w:rsid w:val="004B4CF6"/>
    <w:rsid w:val="004B5F24"/>
    <w:rsid w:val="004C03E1"/>
    <w:rsid w:val="004C06A4"/>
    <w:rsid w:val="004C0A99"/>
    <w:rsid w:val="004C2083"/>
    <w:rsid w:val="004C2430"/>
    <w:rsid w:val="004C2670"/>
    <w:rsid w:val="004C3BB5"/>
    <w:rsid w:val="004C4AFA"/>
    <w:rsid w:val="004C5710"/>
    <w:rsid w:val="004C5B2F"/>
    <w:rsid w:val="004C6943"/>
    <w:rsid w:val="004C6B04"/>
    <w:rsid w:val="004C7C46"/>
    <w:rsid w:val="004D1614"/>
    <w:rsid w:val="004D1D3D"/>
    <w:rsid w:val="004D2008"/>
    <w:rsid w:val="004D2080"/>
    <w:rsid w:val="004D3366"/>
    <w:rsid w:val="004D40AB"/>
    <w:rsid w:val="004D598F"/>
    <w:rsid w:val="004E18B7"/>
    <w:rsid w:val="004E1A11"/>
    <w:rsid w:val="004E4730"/>
    <w:rsid w:val="004E4EF4"/>
    <w:rsid w:val="004E5551"/>
    <w:rsid w:val="004F12D8"/>
    <w:rsid w:val="004F1D1F"/>
    <w:rsid w:val="004F33E8"/>
    <w:rsid w:val="004F345B"/>
    <w:rsid w:val="004F3F3B"/>
    <w:rsid w:val="004F44C7"/>
    <w:rsid w:val="004F558B"/>
    <w:rsid w:val="004F7ED0"/>
    <w:rsid w:val="00500CB9"/>
    <w:rsid w:val="00500FB4"/>
    <w:rsid w:val="005011FA"/>
    <w:rsid w:val="00501AF3"/>
    <w:rsid w:val="00501BBC"/>
    <w:rsid w:val="005037CB"/>
    <w:rsid w:val="00503C11"/>
    <w:rsid w:val="0050610D"/>
    <w:rsid w:val="00510356"/>
    <w:rsid w:val="0051084B"/>
    <w:rsid w:val="00513BF3"/>
    <w:rsid w:val="00516837"/>
    <w:rsid w:val="00517CC4"/>
    <w:rsid w:val="00521802"/>
    <w:rsid w:val="005224B9"/>
    <w:rsid w:val="00523A76"/>
    <w:rsid w:val="00523B08"/>
    <w:rsid w:val="00523F84"/>
    <w:rsid w:val="00524416"/>
    <w:rsid w:val="00526CFC"/>
    <w:rsid w:val="00527428"/>
    <w:rsid w:val="00527C17"/>
    <w:rsid w:val="005304B0"/>
    <w:rsid w:val="00530B1E"/>
    <w:rsid w:val="00531944"/>
    <w:rsid w:val="00532734"/>
    <w:rsid w:val="00533A30"/>
    <w:rsid w:val="005344A2"/>
    <w:rsid w:val="00535400"/>
    <w:rsid w:val="00537B9F"/>
    <w:rsid w:val="005410F3"/>
    <w:rsid w:val="005413A8"/>
    <w:rsid w:val="00543748"/>
    <w:rsid w:val="005438AB"/>
    <w:rsid w:val="00543E44"/>
    <w:rsid w:val="005451F7"/>
    <w:rsid w:val="005477D9"/>
    <w:rsid w:val="00550A3D"/>
    <w:rsid w:val="005512AB"/>
    <w:rsid w:val="00551D8E"/>
    <w:rsid w:val="00552E10"/>
    <w:rsid w:val="0055452E"/>
    <w:rsid w:val="00554861"/>
    <w:rsid w:val="00554A9B"/>
    <w:rsid w:val="00554B1E"/>
    <w:rsid w:val="00556B83"/>
    <w:rsid w:val="00556E67"/>
    <w:rsid w:val="00557DCB"/>
    <w:rsid w:val="0056017A"/>
    <w:rsid w:val="00560FB0"/>
    <w:rsid w:val="00561DFD"/>
    <w:rsid w:val="00562CD7"/>
    <w:rsid w:val="00565FF1"/>
    <w:rsid w:val="0056607F"/>
    <w:rsid w:val="00566609"/>
    <w:rsid w:val="005667DA"/>
    <w:rsid w:val="00567419"/>
    <w:rsid w:val="00567D14"/>
    <w:rsid w:val="00567ED1"/>
    <w:rsid w:val="00570F9C"/>
    <w:rsid w:val="00571B69"/>
    <w:rsid w:val="00571FFB"/>
    <w:rsid w:val="0057246A"/>
    <w:rsid w:val="00572942"/>
    <w:rsid w:val="00572B7C"/>
    <w:rsid w:val="00572F62"/>
    <w:rsid w:val="005750EA"/>
    <w:rsid w:val="0057608D"/>
    <w:rsid w:val="005761E3"/>
    <w:rsid w:val="00577891"/>
    <w:rsid w:val="005807FB"/>
    <w:rsid w:val="00581DD6"/>
    <w:rsid w:val="00583005"/>
    <w:rsid w:val="00584D5F"/>
    <w:rsid w:val="00585813"/>
    <w:rsid w:val="00590C10"/>
    <w:rsid w:val="005932A4"/>
    <w:rsid w:val="005942CC"/>
    <w:rsid w:val="00594B0F"/>
    <w:rsid w:val="00595EF1"/>
    <w:rsid w:val="005963B4"/>
    <w:rsid w:val="005A019F"/>
    <w:rsid w:val="005A15D1"/>
    <w:rsid w:val="005A270B"/>
    <w:rsid w:val="005A2F81"/>
    <w:rsid w:val="005A42A1"/>
    <w:rsid w:val="005A4FEA"/>
    <w:rsid w:val="005A633A"/>
    <w:rsid w:val="005B09A3"/>
    <w:rsid w:val="005B2B71"/>
    <w:rsid w:val="005B2B7C"/>
    <w:rsid w:val="005B3BC4"/>
    <w:rsid w:val="005B4183"/>
    <w:rsid w:val="005B7EDF"/>
    <w:rsid w:val="005C0BF7"/>
    <w:rsid w:val="005C1C71"/>
    <w:rsid w:val="005C2329"/>
    <w:rsid w:val="005C5F19"/>
    <w:rsid w:val="005C6068"/>
    <w:rsid w:val="005C6678"/>
    <w:rsid w:val="005D0FD8"/>
    <w:rsid w:val="005D0FEE"/>
    <w:rsid w:val="005D1A34"/>
    <w:rsid w:val="005D2169"/>
    <w:rsid w:val="005D2407"/>
    <w:rsid w:val="005D28CF"/>
    <w:rsid w:val="005D2D23"/>
    <w:rsid w:val="005D2E7D"/>
    <w:rsid w:val="005D4149"/>
    <w:rsid w:val="005D5175"/>
    <w:rsid w:val="005D7449"/>
    <w:rsid w:val="005E0347"/>
    <w:rsid w:val="005E0D18"/>
    <w:rsid w:val="005E1A1D"/>
    <w:rsid w:val="005E1C6E"/>
    <w:rsid w:val="005E1D0D"/>
    <w:rsid w:val="005E23D2"/>
    <w:rsid w:val="005E2986"/>
    <w:rsid w:val="005E4F84"/>
    <w:rsid w:val="005E5C30"/>
    <w:rsid w:val="005F0261"/>
    <w:rsid w:val="005F13F8"/>
    <w:rsid w:val="005F146B"/>
    <w:rsid w:val="005F1895"/>
    <w:rsid w:val="005F3652"/>
    <w:rsid w:val="005F5799"/>
    <w:rsid w:val="005F5F6A"/>
    <w:rsid w:val="005F5F6F"/>
    <w:rsid w:val="005F66E6"/>
    <w:rsid w:val="005F6EDA"/>
    <w:rsid w:val="005F6EE0"/>
    <w:rsid w:val="005F714A"/>
    <w:rsid w:val="005F7925"/>
    <w:rsid w:val="005F7D40"/>
    <w:rsid w:val="0060310B"/>
    <w:rsid w:val="006032AE"/>
    <w:rsid w:val="00603954"/>
    <w:rsid w:val="00605F70"/>
    <w:rsid w:val="00606146"/>
    <w:rsid w:val="00606CAB"/>
    <w:rsid w:val="00610726"/>
    <w:rsid w:val="00611584"/>
    <w:rsid w:val="00611A1D"/>
    <w:rsid w:val="00612EB5"/>
    <w:rsid w:val="006146B1"/>
    <w:rsid w:val="0061528C"/>
    <w:rsid w:val="006153CC"/>
    <w:rsid w:val="00615480"/>
    <w:rsid w:val="006155EE"/>
    <w:rsid w:val="006165E8"/>
    <w:rsid w:val="006169B3"/>
    <w:rsid w:val="0062039B"/>
    <w:rsid w:val="00621351"/>
    <w:rsid w:val="006213B7"/>
    <w:rsid w:val="00622AC9"/>
    <w:rsid w:val="00622D87"/>
    <w:rsid w:val="006239FA"/>
    <w:rsid w:val="00624322"/>
    <w:rsid w:val="00625A0B"/>
    <w:rsid w:val="006276E0"/>
    <w:rsid w:val="00631B65"/>
    <w:rsid w:val="00634410"/>
    <w:rsid w:val="00635ED9"/>
    <w:rsid w:val="00640321"/>
    <w:rsid w:val="0064091C"/>
    <w:rsid w:val="0064133E"/>
    <w:rsid w:val="00641A58"/>
    <w:rsid w:val="006420C5"/>
    <w:rsid w:val="00643264"/>
    <w:rsid w:val="0064333E"/>
    <w:rsid w:val="006433F0"/>
    <w:rsid w:val="00643A64"/>
    <w:rsid w:val="006474C9"/>
    <w:rsid w:val="006477AA"/>
    <w:rsid w:val="00652F40"/>
    <w:rsid w:val="006537F4"/>
    <w:rsid w:val="00657F9D"/>
    <w:rsid w:val="006622D1"/>
    <w:rsid w:val="006627CC"/>
    <w:rsid w:val="006629EC"/>
    <w:rsid w:val="00664047"/>
    <w:rsid w:val="00664210"/>
    <w:rsid w:val="00665830"/>
    <w:rsid w:val="00666C9A"/>
    <w:rsid w:val="00667824"/>
    <w:rsid w:val="00670BB7"/>
    <w:rsid w:val="00671065"/>
    <w:rsid w:val="0067166E"/>
    <w:rsid w:val="006719C4"/>
    <w:rsid w:val="00675A6D"/>
    <w:rsid w:val="00675F7E"/>
    <w:rsid w:val="00677378"/>
    <w:rsid w:val="006779F4"/>
    <w:rsid w:val="00677AAB"/>
    <w:rsid w:val="0068030F"/>
    <w:rsid w:val="00680E3B"/>
    <w:rsid w:val="0068123D"/>
    <w:rsid w:val="006821B2"/>
    <w:rsid w:val="0068244B"/>
    <w:rsid w:val="00682548"/>
    <w:rsid w:val="006828B6"/>
    <w:rsid w:val="00682F0C"/>
    <w:rsid w:val="00683587"/>
    <w:rsid w:val="006837B6"/>
    <w:rsid w:val="00683F1A"/>
    <w:rsid w:val="00686C21"/>
    <w:rsid w:val="00687519"/>
    <w:rsid w:val="00687A43"/>
    <w:rsid w:val="006913D6"/>
    <w:rsid w:val="00691475"/>
    <w:rsid w:val="006918EC"/>
    <w:rsid w:val="00691F2A"/>
    <w:rsid w:val="0069215F"/>
    <w:rsid w:val="00693BAE"/>
    <w:rsid w:val="00693E05"/>
    <w:rsid w:val="006946AA"/>
    <w:rsid w:val="0069496E"/>
    <w:rsid w:val="00694E97"/>
    <w:rsid w:val="00696484"/>
    <w:rsid w:val="00696897"/>
    <w:rsid w:val="00696D5D"/>
    <w:rsid w:val="00696F6A"/>
    <w:rsid w:val="0069700D"/>
    <w:rsid w:val="006A11C3"/>
    <w:rsid w:val="006A1D86"/>
    <w:rsid w:val="006A210B"/>
    <w:rsid w:val="006A3D2F"/>
    <w:rsid w:val="006A6852"/>
    <w:rsid w:val="006A751B"/>
    <w:rsid w:val="006B093E"/>
    <w:rsid w:val="006B130D"/>
    <w:rsid w:val="006B190B"/>
    <w:rsid w:val="006B21EB"/>
    <w:rsid w:val="006B28E1"/>
    <w:rsid w:val="006B30C3"/>
    <w:rsid w:val="006B336F"/>
    <w:rsid w:val="006B397A"/>
    <w:rsid w:val="006B45DA"/>
    <w:rsid w:val="006B4600"/>
    <w:rsid w:val="006B4A12"/>
    <w:rsid w:val="006B5134"/>
    <w:rsid w:val="006B65AF"/>
    <w:rsid w:val="006C13F9"/>
    <w:rsid w:val="006C1625"/>
    <w:rsid w:val="006C1B70"/>
    <w:rsid w:val="006C4AB1"/>
    <w:rsid w:val="006C674E"/>
    <w:rsid w:val="006C6966"/>
    <w:rsid w:val="006D3089"/>
    <w:rsid w:val="006D3BB1"/>
    <w:rsid w:val="006D40DD"/>
    <w:rsid w:val="006D420B"/>
    <w:rsid w:val="006D7F48"/>
    <w:rsid w:val="006E0C83"/>
    <w:rsid w:val="006E12AA"/>
    <w:rsid w:val="006E1918"/>
    <w:rsid w:val="006E28D8"/>
    <w:rsid w:val="006E2923"/>
    <w:rsid w:val="006E2EC1"/>
    <w:rsid w:val="006E3701"/>
    <w:rsid w:val="006E4815"/>
    <w:rsid w:val="006F04BE"/>
    <w:rsid w:val="006F06CD"/>
    <w:rsid w:val="006F077C"/>
    <w:rsid w:val="006F1FC7"/>
    <w:rsid w:val="006F33C0"/>
    <w:rsid w:val="006F540C"/>
    <w:rsid w:val="006F5FF1"/>
    <w:rsid w:val="006F741C"/>
    <w:rsid w:val="006F7F63"/>
    <w:rsid w:val="00701D69"/>
    <w:rsid w:val="00702702"/>
    <w:rsid w:val="0070280D"/>
    <w:rsid w:val="00702B88"/>
    <w:rsid w:val="00702F56"/>
    <w:rsid w:val="00706824"/>
    <w:rsid w:val="00712D5A"/>
    <w:rsid w:val="007131C0"/>
    <w:rsid w:val="00714883"/>
    <w:rsid w:val="00714CFF"/>
    <w:rsid w:val="00715CF4"/>
    <w:rsid w:val="00717085"/>
    <w:rsid w:val="00717346"/>
    <w:rsid w:val="00720CDB"/>
    <w:rsid w:val="00724C65"/>
    <w:rsid w:val="00725F43"/>
    <w:rsid w:val="00726AF5"/>
    <w:rsid w:val="00730349"/>
    <w:rsid w:val="00731568"/>
    <w:rsid w:val="00733C71"/>
    <w:rsid w:val="00734164"/>
    <w:rsid w:val="007346C0"/>
    <w:rsid w:val="00734B2E"/>
    <w:rsid w:val="0073520E"/>
    <w:rsid w:val="0073568D"/>
    <w:rsid w:val="007363E7"/>
    <w:rsid w:val="00736B90"/>
    <w:rsid w:val="007372BB"/>
    <w:rsid w:val="00740B64"/>
    <w:rsid w:val="007421DE"/>
    <w:rsid w:val="0074372C"/>
    <w:rsid w:val="0074638B"/>
    <w:rsid w:val="00750898"/>
    <w:rsid w:val="00751A7F"/>
    <w:rsid w:val="00751B79"/>
    <w:rsid w:val="00751BC5"/>
    <w:rsid w:val="007527F5"/>
    <w:rsid w:val="00755BA8"/>
    <w:rsid w:val="00756507"/>
    <w:rsid w:val="0076066D"/>
    <w:rsid w:val="007606DB"/>
    <w:rsid w:val="00760A58"/>
    <w:rsid w:val="007613A2"/>
    <w:rsid w:val="00762885"/>
    <w:rsid w:val="00762DC4"/>
    <w:rsid w:val="00764F9C"/>
    <w:rsid w:val="00765A7C"/>
    <w:rsid w:val="0076673F"/>
    <w:rsid w:val="00770643"/>
    <w:rsid w:val="00771356"/>
    <w:rsid w:val="00771467"/>
    <w:rsid w:val="0077517A"/>
    <w:rsid w:val="00782543"/>
    <w:rsid w:val="00782E5B"/>
    <w:rsid w:val="0078304E"/>
    <w:rsid w:val="00783739"/>
    <w:rsid w:val="007861D8"/>
    <w:rsid w:val="00786816"/>
    <w:rsid w:val="00786ABC"/>
    <w:rsid w:val="00787F1A"/>
    <w:rsid w:val="0079006D"/>
    <w:rsid w:val="007909F5"/>
    <w:rsid w:val="0079268F"/>
    <w:rsid w:val="00792E36"/>
    <w:rsid w:val="0079355E"/>
    <w:rsid w:val="00793753"/>
    <w:rsid w:val="00794062"/>
    <w:rsid w:val="007941C3"/>
    <w:rsid w:val="00795DD7"/>
    <w:rsid w:val="00795F30"/>
    <w:rsid w:val="00796396"/>
    <w:rsid w:val="00796BFF"/>
    <w:rsid w:val="00797994"/>
    <w:rsid w:val="007A026D"/>
    <w:rsid w:val="007A330A"/>
    <w:rsid w:val="007A395F"/>
    <w:rsid w:val="007A4BFB"/>
    <w:rsid w:val="007A4E1B"/>
    <w:rsid w:val="007A5643"/>
    <w:rsid w:val="007A6CCE"/>
    <w:rsid w:val="007A7367"/>
    <w:rsid w:val="007A778F"/>
    <w:rsid w:val="007A7E51"/>
    <w:rsid w:val="007B0A2C"/>
    <w:rsid w:val="007B1722"/>
    <w:rsid w:val="007B23FB"/>
    <w:rsid w:val="007B44D2"/>
    <w:rsid w:val="007B4A06"/>
    <w:rsid w:val="007B4C48"/>
    <w:rsid w:val="007B6058"/>
    <w:rsid w:val="007B70C6"/>
    <w:rsid w:val="007B70D9"/>
    <w:rsid w:val="007B72E2"/>
    <w:rsid w:val="007B7399"/>
    <w:rsid w:val="007C05F1"/>
    <w:rsid w:val="007C2A24"/>
    <w:rsid w:val="007C3106"/>
    <w:rsid w:val="007C3E59"/>
    <w:rsid w:val="007C46A4"/>
    <w:rsid w:val="007C519C"/>
    <w:rsid w:val="007C52E0"/>
    <w:rsid w:val="007C54EA"/>
    <w:rsid w:val="007C562B"/>
    <w:rsid w:val="007D03BB"/>
    <w:rsid w:val="007D0763"/>
    <w:rsid w:val="007D0A27"/>
    <w:rsid w:val="007D10A5"/>
    <w:rsid w:val="007D151A"/>
    <w:rsid w:val="007D18AF"/>
    <w:rsid w:val="007D29A6"/>
    <w:rsid w:val="007D30E9"/>
    <w:rsid w:val="007D37CD"/>
    <w:rsid w:val="007D4BA6"/>
    <w:rsid w:val="007D5CDD"/>
    <w:rsid w:val="007D5EB3"/>
    <w:rsid w:val="007D65B3"/>
    <w:rsid w:val="007D6AC3"/>
    <w:rsid w:val="007E0D80"/>
    <w:rsid w:val="007E0E4C"/>
    <w:rsid w:val="007E1737"/>
    <w:rsid w:val="007E2FDE"/>
    <w:rsid w:val="007E42CB"/>
    <w:rsid w:val="007E4A0A"/>
    <w:rsid w:val="007E4A87"/>
    <w:rsid w:val="007E5609"/>
    <w:rsid w:val="007F30BC"/>
    <w:rsid w:val="007F3982"/>
    <w:rsid w:val="007F4770"/>
    <w:rsid w:val="007F4BFC"/>
    <w:rsid w:val="007F7594"/>
    <w:rsid w:val="00800DE1"/>
    <w:rsid w:val="00801FDD"/>
    <w:rsid w:val="00802890"/>
    <w:rsid w:val="00802E3C"/>
    <w:rsid w:val="0080456F"/>
    <w:rsid w:val="00805C05"/>
    <w:rsid w:val="00805ED9"/>
    <w:rsid w:val="00806A3B"/>
    <w:rsid w:val="00806E97"/>
    <w:rsid w:val="008070D0"/>
    <w:rsid w:val="00810FC7"/>
    <w:rsid w:val="00811354"/>
    <w:rsid w:val="00814D41"/>
    <w:rsid w:val="00815904"/>
    <w:rsid w:val="008175B6"/>
    <w:rsid w:val="00821462"/>
    <w:rsid w:val="00821DDE"/>
    <w:rsid w:val="00824759"/>
    <w:rsid w:val="00824D4A"/>
    <w:rsid w:val="00824E96"/>
    <w:rsid w:val="00827947"/>
    <w:rsid w:val="00830B0D"/>
    <w:rsid w:val="00832433"/>
    <w:rsid w:val="00833703"/>
    <w:rsid w:val="00834117"/>
    <w:rsid w:val="00834AEF"/>
    <w:rsid w:val="0083526C"/>
    <w:rsid w:val="00836218"/>
    <w:rsid w:val="008403D3"/>
    <w:rsid w:val="00841265"/>
    <w:rsid w:val="00843A33"/>
    <w:rsid w:val="00843CC7"/>
    <w:rsid w:val="00844D40"/>
    <w:rsid w:val="00846102"/>
    <w:rsid w:val="0084698F"/>
    <w:rsid w:val="00847AC3"/>
    <w:rsid w:val="00852F1B"/>
    <w:rsid w:val="00855EE0"/>
    <w:rsid w:val="0086062D"/>
    <w:rsid w:val="00860E60"/>
    <w:rsid w:val="00862AA0"/>
    <w:rsid w:val="00863C3B"/>
    <w:rsid w:val="00865FFB"/>
    <w:rsid w:val="0087160A"/>
    <w:rsid w:val="008716FA"/>
    <w:rsid w:val="00871B30"/>
    <w:rsid w:val="008726EC"/>
    <w:rsid w:val="00872A54"/>
    <w:rsid w:val="008733C1"/>
    <w:rsid w:val="008737ED"/>
    <w:rsid w:val="00874326"/>
    <w:rsid w:val="00874654"/>
    <w:rsid w:val="008753D5"/>
    <w:rsid w:val="0087561D"/>
    <w:rsid w:val="0087680E"/>
    <w:rsid w:val="00876B35"/>
    <w:rsid w:val="008806F3"/>
    <w:rsid w:val="00880715"/>
    <w:rsid w:val="00880A43"/>
    <w:rsid w:val="0088320C"/>
    <w:rsid w:val="008853ED"/>
    <w:rsid w:val="008863E3"/>
    <w:rsid w:val="008869E6"/>
    <w:rsid w:val="00890190"/>
    <w:rsid w:val="00890524"/>
    <w:rsid w:val="00890BEC"/>
    <w:rsid w:val="00892A44"/>
    <w:rsid w:val="0089356F"/>
    <w:rsid w:val="00894DF6"/>
    <w:rsid w:val="00894FBE"/>
    <w:rsid w:val="00895242"/>
    <w:rsid w:val="008960D6"/>
    <w:rsid w:val="0089679E"/>
    <w:rsid w:val="00896D7A"/>
    <w:rsid w:val="00896F8C"/>
    <w:rsid w:val="008A0372"/>
    <w:rsid w:val="008A03CD"/>
    <w:rsid w:val="008A059F"/>
    <w:rsid w:val="008A0A42"/>
    <w:rsid w:val="008A0B1D"/>
    <w:rsid w:val="008A0B64"/>
    <w:rsid w:val="008A1406"/>
    <w:rsid w:val="008A24A8"/>
    <w:rsid w:val="008A35E3"/>
    <w:rsid w:val="008A3998"/>
    <w:rsid w:val="008A5512"/>
    <w:rsid w:val="008A601F"/>
    <w:rsid w:val="008A6200"/>
    <w:rsid w:val="008A7101"/>
    <w:rsid w:val="008A7EB3"/>
    <w:rsid w:val="008B0BA3"/>
    <w:rsid w:val="008B257D"/>
    <w:rsid w:val="008B282F"/>
    <w:rsid w:val="008B2AF5"/>
    <w:rsid w:val="008B2E00"/>
    <w:rsid w:val="008B3D58"/>
    <w:rsid w:val="008B4B93"/>
    <w:rsid w:val="008B5DDF"/>
    <w:rsid w:val="008B651A"/>
    <w:rsid w:val="008B7297"/>
    <w:rsid w:val="008C14F0"/>
    <w:rsid w:val="008C1DC1"/>
    <w:rsid w:val="008C1F3D"/>
    <w:rsid w:val="008C217F"/>
    <w:rsid w:val="008C218E"/>
    <w:rsid w:val="008C2748"/>
    <w:rsid w:val="008C3005"/>
    <w:rsid w:val="008C3ACB"/>
    <w:rsid w:val="008C3B74"/>
    <w:rsid w:val="008C47AD"/>
    <w:rsid w:val="008C4971"/>
    <w:rsid w:val="008C7871"/>
    <w:rsid w:val="008D0256"/>
    <w:rsid w:val="008D055D"/>
    <w:rsid w:val="008D0A6B"/>
    <w:rsid w:val="008D3043"/>
    <w:rsid w:val="008D3187"/>
    <w:rsid w:val="008D321E"/>
    <w:rsid w:val="008D3A22"/>
    <w:rsid w:val="008D545C"/>
    <w:rsid w:val="008E1B44"/>
    <w:rsid w:val="008E47EF"/>
    <w:rsid w:val="008E606F"/>
    <w:rsid w:val="008E6A90"/>
    <w:rsid w:val="008F02DF"/>
    <w:rsid w:val="008F1707"/>
    <w:rsid w:val="008F1998"/>
    <w:rsid w:val="008F2942"/>
    <w:rsid w:val="008F2A72"/>
    <w:rsid w:val="008F3567"/>
    <w:rsid w:val="008F3935"/>
    <w:rsid w:val="008F4253"/>
    <w:rsid w:val="008F46EF"/>
    <w:rsid w:val="008F527B"/>
    <w:rsid w:val="008F5BA8"/>
    <w:rsid w:val="008F6028"/>
    <w:rsid w:val="008F7779"/>
    <w:rsid w:val="00900783"/>
    <w:rsid w:val="00900DDA"/>
    <w:rsid w:val="0090288A"/>
    <w:rsid w:val="0090407A"/>
    <w:rsid w:val="009043F6"/>
    <w:rsid w:val="009053EA"/>
    <w:rsid w:val="00905A8A"/>
    <w:rsid w:val="00905C9A"/>
    <w:rsid w:val="0090700B"/>
    <w:rsid w:val="00907311"/>
    <w:rsid w:val="00907F42"/>
    <w:rsid w:val="00910377"/>
    <w:rsid w:val="00911747"/>
    <w:rsid w:val="00912301"/>
    <w:rsid w:val="00912752"/>
    <w:rsid w:val="00912E7B"/>
    <w:rsid w:val="00913540"/>
    <w:rsid w:val="009152F1"/>
    <w:rsid w:val="00915C2C"/>
    <w:rsid w:val="009166C4"/>
    <w:rsid w:val="0091673A"/>
    <w:rsid w:val="00916994"/>
    <w:rsid w:val="00917AA5"/>
    <w:rsid w:val="009212A3"/>
    <w:rsid w:val="009212FD"/>
    <w:rsid w:val="00922323"/>
    <w:rsid w:val="00922DCC"/>
    <w:rsid w:val="00922F26"/>
    <w:rsid w:val="00924802"/>
    <w:rsid w:val="00924F40"/>
    <w:rsid w:val="00926328"/>
    <w:rsid w:val="009318E4"/>
    <w:rsid w:val="00933E76"/>
    <w:rsid w:val="00934452"/>
    <w:rsid w:val="009360A6"/>
    <w:rsid w:val="00936AC6"/>
    <w:rsid w:val="00937776"/>
    <w:rsid w:val="009402E5"/>
    <w:rsid w:val="009409D1"/>
    <w:rsid w:val="00940B32"/>
    <w:rsid w:val="009415D1"/>
    <w:rsid w:val="00942D3E"/>
    <w:rsid w:val="00945000"/>
    <w:rsid w:val="00945D2F"/>
    <w:rsid w:val="0094646A"/>
    <w:rsid w:val="00946C5F"/>
    <w:rsid w:val="00947171"/>
    <w:rsid w:val="009473F3"/>
    <w:rsid w:val="00950A8E"/>
    <w:rsid w:val="00950AD6"/>
    <w:rsid w:val="0095128A"/>
    <w:rsid w:val="00952494"/>
    <w:rsid w:val="00952C3D"/>
    <w:rsid w:val="00953837"/>
    <w:rsid w:val="009568C4"/>
    <w:rsid w:val="00956D0E"/>
    <w:rsid w:val="009577FC"/>
    <w:rsid w:val="00960047"/>
    <w:rsid w:val="009601AA"/>
    <w:rsid w:val="00960848"/>
    <w:rsid w:val="00960AD2"/>
    <w:rsid w:val="00961D99"/>
    <w:rsid w:val="00962E4F"/>
    <w:rsid w:val="00963209"/>
    <w:rsid w:val="0096639B"/>
    <w:rsid w:val="00966BF8"/>
    <w:rsid w:val="009704BF"/>
    <w:rsid w:val="009706C7"/>
    <w:rsid w:val="00970B4F"/>
    <w:rsid w:val="00970FC4"/>
    <w:rsid w:val="00971E82"/>
    <w:rsid w:val="00974125"/>
    <w:rsid w:val="00974537"/>
    <w:rsid w:val="009748F9"/>
    <w:rsid w:val="00975156"/>
    <w:rsid w:val="00976B1C"/>
    <w:rsid w:val="00980B84"/>
    <w:rsid w:val="009814EF"/>
    <w:rsid w:val="00984B98"/>
    <w:rsid w:val="00984EB8"/>
    <w:rsid w:val="009851AF"/>
    <w:rsid w:val="00985401"/>
    <w:rsid w:val="009865FD"/>
    <w:rsid w:val="00987922"/>
    <w:rsid w:val="009930C8"/>
    <w:rsid w:val="0099517D"/>
    <w:rsid w:val="0099604A"/>
    <w:rsid w:val="0099635A"/>
    <w:rsid w:val="00996919"/>
    <w:rsid w:val="009978D7"/>
    <w:rsid w:val="009A1A49"/>
    <w:rsid w:val="009A1FBC"/>
    <w:rsid w:val="009A4629"/>
    <w:rsid w:val="009A5988"/>
    <w:rsid w:val="009A63FA"/>
    <w:rsid w:val="009B073C"/>
    <w:rsid w:val="009B37D5"/>
    <w:rsid w:val="009B3801"/>
    <w:rsid w:val="009B5A39"/>
    <w:rsid w:val="009B757C"/>
    <w:rsid w:val="009C0171"/>
    <w:rsid w:val="009C0885"/>
    <w:rsid w:val="009C1F4A"/>
    <w:rsid w:val="009C20A3"/>
    <w:rsid w:val="009C2AEE"/>
    <w:rsid w:val="009C4DBC"/>
    <w:rsid w:val="009C5E91"/>
    <w:rsid w:val="009C65B5"/>
    <w:rsid w:val="009C71C6"/>
    <w:rsid w:val="009C7537"/>
    <w:rsid w:val="009D2767"/>
    <w:rsid w:val="009D27AE"/>
    <w:rsid w:val="009D294C"/>
    <w:rsid w:val="009D5193"/>
    <w:rsid w:val="009D54DD"/>
    <w:rsid w:val="009D6719"/>
    <w:rsid w:val="009D6F4F"/>
    <w:rsid w:val="009D74B0"/>
    <w:rsid w:val="009D7C20"/>
    <w:rsid w:val="009E0BA0"/>
    <w:rsid w:val="009E2107"/>
    <w:rsid w:val="009E2915"/>
    <w:rsid w:val="009E3A38"/>
    <w:rsid w:val="009E4072"/>
    <w:rsid w:val="009E6834"/>
    <w:rsid w:val="009E6AA6"/>
    <w:rsid w:val="009F0DB9"/>
    <w:rsid w:val="009F129E"/>
    <w:rsid w:val="009F1544"/>
    <w:rsid w:val="009F34BF"/>
    <w:rsid w:val="009F4346"/>
    <w:rsid w:val="009F59F8"/>
    <w:rsid w:val="009F6059"/>
    <w:rsid w:val="00A00EC4"/>
    <w:rsid w:val="00A01F0B"/>
    <w:rsid w:val="00A02726"/>
    <w:rsid w:val="00A0498B"/>
    <w:rsid w:val="00A04BD1"/>
    <w:rsid w:val="00A058DC"/>
    <w:rsid w:val="00A05F7C"/>
    <w:rsid w:val="00A0644E"/>
    <w:rsid w:val="00A06728"/>
    <w:rsid w:val="00A07975"/>
    <w:rsid w:val="00A10F4E"/>
    <w:rsid w:val="00A11DBC"/>
    <w:rsid w:val="00A140F8"/>
    <w:rsid w:val="00A1572F"/>
    <w:rsid w:val="00A15CDF"/>
    <w:rsid w:val="00A1652E"/>
    <w:rsid w:val="00A20343"/>
    <w:rsid w:val="00A20CCA"/>
    <w:rsid w:val="00A21553"/>
    <w:rsid w:val="00A21665"/>
    <w:rsid w:val="00A21935"/>
    <w:rsid w:val="00A23A3E"/>
    <w:rsid w:val="00A2499D"/>
    <w:rsid w:val="00A26A83"/>
    <w:rsid w:val="00A273F8"/>
    <w:rsid w:val="00A279CE"/>
    <w:rsid w:val="00A27D6B"/>
    <w:rsid w:val="00A30CBC"/>
    <w:rsid w:val="00A32200"/>
    <w:rsid w:val="00A34B7F"/>
    <w:rsid w:val="00A355B7"/>
    <w:rsid w:val="00A3579D"/>
    <w:rsid w:val="00A36198"/>
    <w:rsid w:val="00A36F68"/>
    <w:rsid w:val="00A37161"/>
    <w:rsid w:val="00A41099"/>
    <w:rsid w:val="00A440D4"/>
    <w:rsid w:val="00A4482B"/>
    <w:rsid w:val="00A47388"/>
    <w:rsid w:val="00A47416"/>
    <w:rsid w:val="00A503F7"/>
    <w:rsid w:val="00A5099D"/>
    <w:rsid w:val="00A50B5E"/>
    <w:rsid w:val="00A51029"/>
    <w:rsid w:val="00A5148F"/>
    <w:rsid w:val="00A538FF"/>
    <w:rsid w:val="00A54639"/>
    <w:rsid w:val="00A558F3"/>
    <w:rsid w:val="00A606D7"/>
    <w:rsid w:val="00A60905"/>
    <w:rsid w:val="00A611B0"/>
    <w:rsid w:val="00A62361"/>
    <w:rsid w:val="00A62604"/>
    <w:rsid w:val="00A62AE7"/>
    <w:rsid w:val="00A62E0E"/>
    <w:rsid w:val="00A62F61"/>
    <w:rsid w:val="00A631E0"/>
    <w:rsid w:val="00A63564"/>
    <w:rsid w:val="00A638CC"/>
    <w:rsid w:val="00A63C99"/>
    <w:rsid w:val="00A63DD8"/>
    <w:rsid w:val="00A64009"/>
    <w:rsid w:val="00A64282"/>
    <w:rsid w:val="00A701F3"/>
    <w:rsid w:val="00A764A6"/>
    <w:rsid w:val="00A77BD0"/>
    <w:rsid w:val="00A77C50"/>
    <w:rsid w:val="00A81196"/>
    <w:rsid w:val="00A82888"/>
    <w:rsid w:val="00A8328E"/>
    <w:rsid w:val="00A85034"/>
    <w:rsid w:val="00A8628D"/>
    <w:rsid w:val="00A86751"/>
    <w:rsid w:val="00A868A4"/>
    <w:rsid w:val="00A9177D"/>
    <w:rsid w:val="00A92CCD"/>
    <w:rsid w:val="00A932CE"/>
    <w:rsid w:val="00A936F1"/>
    <w:rsid w:val="00A940B6"/>
    <w:rsid w:val="00A94FF0"/>
    <w:rsid w:val="00A961D0"/>
    <w:rsid w:val="00A96E7A"/>
    <w:rsid w:val="00A97B8E"/>
    <w:rsid w:val="00A97C59"/>
    <w:rsid w:val="00AA2D0B"/>
    <w:rsid w:val="00AA2D47"/>
    <w:rsid w:val="00AA306D"/>
    <w:rsid w:val="00AA326E"/>
    <w:rsid w:val="00AA4AC5"/>
    <w:rsid w:val="00AA6339"/>
    <w:rsid w:val="00AA644C"/>
    <w:rsid w:val="00AB0172"/>
    <w:rsid w:val="00AB083C"/>
    <w:rsid w:val="00AB0C40"/>
    <w:rsid w:val="00AB1118"/>
    <w:rsid w:val="00AB190C"/>
    <w:rsid w:val="00AB1B27"/>
    <w:rsid w:val="00AB1D09"/>
    <w:rsid w:val="00AB2224"/>
    <w:rsid w:val="00AB337D"/>
    <w:rsid w:val="00AB5C13"/>
    <w:rsid w:val="00AC11B1"/>
    <w:rsid w:val="00AC1B51"/>
    <w:rsid w:val="00AC2E9A"/>
    <w:rsid w:val="00AC30B9"/>
    <w:rsid w:val="00AC3A2A"/>
    <w:rsid w:val="00AC4570"/>
    <w:rsid w:val="00AC4D1F"/>
    <w:rsid w:val="00AC5B8B"/>
    <w:rsid w:val="00AC714D"/>
    <w:rsid w:val="00AD23DD"/>
    <w:rsid w:val="00AD262F"/>
    <w:rsid w:val="00AD26F4"/>
    <w:rsid w:val="00AD3063"/>
    <w:rsid w:val="00AD5F8F"/>
    <w:rsid w:val="00AD636D"/>
    <w:rsid w:val="00AE0B20"/>
    <w:rsid w:val="00AE1A86"/>
    <w:rsid w:val="00AE4EDD"/>
    <w:rsid w:val="00AE52AD"/>
    <w:rsid w:val="00AE62A9"/>
    <w:rsid w:val="00AE7246"/>
    <w:rsid w:val="00AE7D71"/>
    <w:rsid w:val="00AF174D"/>
    <w:rsid w:val="00AF1801"/>
    <w:rsid w:val="00AF1985"/>
    <w:rsid w:val="00AF1F50"/>
    <w:rsid w:val="00AF55C3"/>
    <w:rsid w:val="00AF6508"/>
    <w:rsid w:val="00AF731A"/>
    <w:rsid w:val="00AF769D"/>
    <w:rsid w:val="00B00A49"/>
    <w:rsid w:val="00B04D15"/>
    <w:rsid w:val="00B05DF5"/>
    <w:rsid w:val="00B065D2"/>
    <w:rsid w:val="00B112ED"/>
    <w:rsid w:val="00B143DF"/>
    <w:rsid w:val="00B14454"/>
    <w:rsid w:val="00B14F6E"/>
    <w:rsid w:val="00B15151"/>
    <w:rsid w:val="00B15570"/>
    <w:rsid w:val="00B172E3"/>
    <w:rsid w:val="00B173F2"/>
    <w:rsid w:val="00B208C3"/>
    <w:rsid w:val="00B229E8"/>
    <w:rsid w:val="00B25A17"/>
    <w:rsid w:val="00B268D2"/>
    <w:rsid w:val="00B31218"/>
    <w:rsid w:val="00B31259"/>
    <w:rsid w:val="00B3185B"/>
    <w:rsid w:val="00B31DB9"/>
    <w:rsid w:val="00B3264B"/>
    <w:rsid w:val="00B33467"/>
    <w:rsid w:val="00B339D4"/>
    <w:rsid w:val="00B33C04"/>
    <w:rsid w:val="00B33E07"/>
    <w:rsid w:val="00B34A7B"/>
    <w:rsid w:val="00B3524B"/>
    <w:rsid w:val="00B35B81"/>
    <w:rsid w:val="00B376DD"/>
    <w:rsid w:val="00B40322"/>
    <w:rsid w:val="00B418E5"/>
    <w:rsid w:val="00B46C71"/>
    <w:rsid w:val="00B47FDE"/>
    <w:rsid w:val="00B50633"/>
    <w:rsid w:val="00B5104F"/>
    <w:rsid w:val="00B52614"/>
    <w:rsid w:val="00B53148"/>
    <w:rsid w:val="00B5357B"/>
    <w:rsid w:val="00B53B95"/>
    <w:rsid w:val="00B540C0"/>
    <w:rsid w:val="00B60C4D"/>
    <w:rsid w:val="00B61DDF"/>
    <w:rsid w:val="00B6290E"/>
    <w:rsid w:val="00B64953"/>
    <w:rsid w:val="00B651C2"/>
    <w:rsid w:val="00B655D5"/>
    <w:rsid w:val="00B66FFE"/>
    <w:rsid w:val="00B676DB"/>
    <w:rsid w:val="00B721FE"/>
    <w:rsid w:val="00B726A5"/>
    <w:rsid w:val="00B72D38"/>
    <w:rsid w:val="00B72E18"/>
    <w:rsid w:val="00B73132"/>
    <w:rsid w:val="00B770EF"/>
    <w:rsid w:val="00B82FE7"/>
    <w:rsid w:val="00B84EE5"/>
    <w:rsid w:val="00B8744D"/>
    <w:rsid w:val="00B90038"/>
    <w:rsid w:val="00B91E6F"/>
    <w:rsid w:val="00B92044"/>
    <w:rsid w:val="00B92557"/>
    <w:rsid w:val="00B9350F"/>
    <w:rsid w:val="00B94553"/>
    <w:rsid w:val="00B946CD"/>
    <w:rsid w:val="00B94E3F"/>
    <w:rsid w:val="00B9552E"/>
    <w:rsid w:val="00BA1C2F"/>
    <w:rsid w:val="00BA3DC5"/>
    <w:rsid w:val="00BA3FC6"/>
    <w:rsid w:val="00BA485A"/>
    <w:rsid w:val="00BA575E"/>
    <w:rsid w:val="00BB0222"/>
    <w:rsid w:val="00BB02D6"/>
    <w:rsid w:val="00BB0D76"/>
    <w:rsid w:val="00BB181F"/>
    <w:rsid w:val="00BB232E"/>
    <w:rsid w:val="00BB3CD0"/>
    <w:rsid w:val="00BB5110"/>
    <w:rsid w:val="00BB64B3"/>
    <w:rsid w:val="00BB6D54"/>
    <w:rsid w:val="00BB720B"/>
    <w:rsid w:val="00BB7264"/>
    <w:rsid w:val="00BC13EC"/>
    <w:rsid w:val="00BC1588"/>
    <w:rsid w:val="00BC32E1"/>
    <w:rsid w:val="00BC3BBC"/>
    <w:rsid w:val="00BC5404"/>
    <w:rsid w:val="00BD0222"/>
    <w:rsid w:val="00BD0628"/>
    <w:rsid w:val="00BD0C37"/>
    <w:rsid w:val="00BD1D82"/>
    <w:rsid w:val="00BD3A7F"/>
    <w:rsid w:val="00BD5C4D"/>
    <w:rsid w:val="00BD5DB7"/>
    <w:rsid w:val="00BD6630"/>
    <w:rsid w:val="00BD6EE4"/>
    <w:rsid w:val="00BD73D3"/>
    <w:rsid w:val="00BE0B78"/>
    <w:rsid w:val="00BE174B"/>
    <w:rsid w:val="00BE4100"/>
    <w:rsid w:val="00BE5559"/>
    <w:rsid w:val="00BE5617"/>
    <w:rsid w:val="00BE6849"/>
    <w:rsid w:val="00BE7012"/>
    <w:rsid w:val="00BE743C"/>
    <w:rsid w:val="00BF0301"/>
    <w:rsid w:val="00BF0B1B"/>
    <w:rsid w:val="00BF2E9F"/>
    <w:rsid w:val="00BF33F6"/>
    <w:rsid w:val="00BF3ABF"/>
    <w:rsid w:val="00BF51CD"/>
    <w:rsid w:val="00BF525A"/>
    <w:rsid w:val="00BF7155"/>
    <w:rsid w:val="00C00EA3"/>
    <w:rsid w:val="00C01428"/>
    <w:rsid w:val="00C024C0"/>
    <w:rsid w:val="00C03281"/>
    <w:rsid w:val="00C04BA1"/>
    <w:rsid w:val="00C0556A"/>
    <w:rsid w:val="00C055B6"/>
    <w:rsid w:val="00C05D35"/>
    <w:rsid w:val="00C07242"/>
    <w:rsid w:val="00C1095F"/>
    <w:rsid w:val="00C13FE9"/>
    <w:rsid w:val="00C16BFC"/>
    <w:rsid w:val="00C17313"/>
    <w:rsid w:val="00C21093"/>
    <w:rsid w:val="00C21563"/>
    <w:rsid w:val="00C215A5"/>
    <w:rsid w:val="00C227ED"/>
    <w:rsid w:val="00C23496"/>
    <w:rsid w:val="00C234DD"/>
    <w:rsid w:val="00C24F1E"/>
    <w:rsid w:val="00C25067"/>
    <w:rsid w:val="00C26525"/>
    <w:rsid w:val="00C266D3"/>
    <w:rsid w:val="00C26B47"/>
    <w:rsid w:val="00C27DCD"/>
    <w:rsid w:val="00C33CC5"/>
    <w:rsid w:val="00C34EB6"/>
    <w:rsid w:val="00C35A83"/>
    <w:rsid w:val="00C366E3"/>
    <w:rsid w:val="00C36F11"/>
    <w:rsid w:val="00C37D47"/>
    <w:rsid w:val="00C4113F"/>
    <w:rsid w:val="00C44BFD"/>
    <w:rsid w:val="00C477EA"/>
    <w:rsid w:val="00C50588"/>
    <w:rsid w:val="00C50F9E"/>
    <w:rsid w:val="00C510D4"/>
    <w:rsid w:val="00C518CB"/>
    <w:rsid w:val="00C51B30"/>
    <w:rsid w:val="00C51FAB"/>
    <w:rsid w:val="00C53DB9"/>
    <w:rsid w:val="00C54785"/>
    <w:rsid w:val="00C54786"/>
    <w:rsid w:val="00C55317"/>
    <w:rsid w:val="00C55983"/>
    <w:rsid w:val="00C56E1A"/>
    <w:rsid w:val="00C60360"/>
    <w:rsid w:val="00C607F5"/>
    <w:rsid w:val="00C647E9"/>
    <w:rsid w:val="00C65CB6"/>
    <w:rsid w:val="00C65F73"/>
    <w:rsid w:val="00C65FC4"/>
    <w:rsid w:val="00C66122"/>
    <w:rsid w:val="00C67C89"/>
    <w:rsid w:val="00C70D9B"/>
    <w:rsid w:val="00C72745"/>
    <w:rsid w:val="00C72D6D"/>
    <w:rsid w:val="00C736DC"/>
    <w:rsid w:val="00C75EE6"/>
    <w:rsid w:val="00C75F64"/>
    <w:rsid w:val="00C767DA"/>
    <w:rsid w:val="00C80372"/>
    <w:rsid w:val="00C83FD9"/>
    <w:rsid w:val="00C84F64"/>
    <w:rsid w:val="00C860CB"/>
    <w:rsid w:val="00C86499"/>
    <w:rsid w:val="00C86879"/>
    <w:rsid w:val="00C87CBF"/>
    <w:rsid w:val="00C907BD"/>
    <w:rsid w:val="00C90CC7"/>
    <w:rsid w:val="00C90EEB"/>
    <w:rsid w:val="00C925E8"/>
    <w:rsid w:val="00C926A9"/>
    <w:rsid w:val="00C92776"/>
    <w:rsid w:val="00C93B40"/>
    <w:rsid w:val="00C9477E"/>
    <w:rsid w:val="00C94A94"/>
    <w:rsid w:val="00C94DBD"/>
    <w:rsid w:val="00C96BC9"/>
    <w:rsid w:val="00C9785B"/>
    <w:rsid w:val="00CA0F8F"/>
    <w:rsid w:val="00CA21F9"/>
    <w:rsid w:val="00CA2F51"/>
    <w:rsid w:val="00CA3E6A"/>
    <w:rsid w:val="00CA59E3"/>
    <w:rsid w:val="00CA7FE8"/>
    <w:rsid w:val="00CB00E3"/>
    <w:rsid w:val="00CB0205"/>
    <w:rsid w:val="00CB12AB"/>
    <w:rsid w:val="00CB15AB"/>
    <w:rsid w:val="00CB24BD"/>
    <w:rsid w:val="00CB2751"/>
    <w:rsid w:val="00CB27BF"/>
    <w:rsid w:val="00CB2ACB"/>
    <w:rsid w:val="00CB2B19"/>
    <w:rsid w:val="00CB2BFC"/>
    <w:rsid w:val="00CB36E9"/>
    <w:rsid w:val="00CB45EA"/>
    <w:rsid w:val="00CB59A8"/>
    <w:rsid w:val="00CB7382"/>
    <w:rsid w:val="00CC01B6"/>
    <w:rsid w:val="00CC1469"/>
    <w:rsid w:val="00CC1476"/>
    <w:rsid w:val="00CC3EF8"/>
    <w:rsid w:val="00CC3FF5"/>
    <w:rsid w:val="00CC4D5B"/>
    <w:rsid w:val="00CC5AD2"/>
    <w:rsid w:val="00CC6E3C"/>
    <w:rsid w:val="00CD1ECB"/>
    <w:rsid w:val="00CD54F7"/>
    <w:rsid w:val="00CD5AED"/>
    <w:rsid w:val="00CD76A2"/>
    <w:rsid w:val="00CE0759"/>
    <w:rsid w:val="00CE33B0"/>
    <w:rsid w:val="00CE547B"/>
    <w:rsid w:val="00CE5798"/>
    <w:rsid w:val="00CE5F3B"/>
    <w:rsid w:val="00CE6657"/>
    <w:rsid w:val="00CE7E3E"/>
    <w:rsid w:val="00CF125D"/>
    <w:rsid w:val="00CF3804"/>
    <w:rsid w:val="00CF5166"/>
    <w:rsid w:val="00CF53C8"/>
    <w:rsid w:val="00D00753"/>
    <w:rsid w:val="00D00F98"/>
    <w:rsid w:val="00D015DF"/>
    <w:rsid w:val="00D01AC9"/>
    <w:rsid w:val="00D01AED"/>
    <w:rsid w:val="00D026F6"/>
    <w:rsid w:val="00D028EC"/>
    <w:rsid w:val="00D04F2D"/>
    <w:rsid w:val="00D057CE"/>
    <w:rsid w:val="00D06E59"/>
    <w:rsid w:val="00D102D5"/>
    <w:rsid w:val="00D1060F"/>
    <w:rsid w:val="00D1200F"/>
    <w:rsid w:val="00D121D9"/>
    <w:rsid w:val="00D12718"/>
    <w:rsid w:val="00D12FC2"/>
    <w:rsid w:val="00D13477"/>
    <w:rsid w:val="00D203FE"/>
    <w:rsid w:val="00D224C7"/>
    <w:rsid w:val="00D2392A"/>
    <w:rsid w:val="00D23AE0"/>
    <w:rsid w:val="00D24161"/>
    <w:rsid w:val="00D26035"/>
    <w:rsid w:val="00D27274"/>
    <w:rsid w:val="00D3054D"/>
    <w:rsid w:val="00D306D7"/>
    <w:rsid w:val="00D307F9"/>
    <w:rsid w:val="00D32737"/>
    <w:rsid w:val="00D34683"/>
    <w:rsid w:val="00D3561B"/>
    <w:rsid w:val="00D35B61"/>
    <w:rsid w:val="00D428F1"/>
    <w:rsid w:val="00D441AF"/>
    <w:rsid w:val="00D44B94"/>
    <w:rsid w:val="00D44C44"/>
    <w:rsid w:val="00D44EB8"/>
    <w:rsid w:val="00D45D26"/>
    <w:rsid w:val="00D4701E"/>
    <w:rsid w:val="00D47065"/>
    <w:rsid w:val="00D47429"/>
    <w:rsid w:val="00D47AD7"/>
    <w:rsid w:val="00D502D4"/>
    <w:rsid w:val="00D509F7"/>
    <w:rsid w:val="00D50C80"/>
    <w:rsid w:val="00D51518"/>
    <w:rsid w:val="00D52F83"/>
    <w:rsid w:val="00D55E99"/>
    <w:rsid w:val="00D5697F"/>
    <w:rsid w:val="00D6007A"/>
    <w:rsid w:val="00D60179"/>
    <w:rsid w:val="00D60268"/>
    <w:rsid w:val="00D611A9"/>
    <w:rsid w:val="00D6191C"/>
    <w:rsid w:val="00D65343"/>
    <w:rsid w:val="00D657FB"/>
    <w:rsid w:val="00D65CE7"/>
    <w:rsid w:val="00D65D50"/>
    <w:rsid w:val="00D66055"/>
    <w:rsid w:val="00D661F1"/>
    <w:rsid w:val="00D70DDB"/>
    <w:rsid w:val="00D72B0D"/>
    <w:rsid w:val="00D72D74"/>
    <w:rsid w:val="00D73FEE"/>
    <w:rsid w:val="00D7623F"/>
    <w:rsid w:val="00D76962"/>
    <w:rsid w:val="00D81FD9"/>
    <w:rsid w:val="00D8303E"/>
    <w:rsid w:val="00D83633"/>
    <w:rsid w:val="00D838AB"/>
    <w:rsid w:val="00D84851"/>
    <w:rsid w:val="00D85B96"/>
    <w:rsid w:val="00D87B3D"/>
    <w:rsid w:val="00D90076"/>
    <w:rsid w:val="00D91E14"/>
    <w:rsid w:val="00D91ED3"/>
    <w:rsid w:val="00D92F13"/>
    <w:rsid w:val="00D942D8"/>
    <w:rsid w:val="00D96A88"/>
    <w:rsid w:val="00D973D4"/>
    <w:rsid w:val="00D97578"/>
    <w:rsid w:val="00D97DC9"/>
    <w:rsid w:val="00DA2958"/>
    <w:rsid w:val="00DA2F7F"/>
    <w:rsid w:val="00DA3112"/>
    <w:rsid w:val="00DA43B2"/>
    <w:rsid w:val="00DA578F"/>
    <w:rsid w:val="00DA623A"/>
    <w:rsid w:val="00DB06A0"/>
    <w:rsid w:val="00DB300A"/>
    <w:rsid w:val="00DB4ED5"/>
    <w:rsid w:val="00DB559E"/>
    <w:rsid w:val="00DB5C9B"/>
    <w:rsid w:val="00DB66D8"/>
    <w:rsid w:val="00DB69D3"/>
    <w:rsid w:val="00DC0C10"/>
    <w:rsid w:val="00DC36D7"/>
    <w:rsid w:val="00DC4DDD"/>
    <w:rsid w:val="00DC5EB8"/>
    <w:rsid w:val="00DC645C"/>
    <w:rsid w:val="00DC75A0"/>
    <w:rsid w:val="00DC7CBD"/>
    <w:rsid w:val="00DD181C"/>
    <w:rsid w:val="00DD1A78"/>
    <w:rsid w:val="00DD2F5D"/>
    <w:rsid w:val="00DD5E3C"/>
    <w:rsid w:val="00DD60AC"/>
    <w:rsid w:val="00DD6126"/>
    <w:rsid w:val="00DD7FA3"/>
    <w:rsid w:val="00DE01BD"/>
    <w:rsid w:val="00DE0543"/>
    <w:rsid w:val="00DE1AC5"/>
    <w:rsid w:val="00DE33EF"/>
    <w:rsid w:val="00DE380F"/>
    <w:rsid w:val="00DE6059"/>
    <w:rsid w:val="00DE7B5E"/>
    <w:rsid w:val="00DF0601"/>
    <w:rsid w:val="00DF19CD"/>
    <w:rsid w:val="00DF4ABD"/>
    <w:rsid w:val="00DF6011"/>
    <w:rsid w:val="00DF6046"/>
    <w:rsid w:val="00E021DD"/>
    <w:rsid w:val="00E0387D"/>
    <w:rsid w:val="00E10C45"/>
    <w:rsid w:val="00E12ABB"/>
    <w:rsid w:val="00E12C08"/>
    <w:rsid w:val="00E12D65"/>
    <w:rsid w:val="00E13137"/>
    <w:rsid w:val="00E1361E"/>
    <w:rsid w:val="00E15082"/>
    <w:rsid w:val="00E16211"/>
    <w:rsid w:val="00E17374"/>
    <w:rsid w:val="00E20E8C"/>
    <w:rsid w:val="00E2181C"/>
    <w:rsid w:val="00E219ED"/>
    <w:rsid w:val="00E225E0"/>
    <w:rsid w:val="00E237B0"/>
    <w:rsid w:val="00E23C23"/>
    <w:rsid w:val="00E24650"/>
    <w:rsid w:val="00E24C4D"/>
    <w:rsid w:val="00E25FD4"/>
    <w:rsid w:val="00E26EEB"/>
    <w:rsid w:val="00E3058D"/>
    <w:rsid w:val="00E30743"/>
    <w:rsid w:val="00E31F9C"/>
    <w:rsid w:val="00E33802"/>
    <w:rsid w:val="00E34E15"/>
    <w:rsid w:val="00E37BD0"/>
    <w:rsid w:val="00E41078"/>
    <w:rsid w:val="00E41C62"/>
    <w:rsid w:val="00E4201F"/>
    <w:rsid w:val="00E43368"/>
    <w:rsid w:val="00E4398A"/>
    <w:rsid w:val="00E44A33"/>
    <w:rsid w:val="00E462F1"/>
    <w:rsid w:val="00E46632"/>
    <w:rsid w:val="00E46AB7"/>
    <w:rsid w:val="00E479BF"/>
    <w:rsid w:val="00E50221"/>
    <w:rsid w:val="00E51158"/>
    <w:rsid w:val="00E528B4"/>
    <w:rsid w:val="00E5466C"/>
    <w:rsid w:val="00E557BE"/>
    <w:rsid w:val="00E55AE1"/>
    <w:rsid w:val="00E55FCC"/>
    <w:rsid w:val="00E56251"/>
    <w:rsid w:val="00E579BF"/>
    <w:rsid w:val="00E6023A"/>
    <w:rsid w:val="00E608D4"/>
    <w:rsid w:val="00E6146F"/>
    <w:rsid w:val="00E646C2"/>
    <w:rsid w:val="00E6696D"/>
    <w:rsid w:val="00E70027"/>
    <w:rsid w:val="00E70F03"/>
    <w:rsid w:val="00E71C34"/>
    <w:rsid w:val="00E71D80"/>
    <w:rsid w:val="00E76085"/>
    <w:rsid w:val="00E76442"/>
    <w:rsid w:val="00E77474"/>
    <w:rsid w:val="00E80F50"/>
    <w:rsid w:val="00E81CDA"/>
    <w:rsid w:val="00E82FBF"/>
    <w:rsid w:val="00E8324C"/>
    <w:rsid w:val="00E83C74"/>
    <w:rsid w:val="00E85413"/>
    <w:rsid w:val="00E86220"/>
    <w:rsid w:val="00E867FF"/>
    <w:rsid w:val="00E86A8C"/>
    <w:rsid w:val="00E86E02"/>
    <w:rsid w:val="00E907BB"/>
    <w:rsid w:val="00E915F6"/>
    <w:rsid w:val="00E935EC"/>
    <w:rsid w:val="00E93974"/>
    <w:rsid w:val="00E9476F"/>
    <w:rsid w:val="00E94962"/>
    <w:rsid w:val="00E970FA"/>
    <w:rsid w:val="00EA2709"/>
    <w:rsid w:val="00EA33A4"/>
    <w:rsid w:val="00EA37B1"/>
    <w:rsid w:val="00EA385C"/>
    <w:rsid w:val="00EA3A1F"/>
    <w:rsid w:val="00EA51EF"/>
    <w:rsid w:val="00EA5B6F"/>
    <w:rsid w:val="00EA7573"/>
    <w:rsid w:val="00EA7A6C"/>
    <w:rsid w:val="00EB0AB8"/>
    <w:rsid w:val="00EB1569"/>
    <w:rsid w:val="00EB282A"/>
    <w:rsid w:val="00EB2971"/>
    <w:rsid w:val="00EB3898"/>
    <w:rsid w:val="00EB4967"/>
    <w:rsid w:val="00EB5D97"/>
    <w:rsid w:val="00EB7904"/>
    <w:rsid w:val="00EC0381"/>
    <w:rsid w:val="00EC0C91"/>
    <w:rsid w:val="00EC2075"/>
    <w:rsid w:val="00EC3626"/>
    <w:rsid w:val="00EC47D8"/>
    <w:rsid w:val="00ED09FA"/>
    <w:rsid w:val="00ED0DF2"/>
    <w:rsid w:val="00ED1422"/>
    <w:rsid w:val="00ED224C"/>
    <w:rsid w:val="00ED3933"/>
    <w:rsid w:val="00ED4A13"/>
    <w:rsid w:val="00ED4B1F"/>
    <w:rsid w:val="00ED5C8B"/>
    <w:rsid w:val="00ED7058"/>
    <w:rsid w:val="00EE1B6B"/>
    <w:rsid w:val="00EE2FE8"/>
    <w:rsid w:val="00EE59C2"/>
    <w:rsid w:val="00EE62CA"/>
    <w:rsid w:val="00EE73A7"/>
    <w:rsid w:val="00EF040F"/>
    <w:rsid w:val="00EF0A63"/>
    <w:rsid w:val="00EF0ED7"/>
    <w:rsid w:val="00EF18E7"/>
    <w:rsid w:val="00EF19D9"/>
    <w:rsid w:val="00EF2590"/>
    <w:rsid w:val="00EF3C9D"/>
    <w:rsid w:val="00EF42B7"/>
    <w:rsid w:val="00EF48CC"/>
    <w:rsid w:val="00EF4A7B"/>
    <w:rsid w:val="00EF605A"/>
    <w:rsid w:val="00EF7F57"/>
    <w:rsid w:val="00F023E8"/>
    <w:rsid w:val="00F030FC"/>
    <w:rsid w:val="00F03953"/>
    <w:rsid w:val="00F042C2"/>
    <w:rsid w:val="00F05501"/>
    <w:rsid w:val="00F0739A"/>
    <w:rsid w:val="00F07985"/>
    <w:rsid w:val="00F12D7F"/>
    <w:rsid w:val="00F13206"/>
    <w:rsid w:val="00F13BA5"/>
    <w:rsid w:val="00F13BC9"/>
    <w:rsid w:val="00F141EB"/>
    <w:rsid w:val="00F15119"/>
    <w:rsid w:val="00F159B4"/>
    <w:rsid w:val="00F15D78"/>
    <w:rsid w:val="00F1789D"/>
    <w:rsid w:val="00F20608"/>
    <w:rsid w:val="00F2153E"/>
    <w:rsid w:val="00F22788"/>
    <w:rsid w:val="00F2419D"/>
    <w:rsid w:val="00F24387"/>
    <w:rsid w:val="00F2441B"/>
    <w:rsid w:val="00F2681D"/>
    <w:rsid w:val="00F3033B"/>
    <w:rsid w:val="00F31ABF"/>
    <w:rsid w:val="00F32347"/>
    <w:rsid w:val="00F333EF"/>
    <w:rsid w:val="00F3618F"/>
    <w:rsid w:val="00F3711D"/>
    <w:rsid w:val="00F374A7"/>
    <w:rsid w:val="00F37545"/>
    <w:rsid w:val="00F407E5"/>
    <w:rsid w:val="00F41FC5"/>
    <w:rsid w:val="00F4206B"/>
    <w:rsid w:val="00F433C0"/>
    <w:rsid w:val="00F440DD"/>
    <w:rsid w:val="00F442EE"/>
    <w:rsid w:val="00F45358"/>
    <w:rsid w:val="00F46E8F"/>
    <w:rsid w:val="00F47BA5"/>
    <w:rsid w:val="00F50287"/>
    <w:rsid w:val="00F509FE"/>
    <w:rsid w:val="00F5105F"/>
    <w:rsid w:val="00F51A64"/>
    <w:rsid w:val="00F52648"/>
    <w:rsid w:val="00F539FE"/>
    <w:rsid w:val="00F54786"/>
    <w:rsid w:val="00F547DE"/>
    <w:rsid w:val="00F54810"/>
    <w:rsid w:val="00F55249"/>
    <w:rsid w:val="00F55411"/>
    <w:rsid w:val="00F55742"/>
    <w:rsid w:val="00F56AE7"/>
    <w:rsid w:val="00F57985"/>
    <w:rsid w:val="00F57A30"/>
    <w:rsid w:val="00F611A7"/>
    <w:rsid w:val="00F6206B"/>
    <w:rsid w:val="00F62257"/>
    <w:rsid w:val="00F622CD"/>
    <w:rsid w:val="00F629B9"/>
    <w:rsid w:val="00F640F0"/>
    <w:rsid w:val="00F64A05"/>
    <w:rsid w:val="00F651E8"/>
    <w:rsid w:val="00F65A3F"/>
    <w:rsid w:val="00F65E90"/>
    <w:rsid w:val="00F65F4D"/>
    <w:rsid w:val="00F667DE"/>
    <w:rsid w:val="00F67616"/>
    <w:rsid w:val="00F72127"/>
    <w:rsid w:val="00F75A8F"/>
    <w:rsid w:val="00F7637F"/>
    <w:rsid w:val="00F76E8C"/>
    <w:rsid w:val="00F77433"/>
    <w:rsid w:val="00F778C3"/>
    <w:rsid w:val="00F77B9B"/>
    <w:rsid w:val="00F80493"/>
    <w:rsid w:val="00F8120B"/>
    <w:rsid w:val="00F81E10"/>
    <w:rsid w:val="00F82A3E"/>
    <w:rsid w:val="00F87498"/>
    <w:rsid w:val="00F8784A"/>
    <w:rsid w:val="00F878D0"/>
    <w:rsid w:val="00F90FA8"/>
    <w:rsid w:val="00F9134D"/>
    <w:rsid w:val="00F91837"/>
    <w:rsid w:val="00F91E29"/>
    <w:rsid w:val="00F92B63"/>
    <w:rsid w:val="00F93371"/>
    <w:rsid w:val="00F94311"/>
    <w:rsid w:val="00F9460B"/>
    <w:rsid w:val="00F94695"/>
    <w:rsid w:val="00F952EF"/>
    <w:rsid w:val="00F97102"/>
    <w:rsid w:val="00F9755C"/>
    <w:rsid w:val="00FA121A"/>
    <w:rsid w:val="00FA333C"/>
    <w:rsid w:val="00FA3BAA"/>
    <w:rsid w:val="00FA5C45"/>
    <w:rsid w:val="00FA6A46"/>
    <w:rsid w:val="00FA6FAD"/>
    <w:rsid w:val="00FA78B5"/>
    <w:rsid w:val="00FB0714"/>
    <w:rsid w:val="00FB09F1"/>
    <w:rsid w:val="00FB3BDB"/>
    <w:rsid w:val="00FB3E01"/>
    <w:rsid w:val="00FB4142"/>
    <w:rsid w:val="00FB5B29"/>
    <w:rsid w:val="00FB66AA"/>
    <w:rsid w:val="00FB691C"/>
    <w:rsid w:val="00FC0FC2"/>
    <w:rsid w:val="00FC14CC"/>
    <w:rsid w:val="00FC1D73"/>
    <w:rsid w:val="00FC2076"/>
    <w:rsid w:val="00FC2112"/>
    <w:rsid w:val="00FC2E52"/>
    <w:rsid w:val="00FC3B98"/>
    <w:rsid w:val="00FC3F6A"/>
    <w:rsid w:val="00FC4436"/>
    <w:rsid w:val="00FC46D7"/>
    <w:rsid w:val="00FC5973"/>
    <w:rsid w:val="00FD24EC"/>
    <w:rsid w:val="00FD2767"/>
    <w:rsid w:val="00FD6299"/>
    <w:rsid w:val="00FD6CBC"/>
    <w:rsid w:val="00FE0A19"/>
    <w:rsid w:val="00FE14E4"/>
    <w:rsid w:val="00FE2558"/>
    <w:rsid w:val="00FE3F75"/>
    <w:rsid w:val="00FE47DB"/>
    <w:rsid w:val="00FE56AE"/>
    <w:rsid w:val="00FE7E94"/>
    <w:rsid w:val="00FF061F"/>
    <w:rsid w:val="00FF1AB3"/>
    <w:rsid w:val="00FF2773"/>
    <w:rsid w:val="00FF4456"/>
    <w:rsid w:val="00FF71DE"/>
    <w:rsid w:val="00FF787B"/>
    <w:rsid w:val="00FF7C4E"/>
    <w:rsid w:val="025B28F8"/>
    <w:rsid w:val="07BE06F6"/>
    <w:rsid w:val="167247A7"/>
    <w:rsid w:val="19DB51B1"/>
    <w:rsid w:val="1B875954"/>
    <w:rsid w:val="1D2542CC"/>
    <w:rsid w:val="1E1837F8"/>
    <w:rsid w:val="1F6E154B"/>
    <w:rsid w:val="24AD912A"/>
    <w:rsid w:val="2B5AB78C"/>
    <w:rsid w:val="2C0C41CB"/>
    <w:rsid w:val="2CCFB189"/>
    <w:rsid w:val="2DF5262F"/>
    <w:rsid w:val="2F64B728"/>
    <w:rsid w:val="32B7303E"/>
    <w:rsid w:val="338B1626"/>
    <w:rsid w:val="353F76A0"/>
    <w:rsid w:val="35E0CABD"/>
    <w:rsid w:val="37DE614D"/>
    <w:rsid w:val="3B009953"/>
    <w:rsid w:val="3C58A483"/>
    <w:rsid w:val="3CA3387B"/>
    <w:rsid w:val="42203D40"/>
    <w:rsid w:val="437F7377"/>
    <w:rsid w:val="439145C6"/>
    <w:rsid w:val="46A50481"/>
    <w:rsid w:val="47714BD4"/>
    <w:rsid w:val="48C7C399"/>
    <w:rsid w:val="4AD89472"/>
    <w:rsid w:val="4B9E7786"/>
    <w:rsid w:val="4C105586"/>
    <w:rsid w:val="4C2CAFA9"/>
    <w:rsid w:val="4C535437"/>
    <w:rsid w:val="4DA50E6A"/>
    <w:rsid w:val="51FA902E"/>
    <w:rsid w:val="520B2954"/>
    <w:rsid w:val="534BDAF5"/>
    <w:rsid w:val="5582B266"/>
    <w:rsid w:val="577DC974"/>
    <w:rsid w:val="598A40B1"/>
    <w:rsid w:val="5996B426"/>
    <w:rsid w:val="5B94E9E5"/>
    <w:rsid w:val="604217D0"/>
    <w:rsid w:val="671F7A43"/>
    <w:rsid w:val="69017986"/>
    <w:rsid w:val="69ECAE78"/>
    <w:rsid w:val="6C00566B"/>
    <w:rsid w:val="6F30DB50"/>
    <w:rsid w:val="7214D39D"/>
    <w:rsid w:val="7D6FE458"/>
    <w:rsid w:val="7DBC632B"/>
    <w:rsid w:val="7F249460"/>
    <w:rsid w:val="7F9C4C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DF0E"/>
  <w15:docId w15:val="{163CF89E-85E4-49C0-9E05-1BFCA6EA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
    <w:basedOn w:val="Normal"/>
    <w:link w:val="FootnoteTextChar"/>
    <w:unhideWhenUsed/>
    <w:rsid w:val="00905C9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s Char"/>
    <w:basedOn w:val="DefaultParagraphFont"/>
    <w:link w:val="FootnoteText"/>
    <w:rsid w:val="00905C9A"/>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905C9A"/>
    <w:rPr>
      <w:vertAlign w:val="superscript"/>
    </w:rPr>
  </w:style>
  <w:style w:type="paragraph" w:styleId="BalloonText">
    <w:name w:val="Balloon Text"/>
    <w:basedOn w:val="Normal"/>
    <w:link w:val="BalloonTextChar"/>
    <w:uiPriority w:val="99"/>
    <w:semiHidden/>
    <w:unhideWhenUsed/>
    <w:rsid w:val="0056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14"/>
    <w:rPr>
      <w:rFonts w:ascii="Tahoma" w:hAnsi="Tahoma" w:cs="Tahoma"/>
      <w:sz w:val="16"/>
      <w:szCs w:val="16"/>
    </w:rPr>
  </w:style>
  <w:style w:type="character" w:styleId="CommentReference">
    <w:name w:val="annotation reference"/>
    <w:basedOn w:val="DefaultParagraphFont"/>
    <w:uiPriority w:val="99"/>
    <w:semiHidden/>
    <w:unhideWhenUsed/>
    <w:rsid w:val="00DC4DDD"/>
    <w:rPr>
      <w:sz w:val="16"/>
      <w:szCs w:val="16"/>
    </w:rPr>
  </w:style>
  <w:style w:type="paragraph" w:styleId="CommentText">
    <w:name w:val="annotation text"/>
    <w:basedOn w:val="Normal"/>
    <w:link w:val="CommentTextChar"/>
    <w:uiPriority w:val="99"/>
    <w:semiHidden/>
    <w:unhideWhenUsed/>
    <w:rsid w:val="00DC4DDD"/>
    <w:pPr>
      <w:spacing w:line="240" w:lineRule="auto"/>
    </w:pPr>
    <w:rPr>
      <w:sz w:val="20"/>
      <w:szCs w:val="20"/>
    </w:rPr>
  </w:style>
  <w:style w:type="character" w:customStyle="1" w:styleId="CommentTextChar">
    <w:name w:val="Comment Text Char"/>
    <w:basedOn w:val="DefaultParagraphFont"/>
    <w:link w:val="CommentText"/>
    <w:uiPriority w:val="99"/>
    <w:semiHidden/>
    <w:rsid w:val="00DC4DDD"/>
    <w:rPr>
      <w:sz w:val="20"/>
      <w:szCs w:val="20"/>
    </w:rPr>
  </w:style>
  <w:style w:type="paragraph" w:styleId="CommentSubject">
    <w:name w:val="annotation subject"/>
    <w:basedOn w:val="CommentText"/>
    <w:next w:val="CommentText"/>
    <w:link w:val="CommentSubjectChar"/>
    <w:uiPriority w:val="99"/>
    <w:semiHidden/>
    <w:unhideWhenUsed/>
    <w:rsid w:val="00DC4DDD"/>
    <w:rPr>
      <w:b/>
      <w:bCs/>
    </w:rPr>
  </w:style>
  <w:style w:type="character" w:customStyle="1" w:styleId="CommentSubjectChar">
    <w:name w:val="Comment Subject Char"/>
    <w:basedOn w:val="CommentTextChar"/>
    <w:link w:val="CommentSubject"/>
    <w:uiPriority w:val="99"/>
    <w:semiHidden/>
    <w:rsid w:val="00DC4DDD"/>
    <w:rPr>
      <w:b/>
      <w:bCs/>
      <w:sz w:val="20"/>
      <w:szCs w:val="20"/>
    </w:rPr>
  </w:style>
  <w:style w:type="paragraph" w:styleId="Header">
    <w:name w:val="header"/>
    <w:basedOn w:val="Normal"/>
    <w:link w:val="HeaderChar"/>
    <w:uiPriority w:val="99"/>
    <w:unhideWhenUsed/>
    <w:rsid w:val="00D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B96"/>
  </w:style>
  <w:style w:type="paragraph" w:styleId="Footer">
    <w:name w:val="footer"/>
    <w:basedOn w:val="Normal"/>
    <w:link w:val="FooterChar"/>
    <w:uiPriority w:val="99"/>
    <w:unhideWhenUsed/>
    <w:rsid w:val="00D85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96"/>
  </w:style>
  <w:style w:type="paragraph" w:styleId="ListParagraph">
    <w:name w:val="List Paragraph"/>
    <w:basedOn w:val="Normal"/>
    <w:uiPriority w:val="34"/>
    <w:qFormat/>
    <w:rsid w:val="005F66E6"/>
    <w:pPr>
      <w:ind w:left="720"/>
      <w:contextualSpacing/>
    </w:pPr>
  </w:style>
  <w:style w:type="paragraph" w:styleId="Revision">
    <w:name w:val="Revision"/>
    <w:hidden/>
    <w:uiPriority w:val="99"/>
    <w:semiHidden/>
    <w:rsid w:val="003A62E9"/>
    <w:pPr>
      <w:spacing w:after="0" w:line="240" w:lineRule="auto"/>
    </w:pPr>
  </w:style>
  <w:style w:type="character" w:styleId="PlaceholderText">
    <w:name w:val="Placeholder Text"/>
    <w:basedOn w:val="DefaultParagraphFont"/>
    <w:uiPriority w:val="99"/>
    <w:semiHidden/>
    <w:rsid w:val="00D838AB"/>
    <w:rPr>
      <w:color w:val="808080"/>
    </w:rPr>
  </w:style>
  <w:style w:type="paragraph" w:styleId="EndnoteText">
    <w:name w:val="endnote text"/>
    <w:basedOn w:val="Normal"/>
    <w:link w:val="EndnoteTextChar"/>
    <w:rsid w:val="00EF7F57"/>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EF7F57"/>
    <w:rPr>
      <w:rFonts w:ascii="Times New Roman" w:eastAsia="Times New Roman" w:hAnsi="Times New Roman" w:cs="Times New Roman"/>
      <w:sz w:val="20"/>
      <w:szCs w:val="20"/>
      <w:lang w:val="en-US"/>
    </w:rPr>
  </w:style>
  <w:style w:type="character" w:styleId="EndnoteReference">
    <w:name w:val="endnote reference"/>
    <w:basedOn w:val="DefaultParagraphFont"/>
    <w:rsid w:val="00EF7F57"/>
    <w:rPr>
      <w:vertAlign w:val="superscript"/>
    </w:rPr>
  </w:style>
  <w:style w:type="character" w:styleId="Strong">
    <w:name w:val="Strong"/>
    <w:basedOn w:val="DefaultParagraphFont"/>
    <w:uiPriority w:val="22"/>
    <w:qFormat/>
    <w:rsid w:val="00635ED9"/>
    <w:rPr>
      <w:b/>
      <w:bCs/>
    </w:rPr>
  </w:style>
  <w:style w:type="character" w:styleId="Hyperlink">
    <w:name w:val="Hyperlink"/>
    <w:basedOn w:val="DefaultParagraphFont"/>
    <w:uiPriority w:val="99"/>
    <w:unhideWhenUsed/>
    <w:rsid w:val="00635ED9"/>
    <w:rPr>
      <w:color w:val="0000FF"/>
      <w:u w:val="single"/>
    </w:rPr>
  </w:style>
  <w:style w:type="character" w:styleId="Emphasis">
    <w:name w:val="Emphasis"/>
    <w:basedOn w:val="DefaultParagraphFont"/>
    <w:uiPriority w:val="20"/>
    <w:qFormat/>
    <w:rsid w:val="00635ED9"/>
    <w:rPr>
      <w:i/>
      <w:iCs/>
    </w:rPr>
  </w:style>
  <w:style w:type="character" w:styleId="FollowedHyperlink">
    <w:name w:val="FollowedHyperlink"/>
    <w:basedOn w:val="DefaultParagraphFont"/>
    <w:uiPriority w:val="99"/>
    <w:semiHidden/>
    <w:unhideWhenUsed/>
    <w:rsid w:val="00584D5F"/>
    <w:rPr>
      <w:color w:val="800080" w:themeColor="followedHyperlink"/>
      <w:u w:val="single"/>
    </w:rPr>
  </w:style>
  <w:style w:type="character" w:customStyle="1" w:styleId="apple-converted-space">
    <w:name w:val="apple-converted-space"/>
    <w:basedOn w:val="DefaultParagraphFont"/>
    <w:rsid w:val="00CA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1228">
      <w:bodyDiv w:val="1"/>
      <w:marLeft w:val="0"/>
      <w:marRight w:val="0"/>
      <w:marTop w:val="0"/>
      <w:marBottom w:val="0"/>
      <w:divBdr>
        <w:top w:val="none" w:sz="0" w:space="0" w:color="auto"/>
        <w:left w:val="none" w:sz="0" w:space="0" w:color="auto"/>
        <w:bottom w:val="none" w:sz="0" w:space="0" w:color="auto"/>
        <w:right w:val="none" w:sz="0" w:space="0" w:color="auto"/>
      </w:divBdr>
    </w:div>
    <w:div w:id="134492494">
      <w:bodyDiv w:val="1"/>
      <w:marLeft w:val="0"/>
      <w:marRight w:val="0"/>
      <w:marTop w:val="0"/>
      <w:marBottom w:val="0"/>
      <w:divBdr>
        <w:top w:val="none" w:sz="0" w:space="0" w:color="auto"/>
        <w:left w:val="none" w:sz="0" w:space="0" w:color="auto"/>
        <w:bottom w:val="none" w:sz="0" w:space="0" w:color="auto"/>
        <w:right w:val="none" w:sz="0" w:space="0" w:color="auto"/>
      </w:divBdr>
    </w:div>
    <w:div w:id="155416214">
      <w:bodyDiv w:val="1"/>
      <w:marLeft w:val="0"/>
      <w:marRight w:val="0"/>
      <w:marTop w:val="0"/>
      <w:marBottom w:val="0"/>
      <w:divBdr>
        <w:top w:val="none" w:sz="0" w:space="0" w:color="auto"/>
        <w:left w:val="none" w:sz="0" w:space="0" w:color="auto"/>
        <w:bottom w:val="none" w:sz="0" w:space="0" w:color="auto"/>
        <w:right w:val="none" w:sz="0" w:space="0" w:color="auto"/>
      </w:divBdr>
    </w:div>
    <w:div w:id="218565285">
      <w:bodyDiv w:val="1"/>
      <w:marLeft w:val="0"/>
      <w:marRight w:val="0"/>
      <w:marTop w:val="0"/>
      <w:marBottom w:val="0"/>
      <w:divBdr>
        <w:top w:val="none" w:sz="0" w:space="0" w:color="auto"/>
        <w:left w:val="none" w:sz="0" w:space="0" w:color="auto"/>
        <w:bottom w:val="none" w:sz="0" w:space="0" w:color="auto"/>
        <w:right w:val="none" w:sz="0" w:space="0" w:color="auto"/>
      </w:divBdr>
    </w:div>
    <w:div w:id="365183438">
      <w:bodyDiv w:val="1"/>
      <w:marLeft w:val="0"/>
      <w:marRight w:val="0"/>
      <w:marTop w:val="0"/>
      <w:marBottom w:val="0"/>
      <w:divBdr>
        <w:top w:val="none" w:sz="0" w:space="0" w:color="auto"/>
        <w:left w:val="none" w:sz="0" w:space="0" w:color="auto"/>
        <w:bottom w:val="none" w:sz="0" w:space="0" w:color="auto"/>
        <w:right w:val="none" w:sz="0" w:space="0" w:color="auto"/>
      </w:divBdr>
    </w:div>
    <w:div w:id="526909443">
      <w:bodyDiv w:val="1"/>
      <w:marLeft w:val="0"/>
      <w:marRight w:val="0"/>
      <w:marTop w:val="0"/>
      <w:marBottom w:val="0"/>
      <w:divBdr>
        <w:top w:val="none" w:sz="0" w:space="0" w:color="auto"/>
        <w:left w:val="none" w:sz="0" w:space="0" w:color="auto"/>
        <w:bottom w:val="none" w:sz="0" w:space="0" w:color="auto"/>
        <w:right w:val="none" w:sz="0" w:space="0" w:color="auto"/>
      </w:divBdr>
    </w:div>
    <w:div w:id="537279899">
      <w:bodyDiv w:val="1"/>
      <w:marLeft w:val="0"/>
      <w:marRight w:val="0"/>
      <w:marTop w:val="0"/>
      <w:marBottom w:val="0"/>
      <w:divBdr>
        <w:top w:val="none" w:sz="0" w:space="0" w:color="auto"/>
        <w:left w:val="none" w:sz="0" w:space="0" w:color="auto"/>
        <w:bottom w:val="none" w:sz="0" w:space="0" w:color="auto"/>
        <w:right w:val="none" w:sz="0" w:space="0" w:color="auto"/>
      </w:divBdr>
    </w:div>
    <w:div w:id="546069772">
      <w:bodyDiv w:val="1"/>
      <w:marLeft w:val="0"/>
      <w:marRight w:val="0"/>
      <w:marTop w:val="0"/>
      <w:marBottom w:val="0"/>
      <w:divBdr>
        <w:top w:val="none" w:sz="0" w:space="0" w:color="auto"/>
        <w:left w:val="none" w:sz="0" w:space="0" w:color="auto"/>
        <w:bottom w:val="none" w:sz="0" w:space="0" w:color="auto"/>
        <w:right w:val="none" w:sz="0" w:space="0" w:color="auto"/>
      </w:divBdr>
    </w:div>
    <w:div w:id="1457873279">
      <w:bodyDiv w:val="1"/>
      <w:marLeft w:val="0"/>
      <w:marRight w:val="0"/>
      <w:marTop w:val="0"/>
      <w:marBottom w:val="0"/>
      <w:divBdr>
        <w:top w:val="none" w:sz="0" w:space="0" w:color="auto"/>
        <w:left w:val="none" w:sz="0" w:space="0" w:color="auto"/>
        <w:bottom w:val="none" w:sz="0" w:space="0" w:color="auto"/>
        <w:right w:val="none" w:sz="0" w:space="0" w:color="auto"/>
      </w:divBdr>
    </w:div>
    <w:div w:id="1801535005">
      <w:bodyDiv w:val="1"/>
      <w:marLeft w:val="0"/>
      <w:marRight w:val="0"/>
      <w:marTop w:val="0"/>
      <w:marBottom w:val="0"/>
      <w:divBdr>
        <w:top w:val="none" w:sz="0" w:space="0" w:color="auto"/>
        <w:left w:val="none" w:sz="0" w:space="0" w:color="auto"/>
        <w:bottom w:val="none" w:sz="0" w:space="0" w:color="auto"/>
        <w:right w:val="none" w:sz="0" w:space="0" w:color="auto"/>
      </w:divBdr>
    </w:div>
    <w:div w:id="21347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Dawson@bath.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F6E13-5CE2-4F23-AE25-B1263E60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7861</Words>
  <Characters>44810</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cgdadmin</dc:creator>
  <cp:lastModifiedBy>Balfour S.</cp:lastModifiedBy>
  <cp:revision>2</cp:revision>
  <cp:lastPrinted>2017-04-03T10:49:00Z</cp:lastPrinted>
  <dcterms:created xsi:type="dcterms:W3CDTF">2017-04-03T10:49:00Z</dcterms:created>
  <dcterms:modified xsi:type="dcterms:W3CDTF">2017-04-03T10:49:00Z</dcterms:modified>
</cp:coreProperties>
</file>