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81C" w:rsidRDefault="003C281C" w:rsidP="00C20310">
      <w:pPr>
        <w:widowControl w:val="0"/>
        <w:autoSpaceDE w:val="0"/>
        <w:autoSpaceDN w:val="0"/>
        <w:adjustRightInd w:val="0"/>
        <w:spacing w:after="0" w:line="240" w:lineRule="auto"/>
        <w:rPr>
          <w:rFonts w:ascii="Times New Roman" w:hAnsi="Times New Roman" w:cs="Times New Roman"/>
          <w:b/>
          <w:sz w:val="26"/>
          <w:szCs w:val="30"/>
        </w:rPr>
      </w:pPr>
      <w:r w:rsidRPr="00C246B2">
        <w:rPr>
          <w:rFonts w:ascii="Times New Roman" w:hAnsi="Times New Roman" w:cs="Times New Roman"/>
          <w:b/>
          <w:sz w:val="30"/>
          <w:szCs w:val="30"/>
        </w:rPr>
        <w:t xml:space="preserve">Comparison between </w:t>
      </w:r>
      <w:r>
        <w:rPr>
          <w:rFonts w:ascii="Times New Roman" w:hAnsi="Times New Roman" w:cs="Times New Roman"/>
          <w:b/>
          <w:sz w:val="30"/>
          <w:szCs w:val="30"/>
        </w:rPr>
        <w:t>treatment</w:t>
      </w:r>
      <w:r w:rsidRPr="00C246B2">
        <w:rPr>
          <w:rFonts w:ascii="Times New Roman" w:hAnsi="Times New Roman" w:cs="Times New Roman"/>
          <w:b/>
          <w:sz w:val="30"/>
          <w:szCs w:val="30"/>
        </w:rPr>
        <w:t xml:space="preserve"> effects in a trial versus</w:t>
      </w:r>
      <w:r>
        <w:rPr>
          <w:rFonts w:ascii="Times New Roman" w:hAnsi="Times New Roman" w:cs="Times New Roman"/>
          <w:b/>
          <w:sz w:val="30"/>
          <w:szCs w:val="30"/>
        </w:rPr>
        <w:t xml:space="preserve"> </w:t>
      </w:r>
      <w:r w:rsidRPr="00C246B2">
        <w:rPr>
          <w:rFonts w:ascii="Times New Roman" w:hAnsi="Times New Roman" w:cs="Times New Roman"/>
          <w:b/>
          <w:sz w:val="30"/>
          <w:szCs w:val="30"/>
        </w:rPr>
        <w:t xml:space="preserve">an observational </w:t>
      </w:r>
      <w:proofErr w:type="spellStart"/>
      <w:r w:rsidRPr="00C246B2">
        <w:rPr>
          <w:rFonts w:ascii="Times New Roman" w:hAnsi="Times New Roman" w:cs="Times New Roman"/>
          <w:b/>
          <w:sz w:val="30"/>
          <w:szCs w:val="30"/>
        </w:rPr>
        <w:t>study</w:t>
      </w:r>
      <w:proofErr w:type="gramStart"/>
      <w:r w:rsidRPr="00C246B2">
        <w:rPr>
          <w:rFonts w:ascii="Times New Roman" w:hAnsi="Times New Roman" w:cs="Times New Roman"/>
          <w:b/>
          <w:sz w:val="30"/>
          <w:szCs w:val="30"/>
        </w:rPr>
        <w:t>:</w:t>
      </w:r>
      <w:r w:rsidRPr="00A02C7F">
        <w:rPr>
          <w:rFonts w:ascii="Times New Roman" w:hAnsi="Times New Roman" w:cs="Times New Roman"/>
          <w:b/>
          <w:sz w:val="26"/>
          <w:szCs w:val="30"/>
        </w:rPr>
        <w:t>the</w:t>
      </w:r>
      <w:proofErr w:type="spellEnd"/>
      <w:proofErr w:type="gramEnd"/>
      <w:r w:rsidRPr="00A02C7F">
        <w:rPr>
          <w:rFonts w:ascii="Times New Roman" w:hAnsi="Times New Roman" w:cs="Times New Roman"/>
          <w:b/>
          <w:sz w:val="26"/>
          <w:szCs w:val="30"/>
        </w:rPr>
        <w:t xml:space="preserve"> example of the GRACE study</w:t>
      </w:r>
    </w:p>
    <w:p w:rsidR="00C20310" w:rsidRPr="00A02C7F" w:rsidRDefault="00C20310" w:rsidP="00C20310">
      <w:pPr>
        <w:widowControl w:val="0"/>
        <w:autoSpaceDE w:val="0"/>
        <w:autoSpaceDN w:val="0"/>
        <w:adjustRightInd w:val="0"/>
        <w:spacing w:after="0" w:line="240" w:lineRule="auto"/>
        <w:rPr>
          <w:b/>
          <w:sz w:val="18"/>
        </w:rPr>
      </w:pPr>
    </w:p>
    <w:p w:rsidR="003C281C" w:rsidRDefault="003C281C" w:rsidP="003C281C">
      <w:pPr>
        <w:rPr>
          <w:lang w:val="de-DE"/>
        </w:rPr>
      </w:pPr>
      <w:r w:rsidRPr="00FC6508">
        <w:rPr>
          <w:lang w:val="de-DE"/>
        </w:rPr>
        <w:t>Grebel L</w:t>
      </w:r>
      <w:r w:rsidR="00091637">
        <w:rPr>
          <w:lang w:val="de-DE"/>
        </w:rPr>
        <w:t>*</w:t>
      </w:r>
      <w:r w:rsidRPr="00FC6508">
        <w:rPr>
          <w:lang w:val="de-DE"/>
        </w:rPr>
        <w:t>, Stuart B</w:t>
      </w:r>
      <w:r w:rsidR="00091637">
        <w:rPr>
          <w:lang w:val="de-DE"/>
        </w:rPr>
        <w:t>*</w:t>
      </w:r>
      <w:r w:rsidRPr="00FC6508">
        <w:rPr>
          <w:lang w:val="de-DE"/>
        </w:rPr>
        <w:t>, Butler C.C., Hood K, Verheij T, Little P</w:t>
      </w:r>
    </w:p>
    <w:p w:rsidR="00091637" w:rsidRDefault="00091637" w:rsidP="003C281C">
      <w:pPr>
        <w:rPr>
          <w:lang w:val="de-DE"/>
        </w:rPr>
      </w:pPr>
      <w:r>
        <w:rPr>
          <w:lang w:val="de-DE"/>
        </w:rPr>
        <w:t>*Joint first authors</w:t>
      </w:r>
    </w:p>
    <w:p w:rsidR="003C281C" w:rsidRDefault="003C281C" w:rsidP="003C281C">
      <w:pPr>
        <w:rPr>
          <w:bCs/>
        </w:rPr>
      </w:pPr>
      <w:r w:rsidRPr="00C33B9D">
        <w:t xml:space="preserve">Louise </w:t>
      </w:r>
      <w:r>
        <w:t xml:space="preserve">E.N. </w:t>
      </w:r>
      <w:proofErr w:type="spellStart"/>
      <w:r w:rsidRPr="00C33B9D">
        <w:t>Grebel</w:t>
      </w:r>
      <w:proofErr w:type="spellEnd"/>
      <w:r w:rsidRPr="00C33B9D">
        <w:t xml:space="preserve"> MSc, </w:t>
      </w:r>
      <w:r w:rsidRPr="00C33B9D">
        <w:rPr>
          <w:bCs/>
        </w:rPr>
        <w:t xml:space="preserve">Julius </w:t>
      </w:r>
      <w:proofErr w:type="spellStart"/>
      <w:r w:rsidRPr="00C33B9D">
        <w:rPr>
          <w:bCs/>
        </w:rPr>
        <w:t>Center</w:t>
      </w:r>
      <w:proofErr w:type="spellEnd"/>
      <w:r w:rsidRPr="00C33B9D">
        <w:rPr>
          <w:bCs/>
        </w:rPr>
        <w:t xml:space="preserve"> for Health Sciences and Primary Care, University Medical </w:t>
      </w:r>
      <w:proofErr w:type="spellStart"/>
      <w:r w:rsidRPr="00C33B9D">
        <w:rPr>
          <w:bCs/>
        </w:rPr>
        <w:t>Center</w:t>
      </w:r>
      <w:proofErr w:type="spellEnd"/>
      <w:r w:rsidRPr="00C33B9D">
        <w:rPr>
          <w:bCs/>
        </w:rPr>
        <w:t xml:space="preserve"> Utrecht, </w:t>
      </w:r>
      <w:proofErr w:type="spellStart"/>
      <w:r>
        <w:rPr>
          <w:bCs/>
        </w:rPr>
        <w:t>Universiteitsweg</w:t>
      </w:r>
      <w:proofErr w:type="spellEnd"/>
      <w:r>
        <w:rPr>
          <w:bCs/>
        </w:rPr>
        <w:t xml:space="preserve"> 100, </w:t>
      </w:r>
      <w:r w:rsidRPr="00C33B9D">
        <w:rPr>
          <w:bCs/>
        </w:rPr>
        <w:t xml:space="preserve">Utrecht, Netherlands. </w:t>
      </w:r>
      <w:hyperlink r:id="rId6" w:history="1">
        <w:r w:rsidRPr="00D26BB5">
          <w:rPr>
            <w:rStyle w:val="Hyperlink"/>
            <w:bCs/>
          </w:rPr>
          <w:t>l.e.n.grebel@gmail.com</w:t>
        </w:r>
      </w:hyperlink>
      <w:r>
        <w:rPr>
          <w:bCs/>
        </w:rPr>
        <w:t xml:space="preserve"> </w:t>
      </w:r>
    </w:p>
    <w:p w:rsidR="003C281C" w:rsidRPr="00C33B9D" w:rsidRDefault="003C281C" w:rsidP="003C281C">
      <w:pPr>
        <w:rPr>
          <w:bCs/>
        </w:rPr>
      </w:pPr>
      <w:r>
        <w:rPr>
          <w:bCs/>
        </w:rPr>
        <w:t xml:space="preserve">Tel: +31 </w:t>
      </w:r>
      <w:r w:rsidRPr="007875B2">
        <w:rPr>
          <w:bCs/>
        </w:rPr>
        <w:t>88 75 681 81</w:t>
      </w:r>
      <w:r>
        <w:rPr>
          <w:bCs/>
        </w:rPr>
        <w:t>. Fax: +31</w:t>
      </w:r>
      <w:r w:rsidRPr="007875B2">
        <w:rPr>
          <w:bCs/>
        </w:rPr>
        <w:t>88 75 680 99</w:t>
      </w:r>
    </w:p>
    <w:p w:rsidR="003C281C" w:rsidRPr="00C33B9D" w:rsidRDefault="003C281C" w:rsidP="003C281C">
      <w:r w:rsidRPr="00C33B9D">
        <w:t xml:space="preserve">Beth </w:t>
      </w:r>
      <w:r>
        <w:t xml:space="preserve">L </w:t>
      </w:r>
      <w:r w:rsidRPr="00C33B9D">
        <w:t>Stuart PhD, Primary Care and Population Sciences Divis</w:t>
      </w:r>
      <w:r>
        <w:t xml:space="preserve">ion, University of Southampton, </w:t>
      </w:r>
      <w:proofErr w:type="spellStart"/>
      <w:r w:rsidRPr="00500E66">
        <w:t>Aldermoor</w:t>
      </w:r>
      <w:proofErr w:type="spellEnd"/>
      <w:r w:rsidRPr="00500E66">
        <w:t xml:space="preserve"> Health Centre</w:t>
      </w:r>
      <w:r>
        <w:t>,</w:t>
      </w:r>
      <w:r w:rsidRPr="00500E66">
        <w:t xml:space="preserve"> </w:t>
      </w:r>
      <w:proofErr w:type="spellStart"/>
      <w:r>
        <w:t>Aldermoor</w:t>
      </w:r>
      <w:proofErr w:type="spellEnd"/>
      <w:r>
        <w:t xml:space="preserve"> Close SO16 5ST</w:t>
      </w:r>
      <w:r w:rsidRPr="00C33B9D">
        <w:t xml:space="preserve"> Southampton, UK. </w:t>
      </w:r>
      <w:hyperlink r:id="rId7" w:history="1">
        <w:r w:rsidRPr="00C33B9D">
          <w:rPr>
            <w:rStyle w:val="Hyperlink"/>
          </w:rPr>
          <w:t>bls1@soton.ac.uk</w:t>
        </w:r>
      </w:hyperlink>
      <w:r w:rsidRPr="00C33B9D">
        <w:t xml:space="preserve"> </w:t>
      </w:r>
    </w:p>
    <w:p w:rsidR="00EE3052" w:rsidRPr="00052855" w:rsidRDefault="00EE3052" w:rsidP="00FA5295">
      <w:pPr>
        <w:spacing w:afterLines="60" w:after="144" w:line="360" w:lineRule="auto"/>
        <w:rPr>
          <w:rFonts w:eastAsia="Times New Roman"/>
          <w:color w:val="222222"/>
          <w:shd w:val="clear" w:color="auto" w:fill="FFFFFF"/>
          <w:lang w:val="en-US" w:eastAsia="en-US"/>
        </w:rPr>
      </w:pPr>
      <w:r w:rsidRPr="008B7CC1">
        <w:rPr>
          <w:rFonts w:cs="Calibri"/>
        </w:rPr>
        <w:t xml:space="preserve">CC </w:t>
      </w:r>
      <w:proofErr w:type="gramStart"/>
      <w:r w:rsidRPr="008B7CC1">
        <w:rPr>
          <w:rFonts w:cs="Calibri"/>
        </w:rPr>
        <w:t>Butler</w:t>
      </w:r>
      <w:r w:rsidRPr="008B7CC1">
        <w:rPr>
          <w:rFonts w:cs="Calibri"/>
          <w:vertAlign w:val="superscript"/>
        </w:rPr>
        <w:t xml:space="preserve">1  </w:t>
      </w:r>
      <w:r w:rsidRPr="00052855">
        <w:t>Professor</w:t>
      </w:r>
      <w:proofErr w:type="gramEnd"/>
      <w:r w:rsidRPr="00052855">
        <w:t xml:space="preserve"> of primary care, </w:t>
      </w:r>
      <w:proofErr w:type="spellStart"/>
      <w:r w:rsidRPr="00052855">
        <w:t>FMedSci</w:t>
      </w:r>
      <w:proofErr w:type="spellEnd"/>
      <w:r w:rsidRPr="00052855">
        <w:t xml:space="preserve">, Nuffield Department of Primary Care Health Sciences, University of Oxford, </w:t>
      </w:r>
      <w:r w:rsidRPr="00052855">
        <w:rPr>
          <w:rFonts w:eastAsia="Times New Roman"/>
          <w:color w:val="222222"/>
          <w:shd w:val="clear" w:color="auto" w:fill="FFFFFF"/>
          <w:lang w:val="en-US" w:eastAsia="en-US"/>
        </w:rPr>
        <w:t xml:space="preserve">Radcliffe Primary Care Building, Radcliffe Observatory Quarter, Woodstock Rd, Oxford OX2 6GG, </w:t>
      </w:r>
      <w:hyperlink r:id="rId8" w:history="1">
        <w:r w:rsidRPr="00052855">
          <w:rPr>
            <w:rStyle w:val="Hyperlink"/>
            <w:rFonts w:eastAsia="Times New Roman"/>
            <w:shd w:val="clear" w:color="auto" w:fill="FFFFFF"/>
            <w:lang w:val="en-US" w:eastAsia="en-US"/>
          </w:rPr>
          <w:t>Christopher.butler@phc.ox.ac.uk</w:t>
        </w:r>
      </w:hyperlink>
    </w:p>
    <w:p w:rsidR="003C281C" w:rsidRDefault="003C281C" w:rsidP="003C281C">
      <w:proofErr w:type="spellStart"/>
      <w:r w:rsidRPr="00C33B9D">
        <w:t>Kerenza</w:t>
      </w:r>
      <w:proofErr w:type="spellEnd"/>
      <w:r w:rsidRPr="00C33B9D">
        <w:t xml:space="preserve"> Hood Prof PhD, </w:t>
      </w:r>
      <w:r w:rsidR="000273C0">
        <w:t>Centre for Trials Research</w:t>
      </w:r>
      <w:r w:rsidRPr="00C33B9D">
        <w:t xml:space="preserve">, Cardiff University, </w:t>
      </w:r>
      <w:r>
        <w:t xml:space="preserve">Neuadd Meirionnydd Heath Park Cardiff CF14 4YS </w:t>
      </w:r>
      <w:r w:rsidRPr="00C33B9D">
        <w:t xml:space="preserve">Cardiff, UK. </w:t>
      </w:r>
      <w:hyperlink r:id="rId9" w:history="1">
        <w:r w:rsidRPr="00C33B9D">
          <w:rPr>
            <w:rStyle w:val="Hyperlink"/>
          </w:rPr>
          <w:t>hoodk1@cardiff.ac.uk</w:t>
        </w:r>
      </w:hyperlink>
      <w:r w:rsidRPr="00C33B9D">
        <w:t xml:space="preserve"> </w:t>
      </w:r>
    </w:p>
    <w:p w:rsidR="003C281C" w:rsidRPr="00C33B9D" w:rsidRDefault="003C281C" w:rsidP="003C281C">
      <w:r>
        <w:t xml:space="preserve">Tel: </w:t>
      </w:r>
      <w:r w:rsidRPr="00500E66">
        <w:t>+44 29 20687163</w:t>
      </w:r>
    </w:p>
    <w:p w:rsidR="003C281C" w:rsidRDefault="003C281C" w:rsidP="003C281C">
      <w:pPr>
        <w:rPr>
          <w:bCs/>
        </w:rPr>
      </w:pPr>
      <w:r w:rsidRPr="00C33B9D">
        <w:t xml:space="preserve">Theo </w:t>
      </w:r>
      <w:r>
        <w:t xml:space="preserve">J M </w:t>
      </w:r>
      <w:proofErr w:type="spellStart"/>
      <w:r w:rsidRPr="00C33B9D">
        <w:t>Verheij</w:t>
      </w:r>
      <w:proofErr w:type="spellEnd"/>
      <w:r w:rsidRPr="00C33B9D">
        <w:t xml:space="preserve"> Prof PhD, </w:t>
      </w:r>
      <w:r w:rsidRPr="00C33B9D">
        <w:rPr>
          <w:bCs/>
        </w:rPr>
        <w:t xml:space="preserve">Julius </w:t>
      </w:r>
      <w:proofErr w:type="spellStart"/>
      <w:r w:rsidRPr="00C33B9D">
        <w:rPr>
          <w:bCs/>
        </w:rPr>
        <w:t>Center</w:t>
      </w:r>
      <w:proofErr w:type="spellEnd"/>
      <w:r w:rsidRPr="00C33B9D">
        <w:rPr>
          <w:bCs/>
        </w:rPr>
        <w:t xml:space="preserve"> for Health Sciences and Primary Care, University Medical </w:t>
      </w:r>
      <w:proofErr w:type="spellStart"/>
      <w:r w:rsidRPr="00C33B9D">
        <w:rPr>
          <w:bCs/>
        </w:rPr>
        <w:t>Center</w:t>
      </w:r>
      <w:proofErr w:type="spellEnd"/>
      <w:r w:rsidRPr="00C33B9D">
        <w:rPr>
          <w:bCs/>
        </w:rPr>
        <w:t xml:space="preserve"> Utrecht, </w:t>
      </w:r>
      <w:proofErr w:type="spellStart"/>
      <w:r>
        <w:rPr>
          <w:bCs/>
        </w:rPr>
        <w:t>Universiteitsweg</w:t>
      </w:r>
      <w:proofErr w:type="spellEnd"/>
      <w:r>
        <w:rPr>
          <w:bCs/>
        </w:rPr>
        <w:t xml:space="preserve"> 100, </w:t>
      </w:r>
      <w:r w:rsidRPr="00C33B9D">
        <w:rPr>
          <w:bCs/>
        </w:rPr>
        <w:t xml:space="preserve">Utrecht, Netherlands. </w:t>
      </w:r>
      <w:hyperlink r:id="rId10" w:history="1">
        <w:r w:rsidRPr="00C33B9D">
          <w:rPr>
            <w:rStyle w:val="Hyperlink"/>
            <w:bCs/>
          </w:rPr>
          <w:t>t.j.m.verheij@umcutrecht.nl</w:t>
        </w:r>
      </w:hyperlink>
      <w:r w:rsidRPr="00C33B9D">
        <w:rPr>
          <w:bCs/>
        </w:rPr>
        <w:t xml:space="preserve"> </w:t>
      </w:r>
    </w:p>
    <w:p w:rsidR="003C281C" w:rsidRPr="007875B2" w:rsidRDefault="003C281C" w:rsidP="003C281C">
      <w:pPr>
        <w:rPr>
          <w:bCs/>
        </w:rPr>
      </w:pPr>
      <w:r>
        <w:rPr>
          <w:bCs/>
        </w:rPr>
        <w:t>Tel: +31</w:t>
      </w:r>
      <w:r w:rsidRPr="007875B2">
        <w:rPr>
          <w:bCs/>
        </w:rPr>
        <w:t>88 75 681 81</w:t>
      </w:r>
      <w:r>
        <w:rPr>
          <w:bCs/>
        </w:rPr>
        <w:t>. Fax: +31</w:t>
      </w:r>
      <w:r w:rsidRPr="007875B2">
        <w:rPr>
          <w:bCs/>
        </w:rPr>
        <w:t>88 75 680 99</w:t>
      </w:r>
    </w:p>
    <w:p w:rsidR="003C281C" w:rsidRDefault="003C281C" w:rsidP="003C281C">
      <w:pPr>
        <w:widowControl w:val="0"/>
        <w:autoSpaceDE w:val="0"/>
        <w:autoSpaceDN w:val="0"/>
        <w:adjustRightInd w:val="0"/>
        <w:spacing w:after="0" w:line="240" w:lineRule="auto"/>
        <w:rPr>
          <w:rFonts w:ascii="Times New Roman" w:hAnsi="Times New Roman" w:cs="Times New Roman"/>
        </w:rPr>
      </w:pPr>
      <w:r w:rsidRPr="00C33B9D">
        <w:t>Paul</w:t>
      </w:r>
      <w:r>
        <w:t xml:space="preserve"> S</w:t>
      </w:r>
      <w:r w:rsidRPr="00C33B9D">
        <w:t xml:space="preserve"> Little Prof FRCGP, Primary Care and Population Sciences Division, University of Southampton, </w:t>
      </w:r>
      <w:proofErr w:type="spellStart"/>
      <w:r w:rsidRPr="00500E66">
        <w:t>Aldermoor</w:t>
      </w:r>
      <w:proofErr w:type="spellEnd"/>
      <w:r w:rsidRPr="00500E66">
        <w:t xml:space="preserve"> Health Centre</w:t>
      </w:r>
      <w:r>
        <w:t>,</w:t>
      </w:r>
      <w:r w:rsidRPr="00500E66">
        <w:t xml:space="preserve"> </w:t>
      </w:r>
      <w:proofErr w:type="spellStart"/>
      <w:r>
        <w:t>Aldermoor</w:t>
      </w:r>
      <w:proofErr w:type="spellEnd"/>
      <w:r>
        <w:t xml:space="preserve"> Close SO16 5ST</w:t>
      </w:r>
      <w:r w:rsidRPr="00C33B9D">
        <w:t xml:space="preserve"> Southampton, UK. </w:t>
      </w:r>
      <w:hyperlink r:id="rId11" w:history="1">
        <w:r w:rsidRPr="00C33B9D">
          <w:rPr>
            <w:rStyle w:val="Hyperlink"/>
          </w:rPr>
          <w:t>p.little@soton.ac.uk</w:t>
        </w:r>
      </w:hyperlink>
    </w:p>
    <w:p w:rsidR="003C281C" w:rsidRDefault="003C281C" w:rsidP="003C281C">
      <w:pPr>
        <w:widowControl w:val="0"/>
        <w:autoSpaceDE w:val="0"/>
        <w:autoSpaceDN w:val="0"/>
        <w:adjustRightInd w:val="0"/>
        <w:spacing w:after="0" w:line="240" w:lineRule="auto"/>
        <w:rPr>
          <w:rFonts w:ascii="Times New Roman" w:hAnsi="Times New Roman" w:cs="Times New Roman"/>
        </w:rPr>
      </w:pPr>
    </w:p>
    <w:p w:rsidR="003C281C" w:rsidRDefault="003C281C" w:rsidP="003C281C">
      <w:pPr>
        <w:rPr>
          <w:lang w:val="de-DE"/>
        </w:rPr>
      </w:pPr>
    </w:p>
    <w:p w:rsidR="003C281C" w:rsidRPr="009B0AFE" w:rsidRDefault="003C281C" w:rsidP="003C281C">
      <w:pPr>
        <w:rPr>
          <w:b/>
          <w:sz w:val="26"/>
        </w:rPr>
      </w:pPr>
      <w:r w:rsidRPr="009B0AFE">
        <w:rPr>
          <w:b/>
          <w:sz w:val="26"/>
        </w:rPr>
        <w:t>Abstract</w:t>
      </w:r>
    </w:p>
    <w:p w:rsidR="003C281C" w:rsidRPr="00C246B2" w:rsidRDefault="003C281C" w:rsidP="004C6062">
      <w:pPr>
        <w:spacing w:after="0"/>
        <w:contextualSpacing/>
      </w:pPr>
      <w:r w:rsidRPr="009B0AFE">
        <w:rPr>
          <w:b/>
        </w:rPr>
        <w:t>Background</w:t>
      </w:r>
      <w:r w:rsidRPr="00C246B2">
        <w:t xml:space="preserve"> </w:t>
      </w:r>
      <w:r>
        <w:t xml:space="preserve">Although randomized controlled </w:t>
      </w:r>
      <w:proofErr w:type="gramStart"/>
      <w:r>
        <w:t>trials</w:t>
      </w:r>
      <w:r w:rsidR="00FA5295">
        <w:t>(</w:t>
      </w:r>
      <w:proofErr w:type="gramEnd"/>
      <w:r w:rsidR="00FA5295">
        <w:t>RCT)</w:t>
      </w:r>
      <w:r>
        <w:t xml:space="preserve"> are considered “gold standard”</w:t>
      </w:r>
      <w:r w:rsidR="00CB1C1D">
        <w:t xml:space="preserve"> evidence</w:t>
      </w:r>
      <w:r>
        <w:t xml:space="preserve">, they are not always feasible or </w:t>
      </w:r>
      <w:r w:rsidR="00CB1C1D">
        <w:t xml:space="preserve">appropriate </w:t>
      </w:r>
      <w:r>
        <w:t xml:space="preserve">and may represent a select population. Observational studies provide a useful </w:t>
      </w:r>
      <w:r w:rsidRPr="00C246B2">
        <w:t xml:space="preserve">alternative </w:t>
      </w:r>
      <w:r w:rsidR="00CB1C1D">
        <w:t>to enhance applicability</w:t>
      </w:r>
      <w:r>
        <w:t xml:space="preserve">, but results can be biased due to confounding. </w:t>
      </w:r>
    </w:p>
    <w:p w:rsidR="003C281C" w:rsidRPr="00A02C7F" w:rsidRDefault="003C281C" w:rsidP="003C281C">
      <w:pPr>
        <w:spacing w:after="0"/>
        <w:contextualSpacing/>
      </w:pPr>
      <w:r>
        <w:rPr>
          <w:b/>
        </w:rPr>
        <w:t>Aim</w:t>
      </w:r>
      <w:r>
        <w:t xml:space="preserve"> To explore the utility of propensity scores for causal inference in an observational study</w:t>
      </w:r>
    </w:p>
    <w:p w:rsidR="003C281C" w:rsidRPr="00A02C7F" w:rsidRDefault="003C281C" w:rsidP="003C281C">
      <w:pPr>
        <w:spacing w:after="0"/>
        <w:contextualSpacing/>
      </w:pPr>
      <w:proofErr w:type="gramStart"/>
      <w:r>
        <w:rPr>
          <w:b/>
        </w:rPr>
        <w:t>Design and Setting</w:t>
      </w:r>
      <w:r>
        <w:t xml:space="preserve"> Comparison of the effect of amoxicillin on key outcomes in an international trial</w:t>
      </w:r>
      <w:r w:rsidRPr="00C246B2">
        <w:t xml:space="preserve"> </w:t>
      </w:r>
      <w:r>
        <w:t>and observational study</w:t>
      </w:r>
      <w:r w:rsidRPr="00C246B2">
        <w:t xml:space="preserve"> </w:t>
      </w:r>
      <w:r>
        <w:t>of</w:t>
      </w:r>
      <w:r w:rsidRPr="00C246B2">
        <w:t xml:space="preserve"> lower respiratory tract infections.</w:t>
      </w:r>
      <w:proofErr w:type="gramEnd"/>
    </w:p>
    <w:p w:rsidR="003C281C" w:rsidRPr="00C246B2" w:rsidRDefault="003C281C" w:rsidP="00FA5295">
      <w:pPr>
        <w:spacing w:after="0"/>
        <w:contextualSpacing/>
      </w:pPr>
      <w:r w:rsidRPr="009B0AFE">
        <w:rPr>
          <w:b/>
        </w:rPr>
        <w:t>Method</w:t>
      </w:r>
      <w:r w:rsidRPr="00C246B2">
        <w:t xml:space="preserve"> </w:t>
      </w:r>
      <w:r>
        <w:t>P</w:t>
      </w:r>
      <w:r w:rsidRPr="00C246B2">
        <w:t xml:space="preserve">ropensity scores </w:t>
      </w:r>
      <w:r>
        <w:t>were calculated and applied</w:t>
      </w:r>
      <w:r w:rsidRPr="00C246B2">
        <w:t xml:space="preserve"> as </w:t>
      </w:r>
      <w:r>
        <w:t xml:space="preserve">probability weights in the analyses. The adjusted results were compared to the effects reported in the </w:t>
      </w:r>
      <w:r w:rsidR="00FA5295">
        <w:t>RCT</w:t>
      </w:r>
      <w:r>
        <w:t xml:space="preserve">. </w:t>
      </w:r>
    </w:p>
    <w:p w:rsidR="003C281C" w:rsidRPr="00C246B2" w:rsidRDefault="003C281C" w:rsidP="005D2E88">
      <w:pPr>
        <w:spacing w:after="0"/>
        <w:contextualSpacing/>
      </w:pPr>
      <w:r w:rsidRPr="009B0AFE">
        <w:rPr>
          <w:b/>
        </w:rPr>
        <w:t>Results</w:t>
      </w:r>
      <w:r w:rsidR="00B5354E">
        <w:rPr>
          <w:b/>
        </w:rPr>
        <w:t xml:space="preserve"> </w:t>
      </w:r>
      <w:r w:rsidR="00534A41">
        <w:t xml:space="preserve">Groups were well balanced in the RCT </w:t>
      </w:r>
      <w:r w:rsidR="00FA5295">
        <w:t>but</w:t>
      </w:r>
      <w:r w:rsidR="00534A41">
        <w:t xml:space="preserve"> significant</w:t>
      </w:r>
      <w:r w:rsidR="00FA5295">
        <w:t>ly</w:t>
      </w:r>
      <w:r w:rsidR="00534A41">
        <w:t xml:space="preserve"> imbalance</w:t>
      </w:r>
      <w:r w:rsidR="00FA5295">
        <w:t>d</w:t>
      </w:r>
      <w:r w:rsidR="00534A41">
        <w:t xml:space="preserve"> in the observational study, with evidence of confounding by indication; patients receiving antibiotics tended to be older and more unwell at baseline consultation. </w:t>
      </w:r>
      <w:r w:rsidRPr="00C246B2">
        <w:t>In the trial dur</w:t>
      </w:r>
      <w:r w:rsidR="00FA5295">
        <w:t xml:space="preserve">ation of </w:t>
      </w:r>
      <w:proofErr w:type="gramStart"/>
      <w:r w:rsidR="00FA5295">
        <w:t xml:space="preserve">symptoms </w:t>
      </w:r>
      <w:r w:rsidRPr="00C246B2">
        <w:t xml:space="preserve"> </w:t>
      </w:r>
      <w:r w:rsidR="00B5354E" w:rsidRPr="00C246B2">
        <w:t>(</w:t>
      </w:r>
      <w:proofErr w:type="gramEnd"/>
      <w:r w:rsidR="00B5354E" w:rsidRPr="00C246B2">
        <w:t>hazard ratio 1.06, 95% CI</w:t>
      </w:r>
      <w:r w:rsidR="00B5354E">
        <w:t xml:space="preserve"> </w:t>
      </w:r>
      <w:r w:rsidR="00B5354E" w:rsidRPr="00C246B2">
        <w:t>0.96 - 1.18)</w:t>
      </w:r>
      <w:r w:rsidR="00F74FDD">
        <w:t xml:space="preserve"> and symptoms severity (-0.07) 95% CI -0.15, 0.007) did not differ between groups</w:t>
      </w:r>
      <w:r w:rsidRPr="00C246B2">
        <w:t xml:space="preserve">. </w:t>
      </w:r>
      <w:r w:rsidR="00CB1C1D">
        <w:lastRenderedPageBreak/>
        <w:t>W</w:t>
      </w:r>
      <w:r w:rsidR="00B5354E">
        <w:t>eighting by propensity score</w:t>
      </w:r>
      <w:r w:rsidR="00013C29">
        <w:t xml:space="preserve"> </w:t>
      </w:r>
      <w:r w:rsidR="00FA5295">
        <w:t xml:space="preserve">in the observational study </w:t>
      </w:r>
      <w:r w:rsidR="00013C29">
        <w:t>resulted in</w:t>
      </w:r>
      <w:r w:rsidR="00F74FDD">
        <w:t xml:space="preserve"> </w:t>
      </w:r>
      <w:r w:rsidR="005D2E88">
        <w:t xml:space="preserve">very similar estimates of effect: </w:t>
      </w:r>
      <w:r w:rsidR="00F74FDD">
        <w:t xml:space="preserve"> </w:t>
      </w:r>
      <w:r w:rsidR="00B5354E">
        <w:t>hazard ratio</w:t>
      </w:r>
      <w:r w:rsidR="00F74FDD">
        <w:t>s</w:t>
      </w:r>
      <w:r w:rsidR="00B5354E">
        <w:t xml:space="preserve"> </w:t>
      </w:r>
      <w:r w:rsidR="00013C29">
        <w:t xml:space="preserve">for duration of </w:t>
      </w:r>
      <w:r w:rsidR="00F74FDD">
        <w:t>symptoms</w:t>
      </w:r>
      <w:r w:rsidR="00013C29">
        <w:t xml:space="preserve"> </w:t>
      </w:r>
      <w:r w:rsidR="00CB1C1D">
        <w:t>(</w:t>
      </w:r>
      <w:r w:rsidR="00B5354E">
        <w:t>1.06 95% CI 0.80-1.40)</w:t>
      </w:r>
      <w:r w:rsidR="00013C29">
        <w:t xml:space="preserve"> and </w:t>
      </w:r>
      <w:r w:rsidR="00FA5295">
        <w:t xml:space="preserve">difference </w:t>
      </w:r>
      <w:r w:rsidR="00B5354E">
        <w:t xml:space="preserve">for symptom </w:t>
      </w:r>
      <w:proofErr w:type="gramStart"/>
      <w:r w:rsidR="00B5354E">
        <w:t xml:space="preserve">severity  </w:t>
      </w:r>
      <w:r w:rsidR="00B5354E" w:rsidRPr="005E647C">
        <w:t>-</w:t>
      </w:r>
      <w:proofErr w:type="gramEnd"/>
      <w:r w:rsidR="00B5354E">
        <w:t>0</w:t>
      </w:r>
      <w:r w:rsidR="00B5354E" w:rsidRPr="005E647C">
        <w:t>.07</w:t>
      </w:r>
      <w:r w:rsidR="00B5354E">
        <w:t xml:space="preserve"> (95% CI -0.34- 0.20)</w:t>
      </w:r>
      <w:r w:rsidR="00F74FDD">
        <w:t xml:space="preserve">. </w:t>
      </w:r>
    </w:p>
    <w:p w:rsidR="003C281C" w:rsidRDefault="003C281C" w:rsidP="00FA5295">
      <w:pPr>
        <w:spacing w:after="0"/>
        <w:contextualSpacing/>
      </w:pPr>
      <w:r w:rsidRPr="009B0AFE">
        <w:rPr>
          <w:b/>
        </w:rPr>
        <w:t>Conclusion</w:t>
      </w:r>
      <w:r w:rsidRPr="00C246B2">
        <w:t xml:space="preserve"> </w:t>
      </w:r>
      <w:r w:rsidR="00BA433F">
        <w:t>The observational study</w:t>
      </w:r>
      <w:r>
        <w:t xml:space="preserve">, after conditioning </w:t>
      </w:r>
      <w:r w:rsidR="00FA5295">
        <w:t>on</w:t>
      </w:r>
      <w:r>
        <w:t xml:space="preserve"> propensity scor</w:t>
      </w:r>
      <w:r w:rsidR="004C6062">
        <w:t>e, echoed the trial results</w:t>
      </w:r>
      <w:r>
        <w:t xml:space="preserve">. </w:t>
      </w:r>
      <w:r w:rsidRPr="00C246B2">
        <w:t xml:space="preserve">Provided that detailed information is available </w:t>
      </w:r>
      <w:r w:rsidR="00FA5295">
        <w:t>on</w:t>
      </w:r>
      <w:r>
        <w:t xml:space="preserve"> potential sources of </w:t>
      </w:r>
      <w:r w:rsidRPr="00C246B2">
        <w:t>confounding</w:t>
      </w:r>
      <w:r>
        <w:t>, ef</w:t>
      </w:r>
      <w:r w:rsidRPr="00C246B2">
        <w:t xml:space="preserve">fects of interventions can probably be assessed </w:t>
      </w:r>
      <w:r w:rsidR="003B2C30">
        <w:t>reasonably well</w:t>
      </w:r>
      <w:r w:rsidRPr="00C246B2">
        <w:t xml:space="preserve"> in</w:t>
      </w:r>
      <w:r>
        <w:t xml:space="preserve"> observational data sets, allowing them to be more directly compared with the results of </w:t>
      </w:r>
      <w:r w:rsidR="00FA5295">
        <w:t>RCTs</w:t>
      </w:r>
      <w:r>
        <w:t xml:space="preserve">. </w:t>
      </w:r>
    </w:p>
    <w:p w:rsidR="003C281C" w:rsidRDefault="003C281C" w:rsidP="003C281C">
      <w:pPr>
        <w:spacing w:after="0"/>
        <w:contextualSpacing/>
      </w:pPr>
    </w:p>
    <w:p w:rsidR="003C281C" w:rsidRDefault="003C281C" w:rsidP="003C281C">
      <w:pPr>
        <w:spacing w:after="0"/>
        <w:contextualSpacing/>
      </w:pPr>
      <w:r>
        <w:rPr>
          <w:b/>
          <w:sz w:val="26"/>
        </w:rPr>
        <w:t>Keywords</w:t>
      </w:r>
      <w:r>
        <w:t xml:space="preserve"> </w:t>
      </w:r>
    </w:p>
    <w:p w:rsidR="003C281C" w:rsidRPr="00F96D5B" w:rsidRDefault="003C281C" w:rsidP="003C281C">
      <w:pPr>
        <w:spacing w:after="0"/>
        <w:contextualSpacing/>
      </w:pPr>
      <w:proofErr w:type="gramStart"/>
      <w:r>
        <w:t>Propensity score; randomized controlled trial; observational study; primary health care; antibiotics; respiratory tract infection.</w:t>
      </w:r>
      <w:proofErr w:type="gramEnd"/>
    </w:p>
    <w:p w:rsidR="003C281C" w:rsidRDefault="003C281C" w:rsidP="003C281C">
      <w:pPr>
        <w:spacing w:after="0"/>
        <w:contextualSpacing/>
      </w:pPr>
    </w:p>
    <w:p w:rsidR="003C281C" w:rsidRDefault="003C281C" w:rsidP="003C281C">
      <w:pPr>
        <w:spacing w:after="0"/>
        <w:contextualSpacing/>
      </w:pPr>
      <w:r w:rsidRPr="00A02C7F">
        <w:rPr>
          <w:b/>
          <w:sz w:val="26"/>
        </w:rPr>
        <w:t>How this fits in</w:t>
      </w:r>
    </w:p>
    <w:p w:rsidR="003C281C" w:rsidRPr="008B7CC1" w:rsidRDefault="003C281C" w:rsidP="00783C6B">
      <w:pPr>
        <w:spacing w:after="0"/>
        <w:contextualSpacing/>
        <w:rPr>
          <w:rFonts w:cs="Calibri"/>
        </w:rPr>
      </w:pPr>
      <w:r w:rsidRPr="008B7CC1">
        <w:rPr>
          <w:rFonts w:cs="Calibri"/>
          <w:bCs/>
        </w:rPr>
        <w:t>There have long been discussions about the benefits and disadvantages of randomized controlled trials versus observational studies, especially in primary health care, w</w:t>
      </w:r>
      <w:r w:rsidRPr="008B7CC1">
        <w:rPr>
          <w:rFonts w:cs="Calibri"/>
        </w:rPr>
        <w:t xml:space="preserve">ith </w:t>
      </w:r>
      <w:r w:rsidR="00E6177B" w:rsidRPr="008B7CC1">
        <w:rPr>
          <w:rFonts w:cs="Calibri"/>
        </w:rPr>
        <w:t xml:space="preserve">higher risk of </w:t>
      </w:r>
      <w:r w:rsidRPr="008B7CC1">
        <w:rPr>
          <w:rFonts w:cs="Calibri"/>
        </w:rPr>
        <w:t xml:space="preserve">confounding being the main disadvantage of observational studies. This study shows that observational studies using the propensity score to adjust for confounding can </w:t>
      </w:r>
      <w:r w:rsidR="00BA433F" w:rsidRPr="008B7CC1">
        <w:rPr>
          <w:rFonts w:cs="Calibri"/>
        </w:rPr>
        <w:t xml:space="preserve">allow </w:t>
      </w:r>
      <w:r w:rsidR="00FE479C" w:rsidRPr="008B7CC1">
        <w:rPr>
          <w:rFonts w:cs="Calibri"/>
        </w:rPr>
        <w:t xml:space="preserve">accurate </w:t>
      </w:r>
      <w:r w:rsidR="00BA433F" w:rsidRPr="008B7CC1">
        <w:rPr>
          <w:rFonts w:cs="Calibri"/>
        </w:rPr>
        <w:t>inferences about treatment effect to be made</w:t>
      </w:r>
      <w:r w:rsidRPr="008B7CC1">
        <w:rPr>
          <w:rFonts w:cs="Calibri"/>
        </w:rPr>
        <w:t xml:space="preserve"> and can therefore sometimes be an acceptable alternative for randomized trials.</w:t>
      </w:r>
      <w:r w:rsidR="00783C6B" w:rsidRPr="008B7CC1">
        <w:rPr>
          <w:rFonts w:cs="Calibri"/>
        </w:rPr>
        <w:t xml:space="preserve">  </w:t>
      </w:r>
    </w:p>
    <w:p w:rsidR="003C281C" w:rsidRPr="00A50CCA" w:rsidRDefault="003C281C" w:rsidP="003C281C">
      <w:pPr>
        <w:spacing w:after="0"/>
        <w:contextualSpacing/>
      </w:pPr>
    </w:p>
    <w:p w:rsidR="00681839" w:rsidRPr="00B00F55" w:rsidRDefault="003C281C" w:rsidP="003C281C">
      <w:pPr>
        <w:rPr>
          <w:b/>
          <w:bCs/>
        </w:rPr>
      </w:pPr>
      <w:r>
        <w:rPr>
          <w:b/>
          <w:sz w:val="26"/>
          <w:szCs w:val="26"/>
        </w:rPr>
        <w:br w:type="column"/>
      </w:r>
      <w:r w:rsidR="00B00F55">
        <w:rPr>
          <w:b/>
          <w:bCs/>
        </w:rPr>
        <w:lastRenderedPageBreak/>
        <w:t>Introduction</w:t>
      </w:r>
    </w:p>
    <w:p w:rsidR="00512613" w:rsidRPr="008B7CC1" w:rsidRDefault="00D13E54" w:rsidP="00A0605E">
      <w:pPr>
        <w:spacing w:after="0"/>
        <w:contextualSpacing/>
        <w:jc w:val="both"/>
        <w:rPr>
          <w:rFonts w:cs="Calibri"/>
          <w:bCs/>
        </w:rPr>
      </w:pPr>
      <w:r w:rsidRPr="008B7CC1">
        <w:rPr>
          <w:rFonts w:cs="Calibri"/>
          <w:bCs/>
        </w:rPr>
        <w:t>R</w:t>
      </w:r>
      <w:r w:rsidRPr="008B7CC1">
        <w:rPr>
          <w:rFonts w:cs="Calibri"/>
        </w:rPr>
        <w:t xml:space="preserve">andomized controlled trials (RCT’s) are considered to be the “gold standard” </w:t>
      </w:r>
      <w:r w:rsidRPr="008B7CC1">
        <w:rPr>
          <w:rFonts w:cs="Calibri"/>
          <w:bCs/>
        </w:rPr>
        <w:t xml:space="preserve">study design for identifying the true effects of </w:t>
      </w:r>
      <w:r w:rsidRPr="008B7CC1">
        <w:rPr>
          <w:rFonts w:cs="Calibri"/>
        </w:rPr>
        <w:t>an intervention. However, RCT’s may suffer from selection bias</w:t>
      </w:r>
      <w:r w:rsidR="009C29BF" w:rsidRPr="008B7CC1">
        <w:rPr>
          <w:rFonts w:cs="Calibri"/>
        </w:rPr>
        <w:t>.  This may be</w:t>
      </w:r>
      <w:r w:rsidRPr="008B7CC1">
        <w:rPr>
          <w:rFonts w:cs="Calibri"/>
        </w:rPr>
        <w:t xml:space="preserve"> </w:t>
      </w:r>
      <w:r w:rsidRPr="008B7CC1">
        <w:rPr>
          <w:rFonts w:cs="Calibri"/>
          <w:bCs/>
        </w:rPr>
        <w:t>due to extensive exclusion and inclusion criteria</w:t>
      </w:r>
      <w:r w:rsidR="009C29BF" w:rsidRPr="008B7CC1">
        <w:rPr>
          <w:rFonts w:cs="Calibri"/>
          <w:bCs/>
        </w:rPr>
        <w:t xml:space="preserve"> or because patients who </w:t>
      </w:r>
      <w:r w:rsidR="009B3312" w:rsidRPr="008B7CC1">
        <w:rPr>
          <w:rFonts w:cs="Calibri"/>
          <w:bCs/>
        </w:rPr>
        <w:t xml:space="preserve">decline </w:t>
      </w:r>
      <w:r w:rsidR="009C29BF" w:rsidRPr="008B7CC1">
        <w:rPr>
          <w:rFonts w:cs="Calibri"/>
          <w:bCs/>
        </w:rPr>
        <w:t>to be randomised differ systematically from those who accept randomisation</w:t>
      </w:r>
      <w:r w:rsidR="00A0605E">
        <w:rPr>
          <w:rFonts w:cs="Calibri"/>
          <w:bCs/>
        </w:rPr>
        <w:t>.</w:t>
      </w:r>
      <w:r w:rsidR="00A0605E">
        <w:rPr>
          <w:rFonts w:cs="Calibri"/>
          <w:bCs/>
        </w:rPr>
        <w:fldChar w:fldCharType="begin"/>
      </w:r>
      <w:r w:rsidR="00A0605E">
        <w:rPr>
          <w:rFonts w:cs="Calibri"/>
          <w:bCs/>
        </w:rPr>
        <w:instrText xml:space="preserve"> ADDIN EN.CITE &lt;EndNote&gt;&lt;Cite&gt;&lt;Author&gt;McKee&lt;/Author&gt;&lt;Year&gt;1999&lt;/Year&gt;&lt;RecNum&gt;20&lt;/RecNum&gt;&lt;DisplayText&gt;(1)&lt;/DisplayText&gt;&lt;record&gt;&lt;rec-number&gt;20&lt;/rec-number&gt;&lt;foreign-keys&gt;&lt;key app="EN" db-id="rpw95t5w0xp909ezfw65w0xu5frzw2255vtd" timestamp="1481489306"&gt;20&lt;/key&gt;&lt;/foreign-keys&gt;&lt;ref-type name="Journal Article"&gt;17&lt;/ref-type&gt;&lt;contributors&gt;&lt;authors&gt;&lt;author&gt;McKee, Martin&lt;/author&gt;&lt;author&gt;Britton, Annie&lt;/author&gt;&lt;author&gt;Black, Nick&lt;/author&gt;&lt;author&gt;McPherson, Klim&lt;/author&gt;&lt;author&gt;Sanderson, Colin&lt;/author&gt;&lt;author&gt;Bain, Chris&lt;/author&gt;&lt;/authors&gt;&lt;/contributors&gt;&lt;titles&gt;&lt;title&gt;Interpreting the evidence: choosing between randomised and non-randomised studies&lt;/title&gt;&lt;secondary-title&gt;BMJ&lt;/secondary-title&gt;&lt;/titles&gt;&lt;periodical&gt;&lt;full-title&gt;BMJ&lt;/full-title&gt;&lt;/periodical&gt;&lt;pages&gt;312&lt;/pages&gt;&lt;volume&gt;319&lt;/volume&gt;&lt;number&gt;7205&lt;/number&gt;&lt;dates&gt;&lt;year&gt;1999&lt;/year&gt;&lt;/dates&gt;&lt;work-type&gt;10.1136/bmj.319.7205.312&lt;/work-type&gt;&lt;urls&gt;&lt;related-urls&gt;&lt;url&gt;http://www.bmj.com/content/319/7205/312.1.abstract&lt;/url&gt;&lt;url&gt;https://www.ncbi.nlm.nih.gov/pmc/articles/PMC1126943/pdf/312.pdf&lt;/url&gt;&lt;/related-urls&gt;&lt;/urls&gt;&lt;/record&gt;&lt;/Cite&gt;&lt;/EndNote&gt;</w:instrText>
      </w:r>
      <w:r w:rsidR="00A0605E">
        <w:rPr>
          <w:rFonts w:cs="Calibri"/>
          <w:bCs/>
        </w:rPr>
        <w:fldChar w:fldCharType="separate"/>
      </w:r>
      <w:r w:rsidR="00A0605E">
        <w:rPr>
          <w:rFonts w:cs="Calibri"/>
          <w:bCs/>
          <w:noProof/>
        </w:rPr>
        <w:t>(1)</w:t>
      </w:r>
      <w:r w:rsidR="00A0605E">
        <w:rPr>
          <w:rFonts w:cs="Calibri"/>
          <w:bCs/>
        </w:rPr>
        <w:fldChar w:fldCharType="end"/>
      </w:r>
      <w:r w:rsidR="009C29BF" w:rsidRPr="008B7CC1">
        <w:rPr>
          <w:rFonts w:cs="Calibri"/>
          <w:bCs/>
        </w:rPr>
        <w:t xml:space="preserve"> T</w:t>
      </w:r>
      <w:r w:rsidRPr="008B7CC1">
        <w:rPr>
          <w:rFonts w:cs="Calibri"/>
          <w:bCs/>
        </w:rPr>
        <w:t xml:space="preserve">herefore the </w:t>
      </w:r>
      <w:r w:rsidR="009C29BF" w:rsidRPr="008B7CC1">
        <w:rPr>
          <w:rFonts w:cs="Calibri"/>
          <w:bCs/>
        </w:rPr>
        <w:t>treatment effects observed in a trial context</w:t>
      </w:r>
      <w:r w:rsidRPr="008B7CC1">
        <w:rPr>
          <w:rFonts w:cs="Calibri"/>
          <w:bCs/>
        </w:rPr>
        <w:t xml:space="preserve"> may not generalise to the wider population</w:t>
      </w:r>
      <w:r w:rsidR="00F95C82" w:rsidRPr="008B7CC1">
        <w:rPr>
          <w:rFonts w:cs="Calibri"/>
          <w:bCs/>
        </w:rPr>
        <w:t xml:space="preserve">.  </w:t>
      </w:r>
      <w:r w:rsidR="00512613" w:rsidRPr="008B7CC1">
        <w:rPr>
          <w:rFonts w:cs="Calibri"/>
          <w:bCs/>
        </w:rPr>
        <w:t xml:space="preserve">There are other circumstances in which observational studies may be important.  </w:t>
      </w:r>
      <w:r w:rsidR="00602892" w:rsidRPr="008B7CC1">
        <w:rPr>
          <w:rFonts w:cs="Calibri"/>
          <w:bCs/>
        </w:rPr>
        <w:t>For example, e</w:t>
      </w:r>
      <w:r w:rsidR="00512613" w:rsidRPr="008B7CC1">
        <w:rPr>
          <w:rFonts w:cs="Calibri"/>
          <w:bCs/>
        </w:rPr>
        <w:t xml:space="preserve">thical or practical considerations may thwart initiating an RCT. </w:t>
      </w:r>
      <w:r w:rsidR="00A0605E">
        <w:rPr>
          <w:rFonts w:cs="Calibri"/>
          <w:bCs/>
        </w:rPr>
        <w:fldChar w:fldCharType="begin"/>
      </w:r>
      <w:r w:rsidR="00A0605E">
        <w:rPr>
          <w:rFonts w:cs="Calibri"/>
          <w:bCs/>
        </w:rPr>
        <w:instrText xml:space="preserve"> ADDIN EN.CITE &lt;EndNote&gt;&lt;Cite&gt;&lt;Author&gt;Grootendorst&lt;/Author&gt;&lt;Year&gt;2010&lt;/Year&gt;&lt;RecNum&gt;1&lt;/RecNum&gt;&lt;DisplayText&gt;(2)&lt;/DisplayText&gt;&lt;record&gt;&lt;rec-number&gt;1&lt;/rec-number&gt;&lt;foreign-keys&gt;&lt;key app="EN" db-id="rpw95t5w0xp909ezfw65w0xu5frzw2255vtd" timestamp="1481485957"&gt;1&lt;/key&gt;&lt;/foreign-keys&gt;&lt;ref-type name="Journal Article"&gt;17&lt;/ref-type&gt;&lt;contributors&gt;&lt;authors&gt;&lt;author&gt;Grootendorst, D. C.&lt;/author&gt;&lt;author&gt;Jager, K. J.&lt;/author&gt;&lt;author&gt;Zoccali, C.&lt;/author&gt;&lt;author&gt;Dekker, F. W.&lt;/author&gt;&lt;/authors&gt;&lt;/contributors&gt;&lt;titles&gt;&lt;title&gt;Observational Studies Are Complementary to Randomized Controlled Trials&lt;/title&gt;&lt;secondary-title&gt;Nephron Clinical Practice&lt;/secondary-title&gt;&lt;/titles&gt;&lt;periodical&gt;&lt;full-title&gt;Nephron Clinical Practice&lt;/full-title&gt;&lt;/periodical&gt;&lt;pages&gt;c173-c177&lt;/pages&gt;&lt;volume&gt;114&lt;/volume&gt;&lt;number&gt;3&lt;/number&gt;&lt;dates&gt;&lt;year&gt;2010&lt;/year&gt;&lt;/dates&gt;&lt;urls&gt;&lt;related-urls&gt;&lt;url&gt;http://www.karger.com/DOI/10.1159/000262299&lt;/url&gt;&lt;/related-urls&gt;&lt;/urls&gt;&lt;/record&gt;&lt;/Cite&gt;&lt;/EndNote&gt;</w:instrText>
      </w:r>
      <w:r w:rsidR="00A0605E">
        <w:rPr>
          <w:rFonts w:cs="Calibri"/>
          <w:bCs/>
        </w:rPr>
        <w:fldChar w:fldCharType="separate"/>
      </w:r>
      <w:r w:rsidR="00A0605E">
        <w:rPr>
          <w:rFonts w:cs="Calibri"/>
          <w:bCs/>
          <w:noProof/>
        </w:rPr>
        <w:t>(2)</w:t>
      </w:r>
      <w:r w:rsidR="00A0605E">
        <w:rPr>
          <w:rFonts w:cs="Calibri"/>
          <w:bCs/>
        </w:rPr>
        <w:fldChar w:fldCharType="end"/>
      </w:r>
    </w:p>
    <w:p w:rsidR="009C29BF" w:rsidRPr="008B7CC1" w:rsidRDefault="009C29BF" w:rsidP="00681D8D">
      <w:pPr>
        <w:spacing w:after="0"/>
        <w:contextualSpacing/>
        <w:jc w:val="both"/>
        <w:rPr>
          <w:rFonts w:cs="Calibri"/>
          <w:bCs/>
        </w:rPr>
      </w:pPr>
    </w:p>
    <w:p w:rsidR="002C6094" w:rsidRPr="008B7CC1" w:rsidRDefault="00AD35AD" w:rsidP="003230DF">
      <w:pPr>
        <w:spacing w:after="0"/>
        <w:contextualSpacing/>
        <w:jc w:val="both"/>
        <w:rPr>
          <w:rFonts w:cs="Calibri"/>
          <w:bCs/>
        </w:rPr>
      </w:pPr>
      <w:r w:rsidRPr="008B7CC1">
        <w:rPr>
          <w:rFonts w:cs="Calibri"/>
          <w:bCs/>
        </w:rPr>
        <w:t xml:space="preserve">The disadvantage of an observational cohort study is </w:t>
      </w:r>
      <w:r w:rsidR="00D13E54" w:rsidRPr="008B7CC1">
        <w:rPr>
          <w:rFonts w:cs="Calibri"/>
          <w:bCs/>
        </w:rPr>
        <w:t xml:space="preserve">that patients are not randomized, but get treatment according to usual clinical practice. </w:t>
      </w:r>
      <w:r w:rsidR="009C29BF" w:rsidRPr="008B7CC1">
        <w:rPr>
          <w:rFonts w:cs="Calibri"/>
          <w:bCs/>
        </w:rPr>
        <w:t xml:space="preserve">  The treated and untreated patients may differ systematically on key covariates</w:t>
      </w:r>
      <w:r w:rsidR="00874773" w:rsidRPr="008B7CC1">
        <w:rPr>
          <w:rFonts w:cs="Calibri"/>
          <w:bCs/>
        </w:rPr>
        <w:t xml:space="preserve"> that influence outcomes</w:t>
      </w:r>
      <w:r w:rsidR="009C29BF" w:rsidRPr="008B7CC1">
        <w:rPr>
          <w:rFonts w:cs="Calibri"/>
          <w:bCs/>
        </w:rPr>
        <w:t>.</w:t>
      </w:r>
      <w:r w:rsidR="000D4A07">
        <w:rPr>
          <w:rFonts w:cs="Calibri"/>
          <w:bCs/>
        </w:rPr>
        <w:fldChar w:fldCharType="begin"/>
      </w:r>
      <w:r w:rsidR="000D4A07">
        <w:rPr>
          <w:rFonts w:cs="Calibri"/>
          <w:bCs/>
        </w:rPr>
        <w:instrText xml:space="preserve"> ADDIN EN.CITE &lt;EndNote&gt;&lt;Cite&gt;&lt;Author&gt;Greenland&lt;/Author&gt;&lt;RecNum&gt;21&lt;/RecNum&gt;&lt;DisplayText&gt;(3)&lt;/DisplayText&gt;&lt;record&gt;&lt;rec-number&gt;21&lt;/rec-number&gt;&lt;foreign-keys&gt;&lt;key app="EN" db-id="rpw95t5w0xp909ezfw65w0xu5frzw2255vtd" timestamp="1481490960"&gt;21&lt;/key&gt;&lt;/foreign-keys&gt;&lt;ref-type name="Journal Article"&gt;17&lt;/ref-type&gt;&lt;contributors&gt;&lt;authors&gt;&lt;author&gt;Greenland, S.&lt;/author&gt;&lt;author&gt;Morgenstern, H.&lt;/author&gt;&lt;/authors&gt;&lt;translated-authors&gt;&lt;author&gt;Annu Rev Public, Health&lt;/author&gt;&lt;/translated-authors&gt;&lt;/contributors&gt;&lt;auth-address&gt;Department of Epidemiology, Los Angeles School of Public Health, University of California, Los Angeles, California 90095-1772, USA. HalM@ucla.edu FAU - Morgenstern, H&lt;/auth-address&gt;&lt;titles&gt;&lt;title&gt;Confounding in health research&lt;/title&gt;&lt;/titles&gt;&lt;number&gt;0163-7525 (Print)&lt;/number&gt;&lt;dates&gt;&lt;pub-dates&gt;&lt;date&gt;20010329 DCOM- 20010705&lt;/date&gt;&lt;/pub-dates&gt;&lt;/dates&gt;&lt;urls&gt;&lt;/urls&gt;&lt;remote-database-provider&gt;2001&lt;/remote-database-provider&gt;&lt;language&gt;eng&lt;/language&gt;&lt;/record&gt;&lt;/Cite&gt;&lt;/EndNote&gt;</w:instrText>
      </w:r>
      <w:r w:rsidR="000D4A07">
        <w:rPr>
          <w:rFonts w:cs="Calibri"/>
          <w:bCs/>
        </w:rPr>
        <w:fldChar w:fldCharType="separate"/>
      </w:r>
      <w:r w:rsidR="000D4A07">
        <w:rPr>
          <w:rFonts w:cs="Calibri"/>
          <w:bCs/>
          <w:noProof/>
        </w:rPr>
        <w:t>(3)</w:t>
      </w:r>
      <w:r w:rsidR="000D4A07">
        <w:rPr>
          <w:rFonts w:cs="Calibri"/>
          <w:bCs/>
        </w:rPr>
        <w:fldChar w:fldCharType="end"/>
      </w:r>
      <w:r w:rsidR="009C29BF" w:rsidRPr="008B7CC1">
        <w:rPr>
          <w:rFonts w:cs="Calibri"/>
          <w:bCs/>
        </w:rPr>
        <w:t xml:space="preserve">  </w:t>
      </w:r>
      <w:r w:rsidR="0017479F" w:rsidRPr="008B7CC1">
        <w:rPr>
          <w:rFonts w:cs="Calibri"/>
        </w:rPr>
        <w:t>The randomisation process in an</w:t>
      </w:r>
      <w:r w:rsidR="002C6094" w:rsidRPr="008B7CC1">
        <w:rPr>
          <w:rFonts w:cs="Calibri"/>
        </w:rPr>
        <w:t xml:space="preserve"> RCT creates groups that are balanced, ensuring that the intervention and control groups can be directly compared and used to establish causal effects</w:t>
      </w:r>
      <w:r w:rsidR="0017479F" w:rsidRPr="008B7CC1">
        <w:rPr>
          <w:rFonts w:cs="Calibri"/>
        </w:rPr>
        <w:t>.</w:t>
      </w:r>
      <w:r w:rsidR="003230DF">
        <w:rPr>
          <w:rFonts w:cs="Calibri"/>
        </w:rPr>
        <w:fldChar w:fldCharType="begin"/>
      </w:r>
      <w:r w:rsidR="003230DF">
        <w:rPr>
          <w:rFonts w:cs="Calibri"/>
        </w:rPr>
        <w:instrText xml:space="preserve"> ADDIN EN.CITE &lt;EndNote&gt;&lt;Cite&gt;&lt;Author&gt;Sedgwick&lt;/Author&gt;&lt;Year&gt;2014&lt;/Year&gt;&lt;RecNum&gt;22&lt;/RecNum&gt;&lt;DisplayText&gt;(4)&lt;/DisplayText&gt;&lt;record&gt;&lt;rec-number&gt;22&lt;/rec-number&gt;&lt;foreign-keys&gt;&lt;key app="EN" db-id="rpw95t5w0xp909ezfw65w0xu5frzw2255vtd" timestamp="1481491826"&gt;22&lt;/key&gt;&lt;/foreign-keys&gt;&lt;ref-type name="Journal Article"&gt;17&lt;/ref-type&gt;&lt;contributors&gt;&lt;authors&gt;&lt;author&gt;Sedgwick, Philip&lt;/author&gt;&lt;/authors&gt;&lt;/contributors&gt;&lt;titles&gt;&lt;title&gt;Randomised controlled trials: balance in baseline characteristics&lt;/title&gt;&lt;secondary-title&gt;BMJ : British Medical Journal&lt;/secondary-title&gt;&lt;/titles&gt;&lt;periodical&gt;&lt;full-title&gt;BMJ : British Medical Journal&lt;/full-title&gt;&lt;/periodical&gt;&lt;volume&gt;349&lt;/volume&gt;&lt;dates&gt;&lt;year&gt;2014&lt;/year&gt;&lt;/dates&gt;&lt;work-type&gt;10.1136/bmj.g5721&lt;/work-type&gt;&lt;urls&gt;&lt;related-urls&gt;&lt;url&gt;http://www.bmj.com/content/349/bmj.g5721.abstract&lt;/url&gt;&lt;/related-urls&gt;&lt;/urls&gt;&lt;/record&gt;&lt;/Cite&gt;&lt;/EndNote&gt;</w:instrText>
      </w:r>
      <w:r w:rsidR="003230DF">
        <w:rPr>
          <w:rFonts w:cs="Calibri"/>
        </w:rPr>
        <w:fldChar w:fldCharType="separate"/>
      </w:r>
      <w:r w:rsidR="003230DF">
        <w:rPr>
          <w:rFonts w:cs="Calibri"/>
          <w:noProof/>
        </w:rPr>
        <w:t>(4)</w:t>
      </w:r>
      <w:r w:rsidR="003230DF">
        <w:rPr>
          <w:rFonts w:cs="Calibri"/>
        </w:rPr>
        <w:fldChar w:fldCharType="end"/>
      </w:r>
      <w:r w:rsidR="0017479F" w:rsidRPr="008B7CC1">
        <w:rPr>
          <w:rFonts w:cs="Calibri"/>
        </w:rPr>
        <w:t xml:space="preserve">  In contrast</w:t>
      </w:r>
      <w:r w:rsidR="00934232" w:rsidRPr="008B7CC1">
        <w:rPr>
          <w:rFonts w:cs="Calibri"/>
        </w:rPr>
        <w:t>,</w:t>
      </w:r>
      <w:r w:rsidR="0017479F" w:rsidRPr="008B7CC1">
        <w:rPr>
          <w:rFonts w:cs="Calibri"/>
        </w:rPr>
        <w:t xml:space="preserve"> </w:t>
      </w:r>
      <w:r w:rsidR="002C6094" w:rsidRPr="008B7CC1">
        <w:rPr>
          <w:rFonts w:cs="Calibri"/>
        </w:rPr>
        <w:t xml:space="preserve">observational studies </w:t>
      </w:r>
      <w:r w:rsidR="00934232" w:rsidRPr="008B7CC1">
        <w:rPr>
          <w:rFonts w:cs="Calibri"/>
        </w:rPr>
        <w:t xml:space="preserve">are at greater risk of </w:t>
      </w:r>
      <w:r w:rsidR="002C6094" w:rsidRPr="008B7CC1">
        <w:rPr>
          <w:rFonts w:cs="Calibri"/>
        </w:rPr>
        <w:t xml:space="preserve">confounding by indication, i.e. the </w:t>
      </w:r>
      <w:r w:rsidR="00C1255D">
        <w:rPr>
          <w:rFonts w:cs="Calibri"/>
        </w:rPr>
        <w:t xml:space="preserve">treated </w:t>
      </w:r>
      <w:r w:rsidR="002C6094" w:rsidRPr="008B7CC1">
        <w:rPr>
          <w:rFonts w:cs="Calibri"/>
        </w:rPr>
        <w:t xml:space="preserve">group may differ systematically from those who are </w:t>
      </w:r>
      <w:proofErr w:type="gramStart"/>
      <w:r w:rsidR="002C6094" w:rsidRPr="008B7CC1">
        <w:rPr>
          <w:rFonts w:cs="Calibri"/>
        </w:rPr>
        <w:t xml:space="preserve">not  </w:t>
      </w:r>
      <w:r w:rsidR="00C1255D" w:rsidRPr="008B7CC1">
        <w:rPr>
          <w:rFonts w:cs="Calibri"/>
        </w:rPr>
        <w:t>treat</w:t>
      </w:r>
      <w:r w:rsidR="00C1255D">
        <w:rPr>
          <w:rFonts w:cs="Calibri"/>
        </w:rPr>
        <w:t>ed</w:t>
      </w:r>
      <w:proofErr w:type="gramEnd"/>
      <w:r w:rsidR="002C6094" w:rsidRPr="008B7CC1">
        <w:rPr>
          <w:rFonts w:cs="Calibri"/>
        </w:rPr>
        <w:t>.</w:t>
      </w:r>
      <w:r w:rsidR="002C6094" w:rsidRPr="008B7CC1">
        <w:rPr>
          <w:rFonts w:cs="Calibri"/>
          <w:bCs/>
        </w:rPr>
        <w:t xml:space="preserve"> </w:t>
      </w:r>
      <w:r w:rsidR="000C01C1">
        <w:rPr>
          <w:rFonts w:cs="Calibri"/>
        </w:rPr>
        <w:fldChar w:fldCharType="begin"/>
      </w:r>
      <w:r w:rsidR="003230DF">
        <w:rPr>
          <w:rFonts w:cs="Calibri"/>
        </w:rPr>
        <w:instrText xml:space="preserve"> ADDIN EN.CITE &lt;EndNote&gt;&lt;Cite&gt;&lt;Author&gt;Klungel&lt;/Author&gt;&lt;Year&gt;2004&lt;/Year&gt;&lt;RecNum&gt;2&lt;/RecNum&gt;&lt;DisplayText&gt;(5)&lt;/DisplayText&gt;&lt;record&gt;&lt;rec-number&gt;2&lt;/rec-number&gt;&lt;foreign-keys&gt;&lt;key app="EN" db-id="rpw95t5w0xp909ezfw65w0xu5frzw2255vtd" timestamp="1481486022"&gt;2&lt;/key&gt;&lt;/foreign-keys&gt;&lt;ref-type name="Journal Article"&gt;17&lt;/ref-type&gt;&lt;contributors&gt;&lt;authors&gt;&lt;author&gt;Klungel, Olaf H.&lt;/author&gt;&lt;author&gt;Martens, Edwin P.&lt;/author&gt;&lt;author&gt;Psaty, Bruce M.&lt;/author&gt;&lt;author&gt;Grobbee, Diederik E.&lt;/author&gt;&lt;author&gt;Sullivan, Sean D.&lt;/author&gt;&lt;author&gt;Stricker, Bruno H. Ch&lt;/author&gt;&lt;author&gt;Leufkens, Hubert G. M.&lt;/author&gt;&lt;author&gt;de Boer, A.&lt;/author&gt;&lt;/authors&gt;&lt;/contributors&gt;&lt;titles&gt;&lt;title&gt;Methods to assess intended effects of drug treatment in observational studies are reviewed&lt;/title&gt;&lt;secondary-title&gt;Journal of Clinical Epidemiology&lt;/secondary-title&gt;&lt;/titles&gt;&lt;periodical&gt;&lt;full-title&gt;Journal of Clinical Epidemiology&lt;/full-title&gt;&lt;/periodical&gt;&lt;pages&gt;1223-1231&lt;/pages&gt;&lt;volume&gt;57&lt;/volume&gt;&lt;number&gt;12&lt;/number&gt;&lt;keywords&gt;&lt;keyword&gt;Review&lt;/keyword&gt;&lt;keyword&gt;Confounding&lt;/keyword&gt;&lt;keyword&gt;Observational studies&lt;/keyword&gt;&lt;keyword&gt;Treatment effectiveness&lt;/keyword&gt;&lt;keyword&gt;Intended drug effects&lt;/keyword&gt;&lt;keyword&gt;Statistical methods&lt;/keyword&gt;&lt;/keywords&gt;&lt;dates&gt;&lt;year&gt;2004&lt;/year&gt;&lt;pub-dates&gt;&lt;date&gt;12//&lt;/date&gt;&lt;/pub-dates&gt;&lt;/dates&gt;&lt;isbn&gt;0895-4356&lt;/isbn&gt;&lt;urls&gt;&lt;related-urls&gt;&lt;url&gt;http://www.sciencedirect.com/science/article/pii/S0895435604001635&lt;/url&gt;&lt;url&gt;http://ac.els-cdn.com/S0895435604001635/1-s2.0-S0895435604001635-main.pdf?_tid=91cbf754-bfdb-11e6-b79e-00000aacb361&amp;amp;acdnat=1481486224_3367709b7ed28797b0373b15b28938c3&lt;/url&gt;&lt;/related-urls&gt;&lt;/urls&gt;&lt;electronic-resource-num&gt;http://dx.doi.org/10.1016/j.jclinepi.2004.03.011&lt;/electronic-resource-num&gt;&lt;/record&gt;&lt;/Cite&gt;&lt;/EndNote&gt;</w:instrText>
      </w:r>
      <w:r w:rsidR="000C01C1">
        <w:rPr>
          <w:rFonts w:cs="Calibri"/>
        </w:rPr>
        <w:fldChar w:fldCharType="separate"/>
      </w:r>
      <w:r w:rsidR="003230DF">
        <w:rPr>
          <w:rFonts w:cs="Calibri"/>
          <w:noProof/>
        </w:rPr>
        <w:t>(5)</w:t>
      </w:r>
      <w:r w:rsidR="000C01C1">
        <w:rPr>
          <w:rFonts w:cs="Calibri"/>
        </w:rPr>
        <w:fldChar w:fldCharType="end"/>
      </w:r>
      <w:r w:rsidR="002C6094" w:rsidRPr="008B7CC1">
        <w:rPr>
          <w:rFonts w:cs="Calibri"/>
          <w:bCs/>
        </w:rPr>
        <w:t xml:space="preserve">In the context of the </w:t>
      </w:r>
      <w:r w:rsidR="00C1255D">
        <w:rPr>
          <w:rFonts w:cs="Calibri"/>
          <w:bCs/>
        </w:rPr>
        <w:t xml:space="preserve">antibiotic </w:t>
      </w:r>
      <w:r w:rsidR="002C6094" w:rsidRPr="008B7CC1">
        <w:rPr>
          <w:rFonts w:cs="Calibri"/>
          <w:bCs/>
        </w:rPr>
        <w:t xml:space="preserve">prescribing, observational studies are particularly at risk of confounding by indication, as </w:t>
      </w:r>
      <w:r w:rsidR="00255027" w:rsidRPr="008B7CC1">
        <w:rPr>
          <w:rFonts w:cs="Calibri"/>
          <w:bCs/>
        </w:rPr>
        <w:t>clinicians’</w:t>
      </w:r>
      <w:r w:rsidR="00255027" w:rsidRPr="008B7CC1" w:rsidDel="00255027">
        <w:rPr>
          <w:rFonts w:cs="Calibri"/>
          <w:bCs/>
        </w:rPr>
        <w:t xml:space="preserve"> </w:t>
      </w:r>
      <w:r w:rsidR="002C6094" w:rsidRPr="008B7CC1">
        <w:rPr>
          <w:rFonts w:cs="Calibri"/>
          <w:bCs/>
        </w:rPr>
        <w:t>decision</w:t>
      </w:r>
      <w:r w:rsidR="006D53B2">
        <w:rPr>
          <w:rFonts w:cs="Calibri"/>
          <w:bCs/>
        </w:rPr>
        <w:t>s</w:t>
      </w:r>
      <w:r w:rsidR="002C6094" w:rsidRPr="008B7CC1">
        <w:rPr>
          <w:rFonts w:cs="Calibri"/>
          <w:bCs/>
        </w:rPr>
        <w:t xml:space="preserve"> to issue a prescription is based on factors such as the severity of clinical signs and symptoms in the initial consultation, which in turn impact on the outcome measures of interest.  </w:t>
      </w:r>
    </w:p>
    <w:p w:rsidR="002C6094" w:rsidRPr="008B7CC1" w:rsidRDefault="002C6094" w:rsidP="002C6094">
      <w:pPr>
        <w:spacing w:after="0"/>
        <w:contextualSpacing/>
        <w:jc w:val="both"/>
        <w:rPr>
          <w:rFonts w:cs="Calibri"/>
        </w:rPr>
      </w:pPr>
    </w:p>
    <w:p w:rsidR="00400785" w:rsidRPr="008B7CC1" w:rsidRDefault="002C6094" w:rsidP="00EA1EB2">
      <w:pPr>
        <w:spacing w:after="0"/>
        <w:contextualSpacing/>
        <w:jc w:val="both"/>
        <w:rPr>
          <w:rFonts w:cs="Calibri"/>
        </w:rPr>
      </w:pPr>
      <w:r w:rsidRPr="008B7CC1">
        <w:rPr>
          <w:rFonts w:cs="Calibri"/>
        </w:rPr>
        <w:t xml:space="preserve">There are various statistical methods to adjust for confounders. </w:t>
      </w:r>
      <w:r w:rsidR="00941DDA">
        <w:rPr>
          <w:rFonts w:cs="Calibri"/>
        </w:rPr>
        <w:t>T</w:t>
      </w:r>
      <w:r w:rsidRPr="008B7CC1">
        <w:rPr>
          <w:rFonts w:cs="Calibri"/>
        </w:rPr>
        <w:t xml:space="preserve">hese adjust the observed crude association </w:t>
      </w:r>
      <w:r w:rsidR="006D53B2">
        <w:rPr>
          <w:rFonts w:cs="Calibri"/>
        </w:rPr>
        <w:t>for</w:t>
      </w:r>
      <w:r w:rsidR="006D53B2" w:rsidRPr="008B7CC1">
        <w:rPr>
          <w:rFonts w:cs="Calibri"/>
        </w:rPr>
        <w:t xml:space="preserve"> </w:t>
      </w:r>
      <w:r w:rsidRPr="008B7CC1">
        <w:rPr>
          <w:rFonts w:cs="Calibri"/>
        </w:rPr>
        <w:t>identified potential confounders.</w:t>
      </w:r>
      <w:r w:rsidR="003230DF">
        <w:rPr>
          <w:rFonts w:cs="Calibri"/>
        </w:rPr>
        <w:fldChar w:fldCharType="begin"/>
      </w:r>
      <w:r w:rsidR="003230DF">
        <w:rPr>
          <w:rFonts w:cs="Calibri"/>
        </w:rPr>
        <w:instrText xml:space="preserve"> ADDIN EN.CITE &lt;EndNote&gt;&lt;Cite&gt;&lt;Author&gt;Grootendorst&lt;/Author&gt;&lt;Year&gt;2010&lt;/Year&gt;&lt;RecNum&gt;1&lt;/RecNum&gt;&lt;DisplayText&gt;(2)&lt;/DisplayText&gt;&lt;record&gt;&lt;rec-number&gt;1&lt;/rec-number&gt;&lt;foreign-keys&gt;&lt;key app="EN" db-id="rpw95t5w0xp909ezfw65w0xu5frzw2255vtd" timestamp="1481485957"&gt;1&lt;/key&gt;&lt;/foreign-keys&gt;&lt;ref-type name="Journal Article"&gt;17&lt;/ref-type&gt;&lt;contributors&gt;&lt;authors&gt;&lt;author&gt;Grootendorst, D. C.&lt;/author&gt;&lt;author&gt;Jager, K. J.&lt;/author&gt;&lt;author&gt;Zoccali, C.&lt;/author&gt;&lt;author&gt;Dekker, F. W.&lt;/author&gt;&lt;/authors&gt;&lt;/contributors&gt;&lt;titles&gt;&lt;title&gt;Observational Studies Are Complementary to Randomized Controlled Trials&lt;/title&gt;&lt;secondary-title&gt;Nephron Clinical Practice&lt;/secondary-title&gt;&lt;/titles&gt;&lt;periodical&gt;&lt;full-title&gt;Nephron Clinical Practice&lt;/full-title&gt;&lt;/periodical&gt;&lt;pages&gt;c173-c177&lt;/pages&gt;&lt;volume&gt;114&lt;/volume&gt;&lt;number&gt;3&lt;/number&gt;&lt;dates&gt;&lt;year&gt;2010&lt;/year&gt;&lt;/dates&gt;&lt;urls&gt;&lt;related-urls&gt;&lt;url&gt;http://www.karger.com/DOI/10.1159/000262299&lt;/url&gt;&lt;/related-urls&gt;&lt;/urls&gt;&lt;/record&gt;&lt;/Cite&gt;&lt;/EndNote&gt;</w:instrText>
      </w:r>
      <w:r w:rsidR="003230DF">
        <w:rPr>
          <w:rFonts w:cs="Calibri"/>
        </w:rPr>
        <w:fldChar w:fldCharType="separate"/>
      </w:r>
      <w:r w:rsidR="003230DF">
        <w:rPr>
          <w:rFonts w:cs="Calibri"/>
          <w:noProof/>
        </w:rPr>
        <w:t>(2)</w:t>
      </w:r>
      <w:r w:rsidR="003230DF">
        <w:rPr>
          <w:rFonts w:cs="Calibri"/>
        </w:rPr>
        <w:fldChar w:fldCharType="end"/>
      </w:r>
      <w:r w:rsidRPr="008B7CC1">
        <w:rPr>
          <w:rFonts w:cs="Calibri"/>
        </w:rPr>
        <w:t xml:space="preserve"> In the </w:t>
      </w:r>
      <w:r w:rsidR="007F37AC" w:rsidRPr="008B7CC1">
        <w:rPr>
          <w:rFonts w:cs="Calibri"/>
        </w:rPr>
        <w:t>1980’s</w:t>
      </w:r>
      <w:r w:rsidRPr="008B7CC1">
        <w:rPr>
          <w:rFonts w:cs="Calibri"/>
        </w:rPr>
        <w:t>, Rosenbaum and Rubin</w:t>
      </w:r>
      <w:r w:rsidR="00594029" w:rsidRPr="008B7CC1">
        <w:rPr>
          <w:rFonts w:cs="Calibri"/>
        </w:rPr>
        <w:t xml:space="preserve"> </w:t>
      </w:r>
      <w:r w:rsidR="000C01C1">
        <w:rPr>
          <w:rFonts w:cs="Calibri"/>
        </w:rPr>
        <w:fldChar w:fldCharType="begin"/>
      </w:r>
      <w:r w:rsidR="003230DF">
        <w:rPr>
          <w:rFonts w:cs="Calibri"/>
        </w:rPr>
        <w:instrText xml:space="preserve"> ADDIN EN.CITE &lt;EndNote&gt;&lt;Cite&gt;&lt;Author&gt;Rosenbaum&lt;/Author&gt;&lt;Year&gt;1983&lt;/Year&gt;&lt;RecNum&gt;3&lt;/RecNum&gt;&lt;DisplayText&gt;(6)&lt;/DisplayText&gt;&lt;record&gt;&lt;rec-number&gt;3&lt;/rec-number&gt;&lt;foreign-keys&gt;&lt;key app="EN" db-id="rpw95t5w0xp909ezfw65w0xu5frzw2255vtd" timestamp="1481486098"&gt;3&lt;/key&gt;&lt;/foreign-keys&gt;&lt;ref-type name="Journal Article"&gt;17&lt;/ref-type&gt;&lt;contributors&gt;&lt;authors&gt;&lt;author&gt;Rosenbaum, Paul R.&lt;/author&gt;&lt;author&gt;Rubin, Donald B.&lt;/author&gt;&lt;/authors&gt;&lt;/contributors&gt;&lt;titles&gt;&lt;title&gt;The central role of the propensity score in observational studies for causal effects&lt;/title&gt;&lt;secondary-title&gt;Biometrika&lt;/secondary-title&gt;&lt;/titles&gt;&lt;periodical&gt;&lt;full-title&gt;Biometrika&lt;/full-title&gt;&lt;/periodical&gt;&lt;pages&gt;41-55&lt;/pages&gt;&lt;volume&gt;70&lt;/volume&gt;&lt;number&gt;1&lt;/number&gt;&lt;dates&gt;&lt;year&gt;1983&lt;/year&gt;&lt;/dates&gt;&lt;urls&gt;&lt;related-urls&gt;&lt;url&gt;http://biomet.oxfordjournals.org/content/70/1/41.abstract&lt;/url&gt;&lt;/related-urls&gt;&lt;/urls&gt;&lt;/record&gt;&lt;/Cite&gt;&lt;/EndNote&gt;</w:instrText>
      </w:r>
      <w:r w:rsidR="000C01C1">
        <w:rPr>
          <w:rFonts w:cs="Calibri"/>
        </w:rPr>
        <w:fldChar w:fldCharType="separate"/>
      </w:r>
      <w:r w:rsidR="003230DF">
        <w:rPr>
          <w:rFonts w:cs="Calibri"/>
          <w:noProof/>
        </w:rPr>
        <w:t>(6)</w:t>
      </w:r>
      <w:r w:rsidR="000C01C1">
        <w:rPr>
          <w:rFonts w:cs="Calibri"/>
        </w:rPr>
        <w:fldChar w:fldCharType="end"/>
      </w:r>
      <w:r w:rsidRPr="008B7CC1">
        <w:rPr>
          <w:rFonts w:cs="Calibri"/>
        </w:rPr>
        <w:t xml:space="preserve">introduced the propensity score, </w:t>
      </w:r>
      <w:r w:rsidR="00BF6074" w:rsidRPr="008B7CC1">
        <w:rPr>
          <w:rFonts w:cs="Calibri"/>
        </w:rPr>
        <w:t xml:space="preserve">which </w:t>
      </w:r>
      <w:r w:rsidR="00FF079D">
        <w:rPr>
          <w:rFonts w:cs="Calibri"/>
        </w:rPr>
        <w:t>is intended</w:t>
      </w:r>
      <w:r w:rsidR="00BF6074" w:rsidRPr="008B7CC1">
        <w:rPr>
          <w:rFonts w:cs="Calibri"/>
        </w:rPr>
        <w:t xml:space="preserve"> to address confounding by indication</w:t>
      </w:r>
      <w:r w:rsidRPr="008B7CC1">
        <w:rPr>
          <w:rFonts w:cs="Calibri"/>
        </w:rPr>
        <w:t xml:space="preserve"> and </w:t>
      </w:r>
      <w:r w:rsidR="00FF079D">
        <w:rPr>
          <w:rFonts w:cs="Calibri"/>
        </w:rPr>
        <w:t>its use</w:t>
      </w:r>
      <w:r w:rsidRPr="008B7CC1">
        <w:rPr>
          <w:rFonts w:cs="Calibri"/>
        </w:rPr>
        <w:t xml:space="preserve"> has increased in </w:t>
      </w:r>
      <w:r w:rsidR="00FF079D">
        <w:rPr>
          <w:rFonts w:cs="Calibri"/>
        </w:rPr>
        <w:t>recent</w:t>
      </w:r>
      <w:r w:rsidRPr="008B7CC1">
        <w:rPr>
          <w:rFonts w:cs="Calibri"/>
        </w:rPr>
        <w:t xml:space="preserve"> years</w:t>
      </w:r>
      <w:r w:rsidR="00400785">
        <w:rPr>
          <w:rFonts w:cs="Calibri"/>
        </w:rPr>
        <w:t>.</w:t>
      </w:r>
      <w:r w:rsidR="00D95367" w:rsidRPr="008B7CC1">
        <w:rPr>
          <w:rFonts w:cs="Calibri"/>
        </w:rPr>
        <w:t xml:space="preserve"> </w:t>
      </w:r>
      <w:r w:rsidR="00400785">
        <w:rPr>
          <w:rFonts w:cs="Calibri"/>
        </w:rPr>
        <w:t xml:space="preserve"> </w:t>
      </w:r>
      <w:r w:rsidR="00400785" w:rsidRPr="008B7CC1">
        <w:rPr>
          <w:rFonts w:cs="Calibri"/>
        </w:rPr>
        <w:t>The propensity score represents the probability of receiving the intervention and is calculated for eac</w:t>
      </w:r>
      <w:r w:rsidR="006D53B2">
        <w:rPr>
          <w:rFonts w:cs="Calibri"/>
        </w:rPr>
        <w:t>h individual patient. The score</w:t>
      </w:r>
      <w:r w:rsidR="00400785" w:rsidRPr="008B7CC1">
        <w:rPr>
          <w:rFonts w:cs="Calibri"/>
        </w:rPr>
        <w:t xml:space="preserve"> can then be used to adjust outcomes using inverse probability weighting, stratification or matching.</w:t>
      </w:r>
      <w:r w:rsidR="003230DF">
        <w:rPr>
          <w:rFonts w:cs="Calibri"/>
        </w:rPr>
        <w:fldChar w:fldCharType="begin"/>
      </w:r>
      <w:r w:rsidR="00EA1EB2">
        <w:rPr>
          <w:rFonts w:cs="Calibri"/>
        </w:rPr>
        <w:instrText xml:space="preserve"> ADDIN EN.CITE &lt;EndNote&gt;&lt;Cite&gt;&lt;Author&gt;Guo&lt;/Author&gt;&lt;Year&gt;2009&lt;/Year&gt;&lt;RecNum&gt;18&lt;/RecNum&gt;&lt;DisplayText&gt;(7, 8)&lt;/DisplayText&gt;&lt;record&gt;&lt;rec-number&gt;18&lt;/rec-number&gt;&lt;foreign-keys&gt;&lt;key app="EN" db-id="rpw95t5w0xp909ezfw65w0xu5frzw2255vtd" timestamp="1481488649"&gt;18&lt;/key&gt;&lt;/foreign-keys&gt;&lt;ref-type name="Book"&gt;6&lt;/ref-type&gt;&lt;contributors&gt;&lt;authors&gt;&lt;author&gt;Guo, SY&lt;/author&gt;&lt;author&gt;Fraser, MW&lt;/author&gt;&lt;/authors&gt;&lt;/contributors&gt;&lt;titles&gt;&lt;title&gt;Propensity Score Analysis: Statistical Methods and Applications (Advanced Quantitative Techniques in the Social Sciences)&lt;/title&gt;&lt;/titles&gt;&lt;dates&gt;&lt;year&gt;2009&lt;/year&gt;&lt;/dates&gt;&lt;publisher&gt;SAGE Publications&lt;/publisher&gt;&lt;urls&gt;&lt;/urls&gt;&lt;/record&gt;&lt;/Cite&gt;&lt;Cite&gt;&lt;Author&gt;Williamson&lt;/Author&gt;&lt;Year&gt;2014&lt;/Year&gt;&lt;RecNum&gt;29&lt;/RecNum&gt;&lt;record&gt;&lt;rec-number&gt;29&lt;/rec-number&gt;&lt;foreign-keys&gt;&lt;key app="EN" db-id="rpw95t5w0xp909ezfw65w0xu5frzw2255vtd" timestamp="1481540799"&gt;29&lt;/key&gt;&lt;/foreign-keys&gt;&lt;ref-type name="Journal Article"&gt;17&lt;/ref-type&gt;&lt;contributors&gt;&lt;authors&gt;&lt;author&gt;Williamson, Elizabeth J.&lt;/author&gt;&lt;author&gt;Forbes, Andrew&lt;/author&gt;&lt;/authors&gt;&lt;/contributors&gt;&lt;titles&gt;&lt;title&gt;Introduction to propensity scores&lt;/title&gt;&lt;secondary-title&gt;Respirology&lt;/secondary-title&gt;&lt;/titles&gt;&lt;periodical&gt;&lt;full-title&gt;Respirology&lt;/full-title&gt;&lt;/periodical&gt;&lt;pages&gt;625-635&lt;/pages&gt;&lt;volume&gt;19&lt;/volume&gt;&lt;number&gt;5&lt;/number&gt;&lt;keywords&gt;&lt;keyword&gt;causal inference&lt;/keyword&gt;&lt;keyword&gt;confounding&lt;/keyword&gt;&lt;keyword&gt;environmental and occupational health and epidemiology&lt;/keyword&gt;&lt;keyword&gt;observational studies&lt;/keyword&gt;&lt;keyword&gt;statistics&lt;/keyword&gt;&lt;/keywords&gt;&lt;dates&gt;&lt;year&gt;2014&lt;/year&gt;&lt;/dates&gt;&lt;isbn&gt;1440-1843&lt;/isbn&gt;&lt;urls&gt;&lt;related-urls&gt;&lt;url&gt;http://dx.doi.org/10.1111/resp.12312&lt;/url&gt;&lt;url&gt;http://onlinelibrary.wiley.com/store/10.1111/resp.12312/asset/resp12312.pdf?v=1&amp;amp;t=iwlz5j89&amp;amp;s=f4fe70e1b9dc44f6f509f903fc64cd85f7630726&lt;/url&gt;&lt;/related-urls&gt;&lt;/urls&gt;&lt;electronic-resource-num&gt;10.1111/resp.12312&lt;/electronic-resource-num&gt;&lt;/record&gt;&lt;/Cite&gt;&lt;/EndNote&gt;</w:instrText>
      </w:r>
      <w:r w:rsidR="003230DF">
        <w:rPr>
          <w:rFonts w:cs="Calibri"/>
        </w:rPr>
        <w:fldChar w:fldCharType="separate"/>
      </w:r>
      <w:r w:rsidR="00EA1EB2">
        <w:rPr>
          <w:rFonts w:cs="Calibri"/>
          <w:noProof/>
        </w:rPr>
        <w:t>(7, 8)</w:t>
      </w:r>
      <w:r w:rsidR="003230DF">
        <w:rPr>
          <w:rFonts w:cs="Calibri"/>
        </w:rPr>
        <w:fldChar w:fldCharType="end"/>
      </w:r>
      <w:r w:rsidR="00400785" w:rsidRPr="008B7CC1">
        <w:rPr>
          <w:rFonts w:cs="Calibri"/>
        </w:rPr>
        <w:t xml:space="preserve"> </w:t>
      </w:r>
      <w:r w:rsidR="003230DF">
        <w:rPr>
          <w:rFonts w:cs="Calibri"/>
        </w:rPr>
        <w:t xml:space="preserve"> </w:t>
      </w:r>
      <w:r w:rsidR="00400785" w:rsidRPr="008B7CC1">
        <w:rPr>
          <w:rFonts w:cs="Calibri"/>
        </w:rPr>
        <w:t xml:space="preserve">The propensity score balances the dataset on observed covariates.    </w:t>
      </w:r>
      <w:r w:rsidR="00400785" w:rsidRPr="008B7CC1">
        <w:rPr>
          <w:rFonts w:cs="Calibri"/>
          <w:bCs/>
        </w:rPr>
        <w:t>By creating a dataset balanced on observed covariate</w:t>
      </w:r>
      <w:r w:rsidR="00F453EB">
        <w:rPr>
          <w:rFonts w:cs="Calibri"/>
          <w:bCs/>
        </w:rPr>
        <w:t>s</w:t>
      </w:r>
      <w:r w:rsidR="00400785" w:rsidRPr="008B7CC1">
        <w:rPr>
          <w:rFonts w:cs="Calibri"/>
          <w:bCs/>
        </w:rPr>
        <w:t>, similar to the structure of an RCT, it should be possible to make accurate causal inferences in the observational study population.   We hypothesised therefore that if the results obtained in a trial represent the true treatment effect in the general population, we would expect to see the same treatment effect in an observational study balanced by propensity score, assuming there is no residual unmeasured confounding</w:t>
      </w:r>
    </w:p>
    <w:p w:rsidR="00400785" w:rsidRDefault="00400785" w:rsidP="00400785">
      <w:pPr>
        <w:spacing w:after="0"/>
        <w:contextualSpacing/>
        <w:jc w:val="both"/>
        <w:rPr>
          <w:rFonts w:cs="Calibri"/>
        </w:rPr>
      </w:pPr>
    </w:p>
    <w:p w:rsidR="00931AFC" w:rsidRPr="008B7CC1" w:rsidRDefault="0039427B" w:rsidP="0079246C">
      <w:pPr>
        <w:spacing w:after="0"/>
        <w:contextualSpacing/>
        <w:jc w:val="both"/>
        <w:rPr>
          <w:rFonts w:cs="Calibri"/>
        </w:rPr>
      </w:pPr>
      <w:r>
        <w:rPr>
          <w:rFonts w:cs="Calibri"/>
        </w:rPr>
        <w:t>In some situations, propensity scores may give similar results to traditional methods of controlling for confounding.</w:t>
      </w:r>
      <w:r w:rsidR="00B57FD3">
        <w:rPr>
          <w:rFonts w:cs="Calibri"/>
        </w:rPr>
        <w:fldChar w:fldCharType="begin"/>
      </w:r>
      <w:r w:rsidR="00EA1EB2">
        <w:rPr>
          <w:rFonts w:cs="Calibri"/>
        </w:rPr>
        <w:instrText xml:space="preserve"> ADDIN EN.CITE &lt;EndNote&gt;&lt;Cite&gt;&lt;Author&gt;Shah&lt;/Author&gt;&lt;RecNum&gt;23&lt;/RecNum&gt;&lt;DisplayText&gt;(9)&lt;/DisplayText&gt;&lt;record&gt;&lt;rec-number&gt;23&lt;/rec-number&gt;&lt;foreign-keys&gt;&lt;key app="EN" db-id="rpw95t5w0xp909ezfw65w0xu5frzw2255vtd" timestamp="1481492225"&gt;23&lt;/key&gt;&lt;/foreign-keys&gt;&lt;ref-type name="Journal Article"&gt;17&lt;/ref-type&gt;&lt;contributors&gt;&lt;authors&gt;&lt;author&gt;Shah, B. R.&lt;/author&gt;&lt;author&gt;Laupacis A Fau - Hux, Janet E.&lt;/author&gt;&lt;author&gt;Hux Je Fau - Austin, Peter C.&lt;/author&gt;&lt;author&gt;Austin, P. C.&lt;/author&gt;&lt;/authors&gt;&lt;translated-authors&gt;&lt;author&gt;J. Clin Epidemiol&lt;/author&gt;&lt;/translated-authors&gt;&lt;/contributors&gt;&lt;auth-address&gt;Institute for Clinical Evaluative Sciences, Toronto, Ontario, Canada. baiju.shah@ices.on.ca FAU - Laupacis, Andreas&lt;/auth-address&gt;&lt;titles&gt;&lt;title&gt;Propensity score methods gave similar results to traditional regression modeling in observational studies: a systematic review&lt;/title&gt;&lt;/titles&gt;&lt;number&gt;0895-4356 (Print)&lt;/number&gt;&lt;dates&gt;&lt;pub-dates&gt;&lt;date&gt;20050509 DCOM- 20050720&lt;/date&gt;&lt;/pub-dates&gt;&lt;/dates&gt;&lt;urls&gt;&lt;/urls&gt;&lt;remote-database-provider&gt;2005 Jun&lt;/remote-database-provider&gt;&lt;language&gt;eng&lt;/language&gt;&lt;/record&gt;&lt;/Cite&gt;&lt;/EndNote&gt;</w:instrText>
      </w:r>
      <w:r w:rsidR="00B57FD3">
        <w:rPr>
          <w:rFonts w:cs="Calibri"/>
        </w:rPr>
        <w:fldChar w:fldCharType="separate"/>
      </w:r>
      <w:r w:rsidR="00EA1EB2">
        <w:rPr>
          <w:rFonts w:cs="Calibri"/>
          <w:noProof/>
        </w:rPr>
        <w:t>(9)</w:t>
      </w:r>
      <w:r w:rsidR="00B57FD3">
        <w:rPr>
          <w:rFonts w:cs="Calibri"/>
        </w:rPr>
        <w:fldChar w:fldCharType="end"/>
      </w:r>
      <w:r>
        <w:rPr>
          <w:rFonts w:cs="Calibri"/>
        </w:rPr>
        <w:t xml:space="preserve">  However, they </w:t>
      </w:r>
      <w:r w:rsidR="00400785">
        <w:rPr>
          <w:rFonts w:cs="Calibri"/>
        </w:rPr>
        <w:t xml:space="preserve">are </w:t>
      </w:r>
      <w:r w:rsidR="00D95367" w:rsidRPr="008B7CC1">
        <w:rPr>
          <w:rFonts w:cs="Calibri"/>
        </w:rPr>
        <w:t>considered to have</w:t>
      </w:r>
      <w:r>
        <w:rPr>
          <w:rFonts w:cs="Calibri"/>
        </w:rPr>
        <w:t xml:space="preserve"> some</w:t>
      </w:r>
      <w:r w:rsidR="00D95367" w:rsidRPr="008B7CC1">
        <w:rPr>
          <w:rFonts w:cs="Calibri"/>
        </w:rPr>
        <w:t xml:space="preserve"> </w:t>
      </w:r>
      <w:r w:rsidR="00400785">
        <w:rPr>
          <w:rFonts w:cs="Calibri"/>
        </w:rPr>
        <w:t xml:space="preserve">methodological </w:t>
      </w:r>
      <w:r w:rsidR="00D95367" w:rsidRPr="008B7CC1">
        <w:rPr>
          <w:rFonts w:cs="Calibri"/>
        </w:rPr>
        <w:t xml:space="preserve">advantages </w:t>
      </w:r>
      <w:r w:rsidR="003230DF">
        <w:rPr>
          <w:rFonts w:cs="Calibri"/>
        </w:rPr>
        <w:fldChar w:fldCharType="begin"/>
      </w:r>
      <w:r w:rsidR="00EA1EB2">
        <w:rPr>
          <w:rFonts w:cs="Calibri"/>
        </w:rPr>
        <w:instrText xml:space="preserve"> ADDIN EN.CITE &lt;EndNote&gt;&lt;Cite&gt;&lt;Author&gt;Austin&lt;/Author&gt;&lt;Year&gt;2011&lt;/Year&gt;&lt;RecNum&gt;4&lt;/RecNum&gt;&lt;DisplayText&gt;(10)&lt;/DisplayText&gt;&lt;record&gt;&lt;rec-number&gt;4&lt;/rec-number&gt;&lt;foreign-keys&gt;&lt;key app="EN" db-id="rpw95t5w0xp909ezfw65w0xu5frzw2255vtd" timestamp="1481486145"&gt;4&lt;/key&gt;&lt;/foreign-keys&gt;&lt;ref-type name="Journal Article"&gt;17&lt;/ref-type&gt;&lt;contributors&gt;&lt;authors&gt;&lt;author&gt;Austin, Peter C.&lt;/author&gt;&lt;/authors&gt;&lt;/contributors&gt;&lt;titles&gt;&lt;title&gt;An Introduction to Propensity Score Methods for Reducing the Effects of Confounding in Observational Studies&lt;/title&gt;&lt;secondary-title&gt;Multivariate Behavioral Research&lt;/secondary-title&gt;&lt;/titles&gt;&lt;periodical&gt;&lt;full-title&gt;Multivariate Behavioral Research&lt;/full-title&gt;&lt;/periodical&gt;&lt;pages&gt;399-424&lt;/pages&gt;&lt;volume&gt;46&lt;/volume&gt;&lt;number&gt;3&lt;/number&gt;&lt;dates&gt;&lt;year&gt;2011&lt;/year&gt;&lt;pub-dates&gt;&lt;date&gt;2011/05/31&lt;/date&gt;&lt;/pub-dates&gt;&lt;/dates&gt;&lt;publisher&gt;Routledge&lt;/publisher&gt;&lt;isbn&gt;0027-3171&lt;/isbn&gt;&lt;urls&gt;&lt;related-urls&gt;&lt;url&gt;http://dx.doi.org/10.1080/00273171.2011.568786&lt;/url&gt;&lt;url&gt;https://www.ncbi.nlm.nih.gov/pmc/articles/PMC3144483/pdf/hmbr46-399.pdf&lt;/url&gt;&lt;/related-urls&gt;&lt;/urls&gt;&lt;electronic-resource-num&gt;10.1080/00273171.2011.568786&lt;/electronic-resource-num&gt;&lt;/record&gt;&lt;/Cite&gt;&lt;/EndNote&gt;</w:instrText>
      </w:r>
      <w:r w:rsidR="003230DF">
        <w:rPr>
          <w:rFonts w:cs="Calibri"/>
        </w:rPr>
        <w:fldChar w:fldCharType="separate"/>
      </w:r>
      <w:r w:rsidR="00EA1EB2">
        <w:rPr>
          <w:rFonts w:cs="Calibri"/>
          <w:noProof/>
        </w:rPr>
        <w:t>(10)</w:t>
      </w:r>
      <w:r w:rsidR="003230DF">
        <w:rPr>
          <w:rFonts w:cs="Calibri"/>
        </w:rPr>
        <w:fldChar w:fldCharType="end"/>
      </w:r>
      <w:r w:rsidR="0099268B" w:rsidRPr="008B7CC1">
        <w:rPr>
          <w:rFonts w:cs="Calibri"/>
        </w:rPr>
        <w:t xml:space="preserve">. </w:t>
      </w:r>
      <w:r w:rsidR="00400785">
        <w:rPr>
          <w:rFonts w:ascii="Arial" w:hAnsi="Arial"/>
          <w:color w:val="0000FF"/>
        </w:rPr>
        <w:t>.</w:t>
      </w:r>
      <w:r w:rsidR="00400785">
        <w:rPr>
          <w:rFonts w:cs="Calibri"/>
        </w:rPr>
        <w:t>Unlike traditional methods of controlling for confounding, t</w:t>
      </w:r>
      <w:r w:rsidR="00400785" w:rsidRPr="00BB289D">
        <w:rPr>
          <w:rFonts w:cs="Calibri"/>
        </w:rPr>
        <w:t xml:space="preserve">he propensity score </w:t>
      </w:r>
      <w:r w:rsidR="00400785">
        <w:rPr>
          <w:rFonts w:cs="Calibri"/>
        </w:rPr>
        <w:t>approach</w:t>
      </w:r>
      <w:r w:rsidR="00400785" w:rsidRPr="00BB289D">
        <w:rPr>
          <w:rFonts w:cs="Calibri"/>
        </w:rPr>
        <w:t xml:space="preserve"> </w:t>
      </w:r>
      <w:r w:rsidR="00400785">
        <w:rPr>
          <w:rFonts w:cs="Calibri"/>
        </w:rPr>
        <w:t>provides balance diagnostic</w:t>
      </w:r>
      <w:r w:rsidR="009500EB">
        <w:rPr>
          <w:rFonts w:cs="Calibri"/>
        </w:rPr>
        <w:t>s</w:t>
      </w:r>
      <w:r w:rsidR="00400785">
        <w:rPr>
          <w:rFonts w:cs="Calibri"/>
        </w:rPr>
        <w:t>, allowing examination of w</w:t>
      </w:r>
      <w:r w:rsidR="00400785" w:rsidRPr="00BB289D">
        <w:rPr>
          <w:rFonts w:cs="Calibri"/>
        </w:rPr>
        <w:t>hether the model has been adequately specified</w:t>
      </w:r>
      <w:r w:rsidR="00400785">
        <w:rPr>
          <w:rFonts w:cs="Calibri"/>
        </w:rPr>
        <w:t xml:space="preserve">. </w:t>
      </w:r>
      <w:r w:rsidR="00400785" w:rsidRPr="00BB289D">
        <w:rPr>
          <w:rFonts w:cs="Calibri"/>
        </w:rPr>
        <w:t xml:space="preserve">The propensity score is also developed independently of the analysis of the relationship between exposure and outcome, so the researcher avoids </w:t>
      </w:r>
      <w:r w:rsidR="00400785">
        <w:rPr>
          <w:rFonts w:cs="Calibri"/>
        </w:rPr>
        <w:t>any</w:t>
      </w:r>
      <w:r w:rsidR="00400785" w:rsidRPr="00BB289D">
        <w:rPr>
          <w:rFonts w:cs="Calibri"/>
        </w:rPr>
        <w:t xml:space="preserve"> temptation to continue adjusting the regression model until the desired effect is achieved.</w:t>
      </w:r>
      <w:r w:rsidR="00666AC5">
        <w:rPr>
          <w:rFonts w:cs="Calibri"/>
        </w:rPr>
        <w:fldChar w:fldCharType="begin"/>
      </w:r>
      <w:r w:rsidR="00EA1EB2">
        <w:rPr>
          <w:rFonts w:cs="Calibri"/>
        </w:rPr>
        <w:instrText xml:space="preserve"> ADDIN EN.CITE &lt;EndNote&gt;&lt;Cite&gt;&lt;Author&gt;Rubin&lt;/Author&gt;&lt;Year&gt;2001&lt;/Year&gt;&lt;RecNum&gt;26&lt;/RecNum&gt;&lt;DisplayText&gt;(11)&lt;/DisplayText&gt;&lt;record&gt;&lt;rec-number&gt;26&lt;/rec-number&gt;&lt;foreign-keys&gt;&lt;key app="EN" db-id="rpw95t5w0xp909ezfw65w0xu5frzw2255vtd" timestamp="1481534773"&gt;26&lt;/key&gt;&lt;/foreign-keys&gt;&lt;ref-type name="Journal Article"&gt;17&lt;/ref-type&gt;&lt;contributors&gt;&lt;authors&gt;&lt;author&gt;Rubin, Donald B.&lt;/author&gt;&lt;/authors&gt;&lt;/contributors&gt;&lt;titles&gt;&lt;title&gt;Using Propensity Scores to Help Design Observational Studies: Application to the Tobacco Litigation&lt;/title&gt;&lt;secondary-title&gt;Health Services and Outcomes Research Methodology&lt;/secondary-title&gt;&lt;/titles&gt;&lt;periodical&gt;&lt;full-title&gt;Health Services and Outcomes Research Methodology&lt;/full-title&gt;&lt;/periodical&gt;&lt;pages&gt;169-188&lt;/pages&gt;&lt;volume&gt;2&lt;/volume&gt;&lt;number&gt;3&lt;/number&gt;&lt;dates&gt;&lt;year&gt;2001&lt;/year&gt;&lt;pub-dates&gt;&lt;date&gt;2001//&lt;/date&gt;&lt;/pub-dates&gt;&lt;/dates&gt;&lt;isbn&gt;1572-9400&lt;/isbn&gt;&lt;urls&gt;&lt;related-urls&gt;&lt;url&gt;http://dx.doi.org/10.1023/A:1020363010465&lt;/url&gt;&lt;url&gt;http://download.springer.com/static/pdf/966/art%253A10.1023%252FA%253A1020363010465.pdf?originUrl=http%3A%2F%2Flink.springer.com%2Farticle%2F10.1023%2FA%3A1020363010465&amp;amp;token2=exp=1481535991~acl=%2Fstatic%2Fpdf%2F966%2Fart%25253A10.1023%25252FA%25253A1020363010465.pdf%3ForiginUrl%3Dhttp%253A%252F%252Flink.springer.com%252Farticle%252F10.1023%252FA%253A1020363010465*~hmac=4db5c84bc615ec35d2dd2308a8433f40803ef3f9a7bbef5adb13d4780b9c105d&lt;/url&gt;&lt;/related-urls&gt;&lt;/urls&gt;&lt;electronic-resource-num&gt;10.1023/A:1020363010465&lt;/electronic-resource-num&gt;&lt;/record&gt;&lt;/Cite&gt;&lt;/EndNote&gt;</w:instrText>
      </w:r>
      <w:r w:rsidR="00666AC5">
        <w:rPr>
          <w:rFonts w:cs="Calibri"/>
        </w:rPr>
        <w:fldChar w:fldCharType="separate"/>
      </w:r>
      <w:r w:rsidR="00EA1EB2">
        <w:rPr>
          <w:rFonts w:cs="Calibri"/>
          <w:noProof/>
        </w:rPr>
        <w:t>(11)</w:t>
      </w:r>
      <w:r w:rsidR="00666AC5">
        <w:rPr>
          <w:rFonts w:cs="Calibri"/>
        </w:rPr>
        <w:fldChar w:fldCharType="end"/>
      </w:r>
      <w:r w:rsidR="00400785" w:rsidRPr="00BB289D">
        <w:rPr>
          <w:rFonts w:cs="Calibri"/>
        </w:rPr>
        <w:t xml:space="preserve">  </w:t>
      </w:r>
      <w:r w:rsidR="00400785">
        <w:rPr>
          <w:rFonts w:cs="Calibri"/>
        </w:rPr>
        <w:t>T</w:t>
      </w:r>
      <w:r w:rsidR="00400785" w:rsidRPr="00400785">
        <w:rPr>
          <w:rFonts w:cs="Calibri"/>
        </w:rPr>
        <w:t xml:space="preserve">here </w:t>
      </w:r>
      <w:r w:rsidR="00400785">
        <w:rPr>
          <w:rFonts w:cs="Calibri"/>
        </w:rPr>
        <w:t>may</w:t>
      </w:r>
      <w:r w:rsidR="00400785" w:rsidRPr="00BB289D">
        <w:rPr>
          <w:rFonts w:cs="Calibri"/>
        </w:rPr>
        <w:t xml:space="preserve"> also</w:t>
      </w:r>
      <w:r w:rsidR="00400785">
        <w:rPr>
          <w:rFonts w:cs="Calibri"/>
        </w:rPr>
        <w:t xml:space="preserve"> be</w:t>
      </w:r>
      <w:r w:rsidR="00400785" w:rsidRPr="00BB289D">
        <w:rPr>
          <w:rFonts w:cs="Calibri"/>
        </w:rPr>
        <w:t xml:space="preserve"> more flexibility in studies where the outcome is rare but the exposure is common. It might not be possible to include all the baseline confounders for a rare outcome - at least 10 events per covariate is often recommended.</w:t>
      </w:r>
      <w:r w:rsidR="00231965">
        <w:rPr>
          <w:rFonts w:cs="Calibri"/>
        </w:rPr>
        <w:fldChar w:fldCharType="begin"/>
      </w:r>
      <w:r w:rsidR="00BB289D">
        <w:rPr>
          <w:rFonts w:cs="Calibri"/>
        </w:rPr>
        <w:instrText xml:space="preserve"> ADDIN EN.CITE &lt;EndNote&gt;&lt;Cite&gt;&lt;Author&gt;Peduzzi&lt;/Author&gt;&lt;Year&gt;1996&lt;/Year&gt;&lt;RecNum&gt;25&lt;/RecNum&gt;&lt;DisplayText&gt;(12)&lt;/DisplayText&gt;&lt;record&gt;&lt;rec-number&gt;25&lt;/rec-number&gt;&lt;foreign-keys&gt;&lt;key app="EN" db-id="rpw95t5w0xp909ezfw65w0xu5frzw2255vtd" timestamp="1481534380"&gt;25&lt;/key&gt;&lt;/foreign-keys&gt;&lt;ref-type name="Journal Article"&gt;17&lt;/ref-type&gt;&lt;contributors&gt;&lt;authors&gt;&lt;author&gt;Peduzzi, Peter&lt;/author&gt;&lt;author&gt;Concato, John&lt;/author&gt;&lt;author&gt;Kemper, Elizabeth&lt;/author&gt;&lt;author&gt;Holford, Theodore R.&lt;/author&gt;&lt;author&gt;Feinstein, Alvan R.&lt;/author&gt;&lt;/authors&gt;&lt;/contributors&gt;&lt;titles&gt;&lt;title&gt;A simulation study of the number of events per variable in logistic regression analysis&lt;/title&gt;&lt;secondary-title&gt;Journal of Clinical Epidemiology&lt;/secondary-title&gt;&lt;/titles&gt;&lt;periodical&gt;&lt;full-title&gt;Journal of Clinical Epidemiology&lt;/full-title&gt;&lt;/periodical&gt;&lt;pages&gt;1373-1379&lt;/pages&gt;&lt;volume&gt;49&lt;/volume&gt;&lt;number&gt;12&lt;/number&gt;&lt;keywords&gt;&lt;keyword&gt;Monte Carlo&lt;/keyword&gt;&lt;keyword&gt;bias&lt;/keyword&gt;&lt;keyword&gt;precision&lt;/keyword&gt;&lt;keyword&gt;significance testing&lt;/keyword&gt;&lt;/keywords&gt;&lt;dates&gt;&lt;year&gt;1996&lt;/year&gt;&lt;pub-dates&gt;&lt;date&gt;1996/12/01&lt;/date&gt;&lt;/pub-dates&gt;&lt;/dates&gt;&lt;isbn&gt;0895-4356&lt;/isbn&gt;&lt;urls&gt;&lt;related-urls&gt;&lt;url&gt;http://www.sciencedirect.com/science/article/pii/S0895435696002363&lt;/url&gt;&lt;/related-urls&gt;&lt;/urls&gt;&lt;electronic-resource-num&gt;http://dx.doi.org/10.1016/S0895-4356(96)00236-3&lt;/electronic-resource-num&gt;&lt;/record&gt;&lt;/Cite&gt;&lt;/EndNote&gt;</w:instrText>
      </w:r>
      <w:r w:rsidR="00231965">
        <w:rPr>
          <w:rFonts w:cs="Calibri"/>
        </w:rPr>
        <w:fldChar w:fldCharType="separate"/>
      </w:r>
      <w:r w:rsidR="00BB289D">
        <w:rPr>
          <w:rFonts w:cs="Calibri"/>
          <w:noProof/>
        </w:rPr>
        <w:t>(12)</w:t>
      </w:r>
      <w:r w:rsidR="00231965">
        <w:rPr>
          <w:rFonts w:cs="Calibri"/>
        </w:rPr>
        <w:fldChar w:fldCharType="end"/>
      </w:r>
      <w:r w:rsidR="00400785" w:rsidRPr="00BB289D">
        <w:rPr>
          <w:rFonts w:cs="Calibri"/>
        </w:rPr>
        <w:t xml:space="preserve">  But if the treatment is more common, there may be more flexibility in including </w:t>
      </w:r>
      <w:r w:rsidR="00400785" w:rsidRPr="00BB289D">
        <w:rPr>
          <w:rFonts w:cs="Calibri"/>
        </w:rPr>
        <w:lastRenderedPageBreak/>
        <w:t xml:space="preserve">these in the calculation of the propensity score. </w:t>
      </w:r>
      <w:r w:rsidR="00231965">
        <w:rPr>
          <w:rFonts w:cs="Calibri"/>
        </w:rPr>
        <w:fldChar w:fldCharType="begin"/>
      </w:r>
      <w:r w:rsidR="00BB289D">
        <w:rPr>
          <w:rFonts w:cs="Calibri"/>
        </w:rPr>
        <w:instrText xml:space="preserve"> ADDIN EN.CITE &lt;EndNote&gt;&lt;Cite&gt;&lt;Author&gt;Braitman&lt;/Author&gt;&lt;Year&gt;2002&lt;/Year&gt;&lt;RecNum&gt;24&lt;/RecNum&gt;&lt;DisplayText&gt;(13)&lt;/DisplayText&gt;&lt;record&gt;&lt;rec-number&gt;24&lt;/rec-number&gt;&lt;foreign-keys&gt;&lt;key app="EN" db-id="rpw95t5w0xp909ezfw65w0xu5frzw2255vtd" timestamp="1481534010"&gt;24&lt;/key&gt;&lt;/foreign-keys&gt;&lt;ref-type name="Journal Article"&gt;17&lt;/ref-type&gt;&lt;contributors&gt;&lt;authors&gt;&lt;author&gt;Braitman, L. E.&lt;/author&gt;&lt;author&gt;Rosenbaum, P. R.&lt;/author&gt;&lt;/authors&gt;&lt;/contributors&gt;&lt;titles&gt;&lt;title&gt;Rare outcomes, common treatments: Analytic strategies using propensity scores&lt;/title&gt;&lt;secondary-title&gt;Annals of Internal Medicine&lt;/secondary-title&gt;&lt;/titles&gt;&lt;periodical&gt;&lt;full-title&gt;Annals of Internal Medicine&lt;/full-title&gt;&lt;/periodical&gt;&lt;pages&gt;693-695&lt;/pages&gt;&lt;volume&gt;137&lt;/volume&gt;&lt;number&gt;8&lt;/number&gt;&lt;dates&gt;&lt;year&gt;2002&lt;/year&gt;&lt;/dates&gt;&lt;isbn&gt;0003-4819&lt;/isbn&gt;&lt;urls&gt;&lt;related-urls&gt;&lt;url&gt;http://dx.doi.org/10.7326/0003-4819-137-8-200210150-00015&lt;/url&gt;&lt;url&gt;http://annals.org/data/Journals/AIM/20018/0000605-200210150-00015.pdf&lt;/url&gt;&lt;/related-urls&gt;&lt;/urls&gt;&lt;electronic-resource-num&gt;10.7326/0003-4819-137-8-200210150-00015&lt;/electronic-resource-num&gt;&lt;/record&gt;&lt;/Cite&gt;&lt;/EndNote&gt;</w:instrText>
      </w:r>
      <w:r w:rsidR="00231965">
        <w:rPr>
          <w:rFonts w:cs="Calibri"/>
        </w:rPr>
        <w:fldChar w:fldCharType="separate"/>
      </w:r>
      <w:r w:rsidR="00BB289D">
        <w:rPr>
          <w:rFonts w:cs="Calibri"/>
          <w:noProof/>
        </w:rPr>
        <w:t>(13)</w:t>
      </w:r>
      <w:r w:rsidR="00231965">
        <w:rPr>
          <w:rFonts w:cs="Calibri"/>
        </w:rPr>
        <w:fldChar w:fldCharType="end"/>
      </w:r>
      <w:r w:rsidR="00400785" w:rsidRPr="00BB289D">
        <w:rPr>
          <w:rFonts w:cs="Calibri"/>
        </w:rPr>
        <w:br/>
      </w:r>
      <w:r w:rsidR="0099268B" w:rsidRPr="008B7CC1">
        <w:rPr>
          <w:rFonts w:cs="Calibri"/>
          <w:color w:val="FF0000"/>
        </w:rPr>
        <w:t xml:space="preserve"> </w:t>
      </w:r>
    </w:p>
    <w:p w:rsidR="00931AFC" w:rsidRPr="008B7CC1" w:rsidRDefault="00931AFC" w:rsidP="00D13E54">
      <w:pPr>
        <w:spacing w:after="0"/>
        <w:contextualSpacing/>
        <w:jc w:val="both"/>
        <w:rPr>
          <w:rFonts w:cs="Calibri"/>
          <w:bCs/>
        </w:rPr>
      </w:pPr>
    </w:p>
    <w:p w:rsidR="00D13E54" w:rsidRPr="008B7CC1" w:rsidRDefault="00931AFC" w:rsidP="007D439B">
      <w:pPr>
        <w:spacing w:after="0"/>
        <w:contextualSpacing/>
        <w:jc w:val="both"/>
        <w:rPr>
          <w:rFonts w:cs="Calibri"/>
          <w:bCs/>
        </w:rPr>
      </w:pPr>
      <w:r w:rsidRPr="008B7CC1">
        <w:rPr>
          <w:rFonts w:cs="Calibri"/>
          <w:bCs/>
        </w:rPr>
        <w:t>Discussion of</w:t>
      </w:r>
      <w:r w:rsidR="00D13E54" w:rsidRPr="008B7CC1">
        <w:rPr>
          <w:rFonts w:cs="Calibri"/>
          <w:bCs/>
        </w:rPr>
        <w:t xml:space="preserve"> findings from RCTs compared to observational studies is </w:t>
      </w:r>
      <w:r w:rsidR="009500EB">
        <w:rPr>
          <w:rFonts w:cs="Calibri"/>
          <w:bCs/>
        </w:rPr>
        <w:t>often</w:t>
      </w:r>
      <w:r w:rsidR="00D13E54" w:rsidRPr="008B7CC1">
        <w:rPr>
          <w:rFonts w:cs="Calibri"/>
          <w:bCs/>
        </w:rPr>
        <w:t xml:space="preserve"> hampered by </w:t>
      </w:r>
      <w:r w:rsidR="007D439B">
        <w:rPr>
          <w:rFonts w:cs="Calibri"/>
          <w:bCs/>
        </w:rPr>
        <w:t xml:space="preserve">differing designs, settings, inclusions criteria and outcome measures.  </w:t>
      </w:r>
      <w:r w:rsidR="00D13E54" w:rsidRPr="008B7CC1">
        <w:rPr>
          <w:rFonts w:cs="Calibri"/>
          <w:bCs/>
        </w:rPr>
        <w:t xml:space="preserve"> The GRACE suite of studies offer a unique opportunity to compare and analyse the differences between outcomes from observational studies and an RCT using the same inclusion criteria, similar settings and the same follow-up measurements. In this sub-study, we aimed to compare estimates of the effect of antibiotic treatment in patients with lower respiratory tract infections (LRTIs) in an RCT and prospective observational cohort</w:t>
      </w:r>
      <w:r w:rsidR="007F37AC" w:rsidRPr="008B7CC1">
        <w:rPr>
          <w:rFonts w:cs="Calibri"/>
          <w:bCs/>
        </w:rPr>
        <w:t xml:space="preserve">. </w:t>
      </w:r>
      <w:r w:rsidR="00D13E54" w:rsidRPr="008B7CC1">
        <w:rPr>
          <w:rFonts w:cs="Calibri"/>
          <w:bCs/>
        </w:rPr>
        <w:t xml:space="preserve">We aimed to perform analyses that </w:t>
      </w:r>
      <w:r w:rsidR="00D13E54" w:rsidRPr="00594029">
        <w:rPr>
          <w:i/>
        </w:rPr>
        <w:t>did</w:t>
      </w:r>
      <w:r w:rsidR="00D13E54" w:rsidRPr="008B7CC1">
        <w:rPr>
          <w:rFonts w:cs="Calibri"/>
          <w:bCs/>
        </w:rPr>
        <w:t xml:space="preserve"> and </w:t>
      </w:r>
      <w:r w:rsidR="00D13E54" w:rsidRPr="00594029">
        <w:rPr>
          <w:i/>
        </w:rPr>
        <w:t>did not</w:t>
      </w:r>
      <w:r w:rsidR="00D13E54" w:rsidRPr="008B7CC1">
        <w:rPr>
          <w:rFonts w:cs="Calibri"/>
          <w:bCs/>
        </w:rPr>
        <w:t xml:space="preserve"> take propensity scores into account to see if this approach resulted in similar estimates of treatment effect in studies using observational and an experimental design.</w:t>
      </w:r>
    </w:p>
    <w:p w:rsidR="00D13E54" w:rsidRPr="008B7CC1" w:rsidRDefault="00D13E54" w:rsidP="00D13E54">
      <w:pPr>
        <w:spacing w:after="0"/>
        <w:jc w:val="both"/>
        <w:rPr>
          <w:rFonts w:cs="Calibri"/>
        </w:rPr>
      </w:pPr>
    </w:p>
    <w:p w:rsidR="00D13E54" w:rsidRPr="008B7CC1" w:rsidRDefault="00D13E54" w:rsidP="00D13E54">
      <w:pPr>
        <w:spacing w:after="0"/>
        <w:contextualSpacing/>
        <w:jc w:val="both"/>
        <w:rPr>
          <w:rFonts w:cs="Calibri"/>
          <w:bCs/>
        </w:rPr>
      </w:pPr>
    </w:p>
    <w:p w:rsidR="00317A87" w:rsidRPr="00156A31" w:rsidRDefault="00156A31" w:rsidP="00156A31">
      <w:pPr>
        <w:rPr>
          <w:b/>
          <w:bCs/>
        </w:rPr>
      </w:pPr>
      <w:r w:rsidRPr="00156A31">
        <w:rPr>
          <w:b/>
          <w:bCs/>
        </w:rPr>
        <w:t>M</w:t>
      </w:r>
      <w:r w:rsidR="00317A87" w:rsidRPr="00156A31">
        <w:rPr>
          <w:b/>
          <w:bCs/>
        </w:rPr>
        <w:t>ethods:</w:t>
      </w:r>
    </w:p>
    <w:p w:rsidR="00317A87" w:rsidRDefault="00317A87">
      <w:r w:rsidRPr="00D75544">
        <w:rPr>
          <w:i/>
          <w:iCs/>
        </w:rPr>
        <w:t>Study design and participants</w:t>
      </w:r>
    </w:p>
    <w:p w:rsidR="007720AA" w:rsidRDefault="000D4416" w:rsidP="00EA1EB2">
      <w:r w:rsidRPr="00D4289F">
        <w:rPr>
          <w:rFonts w:cs="Times New Roman"/>
        </w:rPr>
        <w:t>This sub-study used data from an observational study and a randomized clinical trial conducted within the GRACE Network of Excellence.</w:t>
      </w:r>
      <w:r w:rsidR="00574D96" w:rsidRPr="00D4289F">
        <w:rPr>
          <w:rFonts w:cs="Times New Roman"/>
        </w:rPr>
        <w:t xml:space="preserve">  </w:t>
      </w:r>
      <w:r w:rsidRPr="00D4289F">
        <w:rPr>
          <w:rFonts w:cs="Times New Roman"/>
        </w:rPr>
        <w:t xml:space="preserve">Patients in </w:t>
      </w:r>
      <w:r w:rsidR="00E03D90" w:rsidRPr="00D4289F">
        <w:rPr>
          <w:rFonts w:cs="Times New Roman"/>
        </w:rPr>
        <w:t>the observational study</w:t>
      </w:r>
      <w:r w:rsidR="00594029">
        <w:rPr>
          <w:rFonts w:cs="Times New Roman"/>
        </w:rPr>
        <w:t xml:space="preserve"> </w:t>
      </w:r>
      <w:r w:rsidR="00666AC5">
        <w:rPr>
          <w:rFonts w:cs="Times New Roman"/>
        </w:rPr>
        <w:fldChar w:fldCharType="begin"/>
      </w:r>
      <w:r w:rsidR="00EA1EB2">
        <w:rPr>
          <w:rFonts w:cs="Times New Roman"/>
        </w:rPr>
        <w:instrText xml:space="preserve"> ADDIN EN.CITE &lt;EndNote&gt;&lt;Cite&gt;&lt;Author&gt;van Vugt&lt;/Author&gt;&lt;Year&gt;2013&lt;/Year&gt;&lt;RecNum&gt;5&lt;/RecNum&gt;&lt;DisplayText&gt;(14)&lt;/DisplayText&gt;&lt;record&gt;&lt;rec-number&gt;5&lt;/rec-number&gt;&lt;foreign-keys&gt;&lt;key app="EN" db-id="rpw95t5w0xp909ezfw65w0xu5frzw2255vtd" timestamp="1481486335"&gt;5&lt;/key&gt;&lt;/foreign-keys&gt;&lt;ref-type name="Journal Article"&gt;17&lt;/ref-type&gt;&lt;contributors&gt;&lt;authors&gt;&lt;author&gt;van Vugt, Saskia F.&lt;/author&gt;&lt;author&gt;Verheij, Theo J. M.&lt;/author&gt;&lt;author&gt;de Jong, Pim A.&lt;/author&gt;&lt;author&gt;Butler, Chris C.&lt;/author&gt;&lt;author&gt;Hood, Kerenza&lt;/author&gt;&lt;author&gt;Coenen, Samuel&lt;/author&gt;&lt;author&gt;Goossens, Herman&lt;/author&gt;&lt;author&gt;Little, Paul&lt;/author&gt;&lt;author&gt;Broekhuizen, Berna D. L.&lt;/author&gt;&lt;/authors&gt;&lt;/contributors&gt;&lt;titles&gt;&lt;title&gt;Diagnosing pneumonia in patients with acute cough: clinical judgment compared to chest radiography&lt;/title&gt;&lt;secondary-title&gt;European Respiratory Journal&lt;/secondary-title&gt;&lt;/titles&gt;&lt;periodical&gt;&lt;full-title&gt;European Respiratory Journal&lt;/full-title&gt;&lt;/periodical&gt;&lt;pages&gt;1076&lt;/pages&gt;&lt;volume&gt;42&lt;/volume&gt;&lt;number&gt;4&lt;/number&gt;&lt;dates&gt;&lt;year&gt;2013&lt;/year&gt;&lt;/dates&gt;&lt;work-type&gt;10.1183/09031936.00111012&lt;/work-type&gt;&lt;urls&gt;&lt;related-urls&gt;&lt;url&gt;http://erj.ersjournals.com/content/42/4/1076.abstract&lt;/url&gt;&lt;url&gt;http://erj.ersjournals.com/content/erj/42/4/1076.full.pdf&lt;/url&gt;&lt;/related-urls&gt;&lt;/urls&gt;&lt;/record&gt;&lt;/Cite&gt;&lt;/EndNote&gt;</w:instrText>
      </w:r>
      <w:r w:rsidR="00666AC5">
        <w:rPr>
          <w:rFonts w:cs="Times New Roman"/>
        </w:rPr>
        <w:fldChar w:fldCharType="separate"/>
      </w:r>
      <w:r w:rsidR="00EA1EB2">
        <w:rPr>
          <w:rFonts w:cs="Times New Roman"/>
          <w:noProof/>
        </w:rPr>
        <w:t>(14)</w:t>
      </w:r>
      <w:r w:rsidR="00666AC5">
        <w:rPr>
          <w:rFonts w:cs="Times New Roman"/>
        </w:rPr>
        <w:fldChar w:fldCharType="end"/>
      </w:r>
      <w:r w:rsidRPr="00D4289F">
        <w:rPr>
          <w:rFonts w:cs="Times New Roman"/>
        </w:rPr>
        <w:t>and the trial</w:t>
      </w:r>
      <w:r w:rsidR="00594029">
        <w:rPr>
          <w:rFonts w:cs="Times New Roman"/>
        </w:rPr>
        <w:t xml:space="preserve"> </w:t>
      </w:r>
      <w:r w:rsidR="002A69B4">
        <w:rPr>
          <w:rFonts w:cs="Times New Roman"/>
        </w:rPr>
        <w:fldChar w:fldCharType="begin"/>
      </w:r>
      <w:r w:rsidR="00EA1EB2">
        <w:rPr>
          <w:rFonts w:cs="Times New Roman"/>
        </w:rPr>
        <w:instrText xml:space="preserve"> ADDIN EN.CITE &lt;EndNote&gt;&lt;Cite&gt;&lt;Author&gt;Little&lt;/Author&gt;&lt;Year&gt;2013&lt;/Year&gt;&lt;RecNum&gt;6&lt;/RecNum&gt;&lt;DisplayText&gt;(15)&lt;/DisplayText&gt;&lt;record&gt;&lt;rec-number&gt;6&lt;/rec-number&gt;&lt;foreign-keys&gt;&lt;key app="EN" db-id="rpw95t5w0xp909ezfw65w0xu5frzw2255vtd" timestamp="1481486485"&gt;6&lt;/key&gt;&lt;/foreign-keys&gt;&lt;ref-type name="Journal Article"&gt;17&lt;/ref-type&gt;&lt;contributors&gt;&lt;authors&gt;&lt;author&gt;Little, Paul&lt;/author&gt;&lt;author&gt;Stuart, Beth&lt;/author&gt;&lt;author&gt;Moore, Michael&lt;/author&gt;&lt;author&gt;Coenen, Samuel&lt;/author&gt;&lt;author&gt;Butler, Christopher C.&lt;/author&gt;&lt;author&gt;Godycki-Cwirko, Maciek&lt;/author&gt;&lt;author&gt;Mierzecki, Artur&lt;/author&gt;&lt;author&gt;Chlabicz, Slawomir&lt;/author&gt;&lt;author&gt;Torres, Antoni&lt;/author&gt;&lt;author&gt;Almirall, Jordi&lt;/author&gt;&lt;author&gt;Davies, Mel&lt;/author&gt;&lt;author&gt;Schaberg, Tom&lt;/author&gt;&lt;author&gt;Mölstad, Sigvard&lt;/author&gt;&lt;author&gt;Blasi, Francesco&lt;/author&gt;&lt;author&gt;De Sutter, An&lt;/author&gt;&lt;author&gt;Kersnik, Janko&lt;/author&gt;&lt;author&gt;Hupkova, Helena&lt;/author&gt;&lt;author&gt;Touboul, Pia&lt;/author&gt;&lt;author&gt;Hood, Kerenza&lt;/author&gt;&lt;author&gt;Mullee, Mark&lt;/author&gt;&lt;author&gt;O&amp;apos;Reilly, Gilly&lt;/author&gt;&lt;author&gt;Brugman, Curt&lt;/author&gt;&lt;author&gt;Goossens, Herman&lt;/author&gt;&lt;author&gt;Verheij, Theo&lt;/author&gt;&lt;/authors&gt;&lt;/contributors&gt;&lt;titles&gt;&lt;title&gt;Amoxicillin for acute lower-respiratory-tract infection in primary care when pneumonia is not suspected: a 12-country, randomised, placebo-controlled trial&lt;/title&gt;&lt;secondary-title&gt;The Lancet Infectious Diseases&lt;/secondary-title&gt;&lt;/titles&gt;&lt;periodical&gt;&lt;full-title&gt;The Lancet Infectious Diseases&lt;/full-title&gt;&lt;/periodical&gt;&lt;pages&gt;123-129&lt;/pages&gt;&lt;volume&gt;13&lt;/volume&gt;&lt;number&gt;2&lt;/number&gt;&lt;dates&gt;&lt;year&gt;2013&lt;/year&gt;&lt;pub-dates&gt;&lt;date&gt;2//&lt;/date&gt;&lt;/pub-dates&gt;&lt;/dates&gt;&lt;isbn&gt;1473-3099&lt;/isbn&gt;&lt;urls&gt;&lt;related-urls&gt;&lt;url&gt;http://www.sciencedirect.com/science/article/pii/S1473309912703006&lt;/url&gt;&lt;url&gt;http://ac.els-cdn.com/S1473309912703006/1-s2.0-S1473309912703006-main.pdf?_tid=9c4820c6-bfdc-11e6-87ea-00000aab0f6b&amp;amp;acdnat=1481486671_47f1b406e22bd91174facb48f1d16ae1&lt;/url&gt;&lt;/related-urls&gt;&lt;/urls&gt;&lt;electronic-resource-num&gt;http://dx.doi.org/10.1016/S1473-3099(12)70300-6&lt;/electronic-resource-num&gt;&lt;/record&gt;&lt;/Cite&gt;&lt;/EndNote&gt;</w:instrText>
      </w:r>
      <w:r w:rsidR="002A69B4">
        <w:rPr>
          <w:rFonts w:cs="Times New Roman"/>
        </w:rPr>
        <w:fldChar w:fldCharType="separate"/>
      </w:r>
      <w:r w:rsidR="00EA1EB2">
        <w:rPr>
          <w:rFonts w:cs="Times New Roman"/>
          <w:noProof/>
        </w:rPr>
        <w:t>(15)</w:t>
      </w:r>
      <w:r w:rsidR="002A69B4">
        <w:rPr>
          <w:rFonts w:cs="Times New Roman"/>
        </w:rPr>
        <w:fldChar w:fldCharType="end"/>
      </w:r>
      <w:r w:rsidRPr="00D4289F">
        <w:rPr>
          <w:rFonts w:cs="Times New Roman"/>
        </w:rPr>
        <w:t>were recruited concomitantly with the same inclusion criteria between November 2007 and April 2010 in 16 primary care research networks in 12 countries [Belgium, England, France, Germany, Italy, the Netherlands, Poland, Slovakia, Slovenia, Spain, Sweden, and Wales].</w:t>
      </w:r>
      <w:r w:rsidR="005D158C" w:rsidRPr="00D4289F">
        <w:rPr>
          <w:rFonts w:cs="Times New Roman"/>
        </w:rPr>
        <w:t xml:space="preserve"> </w:t>
      </w:r>
      <w:r w:rsidR="005D158C" w:rsidRPr="00D4289F">
        <w:t xml:space="preserve"> </w:t>
      </w:r>
      <w:r w:rsidR="00E03D90" w:rsidRPr="00D4289F">
        <w:t>Patients who required initial antibiotics (e.g. those with a clinical diagnosis of community acquired pneumonia) or those who declined randomisation were asked to contribute to the observational study</w:t>
      </w:r>
      <w:r w:rsidR="00131B61" w:rsidRPr="00D4289F">
        <w:t xml:space="preserve">.  </w:t>
      </w:r>
      <w:r w:rsidR="007720AA">
        <w:t xml:space="preserve"> </w:t>
      </w:r>
    </w:p>
    <w:p w:rsidR="000D4416" w:rsidRPr="00D4289F" w:rsidRDefault="000D4416" w:rsidP="009500EB">
      <w:pPr>
        <w:rPr>
          <w:rFonts w:cs="Times New Roman"/>
        </w:rPr>
      </w:pPr>
      <w:r w:rsidRPr="00D4289F">
        <w:rPr>
          <w:rFonts w:cs="Times New Roman"/>
        </w:rPr>
        <w:t>Eligible patients were aged 18 years and over, consulting with an illness where an acute or worsening cough was the main dominant symptom (</w:t>
      </w:r>
      <w:r w:rsidRPr="00D4289F">
        <w:rPr>
          <w:rFonts w:cs="≥∑≈'18Óˇøî{Â'1"/>
        </w:rPr>
        <w:t>≤28 days’ duration), or</w:t>
      </w:r>
      <w:r w:rsidRPr="00D4289F">
        <w:rPr>
          <w:rFonts w:cs="Times New Roman"/>
        </w:rPr>
        <w:t xml:space="preserve"> had a clinical presentation that suggested LRTI. All included patients gave written consent. Exclusion criteria </w:t>
      </w:r>
      <w:r w:rsidR="00D4289F" w:rsidRPr="00D4289F">
        <w:rPr>
          <w:rFonts w:cs="Times New Roman"/>
        </w:rPr>
        <w:t>were immunosuppression</w:t>
      </w:r>
      <w:r w:rsidR="005D158C" w:rsidRPr="00D4289F">
        <w:rPr>
          <w:rFonts w:cs="Times New Roman"/>
        </w:rPr>
        <w:t xml:space="preserve">, pregnancy and </w:t>
      </w:r>
      <w:r w:rsidR="00D4289F" w:rsidRPr="00D4289F">
        <w:rPr>
          <w:rFonts w:cs="Times New Roman"/>
        </w:rPr>
        <w:t>breast-feeding</w:t>
      </w:r>
      <w:r w:rsidR="005D158C" w:rsidRPr="00D4289F">
        <w:rPr>
          <w:rFonts w:cs="Times New Roman"/>
        </w:rPr>
        <w:t>, an</w:t>
      </w:r>
      <w:r w:rsidRPr="00D4289F">
        <w:rPr>
          <w:rFonts w:cs="Times New Roman"/>
        </w:rPr>
        <w:t xml:space="preserve">d those not able to fill in the study material.  </w:t>
      </w:r>
    </w:p>
    <w:p w:rsidR="000D4416" w:rsidRDefault="000D4416" w:rsidP="000D4416">
      <w:pPr>
        <w:widowControl w:val="0"/>
        <w:autoSpaceDE w:val="0"/>
        <w:autoSpaceDN w:val="0"/>
        <w:adjustRightInd w:val="0"/>
        <w:spacing w:after="0"/>
        <w:contextualSpacing/>
      </w:pPr>
    </w:p>
    <w:p w:rsidR="002A2CEB" w:rsidRPr="00D75544" w:rsidRDefault="000D4416" w:rsidP="00D75544">
      <w:pPr>
        <w:spacing w:after="0"/>
        <w:contextualSpacing/>
        <w:jc w:val="both"/>
        <w:rPr>
          <w:bCs/>
          <w:i/>
          <w:iCs/>
        </w:rPr>
      </w:pPr>
      <w:r w:rsidRPr="00D75544">
        <w:rPr>
          <w:bCs/>
          <w:i/>
          <w:iCs/>
        </w:rPr>
        <w:t>Treatment</w:t>
      </w:r>
    </w:p>
    <w:p w:rsidR="002A2CEB" w:rsidRPr="00D75544" w:rsidRDefault="002A2CEB" w:rsidP="00D75544">
      <w:pPr>
        <w:spacing w:after="0"/>
        <w:contextualSpacing/>
        <w:jc w:val="both"/>
        <w:rPr>
          <w:bCs/>
        </w:rPr>
      </w:pPr>
      <w:r w:rsidRPr="00D75544">
        <w:rPr>
          <w:bCs/>
        </w:rPr>
        <w:t xml:space="preserve">In the trial, patients were allocated to amoxicillin 1 gram three times a day or placebo. For </w:t>
      </w:r>
      <w:r w:rsidR="00D4289F">
        <w:rPr>
          <w:bCs/>
        </w:rPr>
        <w:t>the observational study</w:t>
      </w:r>
      <w:r w:rsidRPr="00D75544">
        <w:rPr>
          <w:bCs/>
        </w:rPr>
        <w:t xml:space="preserve">, the </w:t>
      </w:r>
      <w:r w:rsidR="00D4289F">
        <w:rPr>
          <w:bCs/>
        </w:rPr>
        <w:t>case report form (</w:t>
      </w:r>
      <w:r w:rsidRPr="00D75544">
        <w:rPr>
          <w:bCs/>
        </w:rPr>
        <w:t>CRF</w:t>
      </w:r>
      <w:r w:rsidR="00D4289F">
        <w:rPr>
          <w:bCs/>
        </w:rPr>
        <w:t>)</w:t>
      </w:r>
      <w:r w:rsidRPr="00D75544">
        <w:rPr>
          <w:bCs/>
        </w:rPr>
        <w:t xml:space="preserve"> was reviewed to determine whether patients were prescribed antibiotics or not. </w:t>
      </w:r>
    </w:p>
    <w:p w:rsidR="00D75544" w:rsidRDefault="00D75544" w:rsidP="00D75544">
      <w:pPr>
        <w:spacing w:after="0"/>
        <w:contextualSpacing/>
        <w:jc w:val="both"/>
      </w:pPr>
    </w:p>
    <w:p w:rsidR="000D4416" w:rsidRDefault="0023094B" w:rsidP="009500EB">
      <w:r w:rsidRPr="00100C0A">
        <w:t>Whilst the trial standardized antibiotic prescribing, with all participants receiving either amoxicillin or a placebo, no restriction was placed on the prescribing practice of clinici</w:t>
      </w:r>
      <w:r>
        <w:t>ans in the observational study</w:t>
      </w:r>
      <w:r w:rsidRPr="00100C0A">
        <w:t>.</w:t>
      </w:r>
      <w:r>
        <w:t xml:space="preserve"> </w:t>
      </w:r>
      <w:r w:rsidRPr="00100C0A">
        <w:t xml:space="preserve">Amoxicillin was the most frequently prescribed antibiotic, but amoxicillin/clavulanic </w:t>
      </w:r>
      <w:r>
        <w:t xml:space="preserve">acid </w:t>
      </w:r>
      <w:r w:rsidRPr="00100C0A">
        <w:t>(co-</w:t>
      </w:r>
      <w:proofErr w:type="spellStart"/>
      <w:r w:rsidRPr="00100C0A">
        <w:t>amoxiclav</w:t>
      </w:r>
      <w:proofErr w:type="spellEnd"/>
      <w:r w:rsidRPr="00100C0A">
        <w:t>)</w:t>
      </w:r>
      <w:r>
        <w:t xml:space="preserve"> </w:t>
      </w:r>
      <w:r w:rsidRPr="00100C0A">
        <w:t>was often prescribed in a number of countries, as were doxycycline and macrolides. These different types of antibiotics have a different working spectrum and hence might influence the outcome.</w:t>
      </w:r>
      <w:r w:rsidR="000D4416">
        <w:t xml:space="preserve"> In order to provide a direct comparison with the trial, the “treated” arm</w:t>
      </w:r>
      <w:r>
        <w:t xml:space="preserve"> of the observational study was limited for this sub-study to patients </w:t>
      </w:r>
      <w:r w:rsidR="000D4416">
        <w:t>wh</w:t>
      </w:r>
      <w:r w:rsidR="00BF3B83">
        <w:t>o were prescribed amoxicillin.</w:t>
      </w:r>
    </w:p>
    <w:p w:rsidR="00E0122C" w:rsidRPr="00E0122C" w:rsidRDefault="00E0122C" w:rsidP="00E0122C">
      <w:pPr>
        <w:spacing w:after="0"/>
        <w:contextualSpacing/>
        <w:jc w:val="both"/>
        <w:rPr>
          <w:bCs/>
          <w:i/>
          <w:iCs/>
        </w:rPr>
      </w:pPr>
      <w:r w:rsidRPr="00E0122C">
        <w:rPr>
          <w:bCs/>
          <w:i/>
          <w:iCs/>
        </w:rPr>
        <w:t>Outcomes</w:t>
      </w:r>
    </w:p>
    <w:p w:rsidR="00E0122C" w:rsidRDefault="00E0122C" w:rsidP="00E0122C">
      <w:pPr>
        <w:spacing w:after="0"/>
        <w:contextualSpacing/>
        <w:jc w:val="both"/>
      </w:pPr>
      <w:r>
        <w:lastRenderedPageBreak/>
        <w:t xml:space="preserve">The primary outcome for all datasets was the duration of symptoms rated by the patient as “moderately bad” or worse after initial presentation. Symptom severity and </w:t>
      </w:r>
      <w:proofErr w:type="spellStart"/>
      <w:r>
        <w:t>reconsultation</w:t>
      </w:r>
      <w:proofErr w:type="spellEnd"/>
      <w:r>
        <w:t xml:space="preserve"> with new or worsening symptoms were secondary endpoints. Symptom severity was measured as the mean diary score for all symptoms rated from 0 (normal/not affected) to 6 (as bad as it could be) during days 2-4 after the index consultation. Data on </w:t>
      </w:r>
      <w:proofErr w:type="spellStart"/>
      <w:r>
        <w:t>reconsultation</w:t>
      </w:r>
      <w:proofErr w:type="spellEnd"/>
      <w:r>
        <w:t xml:space="preserve"> was defined as a return to the physician with worsening symptoms, new symptoms or signs, or illness necessitating admission to hospital within 4 weeks after the first consultation (established from reviews of patients’ notes). </w:t>
      </w:r>
    </w:p>
    <w:p w:rsidR="00B00F55" w:rsidRDefault="00B00F55" w:rsidP="000D4416">
      <w:pPr>
        <w:rPr>
          <w:i/>
          <w:iCs/>
        </w:rPr>
      </w:pPr>
    </w:p>
    <w:p w:rsidR="00D75544" w:rsidRPr="00D75544" w:rsidRDefault="00D75544" w:rsidP="000D4416">
      <w:pPr>
        <w:rPr>
          <w:i/>
          <w:iCs/>
        </w:rPr>
      </w:pPr>
      <w:r>
        <w:rPr>
          <w:i/>
          <w:iCs/>
        </w:rPr>
        <w:t>Statistical Analysis</w:t>
      </w:r>
    </w:p>
    <w:p w:rsidR="005F2090" w:rsidRDefault="005F2090">
      <w:pPr>
        <w:rPr>
          <w:i/>
          <w:iCs/>
        </w:rPr>
      </w:pPr>
      <w:r>
        <w:rPr>
          <w:i/>
          <w:iCs/>
        </w:rPr>
        <w:t>Propensity score</w:t>
      </w:r>
    </w:p>
    <w:p w:rsidR="00131B61" w:rsidRPr="008B7CC1" w:rsidRDefault="00131B61" w:rsidP="00EA1EB2">
      <w:pPr>
        <w:contextualSpacing/>
        <w:rPr>
          <w:rFonts w:cs="Calibri"/>
        </w:rPr>
      </w:pPr>
      <w:r w:rsidRPr="008B7CC1">
        <w:rPr>
          <w:rFonts w:cs="Calibri"/>
        </w:rPr>
        <w:t xml:space="preserve">The propensity score is the conditional probability that a patient receives treatment, given a set of observed covariates. </w:t>
      </w:r>
      <w:r w:rsidRPr="008B7CC1">
        <w:rPr>
          <w:rFonts w:cs="Calibri"/>
        </w:rPr>
        <w:fldChar w:fldCharType="begin"/>
      </w:r>
      <w:r w:rsidRPr="008B7CC1">
        <w:rPr>
          <w:rFonts w:cs="Calibri"/>
        </w:rPr>
        <w:instrText>ADDIN RW.CITE{{954 Rosenbaum PR, Rubin DB. 1983}}</w:instrText>
      </w:r>
      <w:r w:rsidRPr="008B7CC1">
        <w:rPr>
          <w:rFonts w:cs="Calibri"/>
        </w:rPr>
        <w:fldChar w:fldCharType="end"/>
      </w:r>
      <w:r w:rsidR="00BB656A">
        <w:rPr>
          <w:rFonts w:cs="Calibri"/>
        </w:rPr>
        <w:fldChar w:fldCharType="begin"/>
      </w:r>
      <w:r w:rsidR="00EA1EB2">
        <w:rPr>
          <w:rFonts w:cs="Calibri"/>
        </w:rPr>
        <w:instrText xml:space="preserve"> ADDIN EN.CITE &lt;EndNote&gt;&lt;Cite&gt;&lt;Author&gt;Austin&lt;/Author&gt;&lt;Year&gt;2011&lt;/Year&gt;&lt;RecNum&gt;4&lt;/RecNum&gt;&lt;DisplayText&gt;(10)&lt;/DisplayText&gt;&lt;record&gt;&lt;rec-number&gt;4&lt;/rec-number&gt;&lt;foreign-keys&gt;&lt;key app="EN" db-id="rpw95t5w0xp909ezfw65w0xu5frzw2255vtd" timestamp="1481486145"&gt;4&lt;/key&gt;&lt;/foreign-keys&gt;&lt;ref-type name="Journal Article"&gt;17&lt;/ref-type&gt;&lt;contributors&gt;&lt;authors&gt;&lt;author&gt;Austin, Peter C.&lt;/author&gt;&lt;/authors&gt;&lt;/contributors&gt;&lt;titles&gt;&lt;title&gt;An Introduction to Propensity Score Methods for Reducing the Effects of Confounding in Observational Studies&lt;/title&gt;&lt;secondary-title&gt;Multivariate Behavioral Research&lt;/secondary-title&gt;&lt;/titles&gt;&lt;periodical&gt;&lt;full-title&gt;Multivariate Behavioral Research&lt;/full-title&gt;&lt;/periodical&gt;&lt;pages&gt;399-424&lt;/pages&gt;&lt;volume&gt;46&lt;/volume&gt;&lt;number&gt;3&lt;/number&gt;&lt;dates&gt;&lt;year&gt;2011&lt;/year&gt;&lt;pub-dates&gt;&lt;date&gt;2011/05/31&lt;/date&gt;&lt;/pub-dates&gt;&lt;/dates&gt;&lt;publisher&gt;Routledge&lt;/publisher&gt;&lt;isbn&gt;0027-3171&lt;/isbn&gt;&lt;urls&gt;&lt;related-urls&gt;&lt;url&gt;http://dx.doi.org/10.1080/00273171.2011.568786&lt;/url&gt;&lt;url&gt;https://www.ncbi.nlm.nih.gov/pmc/articles/PMC3144483/pdf/hmbr46-399.pdf&lt;/url&gt;&lt;/related-urls&gt;&lt;/urls&gt;&lt;electronic-resource-num&gt;10.1080/00273171.2011.568786&lt;/electronic-resource-num&gt;&lt;/record&gt;&lt;/Cite&gt;&lt;/EndNote&gt;</w:instrText>
      </w:r>
      <w:r w:rsidR="00BB656A">
        <w:rPr>
          <w:rFonts w:cs="Calibri"/>
        </w:rPr>
        <w:fldChar w:fldCharType="separate"/>
      </w:r>
      <w:r w:rsidR="00EA1EB2">
        <w:rPr>
          <w:rFonts w:cs="Calibri"/>
          <w:noProof/>
        </w:rPr>
        <w:t>(10)</w:t>
      </w:r>
      <w:r w:rsidR="00BB656A">
        <w:rPr>
          <w:rFonts w:cs="Calibri"/>
        </w:rPr>
        <w:fldChar w:fldCharType="end"/>
      </w:r>
      <w:r w:rsidRPr="008B7CC1">
        <w:rPr>
          <w:rFonts w:cs="Calibri"/>
        </w:rPr>
        <w:t xml:space="preserve"> This score can be used in further analyses in a number of ways including as a covariate in a regression model, as </w:t>
      </w:r>
      <w:r w:rsidR="00293A6A" w:rsidRPr="008B7CC1">
        <w:rPr>
          <w:rFonts w:cs="Calibri"/>
        </w:rPr>
        <w:t xml:space="preserve">a </w:t>
      </w:r>
      <w:r w:rsidRPr="008B7CC1">
        <w:rPr>
          <w:rFonts w:cs="Calibri"/>
        </w:rPr>
        <w:t xml:space="preserve">probability weight and in propensity score </w:t>
      </w:r>
      <w:proofErr w:type="gramStart"/>
      <w:r w:rsidRPr="008B7CC1">
        <w:rPr>
          <w:rFonts w:cs="Calibri"/>
        </w:rPr>
        <w:t>matching</w:t>
      </w:r>
      <w:proofErr w:type="gramEnd"/>
      <w:r w:rsidR="002A69B4">
        <w:rPr>
          <w:rFonts w:cs="Calibri"/>
        </w:rPr>
        <w:fldChar w:fldCharType="begin">
          <w:fldData xml:space="preserve">PEVuZE5vdGU+PENpdGU+PEF1dGhvcj5NY01haG9uPC9BdXRob3I+PFllYXI+MjAwMzwvWWVhcj48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</w:fldData>
        </w:fldChar>
      </w:r>
      <w:r w:rsidR="00EA1EB2">
        <w:rPr>
          <w:rFonts w:cs="Calibri"/>
        </w:rPr>
        <w:instrText xml:space="preserve"> ADDIN EN.CITE </w:instrText>
      </w:r>
      <w:r w:rsidR="00EA1EB2">
        <w:rPr>
          <w:rFonts w:cs="Calibri"/>
        </w:rPr>
        <w:fldChar w:fldCharType="begin">
          <w:fldData xml:space="preserve">PEVuZE5vdGU+PENpdGU+PEF1dGhvcj5NY01haG9uPC9BdXRob3I+PFllYXI+MjAwMzwvWWVhcj48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</w:fldData>
        </w:fldChar>
      </w:r>
      <w:r w:rsidR="00EA1EB2">
        <w:rPr>
          <w:rFonts w:cs="Calibri"/>
        </w:rPr>
        <w:instrText xml:space="preserve"> ADDIN EN.CITE.DATA </w:instrText>
      </w:r>
      <w:r w:rsidR="00EA1EB2">
        <w:rPr>
          <w:rFonts w:cs="Calibri"/>
        </w:rPr>
      </w:r>
      <w:r w:rsidR="00EA1EB2">
        <w:rPr>
          <w:rFonts w:cs="Calibri"/>
        </w:rPr>
        <w:fldChar w:fldCharType="end"/>
      </w:r>
      <w:r w:rsidR="002A69B4">
        <w:rPr>
          <w:rFonts w:cs="Calibri"/>
        </w:rPr>
      </w:r>
      <w:r w:rsidR="002A69B4">
        <w:rPr>
          <w:rFonts w:cs="Calibri"/>
        </w:rPr>
        <w:fldChar w:fldCharType="separate"/>
      </w:r>
      <w:r w:rsidR="00EA1EB2">
        <w:rPr>
          <w:rFonts w:cs="Calibri"/>
          <w:noProof/>
        </w:rPr>
        <w:t>(16, 17)</w:t>
      </w:r>
      <w:r w:rsidR="002A69B4">
        <w:rPr>
          <w:rFonts w:cs="Calibri"/>
        </w:rPr>
        <w:fldChar w:fldCharType="end"/>
      </w:r>
      <w:r w:rsidRPr="008B7CC1">
        <w:rPr>
          <w:rFonts w:cs="Calibri"/>
        </w:rPr>
        <w:t xml:space="preserve">. </w:t>
      </w:r>
      <w:r w:rsidRPr="008B7CC1">
        <w:rPr>
          <w:rFonts w:cs="Calibri"/>
        </w:rPr>
        <w:fldChar w:fldCharType="begin"/>
      </w:r>
      <w:r w:rsidRPr="008B7CC1">
        <w:rPr>
          <w:rFonts w:cs="Calibri"/>
        </w:rPr>
        <w:instrText>ADDIN RW.CITE{{955 McMahon, A.D. 2003}}</w:instrText>
      </w:r>
      <w:r w:rsidRPr="008B7CC1">
        <w:rPr>
          <w:rFonts w:cs="Calibri"/>
        </w:rPr>
        <w:fldChar w:fldCharType="separate"/>
      </w:r>
      <w:r w:rsidR="00293A6A">
        <w:rPr>
          <w:rFonts w:eastAsia="Times New Roman" w:cs="Times New Roman"/>
        </w:rPr>
        <w:t xml:space="preserve"> </w:t>
      </w:r>
      <w:r w:rsidRPr="008B7CC1">
        <w:rPr>
          <w:rFonts w:cs="Calibri"/>
        </w:rPr>
        <w:fldChar w:fldCharType="end"/>
      </w:r>
      <w:r w:rsidRPr="008B7CC1">
        <w:rPr>
          <w:rFonts w:cs="Calibri"/>
        </w:rPr>
        <w:t xml:space="preserve"> In this study, we have used the propensity score as a population overlap weight. </w:t>
      </w:r>
      <w:r w:rsidR="00BB656A">
        <w:rPr>
          <w:rFonts w:cs="Calibri"/>
        </w:rPr>
        <w:fldChar w:fldCharType="begin"/>
      </w:r>
      <w:r w:rsidR="00EA1EB2">
        <w:rPr>
          <w:rFonts w:cs="Calibri"/>
        </w:rPr>
        <w:instrText xml:space="preserve"> ADDIN EN.CITE &lt;EndNote&gt;&lt;Cite&gt;&lt;Author&gt;Li&lt;/Author&gt;&lt;Year&gt;2014&lt;/Year&gt;&lt;RecNum&gt;19&lt;/RecNum&gt;&lt;DisplayText&gt;(18)&lt;/DisplayText&gt;&lt;record&gt;&lt;rec-number&gt;19&lt;/rec-number&gt;&lt;foreign-keys&gt;&lt;key app="EN" db-id="rpw95t5w0xp909ezfw65w0xu5frzw2255vtd" timestamp="1481488748"&gt;19&lt;/key&gt;&lt;/foreign-keys&gt;&lt;ref-type name="Journal Article"&gt;17&lt;/ref-type&gt;&lt;contributors&gt;&lt;authors&gt;&lt;author&gt;Li, F.&lt;/author&gt;&lt;author&gt;Morgan, L. K. &lt;/author&gt;&lt;author&gt;Zaslavsky, A. M.   &lt;/author&gt;&lt;/authors&gt;&lt;/contributors&gt;&lt;titles&gt;&lt;title&gt;Balancing covariates via propensity score weighting.&lt;/title&gt;&lt;secondary-title&gt;Working paper available at arXiv:1404.1785&lt;/secondary-title&gt;&lt;/titles&gt;&lt;periodical&gt;&lt;full-title&gt;Working paper available at arXiv:1404.1785&lt;/full-title&gt;&lt;/periodical&gt;&lt;dates&gt;&lt;year&gt;2014&lt;/year&gt;&lt;/dates&gt;&lt;urls&gt;&lt;/urls&gt;&lt;/record&gt;&lt;/Cite&gt;&lt;/EndNote&gt;</w:instrText>
      </w:r>
      <w:r w:rsidR="00BB656A">
        <w:rPr>
          <w:rFonts w:cs="Calibri"/>
        </w:rPr>
        <w:fldChar w:fldCharType="separate"/>
      </w:r>
      <w:r w:rsidR="00EA1EB2">
        <w:rPr>
          <w:rFonts w:cs="Calibri"/>
          <w:noProof/>
        </w:rPr>
        <w:t>(18)</w:t>
      </w:r>
      <w:r w:rsidR="00BB656A">
        <w:rPr>
          <w:rFonts w:cs="Calibri"/>
        </w:rPr>
        <w:fldChar w:fldCharType="end"/>
      </w:r>
      <w:r w:rsidR="00BB656A">
        <w:rPr>
          <w:rFonts w:cs="Calibri"/>
        </w:rPr>
        <w:t xml:space="preserve"> </w:t>
      </w:r>
      <w:r w:rsidR="00BA2642" w:rsidRPr="008B7CC1">
        <w:rPr>
          <w:rFonts w:cs="Calibri"/>
        </w:rPr>
        <w:t>The population overlap weight weights each unit proportional to its assignment to the alternative group and is designed to balance the distribution of covar</w:t>
      </w:r>
      <w:r w:rsidR="005B5563" w:rsidRPr="008B7CC1">
        <w:rPr>
          <w:rFonts w:cs="Calibri"/>
        </w:rPr>
        <w:t>iates between comparison groups</w:t>
      </w:r>
      <w:r w:rsidR="00BA2642" w:rsidRPr="008B7CC1">
        <w:rPr>
          <w:rFonts w:cs="Calibri"/>
          <w:color w:val="FF0000"/>
        </w:rPr>
        <w:t xml:space="preserve">.  </w:t>
      </w:r>
    </w:p>
    <w:p w:rsidR="00BA2642" w:rsidRPr="00BA2642" w:rsidRDefault="00BA2642" w:rsidP="00BA2642">
      <w:pPr>
        <w:contextualSpacing/>
      </w:pPr>
    </w:p>
    <w:p w:rsidR="00C03239" w:rsidRPr="008B7CC1" w:rsidRDefault="00131B61" w:rsidP="00EA1EB2">
      <w:pPr>
        <w:spacing w:after="0"/>
        <w:contextualSpacing/>
        <w:jc w:val="both"/>
        <w:rPr>
          <w:rFonts w:cs="Calibri"/>
        </w:rPr>
      </w:pPr>
      <w:r>
        <w:t>The variables included in the calculation of the propensity score were chosen on the basis of their association with the study outcomes (for a full set of variables see Table 1)</w:t>
      </w:r>
      <w:r w:rsidR="00BA2642">
        <w:t xml:space="preserve"> but did not include instrumental variables (i.e. those associated only with the exposure)</w:t>
      </w:r>
      <w:r>
        <w:t>.</w:t>
      </w:r>
      <w:r w:rsidR="00BB656A">
        <w:fldChar w:fldCharType="begin">
          <w:fldData xml:space="preserve">PEVuZE5vdGU+PENpdGU+PEF1dGhvcj5Ccm9va2hhcnQ8L0F1dGhvcj48UmVjTnVtPjEwPC9SZWNO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</w:fldData>
        </w:fldChar>
      </w:r>
      <w:r w:rsidR="00EA1EB2">
        <w:instrText xml:space="preserve"> ADDIN EN.CITE </w:instrText>
      </w:r>
      <w:r w:rsidR="00EA1EB2">
        <w:fldChar w:fldCharType="begin">
          <w:fldData xml:space="preserve">PEVuZE5vdGU+PENpdGU+PEF1dGhvcj5Ccm9va2hhcnQ8L0F1dGhvcj48UmVjTnVtPjEwPC9SZWNO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</w:fldData>
        </w:fldChar>
      </w:r>
      <w:r w:rsidR="00EA1EB2">
        <w:instrText xml:space="preserve"> ADDIN EN.CITE.DATA </w:instrText>
      </w:r>
      <w:r w:rsidR="00EA1EB2">
        <w:fldChar w:fldCharType="end"/>
      </w:r>
      <w:r w:rsidR="00BB656A">
        <w:fldChar w:fldCharType="separate"/>
      </w:r>
      <w:r w:rsidR="00EA1EB2">
        <w:rPr>
          <w:noProof/>
        </w:rPr>
        <w:t>(19-22)</w:t>
      </w:r>
      <w:r w:rsidR="00BB656A">
        <w:fldChar w:fldCharType="end"/>
      </w:r>
      <w:r w:rsidR="00A16DB6">
        <w:t>.  The</w:t>
      </w:r>
      <w:r w:rsidRPr="008B7CC1">
        <w:rPr>
          <w:rFonts w:cs="Calibri"/>
        </w:rPr>
        <w:t xml:space="preserve"> selected covariates</w:t>
      </w:r>
      <w:r w:rsidR="00A16DB6" w:rsidRPr="008B7CC1">
        <w:rPr>
          <w:rFonts w:cs="Calibri"/>
        </w:rPr>
        <w:t xml:space="preserve"> were used</w:t>
      </w:r>
      <w:r w:rsidRPr="008B7CC1">
        <w:rPr>
          <w:rFonts w:cs="Calibri"/>
        </w:rPr>
        <w:t xml:space="preserve"> in a logistic regression model to predict the probability of receiv</w:t>
      </w:r>
      <w:r w:rsidR="00A16DB6" w:rsidRPr="008B7CC1">
        <w:rPr>
          <w:rFonts w:cs="Calibri"/>
        </w:rPr>
        <w:t xml:space="preserve">ing an antibiotic prescription, </w:t>
      </w:r>
      <w:r w:rsidRPr="008B7CC1">
        <w:rPr>
          <w:rFonts w:cs="Calibri"/>
        </w:rPr>
        <w:t xml:space="preserve">creating a unique propensity score for each individual. </w:t>
      </w:r>
      <w:r w:rsidR="00A16DB6" w:rsidRPr="008B7CC1">
        <w:rPr>
          <w:rFonts w:cs="Calibri"/>
        </w:rPr>
        <w:t xml:space="preserve">  The probability of receiving a prescription varies both by clinician and country.</w:t>
      </w:r>
      <w:r w:rsidR="00023E79">
        <w:rPr>
          <w:rFonts w:cs="Calibri"/>
        </w:rPr>
        <w:fldChar w:fldCharType="begin"/>
      </w:r>
      <w:r w:rsidR="00EA1EB2">
        <w:rPr>
          <w:rFonts w:cs="Calibri"/>
        </w:rPr>
        <w:instrText xml:space="preserve"> ADDIN EN.CITE &lt;EndNote&gt;&lt;Cite&gt;&lt;Author&gt;Francis&lt;/Author&gt;&lt;RecNum&gt;13&lt;/RecNum&gt;&lt;DisplayText&gt;(23)&lt;/DisplayText&gt;&lt;record&gt;&lt;rec-number&gt;13&lt;/rec-number&gt;&lt;foreign-keys&gt;&lt;key app="EN" db-id="rpw95t5w0xp909ezfw65w0xu5frzw2255vtd" timestamp="1481488022"&gt;13&lt;/key&gt;&lt;/foreign-keys&gt;&lt;ref-type name="Journal Article"&gt;17&lt;/ref-type&gt;&lt;contributors&gt;&lt;authors&gt;&lt;author&gt;Francis, N. A.&lt;/author&gt;&lt;author&gt;Gillespie D Fau - Nuttall, Jacqueline&lt;/author&gt;&lt;author&gt;Nuttall J Fau - Hood, Kerenza&lt;/author&gt;&lt;author&gt;Hood K Fau - Little, Paul&lt;/author&gt;&lt;author&gt;Little P Fau - Verheij, Theo&lt;/author&gt;&lt;author&gt;Verheij T Fau - Coenen, Samuel&lt;/author&gt;&lt;author&gt;Coenen S Fau - Cals, Jochen W.&lt;/author&gt;&lt;author&gt;Cals Jw Fau - Goossens, Herman&lt;/author&gt;&lt;author&gt;Goossens H Fau - Butler, Christopher C.&lt;/author&gt;&lt;author&gt;Butler, C. C.&lt;/author&gt;&lt;/authors&gt;&lt;translated-authors&gt;&lt;author&gt;Br, J. Gen Pract&lt;/author&gt;&lt;/translated-authors&gt;&lt;/contributors&gt;&lt;auth-address&gt;Cochrane Institute of Primary Care and Public Health, Cardiff University, Cardiff, UK. francisna@cf.ac.uk FAU - Gillespie, David&lt;/auth-address&gt;&lt;titles&gt;&lt;title&gt;Antibiotics for acute cough: an international observational study of patient adherence in primary care&lt;/title&gt;&lt;/titles&gt;&lt;number&gt;1478-5242 (Electronic)&lt;/number&gt;&lt;dates&gt;&lt;pub-dates&gt;&lt;date&gt;20120612 DCOM- 20120911&lt;/date&gt;&lt;/pub-dates&gt;&lt;/dates&gt;&lt;call-num&gt;GRACE Project Group&lt;/call-num&gt;&lt;urls&gt;&lt;/urls&gt;&lt;electronic-resource-num&gt;D - NLM: PMC3361123 EDAT- 2012/06/13 06:00 MHDA- 2012/09/12 06:00 CRDT- 2012/06/13 06:00 AID - 10.3399/bjgp12X649124 [doi] PST - ppublish&lt;/electronic-resource-num&gt;&lt;remote-database-provider&gt;2012 Jun&lt;/remote-database-provider&gt;&lt;research-notes&gt;0 (Anti-Bacterial Agents)&lt;/research-notes&gt;&lt;language&gt;eng&lt;/language&gt;&lt;/record&gt;&lt;/Cite&gt;&lt;/EndNote&gt;</w:instrText>
      </w:r>
      <w:r w:rsidR="00023E79">
        <w:rPr>
          <w:rFonts w:cs="Calibri"/>
        </w:rPr>
        <w:fldChar w:fldCharType="separate"/>
      </w:r>
      <w:r w:rsidR="00EA1EB2">
        <w:rPr>
          <w:rFonts w:cs="Calibri"/>
          <w:noProof/>
        </w:rPr>
        <w:t>(23)</w:t>
      </w:r>
      <w:r w:rsidR="00023E79">
        <w:rPr>
          <w:rFonts w:cs="Calibri"/>
        </w:rPr>
        <w:fldChar w:fldCharType="end"/>
      </w:r>
      <w:r w:rsidR="00A16DB6" w:rsidRPr="008B7CC1">
        <w:rPr>
          <w:rFonts w:cs="Calibri"/>
        </w:rPr>
        <w:t xml:space="preserve">  Therefore </w:t>
      </w:r>
      <w:r w:rsidR="00AE57F8" w:rsidRPr="008B7CC1">
        <w:rPr>
          <w:rFonts w:cs="Calibri"/>
        </w:rPr>
        <w:t>the general practitioner (</w:t>
      </w:r>
      <w:r w:rsidR="00A16DB6" w:rsidRPr="008B7CC1">
        <w:rPr>
          <w:rFonts w:cs="Calibri"/>
        </w:rPr>
        <w:t>GP</w:t>
      </w:r>
      <w:r w:rsidR="00AE57F8" w:rsidRPr="008B7CC1">
        <w:rPr>
          <w:rFonts w:cs="Calibri"/>
        </w:rPr>
        <w:t>)</w:t>
      </w:r>
      <w:r w:rsidR="00A16DB6" w:rsidRPr="008B7CC1">
        <w:rPr>
          <w:rFonts w:cs="Calibri"/>
        </w:rPr>
        <w:t xml:space="preserve"> and network were included in the propensity score model a</w:t>
      </w:r>
      <w:r w:rsidR="00E61F4B" w:rsidRPr="008B7CC1">
        <w:rPr>
          <w:rFonts w:cs="Calibri"/>
        </w:rPr>
        <w:t>s random effects</w:t>
      </w:r>
      <w:r w:rsidR="00C03239" w:rsidRPr="008B7CC1">
        <w:rPr>
          <w:rFonts w:cs="Calibri"/>
        </w:rPr>
        <w:t>.</w:t>
      </w:r>
      <w:r w:rsidR="00023E79">
        <w:rPr>
          <w:rFonts w:cs="Calibri"/>
        </w:rPr>
        <w:fldChar w:fldCharType="begin"/>
      </w:r>
      <w:r w:rsidR="00EA1EB2">
        <w:rPr>
          <w:rFonts w:cs="Calibri"/>
        </w:rPr>
        <w:instrText xml:space="preserve"> ADDIN EN.CITE &lt;EndNote&gt;&lt;Cite&gt;&lt;Author&gt;Li&lt;/Author&gt;&lt;Year&gt;2013&lt;/Year&gt;&lt;RecNum&gt;14&lt;/RecNum&gt;&lt;DisplayText&gt;(24)&lt;/DisplayText&gt;&lt;record&gt;&lt;rec-number&gt;14&lt;/rec-number&gt;&lt;foreign-keys&gt;&lt;key app="EN" db-id="rpw95t5w0xp909ezfw65w0xu5frzw2255vtd" timestamp="1481488059"&gt;14&lt;/key&gt;&lt;/foreign-keys&gt;&lt;ref-type name="Journal Article"&gt;17&lt;/ref-type&gt;&lt;contributors&gt;&lt;authors&gt;&lt;author&gt;Li, Fan&lt;/author&gt;&lt;author&gt;Zaslavsky, Alan M.&lt;/author&gt;&lt;author&gt;Landrum, Mary Beth&lt;/author&gt;&lt;/authors&gt;&lt;/contributors&gt;&lt;titles&gt;&lt;title&gt;Propensity Score Weighting with Multilevel Data&lt;/title&gt;&lt;secondary-title&gt;Statistics in medicine&lt;/secondary-title&gt;&lt;/titles&gt;&lt;periodical&gt;&lt;full-title&gt;Statistics in medicine&lt;/full-title&gt;&lt;/periodical&gt;&lt;pages&gt;3373-3387&lt;/pages&gt;&lt;volume&gt;32&lt;/volume&gt;&lt;number&gt;19&lt;/number&gt;&lt;dates&gt;&lt;year&gt;2013&lt;/year&gt;&lt;pub-dates&gt;&lt;date&gt;03/24&lt;/date&gt;&lt;/pub-dates&gt;&lt;/dates&gt;&lt;isbn&gt;0277-6715&amp;#xD;1097-0258&lt;/isbn&gt;&lt;accession-num&gt;PMC3710526&lt;/accession-num&gt;&lt;urls&gt;&lt;related-urls&gt;&lt;url&gt;http://www.ncbi.nlm.nih.gov/pmc/articles/PMC3710526/&lt;/url&gt;&lt;url&gt;https://www.ncbi.nlm.nih.gov/pmc/articles/PMC3710526/pdf/nihms461184.pdf&lt;/url&gt;&lt;/related-urls&gt;&lt;/urls&gt;&lt;electronic-resource-num&gt;10.1002/sim.5786&lt;/electronic-resource-num&gt;&lt;remote-database-name&gt;PMC&lt;/remote-database-name&gt;&lt;/record&gt;&lt;/Cite&gt;&lt;/EndNote&gt;</w:instrText>
      </w:r>
      <w:r w:rsidR="00023E79">
        <w:rPr>
          <w:rFonts w:cs="Calibri"/>
        </w:rPr>
        <w:fldChar w:fldCharType="separate"/>
      </w:r>
      <w:r w:rsidR="00EA1EB2">
        <w:rPr>
          <w:rFonts w:cs="Calibri"/>
          <w:noProof/>
        </w:rPr>
        <w:t>(24)</w:t>
      </w:r>
      <w:r w:rsidR="00023E79">
        <w:rPr>
          <w:rFonts w:cs="Calibri"/>
        </w:rPr>
        <w:fldChar w:fldCharType="end"/>
      </w:r>
      <w:r w:rsidR="00C03239" w:rsidRPr="008B7CC1">
        <w:rPr>
          <w:rFonts w:cs="Calibri"/>
        </w:rPr>
        <w:t xml:space="preserve">  </w:t>
      </w:r>
    </w:p>
    <w:p w:rsidR="00C03239" w:rsidRPr="008B7CC1" w:rsidRDefault="00C03239" w:rsidP="00A16DB6">
      <w:pPr>
        <w:spacing w:after="0"/>
        <w:contextualSpacing/>
        <w:jc w:val="both"/>
        <w:rPr>
          <w:rFonts w:cs="Calibri"/>
        </w:rPr>
      </w:pPr>
    </w:p>
    <w:p w:rsidR="00131B61" w:rsidRPr="008B7CC1" w:rsidRDefault="00C03239" w:rsidP="00EA1EB2">
      <w:pPr>
        <w:spacing w:after="0"/>
        <w:contextualSpacing/>
        <w:jc w:val="both"/>
        <w:rPr>
          <w:rFonts w:cs="Calibri"/>
        </w:rPr>
      </w:pPr>
      <w:r w:rsidRPr="008B7CC1">
        <w:rPr>
          <w:rFonts w:cs="Calibri"/>
        </w:rPr>
        <w:t xml:space="preserve">The predicted probabilities from this mixed logistic regression model were used to calculate the population overlap weights.   </w:t>
      </w:r>
      <w:r w:rsidR="00131B61" w:rsidRPr="008B7CC1">
        <w:rPr>
          <w:rFonts w:cs="Calibri"/>
        </w:rPr>
        <w:t>We then checked that the resulting propensity scores adequately corrected for covariate imbalance in all covariates measu</w:t>
      </w:r>
      <w:r w:rsidRPr="008B7CC1">
        <w:rPr>
          <w:rFonts w:cs="Calibri"/>
        </w:rPr>
        <w:t>red at the baseline consultation.  Covariate balance was assessed by examining the standardised mean differences and a difference of 0.10 taken to indicate substantial</w:t>
      </w:r>
      <w:r w:rsidR="00594029" w:rsidRPr="008B7CC1">
        <w:rPr>
          <w:rFonts w:cs="Calibri"/>
        </w:rPr>
        <w:t xml:space="preserve"> imbalance </w:t>
      </w:r>
      <w:r w:rsidR="002D5BBB">
        <w:rPr>
          <w:rFonts w:cs="Calibri"/>
        </w:rPr>
        <w:fldChar w:fldCharType="begin"/>
      </w:r>
      <w:r w:rsidR="00EA1EB2">
        <w:rPr>
          <w:rFonts w:cs="Calibri"/>
        </w:rPr>
        <w:instrText xml:space="preserve"> ADDIN EN.CITE &lt;EndNote&gt;&lt;Cite&gt;&lt;Author&gt;Normand&lt;/Author&gt;&lt;RecNum&gt;15&lt;/RecNum&gt;&lt;DisplayText&gt;(25)&lt;/DisplayText&gt;&lt;record&gt;&lt;rec-number&gt;15&lt;/rec-number&gt;&lt;foreign-keys&gt;&lt;key app="EN" db-id="rpw95t5w0xp909ezfw65w0xu5frzw2255vtd" timestamp="1481488115"&gt;15&lt;/key&gt;&lt;/foreign-keys&gt;&lt;ref-type name="Journal Article"&gt;17&lt;/ref-type&gt;&lt;contributors&gt;&lt;authors&gt;&lt;author&gt;Normand, S. T.&lt;/author&gt;&lt;author&gt;Landrum Mb Fau - Guadagnoli, E.&lt;/author&gt;&lt;author&gt;Guadagnoli E Fau - Ayanian, J. Z.&lt;/author&gt;&lt;author&gt;Ayanian Jz Fau - Ryan, T. J.&lt;/author&gt;&lt;author&gt;Ryan Tj Fau - Cleary, P. D.&lt;/author&gt;&lt;author&gt;Cleary Pd Fau - McNeil, B. J.&lt;/author&gt;&lt;author&gt;McNeil, B. J.&lt;/author&gt;&lt;/authors&gt;&lt;translated-authors&gt;&lt;author&gt;J. Clin Epidemiol&lt;/author&gt;&lt;/translated-authors&gt;&lt;/contributors&gt;&lt;auth-address&gt;Department of Health Care Policy, Harvard Medical School, Boston, MA 02115-5899, USA. sharon@hcp.med.harvard.edu FAU - Landrum, M B&lt;/auth-address&gt;&lt;titles&gt;&lt;title&gt;Validating recommendations for coronary angiography following acute myocardial infarction in the elderly: a matched analysis using propensity scores&lt;/title&gt;&lt;/titles&gt;&lt;number&gt;0895-4356 (Print)&lt;/number&gt;&lt;dates&gt;&lt;year&gt;2001&lt;/year&gt;&lt;pub-dates&gt;&lt;date&gt;20010412 DCOM- 20010503&lt;/date&gt;&lt;/pub-dates&gt;&lt;/dates&gt;&lt;urls&gt;&lt;/urls&gt;&lt;remote-database-provider&gt;2001 Apr&lt;/remote-database-provider&gt;&lt;language&gt;eng&lt;/language&gt;&lt;/record&gt;&lt;/Cite&gt;&lt;/EndNote&gt;</w:instrText>
      </w:r>
      <w:r w:rsidR="002D5BBB">
        <w:rPr>
          <w:rFonts w:cs="Calibri"/>
        </w:rPr>
        <w:fldChar w:fldCharType="separate"/>
      </w:r>
      <w:r w:rsidR="00EA1EB2">
        <w:rPr>
          <w:rFonts w:cs="Calibri"/>
          <w:noProof/>
        </w:rPr>
        <w:t>(25)</w:t>
      </w:r>
      <w:r w:rsidR="002D5BBB">
        <w:rPr>
          <w:rFonts w:cs="Calibri"/>
        </w:rPr>
        <w:fldChar w:fldCharType="end"/>
      </w:r>
    </w:p>
    <w:p w:rsidR="00C03239" w:rsidRPr="008B7CC1" w:rsidRDefault="00C03239" w:rsidP="00C03239">
      <w:pPr>
        <w:spacing w:after="0"/>
        <w:contextualSpacing/>
        <w:jc w:val="both"/>
        <w:rPr>
          <w:rFonts w:cs="Calibri"/>
        </w:rPr>
      </w:pPr>
    </w:p>
    <w:p w:rsidR="005F2090" w:rsidRDefault="005F2090" w:rsidP="005F2090">
      <w:pPr>
        <w:spacing w:after="0"/>
        <w:contextualSpacing/>
        <w:jc w:val="both"/>
      </w:pPr>
      <w:r>
        <w:rPr>
          <w:i/>
        </w:rPr>
        <w:t>Analyses of effects of antibiotics</w:t>
      </w:r>
    </w:p>
    <w:p w:rsidR="005F2090" w:rsidRDefault="005F2090" w:rsidP="00EA1EB2">
      <w:pPr>
        <w:spacing w:after="0"/>
        <w:contextualSpacing/>
        <w:jc w:val="both"/>
      </w:pPr>
      <w:r>
        <w:t>Analyses of trial data were performed blind to treatment allocation and were based on an intention-to-treat analysis.</w:t>
      </w:r>
      <w:r w:rsidRPr="00250047">
        <w:rPr>
          <w:rStyle w:val="EndnoteReference"/>
        </w:rPr>
        <w:t xml:space="preserve"> </w:t>
      </w:r>
      <w:r>
        <w:t>For the observational data, analyses were based on</w:t>
      </w:r>
      <w:r w:rsidR="009A651D">
        <w:t xml:space="preserve"> whether a patient received</w:t>
      </w:r>
      <w:r>
        <w:t xml:space="preserve"> </w:t>
      </w:r>
      <w:r w:rsidR="009A651D">
        <w:t>antibiotics, recorded by the GP on the CRF at the initial consultation</w:t>
      </w:r>
      <w:r>
        <w:t xml:space="preserve">. A proportional hazards model was used to model the duration of symptoms, a linear regression model for symptom severity and a logistic regression model for new or worsening symptoms. In the trial there was no evidence of clustering at the </w:t>
      </w:r>
      <w:r w:rsidR="00AE57F8">
        <w:t>GP</w:t>
      </w:r>
      <w:r w:rsidR="00594029">
        <w:t xml:space="preserve"> or country level</w:t>
      </w:r>
      <w:r>
        <w:t>.</w:t>
      </w:r>
      <w:r w:rsidR="002D5BBB">
        <w:fldChar w:fldCharType="begin"/>
      </w:r>
      <w:r w:rsidR="00EA1EB2">
        <w:instrText xml:space="preserve"> ADDIN EN.CITE &lt;EndNote&gt;&lt;Cite&gt;&lt;Author&gt;Little&lt;/Author&gt;&lt;Year&gt;2013&lt;/Year&gt;&lt;RecNum&gt;6&lt;/RecNum&gt;&lt;DisplayText&gt;(15)&lt;/DisplayText&gt;&lt;record&gt;&lt;rec-number&gt;6&lt;/rec-number&gt;&lt;foreign-keys&gt;&lt;key app="EN" db-id="rpw95t5w0xp909ezfw65w0xu5frzw2255vtd" timestamp="1481486485"&gt;6&lt;/key&gt;&lt;/foreign-keys&gt;&lt;ref-type name="Journal Article"&gt;17&lt;/ref-type&gt;&lt;contributors&gt;&lt;authors&gt;&lt;author&gt;Little, Paul&lt;/author&gt;&lt;author&gt;Stuart, Beth&lt;/author&gt;&lt;author&gt;Moore, Michael&lt;/author&gt;&lt;author&gt;Coenen, Samuel&lt;/author&gt;&lt;author&gt;Butler, Christopher C.&lt;/author&gt;&lt;author&gt;Godycki-Cwirko, Maciek&lt;/author&gt;&lt;author&gt;Mierzecki, Artur&lt;/author&gt;&lt;author&gt;Chlabicz, Slawomir&lt;/author&gt;&lt;author&gt;Torres, Antoni&lt;/author&gt;&lt;author&gt;Almirall, Jordi&lt;/author&gt;&lt;author&gt;Davies, Mel&lt;/author&gt;&lt;author&gt;Schaberg, Tom&lt;/author&gt;&lt;author&gt;Mölstad, Sigvard&lt;/author&gt;&lt;author&gt;Blasi, Francesco&lt;/author&gt;&lt;author&gt;De Sutter, An&lt;/author&gt;&lt;author&gt;Kersnik, Janko&lt;/author&gt;&lt;author&gt;Hupkova, Helena&lt;/author&gt;&lt;author&gt;Touboul, Pia&lt;/author&gt;&lt;author&gt;Hood, Kerenza&lt;/author&gt;&lt;author&gt;Mullee, Mark&lt;/author&gt;&lt;author&gt;O&amp;apos;Reilly, Gilly&lt;/author&gt;&lt;author&gt;Brugman, Curt&lt;/author&gt;&lt;author&gt;Goossens, Herman&lt;/author&gt;&lt;author&gt;Verheij, Theo&lt;/author&gt;&lt;/authors&gt;&lt;/contributors&gt;&lt;titles&gt;&lt;title&gt;Amoxicillin for acute lower-respiratory-tract infection in primary care when pneumonia is not suspected: a 12-country, randomised, placebo-controlled trial&lt;/title&gt;&lt;secondary-title&gt;The Lancet Infectious Diseases&lt;/secondary-title&gt;&lt;/titles&gt;&lt;periodical&gt;&lt;full-title&gt;The Lancet Infectious Diseases&lt;/full-title&gt;&lt;/periodical&gt;&lt;pages&gt;123-129&lt;/pages&gt;&lt;volume&gt;13&lt;/volume&gt;&lt;number&gt;2&lt;/number&gt;&lt;dates&gt;&lt;year&gt;2013&lt;/year&gt;&lt;pub-dates&gt;&lt;date&gt;2//&lt;/date&gt;&lt;/pub-dates&gt;&lt;/dates&gt;&lt;isbn&gt;1473-3099&lt;/isbn&gt;&lt;urls&gt;&lt;related-urls&gt;&lt;url&gt;http://www.sciencedirect.com/science/article/pii/S1473309912703006&lt;/url&gt;&lt;url&gt;http://ac.els-cdn.com/S1473309912703006/1-s2.0-S1473309912703006-main.pdf?_tid=9c4820c6-bfdc-11e6-87ea-00000aab0f6b&amp;amp;acdnat=1481486671_47f1b406e22bd91174facb48f1d16ae1&lt;/url&gt;&lt;/related-urls&gt;&lt;/urls&gt;&lt;electronic-resource-num&gt;http://dx.doi.org/10.1016/S1473-3099(12)70300-6&lt;/electronic-resource-num&gt;&lt;/record&gt;&lt;/Cite&gt;&lt;/EndNote&gt;</w:instrText>
      </w:r>
      <w:r w:rsidR="002D5BBB">
        <w:fldChar w:fldCharType="separate"/>
      </w:r>
      <w:r w:rsidR="00EA1EB2">
        <w:rPr>
          <w:noProof/>
        </w:rPr>
        <w:t>(15)</w:t>
      </w:r>
      <w:r w:rsidR="002D5BBB">
        <w:fldChar w:fldCharType="end"/>
      </w:r>
      <w:r>
        <w:t xml:space="preserve">  However, </w:t>
      </w:r>
      <w:r w:rsidR="00EF09C1">
        <w:t>there was evidence of clustering at both levels</w:t>
      </w:r>
      <w:r>
        <w:t xml:space="preserve"> in the observational study </w:t>
      </w:r>
      <w:r w:rsidR="002D5BBB">
        <w:fldChar w:fldCharType="begin"/>
      </w:r>
      <w:r w:rsidR="00EA1EB2">
        <w:instrText xml:space="preserve"> ADDIN EN.CITE &lt;EndNote&gt;&lt;Cite&gt;&lt;Author&gt;Francis&lt;/Author&gt;&lt;RecNum&gt;13&lt;/RecNum&gt;&lt;DisplayText&gt;(23)&lt;/DisplayText&gt;&lt;record&gt;&lt;rec-number&gt;13&lt;/rec-number&gt;&lt;foreign-keys&gt;&lt;key app="EN" db-id="rpw95t5w0xp909ezfw65w0xu5frzw2255vtd" timestamp="1481488022"&gt;13&lt;/key&gt;&lt;/foreign-keys&gt;&lt;ref-type name="Journal Article"&gt;17&lt;/ref-type&gt;&lt;contributors&gt;&lt;authors&gt;&lt;author&gt;Francis, N. A.&lt;/author&gt;&lt;author&gt;Gillespie D Fau - Nuttall, Jacqueline&lt;/author&gt;&lt;author&gt;Nuttall J Fau - Hood, Kerenza&lt;/author&gt;&lt;author&gt;Hood K Fau - Little, Paul&lt;/author&gt;&lt;author&gt;Little P Fau - Verheij, Theo&lt;/author&gt;&lt;author&gt;Verheij T Fau - Coenen, Samuel&lt;/author&gt;&lt;author&gt;Coenen S Fau - Cals, Jochen W.&lt;/author&gt;&lt;author&gt;Cals Jw Fau - Goossens, Herman&lt;/author&gt;&lt;author&gt;Goossens H Fau - Butler, Christopher C.&lt;/author&gt;&lt;author&gt;Butler, C. C.&lt;/author&gt;&lt;/authors&gt;&lt;translated-authors&gt;&lt;author&gt;Br, J. Gen Pract&lt;/author&gt;&lt;/translated-authors&gt;&lt;/contributors&gt;&lt;auth-address&gt;Cochrane Institute of Primary Care and Public Health, Cardiff University, Cardiff, UK. francisna@cf.ac.uk FAU - Gillespie, David&lt;/auth-address&gt;&lt;titles&gt;&lt;title&gt;Antibiotics for acute cough: an international observational study of patient adherence in primary care&lt;/title&gt;&lt;/titles&gt;&lt;number&gt;1478-5242 (Electronic)&lt;/number&gt;&lt;dates&gt;&lt;pub-dates&gt;&lt;date&gt;20120612 DCOM- 20120911&lt;/date&gt;&lt;/pub-dates&gt;&lt;/dates&gt;&lt;call-num&gt;GRACE Project Group&lt;/call-num&gt;&lt;urls&gt;&lt;/urls&gt;&lt;electronic-resource-num&gt;D - NLM: PMC3361123 EDAT- 2012/06/13 06:00 MHDA- 2012/09/12 06:00 CRDT- 2012/06/13 06:00 AID - 10.3399/bjgp12X649124 [doi] PST - ppublish&lt;/electronic-resource-num&gt;&lt;remote-database-provider&gt;2012 Jun&lt;/remote-database-provider&gt;&lt;research-notes&gt;0 (Anti-Bacterial Agents)&lt;/research-notes&gt;&lt;language&gt;eng&lt;/language&gt;&lt;/record&gt;&lt;/Cite&gt;&lt;/EndNote&gt;</w:instrText>
      </w:r>
      <w:r w:rsidR="002D5BBB">
        <w:fldChar w:fldCharType="separate"/>
      </w:r>
      <w:r w:rsidR="00EA1EB2">
        <w:rPr>
          <w:noProof/>
        </w:rPr>
        <w:t>(23)</w:t>
      </w:r>
      <w:r w:rsidR="002D5BBB">
        <w:fldChar w:fldCharType="end"/>
      </w:r>
      <w:r>
        <w:t xml:space="preserve">and therefore all models of the observational data </w:t>
      </w:r>
      <w:r w:rsidR="00EF09C1">
        <w:t xml:space="preserve">controlled for </w:t>
      </w:r>
      <w:r>
        <w:t xml:space="preserve">clustering at the country and </w:t>
      </w:r>
      <w:r w:rsidR="00AE57F8">
        <w:t>GP</w:t>
      </w:r>
      <w:r>
        <w:t xml:space="preserve"> level</w:t>
      </w:r>
      <w:r w:rsidR="009500EB">
        <w:t>s</w:t>
      </w:r>
      <w:r>
        <w:t xml:space="preserve"> as random effect</w:t>
      </w:r>
      <w:r w:rsidR="009500EB">
        <w:t>s</w:t>
      </w:r>
      <w:r>
        <w:t xml:space="preserve">.   For the observational study data the propensity score was calculated as described above and used </w:t>
      </w:r>
      <w:r w:rsidR="00E71D25">
        <w:t xml:space="preserve">as </w:t>
      </w:r>
      <w:r>
        <w:t>a probability weight in all models.</w:t>
      </w:r>
    </w:p>
    <w:p w:rsidR="00C20310" w:rsidRDefault="00C20310" w:rsidP="002A2CEB"/>
    <w:p w:rsidR="006956CD" w:rsidRDefault="00C20310" w:rsidP="00C20310">
      <w:r>
        <w:lastRenderedPageBreak/>
        <w:t>In line with the analysis of the trial, this</w:t>
      </w:r>
      <w:r w:rsidR="002A2CEB">
        <w:t xml:space="preserve"> analysis included patients for whom we had complete outcome data. </w:t>
      </w:r>
      <w:r>
        <w:t xml:space="preserve"> </w:t>
      </w:r>
      <w:r w:rsidR="006956CD">
        <w:t>We used Stata v14 for all analyses.</w:t>
      </w:r>
    </w:p>
    <w:p w:rsidR="00921CD5" w:rsidRPr="00156A31" w:rsidRDefault="000E5C12">
      <w:pPr>
        <w:rPr>
          <w:b/>
          <w:bCs/>
        </w:rPr>
      </w:pPr>
      <w:r w:rsidRPr="00156A31">
        <w:rPr>
          <w:b/>
          <w:bCs/>
        </w:rPr>
        <w:t>Results:</w:t>
      </w:r>
    </w:p>
    <w:p w:rsidR="00B07154" w:rsidRPr="00AC6A0E" w:rsidRDefault="00B07154" w:rsidP="00B07154">
      <w:pPr>
        <w:spacing w:after="0"/>
        <w:contextualSpacing/>
        <w:jc w:val="both"/>
        <w:rPr>
          <w:i/>
        </w:rPr>
      </w:pPr>
      <w:r>
        <w:rPr>
          <w:i/>
        </w:rPr>
        <w:t>Baseline characteristics</w:t>
      </w:r>
    </w:p>
    <w:p w:rsidR="00B07154" w:rsidRDefault="00B07154" w:rsidP="002B3521">
      <w:pPr>
        <w:spacing w:after="0"/>
        <w:contextualSpacing/>
        <w:jc w:val="both"/>
      </w:pPr>
      <w:r>
        <w:t xml:space="preserve">Data on 780 </w:t>
      </w:r>
      <w:r w:rsidRPr="00A0254C">
        <w:t xml:space="preserve">patients </w:t>
      </w:r>
      <w:r>
        <w:t>were available from the observational study</w:t>
      </w:r>
      <w:r w:rsidRPr="00A0254C">
        <w:t xml:space="preserve"> </w:t>
      </w:r>
      <w:r w:rsidR="009B22BA">
        <w:t>(233</w:t>
      </w:r>
      <w:r w:rsidRPr="00A0254C">
        <w:t xml:space="preserve"> in the </w:t>
      </w:r>
      <w:r>
        <w:t xml:space="preserve">amoxicillin </w:t>
      </w:r>
      <w:r w:rsidRPr="00A0254C">
        <w:t xml:space="preserve">group and </w:t>
      </w:r>
      <w:r>
        <w:t>547 in the no antibiotics group). In the RCT, 2061 patients were randomly assigned (1038 to the amoxicillin group and 1023 to the placebo group).</w:t>
      </w:r>
      <w:r w:rsidR="00653CDA">
        <w:t xml:space="preserve">  Table</w:t>
      </w:r>
      <w:r w:rsidR="00653CDA" w:rsidRPr="00880249">
        <w:t xml:space="preserve"> </w:t>
      </w:r>
      <w:r w:rsidR="00880249" w:rsidRPr="00880249">
        <w:t>2</w:t>
      </w:r>
      <w:r w:rsidR="00653CDA" w:rsidRPr="00880249">
        <w:t xml:space="preserve"> </w:t>
      </w:r>
      <w:r w:rsidR="00653CDA">
        <w:t xml:space="preserve">shows that the two studies have </w:t>
      </w:r>
      <w:r w:rsidR="006E1CE1">
        <w:t xml:space="preserve">broadly </w:t>
      </w:r>
      <w:r w:rsidR="00653CDA">
        <w:t>similar profiles.</w:t>
      </w:r>
      <w:r w:rsidR="002A6125">
        <w:t xml:space="preserve">  Observational study participants were more likely to be smokers</w:t>
      </w:r>
      <w:r w:rsidR="00683EA4">
        <w:t>, have a heart or lung condition</w:t>
      </w:r>
      <w:r w:rsidR="002A6125">
        <w:t xml:space="preserve"> and</w:t>
      </w:r>
      <w:r w:rsidR="00683EA4">
        <w:t xml:space="preserve"> to</w:t>
      </w:r>
      <w:r w:rsidR="002A6125">
        <w:t xml:space="preserve"> </w:t>
      </w:r>
      <w:r w:rsidR="002B3521">
        <w:t>have</w:t>
      </w:r>
      <w:r w:rsidR="002A6125">
        <w:t xml:space="preserve"> crackles</w:t>
      </w:r>
      <w:r w:rsidR="002B3521">
        <w:t xml:space="preserve">, </w:t>
      </w:r>
      <w:r w:rsidR="002A6125">
        <w:t>rhonchi</w:t>
      </w:r>
      <w:r w:rsidR="002B3521">
        <w:t xml:space="preserve"> and abnormalities on auscultation</w:t>
      </w:r>
      <w:r w:rsidR="002A6125">
        <w:t>.</w:t>
      </w:r>
    </w:p>
    <w:p w:rsidR="00B07154" w:rsidRDefault="00B07154" w:rsidP="00B07154">
      <w:pPr>
        <w:spacing w:after="0"/>
        <w:contextualSpacing/>
        <w:jc w:val="both"/>
      </w:pPr>
    </w:p>
    <w:p w:rsidR="00E50F0A" w:rsidRDefault="007B4C25" w:rsidP="009500EB">
      <w:pPr>
        <w:spacing w:after="0"/>
        <w:contextualSpacing/>
        <w:jc w:val="both"/>
      </w:pPr>
      <w:r>
        <w:t>A</w:t>
      </w:r>
      <w:r w:rsidR="00653CDA">
        <w:t>s expected</w:t>
      </w:r>
      <w:r w:rsidR="00A83B2A">
        <w:t>, the groups were well balanced in the RCT</w:t>
      </w:r>
      <w:r w:rsidR="00653CDA">
        <w:t xml:space="preserve"> whilst</w:t>
      </w:r>
      <w:r w:rsidR="00EB7EC9">
        <w:t xml:space="preserve"> there was </w:t>
      </w:r>
      <w:r>
        <w:t>significant imbalance</w:t>
      </w:r>
      <w:r w:rsidR="00EB7EC9">
        <w:t xml:space="preserve"> in the observational study</w:t>
      </w:r>
      <w:r w:rsidR="007F37AC">
        <w:t xml:space="preserve">, with </w:t>
      </w:r>
      <w:r w:rsidR="00A0191C">
        <w:t>evidence of confounding by indication</w:t>
      </w:r>
      <w:r w:rsidR="009500EB">
        <w:t>.</w:t>
      </w:r>
      <w:r w:rsidR="00A0191C">
        <w:t xml:space="preserve">   </w:t>
      </w:r>
      <w:r w:rsidR="00CE7227">
        <w:t>Taking a threshold of 0.10 as indicating substantial imbalance</w:t>
      </w:r>
      <w:r w:rsidR="00880249">
        <w:t>,</w:t>
      </w:r>
      <w:r w:rsidR="00CE7227" w:rsidRPr="007B4C25">
        <w:rPr>
          <w:color w:val="FF0000"/>
        </w:rPr>
        <w:t xml:space="preserve"> </w:t>
      </w:r>
      <w:r w:rsidR="00CE7227">
        <w:t>18/2</w:t>
      </w:r>
      <w:r w:rsidR="003A4717">
        <w:t>0</w:t>
      </w:r>
      <w:r w:rsidR="00BB4E7B">
        <w:t xml:space="preserve"> (</w:t>
      </w:r>
      <w:r w:rsidR="003A4717">
        <w:t>90</w:t>
      </w:r>
      <w:r w:rsidR="00CE7227">
        <w:t xml:space="preserve">%) of the key covariates showed </w:t>
      </w:r>
      <w:r>
        <w:t>evidence of imbalance</w:t>
      </w:r>
      <w:r w:rsidR="007F37AC">
        <w:t xml:space="preserve"> in the observational study</w:t>
      </w:r>
      <w:r>
        <w:t xml:space="preserve">.  </w:t>
      </w:r>
      <w:r w:rsidR="00BB0125">
        <w:t xml:space="preserve"> After applying the propensity score weights, </w:t>
      </w:r>
      <w:r w:rsidR="00BB4E7B">
        <w:t>the standardised mean difference was below 0.10 for all covar</w:t>
      </w:r>
      <w:r w:rsidR="000215BB">
        <w:t xml:space="preserve">iates and </w:t>
      </w:r>
      <w:r w:rsidR="00BB4E7B">
        <w:t>all but 3 w</w:t>
      </w:r>
      <w:r w:rsidR="000215BB">
        <w:t xml:space="preserve">ere below a threshold of 0.01, suggesting that the dataset was now well balanced </w:t>
      </w:r>
      <w:r w:rsidR="00917E57">
        <w:t>on observed covariates and that the propensity score weights were successful in making the groups more directly comparable</w:t>
      </w:r>
    </w:p>
    <w:p w:rsidR="00572944" w:rsidRDefault="00572944" w:rsidP="00572944">
      <w:pPr>
        <w:spacing w:after="0"/>
        <w:contextualSpacing/>
        <w:jc w:val="both"/>
      </w:pPr>
    </w:p>
    <w:p w:rsidR="00C03A0A" w:rsidRPr="008F6289" w:rsidRDefault="00C03A0A" w:rsidP="00474CE5">
      <w:pPr>
        <w:spacing w:after="0"/>
        <w:contextualSpacing/>
        <w:jc w:val="both"/>
        <w:rPr>
          <w:i/>
        </w:rPr>
      </w:pPr>
      <w:bookmarkStart w:id="0" w:name="_Ref233874421"/>
      <w:r>
        <w:rPr>
          <w:i/>
        </w:rPr>
        <w:t xml:space="preserve">Effects of </w:t>
      </w:r>
      <w:r w:rsidR="00474CE5">
        <w:rPr>
          <w:i/>
        </w:rPr>
        <w:t>amoxicillin</w:t>
      </w:r>
    </w:p>
    <w:p w:rsidR="00606738" w:rsidRDefault="00F628B0" w:rsidP="00EA1EB2">
      <w:pPr>
        <w:spacing w:after="0"/>
        <w:contextualSpacing/>
        <w:jc w:val="both"/>
      </w:pPr>
      <w:r>
        <w:t>The main results of the trial are presented in</w:t>
      </w:r>
      <w:r w:rsidR="00B579B3">
        <w:t xml:space="preserve"> Table 3</w:t>
      </w:r>
      <w:r>
        <w:t>, for full results see Little et al.</w:t>
      </w:r>
      <w:r w:rsidR="00853426">
        <w:fldChar w:fldCharType="begin"/>
      </w:r>
      <w:r w:rsidR="00EA1EB2">
        <w:instrText xml:space="preserve"> ADDIN EN.CITE &lt;EndNote&gt;&lt;Cite&gt;&lt;Author&gt;Little&lt;/Author&gt;&lt;Year&gt;2013&lt;/Year&gt;&lt;RecNum&gt;6&lt;/RecNum&gt;&lt;DisplayText&gt;(15)&lt;/DisplayText&gt;&lt;record&gt;&lt;rec-number&gt;6&lt;/rec-number&gt;&lt;foreign-keys&gt;&lt;key app="EN" db-id="rpw95t5w0xp909ezfw65w0xu5frzw2255vtd" timestamp="1481486485"&gt;6&lt;/key&gt;&lt;/foreign-keys&gt;&lt;ref-type name="Journal Article"&gt;17&lt;/ref-type&gt;&lt;contributors&gt;&lt;authors&gt;&lt;author&gt;Little, Paul&lt;/author&gt;&lt;author&gt;Stuart, Beth&lt;/author&gt;&lt;author&gt;Moore, Michael&lt;/author&gt;&lt;author&gt;Coenen, Samuel&lt;/author&gt;&lt;author&gt;Butler, Christopher C.&lt;/author&gt;&lt;author&gt;Godycki-Cwirko, Maciek&lt;/author&gt;&lt;author&gt;Mierzecki, Artur&lt;/author&gt;&lt;author&gt;Chlabicz, Slawomir&lt;/author&gt;&lt;author&gt;Torres, Antoni&lt;/author&gt;&lt;author&gt;Almirall, Jordi&lt;/author&gt;&lt;author&gt;Davies, Mel&lt;/author&gt;&lt;author&gt;Schaberg, Tom&lt;/author&gt;&lt;author&gt;Mölstad, Sigvard&lt;/author&gt;&lt;author&gt;Blasi, Francesco&lt;/author&gt;&lt;author&gt;De Sutter, An&lt;/author&gt;&lt;author&gt;Kersnik, Janko&lt;/author&gt;&lt;author&gt;Hupkova, Helena&lt;/author&gt;&lt;author&gt;Touboul, Pia&lt;/author&gt;&lt;author&gt;Hood, Kerenza&lt;/author&gt;&lt;author&gt;Mullee, Mark&lt;/author&gt;&lt;author&gt;O&amp;apos;Reilly, Gilly&lt;/author&gt;&lt;author&gt;Brugman, Curt&lt;/author&gt;&lt;author&gt;Goossens, Herman&lt;/author&gt;&lt;author&gt;Verheij, Theo&lt;/author&gt;&lt;/authors&gt;&lt;/contributors&gt;&lt;titles&gt;&lt;title&gt;Amoxicillin for acute lower-respiratory-tract infection in primary care when pneumonia is not suspected: a 12-country, randomised, placebo-controlled trial&lt;/title&gt;&lt;secondary-title&gt;The Lancet Infectious Diseases&lt;/secondary-title&gt;&lt;/titles&gt;&lt;periodical&gt;&lt;full-title&gt;The Lancet Infectious Diseases&lt;/full-title&gt;&lt;/periodical&gt;&lt;pages&gt;123-129&lt;/pages&gt;&lt;volume&gt;13&lt;/volume&gt;&lt;number&gt;2&lt;/number&gt;&lt;dates&gt;&lt;year&gt;2013&lt;/year&gt;&lt;pub-dates&gt;&lt;date&gt;2//&lt;/date&gt;&lt;/pub-dates&gt;&lt;/dates&gt;&lt;isbn&gt;1473-3099&lt;/isbn&gt;&lt;urls&gt;&lt;related-urls&gt;&lt;url&gt;http://www.sciencedirect.com/science/article/pii/S1473309912703006&lt;/url&gt;&lt;url&gt;http://ac.els-cdn.com/S1473309912703006/1-s2.0-S1473309912703006-main.pdf?_tid=9c4820c6-bfdc-11e6-87ea-00000aab0f6b&amp;amp;acdnat=1481486671_47f1b406e22bd91174facb48f1d16ae1&lt;/url&gt;&lt;/related-urls&gt;&lt;/urls&gt;&lt;electronic-resource-num&gt;http://dx.doi.org/10.1016/S1473-3099(12)70300-6&lt;/electronic-resource-num&gt;&lt;/record&gt;&lt;/Cite&gt;&lt;/EndNote&gt;</w:instrText>
      </w:r>
      <w:r w:rsidR="00853426">
        <w:fldChar w:fldCharType="separate"/>
      </w:r>
      <w:r w:rsidR="00EA1EB2">
        <w:rPr>
          <w:noProof/>
        </w:rPr>
        <w:t>(15)</w:t>
      </w:r>
      <w:r w:rsidR="00853426">
        <w:fldChar w:fldCharType="end"/>
      </w:r>
      <w:r>
        <w:t xml:space="preserve">  Table 3 also sets out the results for the</w:t>
      </w:r>
      <w:r w:rsidR="00C03A0A">
        <w:t xml:space="preserve"> observational study</w:t>
      </w:r>
      <w:r w:rsidR="00E36261">
        <w:t xml:space="preserve"> for comparison</w:t>
      </w:r>
      <w:r>
        <w:t>.  N</w:t>
      </w:r>
      <w:r w:rsidR="00C03A0A">
        <w:t>o significant results were found</w:t>
      </w:r>
      <w:r>
        <w:t xml:space="preserve">, although the confidence intervals are wide, likely </w:t>
      </w:r>
      <w:r w:rsidR="00423BF5">
        <w:t>because of</w:t>
      </w:r>
      <w:r w:rsidR="00E71D25">
        <w:t xml:space="preserve"> </w:t>
      </w:r>
      <w:r w:rsidR="007F37AC">
        <w:t xml:space="preserve">insufficient </w:t>
      </w:r>
      <w:r>
        <w:t xml:space="preserve">sample size.  </w:t>
      </w:r>
    </w:p>
    <w:p w:rsidR="00606738" w:rsidRDefault="00606738" w:rsidP="00F628B0">
      <w:pPr>
        <w:spacing w:after="0"/>
        <w:contextualSpacing/>
        <w:jc w:val="both"/>
      </w:pPr>
    </w:p>
    <w:p w:rsidR="00F628B0" w:rsidRDefault="00606738" w:rsidP="00FD23EC">
      <w:pPr>
        <w:spacing w:after="0"/>
        <w:contextualSpacing/>
        <w:jc w:val="both"/>
      </w:pPr>
      <w:r>
        <w:t>T</w:t>
      </w:r>
      <w:r w:rsidR="00C03A0A">
        <w:t>he point estimates of the effect</w:t>
      </w:r>
      <w:r w:rsidR="000B3508">
        <w:t xml:space="preserve"> in the observational study</w:t>
      </w:r>
      <w:r w:rsidR="00C03A0A">
        <w:t xml:space="preserve"> </w:t>
      </w:r>
      <w:r w:rsidR="000B3508">
        <w:t>adjusting</w:t>
      </w:r>
      <w:r w:rsidR="00474CE5">
        <w:t xml:space="preserve"> </w:t>
      </w:r>
      <w:r w:rsidR="00C03A0A">
        <w:t>only</w:t>
      </w:r>
      <w:r w:rsidR="000B3508">
        <w:t xml:space="preserve"> for</w:t>
      </w:r>
      <w:r w:rsidR="00C03A0A">
        <w:t xml:space="preserve"> baseline severity indicated a slightly longer duration of symptoms</w:t>
      </w:r>
      <w:r w:rsidR="00FD23EC">
        <w:t xml:space="preserve">, higher symptom severity and </w:t>
      </w:r>
      <w:r w:rsidR="00C03A0A">
        <w:t xml:space="preserve">slightly increased risk of </w:t>
      </w:r>
      <w:proofErr w:type="spellStart"/>
      <w:r w:rsidR="00C03A0A">
        <w:t>reconsultation</w:t>
      </w:r>
      <w:proofErr w:type="spellEnd"/>
      <w:r w:rsidR="00FD23EC">
        <w:t xml:space="preserve">. </w:t>
      </w:r>
      <w:r w:rsidR="00C03A0A">
        <w:t xml:space="preserve"> Since those who received </w:t>
      </w:r>
      <w:r w:rsidR="00474CE5">
        <w:t>amoxicillin</w:t>
      </w:r>
      <w:r w:rsidR="00C03A0A">
        <w:t xml:space="preserve"> were likely to be more unwell at baseline, this is as expected.  </w:t>
      </w:r>
    </w:p>
    <w:p w:rsidR="00F628B0" w:rsidRDefault="00F628B0" w:rsidP="00F628B0">
      <w:pPr>
        <w:spacing w:after="0"/>
        <w:contextualSpacing/>
        <w:jc w:val="both"/>
      </w:pPr>
    </w:p>
    <w:p w:rsidR="00F628B0" w:rsidRDefault="00F628B0" w:rsidP="00B13597">
      <w:pPr>
        <w:spacing w:after="0"/>
        <w:contextualSpacing/>
        <w:jc w:val="both"/>
      </w:pPr>
      <w:r>
        <w:t xml:space="preserve">Adjusting for known confounders had little impact on the result for duration of symptoms compared to simply </w:t>
      </w:r>
      <w:r w:rsidR="00E83957">
        <w:t>including</w:t>
      </w:r>
      <w:r>
        <w:t xml:space="preserve"> baseline severity</w:t>
      </w:r>
      <w:r w:rsidR="00E83957">
        <w:t xml:space="preserve"> in the model</w:t>
      </w:r>
      <w:r w:rsidR="00FD23EC">
        <w:t xml:space="preserve">.  </w:t>
      </w:r>
      <w:r w:rsidR="00B13597">
        <w:t>But t</w:t>
      </w:r>
      <w:r>
        <w:t>he result for symptom severity now showed</w:t>
      </w:r>
      <w:r w:rsidR="00474CE5">
        <w:t xml:space="preserve"> a </w:t>
      </w:r>
      <w:r w:rsidR="00FD23EC">
        <w:t xml:space="preserve">no </w:t>
      </w:r>
      <w:r w:rsidR="00474CE5">
        <w:t>difference</w:t>
      </w:r>
      <w:r w:rsidR="00B13597">
        <w:t xml:space="preserve"> and </w:t>
      </w:r>
      <w:proofErr w:type="spellStart"/>
      <w:r w:rsidR="00B13597">
        <w:t>r</w:t>
      </w:r>
      <w:r>
        <w:t>econsultation</w:t>
      </w:r>
      <w:proofErr w:type="spellEnd"/>
      <w:r>
        <w:t xml:space="preserve"> was now less likely in the amoxicillin group but</w:t>
      </w:r>
      <w:r w:rsidR="00474CE5">
        <w:t xml:space="preserve"> again,</w:t>
      </w:r>
      <w:r>
        <w:t xml:space="preserve"> this was </w:t>
      </w:r>
      <w:r w:rsidR="00474CE5">
        <w:t>n</w:t>
      </w:r>
      <w:r w:rsidR="00FD23EC">
        <w:t xml:space="preserve">ot statistically significant.  </w:t>
      </w:r>
    </w:p>
    <w:p w:rsidR="00F628B0" w:rsidRDefault="00F628B0" w:rsidP="00F628B0">
      <w:pPr>
        <w:spacing w:after="0"/>
        <w:contextualSpacing/>
        <w:jc w:val="both"/>
      </w:pPr>
    </w:p>
    <w:p w:rsidR="00F628B0" w:rsidRDefault="00B13597" w:rsidP="00B13597">
      <w:pPr>
        <w:spacing w:after="0"/>
        <w:contextualSpacing/>
        <w:jc w:val="both"/>
      </w:pPr>
      <w:r>
        <w:t>A</w:t>
      </w:r>
      <w:r w:rsidR="00F628B0">
        <w:t xml:space="preserve">djusting using the propensity </w:t>
      </w:r>
      <w:proofErr w:type="gramStart"/>
      <w:r w:rsidR="00F628B0">
        <w:t xml:space="preserve">score </w:t>
      </w:r>
      <w:r>
        <w:t xml:space="preserve"> also</w:t>
      </w:r>
      <w:proofErr w:type="gramEnd"/>
      <w:r>
        <w:t xml:space="preserve"> gave non-significant results.  The</w:t>
      </w:r>
      <w:r w:rsidR="00F628B0">
        <w:t xml:space="preserve"> point estimates were </w:t>
      </w:r>
      <w:r>
        <w:t>similar in direction and magnitude</w:t>
      </w:r>
      <w:r w:rsidR="008E1EEE">
        <w:t xml:space="preserve"> </w:t>
      </w:r>
      <w:r w:rsidR="00F628B0">
        <w:t xml:space="preserve">to the trial results, </w:t>
      </w:r>
      <w:r>
        <w:t xml:space="preserve">but </w:t>
      </w:r>
      <w:r w:rsidR="00F628B0">
        <w:t xml:space="preserve">with wide confidence intervals.  </w:t>
      </w:r>
      <w:r w:rsidR="00606738">
        <w:t xml:space="preserve"> The hazard ratio for duration of symptoms was 1.06 (95% CI 0.96, 1.18) in the trial and 1.06 (95% CI 0.80, 1.40) in the observational study.  The difference in the severity score was -0.07 (95% CI -0.15, 0.007) in the trial and </w:t>
      </w:r>
      <w:r w:rsidR="00606738" w:rsidRPr="005E647C">
        <w:t>-</w:t>
      </w:r>
      <w:r w:rsidR="00606738">
        <w:t>0</w:t>
      </w:r>
      <w:r w:rsidR="00606738" w:rsidRPr="005E647C">
        <w:t>.07</w:t>
      </w:r>
      <w:r w:rsidR="00606738">
        <w:t xml:space="preserve"> (95% CI -0.34, 0.20) in the observational study.  The odds ratio for </w:t>
      </w:r>
      <w:proofErr w:type="spellStart"/>
      <w:r w:rsidR="00606738">
        <w:t>reconsultation</w:t>
      </w:r>
      <w:proofErr w:type="spellEnd"/>
      <w:r w:rsidR="00606738">
        <w:t xml:space="preserve"> was 0.97 (95% CI 0.63, 0.99) in the trial and 0</w:t>
      </w:r>
      <w:r w:rsidR="00606738" w:rsidRPr="006B151E">
        <w:t>.9</w:t>
      </w:r>
      <w:r w:rsidR="00606738">
        <w:t xml:space="preserve">1 (95% CI 0.48, 1.66) in the observational study.  </w:t>
      </w:r>
    </w:p>
    <w:p w:rsidR="00F628B0" w:rsidRDefault="00F628B0" w:rsidP="00F628B0">
      <w:pPr>
        <w:spacing w:after="0"/>
        <w:contextualSpacing/>
        <w:jc w:val="both"/>
      </w:pPr>
    </w:p>
    <w:bookmarkEnd w:id="0"/>
    <w:p w:rsidR="00FE78FC" w:rsidRDefault="00FE78FC" w:rsidP="00FE78FC">
      <w:pPr>
        <w:spacing w:after="0"/>
        <w:jc w:val="both"/>
      </w:pPr>
      <w:r>
        <w:rPr>
          <w:b/>
          <w:sz w:val="26"/>
        </w:rPr>
        <w:t>Discussion</w:t>
      </w:r>
    </w:p>
    <w:p w:rsidR="00FE78FC" w:rsidRDefault="00FE78FC" w:rsidP="00FE78FC">
      <w:pPr>
        <w:spacing w:after="0"/>
        <w:jc w:val="both"/>
      </w:pPr>
    </w:p>
    <w:p w:rsidR="00FE78FC" w:rsidRPr="00A02C7F" w:rsidRDefault="00FE78FC" w:rsidP="00FE78FC">
      <w:pPr>
        <w:spacing w:after="0"/>
        <w:contextualSpacing/>
        <w:jc w:val="both"/>
        <w:rPr>
          <w:b/>
        </w:rPr>
      </w:pPr>
      <w:r>
        <w:rPr>
          <w:b/>
        </w:rPr>
        <w:lastRenderedPageBreak/>
        <w:t>Summary</w:t>
      </w:r>
    </w:p>
    <w:p w:rsidR="00FE78FC" w:rsidRDefault="00B548A8" w:rsidP="008E1EEE">
      <w:pPr>
        <w:spacing w:after="0"/>
        <w:contextualSpacing/>
        <w:jc w:val="both"/>
      </w:pPr>
      <w:r>
        <w:t xml:space="preserve">There was no statistically significant benefit of amoxicillin for either symptom duration or symptom severity in the observational study.  </w:t>
      </w:r>
      <w:r w:rsidR="00756BB5">
        <w:t>Although the observational study represented a slightly different population to those who agreed to randomisation in the trial, th</w:t>
      </w:r>
      <w:r w:rsidR="008E1EEE">
        <w:t>e estimates of treatment effect were non-significant after controlling for confounder</w:t>
      </w:r>
      <w:r w:rsidR="00764FBD">
        <w:t>s</w:t>
      </w:r>
      <w:r w:rsidR="008E1EEE">
        <w:t xml:space="preserve"> both in the traditional method and </w:t>
      </w:r>
      <w:r w:rsidR="00756BB5">
        <w:t xml:space="preserve">after weighting by propensity score.  </w:t>
      </w:r>
    </w:p>
    <w:p w:rsidR="00FE78FC" w:rsidRDefault="00FE78FC" w:rsidP="00FE78FC">
      <w:pPr>
        <w:spacing w:after="0"/>
        <w:contextualSpacing/>
        <w:jc w:val="both"/>
      </w:pPr>
    </w:p>
    <w:p w:rsidR="00FE78FC" w:rsidRPr="00A02C7F" w:rsidRDefault="00FE78FC" w:rsidP="00FE78FC">
      <w:pPr>
        <w:spacing w:after="0"/>
        <w:contextualSpacing/>
        <w:jc w:val="both"/>
        <w:rPr>
          <w:b/>
        </w:rPr>
      </w:pPr>
      <w:r>
        <w:rPr>
          <w:b/>
        </w:rPr>
        <w:t>Strengths and limitations</w:t>
      </w:r>
    </w:p>
    <w:p w:rsidR="00BF6074" w:rsidRDefault="00B548A8" w:rsidP="00360920">
      <w:pPr>
        <w:spacing w:after="0"/>
        <w:contextualSpacing/>
        <w:jc w:val="both"/>
      </w:pPr>
      <w:r>
        <w:t>The format of the GRACE studies created a unique opportunity to compare outcomes fr</w:t>
      </w:r>
      <w:r w:rsidR="000234E9">
        <w:t>om an observational study with an RCT</w:t>
      </w:r>
      <w:r>
        <w:t xml:space="preserve"> </w:t>
      </w:r>
      <w:r w:rsidR="00360920">
        <w:t>with similar</w:t>
      </w:r>
      <w:r>
        <w:t xml:space="preserve"> setting and inclusion criteria.  </w:t>
      </w:r>
    </w:p>
    <w:p w:rsidR="00BF6074" w:rsidRDefault="00BF6074" w:rsidP="00B548A8">
      <w:pPr>
        <w:spacing w:after="0"/>
        <w:contextualSpacing/>
        <w:jc w:val="both"/>
      </w:pPr>
    </w:p>
    <w:p w:rsidR="00B548A8" w:rsidRDefault="00754D25" w:rsidP="00764FBD">
      <w:pPr>
        <w:spacing w:after="0"/>
        <w:contextualSpacing/>
        <w:jc w:val="both"/>
      </w:pPr>
      <w:r>
        <w:t>It is likely that there is no true effect of the intervention in this setting.  Therefore the chanc</w:t>
      </w:r>
      <w:r w:rsidR="00BF6074">
        <w:t>es of finding similar negative results in both studies</w:t>
      </w:r>
      <w:r>
        <w:t xml:space="preserve">, </w:t>
      </w:r>
      <w:r w:rsidR="00A73430">
        <w:t>regardless of the method used to control for confounding</w:t>
      </w:r>
      <w:r>
        <w:t>,</w:t>
      </w:r>
      <w:r w:rsidR="00BF6074">
        <w:t xml:space="preserve"> was high.  </w:t>
      </w:r>
      <w:r w:rsidR="008E1EEE">
        <w:t xml:space="preserve">Although propensity scores have methodological advantages, in this context it is not possible to say that </w:t>
      </w:r>
      <w:r w:rsidR="00C74583">
        <w:t>this method</w:t>
      </w:r>
      <w:r w:rsidR="008E1EEE">
        <w:t xml:space="preserve"> provided superior control for confounding by indication when compared to traditional methods. </w:t>
      </w:r>
      <w:r w:rsidR="00BF6074">
        <w:t xml:space="preserve">Ideally this analysis should be repeated in two studies where the trial has shown a statistically significant effect.  However, </w:t>
      </w:r>
      <w:r w:rsidR="00764FBD">
        <w:t xml:space="preserve">the </w:t>
      </w:r>
      <w:r w:rsidR="00A73430">
        <w:t xml:space="preserve">similarity in the magnitude and direction of the estimates </w:t>
      </w:r>
      <w:r w:rsidR="00BF6074">
        <w:t>obtained in the trial and observational study</w:t>
      </w:r>
      <w:r w:rsidR="00764FBD">
        <w:t>,</w:t>
      </w:r>
      <w:r w:rsidR="00BF6074">
        <w:t xml:space="preserve"> </w:t>
      </w:r>
      <w:r w:rsidR="008E1EEE">
        <w:t>both after controlling for confounding using the traditional approach and after weighting by propensity score</w:t>
      </w:r>
      <w:r w:rsidR="00764FBD">
        <w:t>,</w:t>
      </w:r>
      <w:r w:rsidR="008E1EEE">
        <w:t xml:space="preserve"> </w:t>
      </w:r>
      <w:r w:rsidR="00BF6074">
        <w:t>make</w:t>
      </w:r>
      <w:r w:rsidR="00764FBD">
        <w:t>s</w:t>
      </w:r>
      <w:r w:rsidR="00BF6074">
        <w:t xml:space="preserve"> it more likely that we have correctly estimated the </w:t>
      </w:r>
      <w:r>
        <w:t xml:space="preserve">true </w:t>
      </w:r>
      <w:r w:rsidR="00BF6074">
        <w:t>effect in this population</w:t>
      </w:r>
      <w:r w:rsidR="008E1EEE">
        <w:t xml:space="preserve"> </w:t>
      </w:r>
    </w:p>
    <w:p w:rsidR="00B548A8" w:rsidRDefault="00B548A8" w:rsidP="00426F1D">
      <w:pPr>
        <w:spacing w:after="0"/>
        <w:contextualSpacing/>
        <w:jc w:val="both"/>
      </w:pPr>
    </w:p>
    <w:p w:rsidR="00426F1D" w:rsidRDefault="00426F1D" w:rsidP="00EA1EB2">
      <w:pPr>
        <w:spacing w:after="0"/>
        <w:contextualSpacing/>
        <w:jc w:val="both"/>
      </w:pPr>
      <w:r>
        <w:t>Whilst the randomisation process assures that RCTs are balanced both on observed and unobserved factors, propensity score methods can only account for measured confounders</w:t>
      </w:r>
      <w:r w:rsidR="0074549D">
        <w:t xml:space="preserve"> in observational data</w:t>
      </w:r>
      <w:r>
        <w:t>.</w:t>
      </w:r>
      <w:r w:rsidR="00017BDD">
        <w:fldChar w:fldCharType="begin"/>
      </w:r>
      <w:r w:rsidR="00EA1EB2">
        <w:instrText xml:space="preserve"> ADDIN EN.CITE &lt;EndNote&gt;&lt;Cite&gt;&lt;Author&gt;Harder&lt;/Author&gt;&lt;Year&gt;2010&lt;/Year&gt;&lt;RecNum&gt;27&lt;/RecNum&gt;&lt;DisplayText&gt;(26)&lt;/DisplayText&gt;&lt;record&gt;&lt;rec-number&gt;27&lt;/rec-number&gt;&lt;foreign-keys&gt;&lt;key app="EN" db-id="rpw95t5w0xp909ezfw65w0xu5frzw2255vtd" timestamp="1481538713"&gt;27&lt;/key&gt;&lt;/foreign-keys&gt;&lt;ref-type name="Journal Article"&gt;17&lt;/ref-type&gt;&lt;contributors&gt;&lt;authors&gt;&lt;author&gt;Harder, Valerie S.&lt;/author&gt;&lt;author&gt;Stuart, Elizabeth A.&lt;/author&gt;&lt;author&gt;Anthony, James C.&lt;/author&gt;&lt;/authors&gt;&lt;/contributors&gt;&lt;titles&gt;&lt;title&gt;Propensity score techniques and the assessment of measured covariate balance to test causal associations in psychological research&lt;/title&gt;&lt;secondary-title&gt;Psychological methods&lt;/secondary-title&gt;&lt;/titles&gt;&lt;periodical&gt;&lt;full-title&gt;Psychological methods&lt;/full-title&gt;&lt;/periodical&gt;&lt;pages&gt;234-249&lt;/pages&gt;&lt;volume&gt;15&lt;/volume&gt;&lt;number&gt;3&lt;/number&gt;&lt;dates&gt;&lt;year&gt;2010&lt;/year&gt;&lt;/dates&gt;&lt;isbn&gt;1082-989X&amp;#xD;1939-1463&lt;/isbn&gt;&lt;accession-num&gt;PMC2936698&lt;/accession-num&gt;&lt;urls&gt;&lt;related-urls&gt;&lt;url&gt;http://www.ncbi.nlm.nih.gov/pmc/articles/PMC2936698/&lt;/url&gt;&lt;url&gt;https://www.ncbi.nlm.nih.gov/pmc/articles/PMC2936698/pdf/nihms-192966.pdf&lt;/url&gt;&lt;/related-urls&gt;&lt;/urls&gt;&lt;electronic-resource-num&gt;10.1037/a0019623&lt;/electronic-resource-num&gt;&lt;remote-database-name&gt;PMC&lt;/remote-database-name&gt;&lt;/record&gt;&lt;/Cite&gt;&lt;/EndNote&gt;</w:instrText>
      </w:r>
      <w:r w:rsidR="00017BDD">
        <w:fldChar w:fldCharType="separate"/>
      </w:r>
      <w:r w:rsidR="00EA1EB2">
        <w:rPr>
          <w:noProof/>
        </w:rPr>
        <w:t>(26)</w:t>
      </w:r>
      <w:r w:rsidR="00017BDD">
        <w:fldChar w:fldCharType="end"/>
      </w:r>
      <w:r>
        <w:t xml:space="preserve">  </w:t>
      </w:r>
      <w:r w:rsidR="00A73430">
        <w:t>It is possible</w:t>
      </w:r>
      <w:r>
        <w:t xml:space="preserve"> that </w:t>
      </w:r>
      <w:r w:rsidR="00FE50A8">
        <w:t xml:space="preserve">observational </w:t>
      </w:r>
      <w:r>
        <w:t xml:space="preserve">data </w:t>
      </w:r>
      <w:r w:rsidR="00A73430">
        <w:t xml:space="preserve">may still </w:t>
      </w:r>
      <w:r>
        <w:t xml:space="preserve">suffer from residual confounding.  </w:t>
      </w:r>
      <w:r w:rsidR="00A73430">
        <w:t>G</w:t>
      </w:r>
      <w:r w:rsidR="00754D25">
        <w:t xml:space="preserve">iven the similarity of the estimates in the observational study to the </w:t>
      </w:r>
      <w:proofErr w:type="spellStart"/>
      <w:r w:rsidR="00754D25">
        <w:t>unconfounded</w:t>
      </w:r>
      <w:proofErr w:type="spellEnd"/>
      <w:r w:rsidR="00754D25">
        <w:t xml:space="preserve"> estimates in the RCT, it is less likely that the results suffer from residual confounding.  </w:t>
      </w:r>
    </w:p>
    <w:p w:rsidR="000406E1" w:rsidRDefault="000406E1" w:rsidP="00426F1D">
      <w:pPr>
        <w:spacing w:after="0"/>
        <w:contextualSpacing/>
        <w:jc w:val="both"/>
      </w:pPr>
    </w:p>
    <w:p w:rsidR="00D4289F" w:rsidRDefault="000406E1" w:rsidP="0002677D">
      <w:pPr>
        <w:spacing w:after="0"/>
        <w:contextualSpacing/>
        <w:jc w:val="both"/>
      </w:pPr>
      <w:r w:rsidRPr="000406E1">
        <w:t>The use of different antibiotic cla</w:t>
      </w:r>
      <w:r>
        <w:t>sses in the observational study</w:t>
      </w:r>
      <w:r w:rsidRPr="000406E1">
        <w:t xml:space="preserve"> compared to the trial might be a potential limitation. </w:t>
      </w:r>
      <w:r>
        <w:t xml:space="preserve"> In this sub-study we have therefore limited the analysis to patients prescribed amoxicillin.  </w:t>
      </w:r>
      <w:r w:rsidRPr="000406E1">
        <w:t xml:space="preserve">However, </w:t>
      </w:r>
      <w:r>
        <w:t>this has reduced the available population for analysis</w:t>
      </w:r>
      <w:r w:rsidR="0002677D">
        <w:t>, leading to</w:t>
      </w:r>
      <w:r>
        <w:t xml:space="preserve"> wider confidence intervals.  </w:t>
      </w:r>
    </w:p>
    <w:p w:rsidR="004E20CF" w:rsidRDefault="004E20CF" w:rsidP="000406E1">
      <w:pPr>
        <w:spacing w:after="0"/>
        <w:contextualSpacing/>
        <w:jc w:val="both"/>
      </w:pPr>
    </w:p>
    <w:p w:rsidR="004E20CF" w:rsidRDefault="004E20CF" w:rsidP="00EA1EB2">
      <w:pPr>
        <w:spacing w:after="0"/>
        <w:contextualSpacing/>
        <w:jc w:val="both"/>
      </w:pPr>
      <w:r>
        <w:t>T</w:t>
      </w:r>
      <w:r w:rsidR="00A62924">
        <w:t>he use of propensity scores</w:t>
      </w:r>
      <w:r>
        <w:t xml:space="preserve"> as a weight in a regression model may</w:t>
      </w:r>
      <w:r w:rsidR="00A62924">
        <w:t xml:space="preserve"> </w:t>
      </w:r>
      <w:r w:rsidR="0002677D">
        <w:t>give</w:t>
      </w:r>
      <w:r w:rsidR="00A62924">
        <w:t xml:space="preserve"> confidence intervals that are too narrow,</w:t>
      </w:r>
      <w:r>
        <w:t xml:space="preserve"> </w:t>
      </w:r>
      <w:r w:rsidR="0074549D">
        <w:t xml:space="preserve">as </w:t>
      </w:r>
      <w:r>
        <w:t>uncertainty surrounding the estimation of the propensity score is not accounted for in the model.</w:t>
      </w:r>
      <w:r w:rsidR="00CE56DF">
        <w:fldChar w:fldCharType="begin"/>
      </w:r>
      <w:r w:rsidR="00EA1EB2">
        <w:instrText xml:space="preserve"> ADDIN EN.CITE &lt;EndNote&gt;&lt;Cite&gt;&lt;Author&gt;An&lt;/Author&gt;&lt;Year&gt;2010&lt;/Year&gt;&lt;RecNum&gt;28&lt;/RecNum&gt;&lt;DisplayText&gt;(27)&lt;/DisplayText&gt;&lt;record&gt;&lt;rec-number&gt;28&lt;/rec-number&gt;&lt;foreign-keys&gt;&lt;key app="EN" db-id="rpw95t5w0xp909ezfw65w0xu5frzw2255vtd" timestamp="1481539552"&gt;28&lt;/key&gt;&lt;/foreign-keys&gt;&lt;ref-type name="Journal Article"&gt;17&lt;/ref-type&gt;&lt;contributors&gt;&lt;authors&gt;&lt;author&gt;An, Weihua&lt;/author&gt;&lt;/authors&gt;&lt;/contributors&gt;&lt;titles&gt;&lt;title&gt;BAYESIAN PROPENSITY SCORE ESTIMATORS: INCORPORATING UNCERTAINTIES IN PROPENSITY SCORES INTO CAUSAL INFERENCE&lt;/title&gt;&lt;secondary-title&gt;Sociological Methodology&lt;/secondary-title&gt;&lt;/titles&gt;&lt;periodical&gt;&lt;full-title&gt;Sociological Methodology&lt;/full-title&gt;&lt;/periodical&gt;&lt;pages&gt;151-189&lt;/pages&gt;&lt;volume&gt;40&lt;/volume&gt;&lt;dates&gt;&lt;year&gt;2010&lt;/year&gt;&lt;/dates&gt;&lt;publisher&gt;[American Sociological Association, Wiley, Sage Publications, Inc.]&lt;/publisher&gt;&lt;isbn&gt;00811750, 14679531&lt;/isbn&gt;&lt;urls&gt;&lt;related-urls&gt;&lt;url&gt;http://www.jstor.org/stable/41336884&lt;/url&gt;&lt;/related-urls&gt;&lt;/urls&gt;&lt;custom1&gt;Full publication date: 2010&lt;/custom1&gt;&lt;/record&gt;&lt;/Cite&gt;&lt;/EndNote&gt;</w:instrText>
      </w:r>
      <w:r w:rsidR="00CE56DF">
        <w:fldChar w:fldCharType="separate"/>
      </w:r>
      <w:r w:rsidR="00EA1EB2">
        <w:rPr>
          <w:noProof/>
        </w:rPr>
        <w:t>(27)</w:t>
      </w:r>
      <w:r w:rsidR="00CE56DF">
        <w:fldChar w:fldCharType="end"/>
      </w:r>
      <w:r>
        <w:t xml:space="preserve">  In this </w:t>
      </w:r>
      <w:r w:rsidR="00A62924">
        <w:t>study,</w:t>
      </w:r>
      <w:r>
        <w:t xml:space="preserve"> the confidence intervals were wide</w:t>
      </w:r>
      <w:r w:rsidR="00A62924">
        <w:t xml:space="preserve"> and the results non-significant</w:t>
      </w:r>
      <w:r>
        <w:t xml:space="preserve">.  </w:t>
      </w:r>
      <w:r w:rsidR="009E416C">
        <w:t>However this may</w:t>
      </w:r>
      <w:r w:rsidR="0074549D">
        <w:t xml:space="preserve"> be an issue in larger datasets and solutions such as </w:t>
      </w:r>
      <w:r w:rsidR="009E416C">
        <w:t xml:space="preserve">Bayesian propensity score analysis </w:t>
      </w:r>
      <w:r w:rsidR="00982B89">
        <w:fldChar w:fldCharType="begin"/>
      </w:r>
      <w:r w:rsidR="00EA1EB2">
        <w:instrText xml:space="preserve"> ADDIN EN.CITE &lt;EndNote&gt;&lt;Cite&gt;&lt;Author&gt;McCandless&lt;/Author&gt;&lt;Year&gt;2007&lt;/Year&gt;&lt;RecNum&gt;16&lt;/RecNum&gt;&lt;DisplayText&gt;(28)&lt;/DisplayText&gt;&lt;record&gt;&lt;rec-number&gt;16&lt;/rec-number&gt;&lt;foreign-keys&gt;&lt;key app="EN" db-id="rpw95t5w0xp909ezfw65w0xu5frzw2255vtd" timestamp="1481488228"&gt;16&lt;/key&gt;&lt;/foreign-keys&gt;&lt;ref-type name="Thesis"&gt;32&lt;/ref-type&gt;&lt;contributors&gt;&lt;authors&gt;&lt;author&gt;McCandless, Lawrence Cruikshank&lt;/author&gt;&lt;/authors&gt;&lt;/contributors&gt;&lt;titles&gt;&lt;title&gt;Bayesian propensity score analysis of observational data&lt;/title&gt;&lt;/titles&gt;&lt;keywords&gt;&lt;keyword&gt;Thesis/Dissertation&lt;/keyword&gt;&lt;/keywords&gt;&lt;dates&gt;&lt;year&gt;2007&lt;/year&gt;&lt;/dates&gt;&lt;work-type&gt;Text&lt;/work-type&gt;&lt;urls&gt;&lt;related-urls&gt;&lt;url&gt;https://open.library.ubc.ca/collections/831/items/1.0100672&lt;/url&gt;&lt;/related-urls&gt;&lt;/urls&gt;&lt;language&gt;eng&lt;/language&gt;&lt;/record&gt;&lt;/Cite&gt;&lt;/EndNote&gt;</w:instrText>
      </w:r>
      <w:r w:rsidR="00982B89">
        <w:fldChar w:fldCharType="separate"/>
      </w:r>
      <w:r w:rsidR="00EA1EB2">
        <w:rPr>
          <w:noProof/>
        </w:rPr>
        <w:t>(28)</w:t>
      </w:r>
      <w:r w:rsidR="00982B89">
        <w:fldChar w:fldCharType="end"/>
      </w:r>
      <w:r w:rsidR="009E416C">
        <w:t xml:space="preserve">and bootstrapping </w:t>
      </w:r>
      <w:r w:rsidR="00982B89">
        <w:fldChar w:fldCharType="begin"/>
      </w:r>
      <w:r w:rsidR="00EA1EB2">
        <w:instrText xml:space="preserve"> ADDIN EN.CITE &lt;EndNote&gt;&lt;Cite&gt;&lt;Author&gt;Williamson&lt;/Author&gt;&lt;RecNum&gt;17&lt;/RecNum&gt;&lt;DisplayText&gt;(29)&lt;/DisplayText&gt;&lt;record&gt;&lt;rec-number&gt;17&lt;/rec-number&gt;&lt;foreign-keys&gt;&lt;key app="EN" db-id="rpw95t5w0xp909ezfw65w0xu5frzw2255vtd" timestamp="1481488318"&gt;17&lt;/key&gt;&lt;/foreign-keys&gt;&lt;ref-type name="Journal Article"&gt;17&lt;/ref-type&gt;&lt;contributors&gt;&lt;authors&gt;&lt;author&gt;Williamson, E. J.&lt;/author&gt;&lt;author&gt;Morley R Fau - Lucas, A.&lt;/author&gt;&lt;author&gt;Lucas A Fau - Carpenter, J. R.&lt;/author&gt;&lt;author&gt;Carpenter, J. R.&lt;/author&gt;&lt;/authors&gt;&lt;translated-authors&gt;&lt;author&gt;Stat, Med&lt;/author&gt;&lt;/translated-authors&gt;&lt;/contributors&gt;&lt;auth-address&gt;Centre for MEGA Epidemiology, School of Population Health, University of Melbourne, Melbourne, Australia. ewi@unimelb.edu.au FAU - Morley, R&lt;/auth-address&gt;&lt;titles&gt;&lt;title&gt;Variance estimation for stratified propensity score estimators&lt;/title&gt;&lt;/titles&gt;&lt;number&gt;1097-0258 (Electronic)&lt;/number&gt;&lt;dates&gt;&lt;pub-dates&gt;&lt;date&gt;20120619 DCOM- 20121023&lt;/date&gt;&lt;/pub-dates&gt;&lt;/dates&gt;&lt;urls&gt;&lt;/urls&gt;&lt;remote-database-provider&gt;2012 Jul 10&lt;/remote-database-provider&gt;&lt;language&gt;eng&lt;/language&gt;&lt;/record&gt;&lt;/Cite&gt;&lt;/EndNote&gt;</w:instrText>
      </w:r>
      <w:r w:rsidR="00982B89">
        <w:fldChar w:fldCharType="separate"/>
      </w:r>
      <w:r w:rsidR="00EA1EB2">
        <w:rPr>
          <w:noProof/>
        </w:rPr>
        <w:t>(29)</w:t>
      </w:r>
      <w:r w:rsidR="00982B89">
        <w:fldChar w:fldCharType="end"/>
      </w:r>
      <w:r w:rsidR="004040F4">
        <w:t xml:space="preserve"> </w:t>
      </w:r>
      <w:r w:rsidR="0074549D">
        <w:t>should be considered</w:t>
      </w:r>
      <w:r w:rsidR="009E416C">
        <w:t xml:space="preserve">.  </w:t>
      </w:r>
    </w:p>
    <w:p w:rsidR="00426F1D" w:rsidRDefault="00426F1D" w:rsidP="00FE78FC">
      <w:pPr>
        <w:spacing w:after="0"/>
        <w:contextualSpacing/>
        <w:jc w:val="both"/>
      </w:pPr>
    </w:p>
    <w:p w:rsidR="00FE78FC" w:rsidRPr="00A02C7F" w:rsidRDefault="00FE78FC" w:rsidP="00FE78FC">
      <w:pPr>
        <w:spacing w:after="0"/>
        <w:contextualSpacing/>
        <w:jc w:val="both"/>
        <w:rPr>
          <w:b/>
        </w:rPr>
      </w:pPr>
      <w:r>
        <w:rPr>
          <w:b/>
        </w:rPr>
        <w:t>Comparison with existing literature</w:t>
      </w:r>
    </w:p>
    <w:p w:rsidR="00FE78FC" w:rsidRDefault="00FE78FC" w:rsidP="0002677D">
      <w:pPr>
        <w:spacing w:after="0"/>
        <w:contextualSpacing/>
        <w:jc w:val="both"/>
      </w:pPr>
      <w:r>
        <w:t xml:space="preserve">To the best of our knowledge, this is the first study to compare the same outcomes from different study designs in such similar settings, inclusion criteria and outcome measures. This, combined with the detailed information we had </w:t>
      </w:r>
      <w:r w:rsidR="00B548A8">
        <w:t xml:space="preserve">from the patients, </w:t>
      </w:r>
      <w:r w:rsidR="00423BF5">
        <w:t>created</w:t>
      </w:r>
      <w:r w:rsidR="00B548A8">
        <w:t xml:space="preserve"> an ideal opportunity t</w:t>
      </w:r>
      <w:r>
        <w:t xml:space="preserve">o </w:t>
      </w:r>
      <w:r w:rsidR="00B548A8">
        <w:t xml:space="preserve">explore the utility of </w:t>
      </w:r>
      <w:r>
        <w:t>propensity score</w:t>
      </w:r>
      <w:r w:rsidR="00B548A8">
        <w:t xml:space="preserve"> weights to enable causal inference from observational data</w:t>
      </w:r>
      <w:r w:rsidR="00104220">
        <w:t xml:space="preserve"> and to</w:t>
      </w:r>
      <w:r w:rsidR="00B548A8">
        <w:t xml:space="preserve"> explore the generalisability of the RCT findings.  </w:t>
      </w:r>
    </w:p>
    <w:p w:rsidR="00FE78FC" w:rsidRDefault="00FE78FC" w:rsidP="00FE78FC">
      <w:pPr>
        <w:spacing w:after="0"/>
        <w:contextualSpacing/>
        <w:jc w:val="both"/>
      </w:pPr>
    </w:p>
    <w:p w:rsidR="00FE78FC" w:rsidRPr="00A02C7F" w:rsidRDefault="00FE78FC" w:rsidP="00FE78FC">
      <w:pPr>
        <w:spacing w:after="0"/>
        <w:contextualSpacing/>
        <w:jc w:val="both"/>
        <w:rPr>
          <w:b/>
        </w:rPr>
      </w:pPr>
      <w:r>
        <w:rPr>
          <w:b/>
        </w:rPr>
        <w:lastRenderedPageBreak/>
        <w:t>Implications for research</w:t>
      </w:r>
    </w:p>
    <w:p w:rsidR="00AD35D6" w:rsidRPr="008B7CC1" w:rsidRDefault="00B31C3F" w:rsidP="004F15E4">
      <w:pPr>
        <w:spacing w:after="0"/>
        <w:contextualSpacing/>
        <w:jc w:val="both"/>
        <w:rPr>
          <w:rFonts w:cs="Calibri"/>
        </w:rPr>
      </w:pPr>
      <w:r>
        <w:t>This</w:t>
      </w:r>
      <w:r w:rsidR="00FE78FC">
        <w:t xml:space="preserve"> study </w:t>
      </w:r>
      <w:r w:rsidRPr="008B7CC1">
        <w:rPr>
          <w:rFonts w:cs="Calibri"/>
        </w:rPr>
        <w:t xml:space="preserve">shows that </w:t>
      </w:r>
      <w:r w:rsidR="00AD35D6" w:rsidRPr="008B7CC1">
        <w:rPr>
          <w:rFonts w:cs="Calibri"/>
        </w:rPr>
        <w:t>it is possible to obtain estimates of treatment</w:t>
      </w:r>
      <w:r w:rsidR="00FE78FC" w:rsidRPr="008B7CC1">
        <w:rPr>
          <w:rFonts w:cs="Calibri"/>
        </w:rPr>
        <w:t xml:space="preserve"> effect </w:t>
      </w:r>
      <w:r w:rsidRPr="008B7CC1">
        <w:rPr>
          <w:rFonts w:cs="Calibri"/>
        </w:rPr>
        <w:t xml:space="preserve">in observational data </w:t>
      </w:r>
      <w:r w:rsidR="00FE78FC" w:rsidRPr="008B7CC1">
        <w:rPr>
          <w:rFonts w:cs="Calibri"/>
        </w:rPr>
        <w:t xml:space="preserve">that </w:t>
      </w:r>
      <w:r w:rsidR="00AD35D6" w:rsidRPr="008B7CC1">
        <w:rPr>
          <w:rFonts w:cs="Calibri"/>
        </w:rPr>
        <w:t xml:space="preserve">are comparable to </w:t>
      </w:r>
      <w:r w:rsidRPr="008B7CC1">
        <w:rPr>
          <w:rFonts w:cs="Calibri"/>
        </w:rPr>
        <w:t>e</w:t>
      </w:r>
      <w:r w:rsidR="00FE78FC" w:rsidRPr="008B7CC1">
        <w:rPr>
          <w:rFonts w:cs="Calibri"/>
        </w:rPr>
        <w:t xml:space="preserve">stimates from </w:t>
      </w:r>
      <w:r w:rsidRPr="008B7CC1">
        <w:rPr>
          <w:rFonts w:cs="Calibri"/>
        </w:rPr>
        <w:t>RCTs</w:t>
      </w:r>
      <w:r w:rsidR="00FE78FC" w:rsidRPr="008B7CC1">
        <w:rPr>
          <w:rFonts w:cs="Calibri"/>
        </w:rPr>
        <w:t xml:space="preserve">. </w:t>
      </w:r>
      <w:r w:rsidR="00FE78FC">
        <w:t xml:space="preserve">In general, observational studies are expected to yield </w:t>
      </w:r>
      <w:r w:rsidR="00813320">
        <w:t xml:space="preserve">different results to trials </w:t>
      </w:r>
      <w:r w:rsidR="00FE78FC">
        <w:t>because of confounding, but also because of a different setting</w:t>
      </w:r>
      <w:r w:rsidR="003B2C30">
        <w:t xml:space="preserve"> or context, and differing behaviour of both health professionals and patients</w:t>
      </w:r>
      <w:r w:rsidR="00FE78FC">
        <w:t>. The GRACE study design</w:t>
      </w:r>
      <w:r w:rsidR="00756BB5">
        <w:t>,</w:t>
      </w:r>
      <w:r w:rsidR="00FE78FC">
        <w:t xml:space="preserve"> however</w:t>
      </w:r>
      <w:r w:rsidR="00756BB5">
        <w:t>,</w:t>
      </w:r>
      <w:r w:rsidR="00FE78FC">
        <w:t xml:space="preserve"> made it possible to look solely at </w:t>
      </w:r>
      <w:r w:rsidR="00756BB5">
        <w:t xml:space="preserve">whether it is possible to account for </w:t>
      </w:r>
      <w:r w:rsidR="00FE78FC">
        <w:t>confounding</w:t>
      </w:r>
      <w:r w:rsidR="00756BB5">
        <w:t xml:space="preserve"> by indication sufficiently to allow causal inferences in observational data.  </w:t>
      </w:r>
      <w:r w:rsidR="00FE78FC">
        <w:t xml:space="preserve">This study is therefore a contribution to </w:t>
      </w:r>
      <w:r w:rsidR="00FE78FC" w:rsidRPr="008B7CC1">
        <w:rPr>
          <w:rFonts w:cs="Calibri"/>
        </w:rPr>
        <w:t>the assessment of the merits of observational and randomized studies:</w:t>
      </w:r>
      <w:r w:rsidR="00813320" w:rsidRPr="008B7CC1">
        <w:rPr>
          <w:rFonts w:cs="Calibri"/>
        </w:rPr>
        <w:t xml:space="preserve"> observational studies using</w:t>
      </w:r>
      <w:r w:rsidR="00FE78FC" w:rsidRPr="008B7CC1">
        <w:rPr>
          <w:rFonts w:cs="Calibri"/>
        </w:rPr>
        <w:t xml:space="preserve"> </w:t>
      </w:r>
      <w:r w:rsidR="00E95AC4">
        <w:rPr>
          <w:rFonts w:cs="Calibri"/>
        </w:rPr>
        <w:t xml:space="preserve">appropriate </w:t>
      </w:r>
      <w:r w:rsidR="004F15E4">
        <w:rPr>
          <w:rFonts w:cs="Calibri"/>
        </w:rPr>
        <w:t>methods to control for confounding by indication</w:t>
      </w:r>
      <w:r w:rsidR="00FE78FC" w:rsidRPr="008B7CC1">
        <w:rPr>
          <w:rFonts w:cs="Calibri"/>
        </w:rPr>
        <w:t xml:space="preserve"> can sometimes be an acceptable alternative </w:t>
      </w:r>
      <w:r w:rsidR="00813320" w:rsidRPr="008B7CC1">
        <w:rPr>
          <w:rFonts w:cs="Calibri"/>
        </w:rPr>
        <w:t>to RCTs</w:t>
      </w:r>
      <w:r w:rsidR="00FE78FC" w:rsidRPr="008B7CC1">
        <w:rPr>
          <w:rFonts w:cs="Calibri"/>
        </w:rPr>
        <w:t>.</w:t>
      </w:r>
      <w:r w:rsidR="00756BB5" w:rsidRPr="008B7CC1">
        <w:rPr>
          <w:rFonts w:cs="Calibri"/>
        </w:rPr>
        <w:t xml:space="preserve">  </w:t>
      </w:r>
    </w:p>
    <w:p w:rsidR="00AD35D6" w:rsidRPr="008B7CC1" w:rsidRDefault="00AD35D6" w:rsidP="00AD35D6">
      <w:pPr>
        <w:spacing w:after="0"/>
        <w:contextualSpacing/>
        <w:jc w:val="both"/>
        <w:rPr>
          <w:rFonts w:cs="Calibri"/>
        </w:rPr>
      </w:pPr>
    </w:p>
    <w:p w:rsidR="00FE78FC" w:rsidRDefault="00AD35D6" w:rsidP="0002677D">
      <w:pPr>
        <w:spacing w:after="0"/>
        <w:contextualSpacing/>
        <w:jc w:val="both"/>
      </w:pPr>
      <w:r w:rsidRPr="008B7CC1">
        <w:rPr>
          <w:rFonts w:cs="Calibri"/>
        </w:rPr>
        <w:t>It also confirms the</w:t>
      </w:r>
      <w:r w:rsidR="0002677D">
        <w:rPr>
          <w:rFonts w:cs="Calibri"/>
        </w:rPr>
        <w:t xml:space="preserve"> RCT</w:t>
      </w:r>
      <w:r w:rsidRPr="008B7CC1">
        <w:rPr>
          <w:rFonts w:cs="Calibri"/>
        </w:rPr>
        <w:t xml:space="preserve"> result showing a lack of benefit of amoxicillin can be replicated in a population of similar patients who were unwilling to be randomised.  This suggests that the result i</w:t>
      </w:r>
      <w:r w:rsidR="00C20310" w:rsidRPr="008B7CC1">
        <w:rPr>
          <w:rFonts w:cs="Calibri"/>
        </w:rPr>
        <w:t>s</w:t>
      </w:r>
      <w:r w:rsidRPr="008B7CC1">
        <w:rPr>
          <w:rFonts w:cs="Calibri"/>
        </w:rPr>
        <w:t xml:space="preserve"> generalizable beyond the trial population.  </w:t>
      </w:r>
    </w:p>
    <w:p w:rsidR="00FE78FC" w:rsidRPr="008B7CC1" w:rsidRDefault="00FE78FC" w:rsidP="00FE78FC">
      <w:pPr>
        <w:spacing w:after="0"/>
        <w:jc w:val="both"/>
        <w:rPr>
          <w:rFonts w:cs="Calibri"/>
        </w:rPr>
      </w:pPr>
    </w:p>
    <w:p w:rsidR="00FE78FC" w:rsidRPr="00A02C7F" w:rsidRDefault="00FE78FC" w:rsidP="00FE78FC">
      <w:pPr>
        <w:spacing w:after="0"/>
      </w:pPr>
      <w:r>
        <w:rPr>
          <w:b/>
        </w:rPr>
        <w:t>Funding</w:t>
      </w:r>
    </w:p>
    <w:p w:rsidR="00FE78FC" w:rsidRDefault="00FE78FC" w:rsidP="00FE78FC">
      <w:pPr>
        <w:spacing w:after="0"/>
      </w:pPr>
      <w:r w:rsidRPr="00A02C7F">
        <w:t xml:space="preserve">Funding was from the European Commission Framework Programme 6 (LSHM-CT-2005-518226). </w:t>
      </w:r>
      <w:proofErr w:type="spellStart"/>
      <w:proofErr w:type="gramStart"/>
      <w:r w:rsidRPr="00A02C7F">
        <w:t>Eudract</w:t>
      </w:r>
      <w:proofErr w:type="spellEnd"/>
      <w:r w:rsidRPr="00A02C7F">
        <w:t>-CT 2007-001586-15 UKCRN Portfolio ID 4175 ISRCTN52261229 FWO G.0274.08N.</w:t>
      </w:r>
      <w:proofErr w:type="gramEnd"/>
      <w:r w:rsidRPr="00A02C7F">
        <w:t xml:space="preserve"> The researchers are independent of all funders. The work in the UK was also supported by the National Institute for Health Research. In Barcelona, the work was supported by: 2009 SGR 911, </w:t>
      </w:r>
      <w:proofErr w:type="spellStart"/>
      <w:r w:rsidRPr="00A02C7F">
        <w:t>Ciber</w:t>
      </w:r>
      <w:proofErr w:type="spellEnd"/>
      <w:r w:rsidRPr="00A02C7F">
        <w:t xml:space="preserve"> de </w:t>
      </w:r>
      <w:proofErr w:type="spellStart"/>
      <w:r w:rsidRPr="00A02C7F">
        <w:t>Enfermedades</w:t>
      </w:r>
      <w:proofErr w:type="spellEnd"/>
      <w:r w:rsidRPr="00A02C7F">
        <w:t xml:space="preserve"> </w:t>
      </w:r>
      <w:proofErr w:type="spellStart"/>
      <w:r w:rsidRPr="00A02C7F">
        <w:t>Respiratorias</w:t>
      </w:r>
      <w:proofErr w:type="spellEnd"/>
      <w:r w:rsidRPr="00A02C7F">
        <w:t xml:space="preserve"> (</w:t>
      </w:r>
      <w:proofErr w:type="spellStart"/>
      <w:r w:rsidRPr="00A02C7F">
        <w:t>Ciberes</w:t>
      </w:r>
      <w:proofErr w:type="spellEnd"/>
      <w:r w:rsidRPr="00A02C7F">
        <w:t xml:space="preserve"> CB06/06/0028), the </w:t>
      </w:r>
      <w:proofErr w:type="spellStart"/>
      <w:r w:rsidRPr="00A02C7F">
        <w:t>Ciberes</w:t>
      </w:r>
      <w:proofErr w:type="spellEnd"/>
      <w:r w:rsidRPr="00A02C7F">
        <w:t xml:space="preserve"> is an </w:t>
      </w:r>
      <w:proofErr w:type="spellStart"/>
      <w:r w:rsidRPr="00A02C7F">
        <w:t>initative</w:t>
      </w:r>
      <w:proofErr w:type="spellEnd"/>
      <w:r w:rsidRPr="00A02C7F">
        <w:t xml:space="preserve"> of the ISCIII. In Flanders (Belgium), this work was supported by the Research Foundation—Flanders (FWO; G.0274.08N). The South East Wales Trials Unit is funded by the National Institute for Social Care and Health Research (NISCHR).</w:t>
      </w:r>
    </w:p>
    <w:p w:rsidR="00FE78FC" w:rsidRPr="00A02C7F" w:rsidRDefault="00FE78FC" w:rsidP="00FE78FC">
      <w:pPr>
        <w:spacing w:after="0"/>
      </w:pPr>
    </w:p>
    <w:p w:rsidR="00FE78FC" w:rsidRPr="00D9240E" w:rsidRDefault="00FE78FC" w:rsidP="00FE78FC">
      <w:pPr>
        <w:spacing w:after="0"/>
        <w:rPr>
          <w:b/>
        </w:rPr>
      </w:pPr>
      <w:r>
        <w:rPr>
          <w:b/>
        </w:rPr>
        <w:t>Ethical approval</w:t>
      </w:r>
    </w:p>
    <w:p w:rsidR="00FE78FC" w:rsidRDefault="00FE78FC" w:rsidP="00FE78FC">
      <w:pPr>
        <w:spacing w:after="0"/>
      </w:pPr>
      <w:r>
        <w:t xml:space="preserve">The study was approved by ethics committees in all participating countries. The competent authority in each country also gave their approval. Patients who fulfilled the inclusion criteria were given written and verbal information on the study and provided written informed consent. For full ethics statements, see the original articles of Little et al </w:t>
      </w:r>
      <w:r w:rsidRPr="008937E8">
        <w:t>(9)</w:t>
      </w:r>
      <w:r>
        <w:t xml:space="preserve"> and Butler et al (6). </w:t>
      </w:r>
    </w:p>
    <w:p w:rsidR="00FE78FC" w:rsidRPr="008B7CC1" w:rsidRDefault="00FE78FC" w:rsidP="00FE78FC">
      <w:pPr>
        <w:spacing w:after="0"/>
        <w:jc w:val="both"/>
        <w:rPr>
          <w:rFonts w:cs="Calibri"/>
        </w:rPr>
      </w:pPr>
      <w:r>
        <w:t>The trial is registered with EudraCT (2007-001586-15), UKCRN Portfolio (ID 4175), ISRCTN (52261229), and FWO (G.0274.08N).</w:t>
      </w:r>
    </w:p>
    <w:p w:rsidR="00FE78FC" w:rsidRPr="008B7CC1" w:rsidRDefault="00FE78FC" w:rsidP="00FE78FC">
      <w:pPr>
        <w:spacing w:after="0"/>
        <w:jc w:val="both"/>
        <w:rPr>
          <w:rFonts w:cs="Calibri"/>
        </w:rPr>
      </w:pPr>
    </w:p>
    <w:p w:rsidR="00FE78FC" w:rsidRPr="008B7CC1" w:rsidRDefault="00FE78FC" w:rsidP="00FE78FC">
      <w:pPr>
        <w:spacing w:after="0"/>
        <w:jc w:val="both"/>
        <w:rPr>
          <w:rFonts w:cs="Calibri"/>
        </w:rPr>
      </w:pPr>
      <w:r w:rsidRPr="008B7CC1">
        <w:rPr>
          <w:rFonts w:cs="Calibri"/>
          <w:b/>
        </w:rPr>
        <w:t>Competing interests</w:t>
      </w:r>
    </w:p>
    <w:p w:rsidR="00FE78FC" w:rsidRPr="008B7CC1" w:rsidRDefault="00FE78FC" w:rsidP="00FE78FC">
      <w:pPr>
        <w:spacing w:after="0"/>
        <w:jc w:val="both"/>
        <w:rPr>
          <w:rFonts w:cs="Calibri"/>
        </w:rPr>
      </w:pPr>
      <w:r w:rsidRPr="008B7CC1">
        <w:rPr>
          <w:rFonts w:cs="Calibri"/>
        </w:rPr>
        <w:t>None declared</w:t>
      </w:r>
    </w:p>
    <w:p w:rsidR="00FE78FC" w:rsidRPr="008B7CC1" w:rsidRDefault="00FE78FC" w:rsidP="00FE78FC">
      <w:pPr>
        <w:spacing w:after="0"/>
        <w:jc w:val="both"/>
        <w:rPr>
          <w:rFonts w:cs="Calibri"/>
        </w:rPr>
      </w:pPr>
    </w:p>
    <w:p w:rsidR="00FE78FC" w:rsidRPr="008B7CC1" w:rsidRDefault="00FE78FC" w:rsidP="00FE78FC">
      <w:pPr>
        <w:spacing w:after="0"/>
        <w:jc w:val="both"/>
        <w:rPr>
          <w:rFonts w:cs="Calibri"/>
          <w:b/>
        </w:rPr>
      </w:pPr>
      <w:r w:rsidRPr="008B7CC1">
        <w:rPr>
          <w:rFonts w:cs="Calibri"/>
          <w:b/>
        </w:rPr>
        <w:t>Acknowledgements</w:t>
      </w:r>
    </w:p>
    <w:p w:rsidR="00FE78FC" w:rsidRPr="008B7CC1" w:rsidRDefault="00FE78FC" w:rsidP="00FE78FC">
      <w:pPr>
        <w:spacing w:after="0"/>
        <w:jc w:val="both"/>
        <w:rPr>
          <w:rFonts w:cs="Calibri"/>
        </w:rPr>
      </w:pPr>
      <w:r w:rsidRPr="008B7CC1">
        <w:rPr>
          <w:rFonts w:cs="Calibri"/>
        </w:rPr>
        <w:t>We gratefully acknowledge all participating patients, GP’s and other professional participants who contributed to the GRACE study.</w:t>
      </w:r>
    </w:p>
    <w:p w:rsidR="00D73A71" w:rsidRPr="008B7CC1" w:rsidRDefault="00D73A71" w:rsidP="00FE78FC">
      <w:pPr>
        <w:spacing w:after="0"/>
        <w:jc w:val="both"/>
        <w:rPr>
          <w:rFonts w:cs="Calibri"/>
        </w:rPr>
      </w:pPr>
    </w:p>
    <w:p w:rsidR="00D73A71" w:rsidRPr="008B7CC1" w:rsidRDefault="00D73A71" w:rsidP="00FE78FC">
      <w:pPr>
        <w:spacing w:after="0"/>
        <w:jc w:val="both"/>
        <w:rPr>
          <w:rFonts w:cs="Calibri"/>
          <w:b/>
          <w:bCs/>
        </w:rPr>
      </w:pPr>
      <w:r w:rsidRPr="008B7CC1">
        <w:rPr>
          <w:rFonts w:cs="Calibri"/>
          <w:b/>
          <w:bCs/>
        </w:rPr>
        <w:t xml:space="preserve">Tables </w:t>
      </w:r>
    </w:p>
    <w:p w:rsidR="00FA069C" w:rsidRDefault="00FA069C" w:rsidP="00D73A71">
      <w:pPr>
        <w:spacing w:after="0"/>
        <w:jc w:val="both"/>
      </w:pPr>
    </w:p>
    <w:p w:rsidR="00D73A71" w:rsidRPr="00FA069C" w:rsidRDefault="00D73A71" w:rsidP="00FA069C">
      <w:pPr>
        <w:pStyle w:val="Caption"/>
        <w:keepNext/>
        <w:rPr>
          <w:sz w:val="22"/>
          <w:szCs w:val="22"/>
        </w:rPr>
      </w:pPr>
      <w:r w:rsidRPr="00FA069C">
        <w:rPr>
          <w:sz w:val="22"/>
          <w:szCs w:val="22"/>
        </w:rPr>
        <w:t xml:space="preserve">Table </w:t>
      </w:r>
      <w:r w:rsidRPr="00FA069C">
        <w:rPr>
          <w:sz w:val="22"/>
          <w:szCs w:val="22"/>
        </w:rPr>
        <w:fldChar w:fldCharType="begin"/>
      </w:r>
      <w:r w:rsidRPr="00FA069C">
        <w:rPr>
          <w:sz w:val="22"/>
          <w:szCs w:val="22"/>
        </w:rPr>
        <w:instrText xml:space="preserve"> SEQ Table \* ARABIC </w:instrText>
      </w:r>
      <w:r w:rsidRPr="00FA069C">
        <w:rPr>
          <w:sz w:val="22"/>
          <w:szCs w:val="22"/>
        </w:rPr>
        <w:fldChar w:fldCharType="separate"/>
      </w:r>
      <w:r w:rsidRPr="00FA069C">
        <w:rPr>
          <w:sz w:val="22"/>
          <w:szCs w:val="22"/>
        </w:rPr>
        <w:t>1</w:t>
      </w:r>
      <w:r w:rsidRPr="00FA069C">
        <w:rPr>
          <w:sz w:val="22"/>
          <w:szCs w:val="22"/>
        </w:rPr>
        <w:fldChar w:fldCharType="end"/>
      </w:r>
      <w:r w:rsidRPr="00FA069C">
        <w:rPr>
          <w:sz w:val="22"/>
          <w:szCs w:val="22"/>
        </w:rPr>
        <w:t xml:space="preserve"> List of variables used for the propensity score</w:t>
      </w:r>
    </w:p>
    <w:tbl>
      <w:tblPr>
        <w:tblW w:w="0" w:type="auto"/>
        <w:tblBorders>
          <w:top w:val="single" w:sz="8" w:space="0" w:color="000000"/>
          <w:bottom w:val="single" w:sz="8" w:space="0" w:color="000000"/>
        </w:tblBorders>
        <w:tblLook w:val="04A0" w:firstRow="1" w:lastRow="0" w:firstColumn="1" w:lastColumn="0" w:noHBand="0" w:noVBand="1"/>
      </w:tblPr>
      <w:tblGrid>
        <w:gridCol w:w="3794"/>
      </w:tblGrid>
      <w:tr w:rsidR="00D73A71" w:rsidRPr="008B7CC1" w:rsidTr="008B7CC1">
        <w:tc>
          <w:tcPr>
            <w:tcW w:w="3794" w:type="dxa"/>
            <w:tcBorders>
              <w:top w:val="single" w:sz="8" w:space="0" w:color="000000"/>
              <w:bottom w:val="single" w:sz="8" w:space="0" w:color="000000"/>
            </w:tcBorders>
            <w:shd w:val="clear" w:color="auto" w:fill="auto"/>
          </w:tcPr>
          <w:p w:rsidR="00D73A71" w:rsidRPr="008B7CC1" w:rsidRDefault="00D73A71" w:rsidP="008B7CC1">
            <w:pPr>
              <w:spacing w:after="0" w:line="240" w:lineRule="auto"/>
              <w:rPr>
                <w:rFonts w:eastAsia="Calibri"/>
                <w:b/>
                <w:bCs/>
                <w:color w:val="000000"/>
                <w:lang w:val="en-US" w:eastAsia="en-US"/>
              </w:rPr>
            </w:pPr>
            <w:r w:rsidRPr="008B7CC1">
              <w:rPr>
                <w:rFonts w:eastAsia="Calibri"/>
                <w:b/>
                <w:bCs/>
                <w:color w:val="000000"/>
                <w:lang w:val="en-US" w:eastAsia="en-US"/>
              </w:rPr>
              <w:t>Variables in Propensity Score</w:t>
            </w:r>
          </w:p>
        </w:tc>
      </w:tr>
      <w:tr w:rsidR="00D73A71" w:rsidRPr="008B7CC1" w:rsidTr="008B7CC1">
        <w:tc>
          <w:tcPr>
            <w:tcW w:w="3794" w:type="dxa"/>
            <w:shd w:val="clear" w:color="auto" w:fill="C0C0C0"/>
          </w:tcPr>
          <w:p w:rsidR="00D73A71" w:rsidRPr="008B7CC1" w:rsidRDefault="00D73A71" w:rsidP="008B7CC1">
            <w:pPr>
              <w:spacing w:after="0" w:line="240" w:lineRule="auto"/>
              <w:rPr>
                <w:rFonts w:eastAsia="Calibri"/>
                <w:bCs/>
                <w:color w:val="000000"/>
                <w:lang w:val="en-US" w:eastAsia="en-US"/>
              </w:rPr>
            </w:pPr>
            <w:r w:rsidRPr="008B7CC1">
              <w:rPr>
                <w:rFonts w:eastAsia="Times New Roman" w:cs="Calibri"/>
                <w:bCs/>
                <w:color w:val="000000"/>
                <w:lang w:val="en-US" w:eastAsia="en-US"/>
              </w:rPr>
              <w:lastRenderedPageBreak/>
              <w:t>Age</w:t>
            </w:r>
          </w:p>
        </w:tc>
      </w:tr>
      <w:tr w:rsidR="00D73A71" w:rsidRPr="008B7CC1" w:rsidTr="008B7CC1">
        <w:tc>
          <w:tcPr>
            <w:tcW w:w="3794" w:type="dxa"/>
            <w:shd w:val="clear" w:color="auto" w:fill="auto"/>
          </w:tcPr>
          <w:p w:rsidR="00D73A71" w:rsidRPr="008B7CC1" w:rsidRDefault="00D73A71" w:rsidP="008B7CC1">
            <w:pPr>
              <w:spacing w:after="0" w:line="240" w:lineRule="auto"/>
              <w:rPr>
                <w:rFonts w:eastAsia="Calibri"/>
                <w:bCs/>
                <w:color w:val="000000"/>
                <w:lang w:val="en-US" w:eastAsia="en-US"/>
              </w:rPr>
            </w:pPr>
            <w:r w:rsidRPr="008B7CC1">
              <w:rPr>
                <w:rFonts w:eastAsia="Times New Roman" w:cs="Calibri"/>
                <w:color w:val="000000"/>
                <w:lang w:val="en-US" w:eastAsia="en-US"/>
              </w:rPr>
              <w:t>Duration of illness prior to consultation</w:t>
            </w:r>
          </w:p>
        </w:tc>
      </w:tr>
      <w:tr w:rsidR="00D73A71" w:rsidRPr="008B7CC1" w:rsidTr="008B7CC1">
        <w:tc>
          <w:tcPr>
            <w:tcW w:w="3794" w:type="dxa"/>
            <w:shd w:val="clear" w:color="auto" w:fill="C0C0C0"/>
          </w:tcPr>
          <w:p w:rsidR="00D73A71" w:rsidRPr="008B7CC1" w:rsidRDefault="00D73A71" w:rsidP="008B7CC1">
            <w:pPr>
              <w:spacing w:after="0" w:line="240" w:lineRule="auto"/>
              <w:rPr>
                <w:rFonts w:eastAsia="Calibri"/>
                <w:bCs/>
                <w:color w:val="000000"/>
                <w:lang w:val="en-US" w:eastAsia="en-US"/>
              </w:rPr>
            </w:pPr>
            <w:r w:rsidRPr="008B7CC1">
              <w:rPr>
                <w:rFonts w:eastAsia="Times New Roman" w:cs="Calibri"/>
                <w:color w:val="000000"/>
                <w:lang w:val="en-US" w:eastAsia="en-US"/>
              </w:rPr>
              <w:t>Duration of cough prior to consultation</w:t>
            </w:r>
          </w:p>
        </w:tc>
      </w:tr>
      <w:tr w:rsidR="00D73A71" w:rsidRPr="008B7CC1" w:rsidTr="008B7CC1">
        <w:tc>
          <w:tcPr>
            <w:tcW w:w="3794" w:type="dxa"/>
            <w:shd w:val="clear" w:color="auto" w:fill="auto"/>
          </w:tcPr>
          <w:p w:rsidR="00D73A71" w:rsidRPr="008B7CC1" w:rsidRDefault="00D73A71" w:rsidP="008B7CC1">
            <w:pPr>
              <w:spacing w:after="0" w:line="240" w:lineRule="auto"/>
              <w:rPr>
                <w:rFonts w:eastAsia="Calibri"/>
                <w:bCs/>
                <w:color w:val="000000"/>
                <w:lang w:val="en-US" w:eastAsia="en-US"/>
              </w:rPr>
            </w:pPr>
            <w:r w:rsidRPr="008B7CC1">
              <w:rPr>
                <w:rFonts w:eastAsia="Times New Roman" w:cs="Calibri"/>
                <w:bCs/>
                <w:color w:val="000000"/>
                <w:lang w:val="en-US" w:eastAsia="en-US"/>
              </w:rPr>
              <w:t>Breaths per minute</w:t>
            </w:r>
          </w:p>
        </w:tc>
      </w:tr>
      <w:tr w:rsidR="00D73A71" w:rsidRPr="008B7CC1" w:rsidTr="008B7CC1">
        <w:tc>
          <w:tcPr>
            <w:tcW w:w="3794" w:type="dxa"/>
            <w:shd w:val="clear" w:color="auto" w:fill="C0C0C0"/>
          </w:tcPr>
          <w:p w:rsidR="00D73A71" w:rsidRPr="008B7CC1" w:rsidRDefault="00D73A71" w:rsidP="008B7CC1">
            <w:pPr>
              <w:spacing w:after="0" w:line="240" w:lineRule="auto"/>
              <w:rPr>
                <w:rFonts w:eastAsia="Times New Roman" w:cs="Calibri"/>
                <w:b/>
                <w:bCs/>
                <w:color w:val="000000"/>
                <w:lang w:val="en-US" w:eastAsia="en-US"/>
              </w:rPr>
            </w:pPr>
            <w:r w:rsidRPr="008B7CC1">
              <w:rPr>
                <w:rFonts w:eastAsia="Times New Roman" w:cs="Calibri"/>
                <w:bCs/>
                <w:color w:val="000000"/>
                <w:lang w:val="en-US" w:eastAsia="en-US"/>
              </w:rPr>
              <w:t>Pulse rate</w:t>
            </w:r>
          </w:p>
        </w:tc>
      </w:tr>
      <w:tr w:rsidR="00D73A71" w:rsidRPr="008B7CC1" w:rsidTr="008B7CC1">
        <w:tc>
          <w:tcPr>
            <w:tcW w:w="3794" w:type="dxa"/>
            <w:shd w:val="clear" w:color="auto" w:fill="auto"/>
          </w:tcPr>
          <w:p w:rsidR="00D73A71" w:rsidRPr="008B7CC1" w:rsidRDefault="00D73A71" w:rsidP="008B7CC1">
            <w:pPr>
              <w:spacing w:after="0" w:line="240" w:lineRule="auto"/>
              <w:rPr>
                <w:rFonts w:eastAsia="Times New Roman" w:cs="Calibri"/>
                <w:b/>
                <w:bCs/>
                <w:color w:val="000000"/>
                <w:lang w:val="en-US" w:eastAsia="en-US"/>
              </w:rPr>
            </w:pPr>
            <w:r w:rsidRPr="008B7CC1">
              <w:rPr>
                <w:rFonts w:eastAsia="Times New Roman" w:cs="Calibri"/>
                <w:bCs/>
                <w:color w:val="000000"/>
                <w:lang w:val="en-US" w:eastAsia="en-US"/>
              </w:rPr>
              <w:t>Abnormalities at Auscultation</w:t>
            </w:r>
          </w:p>
        </w:tc>
      </w:tr>
      <w:tr w:rsidR="00D73A71" w:rsidRPr="008B7CC1" w:rsidTr="008B7CC1">
        <w:tc>
          <w:tcPr>
            <w:tcW w:w="3794" w:type="dxa"/>
            <w:shd w:val="clear" w:color="auto" w:fill="C0C0C0"/>
          </w:tcPr>
          <w:p w:rsidR="00D73A71" w:rsidRPr="008B7CC1" w:rsidRDefault="00D73A71" w:rsidP="008B7CC1">
            <w:pPr>
              <w:spacing w:after="0" w:line="240" w:lineRule="auto"/>
              <w:rPr>
                <w:rFonts w:eastAsia="Times New Roman" w:cs="Calibri"/>
                <w:b/>
                <w:bCs/>
                <w:color w:val="000000"/>
                <w:lang w:val="en-US" w:eastAsia="en-US"/>
              </w:rPr>
            </w:pPr>
            <w:r w:rsidRPr="008B7CC1">
              <w:rPr>
                <w:rFonts w:eastAsia="Times New Roman" w:cs="Calibri"/>
                <w:color w:val="000000"/>
                <w:lang w:val="en-US" w:eastAsia="en-US"/>
              </w:rPr>
              <w:t>Low blood pressure</w:t>
            </w:r>
          </w:p>
        </w:tc>
      </w:tr>
      <w:tr w:rsidR="00D73A71" w:rsidRPr="008B7CC1" w:rsidTr="008B7CC1">
        <w:tc>
          <w:tcPr>
            <w:tcW w:w="3794" w:type="dxa"/>
            <w:shd w:val="clear" w:color="auto" w:fill="auto"/>
          </w:tcPr>
          <w:p w:rsidR="00D73A71" w:rsidRPr="008B7CC1" w:rsidRDefault="00D73A71" w:rsidP="008B7CC1">
            <w:pPr>
              <w:spacing w:after="0" w:line="240" w:lineRule="auto"/>
              <w:rPr>
                <w:rFonts w:eastAsia="Times New Roman" w:cs="Calibri"/>
                <w:b/>
                <w:bCs/>
                <w:color w:val="000000"/>
                <w:lang w:val="en-US" w:eastAsia="en-US"/>
              </w:rPr>
            </w:pPr>
            <w:r w:rsidRPr="008B7CC1">
              <w:rPr>
                <w:rFonts w:eastAsia="Times New Roman" w:cs="Calibri"/>
                <w:bCs/>
                <w:color w:val="000000"/>
                <w:lang w:val="en-US" w:eastAsia="en-US"/>
              </w:rPr>
              <w:t>Temperature</w:t>
            </w:r>
          </w:p>
        </w:tc>
      </w:tr>
      <w:tr w:rsidR="00D73A71" w:rsidRPr="008B7CC1" w:rsidTr="008B7CC1">
        <w:tc>
          <w:tcPr>
            <w:tcW w:w="3794" w:type="dxa"/>
            <w:shd w:val="clear" w:color="auto" w:fill="C0C0C0"/>
          </w:tcPr>
          <w:p w:rsidR="00D73A71" w:rsidRPr="008B7CC1" w:rsidRDefault="00D73A71" w:rsidP="008B7CC1">
            <w:pPr>
              <w:spacing w:after="0" w:line="240" w:lineRule="auto"/>
              <w:rPr>
                <w:rFonts w:eastAsia="Times New Roman" w:cs="Calibri"/>
                <w:b/>
                <w:bCs/>
                <w:color w:val="000000"/>
                <w:lang w:val="en-US" w:eastAsia="en-US"/>
              </w:rPr>
            </w:pPr>
            <w:r w:rsidRPr="008B7CC1">
              <w:rPr>
                <w:rFonts w:eastAsia="Times New Roman" w:cs="Calibri"/>
                <w:bCs/>
                <w:color w:val="000000"/>
                <w:lang w:val="en-US" w:eastAsia="en-US"/>
              </w:rPr>
              <w:t xml:space="preserve">Phlegm </w:t>
            </w:r>
            <w:proofErr w:type="spellStart"/>
            <w:r w:rsidRPr="008B7CC1">
              <w:rPr>
                <w:rFonts w:eastAsia="Times New Roman" w:cs="Calibri"/>
                <w:bCs/>
                <w:color w:val="000000"/>
                <w:lang w:val="en-US" w:eastAsia="en-US"/>
              </w:rPr>
              <w:t>colour</w:t>
            </w:r>
            <w:proofErr w:type="spellEnd"/>
          </w:p>
        </w:tc>
      </w:tr>
      <w:tr w:rsidR="00D73A71" w:rsidRPr="008B7CC1" w:rsidTr="008B7CC1">
        <w:tc>
          <w:tcPr>
            <w:tcW w:w="3794" w:type="dxa"/>
            <w:shd w:val="clear" w:color="auto" w:fill="auto"/>
          </w:tcPr>
          <w:p w:rsidR="00D73A71" w:rsidRPr="008B7CC1" w:rsidRDefault="00D73A71" w:rsidP="008B7CC1">
            <w:pPr>
              <w:spacing w:after="0" w:line="240" w:lineRule="auto"/>
              <w:rPr>
                <w:rFonts w:eastAsia="Times New Roman" w:cs="Calibri"/>
                <w:b/>
                <w:bCs/>
                <w:color w:val="000000"/>
                <w:lang w:val="en-US" w:eastAsia="en-US"/>
              </w:rPr>
            </w:pPr>
            <w:r w:rsidRPr="008B7CC1">
              <w:rPr>
                <w:rFonts w:eastAsia="Times New Roman" w:cs="Calibri"/>
                <w:color w:val="000000"/>
                <w:lang w:val="en-US" w:eastAsia="en-US"/>
              </w:rPr>
              <w:t>Lung comorbidity</w:t>
            </w:r>
          </w:p>
        </w:tc>
      </w:tr>
      <w:tr w:rsidR="00D73A71" w:rsidRPr="008B7CC1" w:rsidTr="008B7CC1">
        <w:tc>
          <w:tcPr>
            <w:tcW w:w="3794" w:type="dxa"/>
            <w:shd w:val="clear" w:color="auto" w:fill="C0C0C0"/>
          </w:tcPr>
          <w:p w:rsidR="00D73A71" w:rsidRPr="008B7CC1" w:rsidRDefault="00D73A71" w:rsidP="008B7CC1">
            <w:pPr>
              <w:spacing w:after="0" w:line="240" w:lineRule="auto"/>
              <w:rPr>
                <w:rFonts w:eastAsia="Times New Roman" w:cs="Calibri"/>
                <w:b/>
                <w:bCs/>
                <w:color w:val="000000"/>
                <w:lang w:val="en-US" w:eastAsia="en-US"/>
              </w:rPr>
            </w:pPr>
            <w:r w:rsidRPr="008B7CC1">
              <w:rPr>
                <w:rFonts w:eastAsia="Times New Roman" w:cs="Calibri"/>
                <w:bCs/>
                <w:color w:val="000000"/>
                <w:lang w:val="en-US" w:eastAsia="en-US"/>
              </w:rPr>
              <w:t>Heart disease</w:t>
            </w:r>
          </w:p>
        </w:tc>
      </w:tr>
      <w:tr w:rsidR="00D73A71" w:rsidRPr="008B7CC1" w:rsidTr="008B7CC1">
        <w:tc>
          <w:tcPr>
            <w:tcW w:w="3794" w:type="dxa"/>
            <w:shd w:val="clear" w:color="auto" w:fill="auto"/>
          </w:tcPr>
          <w:p w:rsidR="00D73A71" w:rsidRPr="008B7CC1" w:rsidRDefault="00D73A71" w:rsidP="008B7CC1">
            <w:pPr>
              <w:spacing w:after="0" w:line="240" w:lineRule="auto"/>
              <w:rPr>
                <w:rFonts w:eastAsia="Times New Roman" w:cs="Calibri"/>
                <w:b/>
                <w:bCs/>
                <w:color w:val="000000"/>
                <w:lang w:val="en-US" w:eastAsia="en-US"/>
              </w:rPr>
            </w:pPr>
            <w:r w:rsidRPr="008B7CC1">
              <w:rPr>
                <w:rFonts w:eastAsia="Times New Roman" w:cs="Calibri"/>
                <w:bCs/>
                <w:color w:val="000000"/>
                <w:lang w:val="en-US" w:eastAsia="en-US"/>
              </w:rPr>
              <w:t>Cough (yes/no)</w:t>
            </w:r>
          </w:p>
        </w:tc>
      </w:tr>
      <w:tr w:rsidR="00D73A71" w:rsidRPr="008B7CC1" w:rsidTr="008B7CC1">
        <w:tc>
          <w:tcPr>
            <w:tcW w:w="3794" w:type="dxa"/>
            <w:shd w:val="clear" w:color="auto" w:fill="C0C0C0"/>
          </w:tcPr>
          <w:p w:rsidR="00D73A71" w:rsidRPr="008B7CC1" w:rsidRDefault="00D73A71" w:rsidP="008B7CC1">
            <w:pPr>
              <w:spacing w:after="0" w:line="240" w:lineRule="auto"/>
              <w:rPr>
                <w:rFonts w:eastAsia="Times New Roman" w:cs="Calibri"/>
                <w:b/>
                <w:bCs/>
                <w:color w:val="000000"/>
                <w:lang w:val="en-US" w:eastAsia="en-US"/>
              </w:rPr>
            </w:pPr>
            <w:r w:rsidRPr="008B7CC1">
              <w:rPr>
                <w:rFonts w:eastAsia="Times New Roman" w:cs="Calibri"/>
                <w:bCs/>
                <w:color w:val="000000"/>
                <w:lang w:val="en-US" w:eastAsia="en-US"/>
              </w:rPr>
              <w:t>Wheeze (yes/no)</w:t>
            </w:r>
          </w:p>
        </w:tc>
      </w:tr>
      <w:tr w:rsidR="00D73A71" w:rsidRPr="008B7CC1" w:rsidTr="008B7CC1">
        <w:tc>
          <w:tcPr>
            <w:tcW w:w="3794" w:type="dxa"/>
            <w:shd w:val="clear" w:color="auto" w:fill="auto"/>
          </w:tcPr>
          <w:p w:rsidR="00D73A71" w:rsidRPr="008B7CC1" w:rsidRDefault="00D73A71" w:rsidP="008B7CC1">
            <w:pPr>
              <w:spacing w:after="0" w:line="240" w:lineRule="auto"/>
              <w:rPr>
                <w:rFonts w:eastAsia="Times New Roman" w:cs="Calibri"/>
                <w:b/>
                <w:bCs/>
                <w:color w:val="000000"/>
                <w:lang w:val="en-US" w:eastAsia="en-US"/>
              </w:rPr>
            </w:pPr>
            <w:r w:rsidRPr="008B7CC1">
              <w:rPr>
                <w:rFonts w:eastAsia="Times New Roman" w:cs="Calibri"/>
                <w:bCs/>
                <w:color w:val="000000"/>
                <w:lang w:val="en-US" w:eastAsia="en-US"/>
              </w:rPr>
              <w:t>Crackles (yes/no)</w:t>
            </w:r>
          </w:p>
        </w:tc>
      </w:tr>
      <w:tr w:rsidR="00D73A71" w:rsidRPr="008B7CC1" w:rsidTr="008B7CC1">
        <w:tc>
          <w:tcPr>
            <w:tcW w:w="3794" w:type="dxa"/>
            <w:shd w:val="clear" w:color="auto" w:fill="C0C0C0"/>
          </w:tcPr>
          <w:p w:rsidR="00D73A71" w:rsidRPr="008B7CC1" w:rsidRDefault="00D73A71" w:rsidP="008B7CC1">
            <w:pPr>
              <w:spacing w:after="0" w:line="240" w:lineRule="auto"/>
              <w:rPr>
                <w:rFonts w:eastAsia="Times New Roman" w:cs="Calibri"/>
                <w:b/>
                <w:bCs/>
                <w:color w:val="000000"/>
                <w:lang w:val="en-US" w:eastAsia="en-US"/>
              </w:rPr>
            </w:pPr>
            <w:r w:rsidRPr="008B7CC1">
              <w:rPr>
                <w:rFonts w:eastAsia="Times New Roman" w:cs="Calibri"/>
                <w:bCs/>
                <w:color w:val="000000"/>
                <w:lang w:val="en-US" w:eastAsia="en-US"/>
              </w:rPr>
              <w:t>Rhonchi (yes/no)</w:t>
            </w:r>
          </w:p>
        </w:tc>
      </w:tr>
      <w:tr w:rsidR="00D73A71" w:rsidRPr="008B7CC1" w:rsidTr="008B7CC1">
        <w:tc>
          <w:tcPr>
            <w:tcW w:w="3794" w:type="dxa"/>
            <w:shd w:val="clear" w:color="auto" w:fill="auto"/>
          </w:tcPr>
          <w:p w:rsidR="00D73A71" w:rsidRPr="008B7CC1" w:rsidRDefault="00D73A71" w:rsidP="008B7CC1">
            <w:pPr>
              <w:spacing w:after="0" w:line="240" w:lineRule="auto"/>
              <w:rPr>
                <w:rFonts w:eastAsia="Times New Roman" w:cs="Calibri"/>
                <w:b/>
                <w:bCs/>
                <w:color w:val="000000"/>
                <w:lang w:val="en-US" w:eastAsia="en-US"/>
              </w:rPr>
            </w:pPr>
            <w:r w:rsidRPr="008B7CC1">
              <w:rPr>
                <w:rFonts w:eastAsia="Times New Roman" w:cs="Calibri"/>
                <w:bCs/>
                <w:color w:val="000000"/>
                <w:lang w:val="en-US" w:eastAsia="en-US"/>
              </w:rPr>
              <w:t>Runny nose (yes/no)</w:t>
            </w:r>
          </w:p>
        </w:tc>
      </w:tr>
      <w:tr w:rsidR="00D73A71" w:rsidRPr="008B7CC1" w:rsidTr="008B7CC1">
        <w:tc>
          <w:tcPr>
            <w:tcW w:w="3794" w:type="dxa"/>
            <w:shd w:val="clear" w:color="auto" w:fill="C0C0C0"/>
          </w:tcPr>
          <w:p w:rsidR="00D73A71" w:rsidRPr="008B7CC1" w:rsidRDefault="00D73A71" w:rsidP="008B7CC1">
            <w:pPr>
              <w:spacing w:after="0" w:line="240" w:lineRule="auto"/>
              <w:rPr>
                <w:rFonts w:eastAsia="Times New Roman" w:cs="Calibri"/>
                <w:b/>
                <w:bCs/>
                <w:color w:val="000000"/>
                <w:lang w:val="en-US" w:eastAsia="en-US"/>
              </w:rPr>
            </w:pPr>
            <w:r w:rsidRPr="008B7CC1">
              <w:rPr>
                <w:rFonts w:eastAsia="Times New Roman" w:cs="Calibri"/>
                <w:bCs/>
                <w:color w:val="000000"/>
                <w:lang w:val="en-US" w:eastAsia="en-US"/>
              </w:rPr>
              <w:t>Chest pain (yes/no)</w:t>
            </w:r>
          </w:p>
        </w:tc>
      </w:tr>
      <w:tr w:rsidR="00D73A71" w:rsidRPr="008B7CC1" w:rsidTr="008B7CC1">
        <w:tc>
          <w:tcPr>
            <w:tcW w:w="3794" w:type="dxa"/>
            <w:shd w:val="clear" w:color="auto" w:fill="auto"/>
          </w:tcPr>
          <w:p w:rsidR="00D73A71" w:rsidRPr="008B7CC1" w:rsidRDefault="00D73A71" w:rsidP="008B7CC1">
            <w:pPr>
              <w:spacing w:after="0" w:line="240" w:lineRule="auto"/>
              <w:rPr>
                <w:rFonts w:eastAsia="Times New Roman" w:cs="Calibri"/>
                <w:b/>
                <w:bCs/>
                <w:color w:val="000000"/>
                <w:lang w:val="en-US" w:eastAsia="en-US"/>
              </w:rPr>
            </w:pPr>
            <w:r w:rsidRPr="008B7CC1">
              <w:rPr>
                <w:rFonts w:eastAsia="Times New Roman" w:cs="Calibri"/>
                <w:bCs/>
                <w:color w:val="000000"/>
                <w:lang w:val="en-US" w:eastAsia="en-US"/>
              </w:rPr>
              <w:t>Muscle aches (yes/no)</w:t>
            </w:r>
          </w:p>
        </w:tc>
      </w:tr>
      <w:tr w:rsidR="00D73A71" w:rsidRPr="008B7CC1" w:rsidTr="008B7CC1">
        <w:tc>
          <w:tcPr>
            <w:tcW w:w="3794" w:type="dxa"/>
            <w:shd w:val="clear" w:color="auto" w:fill="C0C0C0"/>
          </w:tcPr>
          <w:p w:rsidR="00D73A71" w:rsidRPr="008B7CC1" w:rsidRDefault="00D73A71" w:rsidP="008B7CC1">
            <w:pPr>
              <w:spacing w:after="0" w:line="240" w:lineRule="auto"/>
              <w:rPr>
                <w:rFonts w:eastAsia="Calibri"/>
                <w:bCs/>
                <w:color w:val="000000"/>
                <w:lang w:val="en-US" w:eastAsia="en-US"/>
              </w:rPr>
            </w:pPr>
            <w:r w:rsidRPr="008B7CC1">
              <w:rPr>
                <w:rFonts w:eastAsia="Calibri"/>
                <w:bCs/>
                <w:color w:val="000000"/>
                <w:lang w:val="en-US" w:eastAsia="en-US"/>
              </w:rPr>
              <w:t>Headache (yes/no)</w:t>
            </w:r>
          </w:p>
        </w:tc>
      </w:tr>
      <w:tr w:rsidR="00D73A71" w:rsidRPr="008B7CC1" w:rsidTr="008B7CC1">
        <w:tc>
          <w:tcPr>
            <w:tcW w:w="3794" w:type="dxa"/>
            <w:shd w:val="clear" w:color="auto" w:fill="auto"/>
          </w:tcPr>
          <w:p w:rsidR="00D73A71" w:rsidRPr="008B7CC1" w:rsidRDefault="00D73A71" w:rsidP="008B7CC1">
            <w:pPr>
              <w:spacing w:after="0" w:line="240" w:lineRule="auto"/>
              <w:rPr>
                <w:rFonts w:eastAsia="Times New Roman" w:cs="Calibri"/>
                <w:b/>
                <w:bCs/>
                <w:color w:val="000000"/>
                <w:lang w:val="en-US" w:eastAsia="en-US"/>
              </w:rPr>
            </w:pPr>
            <w:r w:rsidRPr="008B7CC1">
              <w:rPr>
                <w:rFonts w:eastAsia="Times New Roman" w:cs="Calibri"/>
                <w:color w:val="000000"/>
                <w:lang w:val="en-US" w:eastAsia="en-US"/>
              </w:rPr>
              <w:t>Disturbed sleep (yes/no)</w:t>
            </w:r>
          </w:p>
        </w:tc>
      </w:tr>
      <w:tr w:rsidR="00D73A71" w:rsidRPr="008B7CC1" w:rsidTr="008B7CC1">
        <w:tc>
          <w:tcPr>
            <w:tcW w:w="3794" w:type="dxa"/>
            <w:shd w:val="clear" w:color="auto" w:fill="C0C0C0"/>
          </w:tcPr>
          <w:p w:rsidR="00D73A71" w:rsidRPr="008B7CC1" w:rsidRDefault="00D73A71" w:rsidP="008B7CC1">
            <w:pPr>
              <w:spacing w:after="0" w:line="240" w:lineRule="auto"/>
              <w:rPr>
                <w:rFonts w:eastAsia="Times New Roman" w:cs="Calibri"/>
                <w:b/>
                <w:bCs/>
                <w:color w:val="000000"/>
                <w:lang w:val="en-US" w:eastAsia="en-US"/>
              </w:rPr>
            </w:pPr>
            <w:r w:rsidRPr="008B7CC1">
              <w:rPr>
                <w:rFonts w:eastAsia="Times New Roman" w:cs="Calibri"/>
                <w:color w:val="000000"/>
                <w:lang w:val="en-US" w:eastAsia="en-US"/>
              </w:rPr>
              <w:t>Confusion (yes/no)</w:t>
            </w:r>
          </w:p>
        </w:tc>
      </w:tr>
      <w:tr w:rsidR="00D73A71" w:rsidRPr="008B7CC1" w:rsidTr="008B7CC1">
        <w:tc>
          <w:tcPr>
            <w:tcW w:w="3794" w:type="dxa"/>
            <w:shd w:val="clear" w:color="auto" w:fill="auto"/>
          </w:tcPr>
          <w:p w:rsidR="00D73A71" w:rsidRPr="008B7CC1" w:rsidRDefault="00D73A71" w:rsidP="008B7CC1">
            <w:pPr>
              <w:spacing w:after="0" w:line="240" w:lineRule="auto"/>
              <w:rPr>
                <w:rFonts w:eastAsia="Times New Roman" w:cs="Calibri"/>
                <w:b/>
                <w:bCs/>
                <w:color w:val="000000"/>
                <w:lang w:val="en-US" w:eastAsia="en-US"/>
              </w:rPr>
            </w:pPr>
            <w:r w:rsidRPr="008B7CC1">
              <w:rPr>
                <w:rFonts w:eastAsia="Times New Roman" w:cs="Calibri"/>
                <w:color w:val="000000"/>
                <w:lang w:val="en-US" w:eastAsia="en-US"/>
              </w:rPr>
              <w:t>Illness interferes with normal activities (yes/no)</w:t>
            </w:r>
          </w:p>
        </w:tc>
      </w:tr>
      <w:tr w:rsidR="00D73A71" w:rsidRPr="008B7CC1" w:rsidTr="008B7CC1">
        <w:tc>
          <w:tcPr>
            <w:tcW w:w="3794" w:type="dxa"/>
            <w:shd w:val="clear" w:color="auto" w:fill="C0C0C0"/>
          </w:tcPr>
          <w:p w:rsidR="00D73A71" w:rsidRPr="008B7CC1" w:rsidRDefault="00D73A71" w:rsidP="008B7CC1">
            <w:pPr>
              <w:spacing w:after="0" w:line="240" w:lineRule="auto"/>
              <w:rPr>
                <w:rFonts w:eastAsia="Times New Roman" w:cs="Calibri"/>
                <w:b/>
                <w:bCs/>
                <w:color w:val="000000"/>
                <w:lang w:val="en-US" w:eastAsia="en-US"/>
              </w:rPr>
            </w:pPr>
            <w:r w:rsidRPr="008B7CC1">
              <w:rPr>
                <w:rFonts w:eastAsia="Times New Roman" w:cs="Calibri"/>
                <w:color w:val="000000"/>
                <w:lang w:val="en-US" w:eastAsia="en-US"/>
              </w:rPr>
              <w:t>Feeling generally unwell (yes/no)</w:t>
            </w:r>
          </w:p>
        </w:tc>
      </w:tr>
    </w:tbl>
    <w:p w:rsidR="00D73A71" w:rsidRPr="008B7CC1" w:rsidRDefault="00FA069C" w:rsidP="00FA069C">
      <w:pPr>
        <w:tabs>
          <w:tab w:val="left" w:pos="1035"/>
        </w:tabs>
        <w:spacing w:after="0"/>
        <w:jc w:val="both"/>
        <w:rPr>
          <w:rFonts w:cs="Calibri"/>
        </w:rPr>
      </w:pPr>
      <w:r w:rsidRPr="008B7CC1">
        <w:rPr>
          <w:rFonts w:cs="Calibri"/>
        </w:rPr>
        <w:tab/>
      </w:r>
    </w:p>
    <w:p w:rsidR="00D73A71" w:rsidRPr="00FA069C" w:rsidRDefault="00D73A71" w:rsidP="00D73A71">
      <w:pPr>
        <w:pStyle w:val="Caption"/>
        <w:keepNext/>
        <w:rPr>
          <w:sz w:val="22"/>
          <w:szCs w:val="22"/>
        </w:rPr>
      </w:pPr>
      <w:bookmarkStart w:id="1" w:name="_Ref233874387"/>
      <w:r w:rsidRPr="00FA069C">
        <w:rPr>
          <w:sz w:val="22"/>
          <w:szCs w:val="22"/>
        </w:rPr>
        <w:t xml:space="preserve">Table </w:t>
      </w:r>
      <w:r w:rsidRPr="00FA069C">
        <w:rPr>
          <w:sz w:val="22"/>
          <w:szCs w:val="22"/>
        </w:rPr>
        <w:fldChar w:fldCharType="begin"/>
      </w:r>
      <w:r w:rsidRPr="00FA069C">
        <w:rPr>
          <w:sz w:val="22"/>
          <w:szCs w:val="22"/>
        </w:rPr>
        <w:instrText xml:space="preserve"> SEQ Table \* ARABIC </w:instrText>
      </w:r>
      <w:r w:rsidRPr="00FA069C">
        <w:rPr>
          <w:sz w:val="22"/>
          <w:szCs w:val="22"/>
        </w:rPr>
        <w:fldChar w:fldCharType="separate"/>
      </w:r>
      <w:r w:rsidRPr="00FA069C">
        <w:rPr>
          <w:noProof/>
          <w:sz w:val="22"/>
          <w:szCs w:val="22"/>
        </w:rPr>
        <w:t>2</w:t>
      </w:r>
      <w:r w:rsidRPr="00FA069C">
        <w:rPr>
          <w:noProof/>
          <w:sz w:val="22"/>
          <w:szCs w:val="22"/>
        </w:rPr>
        <w:fldChar w:fldCharType="end"/>
      </w:r>
      <w:bookmarkEnd w:id="1"/>
      <w:r w:rsidRPr="00FA069C">
        <w:rPr>
          <w:sz w:val="22"/>
          <w:szCs w:val="22"/>
        </w:rPr>
        <w:t xml:space="preserve"> Baseline characteristics and covariate balance</w:t>
      </w:r>
    </w:p>
    <w:tbl>
      <w:tblPr>
        <w:tblW w:w="5000" w:type="pct"/>
        <w:tblBorders>
          <w:top w:val="single" w:sz="8" w:space="0" w:color="000000"/>
          <w:bottom w:val="single" w:sz="8" w:space="0" w:color="000000"/>
        </w:tblBorders>
        <w:tblLook w:val="04A0" w:firstRow="1" w:lastRow="0" w:firstColumn="1" w:lastColumn="0" w:noHBand="0" w:noVBand="1"/>
      </w:tblPr>
      <w:tblGrid>
        <w:gridCol w:w="8363"/>
        <w:gridCol w:w="219"/>
        <w:gridCol w:w="220"/>
        <w:gridCol w:w="220"/>
        <w:gridCol w:w="220"/>
      </w:tblGrid>
      <w:tr w:rsidR="00D73A71" w:rsidRPr="008B7CC1" w:rsidTr="00EF7A79">
        <w:tc>
          <w:tcPr>
            <w:tcW w:w="4443" w:type="pct"/>
            <w:tcBorders>
              <w:top w:val="single" w:sz="8" w:space="0" w:color="000000"/>
              <w:bottom w:val="single" w:sz="8" w:space="0" w:color="000000"/>
            </w:tcBorders>
            <w:shd w:val="clear" w:color="auto" w:fill="auto"/>
          </w:tcPr>
          <w:tbl>
            <w:tblPr>
              <w:tblW w:w="5000" w:type="pct"/>
              <w:tblBorders>
                <w:top w:val="single" w:sz="8" w:space="0" w:color="000000"/>
                <w:bottom w:val="single" w:sz="8" w:space="0" w:color="000000"/>
              </w:tblBorders>
              <w:tblLook w:val="04A0" w:firstRow="1" w:lastRow="0" w:firstColumn="1" w:lastColumn="0" w:noHBand="0" w:noVBand="1"/>
            </w:tblPr>
            <w:tblGrid>
              <w:gridCol w:w="1010"/>
              <w:gridCol w:w="811"/>
              <w:gridCol w:w="726"/>
              <w:gridCol w:w="792"/>
              <w:gridCol w:w="220"/>
              <w:gridCol w:w="812"/>
              <w:gridCol w:w="780"/>
              <w:gridCol w:w="1061"/>
              <w:gridCol w:w="139"/>
              <w:gridCol w:w="872"/>
              <w:gridCol w:w="924"/>
            </w:tblGrid>
            <w:tr w:rsidR="009F53A3" w:rsidRPr="008B7CC1" w:rsidTr="00EF7A79">
              <w:tc>
                <w:tcPr>
                  <w:tcW w:w="643" w:type="pct"/>
                  <w:tcBorders>
                    <w:top w:val="single" w:sz="8" w:space="0" w:color="000000"/>
                    <w:bottom w:val="single" w:sz="8" w:space="0" w:color="000000"/>
                  </w:tcBorders>
                  <w:shd w:val="clear" w:color="auto" w:fill="auto"/>
                </w:tcPr>
                <w:p w:rsidR="009F53A3" w:rsidRPr="008B7CC1" w:rsidRDefault="009F53A3" w:rsidP="008E1EEE">
                  <w:pPr>
                    <w:spacing w:after="0" w:line="240" w:lineRule="auto"/>
                    <w:rPr>
                      <w:rFonts w:eastAsia="Calibri"/>
                      <w:bCs/>
                      <w:color w:val="000000"/>
                      <w:lang w:val="en-US" w:eastAsia="en-US"/>
                    </w:rPr>
                  </w:pPr>
                </w:p>
              </w:tc>
              <w:tc>
                <w:tcPr>
                  <w:tcW w:w="1438" w:type="pct"/>
                  <w:gridSpan w:val="3"/>
                  <w:tcBorders>
                    <w:top w:val="single" w:sz="8" w:space="0" w:color="000000"/>
                    <w:bottom w:val="single" w:sz="8" w:space="0" w:color="000000"/>
                  </w:tcBorders>
                  <w:shd w:val="clear" w:color="auto" w:fill="auto"/>
                </w:tcPr>
                <w:p w:rsidR="009F53A3" w:rsidRPr="008B7CC1" w:rsidRDefault="009F53A3" w:rsidP="008E1EEE">
                  <w:pPr>
                    <w:spacing w:after="0" w:line="240" w:lineRule="auto"/>
                    <w:jc w:val="center"/>
                    <w:rPr>
                      <w:rFonts w:eastAsia="Calibri"/>
                      <w:bCs/>
                      <w:color w:val="000000"/>
                      <w:lang w:val="en-US" w:eastAsia="en-US"/>
                    </w:rPr>
                  </w:pPr>
                  <w:r w:rsidRPr="008B7CC1">
                    <w:rPr>
                      <w:rFonts w:eastAsia="Calibri"/>
                      <w:bCs/>
                      <w:color w:val="000000"/>
                      <w:lang w:val="en-US" w:eastAsia="en-US"/>
                    </w:rPr>
                    <w:t>Trial (n=2</w:t>
                  </w:r>
                  <w:r>
                    <w:rPr>
                      <w:rFonts w:eastAsia="Calibri"/>
                      <w:bCs/>
                      <w:color w:val="000000"/>
                      <w:lang w:val="en-US" w:eastAsia="en-US"/>
                    </w:rPr>
                    <w:t>061</w:t>
                  </w:r>
                  <w:r w:rsidRPr="008B7CC1">
                    <w:rPr>
                      <w:rFonts w:eastAsia="Calibri"/>
                      <w:bCs/>
                      <w:color w:val="000000"/>
                      <w:lang w:val="en-US" w:eastAsia="en-US"/>
                    </w:rPr>
                    <w:t xml:space="preserve">) </w:t>
                  </w:r>
                </w:p>
              </w:tc>
              <w:tc>
                <w:tcPr>
                  <w:tcW w:w="91" w:type="pct"/>
                  <w:tcBorders>
                    <w:top w:val="single" w:sz="8" w:space="0" w:color="000000"/>
                    <w:bottom w:val="single" w:sz="8" w:space="0" w:color="000000"/>
                  </w:tcBorders>
                  <w:shd w:val="clear" w:color="auto" w:fill="auto"/>
                </w:tcPr>
                <w:p w:rsidR="009F53A3" w:rsidRPr="008B7CC1" w:rsidRDefault="009F53A3" w:rsidP="008E1EEE">
                  <w:pPr>
                    <w:spacing w:after="0" w:line="240" w:lineRule="auto"/>
                    <w:jc w:val="center"/>
                    <w:rPr>
                      <w:rFonts w:eastAsia="Calibri"/>
                      <w:bCs/>
                      <w:color w:val="000000"/>
                      <w:lang w:val="en-US" w:eastAsia="en-US"/>
                    </w:rPr>
                  </w:pPr>
                </w:p>
              </w:tc>
              <w:tc>
                <w:tcPr>
                  <w:tcW w:w="1699" w:type="pct"/>
                  <w:gridSpan w:val="4"/>
                  <w:tcBorders>
                    <w:top w:val="single" w:sz="8" w:space="0" w:color="000000"/>
                    <w:bottom w:val="single" w:sz="8" w:space="0" w:color="000000"/>
                  </w:tcBorders>
                </w:tcPr>
                <w:p w:rsidR="009F53A3" w:rsidRPr="008B7CC1" w:rsidRDefault="009F53A3" w:rsidP="008E1EEE">
                  <w:pPr>
                    <w:spacing w:after="0" w:line="240" w:lineRule="auto"/>
                    <w:jc w:val="center"/>
                    <w:rPr>
                      <w:rFonts w:eastAsia="Calibri"/>
                      <w:b/>
                      <w:bCs/>
                      <w:color w:val="000000"/>
                      <w:lang w:val="en-US" w:eastAsia="en-US"/>
                    </w:rPr>
                  </w:pPr>
                  <w:r w:rsidRPr="008B7CC1">
                    <w:rPr>
                      <w:rFonts w:eastAsia="Calibri"/>
                      <w:bCs/>
                      <w:color w:val="000000"/>
                      <w:lang w:val="en-US" w:eastAsia="en-US"/>
                    </w:rPr>
                    <w:t>Observational study (n=780)</w:t>
                  </w:r>
                </w:p>
              </w:tc>
              <w:tc>
                <w:tcPr>
                  <w:tcW w:w="1129" w:type="pct"/>
                  <w:gridSpan w:val="2"/>
                  <w:tcBorders>
                    <w:top w:val="single" w:sz="8" w:space="0" w:color="000000"/>
                    <w:bottom w:val="single" w:sz="8" w:space="0" w:color="000000"/>
                  </w:tcBorders>
                </w:tcPr>
                <w:p w:rsidR="009F53A3" w:rsidRPr="008B7CC1" w:rsidRDefault="009F53A3" w:rsidP="008E1EEE">
                  <w:pPr>
                    <w:spacing w:after="0" w:line="240" w:lineRule="auto"/>
                    <w:rPr>
                      <w:rFonts w:eastAsia="Calibri"/>
                      <w:bCs/>
                      <w:color w:val="000000"/>
                      <w:lang w:val="en-US" w:eastAsia="en-US"/>
                    </w:rPr>
                  </w:pPr>
                  <w:r w:rsidRPr="008B7CC1">
                    <w:rPr>
                      <w:rFonts w:eastAsia="Calibri"/>
                      <w:bCs/>
                      <w:color w:val="000000"/>
                      <w:lang w:val="en-US" w:eastAsia="en-US"/>
                    </w:rPr>
                    <w:t>Observational study after applying propensity score weights</w:t>
                  </w:r>
                </w:p>
              </w:tc>
            </w:tr>
            <w:tr w:rsidR="009F53A3" w:rsidRPr="008B7CC1" w:rsidTr="00EF7A79">
              <w:tc>
                <w:tcPr>
                  <w:tcW w:w="643" w:type="pct"/>
                  <w:shd w:val="clear" w:color="auto" w:fill="C0C0C0"/>
                </w:tcPr>
                <w:p w:rsidR="009F53A3" w:rsidRPr="008B7CC1" w:rsidRDefault="009F53A3" w:rsidP="008E1EEE">
                  <w:pPr>
                    <w:spacing w:after="0" w:line="240" w:lineRule="auto"/>
                    <w:rPr>
                      <w:rFonts w:eastAsia="Calibri"/>
                      <w:bCs/>
                      <w:color w:val="000000"/>
                      <w:lang w:val="en-US" w:eastAsia="en-US"/>
                    </w:rPr>
                  </w:pPr>
                </w:p>
              </w:tc>
              <w:tc>
                <w:tcPr>
                  <w:tcW w:w="504" w:type="pct"/>
                  <w:tcBorders>
                    <w:left w:val="nil"/>
                    <w:right w:val="nil"/>
                  </w:tcBorders>
                  <w:shd w:val="clear" w:color="auto" w:fill="C0C0C0"/>
                </w:tcPr>
                <w:p w:rsidR="009F53A3" w:rsidRPr="008B7CC1" w:rsidRDefault="009F53A3" w:rsidP="008E1EEE">
                  <w:pPr>
                    <w:spacing w:after="0" w:line="240" w:lineRule="auto"/>
                    <w:rPr>
                      <w:rFonts w:eastAsia="Calibri"/>
                      <w:b/>
                      <w:color w:val="000000"/>
                      <w:lang w:val="en-US" w:eastAsia="en-US"/>
                    </w:rPr>
                  </w:pPr>
                  <w:r w:rsidRPr="008B7CC1">
                    <w:rPr>
                      <w:rFonts w:eastAsia="Calibri"/>
                      <w:b/>
                      <w:color w:val="000000"/>
                      <w:lang w:val="en-US" w:eastAsia="en-US"/>
                    </w:rPr>
                    <w:t>Amoxicillin</w:t>
                  </w:r>
                </w:p>
              </w:tc>
              <w:tc>
                <w:tcPr>
                  <w:tcW w:w="444" w:type="pct"/>
                  <w:shd w:val="clear" w:color="auto" w:fill="C0C0C0"/>
                </w:tcPr>
                <w:p w:rsidR="009F53A3" w:rsidRPr="008B7CC1" w:rsidRDefault="009F53A3" w:rsidP="008E1EEE">
                  <w:pPr>
                    <w:spacing w:after="0" w:line="240" w:lineRule="auto"/>
                    <w:rPr>
                      <w:rFonts w:eastAsia="Calibri"/>
                      <w:b/>
                      <w:color w:val="000000"/>
                      <w:lang w:val="en-US" w:eastAsia="en-US"/>
                    </w:rPr>
                  </w:pPr>
                  <w:r w:rsidRPr="008B7CC1">
                    <w:rPr>
                      <w:rFonts w:eastAsia="Calibri"/>
                      <w:b/>
                      <w:color w:val="000000"/>
                      <w:lang w:val="en-US" w:eastAsia="en-US"/>
                    </w:rPr>
                    <w:t>Placebo</w:t>
                  </w:r>
                </w:p>
              </w:tc>
              <w:tc>
                <w:tcPr>
                  <w:tcW w:w="490" w:type="pct"/>
                  <w:shd w:val="clear" w:color="auto" w:fill="C0C0C0"/>
                </w:tcPr>
                <w:p w:rsidR="009F53A3" w:rsidRPr="008B7CC1" w:rsidRDefault="009F53A3" w:rsidP="008E1EEE">
                  <w:pPr>
                    <w:spacing w:after="0" w:line="240" w:lineRule="auto"/>
                    <w:rPr>
                      <w:rFonts w:eastAsia="Calibri"/>
                      <w:b/>
                      <w:color w:val="000000"/>
                      <w:lang w:val="en-US" w:eastAsia="en-US"/>
                    </w:rPr>
                  </w:pPr>
                  <w:r>
                    <w:rPr>
                      <w:rFonts w:eastAsia="Calibri"/>
                      <w:b/>
                      <w:color w:val="000000"/>
                      <w:lang w:val="en-US" w:eastAsia="en-US"/>
                    </w:rPr>
                    <w:t>Total</w:t>
                  </w:r>
                </w:p>
              </w:tc>
              <w:tc>
                <w:tcPr>
                  <w:tcW w:w="91" w:type="pct"/>
                  <w:tcBorders>
                    <w:left w:val="nil"/>
                    <w:right w:val="nil"/>
                  </w:tcBorders>
                  <w:shd w:val="clear" w:color="auto" w:fill="C0C0C0"/>
                </w:tcPr>
                <w:p w:rsidR="009F53A3" w:rsidRPr="008B7CC1" w:rsidRDefault="009F53A3" w:rsidP="008E1EEE">
                  <w:pPr>
                    <w:spacing w:after="0" w:line="240" w:lineRule="auto"/>
                    <w:rPr>
                      <w:rFonts w:eastAsia="Calibri"/>
                      <w:b/>
                      <w:color w:val="000000"/>
                      <w:lang w:val="en-US" w:eastAsia="en-US"/>
                    </w:rPr>
                  </w:pPr>
                </w:p>
              </w:tc>
              <w:tc>
                <w:tcPr>
                  <w:tcW w:w="504" w:type="pct"/>
                  <w:shd w:val="clear" w:color="auto" w:fill="C0C0C0"/>
                </w:tcPr>
                <w:p w:rsidR="009F53A3" w:rsidRPr="008B7CC1" w:rsidRDefault="009F53A3" w:rsidP="008E1EEE">
                  <w:pPr>
                    <w:spacing w:after="0" w:line="240" w:lineRule="auto"/>
                    <w:rPr>
                      <w:rFonts w:eastAsia="Calibri"/>
                      <w:b/>
                      <w:color w:val="000000"/>
                      <w:lang w:val="en-US" w:eastAsia="en-US"/>
                    </w:rPr>
                  </w:pPr>
                  <w:r w:rsidRPr="008B7CC1">
                    <w:rPr>
                      <w:rFonts w:eastAsia="Calibri"/>
                      <w:b/>
                      <w:color w:val="000000"/>
                      <w:lang w:val="en-US" w:eastAsia="en-US"/>
                    </w:rPr>
                    <w:t>Amoxicillin</w:t>
                  </w:r>
                </w:p>
              </w:tc>
              <w:tc>
                <w:tcPr>
                  <w:tcW w:w="482" w:type="pct"/>
                  <w:tcBorders>
                    <w:left w:val="nil"/>
                    <w:right w:val="nil"/>
                  </w:tcBorders>
                  <w:shd w:val="clear" w:color="auto" w:fill="C0C0C0"/>
                </w:tcPr>
                <w:p w:rsidR="009F53A3" w:rsidRPr="008B7CC1" w:rsidRDefault="009F53A3" w:rsidP="008E1EEE">
                  <w:pPr>
                    <w:spacing w:after="0" w:line="240" w:lineRule="auto"/>
                    <w:rPr>
                      <w:rFonts w:eastAsia="Calibri"/>
                      <w:b/>
                      <w:color w:val="000000"/>
                      <w:lang w:val="en-US" w:eastAsia="en-US"/>
                    </w:rPr>
                  </w:pPr>
                  <w:r w:rsidRPr="008B7CC1">
                    <w:rPr>
                      <w:rFonts w:eastAsia="Calibri"/>
                      <w:b/>
                      <w:color w:val="000000"/>
                      <w:lang w:val="en-US" w:eastAsia="en-US"/>
                    </w:rPr>
                    <w:t>No antibiotics</w:t>
                  </w:r>
                </w:p>
              </w:tc>
              <w:tc>
                <w:tcPr>
                  <w:tcW w:w="678" w:type="pct"/>
                  <w:shd w:val="clear" w:color="auto" w:fill="C0C0C0"/>
                </w:tcPr>
                <w:p w:rsidR="009F53A3" w:rsidRPr="008B7CC1" w:rsidRDefault="009F53A3" w:rsidP="008E1EEE">
                  <w:pPr>
                    <w:spacing w:after="0" w:line="240" w:lineRule="auto"/>
                    <w:jc w:val="center"/>
                    <w:rPr>
                      <w:rFonts w:eastAsia="Calibri"/>
                      <w:b/>
                      <w:color w:val="000000"/>
                      <w:lang w:val="en-US" w:eastAsia="en-US"/>
                    </w:rPr>
                  </w:pPr>
                  <w:r>
                    <w:rPr>
                      <w:rFonts w:eastAsia="Calibri"/>
                      <w:b/>
                      <w:color w:val="000000"/>
                      <w:lang w:val="en-US" w:eastAsia="en-US"/>
                    </w:rPr>
                    <w:t>Total</w:t>
                  </w:r>
                </w:p>
              </w:tc>
              <w:tc>
                <w:tcPr>
                  <w:tcW w:w="582" w:type="pct"/>
                  <w:gridSpan w:val="2"/>
                  <w:shd w:val="clear" w:color="auto" w:fill="C0C0C0"/>
                </w:tcPr>
                <w:p w:rsidR="009F53A3" w:rsidRPr="008B7CC1" w:rsidRDefault="009F53A3" w:rsidP="008E1EEE">
                  <w:pPr>
                    <w:spacing w:after="0" w:line="240" w:lineRule="auto"/>
                    <w:jc w:val="center"/>
                    <w:rPr>
                      <w:rFonts w:eastAsia="Calibri"/>
                      <w:b/>
                      <w:color w:val="000000"/>
                      <w:lang w:val="en-US" w:eastAsia="en-US"/>
                    </w:rPr>
                  </w:pPr>
                  <w:proofErr w:type="spellStart"/>
                  <w:r w:rsidRPr="008B7CC1">
                    <w:rPr>
                      <w:rFonts w:eastAsia="Calibri"/>
                      <w:b/>
                      <w:color w:val="000000"/>
                      <w:lang w:val="en-US" w:eastAsia="en-US"/>
                    </w:rPr>
                    <w:t>Standardised</w:t>
                  </w:r>
                  <w:proofErr w:type="spellEnd"/>
                  <w:r w:rsidRPr="008B7CC1">
                    <w:rPr>
                      <w:rFonts w:eastAsia="Calibri"/>
                      <w:b/>
                      <w:color w:val="000000"/>
                      <w:lang w:val="en-US" w:eastAsia="en-US"/>
                    </w:rPr>
                    <w:t xml:space="preserve"> mean difference</w:t>
                  </w:r>
                </w:p>
              </w:tc>
              <w:tc>
                <w:tcPr>
                  <w:tcW w:w="582" w:type="pct"/>
                  <w:tcBorders>
                    <w:left w:val="nil"/>
                    <w:right w:val="nil"/>
                  </w:tcBorders>
                  <w:shd w:val="clear" w:color="auto" w:fill="C0C0C0"/>
                </w:tcPr>
                <w:p w:rsidR="009F53A3" w:rsidRPr="008B7CC1" w:rsidRDefault="009F53A3" w:rsidP="008E1EEE">
                  <w:pPr>
                    <w:spacing w:after="0" w:line="240" w:lineRule="auto"/>
                    <w:jc w:val="center"/>
                    <w:rPr>
                      <w:rFonts w:eastAsia="Calibri"/>
                      <w:b/>
                      <w:color w:val="000000"/>
                      <w:lang w:val="en-US" w:eastAsia="en-US"/>
                    </w:rPr>
                  </w:pPr>
                  <w:proofErr w:type="spellStart"/>
                  <w:r w:rsidRPr="008B7CC1">
                    <w:rPr>
                      <w:rFonts w:eastAsia="Calibri"/>
                      <w:b/>
                      <w:color w:val="000000"/>
                      <w:lang w:val="en-US" w:eastAsia="en-US"/>
                    </w:rPr>
                    <w:t>Standardised</w:t>
                  </w:r>
                  <w:proofErr w:type="spellEnd"/>
                  <w:r w:rsidRPr="008B7CC1">
                    <w:rPr>
                      <w:rFonts w:eastAsia="Calibri"/>
                      <w:b/>
                      <w:color w:val="000000"/>
                      <w:lang w:val="en-US" w:eastAsia="en-US"/>
                    </w:rPr>
                    <w:t xml:space="preserve"> mean difference</w:t>
                  </w:r>
                </w:p>
              </w:tc>
            </w:tr>
            <w:tr w:rsidR="009F53A3" w:rsidRPr="008B7CC1" w:rsidTr="00EF7A79">
              <w:tc>
                <w:tcPr>
                  <w:tcW w:w="643" w:type="pct"/>
                  <w:shd w:val="clear" w:color="auto" w:fill="auto"/>
                </w:tcPr>
                <w:p w:rsidR="009F53A3" w:rsidRPr="008B7CC1" w:rsidRDefault="009F53A3" w:rsidP="008E1EEE">
                  <w:pPr>
                    <w:spacing w:after="0" w:line="240" w:lineRule="auto"/>
                    <w:rPr>
                      <w:rFonts w:eastAsia="Calibri"/>
                      <w:bCs/>
                      <w:color w:val="000000"/>
                      <w:lang w:val="en-US" w:eastAsia="en-US"/>
                    </w:rPr>
                  </w:pPr>
                  <w:r w:rsidRPr="008B7CC1">
                    <w:rPr>
                      <w:rFonts w:eastAsia="Calibri" w:cs="Calibri"/>
                      <w:b/>
                      <w:bCs/>
                      <w:color w:val="000000"/>
                      <w:lang w:val="en-US" w:eastAsia="en-US"/>
                    </w:rPr>
                    <w:t>Women</w:t>
                  </w:r>
                </w:p>
              </w:tc>
              <w:tc>
                <w:tcPr>
                  <w:tcW w:w="504" w:type="pct"/>
                  <w:shd w:val="clear" w:color="auto" w:fill="auto"/>
                </w:tcPr>
                <w:p w:rsidR="009F53A3" w:rsidRPr="008B7CC1" w:rsidRDefault="009F53A3" w:rsidP="008E1EEE">
                  <w:pPr>
                    <w:spacing w:after="0" w:line="240" w:lineRule="auto"/>
                    <w:rPr>
                      <w:rFonts w:eastAsia="Calibri"/>
                      <w:color w:val="000000"/>
                      <w:lang w:val="en-US" w:eastAsia="en-US"/>
                    </w:rPr>
                  </w:pPr>
                  <w:r w:rsidRPr="008B7CC1">
                    <w:rPr>
                      <w:rFonts w:eastAsia="Calibri" w:cs="Calibri"/>
                      <w:color w:val="000000"/>
                      <w:lang w:val="en-US" w:eastAsia="en-US"/>
                    </w:rPr>
                    <w:t>624/1038 (60.1%)</w:t>
                  </w:r>
                </w:p>
              </w:tc>
              <w:tc>
                <w:tcPr>
                  <w:tcW w:w="444" w:type="pct"/>
                  <w:shd w:val="clear" w:color="auto" w:fill="auto"/>
                </w:tcPr>
                <w:p w:rsidR="009F53A3" w:rsidRPr="008B7CC1" w:rsidRDefault="009F53A3" w:rsidP="008E1EEE">
                  <w:pPr>
                    <w:spacing w:after="0" w:line="240" w:lineRule="auto"/>
                    <w:rPr>
                      <w:rFonts w:eastAsia="Calibri"/>
                      <w:color w:val="000000"/>
                      <w:lang w:val="en-US" w:eastAsia="en-US"/>
                    </w:rPr>
                  </w:pPr>
                  <w:r w:rsidRPr="008B7CC1">
                    <w:rPr>
                      <w:rFonts w:eastAsia="Calibri" w:cs="Calibri"/>
                      <w:color w:val="000000"/>
                      <w:lang w:val="en-US" w:eastAsia="en-US"/>
                    </w:rPr>
                    <w:t>600/1023 (58.7%)</w:t>
                  </w:r>
                </w:p>
              </w:tc>
              <w:tc>
                <w:tcPr>
                  <w:tcW w:w="490" w:type="pct"/>
                </w:tcPr>
                <w:p w:rsidR="009F53A3" w:rsidRPr="008B7CC1" w:rsidRDefault="009F53A3" w:rsidP="008E1EEE">
                  <w:pPr>
                    <w:spacing w:after="0" w:line="240" w:lineRule="auto"/>
                    <w:rPr>
                      <w:rFonts w:eastAsia="Calibri"/>
                      <w:color w:val="000000"/>
                      <w:lang w:val="en-US" w:eastAsia="en-US"/>
                    </w:rPr>
                  </w:pPr>
                  <w:r>
                    <w:rPr>
                      <w:rFonts w:eastAsia="Calibri"/>
                      <w:color w:val="000000"/>
                      <w:lang w:val="en-US" w:eastAsia="en-US"/>
                    </w:rPr>
                    <w:t>1224/2061 (59.4%)</w:t>
                  </w:r>
                </w:p>
              </w:tc>
              <w:tc>
                <w:tcPr>
                  <w:tcW w:w="91" w:type="pct"/>
                  <w:shd w:val="clear" w:color="auto" w:fill="auto"/>
                </w:tcPr>
                <w:p w:rsidR="009F53A3" w:rsidRPr="008B7CC1" w:rsidRDefault="009F53A3" w:rsidP="008E1EEE">
                  <w:pPr>
                    <w:spacing w:after="0" w:line="240" w:lineRule="auto"/>
                    <w:rPr>
                      <w:rFonts w:eastAsia="Calibri"/>
                      <w:color w:val="000000"/>
                      <w:lang w:val="en-US" w:eastAsia="en-US"/>
                    </w:rPr>
                  </w:pPr>
                </w:p>
              </w:tc>
              <w:tc>
                <w:tcPr>
                  <w:tcW w:w="504" w:type="pct"/>
                  <w:shd w:val="clear" w:color="auto" w:fill="auto"/>
                </w:tcPr>
                <w:p w:rsidR="009F53A3" w:rsidRPr="008B7CC1" w:rsidRDefault="009F53A3" w:rsidP="008E1EEE">
                  <w:pPr>
                    <w:spacing w:after="0" w:line="240" w:lineRule="auto"/>
                    <w:rPr>
                      <w:rFonts w:eastAsia="Calibri"/>
                      <w:color w:val="000000"/>
                      <w:lang w:val="en-US" w:eastAsia="en-US"/>
                    </w:rPr>
                  </w:pPr>
                  <w:r w:rsidRPr="008B7CC1">
                    <w:rPr>
                      <w:rFonts w:eastAsia="Calibri"/>
                      <w:color w:val="000000"/>
                      <w:lang w:val="en-US" w:eastAsia="en-US"/>
                    </w:rPr>
                    <w:t>144/233 (61.8%)</w:t>
                  </w:r>
                </w:p>
              </w:tc>
              <w:tc>
                <w:tcPr>
                  <w:tcW w:w="482" w:type="pct"/>
                  <w:shd w:val="clear" w:color="auto" w:fill="auto"/>
                </w:tcPr>
                <w:p w:rsidR="009F53A3" w:rsidRPr="008B7CC1" w:rsidRDefault="009F53A3" w:rsidP="008E1EEE">
                  <w:pPr>
                    <w:spacing w:after="0" w:line="240" w:lineRule="auto"/>
                    <w:rPr>
                      <w:rFonts w:eastAsia="Calibri"/>
                      <w:color w:val="000000"/>
                      <w:lang w:val="en-US" w:eastAsia="en-US"/>
                    </w:rPr>
                  </w:pPr>
                  <w:r w:rsidRPr="008B7CC1">
                    <w:rPr>
                      <w:rFonts w:eastAsia="Calibri"/>
                      <w:color w:val="000000"/>
                      <w:lang w:val="en-US" w:eastAsia="en-US"/>
                    </w:rPr>
                    <w:t>336/546 (61.5%)</w:t>
                  </w:r>
                </w:p>
              </w:tc>
              <w:tc>
                <w:tcPr>
                  <w:tcW w:w="678" w:type="pct"/>
                </w:tcPr>
                <w:p w:rsidR="009F53A3" w:rsidRPr="008B7CC1" w:rsidRDefault="009F53A3" w:rsidP="008E1EEE">
                  <w:pPr>
                    <w:spacing w:after="0" w:line="240" w:lineRule="auto"/>
                    <w:jc w:val="center"/>
                    <w:rPr>
                      <w:rFonts w:eastAsia="Calibri" w:cs="Calibri"/>
                      <w:color w:val="000000"/>
                      <w:lang w:val="en-US" w:eastAsia="en-US"/>
                    </w:rPr>
                  </w:pPr>
                  <w:r>
                    <w:rPr>
                      <w:rFonts w:eastAsia="Calibri" w:cs="Calibri"/>
                      <w:color w:val="000000"/>
                      <w:lang w:val="en-US" w:eastAsia="en-US"/>
                    </w:rPr>
                    <w:t>480/779 (61.6%)</w:t>
                  </w:r>
                </w:p>
              </w:tc>
              <w:tc>
                <w:tcPr>
                  <w:tcW w:w="582" w:type="pct"/>
                  <w:gridSpan w:val="2"/>
                  <w:shd w:val="clear" w:color="auto" w:fill="auto"/>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0.008</w:t>
                  </w:r>
                </w:p>
              </w:tc>
              <w:tc>
                <w:tcPr>
                  <w:tcW w:w="582" w:type="pct"/>
                  <w:shd w:val="clear" w:color="auto" w:fill="auto"/>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0.045</w:t>
                  </w:r>
                </w:p>
              </w:tc>
            </w:tr>
            <w:tr w:rsidR="009F53A3" w:rsidRPr="008B7CC1" w:rsidTr="00EF7A79">
              <w:tc>
                <w:tcPr>
                  <w:tcW w:w="643" w:type="pct"/>
                  <w:shd w:val="clear" w:color="auto" w:fill="C0C0C0"/>
                </w:tcPr>
                <w:p w:rsidR="009F53A3" w:rsidRPr="008B7CC1" w:rsidRDefault="009F53A3" w:rsidP="008E1EEE">
                  <w:pPr>
                    <w:autoSpaceDE w:val="0"/>
                    <w:autoSpaceDN w:val="0"/>
                    <w:adjustRightInd w:val="0"/>
                    <w:spacing w:after="0" w:line="240" w:lineRule="auto"/>
                    <w:rPr>
                      <w:rFonts w:eastAsia="Calibri" w:cs="Calibri"/>
                      <w:b/>
                      <w:bCs/>
                      <w:color w:val="000000"/>
                      <w:lang w:val="en-US" w:eastAsia="en-US"/>
                    </w:rPr>
                  </w:pPr>
                  <w:r w:rsidRPr="008B7CC1">
                    <w:rPr>
                      <w:rFonts w:eastAsia="Calibri" w:cs="Calibri"/>
                      <w:b/>
                      <w:bCs/>
                      <w:color w:val="000000"/>
                      <w:lang w:val="en-US" w:eastAsia="en-US"/>
                    </w:rPr>
                    <w:t>Age (years)</w:t>
                  </w:r>
                </w:p>
              </w:tc>
              <w:tc>
                <w:tcPr>
                  <w:tcW w:w="504" w:type="pct"/>
                  <w:tcBorders>
                    <w:left w:val="nil"/>
                    <w:right w:val="nil"/>
                  </w:tcBorders>
                  <w:shd w:val="clear" w:color="auto" w:fill="C0C0C0"/>
                </w:tcPr>
                <w:p w:rsidR="009F53A3" w:rsidRPr="008B7CC1" w:rsidRDefault="009F53A3" w:rsidP="008E1EEE">
                  <w:pPr>
                    <w:spacing w:after="0" w:line="240" w:lineRule="auto"/>
                    <w:rPr>
                      <w:rFonts w:eastAsia="Calibri"/>
                      <w:color w:val="000000"/>
                      <w:lang w:val="en-US" w:eastAsia="en-US"/>
                    </w:rPr>
                  </w:pPr>
                  <w:r w:rsidRPr="008B7CC1">
                    <w:rPr>
                      <w:rFonts w:eastAsia="Calibri" w:cs="Calibri"/>
                      <w:color w:val="000000"/>
                      <w:lang w:val="en-US" w:eastAsia="en-US"/>
                    </w:rPr>
                    <w:t>48.6 (16.7)</w:t>
                  </w:r>
                </w:p>
              </w:tc>
              <w:tc>
                <w:tcPr>
                  <w:tcW w:w="444" w:type="pct"/>
                  <w:shd w:val="clear" w:color="auto" w:fill="C0C0C0"/>
                </w:tcPr>
                <w:p w:rsidR="009F53A3" w:rsidRPr="008B7CC1" w:rsidRDefault="009F53A3" w:rsidP="008E1EEE">
                  <w:pPr>
                    <w:spacing w:after="0" w:line="240" w:lineRule="auto"/>
                    <w:rPr>
                      <w:rFonts w:eastAsia="Calibri"/>
                      <w:color w:val="000000"/>
                      <w:lang w:val="en-US" w:eastAsia="en-US"/>
                    </w:rPr>
                  </w:pPr>
                  <w:r w:rsidRPr="008B7CC1">
                    <w:rPr>
                      <w:rFonts w:eastAsia="Calibri" w:cs="Calibri"/>
                      <w:color w:val="000000"/>
                      <w:lang w:val="en-US" w:eastAsia="en-US"/>
                    </w:rPr>
                    <w:t>49.3 (16.4)</w:t>
                  </w:r>
                </w:p>
              </w:tc>
              <w:tc>
                <w:tcPr>
                  <w:tcW w:w="490" w:type="pct"/>
                  <w:shd w:val="clear" w:color="auto" w:fill="C0C0C0"/>
                </w:tcPr>
                <w:p w:rsidR="009F53A3" w:rsidRPr="008B7CC1" w:rsidRDefault="009F53A3" w:rsidP="008E1EEE">
                  <w:pPr>
                    <w:spacing w:after="0" w:line="240" w:lineRule="auto"/>
                    <w:rPr>
                      <w:rFonts w:eastAsia="Calibri"/>
                      <w:color w:val="000000"/>
                      <w:lang w:val="en-US" w:eastAsia="en-US"/>
                    </w:rPr>
                  </w:pPr>
                  <w:r>
                    <w:rPr>
                      <w:rFonts w:eastAsia="Calibri"/>
                      <w:color w:val="000000"/>
                      <w:lang w:val="en-US" w:eastAsia="en-US"/>
                    </w:rPr>
                    <w:t xml:space="preserve">49.0 (16.5) </w:t>
                  </w:r>
                </w:p>
              </w:tc>
              <w:tc>
                <w:tcPr>
                  <w:tcW w:w="91" w:type="pct"/>
                  <w:tcBorders>
                    <w:left w:val="nil"/>
                    <w:right w:val="nil"/>
                  </w:tcBorders>
                  <w:shd w:val="clear" w:color="auto" w:fill="C0C0C0"/>
                </w:tcPr>
                <w:p w:rsidR="009F53A3" w:rsidRPr="008B7CC1" w:rsidRDefault="009F53A3" w:rsidP="008E1EEE">
                  <w:pPr>
                    <w:spacing w:after="0" w:line="240" w:lineRule="auto"/>
                    <w:rPr>
                      <w:rFonts w:eastAsia="Calibri"/>
                      <w:color w:val="000000"/>
                      <w:lang w:val="en-US" w:eastAsia="en-US"/>
                    </w:rPr>
                  </w:pPr>
                </w:p>
              </w:tc>
              <w:tc>
                <w:tcPr>
                  <w:tcW w:w="504" w:type="pct"/>
                  <w:shd w:val="clear" w:color="auto" w:fill="C0C0C0"/>
                </w:tcPr>
                <w:p w:rsidR="009F53A3" w:rsidRPr="008B7CC1" w:rsidRDefault="009F53A3" w:rsidP="008E1EEE">
                  <w:pPr>
                    <w:spacing w:after="0" w:line="240" w:lineRule="auto"/>
                    <w:rPr>
                      <w:rFonts w:eastAsia="Calibri"/>
                      <w:color w:val="000000"/>
                      <w:lang w:val="en-US" w:eastAsia="en-US"/>
                    </w:rPr>
                  </w:pPr>
                  <w:r w:rsidRPr="008B7CC1">
                    <w:rPr>
                      <w:rFonts w:eastAsia="Calibri"/>
                      <w:color w:val="000000"/>
                      <w:lang w:val="en-US" w:eastAsia="en-US"/>
                    </w:rPr>
                    <w:t xml:space="preserve">54.6 (15.7) </w:t>
                  </w:r>
                </w:p>
              </w:tc>
              <w:tc>
                <w:tcPr>
                  <w:tcW w:w="482" w:type="pct"/>
                  <w:tcBorders>
                    <w:left w:val="nil"/>
                    <w:right w:val="nil"/>
                  </w:tcBorders>
                  <w:shd w:val="clear" w:color="auto" w:fill="C0C0C0"/>
                </w:tcPr>
                <w:p w:rsidR="009F53A3" w:rsidRPr="008B7CC1" w:rsidRDefault="009F53A3" w:rsidP="008E1EEE">
                  <w:pPr>
                    <w:spacing w:after="0" w:line="240" w:lineRule="auto"/>
                    <w:rPr>
                      <w:rFonts w:eastAsia="Calibri"/>
                      <w:color w:val="000000"/>
                      <w:lang w:val="en-US" w:eastAsia="en-US"/>
                    </w:rPr>
                  </w:pPr>
                  <w:r w:rsidRPr="008B7CC1">
                    <w:rPr>
                      <w:rFonts w:eastAsia="Calibri"/>
                      <w:color w:val="000000"/>
                      <w:lang w:val="en-US" w:eastAsia="en-US"/>
                    </w:rPr>
                    <w:t xml:space="preserve">48.6 (16.9) </w:t>
                  </w:r>
                </w:p>
              </w:tc>
              <w:tc>
                <w:tcPr>
                  <w:tcW w:w="678" w:type="pct"/>
                  <w:shd w:val="clear" w:color="auto" w:fill="C0C0C0"/>
                </w:tcPr>
                <w:p w:rsidR="009F53A3" w:rsidRPr="008B7CC1" w:rsidRDefault="009F53A3" w:rsidP="008E1EEE">
                  <w:pPr>
                    <w:spacing w:after="0" w:line="240" w:lineRule="auto"/>
                    <w:jc w:val="center"/>
                    <w:rPr>
                      <w:rFonts w:eastAsia="Calibri" w:cs="Calibri"/>
                      <w:color w:val="000000"/>
                      <w:lang w:val="en-US" w:eastAsia="en-US"/>
                    </w:rPr>
                  </w:pPr>
                  <w:r w:rsidRPr="0015110F">
                    <w:rPr>
                      <w:rFonts w:eastAsia="Calibri" w:cs="Calibri"/>
                      <w:color w:val="000000"/>
                      <w:lang w:val="en-US" w:eastAsia="en-US"/>
                    </w:rPr>
                    <w:t>51.5</w:t>
                  </w:r>
                  <w:r>
                    <w:rPr>
                      <w:rFonts w:eastAsia="Calibri" w:cs="Calibri"/>
                      <w:color w:val="000000"/>
                      <w:lang w:val="en-US" w:eastAsia="en-US"/>
                    </w:rPr>
                    <w:t xml:space="preserve"> (17.1) </w:t>
                  </w:r>
                </w:p>
              </w:tc>
              <w:tc>
                <w:tcPr>
                  <w:tcW w:w="582" w:type="pct"/>
                  <w:gridSpan w:val="2"/>
                  <w:shd w:val="clear" w:color="auto" w:fill="C0C0C0"/>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0.383</w:t>
                  </w:r>
                </w:p>
              </w:tc>
              <w:tc>
                <w:tcPr>
                  <w:tcW w:w="582" w:type="pct"/>
                  <w:tcBorders>
                    <w:left w:val="nil"/>
                    <w:right w:val="nil"/>
                  </w:tcBorders>
                  <w:shd w:val="clear" w:color="auto" w:fill="C0C0C0"/>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0.022</w:t>
                  </w:r>
                </w:p>
              </w:tc>
            </w:tr>
            <w:tr w:rsidR="009F53A3" w:rsidRPr="008B7CC1" w:rsidTr="00EF7A79">
              <w:tc>
                <w:tcPr>
                  <w:tcW w:w="643" w:type="pct"/>
                  <w:shd w:val="clear" w:color="auto" w:fill="auto"/>
                </w:tcPr>
                <w:p w:rsidR="009F53A3" w:rsidRPr="008B7CC1" w:rsidRDefault="009F53A3" w:rsidP="008E1EEE">
                  <w:pPr>
                    <w:spacing w:after="0" w:line="240" w:lineRule="auto"/>
                    <w:rPr>
                      <w:rFonts w:eastAsia="Calibri"/>
                      <w:b/>
                      <w:bCs/>
                      <w:color w:val="000000"/>
                      <w:lang w:val="en-US" w:eastAsia="en-US"/>
                    </w:rPr>
                  </w:pPr>
                  <w:r w:rsidRPr="008B7CC1">
                    <w:rPr>
                      <w:rFonts w:eastAsia="Calibri"/>
                      <w:b/>
                      <w:bCs/>
                      <w:color w:val="000000"/>
                      <w:lang w:val="en-US" w:eastAsia="en-US"/>
                    </w:rPr>
                    <w:t xml:space="preserve">Non-smoker </w:t>
                  </w:r>
                </w:p>
                <w:p w:rsidR="009F53A3" w:rsidRPr="008B7CC1" w:rsidRDefault="009F53A3" w:rsidP="008E1EEE">
                  <w:pPr>
                    <w:spacing w:after="0" w:line="240" w:lineRule="auto"/>
                    <w:rPr>
                      <w:rFonts w:eastAsia="Calibri"/>
                      <w:bCs/>
                      <w:color w:val="000000"/>
                      <w:lang w:val="en-US" w:eastAsia="en-US"/>
                    </w:rPr>
                  </w:pPr>
                  <w:r w:rsidRPr="008B7CC1">
                    <w:rPr>
                      <w:rFonts w:eastAsia="Calibri"/>
                      <w:b/>
                      <w:bCs/>
                      <w:color w:val="000000"/>
                      <w:lang w:val="en-US" w:eastAsia="en-US"/>
                    </w:rPr>
                    <w:t>(past or present)</w:t>
                  </w:r>
                </w:p>
              </w:tc>
              <w:tc>
                <w:tcPr>
                  <w:tcW w:w="504" w:type="pct"/>
                  <w:shd w:val="clear" w:color="auto" w:fill="auto"/>
                </w:tcPr>
                <w:p w:rsidR="009F53A3" w:rsidRPr="008B7CC1" w:rsidRDefault="009F53A3" w:rsidP="008E1EEE">
                  <w:pPr>
                    <w:spacing w:after="0" w:line="240" w:lineRule="auto"/>
                    <w:rPr>
                      <w:rFonts w:eastAsia="Calibri"/>
                      <w:color w:val="000000"/>
                      <w:lang w:val="en-US" w:eastAsia="en-US"/>
                    </w:rPr>
                  </w:pPr>
                  <w:r w:rsidRPr="008B7CC1">
                    <w:rPr>
                      <w:rFonts w:eastAsia="Calibri" w:cs="Calibri"/>
                      <w:color w:val="000000"/>
                      <w:lang w:val="en-US" w:eastAsia="en-US"/>
                    </w:rPr>
                    <w:t>477/1037 (46.0%)</w:t>
                  </w:r>
                </w:p>
              </w:tc>
              <w:tc>
                <w:tcPr>
                  <w:tcW w:w="444" w:type="pct"/>
                  <w:shd w:val="clear" w:color="auto" w:fill="auto"/>
                </w:tcPr>
                <w:p w:rsidR="009F53A3" w:rsidRPr="008B7CC1" w:rsidRDefault="009F53A3" w:rsidP="008E1EEE">
                  <w:pPr>
                    <w:spacing w:after="0" w:line="240" w:lineRule="auto"/>
                    <w:rPr>
                      <w:rFonts w:eastAsia="Calibri"/>
                      <w:color w:val="000000"/>
                      <w:lang w:val="en-US" w:eastAsia="en-US"/>
                    </w:rPr>
                  </w:pPr>
                  <w:r w:rsidRPr="008B7CC1">
                    <w:rPr>
                      <w:rFonts w:eastAsia="Calibri" w:cs="Calibri"/>
                      <w:color w:val="000000"/>
                      <w:lang w:val="en-US" w:eastAsia="en-US"/>
                    </w:rPr>
                    <w:t>483/1022 (47.3%)</w:t>
                  </w:r>
                </w:p>
              </w:tc>
              <w:tc>
                <w:tcPr>
                  <w:tcW w:w="490" w:type="pct"/>
                </w:tcPr>
                <w:p w:rsidR="009F53A3" w:rsidRPr="008B7CC1" w:rsidRDefault="009F53A3" w:rsidP="008E1EEE">
                  <w:pPr>
                    <w:spacing w:after="0" w:line="240" w:lineRule="auto"/>
                    <w:rPr>
                      <w:rFonts w:eastAsia="Calibri"/>
                      <w:color w:val="000000"/>
                      <w:lang w:val="en-US" w:eastAsia="en-US"/>
                    </w:rPr>
                  </w:pPr>
                  <w:r>
                    <w:rPr>
                      <w:rFonts w:eastAsia="Calibri"/>
                      <w:color w:val="000000"/>
                      <w:lang w:val="en-US" w:eastAsia="en-US"/>
                    </w:rPr>
                    <w:t>960/2059 (46.6%)</w:t>
                  </w:r>
                </w:p>
              </w:tc>
              <w:tc>
                <w:tcPr>
                  <w:tcW w:w="91" w:type="pct"/>
                  <w:shd w:val="clear" w:color="auto" w:fill="auto"/>
                </w:tcPr>
                <w:p w:rsidR="009F53A3" w:rsidRPr="008B7CC1" w:rsidRDefault="009F53A3" w:rsidP="008E1EEE">
                  <w:pPr>
                    <w:spacing w:after="0" w:line="240" w:lineRule="auto"/>
                    <w:rPr>
                      <w:rFonts w:eastAsia="Calibri"/>
                      <w:color w:val="000000"/>
                      <w:lang w:val="en-US" w:eastAsia="en-US"/>
                    </w:rPr>
                  </w:pPr>
                </w:p>
              </w:tc>
              <w:tc>
                <w:tcPr>
                  <w:tcW w:w="504" w:type="pct"/>
                  <w:shd w:val="clear" w:color="auto" w:fill="auto"/>
                </w:tcPr>
                <w:p w:rsidR="009F53A3" w:rsidRPr="008B7CC1" w:rsidRDefault="009F53A3" w:rsidP="008E1EEE">
                  <w:pPr>
                    <w:spacing w:after="0" w:line="240" w:lineRule="auto"/>
                    <w:rPr>
                      <w:rFonts w:eastAsia="Calibri"/>
                      <w:color w:val="000000"/>
                      <w:lang w:val="en-US" w:eastAsia="en-US"/>
                    </w:rPr>
                  </w:pPr>
                  <w:r w:rsidRPr="008B7CC1">
                    <w:rPr>
                      <w:rFonts w:eastAsia="Calibri"/>
                      <w:color w:val="000000"/>
                      <w:lang w:val="en-US" w:eastAsia="en-US"/>
                    </w:rPr>
                    <w:t>148/233 (63.5%)</w:t>
                  </w:r>
                </w:p>
              </w:tc>
              <w:tc>
                <w:tcPr>
                  <w:tcW w:w="482" w:type="pct"/>
                  <w:shd w:val="clear" w:color="auto" w:fill="auto"/>
                </w:tcPr>
                <w:p w:rsidR="009F53A3" w:rsidRPr="008B7CC1" w:rsidRDefault="009F53A3" w:rsidP="008E1EEE">
                  <w:pPr>
                    <w:spacing w:after="0" w:line="240" w:lineRule="auto"/>
                    <w:rPr>
                      <w:rFonts w:eastAsia="Calibri"/>
                      <w:color w:val="000000"/>
                      <w:lang w:val="en-US" w:eastAsia="en-US"/>
                    </w:rPr>
                  </w:pPr>
                  <w:r w:rsidRPr="008B7CC1">
                    <w:rPr>
                      <w:rFonts w:eastAsia="Calibri"/>
                      <w:color w:val="000000"/>
                      <w:lang w:val="en-US" w:eastAsia="en-US"/>
                    </w:rPr>
                    <w:t>289/545 (53.0%)</w:t>
                  </w:r>
                </w:p>
              </w:tc>
              <w:tc>
                <w:tcPr>
                  <w:tcW w:w="678" w:type="pct"/>
                </w:tcPr>
                <w:p w:rsidR="009F53A3" w:rsidRPr="008B7CC1" w:rsidRDefault="009F53A3" w:rsidP="008E1EEE">
                  <w:pPr>
                    <w:spacing w:after="0" w:line="240" w:lineRule="auto"/>
                    <w:jc w:val="center"/>
                    <w:rPr>
                      <w:rFonts w:eastAsia="Calibri" w:cs="Calibri"/>
                      <w:color w:val="000000"/>
                      <w:lang w:val="en-US" w:eastAsia="en-US"/>
                    </w:rPr>
                  </w:pPr>
                  <w:r>
                    <w:rPr>
                      <w:rFonts w:eastAsia="Calibri" w:cs="Calibri"/>
                      <w:color w:val="000000"/>
                      <w:lang w:val="en-US" w:eastAsia="en-US"/>
                    </w:rPr>
                    <w:t>437/778 (56.2%)</w:t>
                  </w:r>
                </w:p>
              </w:tc>
              <w:tc>
                <w:tcPr>
                  <w:tcW w:w="582" w:type="pct"/>
                  <w:gridSpan w:val="2"/>
                  <w:shd w:val="clear" w:color="auto" w:fill="auto"/>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0.383</w:t>
                  </w:r>
                </w:p>
              </w:tc>
              <w:tc>
                <w:tcPr>
                  <w:tcW w:w="582" w:type="pct"/>
                  <w:shd w:val="clear" w:color="auto" w:fill="auto"/>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0.006</w:t>
                  </w:r>
                </w:p>
              </w:tc>
            </w:tr>
            <w:tr w:rsidR="009F53A3" w:rsidRPr="008B7CC1" w:rsidTr="00EF7A79">
              <w:tc>
                <w:tcPr>
                  <w:tcW w:w="643" w:type="pct"/>
                  <w:shd w:val="clear" w:color="auto" w:fill="C0C0C0"/>
                </w:tcPr>
                <w:p w:rsidR="009F53A3" w:rsidRPr="008B7CC1" w:rsidRDefault="009F53A3" w:rsidP="008E1EEE">
                  <w:pPr>
                    <w:spacing w:after="0" w:line="240" w:lineRule="auto"/>
                    <w:rPr>
                      <w:rFonts w:eastAsia="Calibri"/>
                      <w:b/>
                      <w:bCs/>
                      <w:color w:val="000000"/>
                      <w:lang w:val="en-US" w:eastAsia="en-US"/>
                    </w:rPr>
                  </w:pPr>
                  <w:r w:rsidRPr="008B7CC1">
                    <w:rPr>
                      <w:rFonts w:eastAsia="Calibri"/>
                      <w:b/>
                      <w:bCs/>
                      <w:color w:val="000000"/>
                      <w:lang w:val="en-US" w:eastAsia="en-US"/>
                    </w:rPr>
                    <w:t xml:space="preserve">Illness duration before </w:t>
                  </w:r>
                  <w:r w:rsidRPr="008B7CC1">
                    <w:rPr>
                      <w:rFonts w:eastAsia="Calibri"/>
                      <w:b/>
                      <w:bCs/>
                      <w:color w:val="000000"/>
                      <w:lang w:val="en-US" w:eastAsia="en-US"/>
                    </w:rPr>
                    <w:lastRenderedPageBreak/>
                    <w:t>index consultation (days)</w:t>
                  </w:r>
                </w:p>
              </w:tc>
              <w:tc>
                <w:tcPr>
                  <w:tcW w:w="504" w:type="pct"/>
                  <w:tcBorders>
                    <w:left w:val="nil"/>
                    <w:right w:val="nil"/>
                  </w:tcBorders>
                  <w:shd w:val="clear" w:color="auto" w:fill="C0C0C0"/>
                </w:tcPr>
                <w:p w:rsidR="009F53A3" w:rsidRPr="008B7CC1" w:rsidRDefault="009F53A3" w:rsidP="008E1EEE">
                  <w:pPr>
                    <w:spacing w:after="0" w:line="240" w:lineRule="auto"/>
                    <w:rPr>
                      <w:rFonts w:eastAsia="Calibri"/>
                      <w:color w:val="000000"/>
                      <w:lang w:val="en-US" w:eastAsia="en-US"/>
                    </w:rPr>
                  </w:pPr>
                  <w:r w:rsidRPr="008B7CC1">
                    <w:rPr>
                      <w:rFonts w:eastAsia="Calibri" w:cs="Calibri"/>
                      <w:color w:val="000000"/>
                      <w:lang w:val="en-US" w:eastAsia="en-US"/>
                    </w:rPr>
                    <w:lastRenderedPageBreak/>
                    <w:t>9.5 (8.0)</w:t>
                  </w:r>
                </w:p>
              </w:tc>
              <w:tc>
                <w:tcPr>
                  <w:tcW w:w="444" w:type="pct"/>
                  <w:shd w:val="clear" w:color="auto" w:fill="C0C0C0"/>
                </w:tcPr>
                <w:p w:rsidR="009F53A3" w:rsidRPr="008B7CC1" w:rsidRDefault="009F53A3" w:rsidP="008E1EEE">
                  <w:pPr>
                    <w:spacing w:after="0" w:line="240" w:lineRule="auto"/>
                    <w:rPr>
                      <w:rFonts w:eastAsia="Calibri"/>
                      <w:color w:val="000000"/>
                      <w:lang w:val="en-US" w:eastAsia="en-US"/>
                    </w:rPr>
                  </w:pPr>
                  <w:r w:rsidRPr="008B7CC1">
                    <w:rPr>
                      <w:rFonts w:eastAsia="Calibri" w:cs="Calibri"/>
                      <w:color w:val="000000"/>
                      <w:lang w:val="en-US" w:eastAsia="en-US"/>
                    </w:rPr>
                    <w:t>9.3 (7.2)</w:t>
                  </w:r>
                </w:p>
              </w:tc>
              <w:tc>
                <w:tcPr>
                  <w:tcW w:w="490" w:type="pct"/>
                  <w:shd w:val="clear" w:color="auto" w:fill="C0C0C0"/>
                </w:tcPr>
                <w:p w:rsidR="009F53A3" w:rsidRPr="008B7CC1" w:rsidRDefault="009F53A3" w:rsidP="008E1EEE">
                  <w:pPr>
                    <w:spacing w:after="0" w:line="240" w:lineRule="auto"/>
                    <w:rPr>
                      <w:rFonts w:eastAsia="Calibri"/>
                      <w:color w:val="000000"/>
                      <w:lang w:val="en-US" w:eastAsia="en-US"/>
                    </w:rPr>
                  </w:pPr>
                </w:p>
              </w:tc>
              <w:tc>
                <w:tcPr>
                  <w:tcW w:w="91" w:type="pct"/>
                  <w:tcBorders>
                    <w:left w:val="nil"/>
                    <w:right w:val="nil"/>
                  </w:tcBorders>
                  <w:shd w:val="clear" w:color="auto" w:fill="C0C0C0"/>
                </w:tcPr>
                <w:p w:rsidR="009F53A3" w:rsidRPr="008B7CC1" w:rsidRDefault="009F53A3" w:rsidP="008E1EEE">
                  <w:pPr>
                    <w:spacing w:after="0" w:line="240" w:lineRule="auto"/>
                    <w:rPr>
                      <w:rFonts w:eastAsia="Calibri"/>
                      <w:color w:val="000000"/>
                      <w:lang w:val="en-US" w:eastAsia="en-US"/>
                    </w:rPr>
                  </w:pPr>
                </w:p>
              </w:tc>
              <w:tc>
                <w:tcPr>
                  <w:tcW w:w="504" w:type="pct"/>
                  <w:shd w:val="clear" w:color="auto" w:fill="C0C0C0"/>
                </w:tcPr>
                <w:p w:rsidR="009F53A3" w:rsidRPr="008B7CC1" w:rsidRDefault="009F53A3" w:rsidP="008E1EEE">
                  <w:pPr>
                    <w:spacing w:after="0" w:line="240" w:lineRule="auto"/>
                    <w:rPr>
                      <w:rFonts w:eastAsia="Calibri"/>
                      <w:color w:val="000000"/>
                      <w:lang w:val="en-US" w:eastAsia="en-US"/>
                    </w:rPr>
                  </w:pPr>
                  <w:r w:rsidRPr="008B7CC1">
                    <w:rPr>
                      <w:rFonts w:eastAsia="Calibri"/>
                      <w:color w:val="000000"/>
                      <w:lang w:val="en-US" w:eastAsia="en-US"/>
                    </w:rPr>
                    <w:t xml:space="preserve">9.1 (6.3) </w:t>
                  </w:r>
                </w:p>
              </w:tc>
              <w:tc>
                <w:tcPr>
                  <w:tcW w:w="482" w:type="pct"/>
                  <w:tcBorders>
                    <w:left w:val="nil"/>
                    <w:right w:val="nil"/>
                  </w:tcBorders>
                  <w:shd w:val="clear" w:color="auto" w:fill="C0C0C0"/>
                </w:tcPr>
                <w:p w:rsidR="009F53A3" w:rsidRPr="008B7CC1" w:rsidRDefault="009F53A3" w:rsidP="008E1EEE">
                  <w:pPr>
                    <w:spacing w:after="0" w:line="240" w:lineRule="auto"/>
                    <w:rPr>
                      <w:rFonts w:eastAsia="Calibri"/>
                      <w:color w:val="000000"/>
                      <w:lang w:val="en-US" w:eastAsia="en-US"/>
                    </w:rPr>
                  </w:pPr>
                  <w:r w:rsidRPr="008B7CC1">
                    <w:rPr>
                      <w:rFonts w:eastAsia="Calibri"/>
                      <w:color w:val="000000"/>
                      <w:lang w:val="en-US" w:eastAsia="en-US"/>
                    </w:rPr>
                    <w:t xml:space="preserve">9.8 (7.8) </w:t>
                  </w:r>
                </w:p>
              </w:tc>
              <w:tc>
                <w:tcPr>
                  <w:tcW w:w="678" w:type="pct"/>
                  <w:shd w:val="clear" w:color="auto" w:fill="C0C0C0"/>
                </w:tcPr>
                <w:p w:rsidR="009F53A3" w:rsidRPr="008B7CC1" w:rsidRDefault="009F53A3" w:rsidP="008E1EEE">
                  <w:pPr>
                    <w:spacing w:after="0" w:line="240" w:lineRule="auto"/>
                    <w:jc w:val="center"/>
                    <w:rPr>
                      <w:rFonts w:eastAsia="Calibri" w:cs="Calibri"/>
                      <w:color w:val="000000"/>
                      <w:lang w:val="en-US" w:eastAsia="en-US"/>
                    </w:rPr>
                  </w:pPr>
                  <w:r>
                    <w:rPr>
                      <w:rFonts w:eastAsia="Calibri" w:cs="Calibri"/>
                      <w:color w:val="000000"/>
                      <w:lang w:val="en-US" w:eastAsia="en-US"/>
                    </w:rPr>
                    <w:t>9.5 (7.1)</w:t>
                  </w:r>
                </w:p>
              </w:tc>
              <w:tc>
                <w:tcPr>
                  <w:tcW w:w="582" w:type="pct"/>
                  <w:gridSpan w:val="2"/>
                  <w:shd w:val="clear" w:color="auto" w:fill="C0C0C0"/>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0.212</w:t>
                  </w:r>
                </w:p>
              </w:tc>
              <w:tc>
                <w:tcPr>
                  <w:tcW w:w="582" w:type="pct"/>
                  <w:tcBorders>
                    <w:left w:val="nil"/>
                    <w:right w:val="nil"/>
                  </w:tcBorders>
                  <w:shd w:val="clear" w:color="auto" w:fill="C0C0C0"/>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0.066</w:t>
                  </w:r>
                </w:p>
              </w:tc>
            </w:tr>
            <w:tr w:rsidR="009F53A3" w:rsidRPr="008B7CC1" w:rsidTr="00EF7A79">
              <w:tc>
                <w:tcPr>
                  <w:tcW w:w="643" w:type="pct"/>
                  <w:shd w:val="clear" w:color="auto" w:fill="auto"/>
                </w:tcPr>
                <w:p w:rsidR="009F53A3" w:rsidRPr="008B7CC1" w:rsidRDefault="009F53A3" w:rsidP="008E1EEE">
                  <w:pPr>
                    <w:spacing w:after="0" w:line="240" w:lineRule="auto"/>
                    <w:rPr>
                      <w:rFonts w:eastAsia="Calibri"/>
                      <w:b/>
                      <w:bCs/>
                      <w:color w:val="000000"/>
                      <w:lang w:val="en-US" w:eastAsia="en-US"/>
                    </w:rPr>
                  </w:pPr>
                  <w:r w:rsidRPr="008B7CC1">
                    <w:rPr>
                      <w:rFonts w:eastAsia="Calibri"/>
                      <w:b/>
                      <w:bCs/>
                      <w:color w:val="000000"/>
                      <w:lang w:val="en-US" w:eastAsia="en-US"/>
                    </w:rPr>
                    <w:lastRenderedPageBreak/>
                    <w:t xml:space="preserve">Respiratory rate </w:t>
                  </w:r>
                </w:p>
                <w:p w:rsidR="009F53A3" w:rsidRPr="008B7CC1" w:rsidRDefault="009F53A3" w:rsidP="008E1EEE">
                  <w:pPr>
                    <w:spacing w:after="0" w:line="240" w:lineRule="auto"/>
                    <w:rPr>
                      <w:rFonts w:eastAsia="Calibri"/>
                      <w:b/>
                      <w:bCs/>
                      <w:color w:val="000000"/>
                      <w:lang w:val="en-US" w:eastAsia="en-US"/>
                    </w:rPr>
                  </w:pPr>
                  <w:r w:rsidRPr="008B7CC1">
                    <w:rPr>
                      <w:rFonts w:eastAsia="Calibri"/>
                      <w:b/>
                      <w:bCs/>
                      <w:color w:val="000000"/>
                      <w:lang w:val="en-US" w:eastAsia="en-US"/>
                    </w:rPr>
                    <w:t>(breaths per minute)</w:t>
                  </w:r>
                </w:p>
              </w:tc>
              <w:tc>
                <w:tcPr>
                  <w:tcW w:w="504" w:type="pct"/>
                  <w:shd w:val="clear" w:color="auto" w:fill="auto"/>
                </w:tcPr>
                <w:p w:rsidR="009F53A3" w:rsidRPr="008B7CC1" w:rsidRDefault="009F53A3" w:rsidP="008E1EEE">
                  <w:pPr>
                    <w:spacing w:after="0" w:line="240" w:lineRule="auto"/>
                    <w:rPr>
                      <w:rFonts w:eastAsia="Calibri"/>
                      <w:color w:val="000000"/>
                      <w:lang w:val="en-US" w:eastAsia="en-US"/>
                    </w:rPr>
                  </w:pPr>
                  <w:r w:rsidRPr="008B7CC1">
                    <w:rPr>
                      <w:rFonts w:eastAsia="Calibri" w:cs="Calibri"/>
                      <w:color w:val="000000"/>
                      <w:lang w:val="en-US" w:eastAsia="en-US"/>
                    </w:rPr>
                    <w:t>16.9 (3.3)</w:t>
                  </w:r>
                </w:p>
              </w:tc>
              <w:tc>
                <w:tcPr>
                  <w:tcW w:w="444" w:type="pct"/>
                  <w:shd w:val="clear" w:color="auto" w:fill="auto"/>
                </w:tcPr>
                <w:p w:rsidR="009F53A3" w:rsidRPr="008B7CC1" w:rsidRDefault="009F53A3" w:rsidP="008E1EEE">
                  <w:pPr>
                    <w:spacing w:after="0" w:line="240" w:lineRule="auto"/>
                    <w:rPr>
                      <w:rFonts w:eastAsia="Calibri"/>
                      <w:color w:val="000000"/>
                      <w:lang w:val="en-US" w:eastAsia="en-US"/>
                    </w:rPr>
                  </w:pPr>
                  <w:r w:rsidRPr="008B7CC1">
                    <w:rPr>
                      <w:rFonts w:eastAsia="Calibri" w:cs="Calibri"/>
                      <w:color w:val="000000"/>
                      <w:lang w:val="en-US" w:eastAsia="en-US"/>
                    </w:rPr>
                    <w:t>16.9 (3.3)</w:t>
                  </w:r>
                </w:p>
              </w:tc>
              <w:tc>
                <w:tcPr>
                  <w:tcW w:w="490" w:type="pct"/>
                </w:tcPr>
                <w:p w:rsidR="009F53A3" w:rsidRPr="008B7CC1" w:rsidRDefault="009F53A3" w:rsidP="008E1EEE">
                  <w:pPr>
                    <w:spacing w:after="0" w:line="240" w:lineRule="auto"/>
                    <w:rPr>
                      <w:rFonts w:eastAsia="Calibri"/>
                      <w:color w:val="000000"/>
                      <w:lang w:val="en-US" w:eastAsia="en-US"/>
                    </w:rPr>
                  </w:pPr>
                  <w:r>
                    <w:rPr>
                      <w:rFonts w:eastAsia="Calibri"/>
                      <w:color w:val="000000"/>
                      <w:lang w:val="en-US" w:eastAsia="en-US"/>
                    </w:rPr>
                    <w:t>16.9 (3.3)</w:t>
                  </w:r>
                </w:p>
              </w:tc>
              <w:tc>
                <w:tcPr>
                  <w:tcW w:w="91" w:type="pct"/>
                  <w:shd w:val="clear" w:color="auto" w:fill="auto"/>
                </w:tcPr>
                <w:p w:rsidR="009F53A3" w:rsidRPr="008B7CC1" w:rsidRDefault="009F53A3" w:rsidP="008E1EEE">
                  <w:pPr>
                    <w:spacing w:after="0" w:line="240" w:lineRule="auto"/>
                    <w:rPr>
                      <w:rFonts w:eastAsia="Calibri"/>
                      <w:color w:val="000000"/>
                      <w:lang w:val="en-US" w:eastAsia="en-US"/>
                    </w:rPr>
                  </w:pPr>
                </w:p>
              </w:tc>
              <w:tc>
                <w:tcPr>
                  <w:tcW w:w="504" w:type="pct"/>
                  <w:shd w:val="clear" w:color="auto" w:fill="auto"/>
                </w:tcPr>
                <w:p w:rsidR="009F53A3" w:rsidRPr="008B7CC1" w:rsidRDefault="009F53A3" w:rsidP="008E1EEE">
                  <w:pPr>
                    <w:spacing w:after="0" w:line="240" w:lineRule="auto"/>
                    <w:rPr>
                      <w:rFonts w:eastAsia="Calibri"/>
                      <w:color w:val="000000"/>
                      <w:lang w:val="en-US" w:eastAsia="en-US"/>
                    </w:rPr>
                  </w:pPr>
                  <w:r w:rsidRPr="008B7CC1">
                    <w:rPr>
                      <w:rFonts w:eastAsia="Calibri"/>
                      <w:color w:val="000000"/>
                      <w:lang w:val="en-US" w:eastAsia="en-US"/>
                    </w:rPr>
                    <w:t xml:space="preserve">17.9 (3.9)  </w:t>
                  </w:r>
                </w:p>
              </w:tc>
              <w:tc>
                <w:tcPr>
                  <w:tcW w:w="482" w:type="pct"/>
                  <w:shd w:val="clear" w:color="auto" w:fill="auto"/>
                </w:tcPr>
                <w:p w:rsidR="009F53A3" w:rsidRPr="008B7CC1" w:rsidRDefault="009F53A3" w:rsidP="008E1EEE">
                  <w:pPr>
                    <w:spacing w:after="0" w:line="240" w:lineRule="auto"/>
                    <w:rPr>
                      <w:rFonts w:eastAsia="Calibri"/>
                      <w:color w:val="000000"/>
                      <w:lang w:val="en-US" w:eastAsia="en-US"/>
                    </w:rPr>
                  </w:pPr>
                  <w:r w:rsidRPr="008B7CC1">
                    <w:rPr>
                      <w:rFonts w:eastAsia="Calibri"/>
                      <w:color w:val="000000"/>
                      <w:lang w:val="en-US" w:eastAsia="en-US"/>
                    </w:rPr>
                    <w:t>16.9 (4.2)</w:t>
                  </w:r>
                </w:p>
              </w:tc>
              <w:tc>
                <w:tcPr>
                  <w:tcW w:w="678" w:type="pct"/>
                </w:tcPr>
                <w:p w:rsidR="009F53A3" w:rsidRPr="008B7CC1" w:rsidRDefault="009F53A3" w:rsidP="008E1EEE">
                  <w:pPr>
                    <w:spacing w:after="0" w:line="240" w:lineRule="auto"/>
                    <w:jc w:val="center"/>
                    <w:rPr>
                      <w:rFonts w:eastAsia="Calibri" w:cs="Calibri"/>
                      <w:color w:val="000000"/>
                      <w:lang w:val="en-US" w:eastAsia="en-US"/>
                    </w:rPr>
                  </w:pPr>
                  <w:r w:rsidRPr="00CD4D64">
                    <w:rPr>
                      <w:rFonts w:eastAsia="Calibri" w:cs="Calibri"/>
                      <w:color w:val="000000"/>
                      <w:lang w:val="en-US" w:eastAsia="en-US"/>
                    </w:rPr>
                    <w:t>17.1</w:t>
                  </w:r>
                  <w:r>
                    <w:rPr>
                      <w:rFonts w:eastAsia="Calibri" w:cs="Calibri"/>
                      <w:color w:val="000000"/>
                      <w:lang w:val="en-US" w:eastAsia="en-US"/>
                    </w:rPr>
                    <w:t xml:space="preserve"> (4.0) </w:t>
                  </w:r>
                </w:p>
              </w:tc>
              <w:tc>
                <w:tcPr>
                  <w:tcW w:w="582" w:type="pct"/>
                  <w:gridSpan w:val="2"/>
                  <w:shd w:val="clear" w:color="auto" w:fill="auto"/>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0.262</w:t>
                  </w:r>
                </w:p>
              </w:tc>
              <w:tc>
                <w:tcPr>
                  <w:tcW w:w="582" w:type="pct"/>
                  <w:shd w:val="clear" w:color="auto" w:fill="auto"/>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-0.004</w:t>
                  </w:r>
                </w:p>
              </w:tc>
            </w:tr>
            <w:tr w:rsidR="009F53A3" w:rsidRPr="008B7CC1" w:rsidTr="00EF7A79">
              <w:tc>
                <w:tcPr>
                  <w:tcW w:w="643" w:type="pct"/>
                  <w:shd w:val="clear" w:color="auto" w:fill="C0C0C0"/>
                </w:tcPr>
                <w:p w:rsidR="009F53A3" w:rsidRPr="008B7CC1" w:rsidRDefault="009F53A3" w:rsidP="008E1EEE">
                  <w:pPr>
                    <w:spacing w:after="0" w:line="240" w:lineRule="auto"/>
                    <w:rPr>
                      <w:rFonts w:eastAsia="Calibri"/>
                      <w:b/>
                      <w:bCs/>
                      <w:color w:val="000000"/>
                      <w:lang w:val="en-US" w:eastAsia="en-US"/>
                    </w:rPr>
                  </w:pPr>
                  <w:r w:rsidRPr="008B7CC1">
                    <w:rPr>
                      <w:rFonts w:eastAsia="Calibri"/>
                      <w:b/>
                      <w:bCs/>
                      <w:color w:val="000000"/>
                      <w:lang w:val="en-US" w:eastAsia="en-US"/>
                    </w:rPr>
                    <w:t>Temperature (</w:t>
                  </w:r>
                  <w:r w:rsidRPr="008B7CC1">
                    <w:rPr>
                      <w:rFonts w:eastAsia="Calibri" w:cs="Calibri"/>
                      <w:b/>
                      <w:bCs/>
                      <w:color w:val="000000"/>
                      <w:lang w:val="en-US" w:eastAsia="en-US"/>
                    </w:rPr>
                    <w:t>°</w:t>
                  </w:r>
                  <w:r w:rsidRPr="008B7CC1">
                    <w:rPr>
                      <w:rFonts w:eastAsia="Calibri"/>
                      <w:b/>
                      <w:bCs/>
                      <w:color w:val="000000"/>
                      <w:lang w:val="en-US" w:eastAsia="en-US"/>
                    </w:rPr>
                    <w:t>C)</w:t>
                  </w:r>
                </w:p>
              </w:tc>
              <w:tc>
                <w:tcPr>
                  <w:tcW w:w="504" w:type="pct"/>
                  <w:tcBorders>
                    <w:left w:val="nil"/>
                    <w:right w:val="nil"/>
                  </w:tcBorders>
                  <w:shd w:val="clear" w:color="auto" w:fill="C0C0C0"/>
                </w:tcPr>
                <w:p w:rsidR="009F53A3" w:rsidRPr="008B7CC1" w:rsidRDefault="009F53A3" w:rsidP="008E1EEE">
                  <w:pPr>
                    <w:spacing w:after="0" w:line="240" w:lineRule="auto"/>
                    <w:rPr>
                      <w:rFonts w:eastAsia="Calibri"/>
                      <w:color w:val="000000"/>
                      <w:lang w:val="en-US" w:eastAsia="en-US"/>
                    </w:rPr>
                  </w:pPr>
                  <w:r w:rsidRPr="008B7CC1">
                    <w:rPr>
                      <w:rFonts w:eastAsia="Calibri" w:cs="Calibri"/>
                      <w:color w:val="000000"/>
                      <w:lang w:val="en-US" w:eastAsia="en-US"/>
                    </w:rPr>
                    <w:t>36.7 (3.3)</w:t>
                  </w:r>
                </w:p>
              </w:tc>
              <w:tc>
                <w:tcPr>
                  <w:tcW w:w="444" w:type="pct"/>
                  <w:shd w:val="clear" w:color="auto" w:fill="C0C0C0"/>
                </w:tcPr>
                <w:p w:rsidR="009F53A3" w:rsidRPr="008B7CC1" w:rsidRDefault="009F53A3" w:rsidP="008E1EEE">
                  <w:pPr>
                    <w:spacing w:after="0" w:line="240" w:lineRule="auto"/>
                    <w:rPr>
                      <w:rFonts w:eastAsia="Calibri"/>
                      <w:color w:val="000000"/>
                      <w:lang w:val="en-US" w:eastAsia="en-US"/>
                    </w:rPr>
                  </w:pPr>
                  <w:r w:rsidRPr="008B7CC1">
                    <w:rPr>
                      <w:rFonts w:eastAsia="Calibri" w:cs="Calibri"/>
                      <w:color w:val="000000"/>
                      <w:lang w:val="en-US" w:eastAsia="en-US"/>
                    </w:rPr>
                    <w:t>36.8 (3.3)</w:t>
                  </w:r>
                </w:p>
              </w:tc>
              <w:tc>
                <w:tcPr>
                  <w:tcW w:w="490" w:type="pct"/>
                  <w:shd w:val="clear" w:color="auto" w:fill="C0C0C0"/>
                </w:tcPr>
                <w:p w:rsidR="009F53A3" w:rsidRPr="008B7CC1" w:rsidRDefault="009F53A3" w:rsidP="008E1EEE">
                  <w:pPr>
                    <w:spacing w:after="0" w:line="240" w:lineRule="auto"/>
                    <w:rPr>
                      <w:rFonts w:eastAsia="Calibri"/>
                      <w:color w:val="000000"/>
                      <w:lang w:val="en-US" w:eastAsia="en-US"/>
                    </w:rPr>
                  </w:pPr>
                  <w:r>
                    <w:rPr>
                      <w:rFonts w:eastAsia="Calibri"/>
                      <w:color w:val="000000"/>
                      <w:lang w:val="en-US" w:eastAsia="en-US"/>
                    </w:rPr>
                    <w:t>36.8 (3.3)</w:t>
                  </w:r>
                </w:p>
              </w:tc>
              <w:tc>
                <w:tcPr>
                  <w:tcW w:w="91" w:type="pct"/>
                  <w:tcBorders>
                    <w:left w:val="nil"/>
                    <w:right w:val="nil"/>
                  </w:tcBorders>
                  <w:shd w:val="clear" w:color="auto" w:fill="C0C0C0"/>
                </w:tcPr>
                <w:p w:rsidR="009F53A3" w:rsidRPr="008B7CC1" w:rsidRDefault="009F53A3" w:rsidP="008E1EEE">
                  <w:pPr>
                    <w:spacing w:after="0" w:line="240" w:lineRule="auto"/>
                    <w:rPr>
                      <w:rFonts w:eastAsia="Calibri"/>
                      <w:color w:val="000000"/>
                      <w:lang w:val="en-US" w:eastAsia="en-US"/>
                    </w:rPr>
                  </w:pPr>
                </w:p>
              </w:tc>
              <w:tc>
                <w:tcPr>
                  <w:tcW w:w="504" w:type="pct"/>
                  <w:shd w:val="clear" w:color="auto" w:fill="C0C0C0"/>
                </w:tcPr>
                <w:p w:rsidR="009F53A3" w:rsidRPr="008B7CC1" w:rsidRDefault="009F53A3" w:rsidP="008E1EEE">
                  <w:pPr>
                    <w:spacing w:after="0" w:line="240" w:lineRule="auto"/>
                    <w:rPr>
                      <w:rFonts w:eastAsia="Calibri"/>
                      <w:color w:val="000000"/>
                      <w:lang w:val="en-US" w:eastAsia="en-US"/>
                    </w:rPr>
                  </w:pPr>
                  <w:r w:rsidRPr="008B7CC1">
                    <w:rPr>
                      <w:rFonts w:eastAsia="Calibri"/>
                      <w:color w:val="000000"/>
                      <w:lang w:val="en-US" w:eastAsia="en-US"/>
                    </w:rPr>
                    <w:t xml:space="preserve">36.8 (0.6) </w:t>
                  </w:r>
                </w:p>
              </w:tc>
              <w:tc>
                <w:tcPr>
                  <w:tcW w:w="482" w:type="pct"/>
                  <w:tcBorders>
                    <w:left w:val="nil"/>
                    <w:right w:val="nil"/>
                  </w:tcBorders>
                  <w:shd w:val="clear" w:color="auto" w:fill="C0C0C0"/>
                </w:tcPr>
                <w:p w:rsidR="009F53A3" w:rsidRPr="008B7CC1" w:rsidRDefault="009F53A3" w:rsidP="008E1EEE">
                  <w:pPr>
                    <w:spacing w:after="0" w:line="240" w:lineRule="auto"/>
                    <w:rPr>
                      <w:rFonts w:eastAsia="Calibri"/>
                      <w:color w:val="000000"/>
                      <w:lang w:val="en-US" w:eastAsia="en-US"/>
                    </w:rPr>
                  </w:pPr>
                  <w:r w:rsidRPr="008B7CC1">
                    <w:rPr>
                      <w:rFonts w:eastAsia="Calibri"/>
                      <w:color w:val="000000"/>
                      <w:lang w:val="en-US" w:eastAsia="en-US"/>
                    </w:rPr>
                    <w:t xml:space="preserve">36.7 (0.6) </w:t>
                  </w:r>
                </w:p>
              </w:tc>
              <w:tc>
                <w:tcPr>
                  <w:tcW w:w="678" w:type="pct"/>
                  <w:shd w:val="clear" w:color="auto" w:fill="C0C0C0"/>
                </w:tcPr>
                <w:p w:rsidR="009F53A3" w:rsidRPr="008B7CC1" w:rsidRDefault="009F53A3" w:rsidP="008E1EEE">
                  <w:pPr>
                    <w:spacing w:after="0" w:line="240" w:lineRule="auto"/>
                    <w:jc w:val="center"/>
                    <w:rPr>
                      <w:rFonts w:eastAsia="Calibri" w:cs="Calibri"/>
                      <w:color w:val="000000"/>
                      <w:lang w:val="en-US" w:eastAsia="en-US"/>
                    </w:rPr>
                  </w:pPr>
                  <w:r w:rsidRPr="00AD7E75">
                    <w:rPr>
                      <w:rFonts w:eastAsia="Calibri" w:cs="Calibri"/>
                      <w:color w:val="000000"/>
                      <w:lang w:val="en-US" w:eastAsia="en-US"/>
                    </w:rPr>
                    <w:t>36.7</w:t>
                  </w:r>
                  <w:r>
                    <w:rPr>
                      <w:rFonts w:eastAsia="Calibri" w:cs="Calibri"/>
                      <w:color w:val="000000"/>
                      <w:lang w:val="en-US" w:eastAsia="en-US"/>
                    </w:rPr>
                    <w:t xml:space="preserve"> (0.6)</w:t>
                  </w:r>
                </w:p>
              </w:tc>
              <w:tc>
                <w:tcPr>
                  <w:tcW w:w="582" w:type="pct"/>
                  <w:gridSpan w:val="2"/>
                  <w:shd w:val="clear" w:color="auto" w:fill="C0C0C0"/>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0.145</w:t>
                  </w:r>
                </w:p>
              </w:tc>
              <w:tc>
                <w:tcPr>
                  <w:tcW w:w="582" w:type="pct"/>
                  <w:tcBorders>
                    <w:left w:val="nil"/>
                    <w:right w:val="nil"/>
                  </w:tcBorders>
                  <w:shd w:val="clear" w:color="auto" w:fill="C0C0C0"/>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0.001</w:t>
                  </w:r>
                </w:p>
              </w:tc>
            </w:tr>
            <w:tr w:rsidR="009F53A3" w:rsidRPr="008B7CC1" w:rsidTr="00EF7A79">
              <w:tc>
                <w:tcPr>
                  <w:tcW w:w="643" w:type="pct"/>
                  <w:shd w:val="clear" w:color="auto" w:fill="auto"/>
                </w:tcPr>
                <w:p w:rsidR="009F53A3" w:rsidRPr="008B7CC1" w:rsidRDefault="009F53A3" w:rsidP="008E1EEE">
                  <w:pPr>
                    <w:spacing w:after="0" w:line="240" w:lineRule="auto"/>
                    <w:rPr>
                      <w:rFonts w:eastAsia="Calibri"/>
                      <w:b/>
                      <w:bCs/>
                      <w:color w:val="000000"/>
                      <w:lang w:val="en-US" w:eastAsia="en-US"/>
                    </w:rPr>
                  </w:pPr>
                  <w:r w:rsidRPr="008B7CC1">
                    <w:rPr>
                      <w:rFonts w:eastAsia="Calibri"/>
                      <w:b/>
                      <w:bCs/>
                      <w:color w:val="000000"/>
                      <w:lang w:val="en-US" w:eastAsia="en-US"/>
                    </w:rPr>
                    <w:t>Lung disease*</w:t>
                  </w:r>
                </w:p>
              </w:tc>
              <w:tc>
                <w:tcPr>
                  <w:tcW w:w="504" w:type="pct"/>
                  <w:shd w:val="clear" w:color="auto" w:fill="auto"/>
                </w:tcPr>
                <w:p w:rsidR="009F53A3" w:rsidRPr="008B7CC1" w:rsidRDefault="009F53A3" w:rsidP="008E1EEE">
                  <w:pPr>
                    <w:spacing w:after="0" w:line="240" w:lineRule="auto"/>
                    <w:rPr>
                      <w:rFonts w:eastAsia="Calibri"/>
                      <w:color w:val="000000"/>
                      <w:lang w:val="en-US" w:eastAsia="en-US"/>
                    </w:rPr>
                  </w:pPr>
                  <w:r w:rsidRPr="008B7CC1">
                    <w:rPr>
                      <w:rFonts w:eastAsia="Calibri" w:cs="Calibri"/>
                      <w:color w:val="000000"/>
                      <w:lang w:val="en-US" w:eastAsia="en-US"/>
                    </w:rPr>
                    <w:t>163/1037 (15.7%)</w:t>
                  </w:r>
                </w:p>
              </w:tc>
              <w:tc>
                <w:tcPr>
                  <w:tcW w:w="444" w:type="pct"/>
                  <w:shd w:val="clear" w:color="auto" w:fill="auto"/>
                </w:tcPr>
                <w:p w:rsidR="009F53A3" w:rsidRPr="008B7CC1" w:rsidRDefault="009F53A3" w:rsidP="008E1EEE">
                  <w:pPr>
                    <w:spacing w:after="0" w:line="240" w:lineRule="auto"/>
                    <w:rPr>
                      <w:rFonts w:eastAsia="Calibri"/>
                      <w:color w:val="000000"/>
                      <w:lang w:val="en-US" w:eastAsia="en-US"/>
                    </w:rPr>
                  </w:pPr>
                  <w:r w:rsidRPr="008B7CC1">
                    <w:rPr>
                      <w:rFonts w:eastAsia="Calibri" w:cs="Calibri"/>
                      <w:color w:val="000000"/>
                      <w:lang w:val="en-US" w:eastAsia="en-US"/>
                    </w:rPr>
                    <w:t>147/1023 (14.4%)</w:t>
                  </w:r>
                </w:p>
              </w:tc>
              <w:tc>
                <w:tcPr>
                  <w:tcW w:w="490" w:type="pct"/>
                </w:tcPr>
                <w:p w:rsidR="009F53A3" w:rsidRPr="008B7CC1" w:rsidRDefault="009F53A3" w:rsidP="008E1EEE">
                  <w:pPr>
                    <w:spacing w:after="0" w:line="240" w:lineRule="auto"/>
                    <w:rPr>
                      <w:rFonts w:eastAsia="Calibri"/>
                      <w:color w:val="000000"/>
                      <w:lang w:val="en-US" w:eastAsia="en-US"/>
                    </w:rPr>
                  </w:pPr>
                  <w:r>
                    <w:rPr>
                      <w:rFonts w:eastAsia="Calibri"/>
                      <w:color w:val="000000"/>
                      <w:lang w:val="en-US" w:eastAsia="en-US"/>
                    </w:rPr>
                    <w:t>310/2060 (15.0%)</w:t>
                  </w:r>
                </w:p>
              </w:tc>
              <w:tc>
                <w:tcPr>
                  <w:tcW w:w="91" w:type="pct"/>
                  <w:shd w:val="clear" w:color="auto" w:fill="auto"/>
                </w:tcPr>
                <w:p w:rsidR="009F53A3" w:rsidRPr="008B7CC1" w:rsidRDefault="009F53A3" w:rsidP="008E1EEE">
                  <w:pPr>
                    <w:spacing w:after="0" w:line="240" w:lineRule="auto"/>
                    <w:rPr>
                      <w:rFonts w:eastAsia="Calibri"/>
                      <w:color w:val="000000"/>
                      <w:lang w:val="en-US" w:eastAsia="en-US"/>
                    </w:rPr>
                  </w:pPr>
                </w:p>
              </w:tc>
              <w:tc>
                <w:tcPr>
                  <w:tcW w:w="504" w:type="pct"/>
                  <w:shd w:val="clear" w:color="auto" w:fill="auto"/>
                </w:tcPr>
                <w:p w:rsidR="009F53A3" w:rsidRPr="008B7CC1" w:rsidRDefault="009F53A3" w:rsidP="008E1EEE">
                  <w:pPr>
                    <w:spacing w:after="0" w:line="240" w:lineRule="auto"/>
                    <w:rPr>
                      <w:rFonts w:eastAsia="Calibri"/>
                      <w:color w:val="000000"/>
                      <w:lang w:val="en-US" w:eastAsia="en-US"/>
                    </w:rPr>
                  </w:pPr>
                  <w:r w:rsidRPr="008B7CC1">
                    <w:rPr>
                      <w:rFonts w:eastAsia="Calibri"/>
                      <w:color w:val="000000"/>
                      <w:lang w:val="en-US" w:eastAsia="en-US"/>
                    </w:rPr>
                    <w:t>67/233 (28.8%)</w:t>
                  </w:r>
                </w:p>
              </w:tc>
              <w:tc>
                <w:tcPr>
                  <w:tcW w:w="482" w:type="pct"/>
                  <w:shd w:val="clear" w:color="auto" w:fill="auto"/>
                </w:tcPr>
                <w:p w:rsidR="009F53A3" w:rsidRPr="008B7CC1" w:rsidRDefault="009F53A3" w:rsidP="008E1EEE">
                  <w:pPr>
                    <w:spacing w:after="0" w:line="240" w:lineRule="auto"/>
                    <w:rPr>
                      <w:rFonts w:eastAsia="Calibri"/>
                      <w:color w:val="000000"/>
                      <w:lang w:val="en-US" w:eastAsia="en-US"/>
                    </w:rPr>
                  </w:pPr>
                  <w:r w:rsidRPr="008B7CC1">
                    <w:rPr>
                      <w:rFonts w:eastAsia="Calibri"/>
                      <w:color w:val="000000"/>
                      <w:lang w:val="en-US" w:eastAsia="en-US"/>
                    </w:rPr>
                    <w:t>86/545 (15.8%)</w:t>
                  </w:r>
                </w:p>
              </w:tc>
              <w:tc>
                <w:tcPr>
                  <w:tcW w:w="678" w:type="pct"/>
                </w:tcPr>
                <w:p w:rsidR="009F53A3" w:rsidRPr="008B7CC1" w:rsidRDefault="009F53A3" w:rsidP="008E1EEE">
                  <w:pPr>
                    <w:spacing w:after="0" w:line="240" w:lineRule="auto"/>
                    <w:jc w:val="center"/>
                    <w:rPr>
                      <w:rFonts w:eastAsia="Calibri" w:cs="Calibri"/>
                      <w:color w:val="000000"/>
                      <w:lang w:val="en-US" w:eastAsia="en-US"/>
                    </w:rPr>
                  </w:pPr>
                  <w:r>
                    <w:rPr>
                      <w:rFonts w:eastAsia="Calibri" w:cs="Calibri"/>
                      <w:color w:val="000000"/>
                      <w:lang w:val="en-US" w:eastAsia="en-US"/>
                    </w:rPr>
                    <w:t>153/778 (19.7%)</w:t>
                  </w:r>
                </w:p>
              </w:tc>
              <w:tc>
                <w:tcPr>
                  <w:tcW w:w="582" w:type="pct"/>
                  <w:gridSpan w:val="2"/>
                  <w:shd w:val="clear" w:color="auto" w:fill="auto"/>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0.320</w:t>
                  </w:r>
                </w:p>
              </w:tc>
              <w:tc>
                <w:tcPr>
                  <w:tcW w:w="582" w:type="pct"/>
                  <w:shd w:val="clear" w:color="auto" w:fill="auto"/>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-0.034</w:t>
                  </w:r>
                </w:p>
              </w:tc>
            </w:tr>
            <w:tr w:rsidR="009F53A3" w:rsidRPr="008B7CC1" w:rsidTr="00EF7A79">
              <w:tc>
                <w:tcPr>
                  <w:tcW w:w="643" w:type="pct"/>
                  <w:shd w:val="clear" w:color="auto" w:fill="C0C0C0"/>
                </w:tcPr>
                <w:p w:rsidR="009F53A3" w:rsidRPr="008B7CC1" w:rsidRDefault="009F53A3" w:rsidP="008E1EEE">
                  <w:pPr>
                    <w:spacing w:after="0" w:line="240" w:lineRule="auto"/>
                    <w:rPr>
                      <w:rFonts w:eastAsia="Calibri"/>
                      <w:b/>
                      <w:bCs/>
                      <w:color w:val="000000"/>
                      <w:lang w:val="en-US" w:eastAsia="en-US"/>
                    </w:rPr>
                  </w:pPr>
                  <w:r w:rsidRPr="008B7CC1">
                    <w:rPr>
                      <w:rFonts w:eastAsia="Calibri"/>
                      <w:b/>
                      <w:bCs/>
                      <w:color w:val="000000"/>
                      <w:lang w:val="en-US" w:eastAsia="en-US"/>
                    </w:rPr>
                    <w:t xml:space="preserve">Mean severity score </w:t>
                  </w:r>
                </w:p>
                <w:p w:rsidR="009F53A3" w:rsidRPr="008B7CC1" w:rsidRDefault="009F53A3" w:rsidP="008E1EEE">
                  <w:pPr>
                    <w:spacing w:after="0" w:line="240" w:lineRule="auto"/>
                    <w:rPr>
                      <w:rFonts w:eastAsia="Calibri"/>
                      <w:b/>
                      <w:bCs/>
                      <w:color w:val="000000"/>
                      <w:lang w:val="en-US" w:eastAsia="en-US"/>
                    </w:rPr>
                  </w:pPr>
                  <w:r w:rsidRPr="008B7CC1">
                    <w:rPr>
                      <w:rFonts w:eastAsia="Calibri"/>
                      <w:b/>
                      <w:bCs/>
                      <w:color w:val="000000"/>
                      <w:lang w:val="en-US" w:eastAsia="en-US"/>
                    </w:rPr>
                    <w:t>(all symptoms)</w:t>
                  </w:r>
                  <w:r w:rsidRPr="008B7CC1">
                    <w:rPr>
                      <w:rFonts w:eastAsia="Calibri" w:cs="Calibri"/>
                      <w:b/>
                      <w:bCs/>
                      <w:color w:val="000000"/>
                      <w:lang w:val="en-US" w:eastAsia="en-US"/>
                    </w:rPr>
                    <w:t>†</w:t>
                  </w:r>
                </w:p>
              </w:tc>
              <w:tc>
                <w:tcPr>
                  <w:tcW w:w="504" w:type="pct"/>
                  <w:tcBorders>
                    <w:left w:val="nil"/>
                    <w:right w:val="nil"/>
                  </w:tcBorders>
                  <w:shd w:val="clear" w:color="auto" w:fill="C0C0C0"/>
                </w:tcPr>
                <w:p w:rsidR="009F53A3" w:rsidRPr="008B7CC1" w:rsidRDefault="009F53A3" w:rsidP="008E1EEE">
                  <w:pPr>
                    <w:spacing w:after="0" w:line="240" w:lineRule="auto"/>
                    <w:rPr>
                      <w:rFonts w:eastAsia="Calibri"/>
                      <w:color w:val="000000"/>
                      <w:lang w:val="en-US" w:eastAsia="en-US"/>
                    </w:rPr>
                  </w:pPr>
                  <w:r w:rsidRPr="008B7CC1">
                    <w:rPr>
                      <w:rFonts w:eastAsia="Calibri" w:cs="Calibri"/>
                      <w:color w:val="000000"/>
                      <w:lang w:val="en-US" w:eastAsia="en-US"/>
                    </w:rPr>
                    <w:t>2.1 (0.5)</w:t>
                  </w:r>
                </w:p>
              </w:tc>
              <w:tc>
                <w:tcPr>
                  <w:tcW w:w="444" w:type="pct"/>
                  <w:shd w:val="clear" w:color="auto" w:fill="C0C0C0"/>
                </w:tcPr>
                <w:p w:rsidR="009F53A3" w:rsidRPr="008B7CC1" w:rsidRDefault="009F53A3" w:rsidP="008E1EEE">
                  <w:pPr>
                    <w:spacing w:after="0" w:line="240" w:lineRule="auto"/>
                    <w:rPr>
                      <w:rFonts w:eastAsia="Calibri"/>
                      <w:color w:val="000000"/>
                      <w:lang w:val="en-US" w:eastAsia="en-US"/>
                    </w:rPr>
                  </w:pPr>
                  <w:r w:rsidRPr="008B7CC1">
                    <w:rPr>
                      <w:rFonts w:eastAsia="Calibri" w:cs="Calibri"/>
                      <w:color w:val="000000"/>
                      <w:lang w:val="en-US" w:eastAsia="en-US"/>
                    </w:rPr>
                    <w:t>2.1 (0.5)</w:t>
                  </w:r>
                </w:p>
              </w:tc>
              <w:tc>
                <w:tcPr>
                  <w:tcW w:w="490" w:type="pct"/>
                  <w:shd w:val="clear" w:color="auto" w:fill="C0C0C0"/>
                </w:tcPr>
                <w:p w:rsidR="009F53A3" w:rsidRPr="008B7CC1" w:rsidRDefault="009F53A3" w:rsidP="008E1EEE">
                  <w:pPr>
                    <w:spacing w:after="0" w:line="240" w:lineRule="auto"/>
                    <w:rPr>
                      <w:rFonts w:eastAsia="Calibri"/>
                      <w:color w:val="000000"/>
                      <w:lang w:val="en-US" w:eastAsia="en-US"/>
                    </w:rPr>
                  </w:pPr>
                  <w:r>
                    <w:rPr>
                      <w:rFonts w:eastAsia="Calibri"/>
                      <w:color w:val="000000"/>
                      <w:lang w:val="en-US" w:eastAsia="en-US"/>
                    </w:rPr>
                    <w:t>2.1 (0.5)</w:t>
                  </w:r>
                </w:p>
              </w:tc>
              <w:tc>
                <w:tcPr>
                  <w:tcW w:w="91" w:type="pct"/>
                  <w:tcBorders>
                    <w:left w:val="nil"/>
                    <w:right w:val="nil"/>
                  </w:tcBorders>
                  <w:shd w:val="clear" w:color="auto" w:fill="C0C0C0"/>
                </w:tcPr>
                <w:p w:rsidR="009F53A3" w:rsidRPr="008B7CC1" w:rsidRDefault="009F53A3" w:rsidP="008E1EEE">
                  <w:pPr>
                    <w:spacing w:after="0" w:line="240" w:lineRule="auto"/>
                    <w:rPr>
                      <w:rFonts w:eastAsia="Calibri"/>
                      <w:color w:val="000000"/>
                      <w:lang w:val="en-US" w:eastAsia="en-US"/>
                    </w:rPr>
                  </w:pPr>
                </w:p>
              </w:tc>
              <w:tc>
                <w:tcPr>
                  <w:tcW w:w="504" w:type="pct"/>
                  <w:shd w:val="clear" w:color="auto" w:fill="C0C0C0"/>
                </w:tcPr>
                <w:p w:rsidR="009F53A3" w:rsidRPr="008B7CC1" w:rsidRDefault="009F53A3" w:rsidP="008E1EEE">
                  <w:pPr>
                    <w:spacing w:after="0" w:line="240" w:lineRule="auto"/>
                    <w:rPr>
                      <w:rFonts w:eastAsia="Calibri"/>
                      <w:color w:val="000000"/>
                      <w:lang w:val="en-US" w:eastAsia="en-US"/>
                    </w:rPr>
                  </w:pPr>
                  <w:r w:rsidRPr="008B7CC1">
                    <w:rPr>
                      <w:rFonts w:eastAsia="Calibri"/>
                      <w:color w:val="000000"/>
                      <w:lang w:val="en-US" w:eastAsia="en-US"/>
                    </w:rPr>
                    <w:t xml:space="preserve">2.3 (0.5) </w:t>
                  </w:r>
                </w:p>
              </w:tc>
              <w:tc>
                <w:tcPr>
                  <w:tcW w:w="482" w:type="pct"/>
                  <w:tcBorders>
                    <w:left w:val="nil"/>
                    <w:right w:val="nil"/>
                  </w:tcBorders>
                  <w:shd w:val="clear" w:color="auto" w:fill="C0C0C0"/>
                </w:tcPr>
                <w:p w:rsidR="009F53A3" w:rsidRPr="008B7CC1" w:rsidRDefault="009F53A3" w:rsidP="008E1EEE">
                  <w:pPr>
                    <w:spacing w:after="0" w:line="240" w:lineRule="auto"/>
                    <w:rPr>
                      <w:rFonts w:eastAsia="Calibri"/>
                      <w:color w:val="000000"/>
                      <w:lang w:val="en-US" w:eastAsia="en-US"/>
                    </w:rPr>
                  </w:pPr>
                  <w:r w:rsidRPr="008B7CC1">
                    <w:rPr>
                      <w:rFonts w:eastAsia="Calibri"/>
                      <w:color w:val="000000"/>
                      <w:lang w:val="en-US" w:eastAsia="en-US"/>
                    </w:rPr>
                    <w:t xml:space="preserve">2.0 (0.5) </w:t>
                  </w:r>
                </w:p>
              </w:tc>
              <w:tc>
                <w:tcPr>
                  <w:tcW w:w="678" w:type="pct"/>
                  <w:shd w:val="clear" w:color="auto" w:fill="C0C0C0"/>
                </w:tcPr>
                <w:p w:rsidR="009F53A3" w:rsidRPr="008B7CC1" w:rsidRDefault="009F53A3" w:rsidP="008E1EEE">
                  <w:pPr>
                    <w:spacing w:after="0" w:line="240" w:lineRule="auto"/>
                    <w:jc w:val="center"/>
                    <w:rPr>
                      <w:rFonts w:eastAsia="Calibri" w:cs="Calibri"/>
                      <w:color w:val="000000"/>
                      <w:lang w:val="en-US" w:eastAsia="en-US"/>
                    </w:rPr>
                  </w:pPr>
                  <w:r>
                    <w:rPr>
                      <w:rFonts w:eastAsia="Calibri" w:cs="Calibri"/>
                      <w:color w:val="000000"/>
                      <w:lang w:val="en-US" w:eastAsia="en-US"/>
                    </w:rPr>
                    <w:t>2.1 (0.5)</w:t>
                  </w:r>
                </w:p>
              </w:tc>
              <w:tc>
                <w:tcPr>
                  <w:tcW w:w="582" w:type="pct"/>
                  <w:gridSpan w:val="2"/>
                  <w:shd w:val="clear" w:color="auto" w:fill="C0C0C0"/>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0.652</w:t>
                  </w:r>
                </w:p>
              </w:tc>
              <w:tc>
                <w:tcPr>
                  <w:tcW w:w="582" w:type="pct"/>
                  <w:tcBorders>
                    <w:left w:val="nil"/>
                    <w:right w:val="nil"/>
                  </w:tcBorders>
                  <w:shd w:val="clear" w:color="auto" w:fill="C0C0C0"/>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-0.042</w:t>
                  </w:r>
                </w:p>
              </w:tc>
            </w:tr>
            <w:tr w:rsidR="009F53A3" w:rsidRPr="008B7CC1" w:rsidTr="00EF7A79">
              <w:tc>
                <w:tcPr>
                  <w:tcW w:w="643" w:type="pct"/>
                  <w:shd w:val="clear" w:color="auto" w:fill="auto"/>
                </w:tcPr>
                <w:p w:rsidR="009F53A3" w:rsidRPr="008B7CC1" w:rsidRDefault="009F53A3" w:rsidP="008E1EEE">
                  <w:pPr>
                    <w:spacing w:after="0" w:line="240" w:lineRule="auto"/>
                    <w:rPr>
                      <w:rFonts w:eastAsia="Calibri"/>
                      <w:b/>
                      <w:bCs/>
                      <w:color w:val="000000"/>
                      <w:lang w:val="en-US" w:eastAsia="en-US"/>
                    </w:rPr>
                  </w:pPr>
                  <w:r w:rsidRPr="008B7CC1">
                    <w:rPr>
                      <w:rFonts w:eastAsia="Calibri"/>
                      <w:b/>
                      <w:bCs/>
                      <w:color w:val="000000"/>
                      <w:lang w:val="en-US" w:eastAsia="en-US"/>
                    </w:rPr>
                    <w:t>Sputum production</w:t>
                  </w:r>
                </w:p>
              </w:tc>
              <w:tc>
                <w:tcPr>
                  <w:tcW w:w="504" w:type="pct"/>
                  <w:shd w:val="clear" w:color="auto" w:fill="auto"/>
                </w:tcPr>
                <w:p w:rsidR="009F53A3" w:rsidRPr="008B7CC1" w:rsidRDefault="009F53A3" w:rsidP="008E1EEE">
                  <w:pPr>
                    <w:spacing w:after="0" w:line="240" w:lineRule="auto"/>
                    <w:rPr>
                      <w:rFonts w:eastAsia="Calibri"/>
                      <w:color w:val="000000"/>
                      <w:lang w:val="en-US" w:eastAsia="en-US"/>
                    </w:rPr>
                  </w:pPr>
                  <w:r w:rsidRPr="008B7CC1">
                    <w:rPr>
                      <w:rFonts w:eastAsia="Calibri" w:cs="Calibri"/>
                      <w:color w:val="000000"/>
                      <w:lang w:val="en-US" w:eastAsia="en-US"/>
                    </w:rPr>
                    <w:t>814/1036 (78.6%)</w:t>
                  </w:r>
                </w:p>
              </w:tc>
              <w:tc>
                <w:tcPr>
                  <w:tcW w:w="444" w:type="pct"/>
                  <w:shd w:val="clear" w:color="auto" w:fill="auto"/>
                </w:tcPr>
                <w:p w:rsidR="009F53A3" w:rsidRPr="008B7CC1" w:rsidRDefault="009F53A3" w:rsidP="008E1EEE">
                  <w:pPr>
                    <w:spacing w:after="0" w:line="240" w:lineRule="auto"/>
                    <w:rPr>
                      <w:rFonts w:eastAsia="Calibri"/>
                      <w:color w:val="000000"/>
                      <w:lang w:val="en-US" w:eastAsia="en-US"/>
                    </w:rPr>
                  </w:pPr>
                  <w:r w:rsidRPr="008B7CC1">
                    <w:rPr>
                      <w:rFonts w:eastAsia="Calibri" w:cs="Calibri"/>
                      <w:color w:val="000000"/>
                      <w:lang w:val="en-US" w:eastAsia="en-US"/>
                    </w:rPr>
                    <w:t>824/1021 (80.7%)</w:t>
                  </w:r>
                </w:p>
              </w:tc>
              <w:tc>
                <w:tcPr>
                  <w:tcW w:w="490" w:type="pct"/>
                </w:tcPr>
                <w:p w:rsidR="009F53A3" w:rsidRPr="008B7CC1" w:rsidRDefault="009F53A3" w:rsidP="008E1EEE">
                  <w:pPr>
                    <w:spacing w:after="0" w:line="240" w:lineRule="auto"/>
                    <w:rPr>
                      <w:rFonts w:eastAsia="Calibri"/>
                      <w:color w:val="000000"/>
                      <w:lang w:val="en-US" w:eastAsia="en-US"/>
                    </w:rPr>
                  </w:pPr>
                  <w:r>
                    <w:rPr>
                      <w:rFonts w:eastAsia="Calibri"/>
                      <w:color w:val="000000"/>
                      <w:lang w:val="en-US" w:eastAsia="en-US"/>
                    </w:rPr>
                    <w:t>1638/2057 (79.6%)</w:t>
                  </w:r>
                </w:p>
              </w:tc>
              <w:tc>
                <w:tcPr>
                  <w:tcW w:w="91" w:type="pct"/>
                  <w:shd w:val="clear" w:color="auto" w:fill="auto"/>
                </w:tcPr>
                <w:p w:rsidR="009F53A3" w:rsidRPr="008B7CC1" w:rsidRDefault="009F53A3" w:rsidP="008E1EEE">
                  <w:pPr>
                    <w:spacing w:after="0" w:line="240" w:lineRule="auto"/>
                    <w:rPr>
                      <w:rFonts w:eastAsia="Calibri"/>
                      <w:color w:val="000000"/>
                      <w:lang w:val="en-US" w:eastAsia="en-US"/>
                    </w:rPr>
                  </w:pPr>
                </w:p>
              </w:tc>
              <w:tc>
                <w:tcPr>
                  <w:tcW w:w="504" w:type="pct"/>
                  <w:shd w:val="clear" w:color="auto" w:fill="auto"/>
                </w:tcPr>
                <w:p w:rsidR="009F53A3" w:rsidRPr="008B7CC1" w:rsidRDefault="009F53A3" w:rsidP="008E1EEE">
                  <w:pPr>
                    <w:spacing w:after="0" w:line="240" w:lineRule="auto"/>
                    <w:rPr>
                      <w:rFonts w:eastAsia="Calibri"/>
                      <w:color w:val="000000"/>
                      <w:lang w:val="en-US" w:eastAsia="en-US"/>
                    </w:rPr>
                  </w:pPr>
                  <w:r w:rsidRPr="008B7CC1">
                    <w:rPr>
                      <w:rFonts w:eastAsia="Calibri"/>
                      <w:color w:val="000000"/>
                      <w:lang w:val="en-US" w:eastAsia="en-US"/>
                    </w:rPr>
                    <w:t>205/233 (88.0%)</w:t>
                  </w:r>
                </w:p>
              </w:tc>
              <w:tc>
                <w:tcPr>
                  <w:tcW w:w="482" w:type="pct"/>
                  <w:shd w:val="clear" w:color="auto" w:fill="auto"/>
                </w:tcPr>
                <w:p w:rsidR="009F53A3" w:rsidRPr="008B7CC1" w:rsidRDefault="009F53A3" w:rsidP="008E1EEE">
                  <w:pPr>
                    <w:spacing w:after="0" w:line="240" w:lineRule="auto"/>
                    <w:rPr>
                      <w:rFonts w:eastAsia="Calibri"/>
                      <w:color w:val="000000"/>
                      <w:lang w:val="en-US" w:eastAsia="en-US"/>
                    </w:rPr>
                  </w:pPr>
                  <w:r w:rsidRPr="008B7CC1">
                    <w:rPr>
                      <w:rFonts w:eastAsia="Calibri"/>
                      <w:color w:val="000000"/>
                      <w:lang w:val="en-US" w:eastAsia="en-US"/>
                    </w:rPr>
                    <w:t>415/546 (76.0%)</w:t>
                  </w:r>
                </w:p>
              </w:tc>
              <w:tc>
                <w:tcPr>
                  <w:tcW w:w="678" w:type="pct"/>
                </w:tcPr>
                <w:p w:rsidR="009F53A3" w:rsidRPr="008B7CC1" w:rsidRDefault="009F53A3" w:rsidP="008E1EEE">
                  <w:pPr>
                    <w:spacing w:after="0" w:line="240" w:lineRule="auto"/>
                    <w:jc w:val="center"/>
                    <w:rPr>
                      <w:rFonts w:eastAsia="Calibri" w:cs="Calibri"/>
                      <w:color w:val="000000"/>
                      <w:lang w:val="en-US" w:eastAsia="en-US"/>
                    </w:rPr>
                  </w:pPr>
                  <w:r>
                    <w:rPr>
                      <w:rFonts w:eastAsia="Calibri" w:cs="Calibri"/>
                      <w:color w:val="000000"/>
                      <w:lang w:val="en-US" w:eastAsia="en-US"/>
                    </w:rPr>
                    <w:t>620/779(79.6%)</w:t>
                  </w:r>
                </w:p>
              </w:tc>
              <w:tc>
                <w:tcPr>
                  <w:tcW w:w="582" w:type="pct"/>
                  <w:gridSpan w:val="2"/>
                  <w:shd w:val="clear" w:color="auto" w:fill="auto"/>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0.267</w:t>
                  </w:r>
                </w:p>
              </w:tc>
              <w:tc>
                <w:tcPr>
                  <w:tcW w:w="582" w:type="pct"/>
                  <w:shd w:val="clear" w:color="auto" w:fill="auto"/>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-0.013</w:t>
                  </w:r>
                </w:p>
              </w:tc>
            </w:tr>
            <w:tr w:rsidR="009F53A3" w:rsidRPr="008B7CC1" w:rsidTr="00EF7A79">
              <w:tc>
                <w:tcPr>
                  <w:tcW w:w="643" w:type="pct"/>
                  <w:shd w:val="clear" w:color="auto" w:fill="C0C0C0"/>
                </w:tcPr>
                <w:p w:rsidR="009F53A3" w:rsidRPr="008B7CC1" w:rsidRDefault="009F53A3" w:rsidP="008E1EEE">
                  <w:pPr>
                    <w:spacing w:after="0" w:line="240" w:lineRule="auto"/>
                    <w:rPr>
                      <w:rFonts w:eastAsia="Calibri"/>
                      <w:b/>
                      <w:bCs/>
                      <w:color w:val="000000"/>
                      <w:lang w:val="en-US" w:eastAsia="en-US"/>
                    </w:rPr>
                  </w:pPr>
                  <w:proofErr w:type="spellStart"/>
                  <w:r w:rsidRPr="008B7CC1">
                    <w:rPr>
                      <w:rFonts w:eastAsia="Calibri"/>
                      <w:b/>
                      <w:bCs/>
                      <w:color w:val="000000"/>
                      <w:lang w:val="en-US" w:eastAsia="en-US"/>
                    </w:rPr>
                    <w:t>Discoloured</w:t>
                  </w:r>
                  <w:proofErr w:type="spellEnd"/>
                  <w:r w:rsidRPr="008B7CC1">
                    <w:rPr>
                      <w:rFonts w:eastAsia="Calibri"/>
                      <w:b/>
                      <w:bCs/>
                      <w:color w:val="000000"/>
                      <w:lang w:val="en-US" w:eastAsia="en-US"/>
                    </w:rPr>
                    <w:t xml:space="preserve"> sputum</w:t>
                  </w:r>
                  <w:r w:rsidRPr="008B7CC1">
                    <w:rPr>
                      <w:rFonts w:eastAsia="Calibri" w:cs="Calibri"/>
                      <w:b/>
                      <w:bCs/>
                      <w:color w:val="000000"/>
                      <w:lang w:val="en-US" w:eastAsia="en-US"/>
                    </w:rPr>
                    <w:t>‡</w:t>
                  </w:r>
                </w:p>
              </w:tc>
              <w:tc>
                <w:tcPr>
                  <w:tcW w:w="504" w:type="pct"/>
                  <w:tcBorders>
                    <w:left w:val="nil"/>
                    <w:right w:val="nil"/>
                  </w:tcBorders>
                  <w:shd w:val="clear" w:color="auto" w:fill="C0C0C0"/>
                </w:tcPr>
                <w:p w:rsidR="009F53A3" w:rsidRPr="008B7CC1" w:rsidRDefault="009F53A3" w:rsidP="008E1EEE">
                  <w:pPr>
                    <w:spacing w:after="0" w:line="240" w:lineRule="auto"/>
                    <w:rPr>
                      <w:rFonts w:eastAsia="Calibri"/>
                      <w:color w:val="000000"/>
                      <w:lang w:val="en-US" w:eastAsia="en-US"/>
                    </w:rPr>
                  </w:pPr>
                  <w:r w:rsidRPr="008B7CC1">
                    <w:rPr>
                      <w:rFonts w:eastAsia="Calibri" w:cs="Calibri"/>
                      <w:color w:val="000000"/>
                      <w:lang w:val="en-US" w:eastAsia="en-US"/>
                    </w:rPr>
                    <w:t>481/968 (49.7%)</w:t>
                  </w:r>
                </w:p>
              </w:tc>
              <w:tc>
                <w:tcPr>
                  <w:tcW w:w="444" w:type="pct"/>
                  <w:shd w:val="clear" w:color="auto" w:fill="C0C0C0"/>
                </w:tcPr>
                <w:p w:rsidR="009F53A3" w:rsidRPr="008B7CC1" w:rsidRDefault="009F53A3" w:rsidP="008E1EEE">
                  <w:pPr>
                    <w:spacing w:after="0" w:line="240" w:lineRule="auto"/>
                    <w:rPr>
                      <w:rFonts w:eastAsia="Calibri"/>
                      <w:color w:val="000000"/>
                      <w:lang w:val="en-US" w:eastAsia="en-US"/>
                    </w:rPr>
                  </w:pPr>
                  <w:r w:rsidRPr="008B7CC1">
                    <w:rPr>
                      <w:rFonts w:eastAsia="Calibri" w:cs="Calibri"/>
                      <w:color w:val="000000"/>
                      <w:lang w:val="en-US" w:eastAsia="en-US"/>
                    </w:rPr>
                    <w:t>468/957 (48.9%)</w:t>
                  </w:r>
                </w:p>
              </w:tc>
              <w:tc>
                <w:tcPr>
                  <w:tcW w:w="490" w:type="pct"/>
                  <w:shd w:val="clear" w:color="auto" w:fill="C0C0C0"/>
                </w:tcPr>
                <w:p w:rsidR="009F53A3" w:rsidRPr="008B7CC1" w:rsidRDefault="009F53A3" w:rsidP="008E1EEE">
                  <w:pPr>
                    <w:spacing w:after="0" w:line="240" w:lineRule="auto"/>
                    <w:rPr>
                      <w:rFonts w:eastAsia="Calibri"/>
                      <w:color w:val="000000"/>
                      <w:lang w:val="en-US" w:eastAsia="en-US"/>
                    </w:rPr>
                  </w:pPr>
                  <w:r>
                    <w:rPr>
                      <w:rFonts w:eastAsia="Calibri"/>
                      <w:color w:val="000000"/>
                      <w:lang w:val="en-US" w:eastAsia="en-US"/>
                    </w:rPr>
                    <w:t>949/1922 (49.4%)</w:t>
                  </w:r>
                </w:p>
              </w:tc>
              <w:tc>
                <w:tcPr>
                  <w:tcW w:w="91" w:type="pct"/>
                  <w:tcBorders>
                    <w:left w:val="nil"/>
                    <w:right w:val="nil"/>
                  </w:tcBorders>
                  <w:shd w:val="clear" w:color="auto" w:fill="C0C0C0"/>
                </w:tcPr>
                <w:p w:rsidR="009F53A3" w:rsidRPr="008B7CC1" w:rsidRDefault="009F53A3" w:rsidP="008E1EEE">
                  <w:pPr>
                    <w:spacing w:after="0" w:line="240" w:lineRule="auto"/>
                    <w:rPr>
                      <w:rFonts w:eastAsia="Calibri"/>
                      <w:color w:val="000000"/>
                      <w:lang w:val="en-US" w:eastAsia="en-US"/>
                    </w:rPr>
                  </w:pPr>
                </w:p>
              </w:tc>
              <w:tc>
                <w:tcPr>
                  <w:tcW w:w="504" w:type="pct"/>
                  <w:shd w:val="clear" w:color="auto" w:fill="C0C0C0"/>
                </w:tcPr>
                <w:p w:rsidR="009F53A3" w:rsidRPr="008B7CC1" w:rsidRDefault="009F53A3" w:rsidP="008E1EEE">
                  <w:pPr>
                    <w:spacing w:after="0" w:line="240" w:lineRule="auto"/>
                    <w:rPr>
                      <w:rFonts w:eastAsia="Calibri"/>
                      <w:color w:val="000000"/>
                      <w:lang w:val="en-US" w:eastAsia="en-US"/>
                    </w:rPr>
                  </w:pPr>
                  <w:r w:rsidRPr="008B7CC1">
                    <w:rPr>
                      <w:rFonts w:eastAsia="Calibri"/>
                      <w:color w:val="000000"/>
                      <w:lang w:val="en-US" w:eastAsia="en-US"/>
                    </w:rPr>
                    <w:t>120/233 (51.5%)</w:t>
                  </w:r>
                </w:p>
              </w:tc>
              <w:tc>
                <w:tcPr>
                  <w:tcW w:w="482" w:type="pct"/>
                  <w:tcBorders>
                    <w:left w:val="nil"/>
                    <w:right w:val="nil"/>
                  </w:tcBorders>
                  <w:shd w:val="clear" w:color="auto" w:fill="C0C0C0"/>
                </w:tcPr>
                <w:p w:rsidR="009F53A3" w:rsidRPr="008B7CC1" w:rsidRDefault="009F53A3" w:rsidP="008E1EEE">
                  <w:pPr>
                    <w:spacing w:after="0" w:line="240" w:lineRule="auto"/>
                    <w:rPr>
                      <w:rFonts w:eastAsia="Calibri"/>
                      <w:color w:val="000000"/>
                      <w:lang w:val="en-US" w:eastAsia="en-US"/>
                    </w:rPr>
                  </w:pPr>
                  <w:r w:rsidRPr="008B7CC1">
                    <w:rPr>
                      <w:rFonts w:eastAsia="Calibri"/>
                      <w:color w:val="000000"/>
                      <w:lang w:val="en-US" w:eastAsia="en-US"/>
                    </w:rPr>
                    <w:t>250/547 (45.7%)</w:t>
                  </w:r>
                </w:p>
              </w:tc>
              <w:tc>
                <w:tcPr>
                  <w:tcW w:w="678" w:type="pct"/>
                  <w:shd w:val="clear" w:color="auto" w:fill="C0C0C0"/>
                </w:tcPr>
                <w:p w:rsidR="009F53A3" w:rsidRPr="008B7CC1" w:rsidRDefault="009F53A3" w:rsidP="008E1EEE">
                  <w:pPr>
                    <w:spacing w:after="0" w:line="240" w:lineRule="auto"/>
                    <w:jc w:val="center"/>
                    <w:rPr>
                      <w:rFonts w:eastAsia="Calibri" w:cs="Calibri"/>
                      <w:color w:val="000000"/>
                      <w:lang w:val="en-US" w:eastAsia="en-US"/>
                    </w:rPr>
                  </w:pPr>
                  <w:r>
                    <w:rPr>
                      <w:rFonts w:eastAsia="Calibri" w:cs="Calibri"/>
                      <w:color w:val="000000"/>
                      <w:lang w:val="en-US" w:eastAsia="en-US"/>
                    </w:rPr>
                    <w:t>370/780 (47.4%)</w:t>
                  </w:r>
                </w:p>
              </w:tc>
              <w:tc>
                <w:tcPr>
                  <w:tcW w:w="582" w:type="pct"/>
                  <w:gridSpan w:val="2"/>
                  <w:shd w:val="clear" w:color="auto" w:fill="C0C0C0"/>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0.082</w:t>
                  </w:r>
                </w:p>
              </w:tc>
              <w:tc>
                <w:tcPr>
                  <w:tcW w:w="582" w:type="pct"/>
                  <w:tcBorders>
                    <w:left w:val="nil"/>
                    <w:right w:val="nil"/>
                  </w:tcBorders>
                  <w:shd w:val="clear" w:color="auto" w:fill="C0C0C0"/>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-0.008</w:t>
                  </w:r>
                </w:p>
              </w:tc>
            </w:tr>
            <w:tr w:rsidR="009F53A3" w:rsidRPr="008B7CC1" w:rsidTr="00EF7A79">
              <w:tc>
                <w:tcPr>
                  <w:tcW w:w="643" w:type="pct"/>
                  <w:shd w:val="clear" w:color="auto" w:fill="auto"/>
                </w:tcPr>
                <w:p w:rsidR="009F53A3" w:rsidRPr="008B7CC1" w:rsidRDefault="009F53A3" w:rsidP="008E1EEE">
                  <w:pPr>
                    <w:autoSpaceDE w:val="0"/>
                    <w:autoSpaceDN w:val="0"/>
                    <w:adjustRightInd w:val="0"/>
                    <w:spacing w:after="0" w:line="240" w:lineRule="auto"/>
                    <w:rPr>
                      <w:rFonts w:eastAsia="Calibri" w:cs="Calibri"/>
                      <w:b/>
                      <w:bCs/>
                      <w:color w:val="000000"/>
                      <w:lang w:val="en-US" w:eastAsia="en-US"/>
                    </w:rPr>
                  </w:pPr>
                  <w:r w:rsidRPr="008B7CC1">
                    <w:rPr>
                      <w:rFonts w:eastAsia="Calibri" w:cs="Calibri"/>
                      <w:b/>
                      <w:bCs/>
                      <w:color w:val="000000"/>
                      <w:lang w:val="en-US" w:eastAsia="en-US"/>
                    </w:rPr>
                    <w:t>Abnormalities at auscultation‡‡</w:t>
                  </w:r>
                </w:p>
              </w:tc>
              <w:tc>
                <w:tcPr>
                  <w:tcW w:w="504" w:type="pct"/>
                  <w:shd w:val="clear" w:color="auto" w:fill="auto"/>
                </w:tcPr>
                <w:p w:rsidR="009F53A3" w:rsidRPr="008B7CC1" w:rsidRDefault="009F53A3" w:rsidP="008E1EEE">
                  <w:pPr>
                    <w:spacing w:after="0" w:line="240" w:lineRule="auto"/>
                    <w:rPr>
                      <w:rFonts w:eastAsia="Calibri"/>
                      <w:color w:val="000000"/>
                      <w:lang w:val="en-US" w:eastAsia="en-US"/>
                    </w:rPr>
                  </w:pPr>
                  <w:r w:rsidRPr="008B7CC1">
                    <w:rPr>
                      <w:rFonts w:eastAsia="Calibri" w:cs="Calibri"/>
                      <w:color w:val="000000"/>
                      <w:lang w:val="en-US" w:eastAsia="en-US"/>
                    </w:rPr>
                    <w:t>348/1029 (33.8%)</w:t>
                  </w:r>
                </w:p>
              </w:tc>
              <w:tc>
                <w:tcPr>
                  <w:tcW w:w="444" w:type="pct"/>
                  <w:shd w:val="clear" w:color="auto" w:fill="auto"/>
                </w:tcPr>
                <w:p w:rsidR="009F53A3" w:rsidRPr="008B7CC1" w:rsidRDefault="009F53A3" w:rsidP="008E1EEE">
                  <w:pPr>
                    <w:spacing w:after="0" w:line="240" w:lineRule="auto"/>
                    <w:rPr>
                      <w:rFonts w:eastAsia="Calibri"/>
                      <w:color w:val="000000"/>
                      <w:lang w:val="en-US" w:eastAsia="en-US"/>
                    </w:rPr>
                  </w:pPr>
                  <w:r w:rsidRPr="008B7CC1">
                    <w:rPr>
                      <w:rFonts w:eastAsia="Calibri" w:cs="Calibri"/>
                      <w:color w:val="000000"/>
                      <w:lang w:val="en-US" w:eastAsia="en-US"/>
                    </w:rPr>
                    <w:t>340/1018 (33.4%)</w:t>
                  </w:r>
                </w:p>
              </w:tc>
              <w:tc>
                <w:tcPr>
                  <w:tcW w:w="490" w:type="pct"/>
                </w:tcPr>
                <w:p w:rsidR="009F53A3" w:rsidRPr="008B7CC1" w:rsidRDefault="009F53A3" w:rsidP="008E1EEE">
                  <w:pPr>
                    <w:spacing w:after="0" w:line="240" w:lineRule="auto"/>
                    <w:rPr>
                      <w:rFonts w:eastAsia="Calibri"/>
                      <w:color w:val="000000"/>
                      <w:lang w:val="en-US" w:eastAsia="en-US"/>
                    </w:rPr>
                  </w:pPr>
                  <w:r>
                    <w:rPr>
                      <w:rFonts w:eastAsia="Calibri"/>
                      <w:color w:val="000000"/>
                      <w:lang w:val="en-US" w:eastAsia="en-US"/>
                    </w:rPr>
                    <w:t>688/2047 (33.6%)</w:t>
                  </w:r>
                </w:p>
              </w:tc>
              <w:tc>
                <w:tcPr>
                  <w:tcW w:w="91" w:type="pct"/>
                  <w:shd w:val="clear" w:color="auto" w:fill="auto"/>
                </w:tcPr>
                <w:p w:rsidR="009F53A3" w:rsidRPr="008B7CC1" w:rsidRDefault="009F53A3" w:rsidP="008E1EEE">
                  <w:pPr>
                    <w:spacing w:after="0" w:line="240" w:lineRule="auto"/>
                    <w:rPr>
                      <w:rFonts w:eastAsia="Calibri"/>
                      <w:color w:val="000000"/>
                      <w:lang w:val="en-US" w:eastAsia="en-US"/>
                    </w:rPr>
                  </w:pPr>
                </w:p>
              </w:tc>
              <w:tc>
                <w:tcPr>
                  <w:tcW w:w="504" w:type="pct"/>
                  <w:shd w:val="clear" w:color="auto" w:fill="auto"/>
                </w:tcPr>
                <w:p w:rsidR="009F53A3" w:rsidRPr="008B7CC1" w:rsidRDefault="009F53A3" w:rsidP="008E1EEE">
                  <w:pPr>
                    <w:spacing w:after="0" w:line="240" w:lineRule="auto"/>
                    <w:rPr>
                      <w:rFonts w:eastAsia="Calibri"/>
                      <w:color w:val="000000"/>
                      <w:lang w:val="en-US" w:eastAsia="en-US"/>
                    </w:rPr>
                  </w:pPr>
                  <w:r w:rsidRPr="008B7CC1">
                    <w:rPr>
                      <w:rFonts w:eastAsia="Calibri"/>
                      <w:color w:val="000000"/>
                      <w:lang w:val="en-US" w:eastAsia="en-US"/>
                    </w:rPr>
                    <w:t>172/230 (75.8%)</w:t>
                  </w:r>
                </w:p>
              </w:tc>
              <w:tc>
                <w:tcPr>
                  <w:tcW w:w="482" w:type="pct"/>
                  <w:shd w:val="clear" w:color="auto" w:fill="auto"/>
                </w:tcPr>
                <w:p w:rsidR="009F53A3" w:rsidRPr="008B7CC1" w:rsidRDefault="009F53A3" w:rsidP="008E1EEE">
                  <w:pPr>
                    <w:spacing w:after="0" w:line="240" w:lineRule="auto"/>
                    <w:rPr>
                      <w:rFonts w:eastAsia="Calibri"/>
                      <w:color w:val="000000"/>
                      <w:lang w:val="en-US" w:eastAsia="en-US"/>
                    </w:rPr>
                  </w:pPr>
                  <w:r w:rsidRPr="008B7CC1">
                    <w:rPr>
                      <w:rFonts w:eastAsia="Calibri"/>
                      <w:color w:val="000000"/>
                      <w:lang w:val="en-US" w:eastAsia="en-US"/>
                    </w:rPr>
                    <w:t>177/542 (32.7%)</w:t>
                  </w:r>
                </w:p>
              </w:tc>
              <w:tc>
                <w:tcPr>
                  <w:tcW w:w="678" w:type="pct"/>
                </w:tcPr>
                <w:p w:rsidR="009F53A3" w:rsidRPr="008B7CC1" w:rsidRDefault="009F53A3" w:rsidP="008E1EEE">
                  <w:pPr>
                    <w:spacing w:after="0" w:line="240" w:lineRule="auto"/>
                    <w:jc w:val="center"/>
                    <w:rPr>
                      <w:rFonts w:eastAsia="Calibri" w:cs="Calibri"/>
                      <w:color w:val="000000"/>
                      <w:lang w:val="en-US" w:eastAsia="en-US"/>
                    </w:rPr>
                  </w:pPr>
                  <w:r>
                    <w:rPr>
                      <w:rFonts w:eastAsia="Calibri" w:cs="Calibri"/>
                      <w:color w:val="000000"/>
                      <w:lang w:val="en-US" w:eastAsia="en-US"/>
                    </w:rPr>
                    <w:t>349/772 (45.2%)</w:t>
                  </w:r>
                </w:p>
              </w:tc>
              <w:tc>
                <w:tcPr>
                  <w:tcW w:w="582" w:type="pct"/>
                  <w:gridSpan w:val="2"/>
                  <w:shd w:val="clear" w:color="auto" w:fill="auto"/>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0.952</w:t>
                  </w:r>
                </w:p>
              </w:tc>
              <w:tc>
                <w:tcPr>
                  <w:tcW w:w="582" w:type="pct"/>
                  <w:shd w:val="clear" w:color="auto" w:fill="auto"/>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-0.087</w:t>
                  </w:r>
                </w:p>
              </w:tc>
            </w:tr>
            <w:tr w:rsidR="009F53A3" w:rsidRPr="008B7CC1" w:rsidTr="00EF7A79">
              <w:tc>
                <w:tcPr>
                  <w:tcW w:w="643" w:type="pct"/>
                  <w:shd w:val="clear" w:color="auto" w:fill="C0C0C0"/>
                </w:tcPr>
                <w:p w:rsidR="009F53A3" w:rsidRPr="008B7CC1" w:rsidRDefault="009F53A3" w:rsidP="008E1EEE">
                  <w:pPr>
                    <w:spacing w:after="0" w:line="240" w:lineRule="auto"/>
                    <w:rPr>
                      <w:rFonts w:eastAsia="Calibri"/>
                      <w:bCs/>
                      <w:color w:val="000000"/>
                      <w:lang w:val="en-US" w:eastAsia="en-US"/>
                    </w:rPr>
                  </w:pPr>
                  <w:r w:rsidRPr="008B7CC1">
                    <w:rPr>
                      <w:rFonts w:eastAsia="Calibri"/>
                      <w:b/>
                      <w:bCs/>
                      <w:color w:val="000000"/>
                      <w:lang w:val="en-US" w:eastAsia="en-US"/>
                    </w:rPr>
                    <w:t>Disturbed sleep</w:t>
                  </w:r>
                </w:p>
              </w:tc>
              <w:tc>
                <w:tcPr>
                  <w:tcW w:w="504" w:type="pct"/>
                  <w:tcBorders>
                    <w:left w:val="nil"/>
                    <w:right w:val="nil"/>
                  </w:tcBorders>
                  <w:shd w:val="clear" w:color="auto" w:fill="C0C0C0"/>
                </w:tcPr>
                <w:p w:rsidR="009F53A3" w:rsidRPr="008B7CC1" w:rsidRDefault="009F53A3" w:rsidP="008E1EEE">
                  <w:pPr>
                    <w:spacing w:after="0" w:line="240" w:lineRule="auto"/>
                    <w:rPr>
                      <w:rFonts w:eastAsia="Calibri" w:cs="Calibri"/>
                      <w:color w:val="000000"/>
                      <w:lang w:val="en-US" w:eastAsia="en-US"/>
                    </w:rPr>
                  </w:pPr>
                  <w:r w:rsidRPr="008B7CC1">
                    <w:rPr>
                      <w:rFonts w:eastAsia="Calibri" w:cs="Calibri"/>
                      <w:color w:val="000000"/>
                      <w:lang w:val="en-US" w:eastAsia="en-US"/>
                    </w:rPr>
                    <w:t>638/1035 (61.6%)</w:t>
                  </w:r>
                </w:p>
              </w:tc>
              <w:tc>
                <w:tcPr>
                  <w:tcW w:w="444" w:type="pct"/>
                  <w:shd w:val="clear" w:color="auto" w:fill="C0C0C0"/>
                </w:tcPr>
                <w:p w:rsidR="009F53A3" w:rsidRPr="008B7CC1" w:rsidRDefault="009F53A3" w:rsidP="008E1EEE">
                  <w:pPr>
                    <w:spacing w:after="0" w:line="240" w:lineRule="auto"/>
                    <w:rPr>
                      <w:rFonts w:eastAsia="Calibri" w:cs="Calibri"/>
                      <w:color w:val="000000"/>
                      <w:lang w:val="en-US" w:eastAsia="en-US"/>
                    </w:rPr>
                  </w:pPr>
                  <w:r w:rsidRPr="008B7CC1">
                    <w:rPr>
                      <w:rFonts w:eastAsia="Calibri" w:cs="Calibri"/>
                      <w:color w:val="000000"/>
                      <w:lang w:val="en-US" w:eastAsia="en-US"/>
                    </w:rPr>
                    <w:t>642/1022 (62.8%)</w:t>
                  </w:r>
                </w:p>
              </w:tc>
              <w:tc>
                <w:tcPr>
                  <w:tcW w:w="490" w:type="pct"/>
                  <w:shd w:val="clear" w:color="auto" w:fill="C0C0C0"/>
                </w:tcPr>
                <w:p w:rsidR="009F53A3" w:rsidRPr="008B7CC1" w:rsidRDefault="009F53A3" w:rsidP="008E1EEE">
                  <w:pPr>
                    <w:spacing w:after="0" w:line="240" w:lineRule="auto"/>
                    <w:rPr>
                      <w:rFonts w:eastAsia="Calibri"/>
                      <w:color w:val="000000"/>
                      <w:lang w:val="en-US" w:eastAsia="en-US"/>
                    </w:rPr>
                  </w:pPr>
                  <w:r>
                    <w:rPr>
                      <w:rFonts w:eastAsia="Calibri"/>
                      <w:color w:val="000000"/>
                      <w:lang w:val="en-US" w:eastAsia="en-US"/>
                    </w:rPr>
                    <w:t>1280/2057 (62.2%)</w:t>
                  </w:r>
                </w:p>
              </w:tc>
              <w:tc>
                <w:tcPr>
                  <w:tcW w:w="91" w:type="pct"/>
                  <w:tcBorders>
                    <w:left w:val="nil"/>
                    <w:right w:val="nil"/>
                  </w:tcBorders>
                  <w:shd w:val="clear" w:color="auto" w:fill="C0C0C0"/>
                </w:tcPr>
                <w:p w:rsidR="009F53A3" w:rsidRPr="008B7CC1" w:rsidRDefault="009F53A3" w:rsidP="008E1EEE">
                  <w:pPr>
                    <w:spacing w:after="0" w:line="240" w:lineRule="auto"/>
                    <w:rPr>
                      <w:rFonts w:eastAsia="Calibri"/>
                      <w:color w:val="000000"/>
                      <w:lang w:val="en-US" w:eastAsia="en-US"/>
                    </w:rPr>
                  </w:pPr>
                </w:p>
              </w:tc>
              <w:tc>
                <w:tcPr>
                  <w:tcW w:w="504" w:type="pct"/>
                  <w:shd w:val="clear" w:color="auto" w:fill="C0C0C0"/>
                </w:tcPr>
                <w:p w:rsidR="009F53A3" w:rsidRPr="008B7CC1" w:rsidRDefault="009F53A3" w:rsidP="008E1EEE">
                  <w:pPr>
                    <w:spacing w:after="0" w:line="240" w:lineRule="auto"/>
                    <w:rPr>
                      <w:rFonts w:eastAsia="Calibri" w:cs="Calibri"/>
                      <w:color w:val="000000"/>
                      <w:lang w:val="en-US" w:eastAsia="en-US"/>
                    </w:rPr>
                  </w:pPr>
                  <w:r w:rsidRPr="008B7CC1">
                    <w:rPr>
                      <w:rFonts w:eastAsia="Calibri" w:cs="Calibri"/>
                      <w:color w:val="000000"/>
                      <w:lang w:val="en-US" w:eastAsia="en-US"/>
                    </w:rPr>
                    <w:t>172/232 (74.1%)</w:t>
                  </w:r>
                </w:p>
              </w:tc>
              <w:tc>
                <w:tcPr>
                  <w:tcW w:w="482" w:type="pct"/>
                  <w:tcBorders>
                    <w:left w:val="nil"/>
                    <w:right w:val="nil"/>
                  </w:tcBorders>
                  <w:shd w:val="clear" w:color="auto" w:fill="C0C0C0"/>
                </w:tcPr>
                <w:p w:rsidR="009F53A3" w:rsidRPr="008B7CC1" w:rsidRDefault="009F53A3" w:rsidP="008E1EEE">
                  <w:pPr>
                    <w:spacing w:after="0" w:line="240" w:lineRule="auto"/>
                    <w:rPr>
                      <w:rFonts w:eastAsia="Calibri" w:cs="Calibri"/>
                      <w:color w:val="000000"/>
                      <w:lang w:val="en-US" w:eastAsia="en-US"/>
                    </w:rPr>
                  </w:pPr>
                  <w:r w:rsidRPr="008B7CC1">
                    <w:rPr>
                      <w:rFonts w:eastAsia="Calibri" w:cs="Calibri"/>
                      <w:color w:val="000000"/>
                      <w:lang w:val="en-US" w:eastAsia="en-US"/>
                    </w:rPr>
                    <w:t>324/546 (59.3%)</w:t>
                  </w:r>
                </w:p>
              </w:tc>
              <w:tc>
                <w:tcPr>
                  <w:tcW w:w="678" w:type="pct"/>
                  <w:shd w:val="clear" w:color="auto" w:fill="C0C0C0"/>
                </w:tcPr>
                <w:p w:rsidR="009F53A3" w:rsidRPr="008B7CC1" w:rsidRDefault="009F53A3" w:rsidP="008E1EEE">
                  <w:pPr>
                    <w:spacing w:after="0" w:line="240" w:lineRule="auto"/>
                    <w:jc w:val="center"/>
                    <w:rPr>
                      <w:rFonts w:eastAsia="Calibri" w:cs="Calibri"/>
                      <w:color w:val="000000"/>
                      <w:lang w:val="en-US" w:eastAsia="en-US"/>
                    </w:rPr>
                  </w:pPr>
                  <w:r>
                    <w:rPr>
                      <w:rFonts w:eastAsia="Calibri" w:cs="Calibri"/>
                      <w:color w:val="000000"/>
                      <w:lang w:val="en-US" w:eastAsia="en-US"/>
                    </w:rPr>
                    <w:t>496/778 (63.7%)</w:t>
                  </w:r>
                </w:p>
              </w:tc>
              <w:tc>
                <w:tcPr>
                  <w:tcW w:w="582" w:type="pct"/>
                  <w:gridSpan w:val="2"/>
                  <w:shd w:val="clear" w:color="auto" w:fill="C0C0C0"/>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0.347</w:t>
                  </w:r>
                </w:p>
              </w:tc>
              <w:tc>
                <w:tcPr>
                  <w:tcW w:w="582" w:type="pct"/>
                  <w:tcBorders>
                    <w:left w:val="nil"/>
                    <w:right w:val="nil"/>
                  </w:tcBorders>
                  <w:shd w:val="clear" w:color="auto" w:fill="C0C0C0"/>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-0.007</w:t>
                  </w:r>
                </w:p>
              </w:tc>
            </w:tr>
            <w:tr w:rsidR="009F53A3" w:rsidRPr="008B7CC1" w:rsidTr="00EF7A79">
              <w:tc>
                <w:tcPr>
                  <w:tcW w:w="643" w:type="pct"/>
                  <w:shd w:val="clear" w:color="auto" w:fill="auto"/>
                </w:tcPr>
                <w:p w:rsidR="009F53A3" w:rsidRPr="008B7CC1" w:rsidRDefault="009F53A3" w:rsidP="008E1EEE">
                  <w:pPr>
                    <w:spacing w:after="0" w:line="240" w:lineRule="auto"/>
                    <w:rPr>
                      <w:rFonts w:eastAsia="Calibri"/>
                      <w:b/>
                      <w:bCs/>
                      <w:color w:val="000000"/>
                      <w:lang w:val="en-US" w:eastAsia="en-US"/>
                    </w:rPr>
                  </w:pPr>
                  <w:r w:rsidRPr="008B7CC1">
                    <w:rPr>
                      <w:rFonts w:eastAsia="Calibri"/>
                      <w:b/>
                      <w:bCs/>
                      <w:color w:val="000000"/>
                      <w:lang w:val="en-US" w:eastAsia="en-US"/>
                    </w:rPr>
                    <w:t>Crackles</w:t>
                  </w:r>
                </w:p>
              </w:tc>
              <w:tc>
                <w:tcPr>
                  <w:tcW w:w="504" w:type="pct"/>
                  <w:shd w:val="clear" w:color="auto" w:fill="auto"/>
                </w:tcPr>
                <w:p w:rsidR="009F53A3" w:rsidRPr="008B7CC1" w:rsidRDefault="009F53A3" w:rsidP="008E1EEE">
                  <w:pPr>
                    <w:spacing w:after="0" w:line="240" w:lineRule="auto"/>
                    <w:rPr>
                      <w:rFonts w:eastAsia="Calibri" w:cs="Calibri"/>
                      <w:color w:val="000000"/>
                      <w:lang w:val="en-US" w:eastAsia="en-US"/>
                    </w:rPr>
                  </w:pPr>
                  <w:r w:rsidRPr="008B7CC1">
                    <w:rPr>
                      <w:rFonts w:eastAsia="Calibri" w:cs="Calibri"/>
                      <w:color w:val="000000"/>
                      <w:lang w:val="en-US" w:eastAsia="en-US"/>
                    </w:rPr>
                    <w:t>63/1033 (6.1%)</w:t>
                  </w:r>
                </w:p>
              </w:tc>
              <w:tc>
                <w:tcPr>
                  <w:tcW w:w="444" w:type="pct"/>
                  <w:shd w:val="clear" w:color="auto" w:fill="auto"/>
                </w:tcPr>
                <w:p w:rsidR="009F53A3" w:rsidRPr="008B7CC1" w:rsidRDefault="009F53A3" w:rsidP="008E1EEE">
                  <w:pPr>
                    <w:spacing w:after="0" w:line="240" w:lineRule="auto"/>
                    <w:rPr>
                      <w:rFonts w:eastAsia="Calibri" w:cs="Calibri"/>
                      <w:color w:val="000000"/>
                      <w:lang w:val="en-US" w:eastAsia="en-US"/>
                    </w:rPr>
                  </w:pPr>
                  <w:r w:rsidRPr="008B7CC1">
                    <w:rPr>
                      <w:rFonts w:eastAsia="Calibri" w:cs="Calibri"/>
                      <w:color w:val="000000"/>
                      <w:lang w:val="en-US" w:eastAsia="en-US"/>
                    </w:rPr>
                    <w:t>63/1018 (6.2%)</w:t>
                  </w:r>
                </w:p>
              </w:tc>
              <w:tc>
                <w:tcPr>
                  <w:tcW w:w="490" w:type="pct"/>
                </w:tcPr>
                <w:p w:rsidR="009F53A3" w:rsidRPr="008B7CC1" w:rsidRDefault="009F53A3" w:rsidP="008E1EEE">
                  <w:pPr>
                    <w:spacing w:after="0" w:line="240" w:lineRule="auto"/>
                    <w:rPr>
                      <w:rFonts w:eastAsia="Calibri"/>
                      <w:color w:val="000000"/>
                      <w:lang w:val="en-US" w:eastAsia="en-US"/>
                    </w:rPr>
                  </w:pPr>
                  <w:r>
                    <w:rPr>
                      <w:rFonts w:eastAsia="Calibri"/>
                      <w:color w:val="000000"/>
                      <w:lang w:val="en-US" w:eastAsia="en-US"/>
                    </w:rPr>
                    <w:t>126/2051 (6.1%)</w:t>
                  </w:r>
                </w:p>
              </w:tc>
              <w:tc>
                <w:tcPr>
                  <w:tcW w:w="91" w:type="pct"/>
                  <w:shd w:val="clear" w:color="auto" w:fill="auto"/>
                </w:tcPr>
                <w:p w:rsidR="009F53A3" w:rsidRPr="008B7CC1" w:rsidRDefault="009F53A3" w:rsidP="008E1EEE">
                  <w:pPr>
                    <w:spacing w:after="0" w:line="240" w:lineRule="auto"/>
                    <w:rPr>
                      <w:rFonts w:eastAsia="Calibri"/>
                      <w:color w:val="000000"/>
                      <w:lang w:val="en-US" w:eastAsia="en-US"/>
                    </w:rPr>
                  </w:pPr>
                </w:p>
              </w:tc>
              <w:tc>
                <w:tcPr>
                  <w:tcW w:w="504" w:type="pct"/>
                  <w:shd w:val="clear" w:color="auto" w:fill="auto"/>
                </w:tcPr>
                <w:p w:rsidR="009F53A3" w:rsidRPr="008B7CC1" w:rsidRDefault="009F53A3" w:rsidP="008E1EEE">
                  <w:pPr>
                    <w:spacing w:after="0" w:line="240" w:lineRule="auto"/>
                    <w:rPr>
                      <w:rFonts w:eastAsia="Calibri"/>
                      <w:color w:val="000000"/>
                      <w:lang w:val="en-US" w:eastAsia="en-US"/>
                    </w:rPr>
                  </w:pPr>
                  <w:r w:rsidRPr="008B7CC1">
                    <w:rPr>
                      <w:rFonts w:eastAsia="Calibri"/>
                      <w:color w:val="000000"/>
                      <w:lang w:val="en-US" w:eastAsia="en-US"/>
                    </w:rPr>
                    <w:t>67/232 (28.9%)</w:t>
                  </w:r>
                </w:p>
              </w:tc>
              <w:tc>
                <w:tcPr>
                  <w:tcW w:w="482" w:type="pct"/>
                  <w:shd w:val="clear" w:color="auto" w:fill="auto"/>
                </w:tcPr>
                <w:p w:rsidR="009F53A3" w:rsidRPr="008B7CC1" w:rsidRDefault="009F53A3" w:rsidP="008E1EEE">
                  <w:pPr>
                    <w:spacing w:after="0" w:line="240" w:lineRule="auto"/>
                    <w:rPr>
                      <w:rFonts w:eastAsia="Calibri"/>
                      <w:color w:val="000000"/>
                      <w:lang w:val="en-US" w:eastAsia="en-US"/>
                    </w:rPr>
                  </w:pPr>
                  <w:r w:rsidRPr="008B7CC1">
                    <w:rPr>
                      <w:rFonts w:eastAsia="Calibri"/>
                      <w:color w:val="000000"/>
                      <w:lang w:val="en-US" w:eastAsia="en-US"/>
                    </w:rPr>
                    <w:t>38/542 (7.0%)</w:t>
                  </w:r>
                </w:p>
              </w:tc>
              <w:tc>
                <w:tcPr>
                  <w:tcW w:w="678" w:type="pct"/>
                </w:tcPr>
                <w:p w:rsidR="009F53A3" w:rsidRPr="008B7CC1" w:rsidRDefault="009F53A3" w:rsidP="008E1EEE">
                  <w:pPr>
                    <w:spacing w:after="0" w:line="240" w:lineRule="auto"/>
                    <w:jc w:val="center"/>
                    <w:rPr>
                      <w:rFonts w:eastAsia="Calibri" w:cs="Calibri"/>
                      <w:color w:val="000000"/>
                      <w:lang w:val="en-US" w:eastAsia="en-US"/>
                    </w:rPr>
                  </w:pPr>
                  <w:r>
                    <w:rPr>
                      <w:rFonts w:eastAsia="Calibri" w:cs="Calibri"/>
                      <w:color w:val="000000"/>
                      <w:lang w:val="en-US" w:eastAsia="en-US"/>
                    </w:rPr>
                    <w:t>105/774 (13.6%)</w:t>
                  </w:r>
                </w:p>
              </w:tc>
              <w:tc>
                <w:tcPr>
                  <w:tcW w:w="582" w:type="pct"/>
                  <w:gridSpan w:val="2"/>
                  <w:shd w:val="clear" w:color="auto" w:fill="auto"/>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0.572</w:t>
                  </w:r>
                </w:p>
              </w:tc>
              <w:tc>
                <w:tcPr>
                  <w:tcW w:w="582" w:type="pct"/>
                  <w:shd w:val="clear" w:color="auto" w:fill="auto"/>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-0.049</w:t>
                  </w:r>
                </w:p>
              </w:tc>
            </w:tr>
            <w:tr w:rsidR="009F53A3" w:rsidRPr="008B7CC1" w:rsidTr="00EF7A79">
              <w:tc>
                <w:tcPr>
                  <w:tcW w:w="643" w:type="pct"/>
                  <w:shd w:val="clear" w:color="auto" w:fill="C0C0C0"/>
                </w:tcPr>
                <w:p w:rsidR="009F53A3" w:rsidRPr="008B7CC1" w:rsidRDefault="009F53A3" w:rsidP="008E1EEE">
                  <w:pPr>
                    <w:spacing w:after="0" w:line="240" w:lineRule="auto"/>
                    <w:rPr>
                      <w:rFonts w:eastAsia="Calibri"/>
                      <w:b/>
                      <w:bCs/>
                      <w:color w:val="000000"/>
                      <w:lang w:val="en-US" w:eastAsia="en-US"/>
                    </w:rPr>
                  </w:pPr>
                  <w:r w:rsidRPr="008B7CC1">
                    <w:rPr>
                      <w:rFonts w:eastAsia="Calibri"/>
                      <w:b/>
                      <w:bCs/>
                      <w:color w:val="000000"/>
                      <w:lang w:val="en-US" w:eastAsia="en-US"/>
                    </w:rPr>
                    <w:t>Rhonchi</w:t>
                  </w:r>
                </w:p>
              </w:tc>
              <w:tc>
                <w:tcPr>
                  <w:tcW w:w="504" w:type="pct"/>
                  <w:tcBorders>
                    <w:left w:val="nil"/>
                    <w:right w:val="nil"/>
                  </w:tcBorders>
                  <w:shd w:val="clear" w:color="auto" w:fill="C0C0C0"/>
                </w:tcPr>
                <w:p w:rsidR="009F53A3" w:rsidRPr="008B7CC1" w:rsidRDefault="009F53A3" w:rsidP="008E1EEE">
                  <w:pPr>
                    <w:spacing w:after="0" w:line="240" w:lineRule="auto"/>
                    <w:rPr>
                      <w:rFonts w:eastAsia="Calibri" w:cs="Calibri"/>
                      <w:color w:val="000000"/>
                      <w:lang w:val="en-US" w:eastAsia="en-US"/>
                    </w:rPr>
                  </w:pPr>
                  <w:r w:rsidRPr="008B7CC1">
                    <w:rPr>
                      <w:rFonts w:eastAsia="Calibri" w:cs="Calibri"/>
                      <w:color w:val="000000"/>
                      <w:lang w:val="en-US" w:eastAsia="en-US"/>
                    </w:rPr>
                    <w:t>143/1032 (13.9%)</w:t>
                  </w:r>
                </w:p>
              </w:tc>
              <w:tc>
                <w:tcPr>
                  <w:tcW w:w="444" w:type="pct"/>
                  <w:shd w:val="clear" w:color="auto" w:fill="C0C0C0"/>
                </w:tcPr>
                <w:p w:rsidR="009F53A3" w:rsidRPr="008B7CC1" w:rsidRDefault="009F53A3" w:rsidP="008E1EEE">
                  <w:pPr>
                    <w:spacing w:after="0" w:line="240" w:lineRule="auto"/>
                    <w:rPr>
                      <w:rFonts w:eastAsia="Calibri" w:cs="Calibri"/>
                      <w:color w:val="000000"/>
                      <w:lang w:val="en-US" w:eastAsia="en-US"/>
                    </w:rPr>
                  </w:pPr>
                  <w:r w:rsidRPr="008B7CC1">
                    <w:rPr>
                      <w:rFonts w:eastAsia="Calibri" w:cs="Calibri"/>
                      <w:color w:val="000000"/>
                      <w:lang w:val="en-US" w:eastAsia="en-US"/>
                    </w:rPr>
                    <w:t>138/1018 (13.6%)</w:t>
                  </w:r>
                </w:p>
              </w:tc>
              <w:tc>
                <w:tcPr>
                  <w:tcW w:w="490" w:type="pct"/>
                  <w:shd w:val="clear" w:color="auto" w:fill="C0C0C0"/>
                </w:tcPr>
                <w:p w:rsidR="009F53A3" w:rsidRPr="008B7CC1" w:rsidRDefault="009F53A3" w:rsidP="008E1EEE">
                  <w:pPr>
                    <w:spacing w:after="0" w:line="240" w:lineRule="auto"/>
                    <w:rPr>
                      <w:rFonts w:eastAsia="Calibri"/>
                      <w:color w:val="000000"/>
                      <w:lang w:val="en-US" w:eastAsia="en-US"/>
                    </w:rPr>
                  </w:pPr>
                  <w:r>
                    <w:rPr>
                      <w:rFonts w:eastAsia="Calibri"/>
                      <w:color w:val="000000"/>
                      <w:lang w:val="en-US" w:eastAsia="en-US"/>
                    </w:rPr>
                    <w:t>281/2050 (13.7%)</w:t>
                  </w:r>
                </w:p>
              </w:tc>
              <w:tc>
                <w:tcPr>
                  <w:tcW w:w="91" w:type="pct"/>
                  <w:tcBorders>
                    <w:left w:val="nil"/>
                    <w:right w:val="nil"/>
                  </w:tcBorders>
                  <w:shd w:val="clear" w:color="auto" w:fill="C0C0C0"/>
                </w:tcPr>
                <w:p w:rsidR="009F53A3" w:rsidRPr="008B7CC1" w:rsidRDefault="009F53A3" w:rsidP="008E1EEE">
                  <w:pPr>
                    <w:spacing w:after="0" w:line="240" w:lineRule="auto"/>
                    <w:rPr>
                      <w:rFonts w:eastAsia="Calibri"/>
                      <w:color w:val="000000"/>
                      <w:lang w:val="en-US" w:eastAsia="en-US"/>
                    </w:rPr>
                  </w:pPr>
                </w:p>
              </w:tc>
              <w:tc>
                <w:tcPr>
                  <w:tcW w:w="504" w:type="pct"/>
                  <w:shd w:val="clear" w:color="auto" w:fill="C0C0C0"/>
                </w:tcPr>
                <w:p w:rsidR="009F53A3" w:rsidRPr="008B7CC1" w:rsidRDefault="009F53A3" w:rsidP="008E1EEE">
                  <w:pPr>
                    <w:spacing w:after="0" w:line="240" w:lineRule="auto"/>
                    <w:rPr>
                      <w:rFonts w:eastAsia="Calibri"/>
                      <w:color w:val="000000"/>
                      <w:lang w:val="en-US" w:eastAsia="en-US"/>
                    </w:rPr>
                  </w:pPr>
                  <w:r w:rsidRPr="008B7CC1">
                    <w:rPr>
                      <w:rFonts w:eastAsia="Calibri"/>
                      <w:color w:val="000000"/>
                      <w:lang w:val="en-US" w:eastAsia="en-US"/>
                    </w:rPr>
                    <w:t>76/230 (33.0%)</w:t>
                  </w:r>
                </w:p>
              </w:tc>
              <w:tc>
                <w:tcPr>
                  <w:tcW w:w="482" w:type="pct"/>
                  <w:tcBorders>
                    <w:left w:val="nil"/>
                    <w:right w:val="nil"/>
                  </w:tcBorders>
                  <w:shd w:val="clear" w:color="auto" w:fill="C0C0C0"/>
                </w:tcPr>
                <w:p w:rsidR="009F53A3" w:rsidRPr="008B7CC1" w:rsidRDefault="009F53A3" w:rsidP="008E1EEE">
                  <w:pPr>
                    <w:spacing w:after="0" w:line="240" w:lineRule="auto"/>
                    <w:rPr>
                      <w:rFonts w:eastAsia="Calibri"/>
                      <w:color w:val="000000"/>
                      <w:lang w:val="en-US" w:eastAsia="en-US"/>
                    </w:rPr>
                  </w:pPr>
                  <w:r w:rsidRPr="008B7CC1">
                    <w:rPr>
                      <w:rFonts w:eastAsia="Calibri"/>
                      <w:color w:val="000000"/>
                      <w:lang w:val="en-US" w:eastAsia="en-US"/>
                    </w:rPr>
                    <w:t>80/542 (14.8%)</w:t>
                  </w:r>
                </w:p>
              </w:tc>
              <w:tc>
                <w:tcPr>
                  <w:tcW w:w="678" w:type="pct"/>
                  <w:shd w:val="clear" w:color="auto" w:fill="C0C0C0"/>
                </w:tcPr>
                <w:p w:rsidR="009F53A3" w:rsidRPr="008B7CC1" w:rsidRDefault="009F53A3" w:rsidP="008E1EEE">
                  <w:pPr>
                    <w:spacing w:after="0" w:line="240" w:lineRule="auto"/>
                    <w:jc w:val="center"/>
                    <w:rPr>
                      <w:rFonts w:eastAsia="Calibri" w:cs="Calibri"/>
                      <w:color w:val="000000"/>
                      <w:lang w:val="en-US" w:eastAsia="en-US"/>
                    </w:rPr>
                  </w:pPr>
                  <w:r>
                    <w:rPr>
                      <w:rFonts w:eastAsia="Calibri" w:cs="Calibri"/>
                      <w:color w:val="000000"/>
                      <w:lang w:val="en-US" w:eastAsia="en-US"/>
                    </w:rPr>
                    <w:t>156/772 (20.0%)</w:t>
                  </w:r>
                </w:p>
              </w:tc>
              <w:tc>
                <w:tcPr>
                  <w:tcW w:w="582" w:type="pct"/>
                  <w:gridSpan w:val="2"/>
                  <w:shd w:val="clear" w:color="auto" w:fill="C0C0C0"/>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0.471</w:t>
                  </w:r>
                </w:p>
              </w:tc>
              <w:tc>
                <w:tcPr>
                  <w:tcW w:w="582" w:type="pct"/>
                  <w:tcBorders>
                    <w:left w:val="nil"/>
                    <w:right w:val="nil"/>
                  </w:tcBorders>
                  <w:shd w:val="clear" w:color="auto" w:fill="C0C0C0"/>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-0.059</w:t>
                  </w:r>
                </w:p>
              </w:tc>
            </w:tr>
            <w:tr w:rsidR="009F53A3" w:rsidRPr="008B7CC1" w:rsidTr="00EF7A79">
              <w:tc>
                <w:tcPr>
                  <w:tcW w:w="643" w:type="pct"/>
                  <w:shd w:val="clear" w:color="auto" w:fill="auto"/>
                </w:tcPr>
                <w:p w:rsidR="009F53A3" w:rsidRPr="008B7CC1" w:rsidRDefault="009F53A3" w:rsidP="008E1EEE">
                  <w:pPr>
                    <w:spacing w:after="0" w:line="240" w:lineRule="auto"/>
                    <w:rPr>
                      <w:rFonts w:eastAsia="Calibri"/>
                      <w:b/>
                      <w:bCs/>
                      <w:color w:val="000000"/>
                      <w:lang w:val="en-US" w:eastAsia="en-US"/>
                    </w:rPr>
                  </w:pPr>
                  <w:r w:rsidRPr="008B7CC1">
                    <w:rPr>
                      <w:rFonts w:eastAsia="Calibri"/>
                      <w:b/>
                      <w:bCs/>
                      <w:color w:val="000000"/>
                      <w:lang w:val="en-US" w:eastAsia="en-US"/>
                    </w:rPr>
                    <w:t>Runny nose</w:t>
                  </w:r>
                </w:p>
              </w:tc>
              <w:tc>
                <w:tcPr>
                  <w:tcW w:w="504" w:type="pct"/>
                  <w:shd w:val="clear" w:color="auto" w:fill="auto"/>
                </w:tcPr>
                <w:p w:rsidR="009F53A3" w:rsidRPr="008B7CC1" w:rsidRDefault="009F53A3" w:rsidP="008E1EEE">
                  <w:pPr>
                    <w:spacing w:after="0" w:line="240" w:lineRule="auto"/>
                    <w:rPr>
                      <w:rFonts w:eastAsia="Calibri" w:cs="Calibri"/>
                      <w:color w:val="000000"/>
                      <w:lang w:val="en-US" w:eastAsia="en-US"/>
                    </w:rPr>
                  </w:pPr>
                  <w:r w:rsidRPr="008B7CC1">
                    <w:rPr>
                      <w:rFonts w:eastAsia="Calibri" w:cs="Calibri"/>
                      <w:color w:val="000000"/>
                      <w:lang w:val="en-US" w:eastAsia="en-US"/>
                    </w:rPr>
                    <w:t>770/1035 (74.4%)</w:t>
                  </w:r>
                </w:p>
              </w:tc>
              <w:tc>
                <w:tcPr>
                  <w:tcW w:w="444" w:type="pct"/>
                  <w:shd w:val="clear" w:color="auto" w:fill="auto"/>
                </w:tcPr>
                <w:p w:rsidR="009F53A3" w:rsidRPr="008B7CC1" w:rsidRDefault="009F53A3" w:rsidP="008E1EEE">
                  <w:pPr>
                    <w:spacing w:after="0" w:line="240" w:lineRule="auto"/>
                    <w:rPr>
                      <w:rFonts w:eastAsia="Calibri" w:cs="Calibri"/>
                      <w:color w:val="000000"/>
                      <w:lang w:val="en-US" w:eastAsia="en-US"/>
                    </w:rPr>
                  </w:pPr>
                  <w:r w:rsidRPr="008B7CC1">
                    <w:rPr>
                      <w:rFonts w:eastAsia="Calibri" w:cs="Calibri"/>
                      <w:color w:val="000000"/>
                      <w:lang w:val="en-US" w:eastAsia="en-US"/>
                    </w:rPr>
                    <w:t>734/1022 (71.8%)</w:t>
                  </w:r>
                </w:p>
              </w:tc>
              <w:tc>
                <w:tcPr>
                  <w:tcW w:w="490" w:type="pct"/>
                </w:tcPr>
                <w:p w:rsidR="009F53A3" w:rsidRPr="008B7CC1" w:rsidRDefault="009F53A3" w:rsidP="008E1EEE">
                  <w:pPr>
                    <w:spacing w:after="0" w:line="240" w:lineRule="auto"/>
                    <w:rPr>
                      <w:rFonts w:eastAsia="Calibri"/>
                      <w:color w:val="000000"/>
                      <w:lang w:val="en-US" w:eastAsia="en-US"/>
                    </w:rPr>
                  </w:pPr>
                  <w:r>
                    <w:rPr>
                      <w:rFonts w:eastAsia="Calibri"/>
                      <w:color w:val="000000"/>
                      <w:lang w:val="en-US" w:eastAsia="en-US"/>
                    </w:rPr>
                    <w:t>1504/2057 (73.1%)</w:t>
                  </w:r>
                </w:p>
              </w:tc>
              <w:tc>
                <w:tcPr>
                  <w:tcW w:w="91" w:type="pct"/>
                  <w:shd w:val="clear" w:color="auto" w:fill="auto"/>
                </w:tcPr>
                <w:p w:rsidR="009F53A3" w:rsidRPr="008B7CC1" w:rsidRDefault="009F53A3" w:rsidP="008E1EEE">
                  <w:pPr>
                    <w:spacing w:after="0" w:line="240" w:lineRule="auto"/>
                    <w:rPr>
                      <w:rFonts w:eastAsia="Calibri"/>
                      <w:color w:val="000000"/>
                      <w:lang w:val="en-US" w:eastAsia="en-US"/>
                    </w:rPr>
                  </w:pPr>
                </w:p>
              </w:tc>
              <w:tc>
                <w:tcPr>
                  <w:tcW w:w="504" w:type="pct"/>
                  <w:shd w:val="clear" w:color="auto" w:fill="auto"/>
                </w:tcPr>
                <w:p w:rsidR="009F53A3" w:rsidRPr="008B7CC1" w:rsidRDefault="009F53A3" w:rsidP="008E1EEE">
                  <w:pPr>
                    <w:spacing w:after="0" w:line="240" w:lineRule="auto"/>
                    <w:rPr>
                      <w:rFonts w:eastAsia="Calibri"/>
                      <w:color w:val="000000"/>
                      <w:lang w:val="en-US" w:eastAsia="en-US"/>
                    </w:rPr>
                  </w:pPr>
                  <w:r w:rsidRPr="008B7CC1">
                    <w:rPr>
                      <w:rFonts w:eastAsia="Calibri"/>
                      <w:color w:val="000000"/>
                      <w:lang w:val="en-US" w:eastAsia="en-US"/>
                    </w:rPr>
                    <w:t>165/233 (70.8%)</w:t>
                  </w:r>
                </w:p>
              </w:tc>
              <w:tc>
                <w:tcPr>
                  <w:tcW w:w="482" w:type="pct"/>
                  <w:shd w:val="clear" w:color="auto" w:fill="auto"/>
                </w:tcPr>
                <w:p w:rsidR="009F53A3" w:rsidRPr="008B7CC1" w:rsidRDefault="009F53A3" w:rsidP="008E1EEE">
                  <w:pPr>
                    <w:spacing w:after="0" w:line="240" w:lineRule="auto"/>
                    <w:rPr>
                      <w:rFonts w:eastAsia="Calibri"/>
                      <w:color w:val="000000"/>
                      <w:lang w:val="en-US" w:eastAsia="en-US"/>
                    </w:rPr>
                  </w:pPr>
                  <w:r w:rsidRPr="008B7CC1">
                    <w:rPr>
                      <w:rFonts w:eastAsia="Calibri"/>
                      <w:color w:val="000000"/>
                      <w:lang w:val="en-US" w:eastAsia="en-US"/>
                    </w:rPr>
                    <w:t>359/546 (65.8%)</w:t>
                  </w:r>
                </w:p>
              </w:tc>
              <w:tc>
                <w:tcPr>
                  <w:tcW w:w="678" w:type="pct"/>
                </w:tcPr>
                <w:p w:rsidR="009F53A3" w:rsidRPr="008B7CC1" w:rsidRDefault="009F53A3" w:rsidP="008E1EEE">
                  <w:pPr>
                    <w:spacing w:after="0" w:line="240" w:lineRule="auto"/>
                    <w:jc w:val="center"/>
                    <w:rPr>
                      <w:rFonts w:eastAsia="Calibri" w:cs="Calibri"/>
                      <w:color w:val="000000"/>
                      <w:lang w:val="en-US" w:eastAsia="en-US"/>
                    </w:rPr>
                  </w:pPr>
                  <w:r>
                    <w:rPr>
                      <w:rFonts w:eastAsia="Calibri" w:cs="Calibri"/>
                      <w:color w:val="000000"/>
                      <w:lang w:val="en-US" w:eastAsia="en-US"/>
                    </w:rPr>
                    <w:t>524/779 (67.3%)</w:t>
                  </w:r>
                </w:p>
              </w:tc>
              <w:tc>
                <w:tcPr>
                  <w:tcW w:w="582" w:type="pct"/>
                  <w:gridSpan w:val="2"/>
                  <w:shd w:val="clear" w:color="auto" w:fill="auto"/>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0.129</w:t>
                  </w:r>
                </w:p>
              </w:tc>
              <w:tc>
                <w:tcPr>
                  <w:tcW w:w="582" w:type="pct"/>
                  <w:shd w:val="clear" w:color="auto" w:fill="auto"/>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-0.006</w:t>
                  </w:r>
                </w:p>
              </w:tc>
            </w:tr>
            <w:tr w:rsidR="009F53A3" w:rsidRPr="008B7CC1" w:rsidTr="00EF7A79">
              <w:tc>
                <w:tcPr>
                  <w:tcW w:w="643" w:type="pct"/>
                  <w:shd w:val="clear" w:color="auto" w:fill="C0C0C0"/>
                </w:tcPr>
                <w:p w:rsidR="009F53A3" w:rsidRPr="008B7CC1" w:rsidRDefault="009F53A3" w:rsidP="008E1EEE">
                  <w:pPr>
                    <w:spacing w:after="0" w:line="240" w:lineRule="auto"/>
                    <w:rPr>
                      <w:rFonts w:eastAsia="Calibri"/>
                      <w:b/>
                      <w:bCs/>
                      <w:color w:val="000000"/>
                      <w:lang w:val="en-US" w:eastAsia="en-US"/>
                    </w:rPr>
                  </w:pPr>
                  <w:r w:rsidRPr="008B7CC1">
                    <w:rPr>
                      <w:rFonts w:eastAsia="Calibri"/>
                      <w:b/>
                      <w:bCs/>
                      <w:color w:val="000000"/>
                      <w:lang w:val="en-US" w:eastAsia="en-US"/>
                    </w:rPr>
                    <w:t xml:space="preserve">Chest </w:t>
                  </w:r>
                  <w:r w:rsidRPr="008B7CC1">
                    <w:rPr>
                      <w:rFonts w:eastAsia="Calibri"/>
                      <w:b/>
                      <w:bCs/>
                      <w:color w:val="000000"/>
                      <w:lang w:val="en-US" w:eastAsia="en-US"/>
                    </w:rPr>
                    <w:lastRenderedPageBreak/>
                    <w:t>pain</w:t>
                  </w:r>
                </w:p>
              </w:tc>
              <w:tc>
                <w:tcPr>
                  <w:tcW w:w="504" w:type="pct"/>
                  <w:tcBorders>
                    <w:left w:val="nil"/>
                    <w:right w:val="nil"/>
                  </w:tcBorders>
                  <w:shd w:val="clear" w:color="auto" w:fill="C0C0C0"/>
                </w:tcPr>
                <w:p w:rsidR="009F53A3" w:rsidRPr="008B7CC1" w:rsidRDefault="009F53A3" w:rsidP="008E1EEE">
                  <w:pPr>
                    <w:spacing w:after="0" w:line="240" w:lineRule="auto"/>
                    <w:rPr>
                      <w:rFonts w:eastAsia="Calibri" w:cs="Calibri"/>
                      <w:color w:val="000000"/>
                      <w:lang w:val="en-US" w:eastAsia="en-US"/>
                    </w:rPr>
                  </w:pPr>
                  <w:r w:rsidRPr="008B7CC1">
                    <w:rPr>
                      <w:rFonts w:eastAsia="Calibri" w:cs="Calibri"/>
                      <w:color w:val="000000"/>
                      <w:lang w:val="en-US" w:eastAsia="en-US"/>
                    </w:rPr>
                    <w:lastRenderedPageBreak/>
                    <w:t>474/1</w:t>
                  </w:r>
                  <w:r w:rsidRPr="008B7CC1">
                    <w:rPr>
                      <w:rFonts w:eastAsia="Calibri" w:cs="Calibri"/>
                      <w:color w:val="000000"/>
                      <w:lang w:val="en-US" w:eastAsia="en-US"/>
                    </w:rPr>
                    <w:lastRenderedPageBreak/>
                    <w:t>034 (45.8%)</w:t>
                  </w:r>
                </w:p>
              </w:tc>
              <w:tc>
                <w:tcPr>
                  <w:tcW w:w="444" w:type="pct"/>
                  <w:shd w:val="clear" w:color="auto" w:fill="C0C0C0"/>
                </w:tcPr>
                <w:p w:rsidR="009F53A3" w:rsidRPr="008B7CC1" w:rsidRDefault="009F53A3" w:rsidP="008E1EEE">
                  <w:pPr>
                    <w:spacing w:after="0" w:line="240" w:lineRule="auto"/>
                    <w:rPr>
                      <w:rFonts w:eastAsia="Calibri" w:cs="Calibri"/>
                      <w:color w:val="000000"/>
                      <w:lang w:val="en-US" w:eastAsia="en-US"/>
                    </w:rPr>
                  </w:pPr>
                  <w:r w:rsidRPr="008B7CC1">
                    <w:rPr>
                      <w:rFonts w:eastAsia="Calibri" w:cs="Calibri"/>
                      <w:color w:val="000000"/>
                      <w:lang w:val="en-US" w:eastAsia="en-US"/>
                    </w:rPr>
                    <w:lastRenderedPageBreak/>
                    <w:t>468/</w:t>
                  </w:r>
                  <w:r w:rsidRPr="008B7CC1">
                    <w:rPr>
                      <w:rFonts w:eastAsia="Calibri" w:cs="Calibri"/>
                      <w:color w:val="000000"/>
                      <w:lang w:val="en-US" w:eastAsia="en-US"/>
                    </w:rPr>
                    <w:lastRenderedPageBreak/>
                    <w:t>1021 (45.8%)</w:t>
                  </w:r>
                </w:p>
              </w:tc>
              <w:tc>
                <w:tcPr>
                  <w:tcW w:w="490" w:type="pct"/>
                  <w:shd w:val="clear" w:color="auto" w:fill="C0C0C0"/>
                </w:tcPr>
                <w:p w:rsidR="009F53A3" w:rsidRPr="008B7CC1" w:rsidRDefault="009F53A3" w:rsidP="008E1EEE">
                  <w:pPr>
                    <w:spacing w:after="0" w:line="240" w:lineRule="auto"/>
                    <w:rPr>
                      <w:rFonts w:eastAsia="Calibri"/>
                      <w:color w:val="000000"/>
                      <w:lang w:val="en-US" w:eastAsia="en-US"/>
                    </w:rPr>
                  </w:pPr>
                  <w:r>
                    <w:rPr>
                      <w:rFonts w:eastAsia="Calibri"/>
                      <w:color w:val="000000"/>
                      <w:lang w:val="en-US" w:eastAsia="en-US"/>
                    </w:rPr>
                    <w:lastRenderedPageBreak/>
                    <w:t>942/2</w:t>
                  </w:r>
                  <w:r>
                    <w:rPr>
                      <w:rFonts w:eastAsia="Calibri"/>
                      <w:color w:val="000000"/>
                      <w:lang w:val="en-US" w:eastAsia="en-US"/>
                    </w:rPr>
                    <w:lastRenderedPageBreak/>
                    <w:t>055 (45.8%)</w:t>
                  </w:r>
                </w:p>
              </w:tc>
              <w:tc>
                <w:tcPr>
                  <w:tcW w:w="91" w:type="pct"/>
                  <w:tcBorders>
                    <w:left w:val="nil"/>
                    <w:right w:val="nil"/>
                  </w:tcBorders>
                  <w:shd w:val="clear" w:color="auto" w:fill="C0C0C0"/>
                </w:tcPr>
                <w:p w:rsidR="009F53A3" w:rsidRPr="008B7CC1" w:rsidRDefault="009F53A3" w:rsidP="008E1EEE">
                  <w:pPr>
                    <w:spacing w:after="0" w:line="240" w:lineRule="auto"/>
                    <w:rPr>
                      <w:rFonts w:eastAsia="Calibri"/>
                      <w:color w:val="000000"/>
                      <w:lang w:val="en-US" w:eastAsia="en-US"/>
                    </w:rPr>
                  </w:pPr>
                </w:p>
              </w:tc>
              <w:tc>
                <w:tcPr>
                  <w:tcW w:w="504" w:type="pct"/>
                  <w:shd w:val="clear" w:color="auto" w:fill="C0C0C0"/>
                </w:tcPr>
                <w:p w:rsidR="009F53A3" w:rsidRPr="008B7CC1" w:rsidRDefault="009F53A3" w:rsidP="008E1EEE">
                  <w:pPr>
                    <w:spacing w:after="0" w:line="240" w:lineRule="auto"/>
                    <w:rPr>
                      <w:rFonts w:eastAsia="Calibri"/>
                      <w:color w:val="000000"/>
                      <w:lang w:val="en-US" w:eastAsia="en-US"/>
                    </w:rPr>
                  </w:pPr>
                  <w:r w:rsidRPr="008B7CC1">
                    <w:rPr>
                      <w:rFonts w:eastAsia="Calibri"/>
                      <w:color w:val="000000"/>
                      <w:lang w:val="en-US" w:eastAsia="en-US"/>
                    </w:rPr>
                    <w:t>118/2</w:t>
                  </w:r>
                  <w:r w:rsidRPr="008B7CC1">
                    <w:rPr>
                      <w:rFonts w:eastAsia="Calibri"/>
                      <w:color w:val="000000"/>
                      <w:lang w:val="en-US" w:eastAsia="en-US"/>
                    </w:rPr>
                    <w:lastRenderedPageBreak/>
                    <w:t>33 (50.6%)</w:t>
                  </w:r>
                </w:p>
              </w:tc>
              <w:tc>
                <w:tcPr>
                  <w:tcW w:w="482" w:type="pct"/>
                  <w:tcBorders>
                    <w:left w:val="nil"/>
                    <w:right w:val="nil"/>
                  </w:tcBorders>
                  <w:shd w:val="clear" w:color="auto" w:fill="C0C0C0"/>
                </w:tcPr>
                <w:p w:rsidR="009F53A3" w:rsidRPr="008B7CC1" w:rsidRDefault="009F53A3" w:rsidP="008E1EEE">
                  <w:pPr>
                    <w:spacing w:after="0" w:line="240" w:lineRule="auto"/>
                    <w:rPr>
                      <w:rFonts w:eastAsia="Calibri"/>
                      <w:color w:val="000000"/>
                      <w:lang w:val="en-US" w:eastAsia="en-US"/>
                    </w:rPr>
                  </w:pPr>
                  <w:r w:rsidRPr="008B7CC1">
                    <w:rPr>
                      <w:rFonts w:eastAsia="Calibri"/>
                      <w:color w:val="000000"/>
                      <w:lang w:val="en-US" w:eastAsia="en-US"/>
                    </w:rPr>
                    <w:lastRenderedPageBreak/>
                    <w:t>244/5</w:t>
                  </w:r>
                  <w:r w:rsidRPr="008B7CC1">
                    <w:rPr>
                      <w:rFonts w:eastAsia="Calibri"/>
                      <w:color w:val="000000"/>
                      <w:lang w:val="en-US" w:eastAsia="en-US"/>
                    </w:rPr>
                    <w:lastRenderedPageBreak/>
                    <w:t>46 (44.7%)</w:t>
                  </w:r>
                </w:p>
              </w:tc>
              <w:tc>
                <w:tcPr>
                  <w:tcW w:w="678" w:type="pct"/>
                  <w:shd w:val="clear" w:color="auto" w:fill="C0C0C0"/>
                </w:tcPr>
                <w:p w:rsidR="009F53A3" w:rsidRPr="008B7CC1" w:rsidRDefault="009F53A3" w:rsidP="008E1EEE">
                  <w:pPr>
                    <w:spacing w:after="0" w:line="240" w:lineRule="auto"/>
                    <w:jc w:val="center"/>
                    <w:rPr>
                      <w:rFonts w:eastAsia="Calibri" w:cs="Calibri"/>
                      <w:color w:val="000000"/>
                      <w:lang w:val="en-US" w:eastAsia="en-US"/>
                    </w:rPr>
                  </w:pPr>
                  <w:r>
                    <w:rPr>
                      <w:rFonts w:eastAsia="Calibri" w:cs="Calibri"/>
                      <w:color w:val="000000"/>
                      <w:lang w:val="en-US" w:eastAsia="en-US"/>
                    </w:rPr>
                    <w:lastRenderedPageBreak/>
                    <w:t xml:space="preserve">362/779 </w:t>
                  </w:r>
                  <w:r>
                    <w:rPr>
                      <w:rFonts w:eastAsia="Calibri" w:cs="Calibri"/>
                      <w:color w:val="000000"/>
                      <w:lang w:val="en-US" w:eastAsia="en-US"/>
                    </w:rPr>
                    <w:lastRenderedPageBreak/>
                    <w:t>(46.5%)</w:t>
                  </w:r>
                </w:p>
              </w:tc>
              <w:tc>
                <w:tcPr>
                  <w:tcW w:w="582" w:type="pct"/>
                  <w:gridSpan w:val="2"/>
                  <w:shd w:val="clear" w:color="auto" w:fill="C0C0C0"/>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lastRenderedPageBreak/>
                    <w:t>0.136</w:t>
                  </w:r>
                </w:p>
              </w:tc>
              <w:tc>
                <w:tcPr>
                  <w:tcW w:w="582" w:type="pct"/>
                  <w:tcBorders>
                    <w:left w:val="nil"/>
                    <w:right w:val="nil"/>
                  </w:tcBorders>
                  <w:shd w:val="clear" w:color="auto" w:fill="C0C0C0"/>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-0.009</w:t>
                  </w:r>
                </w:p>
              </w:tc>
            </w:tr>
            <w:tr w:rsidR="009F53A3" w:rsidRPr="008B7CC1" w:rsidTr="00EF7A79">
              <w:tc>
                <w:tcPr>
                  <w:tcW w:w="643" w:type="pct"/>
                  <w:shd w:val="clear" w:color="auto" w:fill="auto"/>
                </w:tcPr>
                <w:p w:rsidR="009F53A3" w:rsidRPr="008B7CC1" w:rsidRDefault="009F53A3" w:rsidP="008E1EEE">
                  <w:pPr>
                    <w:spacing w:after="0" w:line="240" w:lineRule="auto"/>
                    <w:rPr>
                      <w:rFonts w:eastAsia="Calibri"/>
                      <w:b/>
                      <w:bCs/>
                      <w:color w:val="000000"/>
                      <w:lang w:val="en-US" w:eastAsia="en-US"/>
                    </w:rPr>
                  </w:pPr>
                  <w:r w:rsidRPr="008B7CC1">
                    <w:rPr>
                      <w:rFonts w:eastAsia="Calibri"/>
                      <w:b/>
                      <w:bCs/>
                      <w:color w:val="000000"/>
                      <w:lang w:val="en-US" w:eastAsia="en-US"/>
                    </w:rPr>
                    <w:lastRenderedPageBreak/>
                    <w:t>Muscle ache</w:t>
                  </w:r>
                </w:p>
              </w:tc>
              <w:tc>
                <w:tcPr>
                  <w:tcW w:w="504" w:type="pct"/>
                  <w:shd w:val="clear" w:color="auto" w:fill="auto"/>
                </w:tcPr>
                <w:p w:rsidR="009F53A3" w:rsidRPr="008B7CC1" w:rsidRDefault="009F53A3" w:rsidP="008E1EEE">
                  <w:pPr>
                    <w:spacing w:after="0" w:line="240" w:lineRule="auto"/>
                    <w:rPr>
                      <w:rFonts w:eastAsia="Calibri" w:cs="Calibri"/>
                      <w:color w:val="000000"/>
                      <w:lang w:val="en-US" w:eastAsia="en-US"/>
                    </w:rPr>
                  </w:pPr>
                  <w:r w:rsidRPr="008B7CC1">
                    <w:rPr>
                      <w:rFonts w:eastAsia="Calibri" w:cs="Calibri"/>
                      <w:color w:val="000000"/>
                      <w:lang w:val="en-US" w:eastAsia="en-US"/>
                    </w:rPr>
                    <w:t>519/1035 (50.1%)</w:t>
                  </w:r>
                </w:p>
              </w:tc>
              <w:tc>
                <w:tcPr>
                  <w:tcW w:w="444" w:type="pct"/>
                  <w:shd w:val="clear" w:color="auto" w:fill="auto"/>
                </w:tcPr>
                <w:p w:rsidR="009F53A3" w:rsidRPr="008B7CC1" w:rsidRDefault="009F53A3" w:rsidP="008E1EEE">
                  <w:pPr>
                    <w:spacing w:after="0" w:line="240" w:lineRule="auto"/>
                    <w:rPr>
                      <w:rFonts w:eastAsia="Calibri" w:cs="Calibri"/>
                      <w:color w:val="000000"/>
                      <w:lang w:val="en-US" w:eastAsia="en-US"/>
                    </w:rPr>
                  </w:pPr>
                  <w:r w:rsidRPr="008B7CC1">
                    <w:rPr>
                      <w:rFonts w:eastAsia="Calibri" w:cs="Calibri"/>
                      <w:color w:val="000000"/>
                      <w:lang w:val="en-US" w:eastAsia="en-US"/>
                    </w:rPr>
                    <w:t>524/1022 (51.3%)</w:t>
                  </w:r>
                </w:p>
              </w:tc>
              <w:tc>
                <w:tcPr>
                  <w:tcW w:w="490" w:type="pct"/>
                </w:tcPr>
                <w:p w:rsidR="009F53A3" w:rsidRPr="008B7CC1" w:rsidRDefault="009F53A3" w:rsidP="008E1EEE">
                  <w:pPr>
                    <w:spacing w:after="0" w:line="240" w:lineRule="auto"/>
                    <w:rPr>
                      <w:rFonts w:eastAsia="Calibri"/>
                      <w:color w:val="000000"/>
                      <w:lang w:val="en-US" w:eastAsia="en-US"/>
                    </w:rPr>
                  </w:pPr>
                  <w:r>
                    <w:rPr>
                      <w:rFonts w:eastAsia="Calibri"/>
                      <w:color w:val="000000"/>
                      <w:lang w:val="en-US" w:eastAsia="en-US"/>
                    </w:rPr>
                    <w:t>1043/2057 (50.7%)</w:t>
                  </w:r>
                </w:p>
              </w:tc>
              <w:tc>
                <w:tcPr>
                  <w:tcW w:w="91" w:type="pct"/>
                  <w:shd w:val="clear" w:color="auto" w:fill="auto"/>
                </w:tcPr>
                <w:p w:rsidR="009F53A3" w:rsidRPr="008B7CC1" w:rsidRDefault="009F53A3" w:rsidP="008E1EEE">
                  <w:pPr>
                    <w:spacing w:after="0" w:line="240" w:lineRule="auto"/>
                    <w:rPr>
                      <w:rFonts w:eastAsia="Calibri"/>
                      <w:color w:val="000000"/>
                      <w:lang w:val="en-US" w:eastAsia="en-US"/>
                    </w:rPr>
                  </w:pPr>
                </w:p>
              </w:tc>
              <w:tc>
                <w:tcPr>
                  <w:tcW w:w="504" w:type="pct"/>
                  <w:shd w:val="clear" w:color="auto" w:fill="auto"/>
                </w:tcPr>
                <w:p w:rsidR="009F53A3" w:rsidRPr="008B7CC1" w:rsidRDefault="009F53A3" w:rsidP="008E1EEE">
                  <w:pPr>
                    <w:spacing w:after="0" w:line="240" w:lineRule="auto"/>
                    <w:rPr>
                      <w:rFonts w:eastAsia="Calibri"/>
                      <w:color w:val="000000"/>
                      <w:lang w:val="en-US" w:eastAsia="en-US"/>
                    </w:rPr>
                  </w:pPr>
                  <w:r w:rsidRPr="008B7CC1">
                    <w:rPr>
                      <w:rFonts w:eastAsia="Calibri"/>
                      <w:color w:val="000000"/>
                      <w:lang w:val="en-US" w:eastAsia="en-US"/>
                    </w:rPr>
                    <w:t xml:space="preserve">132/233 (56.7%) </w:t>
                  </w:r>
                </w:p>
              </w:tc>
              <w:tc>
                <w:tcPr>
                  <w:tcW w:w="482" w:type="pct"/>
                  <w:shd w:val="clear" w:color="auto" w:fill="auto"/>
                </w:tcPr>
                <w:p w:rsidR="009F53A3" w:rsidRPr="008B7CC1" w:rsidRDefault="009F53A3" w:rsidP="008E1EEE">
                  <w:pPr>
                    <w:spacing w:after="0" w:line="240" w:lineRule="auto"/>
                    <w:rPr>
                      <w:rFonts w:eastAsia="Calibri"/>
                      <w:color w:val="000000"/>
                      <w:lang w:val="en-US" w:eastAsia="en-US"/>
                    </w:rPr>
                  </w:pPr>
                  <w:r w:rsidRPr="008B7CC1">
                    <w:rPr>
                      <w:rFonts w:eastAsia="Calibri"/>
                      <w:color w:val="000000"/>
                      <w:lang w:val="en-US" w:eastAsia="en-US"/>
                    </w:rPr>
                    <w:t>237/546 (43.4%)</w:t>
                  </w:r>
                </w:p>
              </w:tc>
              <w:tc>
                <w:tcPr>
                  <w:tcW w:w="678" w:type="pct"/>
                </w:tcPr>
                <w:p w:rsidR="009F53A3" w:rsidRPr="008B7CC1" w:rsidRDefault="009F53A3" w:rsidP="008E1EEE">
                  <w:pPr>
                    <w:spacing w:after="0" w:line="240" w:lineRule="auto"/>
                    <w:jc w:val="center"/>
                    <w:rPr>
                      <w:rFonts w:eastAsia="Calibri" w:cs="Calibri"/>
                      <w:color w:val="000000"/>
                      <w:lang w:val="en-US" w:eastAsia="en-US"/>
                    </w:rPr>
                  </w:pPr>
                  <w:r>
                    <w:rPr>
                      <w:rFonts w:eastAsia="Calibri" w:cs="Calibri"/>
                      <w:color w:val="000000"/>
                      <w:lang w:val="en-US" w:eastAsia="en-US"/>
                    </w:rPr>
                    <w:t>369/779 (47.4%)</w:t>
                  </w:r>
                </w:p>
              </w:tc>
              <w:tc>
                <w:tcPr>
                  <w:tcW w:w="582" w:type="pct"/>
                  <w:gridSpan w:val="2"/>
                  <w:shd w:val="clear" w:color="auto" w:fill="auto"/>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0.295</w:t>
                  </w:r>
                </w:p>
              </w:tc>
              <w:tc>
                <w:tcPr>
                  <w:tcW w:w="582" w:type="pct"/>
                  <w:shd w:val="clear" w:color="auto" w:fill="auto"/>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-0.010</w:t>
                  </w:r>
                </w:p>
              </w:tc>
            </w:tr>
            <w:tr w:rsidR="009F53A3" w:rsidRPr="008B7CC1" w:rsidTr="00EF7A79">
              <w:tc>
                <w:tcPr>
                  <w:tcW w:w="643" w:type="pct"/>
                  <w:shd w:val="clear" w:color="auto" w:fill="C0C0C0"/>
                </w:tcPr>
                <w:p w:rsidR="009F53A3" w:rsidRPr="008B7CC1" w:rsidRDefault="009F53A3" w:rsidP="008E1EEE">
                  <w:pPr>
                    <w:spacing w:after="0" w:line="240" w:lineRule="auto"/>
                    <w:rPr>
                      <w:rFonts w:eastAsia="Calibri"/>
                      <w:b/>
                      <w:bCs/>
                      <w:color w:val="000000"/>
                      <w:lang w:val="en-US" w:eastAsia="en-US"/>
                    </w:rPr>
                  </w:pPr>
                  <w:r w:rsidRPr="008B7CC1">
                    <w:rPr>
                      <w:rFonts w:eastAsia="Calibri"/>
                      <w:b/>
                      <w:bCs/>
                      <w:color w:val="000000"/>
                      <w:lang w:val="en-US" w:eastAsia="en-US"/>
                    </w:rPr>
                    <w:t>Headache</w:t>
                  </w:r>
                </w:p>
              </w:tc>
              <w:tc>
                <w:tcPr>
                  <w:tcW w:w="504" w:type="pct"/>
                  <w:tcBorders>
                    <w:left w:val="nil"/>
                    <w:right w:val="nil"/>
                  </w:tcBorders>
                  <w:shd w:val="clear" w:color="auto" w:fill="C0C0C0"/>
                </w:tcPr>
                <w:p w:rsidR="009F53A3" w:rsidRPr="008B7CC1" w:rsidRDefault="009F53A3" w:rsidP="008E1EEE">
                  <w:pPr>
                    <w:spacing w:after="0" w:line="240" w:lineRule="auto"/>
                    <w:rPr>
                      <w:rFonts w:eastAsia="Calibri" w:cs="Calibri"/>
                      <w:color w:val="000000"/>
                      <w:lang w:val="en-US" w:eastAsia="en-US"/>
                    </w:rPr>
                  </w:pPr>
                  <w:r w:rsidRPr="008B7CC1">
                    <w:rPr>
                      <w:rFonts w:eastAsia="Calibri" w:cs="Calibri"/>
                      <w:color w:val="000000"/>
                      <w:lang w:val="en-US" w:eastAsia="en-US"/>
                    </w:rPr>
                    <w:t>572/1035 (55.3%)</w:t>
                  </w:r>
                </w:p>
              </w:tc>
              <w:tc>
                <w:tcPr>
                  <w:tcW w:w="444" w:type="pct"/>
                  <w:shd w:val="clear" w:color="auto" w:fill="C0C0C0"/>
                </w:tcPr>
                <w:p w:rsidR="009F53A3" w:rsidRPr="008B7CC1" w:rsidRDefault="009F53A3" w:rsidP="008E1EEE">
                  <w:pPr>
                    <w:spacing w:after="0" w:line="240" w:lineRule="auto"/>
                    <w:rPr>
                      <w:rFonts w:eastAsia="Calibri" w:cs="Calibri"/>
                      <w:color w:val="000000"/>
                      <w:lang w:val="en-US" w:eastAsia="en-US"/>
                    </w:rPr>
                  </w:pPr>
                  <w:r w:rsidRPr="008B7CC1">
                    <w:rPr>
                      <w:rFonts w:eastAsia="Calibri" w:cs="Calibri"/>
                      <w:color w:val="000000"/>
                      <w:lang w:val="en-US" w:eastAsia="en-US"/>
                    </w:rPr>
                    <w:t>593/1023 (58.0%)</w:t>
                  </w:r>
                </w:p>
              </w:tc>
              <w:tc>
                <w:tcPr>
                  <w:tcW w:w="490" w:type="pct"/>
                  <w:shd w:val="clear" w:color="auto" w:fill="C0C0C0"/>
                </w:tcPr>
                <w:p w:rsidR="009F53A3" w:rsidRPr="008B7CC1" w:rsidRDefault="009F53A3" w:rsidP="008E1EEE">
                  <w:pPr>
                    <w:spacing w:after="0" w:line="240" w:lineRule="auto"/>
                    <w:rPr>
                      <w:rFonts w:eastAsia="Calibri"/>
                      <w:color w:val="000000"/>
                      <w:lang w:val="en-US" w:eastAsia="en-US"/>
                    </w:rPr>
                  </w:pPr>
                  <w:r>
                    <w:rPr>
                      <w:rFonts w:eastAsia="Calibri"/>
                      <w:color w:val="000000"/>
                      <w:lang w:val="en-US" w:eastAsia="en-US"/>
                    </w:rPr>
                    <w:t>1165/2058 (56.6%)</w:t>
                  </w:r>
                </w:p>
              </w:tc>
              <w:tc>
                <w:tcPr>
                  <w:tcW w:w="91" w:type="pct"/>
                  <w:tcBorders>
                    <w:left w:val="nil"/>
                    <w:right w:val="nil"/>
                  </w:tcBorders>
                  <w:shd w:val="clear" w:color="auto" w:fill="C0C0C0"/>
                </w:tcPr>
                <w:p w:rsidR="009F53A3" w:rsidRPr="008B7CC1" w:rsidRDefault="009F53A3" w:rsidP="008E1EEE">
                  <w:pPr>
                    <w:spacing w:after="0" w:line="240" w:lineRule="auto"/>
                    <w:rPr>
                      <w:rFonts w:eastAsia="Calibri"/>
                      <w:color w:val="000000"/>
                      <w:lang w:val="en-US" w:eastAsia="en-US"/>
                    </w:rPr>
                  </w:pPr>
                </w:p>
              </w:tc>
              <w:tc>
                <w:tcPr>
                  <w:tcW w:w="504" w:type="pct"/>
                  <w:shd w:val="clear" w:color="auto" w:fill="C0C0C0"/>
                </w:tcPr>
                <w:p w:rsidR="009F53A3" w:rsidRPr="008B7CC1" w:rsidRDefault="009F53A3" w:rsidP="008E1EEE">
                  <w:pPr>
                    <w:spacing w:after="0" w:line="240" w:lineRule="auto"/>
                    <w:rPr>
                      <w:rFonts w:eastAsia="Calibri"/>
                      <w:color w:val="000000"/>
                      <w:lang w:val="en-US" w:eastAsia="en-US"/>
                    </w:rPr>
                  </w:pPr>
                  <w:r w:rsidRPr="008B7CC1">
                    <w:rPr>
                      <w:rFonts w:eastAsia="Calibri"/>
                      <w:color w:val="000000"/>
                      <w:lang w:val="en-US" w:eastAsia="en-US"/>
                    </w:rPr>
                    <w:t>126/233 (54.1%)</w:t>
                  </w:r>
                </w:p>
              </w:tc>
              <w:tc>
                <w:tcPr>
                  <w:tcW w:w="482" w:type="pct"/>
                  <w:tcBorders>
                    <w:left w:val="nil"/>
                    <w:right w:val="nil"/>
                  </w:tcBorders>
                  <w:shd w:val="clear" w:color="auto" w:fill="C0C0C0"/>
                </w:tcPr>
                <w:p w:rsidR="009F53A3" w:rsidRPr="008B7CC1" w:rsidRDefault="009F53A3" w:rsidP="008E1EEE">
                  <w:pPr>
                    <w:spacing w:after="0" w:line="240" w:lineRule="auto"/>
                    <w:rPr>
                      <w:rFonts w:eastAsia="Calibri"/>
                      <w:color w:val="000000"/>
                      <w:lang w:val="en-US" w:eastAsia="en-US"/>
                    </w:rPr>
                  </w:pPr>
                  <w:r w:rsidRPr="008B7CC1">
                    <w:rPr>
                      <w:rFonts w:eastAsia="Calibri"/>
                      <w:color w:val="000000"/>
                      <w:lang w:val="en-US" w:eastAsia="en-US"/>
                    </w:rPr>
                    <w:t>281/546 (51.5%)</w:t>
                  </w:r>
                </w:p>
              </w:tc>
              <w:tc>
                <w:tcPr>
                  <w:tcW w:w="678" w:type="pct"/>
                  <w:shd w:val="clear" w:color="auto" w:fill="C0C0C0"/>
                </w:tcPr>
                <w:p w:rsidR="009F53A3" w:rsidRPr="008B7CC1" w:rsidRDefault="009F53A3" w:rsidP="008E1EEE">
                  <w:pPr>
                    <w:spacing w:after="0" w:line="240" w:lineRule="auto"/>
                    <w:jc w:val="center"/>
                    <w:rPr>
                      <w:rFonts w:eastAsia="Calibri" w:cs="Calibri"/>
                      <w:color w:val="000000"/>
                      <w:lang w:val="en-US" w:eastAsia="en-US"/>
                    </w:rPr>
                  </w:pPr>
                  <w:r>
                    <w:rPr>
                      <w:rFonts w:eastAsia="Calibri" w:cs="Calibri"/>
                      <w:color w:val="000000"/>
                      <w:lang w:val="en-US" w:eastAsia="en-US"/>
                    </w:rPr>
                    <w:t>407/779 (52.2%)</w:t>
                  </w:r>
                </w:p>
              </w:tc>
              <w:tc>
                <w:tcPr>
                  <w:tcW w:w="582" w:type="pct"/>
                  <w:gridSpan w:val="2"/>
                  <w:shd w:val="clear" w:color="auto" w:fill="C0C0C0"/>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0.079</w:t>
                  </w:r>
                </w:p>
              </w:tc>
              <w:tc>
                <w:tcPr>
                  <w:tcW w:w="582" w:type="pct"/>
                  <w:tcBorders>
                    <w:left w:val="nil"/>
                    <w:right w:val="nil"/>
                  </w:tcBorders>
                  <w:shd w:val="clear" w:color="auto" w:fill="C0C0C0"/>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0.002</w:t>
                  </w:r>
                </w:p>
              </w:tc>
            </w:tr>
            <w:tr w:rsidR="009F53A3" w:rsidRPr="008B7CC1" w:rsidTr="00EF7A79">
              <w:trPr>
                <w:trHeight w:val="80"/>
              </w:trPr>
              <w:tc>
                <w:tcPr>
                  <w:tcW w:w="643" w:type="pct"/>
                  <w:shd w:val="clear" w:color="auto" w:fill="auto"/>
                </w:tcPr>
                <w:p w:rsidR="009F53A3" w:rsidRPr="008B7CC1" w:rsidRDefault="009F53A3" w:rsidP="008E1EEE">
                  <w:pPr>
                    <w:spacing w:after="0" w:line="240" w:lineRule="auto"/>
                    <w:rPr>
                      <w:rFonts w:eastAsia="Calibri"/>
                      <w:b/>
                      <w:bCs/>
                      <w:color w:val="000000"/>
                      <w:lang w:val="en-US" w:eastAsia="en-US"/>
                    </w:rPr>
                  </w:pPr>
                  <w:r w:rsidRPr="008B7CC1">
                    <w:rPr>
                      <w:rFonts w:eastAsia="Calibri"/>
                      <w:b/>
                      <w:bCs/>
                      <w:color w:val="000000"/>
                      <w:lang w:val="en-US" w:eastAsia="en-US"/>
                    </w:rPr>
                    <w:t xml:space="preserve">Confusion </w:t>
                  </w:r>
                </w:p>
              </w:tc>
              <w:tc>
                <w:tcPr>
                  <w:tcW w:w="504" w:type="pct"/>
                  <w:shd w:val="clear" w:color="auto" w:fill="auto"/>
                </w:tcPr>
                <w:p w:rsidR="009F53A3" w:rsidRPr="008B7CC1" w:rsidRDefault="009F53A3" w:rsidP="008E1EEE">
                  <w:pPr>
                    <w:spacing w:after="0" w:line="240" w:lineRule="auto"/>
                    <w:rPr>
                      <w:rFonts w:eastAsia="Calibri" w:cs="Calibri"/>
                      <w:color w:val="000000"/>
                      <w:lang w:val="en-US" w:eastAsia="en-US"/>
                    </w:rPr>
                  </w:pPr>
                  <w:r w:rsidRPr="008B7CC1">
                    <w:rPr>
                      <w:rFonts w:eastAsia="Calibri" w:cs="Calibri"/>
                      <w:color w:val="000000"/>
                      <w:lang w:val="en-US" w:eastAsia="en-US"/>
                    </w:rPr>
                    <w:t>31/1035 (3.0%)</w:t>
                  </w:r>
                </w:p>
              </w:tc>
              <w:tc>
                <w:tcPr>
                  <w:tcW w:w="444" w:type="pct"/>
                  <w:shd w:val="clear" w:color="auto" w:fill="auto"/>
                </w:tcPr>
                <w:p w:rsidR="009F53A3" w:rsidRPr="008B7CC1" w:rsidRDefault="009F53A3" w:rsidP="008E1EEE">
                  <w:pPr>
                    <w:spacing w:after="0" w:line="240" w:lineRule="auto"/>
                    <w:rPr>
                      <w:rFonts w:eastAsia="Calibri" w:cs="Calibri"/>
                      <w:color w:val="000000"/>
                      <w:lang w:val="en-US" w:eastAsia="en-US"/>
                    </w:rPr>
                  </w:pPr>
                  <w:r w:rsidRPr="008B7CC1">
                    <w:rPr>
                      <w:rFonts w:eastAsia="Calibri" w:cs="Calibri"/>
                      <w:color w:val="000000"/>
                      <w:lang w:val="en-US" w:eastAsia="en-US"/>
                    </w:rPr>
                    <w:t>52/1022 (5.1%)</w:t>
                  </w:r>
                </w:p>
              </w:tc>
              <w:tc>
                <w:tcPr>
                  <w:tcW w:w="490" w:type="pct"/>
                </w:tcPr>
                <w:p w:rsidR="009F53A3" w:rsidRPr="008B7CC1" w:rsidRDefault="009F53A3" w:rsidP="008E1EEE">
                  <w:pPr>
                    <w:spacing w:after="0" w:line="240" w:lineRule="auto"/>
                    <w:rPr>
                      <w:rFonts w:eastAsia="Calibri"/>
                      <w:color w:val="000000"/>
                      <w:lang w:val="en-US" w:eastAsia="en-US"/>
                    </w:rPr>
                  </w:pPr>
                  <w:r>
                    <w:rPr>
                      <w:rFonts w:eastAsia="Calibri"/>
                      <w:color w:val="000000"/>
                      <w:lang w:val="en-US" w:eastAsia="en-US"/>
                    </w:rPr>
                    <w:t>83/2057 (4.0%)</w:t>
                  </w:r>
                </w:p>
              </w:tc>
              <w:tc>
                <w:tcPr>
                  <w:tcW w:w="91" w:type="pct"/>
                  <w:shd w:val="clear" w:color="auto" w:fill="auto"/>
                </w:tcPr>
                <w:p w:rsidR="009F53A3" w:rsidRPr="008B7CC1" w:rsidRDefault="009F53A3" w:rsidP="008E1EEE">
                  <w:pPr>
                    <w:spacing w:after="0" w:line="240" w:lineRule="auto"/>
                    <w:rPr>
                      <w:rFonts w:eastAsia="Calibri"/>
                      <w:color w:val="000000"/>
                      <w:lang w:val="en-US" w:eastAsia="en-US"/>
                    </w:rPr>
                  </w:pPr>
                </w:p>
              </w:tc>
              <w:tc>
                <w:tcPr>
                  <w:tcW w:w="504" w:type="pct"/>
                  <w:shd w:val="clear" w:color="auto" w:fill="auto"/>
                </w:tcPr>
                <w:p w:rsidR="009F53A3" w:rsidRPr="008B7CC1" w:rsidRDefault="009F53A3" w:rsidP="008E1EEE">
                  <w:pPr>
                    <w:spacing w:after="0" w:line="240" w:lineRule="auto"/>
                    <w:rPr>
                      <w:rFonts w:eastAsia="Calibri"/>
                      <w:color w:val="000000"/>
                      <w:lang w:val="en-US" w:eastAsia="en-US"/>
                    </w:rPr>
                  </w:pPr>
                  <w:r w:rsidRPr="008B7CC1">
                    <w:rPr>
                      <w:rFonts w:eastAsia="Calibri"/>
                      <w:color w:val="000000"/>
                      <w:lang w:val="en-US" w:eastAsia="en-US"/>
                    </w:rPr>
                    <w:t>12/233 (5.2%)</w:t>
                  </w:r>
                </w:p>
              </w:tc>
              <w:tc>
                <w:tcPr>
                  <w:tcW w:w="482" w:type="pct"/>
                  <w:shd w:val="clear" w:color="auto" w:fill="auto"/>
                </w:tcPr>
                <w:p w:rsidR="009F53A3" w:rsidRPr="008B7CC1" w:rsidRDefault="009F53A3" w:rsidP="008E1EEE">
                  <w:pPr>
                    <w:spacing w:after="0" w:line="240" w:lineRule="auto"/>
                    <w:rPr>
                      <w:rFonts w:eastAsia="Calibri"/>
                      <w:color w:val="000000"/>
                      <w:lang w:val="en-US" w:eastAsia="en-US"/>
                    </w:rPr>
                  </w:pPr>
                  <w:r w:rsidRPr="008B7CC1">
                    <w:rPr>
                      <w:rFonts w:eastAsia="Calibri"/>
                      <w:color w:val="000000"/>
                      <w:lang w:val="en-US" w:eastAsia="en-US"/>
                    </w:rPr>
                    <w:t>15/546 (2.8%)</w:t>
                  </w:r>
                </w:p>
              </w:tc>
              <w:tc>
                <w:tcPr>
                  <w:tcW w:w="678" w:type="pct"/>
                </w:tcPr>
                <w:p w:rsidR="009F53A3" w:rsidRPr="008B7CC1" w:rsidRDefault="009F53A3" w:rsidP="008E1EEE">
                  <w:pPr>
                    <w:spacing w:after="0" w:line="240" w:lineRule="auto"/>
                    <w:jc w:val="center"/>
                    <w:rPr>
                      <w:rFonts w:eastAsia="Calibri" w:cs="Calibri"/>
                      <w:color w:val="000000"/>
                      <w:lang w:val="en-US" w:eastAsia="en-US"/>
                    </w:rPr>
                  </w:pPr>
                  <w:r>
                    <w:rPr>
                      <w:rFonts w:eastAsia="Calibri" w:cs="Calibri"/>
                      <w:color w:val="000000"/>
                      <w:lang w:val="en-US" w:eastAsia="en-US"/>
                    </w:rPr>
                    <w:t>27/779 (3.5%)</w:t>
                  </w:r>
                </w:p>
              </w:tc>
              <w:tc>
                <w:tcPr>
                  <w:tcW w:w="582" w:type="pct"/>
                  <w:gridSpan w:val="2"/>
                  <w:shd w:val="clear" w:color="auto" w:fill="auto"/>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0.144</w:t>
                  </w:r>
                </w:p>
              </w:tc>
              <w:tc>
                <w:tcPr>
                  <w:tcW w:w="582" w:type="pct"/>
                  <w:shd w:val="clear" w:color="auto" w:fill="auto"/>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0.002</w:t>
                  </w:r>
                </w:p>
              </w:tc>
            </w:tr>
            <w:tr w:rsidR="009F53A3" w:rsidRPr="008B7CC1" w:rsidTr="00EF7A79">
              <w:trPr>
                <w:trHeight w:val="80"/>
              </w:trPr>
              <w:tc>
                <w:tcPr>
                  <w:tcW w:w="643" w:type="pct"/>
                  <w:shd w:val="clear" w:color="auto" w:fill="C0C0C0"/>
                </w:tcPr>
                <w:p w:rsidR="009F53A3" w:rsidRPr="008B7CC1" w:rsidRDefault="009F53A3" w:rsidP="008E1EEE">
                  <w:pPr>
                    <w:autoSpaceDE w:val="0"/>
                    <w:autoSpaceDN w:val="0"/>
                    <w:adjustRightInd w:val="0"/>
                    <w:spacing w:after="0" w:line="240" w:lineRule="auto"/>
                    <w:rPr>
                      <w:rFonts w:eastAsia="Calibri"/>
                      <w:b/>
                      <w:bCs/>
                      <w:color w:val="000000"/>
                      <w:lang w:val="en-US" w:eastAsia="en-US"/>
                    </w:rPr>
                  </w:pPr>
                  <w:r w:rsidRPr="008B7CC1">
                    <w:rPr>
                      <w:rFonts w:eastAsia="Calibri"/>
                      <w:b/>
                      <w:bCs/>
                      <w:color w:val="000000"/>
                      <w:lang w:val="en-US" w:eastAsia="en-US"/>
                    </w:rPr>
                    <w:t>Heart disease</w:t>
                  </w:r>
                </w:p>
              </w:tc>
              <w:tc>
                <w:tcPr>
                  <w:tcW w:w="504" w:type="pct"/>
                  <w:tcBorders>
                    <w:left w:val="nil"/>
                    <w:right w:val="nil"/>
                  </w:tcBorders>
                  <w:shd w:val="clear" w:color="auto" w:fill="C0C0C0"/>
                </w:tcPr>
                <w:p w:rsidR="009F53A3" w:rsidRPr="008B7CC1" w:rsidRDefault="009F53A3" w:rsidP="008E1EEE">
                  <w:pPr>
                    <w:spacing w:after="0" w:line="240" w:lineRule="auto"/>
                    <w:rPr>
                      <w:rFonts w:eastAsia="Calibri" w:cs="Calibri"/>
                      <w:color w:val="000000"/>
                      <w:lang w:val="en-US" w:eastAsia="en-US"/>
                    </w:rPr>
                  </w:pPr>
                  <w:r w:rsidRPr="008B7CC1">
                    <w:rPr>
                      <w:rFonts w:eastAsia="Calibri" w:cs="Calibri"/>
                      <w:color w:val="000000"/>
                      <w:lang w:val="en-US" w:eastAsia="en-US"/>
                    </w:rPr>
                    <w:t>56/1036 (5.4%)</w:t>
                  </w:r>
                </w:p>
              </w:tc>
              <w:tc>
                <w:tcPr>
                  <w:tcW w:w="444" w:type="pct"/>
                  <w:shd w:val="clear" w:color="auto" w:fill="C0C0C0"/>
                </w:tcPr>
                <w:p w:rsidR="009F53A3" w:rsidRPr="008B7CC1" w:rsidRDefault="009F53A3" w:rsidP="008E1EEE">
                  <w:pPr>
                    <w:spacing w:after="0" w:line="240" w:lineRule="auto"/>
                    <w:rPr>
                      <w:rFonts w:eastAsia="Calibri" w:cs="Calibri"/>
                      <w:color w:val="000000"/>
                      <w:lang w:val="en-US" w:eastAsia="en-US"/>
                    </w:rPr>
                  </w:pPr>
                  <w:r w:rsidRPr="008B7CC1">
                    <w:rPr>
                      <w:rFonts w:eastAsia="Calibri" w:cs="Calibri"/>
                      <w:color w:val="000000"/>
                      <w:lang w:val="en-US" w:eastAsia="en-US"/>
                    </w:rPr>
                    <w:t>50/1023 (4.9%)</w:t>
                  </w:r>
                </w:p>
              </w:tc>
              <w:tc>
                <w:tcPr>
                  <w:tcW w:w="490" w:type="pct"/>
                  <w:shd w:val="clear" w:color="auto" w:fill="C0C0C0"/>
                </w:tcPr>
                <w:p w:rsidR="009F53A3" w:rsidRPr="008B7CC1" w:rsidRDefault="009F53A3" w:rsidP="008E1EEE">
                  <w:pPr>
                    <w:spacing w:after="0" w:line="240" w:lineRule="auto"/>
                    <w:rPr>
                      <w:rFonts w:eastAsia="Calibri"/>
                      <w:color w:val="000000"/>
                      <w:lang w:val="en-US" w:eastAsia="en-US"/>
                    </w:rPr>
                  </w:pPr>
                  <w:r>
                    <w:rPr>
                      <w:rFonts w:eastAsia="Calibri"/>
                      <w:color w:val="000000"/>
                      <w:lang w:val="en-US" w:eastAsia="en-US"/>
                    </w:rPr>
                    <w:t>106/2059 (5.1%)</w:t>
                  </w:r>
                </w:p>
              </w:tc>
              <w:tc>
                <w:tcPr>
                  <w:tcW w:w="91" w:type="pct"/>
                  <w:tcBorders>
                    <w:left w:val="nil"/>
                    <w:right w:val="nil"/>
                  </w:tcBorders>
                  <w:shd w:val="clear" w:color="auto" w:fill="C0C0C0"/>
                </w:tcPr>
                <w:p w:rsidR="009F53A3" w:rsidRPr="008B7CC1" w:rsidRDefault="009F53A3" w:rsidP="008E1EEE">
                  <w:pPr>
                    <w:spacing w:after="0" w:line="240" w:lineRule="auto"/>
                    <w:rPr>
                      <w:rFonts w:eastAsia="Calibri"/>
                      <w:color w:val="000000"/>
                      <w:lang w:val="en-US" w:eastAsia="en-US"/>
                    </w:rPr>
                  </w:pPr>
                </w:p>
              </w:tc>
              <w:tc>
                <w:tcPr>
                  <w:tcW w:w="504" w:type="pct"/>
                  <w:shd w:val="clear" w:color="auto" w:fill="C0C0C0"/>
                </w:tcPr>
                <w:p w:rsidR="009F53A3" w:rsidRPr="008B7CC1" w:rsidRDefault="009F53A3" w:rsidP="008E1EEE">
                  <w:pPr>
                    <w:spacing w:after="0" w:line="240" w:lineRule="auto"/>
                    <w:rPr>
                      <w:rFonts w:eastAsia="Calibri"/>
                      <w:color w:val="000000"/>
                      <w:lang w:val="en-US" w:eastAsia="en-US"/>
                    </w:rPr>
                  </w:pPr>
                  <w:r w:rsidRPr="008B7CC1">
                    <w:rPr>
                      <w:rFonts w:eastAsia="Calibri"/>
                      <w:color w:val="000000"/>
                      <w:lang w:val="en-US" w:eastAsia="en-US"/>
                    </w:rPr>
                    <w:t>27/233 (11.6%)</w:t>
                  </w:r>
                </w:p>
              </w:tc>
              <w:tc>
                <w:tcPr>
                  <w:tcW w:w="482" w:type="pct"/>
                  <w:tcBorders>
                    <w:left w:val="nil"/>
                    <w:right w:val="nil"/>
                  </w:tcBorders>
                  <w:shd w:val="clear" w:color="auto" w:fill="C0C0C0"/>
                </w:tcPr>
                <w:p w:rsidR="009F53A3" w:rsidRPr="008B7CC1" w:rsidRDefault="009F53A3" w:rsidP="008E1EEE">
                  <w:pPr>
                    <w:spacing w:after="0" w:line="240" w:lineRule="auto"/>
                    <w:rPr>
                      <w:rFonts w:eastAsia="Calibri"/>
                      <w:color w:val="000000"/>
                      <w:lang w:val="en-US" w:eastAsia="en-US"/>
                    </w:rPr>
                  </w:pPr>
                  <w:r w:rsidRPr="008B7CC1">
                    <w:rPr>
                      <w:rFonts w:eastAsia="Calibri"/>
                      <w:color w:val="000000"/>
                      <w:lang w:val="en-US" w:eastAsia="en-US"/>
                    </w:rPr>
                    <w:t>39/545 (7.2%)</w:t>
                  </w:r>
                </w:p>
              </w:tc>
              <w:tc>
                <w:tcPr>
                  <w:tcW w:w="678" w:type="pct"/>
                  <w:shd w:val="clear" w:color="auto" w:fill="C0C0C0"/>
                </w:tcPr>
                <w:p w:rsidR="009F53A3" w:rsidRPr="008B7CC1" w:rsidRDefault="009F53A3" w:rsidP="008E1EEE">
                  <w:pPr>
                    <w:spacing w:after="0" w:line="240" w:lineRule="auto"/>
                    <w:jc w:val="center"/>
                    <w:rPr>
                      <w:rFonts w:eastAsia="Calibri" w:cs="Calibri"/>
                      <w:color w:val="000000"/>
                      <w:lang w:val="en-US" w:eastAsia="en-US"/>
                    </w:rPr>
                  </w:pPr>
                  <w:r>
                    <w:rPr>
                      <w:rFonts w:eastAsia="Calibri" w:cs="Calibri"/>
                      <w:color w:val="000000"/>
                      <w:lang w:val="en-US" w:eastAsia="en-US"/>
                    </w:rPr>
                    <w:t>66/778 (8.4%)</w:t>
                  </w:r>
                </w:p>
              </w:tc>
              <w:tc>
                <w:tcPr>
                  <w:tcW w:w="582" w:type="pct"/>
                  <w:gridSpan w:val="2"/>
                  <w:shd w:val="clear" w:color="auto" w:fill="C0C0C0"/>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0.136</w:t>
                  </w:r>
                </w:p>
              </w:tc>
              <w:tc>
                <w:tcPr>
                  <w:tcW w:w="582" w:type="pct"/>
                  <w:tcBorders>
                    <w:left w:val="nil"/>
                    <w:right w:val="nil"/>
                  </w:tcBorders>
                  <w:shd w:val="clear" w:color="auto" w:fill="C0C0C0"/>
                </w:tcPr>
                <w:p w:rsidR="009F53A3" w:rsidRPr="008B7CC1" w:rsidRDefault="009F53A3" w:rsidP="008E1EEE">
                  <w:pPr>
                    <w:spacing w:after="0" w:line="240" w:lineRule="auto"/>
                    <w:jc w:val="center"/>
                    <w:rPr>
                      <w:rFonts w:eastAsia="Calibri" w:cs="Calibri"/>
                      <w:color w:val="000000"/>
                      <w:lang w:val="en-US" w:eastAsia="en-US"/>
                    </w:rPr>
                  </w:pPr>
                  <w:r w:rsidRPr="008B7CC1">
                    <w:rPr>
                      <w:rFonts w:eastAsia="Calibri" w:cs="Calibri"/>
                      <w:color w:val="000000"/>
                      <w:lang w:val="en-US" w:eastAsia="en-US"/>
                    </w:rPr>
                    <w:t>-0.006</w:t>
                  </w:r>
                </w:p>
              </w:tc>
            </w:tr>
          </w:tbl>
          <w:p w:rsidR="00D73A71" w:rsidRPr="008B7CC1" w:rsidRDefault="00D73A71" w:rsidP="008B7CC1">
            <w:pPr>
              <w:spacing w:after="0" w:line="240" w:lineRule="auto"/>
              <w:rPr>
                <w:rFonts w:eastAsia="Calibri"/>
                <w:bCs/>
                <w:color w:val="000000"/>
                <w:lang w:val="en-US" w:eastAsia="en-US"/>
              </w:rPr>
            </w:pPr>
          </w:p>
        </w:tc>
        <w:tc>
          <w:tcPr>
            <w:tcW w:w="159" w:type="pct"/>
            <w:tcBorders>
              <w:top w:val="single" w:sz="8" w:space="0" w:color="000000"/>
              <w:bottom w:val="single" w:sz="8" w:space="0" w:color="000000"/>
            </w:tcBorders>
            <w:shd w:val="clear" w:color="auto" w:fill="auto"/>
          </w:tcPr>
          <w:p w:rsidR="00D73A71" w:rsidRPr="008B7CC1" w:rsidRDefault="00D73A71" w:rsidP="008B7CC1">
            <w:pPr>
              <w:spacing w:after="0" w:line="240" w:lineRule="auto"/>
              <w:jc w:val="center"/>
              <w:rPr>
                <w:rFonts w:eastAsia="Calibri"/>
                <w:bCs/>
                <w:color w:val="000000"/>
                <w:lang w:val="en-US" w:eastAsia="en-US"/>
              </w:rPr>
            </w:pPr>
          </w:p>
        </w:tc>
        <w:tc>
          <w:tcPr>
            <w:tcW w:w="80" w:type="pct"/>
            <w:tcBorders>
              <w:top w:val="single" w:sz="8" w:space="0" w:color="000000"/>
              <w:bottom w:val="single" w:sz="8" w:space="0" w:color="000000"/>
            </w:tcBorders>
            <w:shd w:val="clear" w:color="auto" w:fill="auto"/>
          </w:tcPr>
          <w:p w:rsidR="00D73A71" w:rsidRPr="008B7CC1" w:rsidRDefault="00D73A71" w:rsidP="008B7CC1">
            <w:pPr>
              <w:spacing w:after="0" w:line="240" w:lineRule="auto"/>
              <w:jc w:val="center"/>
              <w:rPr>
                <w:rFonts w:eastAsia="Calibri"/>
                <w:bCs/>
                <w:color w:val="000000"/>
                <w:lang w:val="en-US" w:eastAsia="en-US"/>
              </w:rPr>
            </w:pPr>
          </w:p>
        </w:tc>
        <w:tc>
          <w:tcPr>
            <w:tcW w:w="239" w:type="pct"/>
            <w:tcBorders>
              <w:top w:val="single" w:sz="8" w:space="0" w:color="000000"/>
              <w:bottom w:val="single" w:sz="8" w:space="0" w:color="000000"/>
            </w:tcBorders>
            <w:shd w:val="clear" w:color="auto" w:fill="auto"/>
          </w:tcPr>
          <w:p w:rsidR="00D73A71" w:rsidRPr="008B7CC1" w:rsidRDefault="00D73A71" w:rsidP="008B7CC1">
            <w:pPr>
              <w:spacing w:after="0" w:line="240" w:lineRule="auto"/>
              <w:jc w:val="center"/>
              <w:rPr>
                <w:rFonts w:eastAsia="Calibri"/>
                <w:b/>
                <w:bCs/>
                <w:color w:val="000000"/>
                <w:lang w:val="en-US" w:eastAsia="en-US"/>
              </w:rPr>
            </w:pPr>
          </w:p>
        </w:tc>
        <w:tc>
          <w:tcPr>
            <w:tcW w:w="80" w:type="pct"/>
            <w:tcBorders>
              <w:top w:val="single" w:sz="8" w:space="0" w:color="000000"/>
              <w:bottom w:val="single" w:sz="8" w:space="0" w:color="000000"/>
            </w:tcBorders>
            <w:shd w:val="clear" w:color="auto" w:fill="auto"/>
          </w:tcPr>
          <w:p w:rsidR="00D73A71" w:rsidRPr="008B7CC1" w:rsidRDefault="00D73A71" w:rsidP="008B7CC1">
            <w:pPr>
              <w:spacing w:after="0" w:line="240" w:lineRule="auto"/>
              <w:jc w:val="center"/>
              <w:rPr>
                <w:rFonts w:eastAsia="Calibri"/>
                <w:bCs/>
                <w:color w:val="000000"/>
                <w:lang w:val="en-US" w:eastAsia="en-US"/>
              </w:rPr>
            </w:pPr>
          </w:p>
        </w:tc>
      </w:tr>
    </w:tbl>
    <w:p w:rsidR="00D73A71" w:rsidRDefault="00D73A71" w:rsidP="0037697D">
      <w:pPr>
        <w:rPr>
          <w:rFonts w:cs="Calibri"/>
          <w:sz w:val="18"/>
          <w:szCs w:val="18"/>
        </w:rPr>
      </w:pPr>
      <w:r w:rsidRPr="006E2F7B">
        <w:rPr>
          <w:sz w:val="18"/>
          <w:szCs w:val="18"/>
        </w:rPr>
        <w:lastRenderedPageBreak/>
        <w:t xml:space="preserve">Data are n/N (%) or mean (SD). *Chronic Obstructive Pulmonary Disease, asthma or other lung disease. </w:t>
      </w:r>
      <w:r w:rsidRPr="008B7CC1">
        <w:rPr>
          <w:rFonts w:cs="Calibri"/>
          <w:sz w:val="18"/>
          <w:szCs w:val="18"/>
        </w:rPr>
        <w:t>†</w:t>
      </w:r>
      <w:r w:rsidRPr="006E2F7B">
        <w:rPr>
          <w:sz w:val="18"/>
          <w:szCs w:val="18"/>
        </w:rPr>
        <w:t xml:space="preserve">Severity of symptoms: </w:t>
      </w:r>
      <w:r w:rsidRPr="006E2F7B">
        <w:rPr>
          <w:rFonts w:eastAsia="Times New Roman" w:cs="Calibri"/>
          <w:color w:val="000000"/>
          <w:sz w:val="18"/>
          <w:szCs w:val="18"/>
        </w:rPr>
        <w:t xml:space="preserve">1=no problem, 2=mild problem, 3=moderate problem, 4=severe problem. ‡Yellow, green, or bloodstained. </w:t>
      </w:r>
      <w:r w:rsidRPr="008B7CC1">
        <w:rPr>
          <w:rFonts w:cs="Calibri"/>
          <w:sz w:val="18"/>
          <w:szCs w:val="18"/>
        </w:rPr>
        <w:t>‡</w:t>
      </w:r>
      <w:r w:rsidRPr="006E2F7B">
        <w:rPr>
          <w:rFonts w:cs="Calibri"/>
          <w:sz w:val="18"/>
          <w:szCs w:val="18"/>
        </w:rPr>
        <w:t xml:space="preserve">‡ </w:t>
      </w:r>
    </w:p>
    <w:p w:rsidR="00D73A71" w:rsidRDefault="00D73A71" w:rsidP="00D73A71">
      <w:pPr>
        <w:rPr>
          <w:rFonts w:cs="Calibri"/>
          <w:sz w:val="18"/>
          <w:szCs w:val="18"/>
        </w:rPr>
      </w:pPr>
    </w:p>
    <w:p w:rsidR="00D73A71" w:rsidRPr="00FA069C" w:rsidRDefault="00D73A71" w:rsidP="00D73A71">
      <w:pPr>
        <w:pStyle w:val="Caption"/>
        <w:keepNext/>
        <w:rPr>
          <w:sz w:val="22"/>
          <w:szCs w:val="22"/>
        </w:rPr>
      </w:pPr>
      <w:r w:rsidRPr="00FA069C">
        <w:rPr>
          <w:sz w:val="22"/>
          <w:szCs w:val="22"/>
        </w:rPr>
        <w:t xml:space="preserve">Table 3 Outcomes for the Trial and adjusted and unadjusted outcomes for </w:t>
      </w:r>
      <w:r w:rsidR="00423BF5">
        <w:rPr>
          <w:sz w:val="22"/>
          <w:szCs w:val="22"/>
        </w:rPr>
        <w:t>the observational study</w:t>
      </w:r>
    </w:p>
    <w:tbl>
      <w:tblPr>
        <w:tblpPr w:leftFromText="141" w:rightFromText="141" w:vertAnchor="text" w:tblpX="-777" w:tblpY="171"/>
        <w:tblW w:w="10353" w:type="dxa"/>
        <w:tblBorders>
          <w:top w:val="single" w:sz="8" w:space="0" w:color="000000"/>
          <w:bottom w:val="single" w:sz="8" w:space="0" w:color="000000"/>
        </w:tblBorders>
        <w:tblLayout w:type="fixed"/>
        <w:tblLook w:val="04A0" w:firstRow="1" w:lastRow="0" w:firstColumn="1" w:lastColumn="0" w:noHBand="0" w:noVBand="1"/>
      </w:tblPr>
      <w:tblGrid>
        <w:gridCol w:w="1564"/>
        <w:gridCol w:w="2145"/>
        <w:gridCol w:w="2145"/>
        <w:gridCol w:w="2215"/>
        <w:gridCol w:w="2284"/>
      </w:tblGrid>
      <w:tr w:rsidR="00D73A71" w:rsidRPr="008B7CC1" w:rsidTr="008B7CC1">
        <w:tc>
          <w:tcPr>
            <w:tcW w:w="1564" w:type="dxa"/>
            <w:tcBorders>
              <w:top w:val="single" w:sz="8" w:space="0" w:color="000000"/>
              <w:bottom w:val="single" w:sz="8" w:space="0" w:color="000000"/>
            </w:tcBorders>
            <w:shd w:val="clear" w:color="auto" w:fill="auto"/>
          </w:tcPr>
          <w:p w:rsidR="00D73A71" w:rsidRPr="008B7CC1" w:rsidRDefault="00D73A71" w:rsidP="008B7CC1">
            <w:pPr>
              <w:spacing w:after="0" w:line="240" w:lineRule="auto"/>
              <w:rPr>
                <w:rFonts w:eastAsia="Calibri"/>
                <w:b/>
                <w:bCs/>
                <w:color w:val="000000"/>
                <w:lang w:val="en-US" w:eastAsia="en-US"/>
              </w:rPr>
            </w:pPr>
          </w:p>
        </w:tc>
        <w:tc>
          <w:tcPr>
            <w:tcW w:w="2145" w:type="dxa"/>
            <w:tcBorders>
              <w:top w:val="single" w:sz="8" w:space="0" w:color="000000"/>
              <w:bottom w:val="single" w:sz="8" w:space="0" w:color="000000"/>
            </w:tcBorders>
            <w:shd w:val="clear" w:color="auto" w:fill="auto"/>
          </w:tcPr>
          <w:p w:rsidR="00D73A71" w:rsidRPr="008B7CC1" w:rsidRDefault="00D73A71" w:rsidP="008B7CC1">
            <w:pPr>
              <w:spacing w:after="0" w:line="240" w:lineRule="auto"/>
              <w:rPr>
                <w:rFonts w:eastAsia="Calibri"/>
                <w:b/>
                <w:bCs/>
                <w:color w:val="000000"/>
                <w:lang w:val="en-US" w:eastAsia="en-US"/>
              </w:rPr>
            </w:pPr>
          </w:p>
        </w:tc>
        <w:tc>
          <w:tcPr>
            <w:tcW w:w="2145" w:type="dxa"/>
            <w:tcBorders>
              <w:top w:val="single" w:sz="8" w:space="0" w:color="000000"/>
              <w:bottom w:val="single" w:sz="8" w:space="0" w:color="000000"/>
            </w:tcBorders>
            <w:shd w:val="clear" w:color="auto" w:fill="auto"/>
          </w:tcPr>
          <w:p w:rsidR="00D73A71" w:rsidRPr="008B7CC1" w:rsidRDefault="00D73A71" w:rsidP="008B7CC1">
            <w:pPr>
              <w:spacing w:after="0" w:line="240" w:lineRule="auto"/>
              <w:rPr>
                <w:rFonts w:eastAsia="Calibri"/>
                <w:b/>
                <w:bCs/>
                <w:color w:val="000000"/>
                <w:lang w:val="en-US" w:eastAsia="en-US"/>
              </w:rPr>
            </w:pPr>
            <w:bookmarkStart w:id="2" w:name="_Ref233874258"/>
            <w:r w:rsidRPr="008B7CC1">
              <w:rPr>
                <w:rFonts w:eastAsia="Calibri"/>
                <w:b/>
                <w:bCs/>
                <w:color w:val="000000"/>
                <w:lang w:val="en-US" w:eastAsia="en-US"/>
              </w:rPr>
              <w:t>Duration of symptoms</w:t>
            </w:r>
            <w:r w:rsidRPr="008B7CC1">
              <w:rPr>
                <w:rFonts w:eastAsia="Calibri" w:cs="Calibri"/>
                <w:b/>
                <w:bCs/>
                <w:color w:val="000000"/>
                <w:lang w:val="en-US" w:eastAsia="en-US"/>
              </w:rPr>
              <w:t>†</w:t>
            </w:r>
          </w:p>
          <w:p w:rsidR="00D73A71" w:rsidRPr="008B7CC1" w:rsidRDefault="00D73A71" w:rsidP="008B7CC1">
            <w:pPr>
              <w:spacing w:after="0" w:line="240" w:lineRule="auto"/>
              <w:rPr>
                <w:rFonts w:eastAsia="Calibri"/>
                <w:bCs/>
                <w:color w:val="000000"/>
                <w:lang w:val="en-US" w:eastAsia="en-US"/>
              </w:rPr>
            </w:pPr>
            <w:r w:rsidRPr="008B7CC1">
              <w:rPr>
                <w:rFonts w:eastAsia="Calibri"/>
                <w:bCs/>
                <w:color w:val="000000"/>
                <w:sz w:val="20"/>
                <w:lang w:val="en-US" w:eastAsia="en-US"/>
              </w:rPr>
              <w:t>Hazard ratio (95% CI)</w:t>
            </w:r>
          </w:p>
        </w:tc>
        <w:tc>
          <w:tcPr>
            <w:tcW w:w="2215" w:type="dxa"/>
            <w:tcBorders>
              <w:top w:val="single" w:sz="8" w:space="0" w:color="000000"/>
              <w:bottom w:val="single" w:sz="8" w:space="0" w:color="000000"/>
            </w:tcBorders>
            <w:shd w:val="clear" w:color="auto" w:fill="auto"/>
          </w:tcPr>
          <w:p w:rsidR="00D73A71" w:rsidRPr="008B7CC1" w:rsidRDefault="00D73A71" w:rsidP="008B7CC1">
            <w:pPr>
              <w:spacing w:after="0" w:line="240" w:lineRule="auto"/>
              <w:rPr>
                <w:rFonts w:eastAsia="Calibri" w:cs="Calibri"/>
                <w:b/>
                <w:bCs/>
                <w:color w:val="000000"/>
                <w:lang w:val="en-US" w:eastAsia="en-US"/>
              </w:rPr>
            </w:pPr>
            <w:r w:rsidRPr="008B7CC1">
              <w:rPr>
                <w:rFonts w:eastAsia="Calibri"/>
                <w:b/>
                <w:bCs/>
                <w:color w:val="000000"/>
                <w:lang w:val="en-US" w:eastAsia="en-US"/>
              </w:rPr>
              <w:t>Symptom severity</w:t>
            </w:r>
            <w:r w:rsidRPr="008B7CC1">
              <w:rPr>
                <w:rFonts w:eastAsia="Calibri" w:cs="Calibri"/>
                <w:b/>
                <w:bCs/>
                <w:color w:val="000000"/>
                <w:lang w:val="en-US" w:eastAsia="en-US"/>
              </w:rPr>
              <w:t>††</w:t>
            </w:r>
          </w:p>
          <w:p w:rsidR="00D73A71" w:rsidRPr="008B7CC1" w:rsidRDefault="00D73A71" w:rsidP="008B7CC1">
            <w:pPr>
              <w:spacing w:after="0" w:line="240" w:lineRule="auto"/>
              <w:rPr>
                <w:rFonts w:eastAsia="Calibri"/>
                <w:bCs/>
                <w:color w:val="000000"/>
                <w:lang w:val="en-US" w:eastAsia="en-US"/>
              </w:rPr>
            </w:pPr>
            <w:r w:rsidRPr="008B7CC1">
              <w:rPr>
                <w:rFonts w:eastAsia="Calibri"/>
                <w:bCs/>
                <w:color w:val="000000"/>
                <w:sz w:val="20"/>
                <w:lang w:val="en-US" w:eastAsia="en-US"/>
              </w:rPr>
              <w:t>Mean difference (95% CI)</w:t>
            </w:r>
          </w:p>
        </w:tc>
        <w:tc>
          <w:tcPr>
            <w:tcW w:w="2284" w:type="dxa"/>
            <w:tcBorders>
              <w:top w:val="single" w:sz="8" w:space="0" w:color="000000"/>
              <w:bottom w:val="single" w:sz="8" w:space="0" w:color="000000"/>
            </w:tcBorders>
            <w:shd w:val="clear" w:color="auto" w:fill="auto"/>
          </w:tcPr>
          <w:p w:rsidR="00D73A71" w:rsidRPr="008B7CC1" w:rsidRDefault="00D73A71" w:rsidP="008B7CC1">
            <w:pPr>
              <w:spacing w:after="0" w:line="240" w:lineRule="auto"/>
              <w:rPr>
                <w:rFonts w:eastAsia="Times New Roman" w:cs="Calibri"/>
                <w:b/>
                <w:bCs/>
                <w:color w:val="000000"/>
                <w:lang w:val="en-US" w:eastAsia="en-US"/>
              </w:rPr>
            </w:pPr>
            <w:r w:rsidRPr="008B7CC1">
              <w:rPr>
                <w:rFonts w:eastAsia="Calibri"/>
                <w:b/>
                <w:bCs/>
                <w:color w:val="000000"/>
                <w:lang w:val="en-US" w:eastAsia="en-US"/>
              </w:rPr>
              <w:t>New/worsening symptoms</w:t>
            </w:r>
            <w:r w:rsidRPr="008B7CC1">
              <w:rPr>
                <w:rFonts w:eastAsia="Times New Roman" w:cs="Calibri"/>
                <w:b/>
                <w:bCs/>
                <w:color w:val="000000"/>
                <w:lang w:val="en-US" w:eastAsia="en-US"/>
              </w:rPr>
              <w:t>‡</w:t>
            </w:r>
          </w:p>
          <w:p w:rsidR="00D73A71" w:rsidRPr="008B7CC1" w:rsidRDefault="00D73A71" w:rsidP="008B7CC1">
            <w:pPr>
              <w:spacing w:after="0" w:line="240" w:lineRule="auto"/>
              <w:rPr>
                <w:rFonts w:eastAsia="Calibri"/>
                <w:bCs/>
                <w:color w:val="000000"/>
                <w:lang w:val="en-US" w:eastAsia="en-US"/>
              </w:rPr>
            </w:pPr>
            <w:r w:rsidRPr="008B7CC1">
              <w:rPr>
                <w:rFonts w:eastAsia="Times New Roman" w:cs="Calibri"/>
                <w:bCs/>
                <w:color w:val="000000"/>
                <w:sz w:val="20"/>
                <w:lang w:val="en-US" w:eastAsia="en-US"/>
              </w:rPr>
              <w:t>Odds ratio (95% CI)</w:t>
            </w:r>
          </w:p>
        </w:tc>
      </w:tr>
      <w:tr w:rsidR="00D73A71" w:rsidRPr="008B7CC1" w:rsidTr="008B7CC1">
        <w:tc>
          <w:tcPr>
            <w:tcW w:w="1564" w:type="dxa"/>
            <w:shd w:val="clear" w:color="auto" w:fill="C0C0C0"/>
          </w:tcPr>
          <w:p w:rsidR="00D73A71" w:rsidRPr="008B7CC1" w:rsidRDefault="00D73A71" w:rsidP="008B7CC1">
            <w:pPr>
              <w:spacing w:after="120" w:line="240" w:lineRule="auto"/>
              <w:rPr>
                <w:rFonts w:eastAsia="Calibri"/>
                <w:b/>
                <w:bCs/>
                <w:color w:val="000000"/>
                <w:lang w:val="en-US" w:eastAsia="en-US"/>
              </w:rPr>
            </w:pPr>
            <w:r w:rsidRPr="008B7CC1">
              <w:rPr>
                <w:rFonts w:eastAsia="Calibri"/>
                <w:b/>
                <w:bCs/>
                <w:color w:val="000000"/>
                <w:lang w:val="en-US" w:eastAsia="en-US"/>
              </w:rPr>
              <w:t>Trial</w:t>
            </w:r>
          </w:p>
        </w:tc>
        <w:tc>
          <w:tcPr>
            <w:tcW w:w="2145" w:type="dxa"/>
            <w:tcBorders>
              <w:left w:val="nil"/>
              <w:right w:val="nil"/>
            </w:tcBorders>
            <w:shd w:val="clear" w:color="auto" w:fill="C0C0C0"/>
          </w:tcPr>
          <w:p w:rsidR="00D73A71" w:rsidRPr="008B7CC1" w:rsidRDefault="00D73A71" w:rsidP="008B7CC1">
            <w:pPr>
              <w:spacing w:after="120" w:line="240" w:lineRule="auto"/>
              <w:rPr>
                <w:rFonts w:eastAsia="Calibri"/>
                <w:color w:val="000000"/>
                <w:lang w:val="en-US" w:eastAsia="en-US"/>
              </w:rPr>
            </w:pPr>
            <w:r w:rsidRPr="008B7CC1">
              <w:rPr>
                <w:rFonts w:eastAsia="Calibri"/>
                <w:color w:val="000000"/>
                <w:lang w:val="en-US" w:eastAsia="en-US"/>
              </w:rPr>
              <w:t>Results controlling for baseline severity</w:t>
            </w:r>
          </w:p>
        </w:tc>
        <w:tc>
          <w:tcPr>
            <w:tcW w:w="2145" w:type="dxa"/>
            <w:shd w:val="clear" w:color="auto" w:fill="C0C0C0"/>
          </w:tcPr>
          <w:p w:rsidR="00D73A71" w:rsidRPr="008B7CC1" w:rsidRDefault="00D73A71" w:rsidP="008B7CC1">
            <w:pPr>
              <w:spacing w:after="120" w:line="240" w:lineRule="auto"/>
              <w:rPr>
                <w:rFonts w:eastAsia="Calibri"/>
                <w:color w:val="000000"/>
                <w:lang w:val="en-US" w:eastAsia="en-US"/>
              </w:rPr>
            </w:pPr>
            <w:r w:rsidRPr="008B7CC1">
              <w:rPr>
                <w:rFonts w:eastAsia="Calibri"/>
                <w:color w:val="000000"/>
                <w:lang w:val="en-US" w:eastAsia="en-US"/>
              </w:rPr>
              <w:t>1.06 (0.96, 1.18)</w:t>
            </w:r>
          </w:p>
        </w:tc>
        <w:tc>
          <w:tcPr>
            <w:tcW w:w="2215" w:type="dxa"/>
            <w:tcBorders>
              <w:left w:val="nil"/>
              <w:right w:val="nil"/>
            </w:tcBorders>
            <w:shd w:val="clear" w:color="auto" w:fill="C0C0C0"/>
          </w:tcPr>
          <w:p w:rsidR="00D73A71" w:rsidRPr="008B7CC1" w:rsidRDefault="00D73A71" w:rsidP="008B7CC1">
            <w:pPr>
              <w:spacing w:after="120" w:line="240" w:lineRule="auto"/>
              <w:rPr>
                <w:rFonts w:eastAsia="Calibri"/>
                <w:color w:val="000000"/>
                <w:lang w:val="en-US" w:eastAsia="en-US"/>
              </w:rPr>
            </w:pPr>
            <w:r w:rsidRPr="008B7CC1">
              <w:rPr>
                <w:rFonts w:eastAsia="Calibri"/>
                <w:color w:val="000000"/>
                <w:lang w:val="en-US" w:eastAsia="en-US"/>
              </w:rPr>
              <w:t>-0.07 (-0.15, 0.007)</w:t>
            </w:r>
          </w:p>
        </w:tc>
        <w:tc>
          <w:tcPr>
            <w:tcW w:w="2284" w:type="dxa"/>
            <w:shd w:val="clear" w:color="auto" w:fill="C0C0C0"/>
          </w:tcPr>
          <w:p w:rsidR="00D73A71" w:rsidRPr="008B7CC1" w:rsidRDefault="00D73A71" w:rsidP="008B7CC1">
            <w:pPr>
              <w:spacing w:after="120" w:line="240" w:lineRule="auto"/>
              <w:rPr>
                <w:rFonts w:eastAsia="Calibri"/>
                <w:color w:val="000000"/>
                <w:lang w:val="en-US" w:eastAsia="en-US"/>
              </w:rPr>
            </w:pPr>
            <w:r w:rsidRPr="008B7CC1">
              <w:rPr>
                <w:rFonts w:eastAsia="Calibri"/>
                <w:color w:val="000000"/>
                <w:lang w:val="en-US" w:eastAsia="en-US"/>
              </w:rPr>
              <w:t>0.97 (0.63, 0.99)*</w:t>
            </w:r>
          </w:p>
        </w:tc>
      </w:tr>
      <w:tr w:rsidR="00D73A71" w:rsidRPr="008B7CC1" w:rsidTr="008B7CC1">
        <w:tc>
          <w:tcPr>
            <w:tcW w:w="1564" w:type="dxa"/>
            <w:shd w:val="clear" w:color="auto" w:fill="auto"/>
          </w:tcPr>
          <w:p w:rsidR="00D73A71" w:rsidRPr="008B7CC1" w:rsidRDefault="00D73A71" w:rsidP="008B7CC1">
            <w:pPr>
              <w:spacing w:after="120" w:line="240" w:lineRule="auto"/>
              <w:rPr>
                <w:rFonts w:eastAsia="Calibri"/>
                <w:b/>
                <w:bCs/>
                <w:color w:val="000000"/>
                <w:lang w:val="en-US" w:eastAsia="en-US"/>
              </w:rPr>
            </w:pPr>
            <w:r w:rsidRPr="008B7CC1">
              <w:rPr>
                <w:rFonts w:eastAsia="Calibri"/>
                <w:b/>
                <w:bCs/>
                <w:color w:val="000000"/>
                <w:lang w:val="en-US" w:eastAsia="en-US"/>
              </w:rPr>
              <w:t>Observational study</w:t>
            </w:r>
          </w:p>
        </w:tc>
        <w:tc>
          <w:tcPr>
            <w:tcW w:w="2145" w:type="dxa"/>
            <w:shd w:val="clear" w:color="auto" w:fill="auto"/>
          </w:tcPr>
          <w:p w:rsidR="00D73A71" w:rsidRPr="008B7CC1" w:rsidRDefault="00D73A71" w:rsidP="008B7CC1">
            <w:pPr>
              <w:spacing w:after="120" w:line="240" w:lineRule="auto"/>
              <w:rPr>
                <w:rFonts w:eastAsia="Calibri"/>
                <w:color w:val="000000"/>
                <w:lang w:val="en-US" w:eastAsia="en-US"/>
              </w:rPr>
            </w:pPr>
            <w:r w:rsidRPr="008B7CC1">
              <w:rPr>
                <w:rFonts w:eastAsia="Calibri"/>
                <w:color w:val="000000"/>
                <w:lang w:val="en-US" w:eastAsia="en-US"/>
              </w:rPr>
              <w:t>Results controlling for baseline severity</w:t>
            </w:r>
          </w:p>
        </w:tc>
        <w:tc>
          <w:tcPr>
            <w:tcW w:w="2145" w:type="dxa"/>
            <w:shd w:val="clear" w:color="auto" w:fill="auto"/>
          </w:tcPr>
          <w:p w:rsidR="00D73A71" w:rsidRPr="008B7CC1" w:rsidRDefault="00D73A71" w:rsidP="008B7CC1">
            <w:pPr>
              <w:spacing w:after="0" w:line="240" w:lineRule="auto"/>
              <w:rPr>
                <w:rFonts w:eastAsia="Calibri"/>
                <w:color w:val="000000"/>
                <w:lang w:val="en-US" w:eastAsia="en-US"/>
              </w:rPr>
            </w:pPr>
            <w:r w:rsidRPr="008B7CC1">
              <w:rPr>
                <w:rFonts w:eastAsia="Calibri"/>
                <w:color w:val="000000"/>
                <w:lang w:val="en-US" w:eastAsia="en-US"/>
              </w:rPr>
              <w:t xml:space="preserve">0.92 (0.76, 1.11) </w:t>
            </w:r>
          </w:p>
        </w:tc>
        <w:tc>
          <w:tcPr>
            <w:tcW w:w="2215" w:type="dxa"/>
            <w:shd w:val="clear" w:color="auto" w:fill="auto"/>
          </w:tcPr>
          <w:p w:rsidR="00D73A71" w:rsidRPr="008B7CC1" w:rsidRDefault="00D73A71" w:rsidP="008B7CC1">
            <w:pPr>
              <w:spacing w:after="0" w:line="240" w:lineRule="auto"/>
              <w:rPr>
                <w:rFonts w:eastAsia="Calibri"/>
                <w:color w:val="000000"/>
                <w:lang w:val="en-US" w:eastAsia="en-US"/>
              </w:rPr>
            </w:pPr>
            <w:r w:rsidRPr="008B7CC1">
              <w:rPr>
                <w:rFonts w:eastAsia="Calibri"/>
                <w:color w:val="000000"/>
                <w:lang w:val="en-US" w:eastAsia="en-US"/>
              </w:rPr>
              <w:t>0.06 (-0.11, 0.23)</w:t>
            </w:r>
          </w:p>
        </w:tc>
        <w:tc>
          <w:tcPr>
            <w:tcW w:w="2284" w:type="dxa"/>
            <w:shd w:val="clear" w:color="auto" w:fill="auto"/>
          </w:tcPr>
          <w:p w:rsidR="00D73A71" w:rsidRPr="008B7CC1" w:rsidRDefault="00D73A71" w:rsidP="008B7CC1">
            <w:pPr>
              <w:spacing w:after="0" w:line="240" w:lineRule="auto"/>
              <w:rPr>
                <w:rFonts w:eastAsia="Calibri"/>
                <w:color w:val="000000"/>
                <w:lang w:val="en-US" w:eastAsia="en-US"/>
              </w:rPr>
            </w:pPr>
            <w:r w:rsidRPr="008B7CC1">
              <w:rPr>
                <w:rFonts w:eastAsia="Calibri"/>
                <w:color w:val="000000"/>
                <w:lang w:val="en-US" w:eastAsia="en-US"/>
              </w:rPr>
              <w:t xml:space="preserve">1.04 (0.64, 1.67) </w:t>
            </w:r>
          </w:p>
        </w:tc>
      </w:tr>
      <w:tr w:rsidR="00D73A71" w:rsidRPr="008B7CC1" w:rsidTr="008B7CC1">
        <w:tc>
          <w:tcPr>
            <w:tcW w:w="1564" w:type="dxa"/>
            <w:shd w:val="clear" w:color="auto" w:fill="C0C0C0"/>
          </w:tcPr>
          <w:p w:rsidR="00D73A71" w:rsidRPr="008B7CC1" w:rsidRDefault="00D73A71" w:rsidP="008B7CC1">
            <w:pPr>
              <w:spacing w:after="120" w:line="240" w:lineRule="auto"/>
              <w:rPr>
                <w:rFonts w:eastAsia="Calibri"/>
                <w:b/>
                <w:bCs/>
                <w:color w:val="000000"/>
                <w:lang w:val="en-US" w:eastAsia="en-US"/>
              </w:rPr>
            </w:pPr>
          </w:p>
        </w:tc>
        <w:tc>
          <w:tcPr>
            <w:tcW w:w="2145" w:type="dxa"/>
            <w:tcBorders>
              <w:left w:val="nil"/>
              <w:right w:val="nil"/>
            </w:tcBorders>
            <w:shd w:val="clear" w:color="auto" w:fill="C0C0C0"/>
          </w:tcPr>
          <w:p w:rsidR="00D73A71" w:rsidRPr="008B7CC1" w:rsidRDefault="00D73A71" w:rsidP="008B7CC1">
            <w:pPr>
              <w:spacing w:after="120" w:line="240" w:lineRule="auto"/>
              <w:rPr>
                <w:rFonts w:eastAsia="Calibri"/>
                <w:color w:val="000000"/>
                <w:lang w:val="en-US" w:eastAsia="en-US"/>
              </w:rPr>
            </w:pPr>
            <w:r w:rsidRPr="008B7CC1">
              <w:rPr>
                <w:rFonts w:eastAsia="Calibri"/>
                <w:color w:val="000000"/>
                <w:lang w:val="en-US" w:eastAsia="en-US"/>
              </w:rPr>
              <w:t>Results controlling for baseline severity and confounding variables</w:t>
            </w:r>
          </w:p>
        </w:tc>
        <w:tc>
          <w:tcPr>
            <w:tcW w:w="2145" w:type="dxa"/>
            <w:shd w:val="clear" w:color="auto" w:fill="C0C0C0"/>
          </w:tcPr>
          <w:p w:rsidR="00D73A71" w:rsidRPr="008B7CC1" w:rsidRDefault="00D73A71" w:rsidP="008B7CC1">
            <w:pPr>
              <w:spacing w:after="0" w:line="240" w:lineRule="auto"/>
              <w:rPr>
                <w:rFonts w:eastAsia="Calibri"/>
                <w:color w:val="000000"/>
                <w:lang w:val="en-US" w:eastAsia="en-US"/>
              </w:rPr>
            </w:pPr>
            <w:r w:rsidRPr="008B7CC1">
              <w:rPr>
                <w:rFonts w:eastAsia="Calibri"/>
                <w:color w:val="000000"/>
                <w:lang w:val="en-US" w:eastAsia="en-US"/>
              </w:rPr>
              <w:t xml:space="preserve">0.92 (0.73, 1.16) </w:t>
            </w:r>
          </w:p>
        </w:tc>
        <w:tc>
          <w:tcPr>
            <w:tcW w:w="2215" w:type="dxa"/>
            <w:tcBorders>
              <w:left w:val="nil"/>
              <w:right w:val="nil"/>
            </w:tcBorders>
            <w:shd w:val="clear" w:color="auto" w:fill="C0C0C0"/>
          </w:tcPr>
          <w:p w:rsidR="00D73A71" w:rsidRPr="008B7CC1" w:rsidRDefault="00D73A71" w:rsidP="008B7CC1">
            <w:pPr>
              <w:spacing w:after="0" w:line="240" w:lineRule="auto"/>
              <w:rPr>
                <w:rFonts w:eastAsia="Calibri"/>
                <w:color w:val="000000"/>
                <w:lang w:val="en-US" w:eastAsia="en-US"/>
              </w:rPr>
            </w:pPr>
            <w:r w:rsidRPr="008B7CC1">
              <w:rPr>
                <w:rFonts w:eastAsia="Calibri"/>
                <w:color w:val="000000"/>
                <w:lang w:val="en-US" w:eastAsia="en-US"/>
              </w:rPr>
              <w:t xml:space="preserve">-0.01 (-0.19, 0.17) </w:t>
            </w:r>
          </w:p>
        </w:tc>
        <w:tc>
          <w:tcPr>
            <w:tcW w:w="2284" w:type="dxa"/>
            <w:shd w:val="clear" w:color="auto" w:fill="C0C0C0"/>
          </w:tcPr>
          <w:p w:rsidR="00D73A71" w:rsidRPr="008B7CC1" w:rsidRDefault="00D73A71" w:rsidP="008B7CC1">
            <w:pPr>
              <w:spacing w:after="0" w:line="240" w:lineRule="auto"/>
              <w:rPr>
                <w:rFonts w:eastAsia="Calibri"/>
                <w:color w:val="000000"/>
                <w:lang w:val="en-US" w:eastAsia="en-US"/>
              </w:rPr>
            </w:pPr>
            <w:r w:rsidRPr="008B7CC1">
              <w:rPr>
                <w:rFonts w:eastAsia="Calibri"/>
                <w:color w:val="000000"/>
                <w:lang w:val="en-US" w:eastAsia="en-US"/>
              </w:rPr>
              <w:t xml:space="preserve">0.85 (0.48, 1.51) </w:t>
            </w:r>
          </w:p>
        </w:tc>
      </w:tr>
      <w:tr w:rsidR="00D73A71" w:rsidRPr="008B7CC1" w:rsidTr="008B7CC1">
        <w:tc>
          <w:tcPr>
            <w:tcW w:w="1564" w:type="dxa"/>
            <w:shd w:val="clear" w:color="auto" w:fill="auto"/>
          </w:tcPr>
          <w:p w:rsidR="00D73A71" w:rsidRPr="008B7CC1" w:rsidRDefault="00D73A71" w:rsidP="008B7CC1">
            <w:pPr>
              <w:spacing w:after="120" w:line="240" w:lineRule="auto"/>
              <w:rPr>
                <w:rFonts w:eastAsia="Calibri"/>
                <w:b/>
                <w:bCs/>
                <w:color w:val="000000"/>
                <w:lang w:val="en-US" w:eastAsia="en-US"/>
              </w:rPr>
            </w:pPr>
          </w:p>
        </w:tc>
        <w:tc>
          <w:tcPr>
            <w:tcW w:w="2145" w:type="dxa"/>
            <w:shd w:val="clear" w:color="auto" w:fill="auto"/>
          </w:tcPr>
          <w:p w:rsidR="00D73A71" w:rsidRPr="008B7CC1" w:rsidRDefault="00D73A71" w:rsidP="008B7CC1">
            <w:pPr>
              <w:spacing w:after="120" w:line="240" w:lineRule="auto"/>
              <w:rPr>
                <w:rFonts w:eastAsia="Calibri"/>
                <w:color w:val="000000"/>
                <w:lang w:val="en-US" w:eastAsia="en-US"/>
              </w:rPr>
            </w:pPr>
            <w:r w:rsidRPr="008B7CC1">
              <w:rPr>
                <w:rFonts w:eastAsia="Calibri"/>
                <w:color w:val="000000"/>
                <w:lang w:val="en-US" w:eastAsia="en-US"/>
              </w:rPr>
              <w:t>Results using propensity score weight</w:t>
            </w:r>
          </w:p>
        </w:tc>
        <w:tc>
          <w:tcPr>
            <w:tcW w:w="2145" w:type="dxa"/>
            <w:shd w:val="clear" w:color="auto" w:fill="auto"/>
          </w:tcPr>
          <w:p w:rsidR="00D73A71" w:rsidRPr="008B7CC1" w:rsidRDefault="00D73A71" w:rsidP="008B7CC1">
            <w:pPr>
              <w:spacing w:after="0" w:line="240" w:lineRule="auto"/>
              <w:rPr>
                <w:rFonts w:eastAsia="Calibri"/>
                <w:color w:val="000000"/>
                <w:lang w:val="en-US" w:eastAsia="en-US"/>
              </w:rPr>
            </w:pPr>
            <w:r w:rsidRPr="008B7CC1">
              <w:rPr>
                <w:rFonts w:eastAsia="Calibri"/>
                <w:color w:val="000000"/>
                <w:lang w:val="en-US" w:eastAsia="en-US"/>
              </w:rPr>
              <w:t xml:space="preserve">1.06 (0.80, 1.40) </w:t>
            </w:r>
          </w:p>
        </w:tc>
        <w:tc>
          <w:tcPr>
            <w:tcW w:w="2215" w:type="dxa"/>
            <w:shd w:val="clear" w:color="auto" w:fill="auto"/>
          </w:tcPr>
          <w:p w:rsidR="00D73A71" w:rsidRPr="008B7CC1" w:rsidRDefault="00D73A71" w:rsidP="008B7CC1">
            <w:pPr>
              <w:spacing w:after="0" w:line="240" w:lineRule="auto"/>
              <w:rPr>
                <w:rFonts w:eastAsia="Calibri"/>
                <w:color w:val="000000"/>
                <w:lang w:val="en-US" w:eastAsia="en-US"/>
              </w:rPr>
            </w:pPr>
            <w:r w:rsidRPr="008B7CC1">
              <w:rPr>
                <w:rFonts w:eastAsia="Calibri"/>
                <w:color w:val="000000"/>
                <w:lang w:val="en-US" w:eastAsia="en-US"/>
              </w:rPr>
              <w:t xml:space="preserve">-0.07 (-0.34, 0.20) </w:t>
            </w:r>
          </w:p>
        </w:tc>
        <w:tc>
          <w:tcPr>
            <w:tcW w:w="2284" w:type="dxa"/>
            <w:shd w:val="clear" w:color="auto" w:fill="auto"/>
          </w:tcPr>
          <w:p w:rsidR="00D73A71" w:rsidRPr="008B7CC1" w:rsidRDefault="00D73A71" w:rsidP="008B7CC1">
            <w:pPr>
              <w:spacing w:after="0" w:line="240" w:lineRule="auto"/>
              <w:rPr>
                <w:rFonts w:eastAsia="Calibri"/>
                <w:color w:val="000000"/>
                <w:lang w:val="en-US" w:eastAsia="en-US"/>
              </w:rPr>
            </w:pPr>
            <w:r w:rsidRPr="008B7CC1">
              <w:rPr>
                <w:rFonts w:eastAsia="Calibri"/>
                <w:color w:val="000000"/>
                <w:lang w:val="en-US" w:eastAsia="en-US"/>
              </w:rPr>
              <w:t xml:space="preserve">0.91 (0.48, 1.66) </w:t>
            </w:r>
          </w:p>
        </w:tc>
      </w:tr>
      <w:tr w:rsidR="00D73A71" w:rsidRPr="008B7CC1" w:rsidTr="008B7CC1">
        <w:tc>
          <w:tcPr>
            <w:tcW w:w="10353" w:type="dxa"/>
            <w:gridSpan w:val="5"/>
            <w:shd w:val="clear" w:color="auto" w:fill="C0C0C0"/>
          </w:tcPr>
          <w:p w:rsidR="00D73A71" w:rsidRPr="008B7CC1" w:rsidRDefault="00D73A71" w:rsidP="008B7CC1">
            <w:pPr>
              <w:spacing w:after="0" w:line="240" w:lineRule="auto"/>
              <w:rPr>
                <w:rFonts w:eastAsia="Calibri"/>
                <w:bCs/>
                <w:color w:val="000000"/>
                <w:sz w:val="18"/>
                <w:szCs w:val="18"/>
                <w:lang w:val="en-US" w:eastAsia="en-US"/>
              </w:rPr>
            </w:pPr>
            <w:r w:rsidRPr="008B7CC1">
              <w:rPr>
                <w:rFonts w:eastAsia="Calibri"/>
                <w:bCs/>
                <w:color w:val="000000"/>
                <w:sz w:val="18"/>
                <w:szCs w:val="18"/>
                <w:lang w:val="en-US" w:eastAsia="en-US"/>
              </w:rPr>
              <w:t xml:space="preserve">†Resolution of symptoms rated “moderately bad” or worse in treatment vs. no treatment group. </w:t>
            </w:r>
            <w:r w:rsidRPr="008B7CC1">
              <w:rPr>
                <w:rFonts w:eastAsia="Calibri" w:cs="Calibri"/>
                <w:bCs/>
                <w:color w:val="000000"/>
                <w:sz w:val="18"/>
                <w:szCs w:val="18"/>
                <w:lang w:val="en-US" w:eastAsia="en-US"/>
              </w:rPr>
              <w:t xml:space="preserve">††Difference of </w:t>
            </w:r>
            <w:r w:rsidRPr="008B7CC1">
              <w:rPr>
                <w:rFonts w:eastAsia="Calibri"/>
                <w:bCs/>
                <w:color w:val="000000"/>
                <w:sz w:val="18"/>
                <w:szCs w:val="18"/>
                <w:lang w:val="en-US" w:eastAsia="en-US"/>
              </w:rPr>
              <w:t>mean symptom severity score on days 2-4 after consultation between groups</w:t>
            </w:r>
            <w:r w:rsidRPr="008B7CC1">
              <w:rPr>
                <w:rFonts w:eastAsia="Times New Roman" w:cs="Calibri"/>
                <w:bCs/>
                <w:color w:val="000000"/>
                <w:sz w:val="18"/>
                <w:szCs w:val="18"/>
                <w:lang w:val="en-US" w:eastAsia="en-US"/>
              </w:rPr>
              <w:t>. ‡Worsening of illness in the treatment group vs. no treatment. *Significant at p&lt;0.05</w:t>
            </w:r>
          </w:p>
        </w:tc>
      </w:tr>
      <w:bookmarkEnd w:id="2"/>
    </w:tbl>
    <w:p w:rsidR="00D73A71" w:rsidRPr="004B363F" w:rsidRDefault="00D73A71" w:rsidP="00D73A71">
      <w:pPr>
        <w:rPr>
          <w:sz w:val="18"/>
          <w:szCs w:val="18"/>
        </w:rPr>
      </w:pPr>
    </w:p>
    <w:p w:rsidR="00D73A71" w:rsidRPr="008B7CC1" w:rsidRDefault="00D73A71" w:rsidP="00FE78FC">
      <w:pPr>
        <w:spacing w:after="0"/>
        <w:jc w:val="both"/>
        <w:rPr>
          <w:rFonts w:cs="Calibri"/>
        </w:rPr>
      </w:pPr>
    </w:p>
    <w:p w:rsidR="00FE78FC" w:rsidRPr="008B7CC1" w:rsidRDefault="007A1A32" w:rsidP="00FE78FC">
      <w:pPr>
        <w:spacing w:after="0"/>
        <w:jc w:val="both"/>
        <w:rPr>
          <w:rFonts w:cs="Calibri"/>
          <w:b/>
          <w:bCs/>
        </w:rPr>
      </w:pPr>
      <w:r w:rsidRPr="008B7CC1">
        <w:rPr>
          <w:rFonts w:cs="Calibri"/>
          <w:b/>
          <w:bCs/>
        </w:rPr>
        <w:t>References</w:t>
      </w:r>
    </w:p>
    <w:p w:rsidR="00A0605E" w:rsidRDefault="00A0605E">
      <w:pPr>
        <w:rPr>
          <w:rFonts w:ascii="Arial" w:hAnsi="Arial"/>
          <w:sz w:val="20"/>
          <w:szCs w:val="20"/>
        </w:rPr>
      </w:pPr>
    </w:p>
    <w:p w:rsidR="00BB289D" w:rsidRPr="00BB289D" w:rsidRDefault="00A0605E" w:rsidP="008C331E">
      <w:pPr>
        <w:pStyle w:val="EndNoteBibliography"/>
        <w:rPr>
          <w:noProof/>
        </w:rPr>
      </w:pPr>
      <w:r w:rsidRPr="002F30CC">
        <w:rPr>
          <w:noProof/>
        </w:rPr>
        <w:lastRenderedPageBreak/>
        <w:fldChar w:fldCharType="begin"/>
      </w:r>
      <w:r w:rsidRPr="002F30CC">
        <w:rPr>
          <w:noProof/>
        </w:rPr>
        <w:instrText xml:space="preserve"> ADDIN EN.REFLIST </w:instrText>
      </w:r>
      <w:r w:rsidRPr="002F30CC">
        <w:rPr>
          <w:noProof/>
        </w:rPr>
        <w:fldChar w:fldCharType="separate"/>
      </w:r>
      <w:r w:rsidR="00BB289D" w:rsidRPr="00BB289D">
        <w:rPr>
          <w:noProof/>
        </w:rPr>
        <w:t>1.</w:t>
      </w:r>
      <w:r w:rsidR="00BB289D" w:rsidRPr="00BB289D">
        <w:rPr>
          <w:noProof/>
        </w:rPr>
        <w:tab/>
        <w:t xml:space="preserve">McKee M, Britton A, Black N, </w:t>
      </w:r>
      <w:r w:rsidR="008C331E">
        <w:rPr>
          <w:noProof/>
        </w:rPr>
        <w:t>et al</w:t>
      </w:r>
      <w:r w:rsidR="00BB289D" w:rsidRPr="00BB289D">
        <w:rPr>
          <w:noProof/>
        </w:rPr>
        <w:t>. Interpreting the evidence: choosing between randomised and non-randomised studies. BMJ. 1999;319(7205):312.</w:t>
      </w:r>
    </w:p>
    <w:p w:rsidR="00BB289D" w:rsidRPr="00BB289D" w:rsidRDefault="00BB289D" w:rsidP="008C331E">
      <w:pPr>
        <w:pStyle w:val="EndNoteBibliography"/>
        <w:rPr>
          <w:noProof/>
        </w:rPr>
      </w:pPr>
      <w:r w:rsidRPr="00BB289D">
        <w:rPr>
          <w:noProof/>
        </w:rPr>
        <w:t>2.</w:t>
      </w:r>
      <w:r w:rsidRPr="00BB289D">
        <w:rPr>
          <w:noProof/>
        </w:rPr>
        <w:tab/>
        <w:t xml:space="preserve">Grootendorst DC, Jager KJ, Zoccali C, </w:t>
      </w:r>
      <w:r w:rsidR="008C331E">
        <w:rPr>
          <w:noProof/>
        </w:rPr>
        <w:t>et al</w:t>
      </w:r>
      <w:r w:rsidRPr="00BB289D">
        <w:rPr>
          <w:noProof/>
        </w:rPr>
        <w:t xml:space="preserve">. Observational Studies Are Complementary to Randomized Controlled Trials. </w:t>
      </w:r>
      <w:r w:rsidR="00DC6EEA" w:rsidRPr="00DC6EEA">
        <w:rPr>
          <w:noProof/>
        </w:rPr>
        <w:t>Nephron Clin Pract</w:t>
      </w:r>
      <w:r w:rsidRPr="00BB289D">
        <w:rPr>
          <w:noProof/>
        </w:rPr>
        <w:t>. 2010;114(3):c173-c7.</w:t>
      </w:r>
    </w:p>
    <w:p w:rsidR="00BB289D" w:rsidRPr="00BB289D" w:rsidRDefault="00BB289D" w:rsidP="002F30CC">
      <w:pPr>
        <w:pStyle w:val="EndNoteBibliography"/>
        <w:rPr>
          <w:noProof/>
        </w:rPr>
      </w:pPr>
      <w:r w:rsidRPr="00BB289D">
        <w:rPr>
          <w:noProof/>
        </w:rPr>
        <w:t>3.</w:t>
      </w:r>
      <w:r w:rsidRPr="00BB289D">
        <w:rPr>
          <w:noProof/>
        </w:rPr>
        <w:tab/>
        <w:t xml:space="preserve">Greenland S, Morgenstern H. Confounding in health research. </w:t>
      </w:r>
      <w:hyperlink r:id="rId12" w:tooltip="Annual review of public health." w:history="1">
        <w:r w:rsidR="002F30CC" w:rsidRPr="002F30CC">
          <w:rPr>
            <w:noProof/>
          </w:rPr>
          <w:t>Annu Rev Public Health.</w:t>
        </w:r>
      </w:hyperlink>
      <w:r w:rsidR="002F30CC" w:rsidRPr="002F30CC">
        <w:rPr>
          <w:noProof/>
        </w:rPr>
        <w:t> 2001;22:189-212.</w:t>
      </w:r>
    </w:p>
    <w:p w:rsidR="00BB289D" w:rsidRPr="00BB289D" w:rsidRDefault="00BB289D" w:rsidP="008C331E">
      <w:pPr>
        <w:pStyle w:val="EndNoteBibliography"/>
        <w:rPr>
          <w:noProof/>
        </w:rPr>
      </w:pPr>
      <w:r w:rsidRPr="00BB289D">
        <w:rPr>
          <w:noProof/>
        </w:rPr>
        <w:t>4.</w:t>
      </w:r>
      <w:r w:rsidRPr="00BB289D">
        <w:rPr>
          <w:noProof/>
        </w:rPr>
        <w:tab/>
        <w:t>Sedgwick P. Randomised controlled trials: balance in baseline characteristics. BMJ</w:t>
      </w:r>
      <w:r w:rsidR="008C331E">
        <w:rPr>
          <w:noProof/>
        </w:rPr>
        <w:t>.</w:t>
      </w:r>
      <w:r w:rsidRPr="00BB289D">
        <w:rPr>
          <w:noProof/>
        </w:rPr>
        <w:t xml:space="preserve"> 2014;349.</w:t>
      </w:r>
    </w:p>
    <w:p w:rsidR="00BB289D" w:rsidRPr="00BB289D" w:rsidRDefault="00BB289D" w:rsidP="00FE2EBD">
      <w:pPr>
        <w:pStyle w:val="EndNoteBibliography"/>
        <w:rPr>
          <w:noProof/>
        </w:rPr>
      </w:pPr>
      <w:r w:rsidRPr="00BB289D">
        <w:rPr>
          <w:noProof/>
        </w:rPr>
        <w:t>5.</w:t>
      </w:r>
      <w:r w:rsidRPr="00BB289D">
        <w:rPr>
          <w:noProof/>
        </w:rPr>
        <w:tab/>
        <w:t xml:space="preserve">Klungel OH, Martens EP, Psaty BM, et al. Methods to assess intended effects of drug treatment in observational studies are reviewed. </w:t>
      </w:r>
      <w:hyperlink r:id="rId13" w:tooltip="Journal of clinical epidemiology." w:history="1">
        <w:r w:rsidR="00FE2EBD" w:rsidRPr="008C331E">
          <w:rPr>
            <w:noProof/>
          </w:rPr>
          <w:t>J Clin Epidemiol.</w:t>
        </w:r>
      </w:hyperlink>
      <w:r w:rsidRPr="00BB289D">
        <w:rPr>
          <w:noProof/>
        </w:rPr>
        <w:t xml:space="preserve"> 2004;57(12):1223-31.</w:t>
      </w:r>
    </w:p>
    <w:p w:rsidR="00BB289D" w:rsidRPr="00BB289D" w:rsidRDefault="00BB289D" w:rsidP="00BB289D">
      <w:pPr>
        <w:pStyle w:val="EndNoteBibliography"/>
        <w:rPr>
          <w:noProof/>
        </w:rPr>
      </w:pPr>
      <w:r w:rsidRPr="00BB289D">
        <w:rPr>
          <w:noProof/>
        </w:rPr>
        <w:t>6.</w:t>
      </w:r>
      <w:r w:rsidRPr="00BB289D">
        <w:rPr>
          <w:noProof/>
        </w:rPr>
        <w:tab/>
        <w:t>Rosenbaum PR, Rubin DB. The central role of the propensity score in observational studies for causal effects. Biometrika. 1983;70(1):41-55.</w:t>
      </w:r>
    </w:p>
    <w:p w:rsidR="00BB289D" w:rsidRPr="00BB289D" w:rsidRDefault="00BB289D" w:rsidP="00BB289D">
      <w:pPr>
        <w:pStyle w:val="EndNoteBibliography"/>
        <w:rPr>
          <w:noProof/>
        </w:rPr>
      </w:pPr>
      <w:r w:rsidRPr="00BB289D">
        <w:rPr>
          <w:noProof/>
        </w:rPr>
        <w:t>7.</w:t>
      </w:r>
      <w:r w:rsidRPr="00BB289D">
        <w:rPr>
          <w:noProof/>
        </w:rPr>
        <w:tab/>
        <w:t>Guo S, Fraser M. Propensity Score Analysis: Statistical Methods and Applications (Advanced Quantitative Techniques in the Social Sciences): SAGE Publications; 2009.</w:t>
      </w:r>
    </w:p>
    <w:p w:rsidR="00BB289D" w:rsidRPr="00BB289D" w:rsidRDefault="00BB289D" w:rsidP="00BB289D">
      <w:pPr>
        <w:pStyle w:val="EndNoteBibliography"/>
        <w:rPr>
          <w:noProof/>
        </w:rPr>
      </w:pPr>
      <w:r w:rsidRPr="00BB289D">
        <w:rPr>
          <w:noProof/>
        </w:rPr>
        <w:t>8.</w:t>
      </w:r>
      <w:r w:rsidRPr="00BB289D">
        <w:rPr>
          <w:noProof/>
        </w:rPr>
        <w:tab/>
        <w:t>Williamson EJ, Forbes A. Introduction to propensity scores. Respirology. 2014;19(5):625-35.</w:t>
      </w:r>
    </w:p>
    <w:p w:rsidR="00BB289D" w:rsidRPr="00BB289D" w:rsidRDefault="00BB289D" w:rsidP="008C331E">
      <w:pPr>
        <w:pStyle w:val="EndNoteBibliography"/>
        <w:rPr>
          <w:noProof/>
        </w:rPr>
      </w:pPr>
      <w:r w:rsidRPr="00BB289D">
        <w:rPr>
          <w:noProof/>
        </w:rPr>
        <w:t>9.</w:t>
      </w:r>
      <w:r w:rsidRPr="00BB289D">
        <w:rPr>
          <w:noProof/>
        </w:rPr>
        <w:tab/>
        <w:t>Shah BR, Laupacis A</w:t>
      </w:r>
      <w:r w:rsidR="008C331E">
        <w:rPr>
          <w:noProof/>
        </w:rPr>
        <w:t>,</w:t>
      </w:r>
      <w:r w:rsidRPr="00BB289D">
        <w:rPr>
          <w:noProof/>
        </w:rPr>
        <w:t xml:space="preserve"> Hux JE,</w:t>
      </w:r>
      <w:r w:rsidR="008C331E">
        <w:rPr>
          <w:noProof/>
        </w:rPr>
        <w:t xml:space="preserve"> et al</w:t>
      </w:r>
      <w:r w:rsidRPr="00BB289D">
        <w:rPr>
          <w:noProof/>
        </w:rPr>
        <w:t>. Propensity score methods gave similar results to traditional regression modeling in observational</w:t>
      </w:r>
      <w:r w:rsidR="008C331E">
        <w:rPr>
          <w:noProof/>
        </w:rPr>
        <w:t xml:space="preserve"> studies: a systematic review. </w:t>
      </w:r>
      <w:hyperlink r:id="rId14" w:tooltip="Journal of clinical epidemiology." w:history="1">
        <w:r w:rsidR="008C331E" w:rsidRPr="008C331E">
          <w:rPr>
            <w:noProof/>
          </w:rPr>
          <w:t>J Clin Epidemiol.</w:t>
        </w:r>
      </w:hyperlink>
      <w:r w:rsidR="008C331E" w:rsidRPr="008C331E">
        <w:rPr>
          <w:noProof/>
        </w:rPr>
        <w:t xml:space="preserve"> 2005 </w:t>
      </w:r>
      <w:r w:rsidR="008C331E">
        <w:rPr>
          <w:noProof/>
        </w:rPr>
        <w:t>Jun;58(6):550-9. E</w:t>
      </w:r>
    </w:p>
    <w:p w:rsidR="00BB289D" w:rsidRPr="00BB289D" w:rsidRDefault="00BB289D" w:rsidP="00BB289D">
      <w:pPr>
        <w:pStyle w:val="EndNoteBibliography"/>
        <w:rPr>
          <w:noProof/>
        </w:rPr>
      </w:pPr>
      <w:r w:rsidRPr="00BB289D">
        <w:rPr>
          <w:noProof/>
        </w:rPr>
        <w:t>10.</w:t>
      </w:r>
      <w:r w:rsidRPr="00BB289D">
        <w:rPr>
          <w:noProof/>
        </w:rPr>
        <w:tab/>
        <w:t xml:space="preserve">Austin PC. An Introduction to Propensity Score Methods for Reducing the Effects of Confounding in Observational Studies. </w:t>
      </w:r>
      <w:r w:rsidR="00DB039C" w:rsidRPr="00DB039C">
        <w:rPr>
          <w:noProof/>
        </w:rPr>
        <w:t>Multivariate Behav Res</w:t>
      </w:r>
      <w:r w:rsidRPr="00DB039C">
        <w:rPr>
          <w:noProof/>
        </w:rPr>
        <w:t>.</w:t>
      </w:r>
      <w:r w:rsidRPr="00BB289D">
        <w:rPr>
          <w:noProof/>
        </w:rPr>
        <w:t xml:space="preserve"> 2011;46(3):399-424.</w:t>
      </w:r>
    </w:p>
    <w:p w:rsidR="00BB289D" w:rsidRPr="00BB289D" w:rsidRDefault="00BB289D" w:rsidP="00DB039C">
      <w:pPr>
        <w:pStyle w:val="EndNoteBibliography"/>
        <w:rPr>
          <w:noProof/>
        </w:rPr>
      </w:pPr>
      <w:r w:rsidRPr="00BB289D">
        <w:rPr>
          <w:noProof/>
        </w:rPr>
        <w:t>11.</w:t>
      </w:r>
      <w:r w:rsidRPr="00BB289D">
        <w:rPr>
          <w:noProof/>
        </w:rPr>
        <w:tab/>
        <w:t xml:space="preserve">Rubin DB. Using Propensity Scores to Help Design Observational Studies: Application to the Tobacco Litigation. </w:t>
      </w:r>
      <w:proofErr w:type="gramStart"/>
      <w:r w:rsidR="00DB039C" w:rsidRPr="00DB039C">
        <w:rPr>
          <w:noProof/>
        </w:rPr>
        <w:t xml:space="preserve">Health </w:t>
      </w:r>
      <w:proofErr w:type="spellStart"/>
      <w:r w:rsidR="00DB039C" w:rsidRPr="00DB039C">
        <w:rPr>
          <w:noProof/>
        </w:rPr>
        <w:t>Serv</w:t>
      </w:r>
      <w:proofErr w:type="spellEnd"/>
      <w:r w:rsidR="00DB039C" w:rsidRPr="00DB039C">
        <w:rPr>
          <w:noProof/>
        </w:rPr>
        <w:t xml:space="preserve"> Outcomes Res </w:t>
      </w:r>
      <w:proofErr w:type="spellStart"/>
      <w:r w:rsidR="00DB039C" w:rsidRPr="00DB039C">
        <w:rPr>
          <w:noProof/>
        </w:rPr>
        <w:t>Methodol</w:t>
      </w:r>
      <w:proofErr w:type="spellEnd"/>
      <w:r w:rsidR="00DB039C" w:rsidRPr="00DB039C">
        <w:rPr>
          <w:noProof/>
        </w:rPr>
        <w:t>.</w:t>
      </w:r>
      <w:proofErr w:type="gramEnd"/>
      <w:r w:rsidRPr="00BB289D">
        <w:rPr>
          <w:noProof/>
        </w:rPr>
        <w:t xml:space="preserve"> 2001;2(3):169-88.</w:t>
      </w:r>
    </w:p>
    <w:p w:rsidR="00BB289D" w:rsidRPr="00BB289D" w:rsidRDefault="00BB289D" w:rsidP="00FE2EBD">
      <w:pPr>
        <w:pStyle w:val="EndNoteBibliography"/>
        <w:rPr>
          <w:noProof/>
        </w:rPr>
      </w:pPr>
      <w:r w:rsidRPr="00BB289D">
        <w:rPr>
          <w:noProof/>
        </w:rPr>
        <w:t>12.</w:t>
      </w:r>
      <w:r w:rsidRPr="00BB289D">
        <w:rPr>
          <w:noProof/>
        </w:rPr>
        <w:tab/>
        <w:t xml:space="preserve">Peduzzi P, Concato J, Kemper E, </w:t>
      </w:r>
      <w:r w:rsidR="008C331E">
        <w:rPr>
          <w:noProof/>
        </w:rPr>
        <w:t>et al</w:t>
      </w:r>
      <w:r w:rsidRPr="00BB289D">
        <w:rPr>
          <w:noProof/>
        </w:rPr>
        <w:t xml:space="preserve">. A simulation study of the number of events per variable in logistic regression analysis. </w:t>
      </w:r>
      <w:hyperlink r:id="rId15" w:tooltip="Journal of clinical epidemiology." w:history="1">
        <w:r w:rsidR="00FE2EBD" w:rsidRPr="008C331E">
          <w:rPr>
            <w:noProof/>
          </w:rPr>
          <w:t>J Clin Epidemiol.</w:t>
        </w:r>
      </w:hyperlink>
      <w:r w:rsidRPr="00BB289D">
        <w:rPr>
          <w:noProof/>
        </w:rPr>
        <w:t xml:space="preserve"> 1996;49(12):1373-9.</w:t>
      </w:r>
    </w:p>
    <w:p w:rsidR="00BB289D" w:rsidRPr="00BB289D" w:rsidRDefault="00BB289D" w:rsidP="00DB039C">
      <w:pPr>
        <w:pStyle w:val="EndNoteBibliography"/>
        <w:rPr>
          <w:noProof/>
        </w:rPr>
      </w:pPr>
      <w:r w:rsidRPr="00BB289D">
        <w:rPr>
          <w:noProof/>
        </w:rPr>
        <w:t>13.</w:t>
      </w:r>
      <w:r w:rsidRPr="00BB289D">
        <w:rPr>
          <w:noProof/>
        </w:rPr>
        <w:tab/>
        <w:t xml:space="preserve">Braitman LE, Rosenbaum PR. Rare outcomes, common treatments: Analytic strategies using propensity scores. </w:t>
      </w:r>
      <w:r w:rsidR="00DB039C" w:rsidRPr="00DB039C">
        <w:rPr>
          <w:noProof/>
        </w:rPr>
        <w:t>Ann. Intern. Med</w:t>
      </w:r>
      <w:r w:rsidRPr="00BB289D">
        <w:rPr>
          <w:noProof/>
        </w:rPr>
        <w:t>. 2002;137(8):693-5.</w:t>
      </w:r>
    </w:p>
    <w:p w:rsidR="00BB289D" w:rsidRPr="00BB289D" w:rsidRDefault="00BB289D" w:rsidP="00DB039C">
      <w:pPr>
        <w:pStyle w:val="EndNoteBibliography"/>
        <w:rPr>
          <w:noProof/>
        </w:rPr>
      </w:pPr>
      <w:r w:rsidRPr="00BB289D">
        <w:rPr>
          <w:noProof/>
        </w:rPr>
        <w:t>14.</w:t>
      </w:r>
      <w:r w:rsidRPr="00BB289D">
        <w:rPr>
          <w:noProof/>
        </w:rPr>
        <w:tab/>
        <w:t xml:space="preserve">van Vugt SF, Verheij TJM, de Jong PA, et al. Diagnosing pneumonia in patients with acute cough: clinical judgment compared to chest radiography. </w:t>
      </w:r>
      <w:proofErr w:type="spellStart"/>
      <w:r w:rsidR="00DB039C">
        <w:rPr>
          <w:rFonts w:ascii="Arial" w:hAnsi="Arial" w:cs="Arial"/>
          <w:color w:val="000000"/>
          <w:sz w:val="20"/>
          <w:szCs w:val="20"/>
          <w:shd w:val="clear" w:color="auto" w:fill="FFFFFF"/>
        </w:rPr>
        <w:t>Eur</w:t>
      </w:r>
      <w:proofErr w:type="spellEnd"/>
      <w:r w:rsidR="00DB039C">
        <w:rPr>
          <w:rFonts w:ascii="Arial" w:hAnsi="Arial" w:cs="Arial"/>
          <w:color w:val="000000"/>
          <w:sz w:val="20"/>
          <w:szCs w:val="20"/>
          <w:shd w:val="clear" w:color="auto" w:fill="FFFFFF"/>
        </w:rPr>
        <w:t xml:space="preserve"> </w:t>
      </w:r>
      <w:proofErr w:type="spellStart"/>
      <w:r w:rsidR="00DB039C">
        <w:rPr>
          <w:rFonts w:ascii="Arial" w:hAnsi="Arial" w:cs="Arial"/>
          <w:color w:val="000000"/>
          <w:sz w:val="20"/>
          <w:szCs w:val="20"/>
          <w:shd w:val="clear" w:color="auto" w:fill="FFFFFF"/>
        </w:rPr>
        <w:t>Respir</w:t>
      </w:r>
      <w:proofErr w:type="spellEnd"/>
      <w:r w:rsidR="00DB039C">
        <w:rPr>
          <w:rFonts w:ascii="Arial" w:hAnsi="Arial" w:cs="Arial"/>
          <w:color w:val="000000"/>
          <w:sz w:val="20"/>
          <w:szCs w:val="20"/>
          <w:shd w:val="clear" w:color="auto" w:fill="FFFFFF"/>
        </w:rPr>
        <w:t xml:space="preserve"> J</w:t>
      </w:r>
      <w:r w:rsidR="00DB039C">
        <w:rPr>
          <w:rFonts w:ascii="Arial" w:hAnsi="Arial" w:cs="Arial"/>
          <w:color w:val="000000"/>
          <w:sz w:val="20"/>
          <w:szCs w:val="20"/>
          <w:shd w:val="clear" w:color="auto" w:fill="FFFFFF"/>
        </w:rPr>
        <w:t>.</w:t>
      </w:r>
      <w:r w:rsidRPr="00DB039C">
        <w:rPr>
          <w:noProof/>
        </w:rPr>
        <w:t xml:space="preserve"> 2013;42(4):1076.</w:t>
      </w:r>
    </w:p>
    <w:p w:rsidR="00BB289D" w:rsidRPr="00BB289D" w:rsidRDefault="00BB289D" w:rsidP="00430AD1">
      <w:pPr>
        <w:pStyle w:val="EndNoteBibliography"/>
        <w:rPr>
          <w:noProof/>
        </w:rPr>
      </w:pPr>
      <w:r w:rsidRPr="00BB289D">
        <w:rPr>
          <w:noProof/>
        </w:rPr>
        <w:t>15.</w:t>
      </w:r>
      <w:r w:rsidRPr="00BB289D">
        <w:rPr>
          <w:noProof/>
        </w:rPr>
        <w:tab/>
        <w:t xml:space="preserve">Little P, Stuart B, Moore M, et al. Amoxicillin for acute lower-respiratory-tract infection in primary care when pneumonia is not suspected: a 12-country, randomised, placebo-controlled trial. </w:t>
      </w:r>
      <w:r w:rsidR="00430AD1" w:rsidRPr="00430AD1">
        <w:rPr>
          <w:noProof/>
        </w:rPr>
        <w:t>Lancet Infect Dis</w:t>
      </w:r>
      <w:r w:rsidRPr="00430AD1">
        <w:rPr>
          <w:noProof/>
        </w:rPr>
        <w:t>.</w:t>
      </w:r>
      <w:r w:rsidRPr="00BB289D">
        <w:rPr>
          <w:noProof/>
        </w:rPr>
        <w:t xml:space="preserve"> 2013;13(2):123-9.</w:t>
      </w:r>
    </w:p>
    <w:p w:rsidR="00BB289D" w:rsidRPr="00BB289D" w:rsidRDefault="00BB289D" w:rsidP="00FE2EBD">
      <w:pPr>
        <w:pStyle w:val="EndNoteBibliography"/>
        <w:rPr>
          <w:noProof/>
        </w:rPr>
      </w:pPr>
      <w:r w:rsidRPr="00BB289D">
        <w:rPr>
          <w:noProof/>
        </w:rPr>
        <w:t>16.</w:t>
      </w:r>
      <w:r w:rsidRPr="00BB289D">
        <w:rPr>
          <w:noProof/>
        </w:rPr>
        <w:tab/>
        <w:t xml:space="preserve">McMahon AD. Approaches to combat with confounding by indication in observational studies of intended drug effects. </w:t>
      </w:r>
      <w:proofErr w:type="spellStart"/>
      <w:proofErr w:type="gramStart"/>
      <w:r w:rsidR="00FE2EBD">
        <w:rPr>
          <w:rFonts w:ascii="Arial" w:hAnsi="Arial" w:cs="Arial"/>
          <w:color w:val="000000"/>
          <w:sz w:val="20"/>
          <w:szCs w:val="20"/>
          <w:shd w:val="clear" w:color="auto" w:fill="FFFFFF"/>
        </w:rPr>
        <w:t>P</w:t>
      </w:r>
      <w:r w:rsidR="00FE2EBD" w:rsidRPr="00FE2EBD">
        <w:rPr>
          <w:noProof/>
        </w:rPr>
        <w:t>harmacoepidemiol</w:t>
      </w:r>
      <w:proofErr w:type="spellEnd"/>
      <w:r w:rsidR="00FE2EBD" w:rsidRPr="00FE2EBD">
        <w:rPr>
          <w:noProof/>
        </w:rPr>
        <w:t> </w:t>
      </w:r>
      <w:r w:rsidR="00FE2EBD" w:rsidRPr="00FE2EBD">
        <w:rPr>
          <w:noProof/>
        </w:rPr>
        <w:t>Drug</w:t>
      </w:r>
      <w:r w:rsidR="00FE2EBD" w:rsidRPr="00FE2EBD">
        <w:rPr>
          <w:noProof/>
        </w:rPr>
        <w:t> </w:t>
      </w:r>
      <w:proofErr w:type="spellStart"/>
      <w:r w:rsidR="00FE2EBD" w:rsidRPr="00FE2EBD">
        <w:rPr>
          <w:noProof/>
        </w:rPr>
        <w:t>Saf</w:t>
      </w:r>
      <w:proofErr w:type="spellEnd"/>
      <w:r w:rsidRPr="00BB289D">
        <w:rPr>
          <w:noProof/>
        </w:rPr>
        <w:t>.</w:t>
      </w:r>
      <w:proofErr w:type="gramEnd"/>
      <w:r w:rsidRPr="00BB289D">
        <w:rPr>
          <w:noProof/>
        </w:rPr>
        <w:t xml:space="preserve"> 2003;12(7):551-8.</w:t>
      </w:r>
    </w:p>
    <w:p w:rsidR="00BB289D" w:rsidRPr="00BB289D" w:rsidRDefault="00BB289D" w:rsidP="00FE2EBD">
      <w:pPr>
        <w:pStyle w:val="EndNoteBibliography"/>
        <w:rPr>
          <w:noProof/>
        </w:rPr>
      </w:pPr>
      <w:r w:rsidRPr="00BB289D">
        <w:rPr>
          <w:noProof/>
        </w:rPr>
        <w:t>17.</w:t>
      </w:r>
      <w:r w:rsidRPr="00BB289D">
        <w:rPr>
          <w:noProof/>
        </w:rPr>
        <w:tab/>
        <w:t xml:space="preserve">Rosenbaum PR. Model-Based Direct Adjustment. </w:t>
      </w:r>
      <w:r w:rsidR="00FE2EBD">
        <w:rPr>
          <w:rFonts w:ascii="Arial" w:hAnsi="Arial" w:cs="Arial"/>
          <w:color w:val="000000"/>
          <w:sz w:val="20"/>
          <w:szCs w:val="20"/>
          <w:shd w:val="clear" w:color="auto" w:fill="FFFFFF"/>
        </w:rPr>
        <w:t>J Am Stat Assoc</w:t>
      </w:r>
      <w:r w:rsidR="00FE2EBD">
        <w:rPr>
          <w:rFonts w:ascii="Arial" w:hAnsi="Arial" w:cs="Arial"/>
          <w:color w:val="000000"/>
          <w:sz w:val="20"/>
          <w:szCs w:val="20"/>
          <w:shd w:val="clear" w:color="auto" w:fill="FFFFFF"/>
        </w:rPr>
        <w:t>.</w:t>
      </w:r>
      <w:r w:rsidRPr="00BB289D">
        <w:rPr>
          <w:noProof/>
        </w:rPr>
        <w:t xml:space="preserve"> 1987;82(398):387-94.</w:t>
      </w:r>
    </w:p>
    <w:p w:rsidR="00BB289D" w:rsidRPr="00BB289D" w:rsidRDefault="00BB289D" w:rsidP="00BB289D">
      <w:pPr>
        <w:pStyle w:val="EndNoteBibliography"/>
        <w:rPr>
          <w:noProof/>
        </w:rPr>
      </w:pPr>
      <w:r w:rsidRPr="00BB289D">
        <w:rPr>
          <w:noProof/>
        </w:rPr>
        <w:t>18.</w:t>
      </w:r>
      <w:r w:rsidRPr="00BB289D">
        <w:rPr>
          <w:noProof/>
        </w:rPr>
        <w:tab/>
        <w:t>Li F, Morgan LK, Zaslavsky AM. Balancing covariates via propensity score weighting. Working paper available at arXiv:14041785. 2014.</w:t>
      </w:r>
    </w:p>
    <w:p w:rsidR="00BB289D" w:rsidRPr="00BB289D" w:rsidRDefault="00BB289D" w:rsidP="008C331E">
      <w:pPr>
        <w:pStyle w:val="EndNoteBibliography"/>
        <w:rPr>
          <w:noProof/>
        </w:rPr>
      </w:pPr>
      <w:r w:rsidRPr="00BB289D">
        <w:rPr>
          <w:noProof/>
        </w:rPr>
        <w:t>19.</w:t>
      </w:r>
      <w:r w:rsidRPr="00BB289D">
        <w:rPr>
          <w:noProof/>
        </w:rPr>
        <w:tab/>
        <w:t>Brookhart MA, Schneeweiss S</w:t>
      </w:r>
      <w:r w:rsidR="008C331E">
        <w:rPr>
          <w:noProof/>
        </w:rPr>
        <w:t>,</w:t>
      </w:r>
      <w:r w:rsidRPr="00BB289D">
        <w:rPr>
          <w:noProof/>
        </w:rPr>
        <w:t xml:space="preserve"> </w:t>
      </w:r>
      <w:r w:rsidR="008C331E">
        <w:rPr>
          <w:noProof/>
        </w:rPr>
        <w:t>R</w:t>
      </w:r>
      <w:r w:rsidRPr="00BB289D">
        <w:rPr>
          <w:noProof/>
        </w:rPr>
        <w:t xml:space="preserve">othman KJ, </w:t>
      </w:r>
      <w:r w:rsidR="008C331E">
        <w:rPr>
          <w:noProof/>
        </w:rPr>
        <w:t>et al</w:t>
      </w:r>
      <w:r w:rsidRPr="00BB289D">
        <w:rPr>
          <w:noProof/>
        </w:rPr>
        <w:t>. Variable selection for propensity sc</w:t>
      </w:r>
      <w:r w:rsidR="008C331E">
        <w:rPr>
          <w:noProof/>
        </w:rPr>
        <w:t xml:space="preserve">ore models. </w:t>
      </w:r>
      <w:hyperlink r:id="rId16" w:tooltip="American journal of epidemiology." w:history="1">
        <w:r w:rsidR="008C331E" w:rsidRPr="008C331E">
          <w:rPr>
            <w:noProof/>
          </w:rPr>
          <w:t>Am J Epidemiol.</w:t>
        </w:r>
      </w:hyperlink>
      <w:r w:rsidR="008C331E" w:rsidRPr="008C331E">
        <w:rPr>
          <w:noProof/>
        </w:rPr>
        <w:t> 2006 Jun 15;1</w:t>
      </w:r>
      <w:r w:rsidR="008C331E">
        <w:rPr>
          <w:noProof/>
        </w:rPr>
        <w:t xml:space="preserve">63(12):1149-56. </w:t>
      </w:r>
    </w:p>
    <w:p w:rsidR="008C331E" w:rsidRPr="008C331E" w:rsidRDefault="00BB289D" w:rsidP="008C331E">
      <w:pPr>
        <w:pStyle w:val="EndNoteBibliography"/>
        <w:rPr>
          <w:noProof/>
        </w:rPr>
      </w:pPr>
      <w:r w:rsidRPr="00BB289D">
        <w:rPr>
          <w:noProof/>
        </w:rPr>
        <w:t>20.</w:t>
      </w:r>
      <w:r w:rsidRPr="00BB289D">
        <w:rPr>
          <w:noProof/>
        </w:rPr>
        <w:tab/>
        <w:t xml:space="preserve">D'Agostino RB, Jr. Propensity score methods for bias reduction in the comparison of a treatment to a non-randomized control group. </w:t>
      </w:r>
      <w:hyperlink r:id="rId17" w:tooltip="Statistics in medicine." w:history="1">
        <w:r w:rsidR="008C331E" w:rsidRPr="008C331E">
          <w:rPr>
            <w:noProof/>
          </w:rPr>
          <w:t>Stat Med.</w:t>
        </w:r>
      </w:hyperlink>
      <w:r w:rsidR="008C331E" w:rsidRPr="008C331E">
        <w:rPr>
          <w:noProof/>
        </w:rPr>
        <w:t> 1998 Oct 15;17(19):2265-81.</w:t>
      </w:r>
    </w:p>
    <w:p w:rsidR="008C331E" w:rsidRPr="008C331E" w:rsidRDefault="00BB289D" w:rsidP="008C331E">
      <w:pPr>
        <w:pStyle w:val="EndNoteBibliography"/>
        <w:rPr>
          <w:noProof/>
        </w:rPr>
      </w:pPr>
      <w:r w:rsidRPr="00BB289D">
        <w:rPr>
          <w:noProof/>
        </w:rPr>
        <w:t>21.</w:t>
      </w:r>
      <w:r w:rsidRPr="00BB289D">
        <w:rPr>
          <w:noProof/>
        </w:rPr>
        <w:tab/>
        <w:t>Shadish WR, Galindo R</w:t>
      </w:r>
      <w:r w:rsidR="008C331E">
        <w:rPr>
          <w:noProof/>
        </w:rPr>
        <w:t>,</w:t>
      </w:r>
      <w:r w:rsidRPr="00BB289D">
        <w:rPr>
          <w:noProof/>
        </w:rPr>
        <w:t xml:space="preserve"> Wong VC, </w:t>
      </w:r>
      <w:r w:rsidR="008C331E">
        <w:rPr>
          <w:noProof/>
        </w:rPr>
        <w:t>et al</w:t>
      </w:r>
      <w:r w:rsidRPr="00BB289D">
        <w:rPr>
          <w:noProof/>
        </w:rPr>
        <w:t xml:space="preserve">. A randomized experiment comparing random and cutoff-based assignment. </w:t>
      </w:r>
      <w:hyperlink r:id="rId18" w:tooltip="Psychological methods." w:history="1">
        <w:r w:rsidR="008C331E" w:rsidRPr="008C331E">
          <w:rPr>
            <w:noProof/>
          </w:rPr>
          <w:t>Psychol Methods.</w:t>
        </w:r>
      </w:hyperlink>
      <w:r w:rsidR="008C331E" w:rsidRPr="008C331E">
        <w:rPr>
          <w:noProof/>
        </w:rPr>
        <w:t> 2011 Jun;16(2):179-91. doi: 10.1037/a0023345.</w:t>
      </w:r>
    </w:p>
    <w:p w:rsidR="00BB289D" w:rsidRPr="00BB289D" w:rsidRDefault="00234F5F" w:rsidP="00234F5F">
      <w:pPr>
        <w:pStyle w:val="EndNoteBibliography"/>
        <w:rPr>
          <w:noProof/>
        </w:rPr>
      </w:pPr>
      <w:r>
        <w:rPr>
          <w:noProof/>
        </w:rPr>
        <w:t>22.</w:t>
      </w:r>
      <w:r>
        <w:rPr>
          <w:noProof/>
        </w:rPr>
        <w:tab/>
        <w:t>Weitzen S, Lapane Kl, Toledano A, et al</w:t>
      </w:r>
      <w:r w:rsidR="00BB289D" w:rsidRPr="00BB289D">
        <w:rPr>
          <w:noProof/>
        </w:rPr>
        <w:t>. Principles for modeling propensity scores in medical research: a</w:t>
      </w:r>
      <w:r>
        <w:rPr>
          <w:noProof/>
        </w:rPr>
        <w:t xml:space="preserve"> systematic literature review. </w:t>
      </w:r>
      <w:hyperlink r:id="rId19" w:tooltip="Pharmacoepidemiology and drug safety." w:history="1">
        <w:r w:rsidRPr="00234F5F">
          <w:rPr>
            <w:noProof/>
          </w:rPr>
          <w:t>Pharmacoepidemiol Drug Saf.</w:t>
        </w:r>
      </w:hyperlink>
      <w:r w:rsidRPr="00234F5F">
        <w:rPr>
          <w:noProof/>
        </w:rPr>
        <w:t> 2004 Dec;13(12):841-53</w:t>
      </w:r>
    </w:p>
    <w:p w:rsidR="00234F5F" w:rsidRPr="00234F5F" w:rsidRDefault="00BB289D" w:rsidP="00234F5F">
      <w:pPr>
        <w:pStyle w:val="EndNoteBibliography"/>
        <w:rPr>
          <w:noProof/>
        </w:rPr>
      </w:pPr>
      <w:r w:rsidRPr="00BB289D">
        <w:rPr>
          <w:noProof/>
        </w:rPr>
        <w:t>23.</w:t>
      </w:r>
      <w:r w:rsidRPr="00BB289D">
        <w:rPr>
          <w:noProof/>
        </w:rPr>
        <w:tab/>
        <w:t>Francis NA, Gillespie D</w:t>
      </w:r>
      <w:r w:rsidR="00234F5F">
        <w:rPr>
          <w:noProof/>
        </w:rPr>
        <w:t>,</w:t>
      </w:r>
      <w:r w:rsidRPr="00BB289D">
        <w:rPr>
          <w:noProof/>
        </w:rPr>
        <w:t xml:space="preserve"> Nuttall J,</w:t>
      </w:r>
      <w:r w:rsidR="00234F5F">
        <w:rPr>
          <w:noProof/>
        </w:rPr>
        <w:t xml:space="preserve"> </w:t>
      </w:r>
      <w:r w:rsidRPr="00BB289D">
        <w:rPr>
          <w:noProof/>
        </w:rPr>
        <w:t>et al. Antibiotics for acute cough: an international observational study of patient adherence in primary care.</w:t>
      </w:r>
      <w:r w:rsidR="00234F5F" w:rsidRPr="002F30CC">
        <w:rPr>
          <w:noProof/>
        </w:rPr>
        <w:t xml:space="preserve"> </w:t>
      </w:r>
      <w:hyperlink r:id="rId20" w:tooltip="The British journal of general practice : the journal of the Royal College of General Practitioners." w:history="1">
        <w:r w:rsidR="00234F5F" w:rsidRPr="00234F5F">
          <w:rPr>
            <w:noProof/>
          </w:rPr>
          <w:t>Br J Gen Pract.</w:t>
        </w:r>
      </w:hyperlink>
      <w:r w:rsidR="00234F5F" w:rsidRPr="00234F5F">
        <w:rPr>
          <w:noProof/>
        </w:rPr>
        <w:t> 2012 Jun;62(599):e429-37. doi: 10.3399/bjgp12X649124.</w:t>
      </w:r>
    </w:p>
    <w:p w:rsidR="00BB289D" w:rsidRPr="00BB289D" w:rsidRDefault="00BB289D" w:rsidP="00FE2EBD">
      <w:pPr>
        <w:pStyle w:val="EndNoteBibliography"/>
        <w:rPr>
          <w:noProof/>
        </w:rPr>
      </w:pPr>
      <w:r w:rsidRPr="00BB289D">
        <w:rPr>
          <w:noProof/>
        </w:rPr>
        <w:t>24.</w:t>
      </w:r>
      <w:r w:rsidRPr="00BB289D">
        <w:rPr>
          <w:noProof/>
        </w:rPr>
        <w:tab/>
        <w:t xml:space="preserve">Li F, Zaslavsky AM, Landrum MB. Propensity Score Weighting with Multilevel Data. </w:t>
      </w:r>
      <w:hyperlink r:id="rId21" w:tooltip="Statistics in medicine." w:history="1">
        <w:r w:rsidR="00FE2EBD" w:rsidRPr="008C331E">
          <w:rPr>
            <w:noProof/>
          </w:rPr>
          <w:t>Stat Med.</w:t>
        </w:r>
      </w:hyperlink>
      <w:r w:rsidRPr="00BB289D">
        <w:rPr>
          <w:noProof/>
        </w:rPr>
        <w:t xml:space="preserve"> 2013;32(19):3373-87.</w:t>
      </w:r>
    </w:p>
    <w:p w:rsidR="00BB289D" w:rsidRPr="00BB289D" w:rsidRDefault="00234F5F" w:rsidP="00234F5F">
      <w:pPr>
        <w:pStyle w:val="EndNoteBibliography"/>
        <w:rPr>
          <w:noProof/>
        </w:rPr>
      </w:pPr>
      <w:r>
        <w:rPr>
          <w:noProof/>
        </w:rPr>
        <w:t>25.</w:t>
      </w:r>
      <w:r>
        <w:rPr>
          <w:noProof/>
        </w:rPr>
        <w:tab/>
        <w:t xml:space="preserve">Normand ST, Landrum M, Guadagnoli E, </w:t>
      </w:r>
      <w:r w:rsidR="00BB289D" w:rsidRPr="00BB289D">
        <w:rPr>
          <w:noProof/>
        </w:rPr>
        <w:t xml:space="preserve">et al. Validating recommendations for coronary angiography following acute myocardial infarction in the elderly: a matched analysis using propensity scores. </w:t>
      </w:r>
      <w:hyperlink r:id="rId22" w:tooltip="Journal of clinical epidemiology." w:history="1">
        <w:r w:rsidRPr="00234F5F">
          <w:rPr>
            <w:noProof/>
          </w:rPr>
          <w:t>J Clin Epidemiol.</w:t>
        </w:r>
      </w:hyperlink>
      <w:r w:rsidRPr="00234F5F">
        <w:rPr>
          <w:noProof/>
        </w:rPr>
        <w:t> 2001 Apr;54(4):387-98.</w:t>
      </w:r>
    </w:p>
    <w:p w:rsidR="00BB289D" w:rsidRPr="00BB289D" w:rsidRDefault="00BB289D" w:rsidP="00BB289D">
      <w:pPr>
        <w:pStyle w:val="EndNoteBibliography"/>
        <w:rPr>
          <w:noProof/>
        </w:rPr>
      </w:pPr>
      <w:r w:rsidRPr="00BB289D">
        <w:rPr>
          <w:noProof/>
        </w:rPr>
        <w:lastRenderedPageBreak/>
        <w:t>26.</w:t>
      </w:r>
      <w:r w:rsidRPr="00BB289D">
        <w:rPr>
          <w:noProof/>
        </w:rPr>
        <w:tab/>
        <w:t xml:space="preserve">Harder VS, Stuart EA, Anthony JC. Propensity score techniques and the assessment of measured covariate balance to test causal associations in psychological research. </w:t>
      </w:r>
      <w:r w:rsidR="00420942" w:rsidRPr="00420942">
        <w:rPr>
          <w:noProof/>
        </w:rPr>
        <w:t>Psycho</w:t>
      </w:r>
      <w:r w:rsidRPr="00420942">
        <w:rPr>
          <w:noProof/>
        </w:rPr>
        <w:t>l methods.</w:t>
      </w:r>
      <w:r w:rsidRPr="00BB289D">
        <w:rPr>
          <w:noProof/>
        </w:rPr>
        <w:t xml:space="preserve"> 2010;15(3):234-49.</w:t>
      </w:r>
    </w:p>
    <w:p w:rsidR="00BB289D" w:rsidRPr="00BB289D" w:rsidRDefault="00BB289D" w:rsidP="00420942">
      <w:pPr>
        <w:pStyle w:val="EndNoteBibliography"/>
        <w:rPr>
          <w:noProof/>
        </w:rPr>
      </w:pPr>
      <w:r w:rsidRPr="00BB289D">
        <w:rPr>
          <w:noProof/>
        </w:rPr>
        <w:t>27.</w:t>
      </w:r>
      <w:r w:rsidRPr="00BB289D">
        <w:rPr>
          <w:noProof/>
        </w:rPr>
        <w:tab/>
        <w:t xml:space="preserve">An W. BAYESIAN PROPENSITY SCORE ESTIMATORS: INCORPORATING UNCERTAINTIES IN PROPENSITY SCORES INTO CAUSAL INFERENCE. </w:t>
      </w:r>
      <w:proofErr w:type="spellStart"/>
      <w:r w:rsidR="00420942">
        <w:rPr>
          <w:rFonts w:ascii="Arial" w:hAnsi="Arial" w:cs="Arial"/>
          <w:color w:val="000000"/>
          <w:sz w:val="20"/>
          <w:szCs w:val="20"/>
          <w:shd w:val="clear" w:color="auto" w:fill="FFFFFF"/>
        </w:rPr>
        <w:t>S</w:t>
      </w:r>
      <w:bookmarkStart w:id="3" w:name="_GoBack"/>
      <w:r w:rsidR="00420942" w:rsidRPr="00420942">
        <w:rPr>
          <w:noProof/>
        </w:rPr>
        <w:t>ociol</w:t>
      </w:r>
      <w:proofErr w:type="spellEnd"/>
      <w:r w:rsidR="00420942" w:rsidRPr="00420942">
        <w:rPr>
          <w:noProof/>
        </w:rPr>
        <w:t xml:space="preserve"> </w:t>
      </w:r>
      <w:proofErr w:type="spellStart"/>
      <w:r w:rsidR="00420942" w:rsidRPr="00420942">
        <w:rPr>
          <w:noProof/>
        </w:rPr>
        <w:t>Methodol</w:t>
      </w:r>
      <w:proofErr w:type="spellEnd"/>
      <w:r w:rsidR="00420942" w:rsidRPr="00420942">
        <w:rPr>
          <w:noProof/>
        </w:rPr>
        <w:t>.</w:t>
      </w:r>
      <w:bookmarkEnd w:id="3"/>
      <w:r w:rsidRPr="00BB289D">
        <w:rPr>
          <w:noProof/>
        </w:rPr>
        <w:t xml:space="preserve"> 2010;40:151-89.</w:t>
      </w:r>
    </w:p>
    <w:p w:rsidR="00BB289D" w:rsidRPr="00BB289D" w:rsidRDefault="00BB289D" w:rsidP="002F30CC">
      <w:pPr>
        <w:pStyle w:val="EndNoteBibliography"/>
        <w:rPr>
          <w:noProof/>
        </w:rPr>
      </w:pPr>
      <w:r w:rsidRPr="00BB289D">
        <w:rPr>
          <w:noProof/>
        </w:rPr>
        <w:t>28.</w:t>
      </w:r>
      <w:r w:rsidRPr="00BB289D">
        <w:rPr>
          <w:noProof/>
        </w:rPr>
        <w:tab/>
        <w:t>McCandless LC</w:t>
      </w:r>
      <w:r w:rsidR="002F30CC">
        <w:rPr>
          <w:noProof/>
        </w:rPr>
        <w:t xml:space="preserve">, </w:t>
      </w:r>
      <w:r w:rsidR="002F30CC" w:rsidRPr="002F30CC">
        <w:rPr>
          <w:noProof/>
        </w:rPr>
        <w:t> </w:t>
      </w:r>
      <w:hyperlink r:id="rId23" w:history="1">
        <w:r w:rsidR="002F30CC" w:rsidRPr="002F30CC">
          <w:rPr>
            <w:noProof/>
          </w:rPr>
          <w:t>Gustafson P</w:t>
        </w:r>
      </w:hyperlink>
      <w:r w:rsidR="002F30CC" w:rsidRPr="002F30CC">
        <w:rPr>
          <w:noProof/>
        </w:rPr>
        <w:t>, </w:t>
      </w:r>
      <w:hyperlink r:id="rId24" w:history="1">
        <w:r w:rsidR="002F30CC" w:rsidRPr="002F30CC">
          <w:rPr>
            <w:noProof/>
          </w:rPr>
          <w:t>Austin PC</w:t>
        </w:r>
      </w:hyperlink>
      <w:r w:rsidR="002F30CC" w:rsidRPr="002F30CC">
        <w:rPr>
          <w:noProof/>
        </w:rPr>
        <w:t>.</w:t>
      </w:r>
      <w:r w:rsidRPr="00BB289D">
        <w:rPr>
          <w:noProof/>
        </w:rPr>
        <w:t xml:space="preserve">. Bayesian propensity score analysis of observational data </w:t>
      </w:r>
      <w:r w:rsidR="002F30CC">
        <w:rPr>
          <w:noProof/>
        </w:rPr>
        <w:t xml:space="preserve">. </w:t>
      </w:r>
      <w:hyperlink r:id="rId25" w:tooltip="Statistics in medicine." w:history="1">
        <w:r w:rsidR="002F30CC" w:rsidRPr="002F30CC">
          <w:rPr>
            <w:noProof/>
          </w:rPr>
          <w:t>Stat Med.</w:t>
        </w:r>
      </w:hyperlink>
      <w:r w:rsidR="002F30CC" w:rsidRPr="002F30CC">
        <w:rPr>
          <w:noProof/>
        </w:rPr>
        <w:t> 2009 Jan 15;28(1):94-112. doi: 10.1002/sim.3460.</w:t>
      </w:r>
      <w:r w:rsidR="002F30CC" w:rsidRPr="00BB289D">
        <w:rPr>
          <w:noProof/>
        </w:rPr>
        <w:t xml:space="preserve"> </w:t>
      </w:r>
    </w:p>
    <w:p w:rsidR="00BB289D" w:rsidRPr="00BB289D" w:rsidRDefault="00BB289D" w:rsidP="002F30CC">
      <w:pPr>
        <w:pStyle w:val="EndNoteBibliography"/>
        <w:rPr>
          <w:noProof/>
        </w:rPr>
      </w:pPr>
      <w:r w:rsidRPr="00BB289D">
        <w:rPr>
          <w:noProof/>
        </w:rPr>
        <w:t>29.</w:t>
      </w:r>
      <w:r w:rsidRPr="00BB289D">
        <w:rPr>
          <w:noProof/>
        </w:rPr>
        <w:tab/>
        <w:t>Williamson EJ, Morley R</w:t>
      </w:r>
      <w:r w:rsidR="002F30CC">
        <w:rPr>
          <w:noProof/>
        </w:rPr>
        <w:t>,</w:t>
      </w:r>
      <w:r w:rsidRPr="00BB289D">
        <w:rPr>
          <w:noProof/>
        </w:rPr>
        <w:t xml:space="preserve"> Lucas A</w:t>
      </w:r>
      <w:r w:rsidR="002F30CC">
        <w:rPr>
          <w:noProof/>
        </w:rPr>
        <w:t>, et al</w:t>
      </w:r>
      <w:r w:rsidRPr="00BB289D">
        <w:rPr>
          <w:noProof/>
        </w:rPr>
        <w:t xml:space="preserve">. Variance estimation for stratified propensity score estimators. </w:t>
      </w:r>
      <w:hyperlink r:id="rId26" w:tooltip="Statistics in medicine." w:history="1">
        <w:r w:rsidR="002F30CC" w:rsidRPr="002F30CC">
          <w:rPr>
            <w:noProof/>
          </w:rPr>
          <w:t>Stat Med.</w:t>
        </w:r>
      </w:hyperlink>
      <w:r w:rsidR="002F30CC" w:rsidRPr="002F30CC">
        <w:rPr>
          <w:noProof/>
        </w:rPr>
        <w:t> 2012 Jul 10;31(15):1617-32. doi: 10.1002/sim.4504</w:t>
      </w:r>
    </w:p>
    <w:p w:rsidR="00FE78FC" w:rsidRPr="00EC6441" w:rsidRDefault="00A0605E" w:rsidP="00BB289D">
      <w:pPr>
        <w:rPr>
          <w:rFonts w:ascii="Arial" w:hAnsi="Arial"/>
          <w:sz w:val="20"/>
          <w:szCs w:val="20"/>
        </w:rPr>
      </w:pPr>
      <w:r w:rsidRPr="002F30CC">
        <w:rPr>
          <w:rFonts w:cs="Calibri"/>
          <w:bCs/>
          <w:noProof/>
        </w:rPr>
        <w:fldChar w:fldCharType="end"/>
      </w:r>
    </w:p>
    <w:sectPr w:rsidR="00FE78FC" w:rsidRPr="00EC64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18Óˇøî{Â'1">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5712"/>
    <w:multiLevelType w:val="multilevel"/>
    <w:tmpl w:val="0B40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CB50ED"/>
    <w:multiLevelType w:val="hybridMultilevel"/>
    <w:tmpl w:val="BBA40EBE"/>
    <w:lvl w:ilvl="0" w:tplc="3FAE56A8">
      <w:start w:val="1"/>
      <w:numFmt w:val="decimal"/>
      <w:lvlText w:val="%1."/>
      <w:lvlJc w:val="left"/>
      <w:pPr>
        <w:ind w:left="720" w:hanging="360"/>
      </w:pPr>
      <w:rPr>
        <w:rFonts w:ascii="Calibri" w:eastAsia="SimSun" w:hAnsi="Calibri" w:cs="Arial"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63B1916"/>
    <w:multiLevelType w:val="hybridMultilevel"/>
    <w:tmpl w:val="5372D336"/>
    <w:lvl w:ilvl="0" w:tplc="4CD052FA">
      <w:start w:val="1"/>
      <w:numFmt w:val="decimal"/>
      <w:lvlText w:val="%1."/>
      <w:lvlJc w:val="left"/>
      <w:pPr>
        <w:ind w:hanging="360"/>
      </w:pPr>
      <w:rPr>
        <w:rFonts w:ascii="Calibri" w:eastAsia="Calibri" w:hAnsi="Calibri" w:hint="default"/>
        <w:sz w:val="22"/>
        <w:szCs w:val="22"/>
      </w:rPr>
    </w:lvl>
    <w:lvl w:ilvl="1" w:tplc="A684C2D4">
      <w:start w:val="1"/>
      <w:numFmt w:val="bullet"/>
      <w:lvlText w:val="•"/>
      <w:lvlJc w:val="left"/>
      <w:rPr>
        <w:rFonts w:hint="default"/>
      </w:rPr>
    </w:lvl>
    <w:lvl w:ilvl="2" w:tplc="CF72C37C">
      <w:start w:val="1"/>
      <w:numFmt w:val="bullet"/>
      <w:lvlText w:val="•"/>
      <w:lvlJc w:val="left"/>
      <w:rPr>
        <w:rFonts w:hint="default"/>
      </w:rPr>
    </w:lvl>
    <w:lvl w:ilvl="3" w:tplc="E39EC814">
      <w:start w:val="1"/>
      <w:numFmt w:val="bullet"/>
      <w:lvlText w:val="•"/>
      <w:lvlJc w:val="left"/>
      <w:rPr>
        <w:rFonts w:hint="default"/>
      </w:rPr>
    </w:lvl>
    <w:lvl w:ilvl="4" w:tplc="1B48F846">
      <w:start w:val="1"/>
      <w:numFmt w:val="bullet"/>
      <w:lvlText w:val="•"/>
      <w:lvlJc w:val="left"/>
      <w:rPr>
        <w:rFonts w:hint="default"/>
      </w:rPr>
    </w:lvl>
    <w:lvl w:ilvl="5" w:tplc="3906FB6A">
      <w:start w:val="1"/>
      <w:numFmt w:val="bullet"/>
      <w:lvlText w:val="•"/>
      <w:lvlJc w:val="left"/>
      <w:rPr>
        <w:rFonts w:hint="default"/>
      </w:rPr>
    </w:lvl>
    <w:lvl w:ilvl="6" w:tplc="D4D47D2E">
      <w:start w:val="1"/>
      <w:numFmt w:val="bullet"/>
      <w:lvlText w:val="•"/>
      <w:lvlJc w:val="left"/>
      <w:rPr>
        <w:rFonts w:hint="default"/>
      </w:rPr>
    </w:lvl>
    <w:lvl w:ilvl="7" w:tplc="C200EDBC">
      <w:start w:val="1"/>
      <w:numFmt w:val="bullet"/>
      <w:lvlText w:val="•"/>
      <w:lvlJc w:val="left"/>
      <w:rPr>
        <w:rFonts w:hint="default"/>
      </w:rPr>
    </w:lvl>
    <w:lvl w:ilvl="8" w:tplc="D5D01EDE">
      <w:start w:val="1"/>
      <w:numFmt w:val="bullet"/>
      <w:lvlText w:val="•"/>
      <w:lvlJc w:val="left"/>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pw95t5w0xp909ezfw65w0xu5frzw2255vtd&quot;&gt;References - prop score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record-ids&gt;&lt;/item&gt;&lt;/Libraries&gt;"/>
  </w:docVars>
  <w:rsids>
    <w:rsidRoot w:val="000E5C12"/>
    <w:rsid w:val="000029FF"/>
    <w:rsid w:val="00013C29"/>
    <w:rsid w:val="0001546F"/>
    <w:rsid w:val="00017BDD"/>
    <w:rsid w:val="000215BB"/>
    <w:rsid w:val="00022961"/>
    <w:rsid w:val="000234E9"/>
    <w:rsid w:val="00023E79"/>
    <w:rsid w:val="0002677D"/>
    <w:rsid w:val="000273C0"/>
    <w:rsid w:val="00032AA6"/>
    <w:rsid w:val="000331B8"/>
    <w:rsid w:val="000360C1"/>
    <w:rsid w:val="000406E1"/>
    <w:rsid w:val="00050B40"/>
    <w:rsid w:val="00067D22"/>
    <w:rsid w:val="00082B9D"/>
    <w:rsid w:val="00086338"/>
    <w:rsid w:val="000871A6"/>
    <w:rsid w:val="00091637"/>
    <w:rsid w:val="000B3508"/>
    <w:rsid w:val="000B7EA4"/>
    <w:rsid w:val="000C01C1"/>
    <w:rsid w:val="000C1F69"/>
    <w:rsid w:val="000C77BB"/>
    <w:rsid w:val="000D4416"/>
    <w:rsid w:val="000D4A07"/>
    <w:rsid w:val="000E5C12"/>
    <w:rsid w:val="000E6A0D"/>
    <w:rsid w:val="000F0FF4"/>
    <w:rsid w:val="00104220"/>
    <w:rsid w:val="00117F4D"/>
    <w:rsid w:val="00122A94"/>
    <w:rsid w:val="00127405"/>
    <w:rsid w:val="00131B61"/>
    <w:rsid w:val="00156A31"/>
    <w:rsid w:val="0017479F"/>
    <w:rsid w:val="001815F0"/>
    <w:rsid w:val="001F1263"/>
    <w:rsid w:val="00206E78"/>
    <w:rsid w:val="00213ED6"/>
    <w:rsid w:val="00217493"/>
    <w:rsid w:val="0023094B"/>
    <w:rsid w:val="00231965"/>
    <w:rsid w:val="00234F5F"/>
    <w:rsid w:val="00243EDD"/>
    <w:rsid w:val="00255027"/>
    <w:rsid w:val="002709AA"/>
    <w:rsid w:val="002748A6"/>
    <w:rsid w:val="00293A6A"/>
    <w:rsid w:val="002A2CEB"/>
    <w:rsid w:val="002A6125"/>
    <w:rsid w:val="002A69B4"/>
    <w:rsid w:val="002B3521"/>
    <w:rsid w:val="002C084D"/>
    <w:rsid w:val="002C6094"/>
    <w:rsid w:val="002D5BBB"/>
    <w:rsid w:val="002E3630"/>
    <w:rsid w:val="002F30CC"/>
    <w:rsid w:val="002F5D6F"/>
    <w:rsid w:val="0031388E"/>
    <w:rsid w:val="00317A87"/>
    <w:rsid w:val="003230DF"/>
    <w:rsid w:val="0034307F"/>
    <w:rsid w:val="00360920"/>
    <w:rsid w:val="00371F5A"/>
    <w:rsid w:val="0037697D"/>
    <w:rsid w:val="0039427B"/>
    <w:rsid w:val="00394E48"/>
    <w:rsid w:val="003A4717"/>
    <w:rsid w:val="003B2C30"/>
    <w:rsid w:val="003C281C"/>
    <w:rsid w:val="003F4EC8"/>
    <w:rsid w:val="003F4FDD"/>
    <w:rsid w:val="004001A5"/>
    <w:rsid w:val="00400785"/>
    <w:rsid w:val="00400A37"/>
    <w:rsid w:val="004040F4"/>
    <w:rsid w:val="00420942"/>
    <w:rsid w:val="00423BF5"/>
    <w:rsid w:val="00426F1D"/>
    <w:rsid w:val="00430AD1"/>
    <w:rsid w:val="0046407F"/>
    <w:rsid w:val="00470E60"/>
    <w:rsid w:val="00471B39"/>
    <w:rsid w:val="00474CE5"/>
    <w:rsid w:val="00490C68"/>
    <w:rsid w:val="004A68A1"/>
    <w:rsid w:val="004B363F"/>
    <w:rsid w:val="004B4FF1"/>
    <w:rsid w:val="004C6062"/>
    <w:rsid w:val="004D7D68"/>
    <w:rsid w:val="004E1CB8"/>
    <w:rsid w:val="004E20CF"/>
    <w:rsid w:val="004E3AB7"/>
    <w:rsid w:val="004F07B1"/>
    <w:rsid w:val="004F15E4"/>
    <w:rsid w:val="00512613"/>
    <w:rsid w:val="0051573C"/>
    <w:rsid w:val="00534A41"/>
    <w:rsid w:val="0054310B"/>
    <w:rsid w:val="0054629A"/>
    <w:rsid w:val="00572944"/>
    <w:rsid w:val="00574D96"/>
    <w:rsid w:val="0058191E"/>
    <w:rsid w:val="00594029"/>
    <w:rsid w:val="005A4C28"/>
    <w:rsid w:val="005A59E7"/>
    <w:rsid w:val="005B5563"/>
    <w:rsid w:val="005D10E7"/>
    <w:rsid w:val="005D158C"/>
    <w:rsid w:val="005D2E88"/>
    <w:rsid w:val="005D7555"/>
    <w:rsid w:val="005E647C"/>
    <w:rsid w:val="005F2090"/>
    <w:rsid w:val="00602892"/>
    <w:rsid w:val="00603E90"/>
    <w:rsid w:val="00606738"/>
    <w:rsid w:val="00606F0C"/>
    <w:rsid w:val="00610DE0"/>
    <w:rsid w:val="00617855"/>
    <w:rsid w:val="006471B1"/>
    <w:rsid w:val="00651277"/>
    <w:rsid w:val="00652A90"/>
    <w:rsid w:val="00652B8F"/>
    <w:rsid w:val="00653CDA"/>
    <w:rsid w:val="00666AC5"/>
    <w:rsid w:val="00681839"/>
    <w:rsid w:val="00681D8D"/>
    <w:rsid w:val="00683EA4"/>
    <w:rsid w:val="006910CF"/>
    <w:rsid w:val="006956CD"/>
    <w:rsid w:val="006B151E"/>
    <w:rsid w:val="006B7DFB"/>
    <w:rsid w:val="006D1BD4"/>
    <w:rsid w:val="006D53B2"/>
    <w:rsid w:val="006E1CE1"/>
    <w:rsid w:val="006E6CDE"/>
    <w:rsid w:val="00706D75"/>
    <w:rsid w:val="0072166C"/>
    <w:rsid w:val="007223CB"/>
    <w:rsid w:val="0074549D"/>
    <w:rsid w:val="0075356E"/>
    <w:rsid w:val="00754D25"/>
    <w:rsid w:val="00756BB5"/>
    <w:rsid w:val="00756D6F"/>
    <w:rsid w:val="00764FBD"/>
    <w:rsid w:val="007720AA"/>
    <w:rsid w:val="00776561"/>
    <w:rsid w:val="007836CA"/>
    <w:rsid w:val="00783C6B"/>
    <w:rsid w:val="0079246C"/>
    <w:rsid w:val="007A1A32"/>
    <w:rsid w:val="007B4C25"/>
    <w:rsid w:val="007D439B"/>
    <w:rsid w:val="007D51BE"/>
    <w:rsid w:val="007D5DC5"/>
    <w:rsid w:val="007F37AC"/>
    <w:rsid w:val="007F5E73"/>
    <w:rsid w:val="00813320"/>
    <w:rsid w:val="00815B6C"/>
    <w:rsid w:val="00831A34"/>
    <w:rsid w:val="0083292E"/>
    <w:rsid w:val="00853426"/>
    <w:rsid w:val="00853DDB"/>
    <w:rsid w:val="00864D2C"/>
    <w:rsid w:val="00870302"/>
    <w:rsid w:val="00874773"/>
    <w:rsid w:val="00880249"/>
    <w:rsid w:val="00881C27"/>
    <w:rsid w:val="00893AEE"/>
    <w:rsid w:val="008A47A1"/>
    <w:rsid w:val="008A6594"/>
    <w:rsid w:val="008B01D3"/>
    <w:rsid w:val="008B0839"/>
    <w:rsid w:val="008B77D8"/>
    <w:rsid w:val="008B7CC1"/>
    <w:rsid w:val="008C331E"/>
    <w:rsid w:val="008D2073"/>
    <w:rsid w:val="008E1EEE"/>
    <w:rsid w:val="008E3857"/>
    <w:rsid w:val="008F0299"/>
    <w:rsid w:val="008F5E70"/>
    <w:rsid w:val="00906541"/>
    <w:rsid w:val="00917E57"/>
    <w:rsid w:val="00921CD5"/>
    <w:rsid w:val="009223B8"/>
    <w:rsid w:val="009306B1"/>
    <w:rsid w:val="00931AFC"/>
    <w:rsid w:val="00934232"/>
    <w:rsid w:val="00934484"/>
    <w:rsid w:val="0094194F"/>
    <w:rsid w:val="00941DDA"/>
    <w:rsid w:val="009500EB"/>
    <w:rsid w:val="009567F0"/>
    <w:rsid w:val="00962380"/>
    <w:rsid w:val="00963FBC"/>
    <w:rsid w:val="00982B89"/>
    <w:rsid w:val="00987C24"/>
    <w:rsid w:val="0099268B"/>
    <w:rsid w:val="009A651D"/>
    <w:rsid w:val="009B22BA"/>
    <w:rsid w:val="009B31DF"/>
    <w:rsid w:val="009B3312"/>
    <w:rsid w:val="009C29BF"/>
    <w:rsid w:val="009C2C67"/>
    <w:rsid w:val="009C65AB"/>
    <w:rsid w:val="009E416C"/>
    <w:rsid w:val="009F0495"/>
    <w:rsid w:val="009F0F54"/>
    <w:rsid w:val="009F49C8"/>
    <w:rsid w:val="009F53A3"/>
    <w:rsid w:val="00A0191C"/>
    <w:rsid w:val="00A0605E"/>
    <w:rsid w:val="00A16DB6"/>
    <w:rsid w:val="00A473FF"/>
    <w:rsid w:val="00A61B23"/>
    <w:rsid w:val="00A62924"/>
    <w:rsid w:val="00A73430"/>
    <w:rsid w:val="00A83B2A"/>
    <w:rsid w:val="00A84EA9"/>
    <w:rsid w:val="00A933C6"/>
    <w:rsid w:val="00AD35AD"/>
    <w:rsid w:val="00AD35D6"/>
    <w:rsid w:val="00AE57F8"/>
    <w:rsid w:val="00B00F55"/>
    <w:rsid w:val="00B07154"/>
    <w:rsid w:val="00B13597"/>
    <w:rsid w:val="00B225BA"/>
    <w:rsid w:val="00B22B77"/>
    <w:rsid w:val="00B26571"/>
    <w:rsid w:val="00B30EBF"/>
    <w:rsid w:val="00B31C3F"/>
    <w:rsid w:val="00B33A43"/>
    <w:rsid w:val="00B5354E"/>
    <w:rsid w:val="00B54324"/>
    <w:rsid w:val="00B548A8"/>
    <w:rsid w:val="00B5582D"/>
    <w:rsid w:val="00B579B3"/>
    <w:rsid w:val="00B57FD3"/>
    <w:rsid w:val="00B6375F"/>
    <w:rsid w:val="00B64DA4"/>
    <w:rsid w:val="00BA2642"/>
    <w:rsid w:val="00BA433F"/>
    <w:rsid w:val="00BA466E"/>
    <w:rsid w:val="00BB0125"/>
    <w:rsid w:val="00BB289D"/>
    <w:rsid w:val="00BB4E7B"/>
    <w:rsid w:val="00BB656A"/>
    <w:rsid w:val="00BD255E"/>
    <w:rsid w:val="00BE38D3"/>
    <w:rsid w:val="00BF3B83"/>
    <w:rsid w:val="00BF6074"/>
    <w:rsid w:val="00BF6946"/>
    <w:rsid w:val="00C03239"/>
    <w:rsid w:val="00C03A0A"/>
    <w:rsid w:val="00C113CA"/>
    <w:rsid w:val="00C1255D"/>
    <w:rsid w:val="00C20310"/>
    <w:rsid w:val="00C27CFB"/>
    <w:rsid w:val="00C37481"/>
    <w:rsid w:val="00C4075B"/>
    <w:rsid w:val="00C4413B"/>
    <w:rsid w:val="00C52163"/>
    <w:rsid w:val="00C553B9"/>
    <w:rsid w:val="00C7396E"/>
    <w:rsid w:val="00C74583"/>
    <w:rsid w:val="00CB1C1D"/>
    <w:rsid w:val="00CC1D18"/>
    <w:rsid w:val="00CD7CDD"/>
    <w:rsid w:val="00CE56DF"/>
    <w:rsid w:val="00CE7227"/>
    <w:rsid w:val="00CF1028"/>
    <w:rsid w:val="00CF2668"/>
    <w:rsid w:val="00CF3B87"/>
    <w:rsid w:val="00D05482"/>
    <w:rsid w:val="00D06BC8"/>
    <w:rsid w:val="00D13E54"/>
    <w:rsid w:val="00D4223D"/>
    <w:rsid w:val="00D4289F"/>
    <w:rsid w:val="00D6144B"/>
    <w:rsid w:val="00D71D53"/>
    <w:rsid w:val="00D73A71"/>
    <w:rsid w:val="00D75544"/>
    <w:rsid w:val="00D826CE"/>
    <w:rsid w:val="00D85E93"/>
    <w:rsid w:val="00D90B79"/>
    <w:rsid w:val="00D95367"/>
    <w:rsid w:val="00DB039C"/>
    <w:rsid w:val="00DB38DB"/>
    <w:rsid w:val="00DC6EEA"/>
    <w:rsid w:val="00DC7C0E"/>
    <w:rsid w:val="00DF2CB6"/>
    <w:rsid w:val="00E0122C"/>
    <w:rsid w:val="00E02895"/>
    <w:rsid w:val="00E03D90"/>
    <w:rsid w:val="00E03F90"/>
    <w:rsid w:val="00E16B5A"/>
    <w:rsid w:val="00E36261"/>
    <w:rsid w:val="00E4488B"/>
    <w:rsid w:val="00E50F0A"/>
    <w:rsid w:val="00E559D1"/>
    <w:rsid w:val="00E60C5B"/>
    <w:rsid w:val="00E6177B"/>
    <w:rsid w:val="00E61F4B"/>
    <w:rsid w:val="00E71D25"/>
    <w:rsid w:val="00E74A47"/>
    <w:rsid w:val="00E83957"/>
    <w:rsid w:val="00E95AC4"/>
    <w:rsid w:val="00EA1EB2"/>
    <w:rsid w:val="00EA2A76"/>
    <w:rsid w:val="00EA40C2"/>
    <w:rsid w:val="00EA5B9E"/>
    <w:rsid w:val="00EB1569"/>
    <w:rsid w:val="00EB7EC9"/>
    <w:rsid w:val="00EC6441"/>
    <w:rsid w:val="00EE3052"/>
    <w:rsid w:val="00EF09C1"/>
    <w:rsid w:val="00EF7A79"/>
    <w:rsid w:val="00F03263"/>
    <w:rsid w:val="00F07FB9"/>
    <w:rsid w:val="00F13E4A"/>
    <w:rsid w:val="00F453EB"/>
    <w:rsid w:val="00F565C5"/>
    <w:rsid w:val="00F628B0"/>
    <w:rsid w:val="00F64437"/>
    <w:rsid w:val="00F74FDD"/>
    <w:rsid w:val="00F83398"/>
    <w:rsid w:val="00F903CD"/>
    <w:rsid w:val="00F95C82"/>
    <w:rsid w:val="00FA069C"/>
    <w:rsid w:val="00FA5295"/>
    <w:rsid w:val="00FB1E9A"/>
    <w:rsid w:val="00FD23EC"/>
    <w:rsid w:val="00FE2EBD"/>
    <w:rsid w:val="00FE4446"/>
    <w:rsid w:val="00FE479C"/>
    <w:rsid w:val="00FE50A8"/>
    <w:rsid w:val="00FE78FC"/>
    <w:rsid w:val="00FF079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7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1E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E9A"/>
    <w:rPr>
      <w:rFonts w:ascii="Tahoma" w:hAnsi="Tahoma" w:cs="Tahoma"/>
      <w:sz w:val="16"/>
      <w:szCs w:val="16"/>
    </w:rPr>
  </w:style>
  <w:style w:type="character" w:customStyle="1" w:styleId="apple-converted-space">
    <w:name w:val="apple-converted-space"/>
    <w:basedOn w:val="DefaultParagraphFont"/>
    <w:rsid w:val="008A47A1"/>
  </w:style>
  <w:style w:type="character" w:styleId="CommentReference">
    <w:name w:val="annotation reference"/>
    <w:uiPriority w:val="99"/>
    <w:semiHidden/>
    <w:unhideWhenUsed/>
    <w:rsid w:val="001815F0"/>
    <w:rPr>
      <w:sz w:val="16"/>
      <w:szCs w:val="16"/>
    </w:rPr>
  </w:style>
  <w:style w:type="paragraph" w:styleId="CommentText">
    <w:name w:val="annotation text"/>
    <w:basedOn w:val="Normal"/>
    <w:link w:val="CommentTextChar"/>
    <w:uiPriority w:val="99"/>
    <w:semiHidden/>
    <w:unhideWhenUsed/>
    <w:rsid w:val="001815F0"/>
    <w:pPr>
      <w:spacing w:line="240" w:lineRule="auto"/>
    </w:pPr>
    <w:rPr>
      <w:sz w:val="20"/>
      <w:szCs w:val="20"/>
    </w:rPr>
  </w:style>
  <w:style w:type="character" w:customStyle="1" w:styleId="CommentTextChar">
    <w:name w:val="Comment Text Char"/>
    <w:link w:val="CommentText"/>
    <w:uiPriority w:val="99"/>
    <w:semiHidden/>
    <w:rsid w:val="001815F0"/>
    <w:rPr>
      <w:sz w:val="20"/>
      <w:szCs w:val="20"/>
    </w:rPr>
  </w:style>
  <w:style w:type="paragraph" w:styleId="CommentSubject">
    <w:name w:val="annotation subject"/>
    <w:basedOn w:val="CommentText"/>
    <w:next w:val="CommentText"/>
    <w:link w:val="CommentSubjectChar"/>
    <w:uiPriority w:val="99"/>
    <w:semiHidden/>
    <w:unhideWhenUsed/>
    <w:rsid w:val="001815F0"/>
    <w:rPr>
      <w:b/>
      <w:bCs/>
    </w:rPr>
  </w:style>
  <w:style w:type="character" w:customStyle="1" w:styleId="CommentSubjectChar">
    <w:name w:val="Comment Subject Char"/>
    <w:link w:val="CommentSubject"/>
    <w:uiPriority w:val="99"/>
    <w:semiHidden/>
    <w:rsid w:val="001815F0"/>
    <w:rPr>
      <w:b/>
      <w:bCs/>
      <w:sz w:val="20"/>
      <w:szCs w:val="20"/>
    </w:rPr>
  </w:style>
  <w:style w:type="character" w:styleId="EndnoteReference">
    <w:name w:val="endnote reference"/>
    <w:uiPriority w:val="99"/>
    <w:unhideWhenUsed/>
    <w:rsid w:val="005F2090"/>
    <w:rPr>
      <w:vertAlign w:val="superscript"/>
    </w:rPr>
  </w:style>
  <w:style w:type="table" w:styleId="LightShading">
    <w:name w:val="Light Shading"/>
    <w:basedOn w:val="TableNormal"/>
    <w:uiPriority w:val="60"/>
    <w:rsid w:val="009B22BA"/>
    <w:rPr>
      <w:rFonts w:eastAsia="Calibri"/>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aption">
    <w:name w:val="caption"/>
    <w:basedOn w:val="Normal"/>
    <w:next w:val="Normal"/>
    <w:uiPriority w:val="35"/>
    <w:unhideWhenUsed/>
    <w:qFormat/>
    <w:rsid w:val="009B22BA"/>
    <w:pPr>
      <w:spacing w:line="240" w:lineRule="auto"/>
    </w:pPr>
    <w:rPr>
      <w:rFonts w:eastAsia="Calibri"/>
      <w:b/>
      <w:bCs/>
      <w:color w:val="4F81BD"/>
      <w:sz w:val="18"/>
      <w:szCs w:val="18"/>
      <w:lang w:val="en-US" w:eastAsia="en-US"/>
    </w:rPr>
  </w:style>
  <w:style w:type="paragraph" w:styleId="NormalWeb">
    <w:name w:val="Normal (Web)"/>
    <w:basedOn w:val="Normal"/>
    <w:uiPriority w:val="99"/>
    <w:unhideWhenUsed/>
    <w:rsid w:val="00681D8D"/>
    <w:pPr>
      <w:spacing w:before="100" w:beforeAutospacing="1" w:after="100" w:afterAutospacing="1" w:line="240" w:lineRule="auto"/>
    </w:pPr>
    <w:rPr>
      <w:rFonts w:ascii="Times" w:eastAsia="Calibri" w:hAnsi="Times" w:cs="Times New Roman"/>
      <w:sz w:val="20"/>
      <w:szCs w:val="20"/>
      <w:lang w:eastAsia="nl-NL"/>
    </w:rPr>
  </w:style>
  <w:style w:type="character" w:customStyle="1" w:styleId="element-citation">
    <w:name w:val="element-citation"/>
    <w:basedOn w:val="DefaultParagraphFont"/>
    <w:rsid w:val="00131B61"/>
  </w:style>
  <w:style w:type="character" w:customStyle="1" w:styleId="ref-journal">
    <w:name w:val="ref-journal"/>
    <w:basedOn w:val="DefaultParagraphFont"/>
    <w:rsid w:val="00131B61"/>
  </w:style>
  <w:style w:type="character" w:customStyle="1" w:styleId="ref-vol">
    <w:name w:val="ref-vol"/>
    <w:basedOn w:val="DefaultParagraphFont"/>
    <w:rsid w:val="00131B61"/>
  </w:style>
  <w:style w:type="character" w:styleId="Hyperlink">
    <w:name w:val="Hyperlink"/>
    <w:uiPriority w:val="99"/>
    <w:unhideWhenUsed/>
    <w:rsid w:val="00A16DB6"/>
    <w:rPr>
      <w:color w:val="0000FF"/>
      <w:u w:val="single"/>
    </w:rPr>
  </w:style>
  <w:style w:type="character" w:customStyle="1" w:styleId="nowrap">
    <w:name w:val="nowrap"/>
    <w:basedOn w:val="DefaultParagraphFont"/>
    <w:rsid w:val="00C03239"/>
  </w:style>
  <w:style w:type="paragraph" w:styleId="Revision">
    <w:name w:val="Revision"/>
    <w:hidden/>
    <w:uiPriority w:val="99"/>
    <w:semiHidden/>
    <w:rsid w:val="00AE57F8"/>
    <w:rPr>
      <w:sz w:val="22"/>
      <w:szCs w:val="22"/>
    </w:rPr>
  </w:style>
  <w:style w:type="character" w:styleId="Emphasis">
    <w:name w:val="Emphasis"/>
    <w:uiPriority w:val="20"/>
    <w:qFormat/>
    <w:rsid w:val="007A1A32"/>
    <w:rPr>
      <w:i/>
      <w:iCs/>
    </w:rPr>
  </w:style>
  <w:style w:type="paragraph" w:styleId="ListParagraph">
    <w:name w:val="List Paragraph"/>
    <w:basedOn w:val="Normal"/>
    <w:link w:val="ListParagraphChar"/>
    <w:uiPriority w:val="34"/>
    <w:qFormat/>
    <w:rsid w:val="00EE3052"/>
    <w:pPr>
      <w:ind w:left="720"/>
      <w:contextualSpacing/>
    </w:pPr>
  </w:style>
  <w:style w:type="character" w:customStyle="1" w:styleId="ListParagraphChar">
    <w:name w:val="List Paragraph Char"/>
    <w:basedOn w:val="DefaultParagraphFont"/>
    <w:link w:val="ListParagraph"/>
    <w:uiPriority w:val="34"/>
    <w:rsid w:val="00EE3052"/>
  </w:style>
  <w:style w:type="paragraph" w:customStyle="1" w:styleId="EndNoteBibliographyTitle">
    <w:name w:val="EndNote Bibliography Title"/>
    <w:basedOn w:val="Normal"/>
    <w:rsid w:val="00A0605E"/>
    <w:pPr>
      <w:spacing w:after="0"/>
      <w:contextualSpacing/>
      <w:jc w:val="both"/>
    </w:pPr>
    <w:rPr>
      <w:rFonts w:cs="Calibri"/>
      <w:bCs/>
    </w:rPr>
  </w:style>
  <w:style w:type="paragraph" w:customStyle="1" w:styleId="EndNoteBibliography">
    <w:name w:val="EndNote Bibliography"/>
    <w:basedOn w:val="Normal"/>
    <w:rsid w:val="00A0605E"/>
    <w:pPr>
      <w:spacing w:after="0" w:line="240" w:lineRule="auto"/>
      <w:contextualSpacing/>
      <w:jc w:val="both"/>
    </w:pPr>
    <w:rPr>
      <w:rFonts w:cs="Calibri"/>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7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1E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E9A"/>
    <w:rPr>
      <w:rFonts w:ascii="Tahoma" w:hAnsi="Tahoma" w:cs="Tahoma"/>
      <w:sz w:val="16"/>
      <w:szCs w:val="16"/>
    </w:rPr>
  </w:style>
  <w:style w:type="character" w:customStyle="1" w:styleId="apple-converted-space">
    <w:name w:val="apple-converted-space"/>
    <w:basedOn w:val="DefaultParagraphFont"/>
    <w:rsid w:val="008A47A1"/>
  </w:style>
  <w:style w:type="character" w:styleId="CommentReference">
    <w:name w:val="annotation reference"/>
    <w:uiPriority w:val="99"/>
    <w:semiHidden/>
    <w:unhideWhenUsed/>
    <w:rsid w:val="001815F0"/>
    <w:rPr>
      <w:sz w:val="16"/>
      <w:szCs w:val="16"/>
    </w:rPr>
  </w:style>
  <w:style w:type="paragraph" w:styleId="CommentText">
    <w:name w:val="annotation text"/>
    <w:basedOn w:val="Normal"/>
    <w:link w:val="CommentTextChar"/>
    <w:uiPriority w:val="99"/>
    <w:semiHidden/>
    <w:unhideWhenUsed/>
    <w:rsid w:val="001815F0"/>
    <w:pPr>
      <w:spacing w:line="240" w:lineRule="auto"/>
    </w:pPr>
    <w:rPr>
      <w:sz w:val="20"/>
      <w:szCs w:val="20"/>
    </w:rPr>
  </w:style>
  <w:style w:type="character" w:customStyle="1" w:styleId="CommentTextChar">
    <w:name w:val="Comment Text Char"/>
    <w:link w:val="CommentText"/>
    <w:uiPriority w:val="99"/>
    <w:semiHidden/>
    <w:rsid w:val="001815F0"/>
    <w:rPr>
      <w:sz w:val="20"/>
      <w:szCs w:val="20"/>
    </w:rPr>
  </w:style>
  <w:style w:type="paragraph" w:styleId="CommentSubject">
    <w:name w:val="annotation subject"/>
    <w:basedOn w:val="CommentText"/>
    <w:next w:val="CommentText"/>
    <w:link w:val="CommentSubjectChar"/>
    <w:uiPriority w:val="99"/>
    <w:semiHidden/>
    <w:unhideWhenUsed/>
    <w:rsid w:val="001815F0"/>
    <w:rPr>
      <w:b/>
      <w:bCs/>
    </w:rPr>
  </w:style>
  <w:style w:type="character" w:customStyle="1" w:styleId="CommentSubjectChar">
    <w:name w:val="Comment Subject Char"/>
    <w:link w:val="CommentSubject"/>
    <w:uiPriority w:val="99"/>
    <w:semiHidden/>
    <w:rsid w:val="001815F0"/>
    <w:rPr>
      <w:b/>
      <w:bCs/>
      <w:sz w:val="20"/>
      <w:szCs w:val="20"/>
    </w:rPr>
  </w:style>
  <w:style w:type="character" w:styleId="EndnoteReference">
    <w:name w:val="endnote reference"/>
    <w:uiPriority w:val="99"/>
    <w:unhideWhenUsed/>
    <w:rsid w:val="005F2090"/>
    <w:rPr>
      <w:vertAlign w:val="superscript"/>
    </w:rPr>
  </w:style>
  <w:style w:type="table" w:styleId="LightShading">
    <w:name w:val="Light Shading"/>
    <w:basedOn w:val="TableNormal"/>
    <w:uiPriority w:val="60"/>
    <w:rsid w:val="009B22BA"/>
    <w:rPr>
      <w:rFonts w:eastAsia="Calibri"/>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aption">
    <w:name w:val="caption"/>
    <w:basedOn w:val="Normal"/>
    <w:next w:val="Normal"/>
    <w:uiPriority w:val="35"/>
    <w:unhideWhenUsed/>
    <w:qFormat/>
    <w:rsid w:val="009B22BA"/>
    <w:pPr>
      <w:spacing w:line="240" w:lineRule="auto"/>
    </w:pPr>
    <w:rPr>
      <w:rFonts w:eastAsia="Calibri"/>
      <w:b/>
      <w:bCs/>
      <w:color w:val="4F81BD"/>
      <w:sz w:val="18"/>
      <w:szCs w:val="18"/>
      <w:lang w:val="en-US" w:eastAsia="en-US"/>
    </w:rPr>
  </w:style>
  <w:style w:type="paragraph" w:styleId="NormalWeb">
    <w:name w:val="Normal (Web)"/>
    <w:basedOn w:val="Normal"/>
    <w:uiPriority w:val="99"/>
    <w:unhideWhenUsed/>
    <w:rsid w:val="00681D8D"/>
    <w:pPr>
      <w:spacing w:before="100" w:beforeAutospacing="1" w:after="100" w:afterAutospacing="1" w:line="240" w:lineRule="auto"/>
    </w:pPr>
    <w:rPr>
      <w:rFonts w:ascii="Times" w:eastAsia="Calibri" w:hAnsi="Times" w:cs="Times New Roman"/>
      <w:sz w:val="20"/>
      <w:szCs w:val="20"/>
      <w:lang w:eastAsia="nl-NL"/>
    </w:rPr>
  </w:style>
  <w:style w:type="character" w:customStyle="1" w:styleId="element-citation">
    <w:name w:val="element-citation"/>
    <w:basedOn w:val="DefaultParagraphFont"/>
    <w:rsid w:val="00131B61"/>
  </w:style>
  <w:style w:type="character" w:customStyle="1" w:styleId="ref-journal">
    <w:name w:val="ref-journal"/>
    <w:basedOn w:val="DefaultParagraphFont"/>
    <w:rsid w:val="00131B61"/>
  </w:style>
  <w:style w:type="character" w:customStyle="1" w:styleId="ref-vol">
    <w:name w:val="ref-vol"/>
    <w:basedOn w:val="DefaultParagraphFont"/>
    <w:rsid w:val="00131B61"/>
  </w:style>
  <w:style w:type="character" w:styleId="Hyperlink">
    <w:name w:val="Hyperlink"/>
    <w:uiPriority w:val="99"/>
    <w:unhideWhenUsed/>
    <w:rsid w:val="00A16DB6"/>
    <w:rPr>
      <w:color w:val="0000FF"/>
      <w:u w:val="single"/>
    </w:rPr>
  </w:style>
  <w:style w:type="character" w:customStyle="1" w:styleId="nowrap">
    <w:name w:val="nowrap"/>
    <w:basedOn w:val="DefaultParagraphFont"/>
    <w:rsid w:val="00C03239"/>
  </w:style>
  <w:style w:type="paragraph" w:styleId="Revision">
    <w:name w:val="Revision"/>
    <w:hidden/>
    <w:uiPriority w:val="99"/>
    <w:semiHidden/>
    <w:rsid w:val="00AE57F8"/>
    <w:rPr>
      <w:sz w:val="22"/>
      <w:szCs w:val="22"/>
    </w:rPr>
  </w:style>
  <w:style w:type="character" w:styleId="Emphasis">
    <w:name w:val="Emphasis"/>
    <w:uiPriority w:val="20"/>
    <w:qFormat/>
    <w:rsid w:val="007A1A32"/>
    <w:rPr>
      <w:i/>
      <w:iCs/>
    </w:rPr>
  </w:style>
  <w:style w:type="paragraph" w:styleId="ListParagraph">
    <w:name w:val="List Paragraph"/>
    <w:basedOn w:val="Normal"/>
    <w:link w:val="ListParagraphChar"/>
    <w:uiPriority w:val="34"/>
    <w:qFormat/>
    <w:rsid w:val="00EE3052"/>
    <w:pPr>
      <w:ind w:left="720"/>
      <w:contextualSpacing/>
    </w:pPr>
  </w:style>
  <w:style w:type="character" w:customStyle="1" w:styleId="ListParagraphChar">
    <w:name w:val="List Paragraph Char"/>
    <w:basedOn w:val="DefaultParagraphFont"/>
    <w:link w:val="ListParagraph"/>
    <w:uiPriority w:val="34"/>
    <w:rsid w:val="00EE3052"/>
  </w:style>
  <w:style w:type="paragraph" w:customStyle="1" w:styleId="EndNoteBibliographyTitle">
    <w:name w:val="EndNote Bibliography Title"/>
    <w:basedOn w:val="Normal"/>
    <w:rsid w:val="00A0605E"/>
    <w:pPr>
      <w:spacing w:after="0"/>
      <w:contextualSpacing/>
      <w:jc w:val="both"/>
    </w:pPr>
    <w:rPr>
      <w:rFonts w:cs="Calibri"/>
      <w:bCs/>
    </w:rPr>
  </w:style>
  <w:style w:type="paragraph" w:customStyle="1" w:styleId="EndNoteBibliography">
    <w:name w:val="EndNote Bibliography"/>
    <w:basedOn w:val="Normal"/>
    <w:rsid w:val="00A0605E"/>
    <w:pPr>
      <w:spacing w:after="0" w:line="240" w:lineRule="auto"/>
      <w:contextualSpacing/>
      <w:jc w:val="both"/>
    </w:pPr>
    <w:rPr>
      <w:rFonts w:cs="Calibr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802772">
      <w:bodyDiv w:val="1"/>
      <w:marLeft w:val="0"/>
      <w:marRight w:val="0"/>
      <w:marTop w:val="0"/>
      <w:marBottom w:val="0"/>
      <w:divBdr>
        <w:top w:val="none" w:sz="0" w:space="0" w:color="auto"/>
        <w:left w:val="none" w:sz="0" w:space="0" w:color="auto"/>
        <w:bottom w:val="none" w:sz="0" w:space="0" w:color="auto"/>
        <w:right w:val="none" w:sz="0" w:space="0" w:color="auto"/>
      </w:divBdr>
      <w:divsChild>
        <w:div w:id="143863752">
          <w:marLeft w:val="0"/>
          <w:marRight w:val="0"/>
          <w:marTop w:val="0"/>
          <w:marBottom w:val="240"/>
          <w:divBdr>
            <w:top w:val="none" w:sz="0" w:space="0" w:color="auto"/>
            <w:left w:val="none" w:sz="0" w:space="0" w:color="auto"/>
            <w:bottom w:val="none" w:sz="0" w:space="0" w:color="auto"/>
            <w:right w:val="none" w:sz="0" w:space="0" w:color="auto"/>
          </w:divBdr>
        </w:div>
      </w:divsChild>
    </w:div>
    <w:div w:id="128229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er.butler@phc.ox.ac.uk" TargetMode="External"/><Relationship Id="rId13" Type="http://schemas.openxmlformats.org/officeDocument/2006/relationships/hyperlink" Target="https://www.ncbi.nlm.nih.gov/pubmed/15878468" TargetMode="External"/><Relationship Id="rId18" Type="http://schemas.openxmlformats.org/officeDocument/2006/relationships/hyperlink" Target="https://www.ncbi.nlm.nih.gov/pubmed/21534684" TargetMode="External"/><Relationship Id="rId26" Type="http://schemas.openxmlformats.org/officeDocument/2006/relationships/hyperlink" Target="https://www.ncbi.nlm.nih.gov/pubmed/22362427" TargetMode="External"/><Relationship Id="rId3" Type="http://schemas.microsoft.com/office/2007/relationships/stylesWithEffects" Target="stylesWithEffects.xml"/><Relationship Id="rId21" Type="http://schemas.openxmlformats.org/officeDocument/2006/relationships/hyperlink" Target="https://www.ncbi.nlm.nih.gov/pubmed/9802183" TargetMode="External"/><Relationship Id="rId7" Type="http://schemas.openxmlformats.org/officeDocument/2006/relationships/hyperlink" Target="mailto:bls1@soton.ac.uk" TargetMode="External"/><Relationship Id="rId12" Type="http://schemas.openxmlformats.org/officeDocument/2006/relationships/hyperlink" Target="https://www.ncbi.nlm.nih.gov/pubmed/11274518" TargetMode="External"/><Relationship Id="rId17" Type="http://schemas.openxmlformats.org/officeDocument/2006/relationships/hyperlink" Target="https://www.ncbi.nlm.nih.gov/pubmed/9802183" TargetMode="External"/><Relationship Id="rId25" Type="http://schemas.openxmlformats.org/officeDocument/2006/relationships/hyperlink" Target="https://www.ncbi.nlm.nih.gov/pubmed/19012268" TargetMode="External"/><Relationship Id="rId2" Type="http://schemas.openxmlformats.org/officeDocument/2006/relationships/styles" Target="styles.xml"/><Relationship Id="rId16" Type="http://schemas.openxmlformats.org/officeDocument/2006/relationships/hyperlink" Target="https://www.ncbi.nlm.nih.gov/pubmed/16624967" TargetMode="External"/><Relationship Id="rId20" Type="http://schemas.openxmlformats.org/officeDocument/2006/relationships/hyperlink" Target="https://www.ncbi.nlm.nih.gov/pubmed/22687236" TargetMode="External"/><Relationship Id="rId1" Type="http://schemas.openxmlformats.org/officeDocument/2006/relationships/numbering" Target="numbering.xml"/><Relationship Id="rId6" Type="http://schemas.openxmlformats.org/officeDocument/2006/relationships/hyperlink" Target="mailto:l.e.n.grebel@gmail.com" TargetMode="External"/><Relationship Id="rId11" Type="http://schemas.openxmlformats.org/officeDocument/2006/relationships/hyperlink" Target="mailto:p.little@soton.ac.uk" TargetMode="External"/><Relationship Id="rId24" Type="http://schemas.openxmlformats.org/officeDocument/2006/relationships/hyperlink" Target="https://www.ncbi.nlm.nih.gov/pubmed/?term=Austin%20PC%5BAuthor%5D&amp;cauthor=true&amp;cauthor_uid=19012268" TargetMode="External"/><Relationship Id="rId5" Type="http://schemas.openxmlformats.org/officeDocument/2006/relationships/webSettings" Target="webSettings.xml"/><Relationship Id="rId15" Type="http://schemas.openxmlformats.org/officeDocument/2006/relationships/hyperlink" Target="https://www.ncbi.nlm.nih.gov/pubmed/15878468" TargetMode="External"/><Relationship Id="rId23" Type="http://schemas.openxmlformats.org/officeDocument/2006/relationships/hyperlink" Target="https://www.ncbi.nlm.nih.gov/pubmed/?term=Gustafson%20P%5BAuthor%5D&amp;cauthor=true&amp;cauthor_uid=19012268" TargetMode="External"/><Relationship Id="rId28" Type="http://schemas.openxmlformats.org/officeDocument/2006/relationships/theme" Target="theme/theme1.xml"/><Relationship Id="rId10" Type="http://schemas.openxmlformats.org/officeDocument/2006/relationships/hyperlink" Target="mailto:t.j.m.verheij@umcutrecht.nl" TargetMode="External"/><Relationship Id="rId19" Type="http://schemas.openxmlformats.org/officeDocument/2006/relationships/hyperlink" Target="https://www.ncbi.nlm.nih.gov/pubmed/15386709" TargetMode="External"/><Relationship Id="rId4" Type="http://schemas.openxmlformats.org/officeDocument/2006/relationships/settings" Target="settings.xml"/><Relationship Id="rId9" Type="http://schemas.openxmlformats.org/officeDocument/2006/relationships/hyperlink" Target="mailto:hoodk1@cardiff.ac.uk" TargetMode="External"/><Relationship Id="rId14" Type="http://schemas.openxmlformats.org/officeDocument/2006/relationships/hyperlink" Target="https://www.ncbi.nlm.nih.gov/pubmed/15878468" TargetMode="External"/><Relationship Id="rId22" Type="http://schemas.openxmlformats.org/officeDocument/2006/relationships/hyperlink" Target="https://www.ncbi.nlm.nih.gov/pubmed/1129788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10251</Words>
  <Characters>58434</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68548</CharactersWithSpaces>
  <SharedDoc>false</SharedDoc>
  <HLinks>
    <vt:vector size="48" baseType="variant">
      <vt:variant>
        <vt:i4>4587541</vt:i4>
      </vt:variant>
      <vt:variant>
        <vt:i4>39</vt:i4>
      </vt:variant>
      <vt:variant>
        <vt:i4>0</vt:i4>
      </vt:variant>
      <vt:variant>
        <vt:i4>5</vt:i4>
      </vt:variant>
      <vt:variant>
        <vt:lpwstr>http://doi.org/10.3399/bjgp12X649124</vt:lpwstr>
      </vt:variant>
      <vt:variant>
        <vt:lpwstr/>
      </vt:variant>
      <vt:variant>
        <vt:i4>1835012</vt:i4>
      </vt:variant>
      <vt:variant>
        <vt:i4>36</vt:i4>
      </vt:variant>
      <vt:variant>
        <vt:i4>0</vt:i4>
      </vt:variant>
      <vt:variant>
        <vt:i4>5</vt:i4>
      </vt:variant>
      <vt:variant>
        <vt:lpwstr>http://arxiv.org/abs/arXiv:1404.1785</vt:lpwstr>
      </vt:variant>
      <vt:variant>
        <vt:lpwstr/>
      </vt:variant>
      <vt:variant>
        <vt:i4>1966138</vt:i4>
      </vt:variant>
      <vt:variant>
        <vt:i4>15</vt:i4>
      </vt:variant>
      <vt:variant>
        <vt:i4>0</vt:i4>
      </vt:variant>
      <vt:variant>
        <vt:i4>5</vt:i4>
      </vt:variant>
      <vt:variant>
        <vt:lpwstr>mailto:p.little@soton.ac.uk</vt:lpwstr>
      </vt:variant>
      <vt:variant>
        <vt:lpwstr/>
      </vt:variant>
      <vt:variant>
        <vt:i4>3604563</vt:i4>
      </vt:variant>
      <vt:variant>
        <vt:i4>12</vt:i4>
      </vt:variant>
      <vt:variant>
        <vt:i4>0</vt:i4>
      </vt:variant>
      <vt:variant>
        <vt:i4>5</vt:i4>
      </vt:variant>
      <vt:variant>
        <vt:lpwstr>mailto:t.j.m.verheij@umcutrecht.nl</vt:lpwstr>
      </vt:variant>
      <vt:variant>
        <vt:lpwstr/>
      </vt:variant>
      <vt:variant>
        <vt:i4>1376289</vt:i4>
      </vt:variant>
      <vt:variant>
        <vt:i4>9</vt:i4>
      </vt:variant>
      <vt:variant>
        <vt:i4>0</vt:i4>
      </vt:variant>
      <vt:variant>
        <vt:i4>5</vt:i4>
      </vt:variant>
      <vt:variant>
        <vt:lpwstr>mailto:hoodk1@cardiff.ac.uk</vt:lpwstr>
      </vt:variant>
      <vt:variant>
        <vt:lpwstr/>
      </vt:variant>
      <vt:variant>
        <vt:i4>6029355</vt:i4>
      </vt:variant>
      <vt:variant>
        <vt:i4>6</vt:i4>
      </vt:variant>
      <vt:variant>
        <vt:i4>0</vt:i4>
      </vt:variant>
      <vt:variant>
        <vt:i4>5</vt:i4>
      </vt:variant>
      <vt:variant>
        <vt:lpwstr>mailto:Christopher.butler@phc.ox.ac.uk</vt:lpwstr>
      </vt:variant>
      <vt:variant>
        <vt:lpwstr/>
      </vt:variant>
      <vt:variant>
        <vt:i4>720945</vt:i4>
      </vt:variant>
      <vt:variant>
        <vt:i4>3</vt:i4>
      </vt:variant>
      <vt:variant>
        <vt:i4>0</vt:i4>
      </vt:variant>
      <vt:variant>
        <vt:i4>5</vt:i4>
      </vt:variant>
      <vt:variant>
        <vt:lpwstr>mailto:bls1@soton.ac.uk</vt:lpwstr>
      </vt:variant>
      <vt:variant>
        <vt:lpwstr/>
      </vt:variant>
      <vt:variant>
        <vt:i4>6750225</vt:i4>
      </vt:variant>
      <vt:variant>
        <vt:i4>0</vt:i4>
      </vt:variant>
      <vt:variant>
        <vt:i4>0</vt:i4>
      </vt:variant>
      <vt:variant>
        <vt:i4>5</vt:i4>
      </vt:variant>
      <vt:variant>
        <vt:lpwstr>mailto:l.e.n.grebel@gmail.com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B.L.</dc:creator>
  <cp:lastModifiedBy>Stuart B.L.</cp:lastModifiedBy>
  <cp:revision>6</cp:revision>
  <dcterms:created xsi:type="dcterms:W3CDTF">2017-02-21T18:26:00Z</dcterms:created>
  <dcterms:modified xsi:type="dcterms:W3CDTF">2017-02-21T18:34:00Z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17258</vt:lpwstr>
  </property>
  <property fmtid="{D5CDD505-2E9C-101B-9397-08002B2CF9AE}" pid="3" name="WnCSubscriberId">
    <vt:lpwstr>3815</vt:lpwstr>
  </property>
  <property fmtid="{D5CDD505-2E9C-101B-9397-08002B2CF9AE}" pid="4" name="WnCOutputStyleId">
    <vt:lpwstr>165</vt:lpwstr>
  </property>
  <property fmtid="{D5CDD505-2E9C-101B-9397-08002B2CF9AE}" pid="5" name="RWProductId">
    <vt:lpwstr>WnC</vt:lpwstr>
  </property>
  <property fmtid="{D5CDD505-2E9C-101B-9397-08002B2CF9AE}" pid="6" name="WnCUser">
    <vt:lpwstr>l.e.n.grebel@students.uu.nl_3815</vt:lpwstr>
  </property>
  <property fmtid="{D5CDD505-2E9C-101B-9397-08002B2CF9AE}" pid="7" name="WnC4Folder">
    <vt:lpwstr>Documents///paper</vt:lpwstr>
  </property>
</Properties>
</file>