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 xml:space="preserve">Divergent demographic strategies of plants in variable environments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Jenni L McDonald </w:t>
      </w:r>
      <w:r w:rsidRPr="00B80E84">
        <w:rPr>
          <w:rFonts w:ascii="Times New Roman" w:hAnsi="Times New Roman" w:cs="Times New Roman"/>
          <w:sz w:val="24"/>
          <w:szCs w:val="24"/>
          <w:vertAlign w:val="superscript"/>
        </w:rPr>
        <w:t>1</w:t>
      </w:r>
      <w:r w:rsidRPr="00B80E84">
        <w:rPr>
          <w:rFonts w:ascii="Times New Roman" w:hAnsi="Times New Roman" w:cs="Times New Roman"/>
          <w:sz w:val="24"/>
          <w:szCs w:val="24"/>
        </w:rPr>
        <w:t xml:space="preserve">, Miguel Franco </w:t>
      </w:r>
      <w:r w:rsidRPr="00B80E84">
        <w:rPr>
          <w:rFonts w:ascii="Times New Roman" w:hAnsi="Times New Roman" w:cs="Times New Roman"/>
          <w:sz w:val="24"/>
          <w:szCs w:val="24"/>
          <w:vertAlign w:val="superscript"/>
        </w:rPr>
        <w:t>2</w:t>
      </w:r>
      <w:r w:rsidRPr="00B80E84">
        <w:rPr>
          <w:rFonts w:ascii="Times New Roman" w:hAnsi="Times New Roman" w:cs="Times New Roman"/>
          <w:sz w:val="24"/>
          <w:szCs w:val="24"/>
        </w:rPr>
        <w:t xml:space="preserve">, Stuart Townley </w:t>
      </w:r>
      <w:r w:rsidRPr="00B80E84">
        <w:rPr>
          <w:rFonts w:ascii="Times New Roman" w:hAnsi="Times New Roman" w:cs="Times New Roman"/>
          <w:sz w:val="24"/>
          <w:szCs w:val="24"/>
          <w:vertAlign w:val="superscript"/>
        </w:rPr>
        <w:t>3</w:t>
      </w:r>
      <w:r w:rsidRPr="00B80E84">
        <w:rPr>
          <w:rFonts w:ascii="Times New Roman" w:hAnsi="Times New Roman" w:cs="Times New Roman"/>
          <w:sz w:val="24"/>
          <w:szCs w:val="24"/>
        </w:rPr>
        <w:t>, Thomas H. G. Ezard</w:t>
      </w:r>
      <w:r w:rsidRPr="00B80E84">
        <w:rPr>
          <w:rFonts w:ascii="Times New Roman" w:hAnsi="Times New Roman" w:cs="Times New Roman"/>
          <w:sz w:val="24"/>
          <w:szCs w:val="24"/>
          <w:vertAlign w:val="superscript"/>
        </w:rPr>
        <w:t>4,5</w:t>
      </w:r>
      <w:r w:rsidRPr="00B80E84">
        <w:rPr>
          <w:rFonts w:ascii="Times New Roman" w:hAnsi="Times New Roman" w:cs="Times New Roman"/>
          <w:sz w:val="24"/>
          <w:szCs w:val="24"/>
        </w:rPr>
        <w:t>, Kim Jelbert</w:t>
      </w:r>
      <w:r w:rsidRPr="00B80E84">
        <w:rPr>
          <w:rFonts w:ascii="Times New Roman" w:hAnsi="Times New Roman" w:cs="Times New Roman"/>
          <w:sz w:val="24"/>
          <w:szCs w:val="24"/>
          <w:vertAlign w:val="superscript"/>
        </w:rPr>
        <w:t>6</w:t>
      </w:r>
      <w:r w:rsidRPr="00B80E84">
        <w:rPr>
          <w:rFonts w:ascii="Times New Roman" w:hAnsi="Times New Roman" w:cs="Times New Roman"/>
          <w:sz w:val="24"/>
          <w:szCs w:val="24"/>
        </w:rPr>
        <w:t xml:space="preserve"> and Dave J Hodgson *</w:t>
      </w:r>
      <w:r w:rsidRPr="00B80E84">
        <w:rPr>
          <w:rFonts w:ascii="Times New Roman" w:hAnsi="Times New Roman" w:cs="Times New Roman"/>
          <w:sz w:val="24"/>
          <w:szCs w:val="24"/>
          <w:vertAlign w:val="superscript"/>
        </w:rPr>
        <w:t>1</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1</w:t>
      </w:r>
      <w:r w:rsidRPr="00B80E84">
        <w:rPr>
          <w:rFonts w:ascii="Times New Roman" w:hAnsi="Times New Roman" w:cs="Times New Roman"/>
          <w:sz w:val="24"/>
          <w:szCs w:val="24"/>
        </w:rPr>
        <w:t xml:space="preserve"> Centre for Ecology and Conservation, College of Life and Environmental Sciences, University of Exeter, Penryn Campus, Cornwall,  TR10 9FE, 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2</w:t>
      </w:r>
      <w:r w:rsidRPr="00B80E84">
        <w:rPr>
          <w:rFonts w:ascii="Times New Roman" w:hAnsi="Times New Roman" w:cs="Times New Roman"/>
          <w:sz w:val="24"/>
          <w:szCs w:val="24"/>
        </w:rPr>
        <w:t xml:space="preserve"> School of Biological Sciences, Plymouth University, Drake Circus, Plymouth PL4 8AA, 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3</w:t>
      </w:r>
      <w:r w:rsidRPr="00B80E84">
        <w:rPr>
          <w:rFonts w:ascii="Times New Roman" w:hAnsi="Times New Roman" w:cs="Times New Roman"/>
          <w:sz w:val="24"/>
          <w:szCs w:val="24"/>
        </w:rPr>
        <w:t xml:space="preserve"> Environment &amp; Sustainability Institute, College of Engineering, Mathematics and Physical Sciences, University of Exeter, Penryn Campus, Cornwall,  TR10 9FE, 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 xml:space="preserve">4 </w:t>
      </w:r>
      <w:r w:rsidRPr="00B80E84">
        <w:rPr>
          <w:rFonts w:ascii="Times New Roman" w:hAnsi="Times New Roman" w:cs="Times New Roman"/>
          <w:sz w:val="24"/>
          <w:szCs w:val="24"/>
        </w:rPr>
        <w:t>Centre for Biological Sciences, University of Southampton, Southampton, SO17  1BJ, 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 xml:space="preserve">5 </w:t>
      </w:r>
      <w:r w:rsidRPr="00B80E84">
        <w:rPr>
          <w:rFonts w:ascii="Times New Roman" w:hAnsi="Times New Roman" w:cs="Times New Roman"/>
          <w:sz w:val="24"/>
          <w:szCs w:val="24"/>
        </w:rPr>
        <w:t>Ocean &amp; Earth Sciences, National Oceanography Centre Southampton, University of Southampton Waterfront Campus, Southampton, SO14 3ZH, 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vertAlign w:val="superscript"/>
        </w:rPr>
        <w:t>6</w:t>
      </w:r>
      <w:r w:rsidRPr="00B80E84">
        <w:rPr>
          <w:rFonts w:ascii="Times New Roman" w:hAnsi="Times New Roman" w:cs="Times New Roman"/>
          <w:sz w:val="24"/>
          <w:szCs w:val="24"/>
        </w:rPr>
        <w:t>Environment and Sustainability Institute, University of Exeter, Penryn Campus, Penryn, Cornwall TR10 9FE, UK</w:t>
      </w:r>
      <w:r w:rsidRPr="00B80E84">
        <w:rPr>
          <w:rFonts w:ascii="Times New Roman" w:hAnsi="Times New Roman" w:cs="Times New Roman"/>
          <w:sz w:val="24"/>
          <w:szCs w:val="24"/>
        </w:rPr>
        <w:br/>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J.McDonald@exeter.ac.uk; M.Franco@plymouth.ac.uk; S.B.Townley@exeter.ac.uk; T.Ezard@soton.ac.uk; kjj205@exeter.ac.uk</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*Corresponding Author D.J.Hodgson@exeter.ac.uk 01326 371829</w:t>
      </w:r>
      <w:r w:rsidRPr="00B80E84">
        <w:rPr>
          <w:rFonts w:ascii="Times New Roman" w:hAnsi="Times New Roman" w:cs="Times New Roman"/>
          <w:sz w:val="24"/>
          <w:szCs w:val="24"/>
        </w:rPr>
        <w:br w:type="page"/>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 xml:space="preserve">One of the best supported patterns in life history evolution is that organisms cope with environmental fluctuations by buffering their most important vital rates against them. This demographic buffering hypothesis is evidenced by a tendency for temporal variation in rates of survival and reproduction to correlate negatively with their contribution to fitness. Here, we show that widespread evidence for demographic buffering can be artefactual, resulting from natural relationships between the mean and variance of vital rates. Following statistical scaling, we find no significant tendency for plant life histories to be buffered demographically. Instead, some species are buffered, while others have labile life histories with higher temporal variation in their more important vital rates. We find phylogenetic signal in the strength and direction of variance-importance correlations, suggesting that clades of plants are prone to being either buffered or labile. Species with simple life histories are more likely to be demographically labile. Our results suggest important evolutionary nuances in how species deal with environmental fluctuations.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br w:type="page"/>
      </w:r>
    </w:p>
    <w:p w:rsidR="00E63627" w:rsidRPr="00B80E84" w:rsidRDefault="00E63627" w:rsidP="00E63627">
      <w:pPr>
        <w:tabs>
          <w:tab w:val="center" w:pos="4513"/>
        </w:tabs>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All organisms face the challenges of environmental variation through time. One important adaptation to reduce the impacts of environmental changes on fitness is to buffer important life history traits against them</w:t>
      </w:r>
      <w:r w:rsidRPr="00B80E84">
        <w:rPr>
          <w:rFonts w:ascii="Times New Roman" w:hAnsi="Times New Roman" w:cs="Times New Roman"/>
          <w:noProof/>
          <w:sz w:val="24"/>
          <w:szCs w:val="24"/>
          <w:vertAlign w:val="superscript"/>
        </w:rPr>
        <w:t>1</w:t>
      </w:r>
      <w:r w:rsidRPr="00B80E84">
        <w:rPr>
          <w:rFonts w:ascii="Times New Roman" w:hAnsi="Times New Roman" w:cs="Times New Roman"/>
          <w:sz w:val="24"/>
          <w:szCs w:val="24"/>
        </w:rPr>
        <w:t>. This Demographic Buffering Hypothesis (DBH) is well-established in classical theory</w:t>
      </w:r>
      <w:r w:rsidRPr="00B80E84">
        <w:rPr>
          <w:rFonts w:ascii="Times New Roman" w:hAnsi="Times New Roman" w:cs="Times New Roman"/>
          <w:noProof/>
          <w:sz w:val="24"/>
          <w:szCs w:val="24"/>
          <w:vertAlign w:val="superscript"/>
        </w:rPr>
        <w:t>2</w:t>
      </w:r>
      <w:r w:rsidRPr="00B80E84">
        <w:rPr>
          <w:rFonts w:ascii="Times New Roman" w:hAnsi="Times New Roman" w:cs="Times New Roman"/>
          <w:sz w:val="24"/>
          <w:szCs w:val="24"/>
        </w:rPr>
        <w:t xml:space="preserve"> and has three interlinked premises. First, the vital rates (age- or stage-specific survival, growth and reproduction) of any life history will vary in their contribution to population growth. Second, variation in vital rates reduces long term geometric mean fitness and increases extinction risk</w:t>
      </w:r>
      <w:r w:rsidRPr="00B80E84">
        <w:rPr>
          <w:rFonts w:ascii="Times New Roman" w:hAnsi="Times New Roman" w:cs="Times New Roman"/>
          <w:noProof/>
          <w:sz w:val="24"/>
          <w:szCs w:val="24"/>
          <w:vertAlign w:val="superscript"/>
        </w:rPr>
        <w:t>1,3</w:t>
      </w:r>
      <w:r w:rsidR="00E4130E" w:rsidRPr="00B80E84">
        <w:rPr>
          <w:rFonts w:ascii="Times New Roman" w:hAnsi="Times New Roman" w:cs="Times New Roman"/>
          <w:sz w:val="24"/>
          <w:szCs w:val="24"/>
        </w:rPr>
        <w:t xml:space="preserve">. Third, life </w:t>
      </w:r>
      <w:r w:rsidRPr="00B80E84">
        <w:rPr>
          <w:rFonts w:ascii="Times New Roman" w:hAnsi="Times New Roman" w:cs="Times New Roman"/>
          <w:sz w:val="24"/>
          <w:szCs w:val="24"/>
        </w:rPr>
        <w:t>history constraints prevent organisms from buffering all vital rates.</w:t>
      </w:r>
      <w:r w:rsidRPr="00B80E84">
        <w:rPr>
          <w:rFonts w:ascii="Times New Roman" w:hAnsi="Times New Roman" w:cs="Times New Roman"/>
          <w:sz w:val="24"/>
          <w:szCs w:val="24"/>
          <w:shd w:val="clear" w:color="auto" w:fill="FFFFFF"/>
        </w:rPr>
        <w:t xml:space="preserve"> </w:t>
      </w:r>
      <w:r w:rsidRPr="00B80E84">
        <w:rPr>
          <w:rFonts w:ascii="Times New Roman" w:hAnsi="Times New Roman" w:cs="Times New Roman"/>
          <w:sz w:val="24"/>
          <w:szCs w:val="24"/>
        </w:rPr>
        <w:t xml:space="preserve">Consequently, natural selection should favour </w:t>
      </w:r>
      <w:r w:rsidRPr="00B80E84">
        <w:rPr>
          <w:rFonts w:ascii="Times New Roman" w:hAnsi="Times New Roman" w:cs="Times New Roman"/>
          <w:sz w:val="24"/>
          <w:szCs w:val="24"/>
          <w:shd w:val="clear" w:color="auto" w:fill="FFFFFF"/>
        </w:rPr>
        <w:t>stronger buffering against temporal variability in the demographic rates to which population growth is most sensitive, also termed environmental canalization</w:t>
      </w:r>
      <w:r w:rsidRPr="00B80E84">
        <w:rPr>
          <w:rFonts w:ascii="Times New Roman" w:hAnsi="Times New Roman" w:cs="Times New Roman"/>
          <w:noProof/>
          <w:sz w:val="24"/>
          <w:szCs w:val="24"/>
          <w:shd w:val="clear" w:color="auto" w:fill="FFFFFF"/>
          <w:vertAlign w:val="superscript"/>
        </w:rPr>
        <w:t>4</w:t>
      </w:r>
      <w:r w:rsidRPr="00B80E84">
        <w:rPr>
          <w:rFonts w:ascii="Times New Roman" w:hAnsi="Times New Roman" w:cs="Times New Roman"/>
          <w:sz w:val="24"/>
          <w:szCs w:val="24"/>
          <w:shd w:val="clear" w:color="auto" w:fill="FFFFFF"/>
        </w:rPr>
        <w:t>.</w:t>
      </w:r>
      <w:r w:rsidRPr="00B80E84">
        <w:rPr>
          <w:rFonts w:ascii="Times New Roman" w:hAnsi="Times New Roman" w:cs="Times New Roman"/>
          <w:sz w:val="24"/>
          <w:szCs w:val="24"/>
        </w:rPr>
        <w:t xml:space="preserve"> Support for the DBH comes from observations of negative correlations between the importance and variability of demographic or vital rates across a wide range of taxa, including birds</w:t>
      </w:r>
      <w:r w:rsidRPr="00B80E84">
        <w:rPr>
          <w:rFonts w:ascii="Times New Roman" w:hAnsi="Times New Roman" w:cs="Times New Roman"/>
          <w:noProof/>
          <w:sz w:val="24"/>
          <w:szCs w:val="24"/>
          <w:vertAlign w:val="superscript"/>
        </w:rPr>
        <w:t>5,6</w:t>
      </w:r>
      <w:r w:rsidRPr="00B80E84">
        <w:rPr>
          <w:rFonts w:ascii="Times New Roman" w:hAnsi="Times New Roman" w:cs="Times New Roman"/>
          <w:sz w:val="24"/>
          <w:szCs w:val="24"/>
        </w:rPr>
        <w:t>, plants</w:t>
      </w:r>
      <w:r w:rsidRPr="00B80E84">
        <w:rPr>
          <w:rFonts w:ascii="Times New Roman" w:hAnsi="Times New Roman" w:cs="Times New Roman"/>
          <w:noProof/>
          <w:sz w:val="24"/>
          <w:szCs w:val="24"/>
          <w:vertAlign w:val="superscript"/>
        </w:rPr>
        <w:t>7</w:t>
      </w:r>
      <w:r w:rsidRPr="00B80E84">
        <w:rPr>
          <w:rFonts w:ascii="Times New Roman" w:hAnsi="Times New Roman" w:cs="Times New Roman"/>
          <w:sz w:val="24"/>
          <w:szCs w:val="24"/>
        </w:rPr>
        <w:t>, large herbivorous mammals</w:t>
      </w:r>
      <w:r w:rsidRPr="00B80E84">
        <w:rPr>
          <w:rFonts w:ascii="Times New Roman" w:hAnsi="Times New Roman" w:cs="Times New Roman"/>
          <w:noProof/>
          <w:sz w:val="24"/>
          <w:szCs w:val="24"/>
          <w:vertAlign w:val="superscript"/>
        </w:rPr>
        <w:t>8,9</w:t>
      </w:r>
      <w:r w:rsidRPr="00B80E84">
        <w:rPr>
          <w:rFonts w:ascii="Times New Roman" w:hAnsi="Times New Roman" w:cs="Times New Roman"/>
          <w:sz w:val="24"/>
          <w:szCs w:val="24"/>
        </w:rPr>
        <w:t xml:space="preserve"> and reptiles</w:t>
      </w:r>
      <w:r w:rsidRPr="00B80E84">
        <w:rPr>
          <w:rFonts w:ascii="Times New Roman" w:hAnsi="Times New Roman" w:cs="Times New Roman"/>
          <w:noProof/>
          <w:sz w:val="24"/>
          <w:szCs w:val="24"/>
          <w:vertAlign w:val="superscript"/>
        </w:rPr>
        <w:t>7,10</w:t>
      </w:r>
      <w:r w:rsidRPr="00B80E84">
        <w:rPr>
          <w:rFonts w:ascii="Times New Roman" w:hAnsi="Times New Roman" w:cs="Times New Roman"/>
          <w:sz w:val="24"/>
          <w:szCs w:val="24"/>
        </w:rPr>
        <w:t>. Despite this evidence, demographic buffering has been criticised for two main reasons. First, few studies consider alternative demographic strategies</w:t>
      </w:r>
      <w:r w:rsidRPr="00B80E84">
        <w:rPr>
          <w:rFonts w:ascii="Times New Roman" w:hAnsi="Times New Roman" w:cs="Times New Roman"/>
          <w:noProof/>
          <w:sz w:val="24"/>
          <w:szCs w:val="24"/>
          <w:vertAlign w:val="superscript"/>
        </w:rPr>
        <w:t>11</w:t>
      </w:r>
      <w:r w:rsidRPr="00B80E84">
        <w:rPr>
          <w:rFonts w:ascii="Times New Roman" w:hAnsi="Times New Roman" w:cs="Times New Roman"/>
          <w:sz w:val="24"/>
          <w:szCs w:val="24"/>
        </w:rPr>
        <w:t>. Second, standard comparative analyses often fail to account for important natural constraints</w:t>
      </w:r>
      <w:r w:rsidRPr="00B80E84">
        <w:rPr>
          <w:rFonts w:ascii="Times New Roman" w:hAnsi="Times New Roman" w:cs="Times New Roman"/>
          <w:noProof/>
          <w:sz w:val="24"/>
          <w:szCs w:val="24"/>
          <w:vertAlign w:val="superscript"/>
        </w:rPr>
        <w:t>4,12-14</w:t>
      </w:r>
      <w:r w:rsidRPr="00B80E84">
        <w:rPr>
          <w:rFonts w:ascii="Times New Roman" w:hAnsi="Times New Roman" w:cs="Times New Roman"/>
          <w:sz w:val="24"/>
          <w:szCs w:val="24"/>
        </w:rPr>
        <w:t xml:space="preserve"> on the mean-variance relationship for each vital rate.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An alternative, but less explored, life history strategy for dealing with environmental variability is demographic lability, whereby life histories are selected to track environmental fluctuations</w:t>
      </w:r>
      <w:r w:rsidRPr="00B80E84">
        <w:rPr>
          <w:rFonts w:ascii="Times New Roman" w:hAnsi="Times New Roman" w:cs="Times New Roman"/>
          <w:noProof/>
          <w:sz w:val="24"/>
          <w:szCs w:val="24"/>
          <w:vertAlign w:val="superscript"/>
        </w:rPr>
        <w:t>15</w:t>
      </w:r>
      <w:r w:rsidRPr="00B80E84">
        <w:rPr>
          <w:rFonts w:ascii="Times New Roman" w:hAnsi="Times New Roman" w:cs="Times New Roman"/>
          <w:sz w:val="24"/>
          <w:szCs w:val="24"/>
        </w:rPr>
        <w:t>, but are constrained to do this only among their most important vital rates</w:t>
      </w:r>
      <w:r w:rsidRPr="00B80E84">
        <w:rPr>
          <w:rFonts w:ascii="Times New Roman" w:hAnsi="Times New Roman" w:cs="Times New Roman"/>
          <w:noProof/>
          <w:sz w:val="24"/>
          <w:szCs w:val="24"/>
          <w:vertAlign w:val="superscript"/>
        </w:rPr>
        <w:t>11</w:t>
      </w:r>
      <w:r w:rsidRPr="00B80E84">
        <w:rPr>
          <w:rFonts w:ascii="Times New Roman" w:hAnsi="Times New Roman" w:cs="Times New Roman"/>
          <w:sz w:val="24"/>
          <w:szCs w:val="24"/>
        </w:rPr>
        <w:t xml:space="preserve">. Demographic lability implies a positive correlation between the importance and variability of a demographic rate. These demographic strategies emerge as a consequence of phenotypic adaptations in response to a changing environment. Whereas buffering of demographic rates is mediated through selection on underlying phenotypes against variability (canalization), lability occurs with the phenotype exhibiting a degree of plasticity in response to changing environmental conditions. Theoretically, temporal variation in life history parameters can </w:t>
      </w:r>
      <w:r w:rsidRPr="00B80E84">
        <w:rPr>
          <w:rFonts w:ascii="Times New Roman" w:hAnsi="Times New Roman" w:cs="Times New Roman"/>
          <w:sz w:val="24"/>
          <w:szCs w:val="24"/>
        </w:rPr>
        <w:lastRenderedPageBreak/>
        <w:t>enhance fitness under certain scenarios</w:t>
      </w:r>
      <w:r w:rsidRPr="00B80E84">
        <w:rPr>
          <w:rFonts w:ascii="Times New Roman" w:hAnsi="Times New Roman" w:cs="Times New Roman"/>
          <w:noProof/>
          <w:sz w:val="24"/>
          <w:szCs w:val="24"/>
          <w:vertAlign w:val="superscript"/>
        </w:rPr>
        <w:t>11,16</w:t>
      </w:r>
      <w:r w:rsidRPr="00B80E84">
        <w:rPr>
          <w:rFonts w:ascii="Times New Roman" w:hAnsi="Times New Roman" w:cs="Times New Roman"/>
          <w:sz w:val="24"/>
          <w:szCs w:val="24"/>
        </w:rPr>
        <w:t>. Jensen’s inequality</w:t>
      </w:r>
      <w:r w:rsidRPr="00B80E84">
        <w:rPr>
          <w:rFonts w:ascii="Times New Roman" w:hAnsi="Times New Roman" w:cs="Times New Roman"/>
          <w:noProof/>
          <w:sz w:val="24"/>
          <w:szCs w:val="24"/>
          <w:vertAlign w:val="superscript"/>
        </w:rPr>
        <w:t>17,18</w:t>
      </w:r>
      <w:r w:rsidRPr="00B80E84">
        <w:rPr>
          <w:rFonts w:ascii="Times New Roman" w:hAnsi="Times New Roman" w:cs="Times New Roman"/>
          <w:sz w:val="24"/>
          <w:szCs w:val="24"/>
        </w:rPr>
        <w:t xml:space="preserve"> reveals that an accelerating response of fitness to environmental parameters, mediated by vital rates, can yield higher geometric mean fitness for life histories that track fluctuations, rather than buffer against them</w:t>
      </w:r>
      <w:r w:rsidRPr="00B80E84">
        <w:rPr>
          <w:rFonts w:ascii="Times New Roman" w:hAnsi="Times New Roman" w:cs="Times New Roman"/>
          <w:noProof/>
          <w:sz w:val="24"/>
          <w:szCs w:val="24"/>
          <w:vertAlign w:val="superscript"/>
        </w:rPr>
        <w:t>11</w:t>
      </w:r>
      <w:r w:rsidRPr="00B80E84">
        <w:rPr>
          <w:rFonts w:ascii="Times New Roman" w:hAnsi="Times New Roman" w:cs="Times New Roman"/>
          <w:sz w:val="24"/>
          <w:szCs w:val="24"/>
        </w:rPr>
        <w:t xml:space="preserve">.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A further consideration is that evidence for the DBH might arise not because life histories have been favoured by natural selection to buffer their most important vital rates, but because demographic parameters with steepest selection gradients are inevitably those constrained to have low variance. Survival and growth probabilities, which are bounded to lie between zero and one, are constrained to have smallest variance at either limit</w:t>
      </w:r>
      <w:r w:rsidRPr="00B80E84">
        <w:rPr>
          <w:rFonts w:ascii="Times New Roman" w:hAnsi="Times New Roman" w:cs="Times New Roman"/>
          <w:noProof/>
          <w:sz w:val="24"/>
          <w:szCs w:val="24"/>
          <w:vertAlign w:val="superscript"/>
        </w:rPr>
        <w:t>4</w:t>
      </w:r>
      <w:r w:rsidR="00DC3CB9" w:rsidRPr="00B80E84">
        <w:rPr>
          <w:rFonts w:ascii="Times New Roman" w:hAnsi="Times New Roman" w:cs="Times New Roman"/>
          <w:sz w:val="24"/>
          <w:szCs w:val="24"/>
        </w:rPr>
        <w:t xml:space="preserve"> (Supplementary Fig.</w:t>
      </w:r>
      <w:r w:rsidRPr="00B80E84">
        <w:rPr>
          <w:rFonts w:ascii="Times New Roman" w:hAnsi="Times New Roman" w:cs="Times New Roman"/>
          <w:sz w:val="24"/>
          <w:szCs w:val="24"/>
        </w:rPr>
        <w:t xml:space="preserve"> 2). Rates of sexual and clonal reproduction are able to take any positive value with variances that tend to increase with an increasing mean</w:t>
      </w:r>
      <w:r w:rsidRPr="00B80E84">
        <w:rPr>
          <w:rFonts w:ascii="Times New Roman" w:hAnsi="Times New Roman" w:cs="Times New Roman"/>
          <w:noProof/>
          <w:sz w:val="24"/>
          <w:szCs w:val="24"/>
          <w:vertAlign w:val="superscript"/>
        </w:rPr>
        <w:t>12</w:t>
      </w:r>
      <w:r w:rsidR="00DC3CB9" w:rsidRPr="00B80E84">
        <w:rPr>
          <w:rFonts w:ascii="Times New Roman" w:hAnsi="Times New Roman" w:cs="Times New Roman"/>
          <w:sz w:val="24"/>
          <w:szCs w:val="24"/>
        </w:rPr>
        <w:t xml:space="preserve"> (Supplementary Fig.</w:t>
      </w:r>
      <w:r w:rsidRPr="00B80E84">
        <w:rPr>
          <w:rFonts w:ascii="Times New Roman" w:hAnsi="Times New Roman" w:cs="Times New Roman"/>
          <w:sz w:val="24"/>
          <w:szCs w:val="24"/>
        </w:rPr>
        <w:t xml:space="preserve"> 2). Therefore, survival probabilities with mean magnitudes close to one might be strongly favoured by natural selection but have negligible variance. The coefficient of variation, an alternative measure of variation</w:t>
      </w:r>
      <w:r w:rsidRPr="00B80E84">
        <w:rPr>
          <w:rFonts w:ascii="Times New Roman" w:hAnsi="Times New Roman" w:cs="Times New Roman"/>
          <w:noProof/>
          <w:sz w:val="24"/>
          <w:szCs w:val="24"/>
          <w:vertAlign w:val="superscript"/>
        </w:rPr>
        <w:t>19</w:t>
      </w:r>
      <w:r w:rsidRPr="00B80E84">
        <w:rPr>
          <w:rFonts w:ascii="Times New Roman" w:hAnsi="Times New Roman" w:cs="Times New Roman"/>
          <w:sz w:val="24"/>
          <w:szCs w:val="24"/>
        </w:rPr>
        <w:t>, also suffers from strong statistical constraints (see supplementary m</w:t>
      </w:r>
      <w:r w:rsidR="00DC3CB9" w:rsidRPr="00B80E84">
        <w:rPr>
          <w:rFonts w:ascii="Times New Roman" w:hAnsi="Times New Roman" w:cs="Times New Roman"/>
          <w:sz w:val="24"/>
          <w:szCs w:val="24"/>
        </w:rPr>
        <w:t>aterial and Supplementary Fig.</w:t>
      </w:r>
      <w:r w:rsidRPr="00B80E84">
        <w:rPr>
          <w:rFonts w:ascii="Times New Roman" w:hAnsi="Times New Roman" w:cs="Times New Roman"/>
          <w:sz w:val="24"/>
          <w:szCs w:val="24"/>
        </w:rPr>
        <w:t xml:space="preserve"> 3).  Bias due to variance constraints manifests itself not only in measures of variance but also as inconsistencies in the sensitivity of population growth to demographic rates</w:t>
      </w:r>
      <w:r w:rsidRPr="00B80E84">
        <w:rPr>
          <w:rFonts w:ascii="Times New Roman" w:hAnsi="Times New Roman" w:cs="Times New Roman"/>
          <w:noProof/>
          <w:sz w:val="24"/>
          <w:szCs w:val="24"/>
          <w:vertAlign w:val="superscript"/>
        </w:rPr>
        <w:t>14</w:t>
      </w:r>
      <w:r w:rsidRPr="00B80E84">
        <w:rPr>
          <w:rFonts w:ascii="Times New Roman" w:hAnsi="Times New Roman" w:cs="Times New Roman"/>
          <w:sz w:val="24"/>
          <w:szCs w:val="24"/>
        </w:rPr>
        <w:t>. These statistical constraints are well established in the literature</w:t>
      </w:r>
      <w:r w:rsidRPr="00B80E84">
        <w:rPr>
          <w:rFonts w:ascii="Times New Roman" w:hAnsi="Times New Roman" w:cs="Times New Roman"/>
          <w:noProof/>
          <w:sz w:val="24"/>
          <w:szCs w:val="24"/>
          <w:vertAlign w:val="superscript"/>
        </w:rPr>
        <w:t>4</w:t>
      </w:r>
      <w:r w:rsidRPr="00B80E84">
        <w:rPr>
          <w:rFonts w:ascii="Times New Roman" w:hAnsi="Times New Roman" w:cs="Times New Roman"/>
          <w:sz w:val="24"/>
          <w:szCs w:val="24"/>
        </w:rPr>
        <w:t xml:space="preserve">, yet are often overlooked in analyses.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Although theories of demographic strategies in variable environments have been widely tested among plants and animals</w:t>
      </w:r>
      <w:r w:rsidRPr="00B80E84">
        <w:rPr>
          <w:rFonts w:ascii="Times New Roman" w:hAnsi="Times New Roman" w:cs="Times New Roman"/>
          <w:noProof/>
          <w:sz w:val="24"/>
          <w:szCs w:val="24"/>
          <w:vertAlign w:val="superscript"/>
        </w:rPr>
        <w:t>4,7,15</w:t>
      </w:r>
      <w:r w:rsidRPr="00B80E84">
        <w:rPr>
          <w:rFonts w:ascii="Times New Roman" w:hAnsi="Times New Roman" w:cs="Times New Roman"/>
          <w:sz w:val="24"/>
          <w:szCs w:val="24"/>
        </w:rPr>
        <w:t>, to reveal the biological underpinnings of demographic patterns, we must first consider the influence of statistical constraints on both variance and importance. In doing so we are able to provide the first comparative assessment of the distribution of buffering and labile strategies across plant taxa.</w:t>
      </w:r>
    </w:p>
    <w:p w:rsidR="00E63627" w:rsidRPr="00B80E84" w:rsidRDefault="00E63627" w:rsidP="00E63627">
      <w:pPr>
        <w:keepNext/>
        <w:spacing w:line="480" w:lineRule="auto"/>
        <w:rPr>
          <w:rFonts w:ascii="Times New Roman" w:hAnsi="Times New Roman" w:cs="Times New Roman"/>
          <w:b/>
          <w:sz w:val="24"/>
          <w:szCs w:val="24"/>
        </w:rPr>
      </w:pPr>
      <w:r w:rsidRPr="00B80E84">
        <w:rPr>
          <w:rFonts w:ascii="Times New Roman" w:hAnsi="Times New Roman" w:cs="Times New Roman"/>
          <w:b/>
          <w:sz w:val="24"/>
          <w:szCs w:val="24"/>
        </w:rPr>
        <w:lastRenderedPageBreak/>
        <w:t>Results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To demonstrate the statistical artefact, we simulated 12000 random life histories as stage-structured population projection matrices (PPMs</w:t>
      </w:r>
      <w:r w:rsidRPr="00B80E84">
        <w:rPr>
          <w:rFonts w:ascii="Times New Roman" w:hAnsi="Times New Roman" w:cs="Times New Roman"/>
          <w:noProof/>
          <w:sz w:val="24"/>
          <w:szCs w:val="24"/>
          <w:vertAlign w:val="superscript"/>
        </w:rPr>
        <w:t>20</w:t>
      </w:r>
      <w:r w:rsidRPr="00B80E84">
        <w:rPr>
          <w:rFonts w:ascii="Times New Roman" w:hAnsi="Times New Roman" w:cs="Times New Roman"/>
          <w:sz w:val="24"/>
          <w:szCs w:val="24"/>
        </w:rPr>
        <w:t>; Supplementary Fig. 1). We created five temporal replicates of each life history to simulate annual variation. For each simulated time series of structured vital rates, we correlated importance (sensitivity) and variability (standard deviation) of demographic rates. This test for the DBH on simulated life histories revealed consistently negative correlations (96%; Supplementary Table 1), even in the complete absence of natural selection. Therefore, without statistical correction, any naïve analysis of demographic strategies in wild populations will tend to find evidence for the DBH.</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Resolving the relative prevalence of demographic buffering and lability requires a fair quantitative treatment. We applied a link-scaling correction that removes the functional relationship between mean and variance across rates</w:t>
      </w:r>
      <w:r w:rsidRPr="00B80E84">
        <w:rPr>
          <w:rFonts w:ascii="Times New Roman" w:hAnsi="Times New Roman" w:cs="Times New Roman"/>
          <w:noProof/>
          <w:sz w:val="24"/>
          <w:szCs w:val="24"/>
          <w:vertAlign w:val="superscript"/>
        </w:rPr>
        <w:t>14</w:t>
      </w:r>
      <w:r w:rsidRPr="00B80E84">
        <w:rPr>
          <w:rFonts w:ascii="Times New Roman" w:hAnsi="Times New Roman" w:cs="Times New Roman"/>
          <w:sz w:val="24"/>
          <w:szCs w:val="24"/>
        </w:rPr>
        <w:t xml:space="preserve"> to create variance-standardised values for measures of both variability and import</w:t>
      </w:r>
      <w:r w:rsidR="00DC3CB9" w:rsidRPr="00B80E84">
        <w:rPr>
          <w:rFonts w:ascii="Times New Roman" w:hAnsi="Times New Roman" w:cs="Times New Roman"/>
          <w:sz w:val="24"/>
          <w:szCs w:val="24"/>
        </w:rPr>
        <w:t>ance (see Supplementary Results</w:t>
      </w:r>
      <w:r w:rsidRPr="00B80E84">
        <w:rPr>
          <w:rFonts w:ascii="Times New Roman" w:hAnsi="Times New Roman" w:cs="Times New Roman"/>
          <w:sz w:val="24"/>
          <w:szCs w:val="24"/>
        </w:rPr>
        <w:t>). This framework successfully stabilised the structural relationship between the mean and variance both within and across demographic catego</w:t>
      </w:r>
      <w:r w:rsidR="00DC3CB9" w:rsidRPr="00B80E84">
        <w:rPr>
          <w:rFonts w:ascii="Times New Roman" w:hAnsi="Times New Roman" w:cs="Times New Roman"/>
          <w:sz w:val="24"/>
          <w:szCs w:val="24"/>
        </w:rPr>
        <w:t>ries (Supplementary Results</w:t>
      </w:r>
      <w:r w:rsidRPr="00B80E84">
        <w:rPr>
          <w:rFonts w:ascii="Times New Roman" w:hAnsi="Times New Roman" w:cs="Times New Roman"/>
          <w:sz w:val="24"/>
          <w:szCs w:val="24"/>
        </w:rPr>
        <w:t>; Supplementary Figs 2-5). Link scaling removed the spurious bias towards negative correlations in simulated life histories where evidence for demographic buffering should not exist (the prevalence of negative correlations dropped from 96% to 51%; Supplementary Table 1). Link-scaling therefore provides a method to deal with statistical constraints in demographic analyses, allow analyses to work with both demographic probabilities and rates, and better assesses evidence for different demographic strategies across wild populations.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Using data from the COMPADRE Plant Matrix Database</w:t>
      </w:r>
      <w:r w:rsidRPr="00B80E84">
        <w:rPr>
          <w:rFonts w:ascii="Times New Roman" w:hAnsi="Times New Roman" w:cs="Times New Roman"/>
          <w:noProof/>
          <w:sz w:val="24"/>
          <w:szCs w:val="24"/>
          <w:vertAlign w:val="superscript"/>
        </w:rPr>
        <w:t>21</w:t>
      </w:r>
      <w:r w:rsidRPr="00B80E84">
        <w:rPr>
          <w:rFonts w:ascii="Times New Roman" w:hAnsi="Times New Roman" w:cs="Times New Roman"/>
          <w:sz w:val="24"/>
          <w:szCs w:val="24"/>
        </w:rPr>
        <w:t xml:space="preserve">, we analyse correctly the demographic strategies of 141 different plant populations that are representative of 73 species drawn from a diverse range of plant evolutionary lineages, growth forms and habitats. </w:t>
      </w:r>
      <w:r w:rsidRPr="00B80E84">
        <w:rPr>
          <w:rFonts w:ascii="Times New Roman" w:hAnsi="Times New Roman" w:cs="Times New Roman"/>
          <w:sz w:val="24"/>
          <w:szCs w:val="24"/>
        </w:rPr>
        <w:lastRenderedPageBreak/>
        <w:t xml:space="preserve">Among wild plant populations the prevalence of negative correlations between the importance and variability of uncorrected demographic parameters was 87.2%. This dropped to 67.4% following link-scaling (Fig. 1), with correlations reversed in several individual cases (Supplementary Fig. 6). A mixture of negative, null and positive patterns highlights the existence of divergent demographic strategies (Fig. 1): selection on life histories has yielded species with sets of vital rates that are buffered against environmental change (negative correlations), and others that are labile (positive correlations).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Using Bayesian mixed effects models (MCMCglmm</w:t>
      </w:r>
      <w:r w:rsidRPr="00B80E84">
        <w:rPr>
          <w:rFonts w:ascii="Times New Roman" w:hAnsi="Times New Roman" w:cs="Times New Roman"/>
          <w:noProof/>
          <w:sz w:val="24"/>
          <w:szCs w:val="24"/>
          <w:vertAlign w:val="superscript"/>
        </w:rPr>
        <w:t>22</w:t>
      </w:r>
      <w:r w:rsidRPr="00B80E84">
        <w:rPr>
          <w:rFonts w:ascii="Times New Roman" w:hAnsi="Times New Roman" w:cs="Times New Roman"/>
          <w:sz w:val="24"/>
          <w:szCs w:val="24"/>
        </w:rPr>
        <w:t>) to account for shared evolutionary history revealed phylogenetic signal accounted for an important amount of heterogeneity in the evidence for demographic buffering (Table 1), resulting in a global mean correlation (at average life-stage complexity) not credibly different from zero across variance-standardised life histories (Fig. 2). As a consequence, evidence for demographic buffering in plants is reduced dramatically. The overall reduction in evidence for buffering, the phylogenetic signal and the reversal of strategies at an individual population level, reveal two things. First, there is a need to account for statistical constraints when assessing demographic strategies. Second, alternative demographic strategies exist across populations and species. Different plant groups distribute unevenly in the global spectrum o</w:t>
      </w:r>
      <w:r w:rsidR="00DC3CB9" w:rsidRPr="00B80E84">
        <w:rPr>
          <w:rFonts w:ascii="Times New Roman" w:hAnsi="Times New Roman" w:cs="Times New Roman"/>
          <w:sz w:val="24"/>
          <w:szCs w:val="24"/>
        </w:rPr>
        <w:t>f demographic strategies (Fig.</w:t>
      </w:r>
      <w:r w:rsidRPr="00B80E84">
        <w:rPr>
          <w:rFonts w:ascii="Times New Roman" w:hAnsi="Times New Roman" w:cs="Times New Roman"/>
          <w:sz w:val="24"/>
          <w:szCs w:val="24"/>
        </w:rPr>
        <w:t xml:space="preserve"> 3). Note there was no evidence of phylogenetic signal of uncorrected correlations (H</w:t>
      </w:r>
      <w:r w:rsidRPr="00B80E84">
        <w:rPr>
          <w:rFonts w:ascii="Times New Roman" w:hAnsi="Times New Roman" w:cs="Times New Roman"/>
          <w:sz w:val="24"/>
          <w:szCs w:val="24"/>
          <w:vertAlign w:val="superscript"/>
        </w:rPr>
        <w:t>2</w:t>
      </w:r>
      <w:r w:rsidRPr="00B80E84">
        <w:rPr>
          <w:rFonts w:ascii="Times New Roman" w:hAnsi="Times New Roman" w:cs="Times New Roman"/>
          <w:sz w:val="24"/>
          <w:szCs w:val="24"/>
        </w:rPr>
        <w:t xml:space="preserve">=0.003 (95% CRI 0.001-0.658)).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To investigate potential characteristics that influence demographic strategy, we tested whether proxies for environmental variability (latitude and ecoregion), demographic variability (mean variance standardised standard deviation across demographic parameters for each population</w:t>
      </w:r>
      <w:r w:rsidR="007E6D82" w:rsidRPr="00B80E84">
        <w:rPr>
          <w:rFonts w:ascii="Times New Roman" w:hAnsi="Times New Roman" w:cs="Times New Roman"/>
          <w:sz w:val="24"/>
          <w:szCs w:val="24"/>
        </w:rPr>
        <w:t>),</w:t>
      </w:r>
      <w:r w:rsidRPr="00B80E84">
        <w:rPr>
          <w:rFonts w:ascii="Times New Roman" w:hAnsi="Times New Roman" w:cs="Times New Roman"/>
          <w:sz w:val="24"/>
          <w:szCs w:val="24"/>
        </w:rPr>
        <w:t xml:space="preserve"> life history (life expectancy and number of lifestage classes)</w:t>
      </w:r>
      <w:r w:rsidR="007E6D82" w:rsidRPr="00B80E84">
        <w:rPr>
          <w:rFonts w:ascii="Times New Roman" w:hAnsi="Times New Roman" w:cs="Times New Roman"/>
          <w:sz w:val="24"/>
          <w:szCs w:val="24"/>
        </w:rPr>
        <w:t xml:space="preserve"> and ecology (invasive status)</w:t>
      </w:r>
      <w:r w:rsidRPr="00B80E84">
        <w:rPr>
          <w:rFonts w:ascii="Times New Roman" w:hAnsi="Times New Roman" w:cs="Times New Roman"/>
          <w:sz w:val="24"/>
          <w:szCs w:val="24"/>
        </w:rPr>
        <w:t xml:space="preserve"> affected the degree to which populations were buffered or labile. We consolidated our analysis to </w:t>
      </w:r>
      <w:r w:rsidR="007E6D82" w:rsidRPr="00B80E84">
        <w:rPr>
          <w:rFonts w:ascii="Times New Roman" w:hAnsi="Times New Roman" w:cs="Times New Roman"/>
          <w:sz w:val="24"/>
          <w:szCs w:val="24"/>
        </w:rPr>
        <w:t xml:space="preserve">four </w:t>
      </w:r>
      <w:r w:rsidRPr="00B80E84">
        <w:rPr>
          <w:rFonts w:ascii="Times New Roman" w:hAnsi="Times New Roman" w:cs="Times New Roman"/>
          <w:sz w:val="24"/>
          <w:szCs w:val="24"/>
        </w:rPr>
        <w:t xml:space="preserve">main predictors. First, lability might be more frequent in </w:t>
      </w:r>
      <w:r w:rsidRPr="00B80E84">
        <w:rPr>
          <w:rFonts w:ascii="Times New Roman" w:hAnsi="Times New Roman" w:cs="Times New Roman"/>
          <w:sz w:val="24"/>
          <w:szCs w:val="24"/>
        </w:rPr>
        <w:lastRenderedPageBreak/>
        <w:t>more variable environments where plasticity is favoured</w:t>
      </w:r>
      <w:r w:rsidRPr="00B80E84">
        <w:rPr>
          <w:rFonts w:ascii="Times New Roman" w:hAnsi="Times New Roman" w:cs="Times New Roman"/>
          <w:noProof/>
          <w:sz w:val="24"/>
          <w:szCs w:val="24"/>
          <w:vertAlign w:val="superscript"/>
        </w:rPr>
        <w:t>23,24</w:t>
      </w:r>
      <w:r w:rsidRPr="00B80E84">
        <w:rPr>
          <w:rFonts w:ascii="Times New Roman" w:hAnsi="Times New Roman" w:cs="Times New Roman"/>
          <w:sz w:val="24"/>
          <w:szCs w:val="24"/>
        </w:rPr>
        <w:t>, or less frequent due to extinction risks associated with environmental stochasticity</w:t>
      </w:r>
      <w:r w:rsidRPr="00B80E84">
        <w:rPr>
          <w:rFonts w:ascii="Times New Roman" w:hAnsi="Times New Roman" w:cs="Times New Roman"/>
          <w:noProof/>
          <w:sz w:val="24"/>
          <w:szCs w:val="24"/>
          <w:vertAlign w:val="superscript"/>
        </w:rPr>
        <w:t>1</w:t>
      </w:r>
      <w:r w:rsidRPr="00B80E84">
        <w:rPr>
          <w:rFonts w:ascii="Times New Roman" w:hAnsi="Times New Roman" w:cs="Times New Roman"/>
          <w:sz w:val="24"/>
          <w:szCs w:val="24"/>
        </w:rPr>
        <w:t>. Second, species experiencing more demographic variation might have less labile responses due to extinction risks associated with demographic stochasticity</w:t>
      </w:r>
      <w:r w:rsidRPr="00B80E84">
        <w:rPr>
          <w:rFonts w:ascii="Times New Roman" w:hAnsi="Times New Roman" w:cs="Times New Roman"/>
          <w:noProof/>
          <w:sz w:val="24"/>
          <w:szCs w:val="24"/>
          <w:vertAlign w:val="superscript"/>
        </w:rPr>
        <w:t>25</w:t>
      </w:r>
      <w:r w:rsidRPr="00B80E84">
        <w:rPr>
          <w:rFonts w:ascii="Times New Roman" w:hAnsi="Times New Roman" w:cs="Times New Roman"/>
          <w:sz w:val="24"/>
          <w:szCs w:val="24"/>
        </w:rPr>
        <w:t>. Third, short-lived species with simple life histories might have more labile responses, because those species are more likely to show convex reaction norms between fitness, vital rates and environmental conditions</w:t>
      </w:r>
      <w:r w:rsidRPr="00B80E84">
        <w:rPr>
          <w:rFonts w:ascii="Times New Roman" w:hAnsi="Times New Roman" w:cs="Times New Roman"/>
          <w:noProof/>
          <w:sz w:val="24"/>
          <w:szCs w:val="24"/>
          <w:vertAlign w:val="superscript"/>
        </w:rPr>
        <w:t>11</w:t>
      </w:r>
      <w:r w:rsidRPr="00B80E84">
        <w:rPr>
          <w:rFonts w:ascii="Times New Roman" w:hAnsi="Times New Roman" w:cs="Times New Roman"/>
          <w:sz w:val="24"/>
          <w:szCs w:val="24"/>
        </w:rPr>
        <w:t xml:space="preserve">. </w:t>
      </w:r>
      <w:r w:rsidR="007E6D82" w:rsidRPr="00B80E84">
        <w:rPr>
          <w:rFonts w:ascii="Times New Roman" w:hAnsi="Times New Roman" w:cs="Times New Roman"/>
          <w:sz w:val="24"/>
          <w:szCs w:val="24"/>
        </w:rPr>
        <w:t>Fourth,</w:t>
      </w:r>
      <w:r w:rsidRPr="00B80E84">
        <w:rPr>
          <w:rFonts w:ascii="Times New Roman" w:hAnsi="Times New Roman" w:cs="Times New Roman"/>
          <w:sz w:val="24"/>
          <w:szCs w:val="24"/>
        </w:rPr>
        <w:t xml:space="preserve"> we considered the possibility </w:t>
      </w:r>
      <w:r w:rsidR="007E6D82" w:rsidRPr="00B80E84">
        <w:rPr>
          <w:rFonts w:ascii="Times New Roman" w:hAnsi="Times New Roman" w:cs="Times New Roman"/>
          <w:sz w:val="24"/>
          <w:szCs w:val="24"/>
        </w:rPr>
        <w:t>that invasive species in their invaded range might be less adapted to their novel environments, might be unusually buffered or labile, and might be over- or under-represented in</w:t>
      </w:r>
      <w:r w:rsidRPr="00B80E84">
        <w:rPr>
          <w:rFonts w:ascii="Times New Roman" w:hAnsi="Times New Roman" w:cs="Times New Roman"/>
          <w:sz w:val="24"/>
          <w:szCs w:val="24"/>
        </w:rPr>
        <w:t xml:space="preserve"> </w:t>
      </w:r>
      <w:r w:rsidR="000F132B" w:rsidRPr="00B80E84">
        <w:rPr>
          <w:rFonts w:ascii="Times New Roman" w:hAnsi="Times New Roman" w:cs="Times New Roman"/>
          <w:sz w:val="24"/>
          <w:szCs w:val="24"/>
        </w:rPr>
        <w:t xml:space="preserve">the </w:t>
      </w:r>
      <w:r w:rsidRPr="00B80E84">
        <w:rPr>
          <w:rFonts w:ascii="Times New Roman" w:hAnsi="Times New Roman" w:cs="Times New Roman"/>
          <w:sz w:val="24"/>
          <w:szCs w:val="24"/>
        </w:rPr>
        <w:t>COMPADRE</w:t>
      </w:r>
      <w:r w:rsidR="000F132B" w:rsidRPr="00B80E84">
        <w:rPr>
          <w:rFonts w:ascii="Times New Roman" w:hAnsi="Times New Roman" w:cs="Times New Roman"/>
          <w:sz w:val="24"/>
          <w:szCs w:val="24"/>
        </w:rPr>
        <w:t xml:space="preserve"> database</w:t>
      </w:r>
      <w:r w:rsidRPr="00B80E84">
        <w:rPr>
          <w:rFonts w:ascii="Times New Roman" w:hAnsi="Times New Roman" w:cs="Times New Roman"/>
          <w:sz w:val="24"/>
          <w:szCs w:val="24"/>
        </w:rPr>
        <w:t xml:space="preserve">. Phylogenetically-informed MCMCglmm analysis found that buffering increased in strength with increasing number of lifestage classes, while proxies for environmental variation, demographic variation and invasive status had no credible influence (Supplementary Fig. 7).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The observation of stronger demographic buffering among species with more lifestages might be due to impacts on fitness of nonlinear averaging across concave reaction norms. It might reflect the ability of those species to spread risk among stage-specific vital rates. It might also be driven by a correlation between life history complexity and longevity, such that risks are spread among lifestages, across years. However, there are two alternative, statistical explanations. First, stronger evidence for demographic buffering might arise from a tendency of “simplified” models of life histories, with fewer stages, to under-predict the population’s degree of demographic buffering by averaging over peaks and troughs in the variation and importance of stage-specific rates of survival and fecundity</w:t>
      </w:r>
      <w:r w:rsidRPr="00B80E84">
        <w:rPr>
          <w:rFonts w:ascii="Times New Roman" w:hAnsi="Times New Roman" w:cs="Times New Roman"/>
          <w:noProof/>
          <w:sz w:val="24"/>
          <w:szCs w:val="24"/>
          <w:vertAlign w:val="superscript"/>
        </w:rPr>
        <w:t>26</w:t>
      </w:r>
      <w:r w:rsidRPr="00B80E84">
        <w:rPr>
          <w:rFonts w:ascii="Times New Roman" w:hAnsi="Times New Roman" w:cs="Times New Roman"/>
          <w:sz w:val="24"/>
          <w:szCs w:val="24"/>
        </w:rPr>
        <w:t>. Second, the inclusion of multiple demographic rates might simply increase the statistical power to detect any negative correlation between importance and variance.</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Discussion</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Despite suggestions that a range of demographic strategies can be selected for in variable environments, the weight of empirical evidence has, to date, favoured demographic buffering. However, issues of statistical scaling with measures of both sensitivity and variability, which are inherent in comparative analysis of demographic rates, despite being previously identified</w:t>
      </w:r>
      <w:r w:rsidRPr="00B80E84">
        <w:rPr>
          <w:rFonts w:ascii="Times New Roman" w:hAnsi="Times New Roman" w:cs="Times New Roman"/>
          <w:noProof/>
          <w:sz w:val="24"/>
          <w:szCs w:val="24"/>
          <w:vertAlign w:val="superscript"/>
        </w:rPr>
        <w:t>4,12,14</w:t>
      </w:r>
      <w:r w:rsidRPr="00B80E84">
        <w:rPr>
          <w:rFonts w:ascii="Times New Roman" w:hAnsi="Times New Roman" w:cs="Times New Roman"/>
          <w:sz w:val="24"/>
          <w:szCs w:val="24"/>
        </w:rPr>
        <w:t>, are commonly neglected. We have accounted for mean-variance relationships across demographic rates, and revealed a continuum of demographic strategies across the plant kingdom, from demographic buffering to demographic lability. An important challenge is now to understand the environmental, phylogenetic and demographic properties that favour buffering or lability</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Our observation, that buffering is more likely among species with many lifestages, supports the contention that lability is more likely among short-lived species, because they exploit nonlinear averaging across convex reaction norms</w:t>
      </w:r>
      <w:r w:rsidRPr="00B80E84">
        <w:rPr>
          <w:rFonts w:ascii="Times New Roman" w:hAnsi="Times New Roman" w:cs="Times New Roman"/>
          <w:noProof/>
          <w:sz w:val="24"/>
          <w:szCs w:val="24"/>
          <w:vertAlign w:val="superscript"/>
        </w:rPr>
        <w:t>11</w:t>
      </w:r>
      <w:r w:rsidRPr="00B80E84">
        <w:rPr>
          <w:rFonts w:ascii="Times New Roman" w:hAnsi="Times New Roman" w:cs="Times New Roman"/>
          <w:sz w:val="24"/>
          <w:szCs w:val="24"/>
        </w:rPr>
        <w:t xml:space="preserve">. This was also supported by evidence for lability within a group of herbaceous perennials in the subfamily Asteroideae, of the family Asteraceae, whose average life expectancies were all less than 18 months. However, we also find lability to be present among some long-lived trees (e.g. firs, genus </w:t>
      </w:r>
      <w:r w:rsidRPr="00B80E84">
        <w:rPr>
          <w:rFonts w:ascii="Times New Roman" w:hAnsi="Times New Roman" w:cs="Times New Roman"/>
          <w:i/>
          <w:sz w:val="24"/>
          <w:szCs w:val="24"/>
        </w:rPr>
        <w:t>Abies</w:t>
      </w:r>
      <w:r w:rsidRPr="00B80E84">
        <w:rPr>
          <w:rFonts w:ascii="Times New Roman" w:hAnsi="Times New Roman" w:cs="Times New Roman"/>
          <w:sz w:val="24"/>
          <w:szCs w:val="24"/>
        </w:rPr>
        <w:t>), even when controlling for number of lifestages. This runs counter to the argument that only short-lived species should be labile. We consider three explanations for lability among some trees. First, long-lived plants might spread their reproductive output across several years, and can therefore hedge their bets against environmental fluctuations</w:t>
      </w:r>
      <w:r w:rsidRPr="00B80E84">
        <w:rPr>
          <w:rFonts w:ascii="Times New Roman" w:hAnsi="Times New Roman" w:cs="Times New Roman"/>
          <w:noProof/>
          <w:sz w:val="24"/>
          <w:szCs w:val="24"/>
          <w:vertAlign w:val="superscript"/>
        </w:rPr>
        <w:t>27</w:t>
      </w:r>
      <w:r w:rsidRPr="00B80E84">
        <w:rPr>
          <w:rFonts w:ascii="Times New Roman" w:hAnsi="Times New Roman" w:cs="Times New Roman"/>
          <w:sz w:val="24"/>
          <w:szCs w:val="24"/>
        </w:rPr>
        <w:t>. Second, greater storage of resources in large adult lifestages might allow them to exploit good reproductive and/or growth conditions in a stochastic environment</w:t>
      </w:r>
      <w:r w:rsidRPr="00B80E84">
        <w:rPr>
          <w:rFonts w:ascii="Times New Roman" w:hAnsi="Times New Roman" w:cs="Times New Roman"/>
          <w:noProof/>
          <w:sz w:val="24"/>
          <w:szCs w:val="24"/>
          <w:vertAlign w:val="superscript"/>
        </w:rPr>
        <w:t>16,28</w:t>
      </w:r>
      <w:r w:rsidRPr="00B80E84">
        <w:rPr>
          <w:rFonts w:ascii="Times New Roman" w:hAnsi="Times New Roman" w:cs="Times New Roman"/>
          <w:sz w:val="24"/>
          <w:szCs w:val="24"/>
        </w:rPr>
        <w:t xml:space="preserve">, but suffer little loss in bad years. Third, trees might persist only in predictable environments where buffering is not required and the cost of lability is reduced.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Better understanding of links between life history and environmental fluctuations should inform management strategies for endangered or invasive species, particularly in the face of </w:t>
      </w:r>
      <w:r w:rsidRPr="00B80E84">
        <w:rPr>
          <w:rFonts w:ascii="Times New Roman" w:hAnsi="Times New Roman" w:cs="Times New Roman"/>
          <w:sz w:val="24"/>
          <w:szCs w:val="24"/>
        </w:rPr>
        <w:lastRenderedPageBreak/>
        <w:t xml:space="preserve">present and future environmental change. However we currently lack the environmental data to capture such effects using the COMPADRE database. This suggests a rich future research programme to discover the ecological, evolutionary and environmental predictors of demographic strategy. </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Methods</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Empirical data</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Demographic data was obtained from an open source, online repository of plant PPMs (COMPADRE</w:t>
      </w:r>
      <w:r w:rsidRPr="00B80E84">
        <w:rPr>
          <w:rFonts w:ascii="Times New Roman" w:hAnsi="Times New Roman" w:cs="Times New Roman"/>
          <w:noProof/>
          <w:sz w:val="24"/>
          <w:szCs w:val="24"/>
          <w:vertAlign w:val="superscript"/>
        </w:rPr>
        <w:t>21</w:t>
      </w:r>
      <w:r w:rsidRPr="00B80E84">
        <w:rPr>
          <w:rFonts w:ascii="Times New Roman" w:hAnsi="Times New Roman" w:cs="Times New Roman"/>
          <w:sz w:val="24"/>
          <w:szCs w:val="24"/>
        </w:rPr>
        <w:t>). These matrices summarize the life cycle transitions for over 500 plant species, such as rates of stasis, progression and recruitment for stage-based matrices. Only replicated studies of the same population, using a yearly time period, were included. Therefore we excluded mean PPMs (where demographic traits have been averaged across time), studies of populations undergoing experimental treatment and PPMs quantifying seasonal transitions (&lt; 1 year). Reducible and non-ergodic matrices were also removed to prevent potential problems associated with these model structures</w:t>
      </w:r>
      <w:r w:rsidRPr="00B80E84">
        <w:rPr>
          <w:rFonts w:ascii="Times New Roman" w:hAnsi="Times New Roman" w:cs="Times New Roman"/>
          <w:noProof/>
          <w:sz w:val="24"/>
          <w:szCs w:val="24"/>
          <w:vertAlign w:val="superscript"/>
        </w:rPr>
        <w:t>29</w:t>
      </w:r>
      <w:r w:rsidRPr="00B80E84">
        <w:rPr>
          <w:rFonts w:ascii="Times New Roman" w:hAnsi="Times New Roman" w:cs="Times New Roman"/>
          <w:sz w:val="24"/>
          <w:szCs w:val="24"/>
        </w:rPr>
        <w:t xml:space="preserve">. To prevent conflicting demographic rates and probabilities we used matrices in COMPADRE where the matrix population model </w:t>
      </w:r>
      <w:r w:rsidRPr="00B80E84">
        <w:rPr>
          <w:rFonts w:ascii="Times New Roman" w:hAnsi="Times New Roman" w:cs="Times New Roman"/>
          <w:bCs/>
          <w:iCs/>
          <w:sz w:val="24"/>
          <w:szCs w:val="24"/>
        </w:rPr>
        <w:t>had been</w:t>
      </w:r>
      <w:r w:rsidRPr="00B80E84">
        <w:rPr>
          <w:rFonts w:ascii="Times New Roman" w:hAnsi="Times New Roman" w:cs="Times New Roman"/>
          <w:sz w:val="24"/>
          <w:szCs w:val="24"/>
        </w:rPr>
        <w:t xml:space="preserve"> divided into the process based submatrices, enabling us to identify and distinguish between survival based transitions and reproduction (both sexual and clonal).</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Matrices were classified by species, matrix dimension, as well as replicate population, to ensure calculations of variability were of temporal and not spatial origin. Only demographic data that spanned a minimum of three annual transitions were included, with the number of temporal replicates ranging from three to 12 matrices per population.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 xml:space="preserve">A total of 839 PPMs describing 141 different populations representing 73 unique species satisfied our demographic requirements and were included in the analysis. </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Simulated data</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We generated a series of 12000 random populations. For every population, five replicate matrices were generated (five years was the mean number of replicates in the plant demographic data). The dimensions of the simulated PPMs were set to lie between four and 15 classes, with 1000 populations randomly generated for each matrix dimension.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The Lefkovitch matrix structure</w:t>
      </w:r>
      <w:r w:rsidRPr="00B80E84">
        <w:rPr>
          <w:rFonts w:ascii="Times New Roman" w:hAnsi="Times New Roman" w:cs="Times New Roman"/>
          <w:noProof/>
          <w:sz w:val="24"/>
          <w:szCs w:val="24"/>
          <w:vertAlign w:val="superscript"/>
        </w:rPr>
        <w:t>30</w:t>
      </w:r>
      <w:r w:rsidRPr="00B80E84">
        <w:rPr>
          <w:rFonts w:ascii="Times New Roman" w:hAnsi="Times New Roman" w:cs="Times New Roman"/>
          <w:sz w:val="24"/>
          <w:szCs w:val="24"/>
        </w:rPr>
        <w:t>, composed of stage classes, was chosen to represent our simulated life histories. We simulated stage-specific survival and growth probabilities (σ and γ, respectively) and stage-specific rates of reproduction (φ). Surviving individuals either remained in stage i (stasis = σ</w:t>
      </w:r>
      <w:r w:rsidRPr="00B80E84">
        <w:rPr>
          <w:rFonts w:ascii="Times New Roman" w:hAnsi="Times New Roman" w:cs="Times New Roman"/>
          <w:sz w:val="24"/>
          <w:szCs w:val="24"/>
          <w:vertAlign w:val="subscript"/>
        </w:rPr>
        <w:t>i</w:t>
      </w:r>
      <w:r w:rsidRPr="00B80E84">
        <w:rPr>
          <w:rFonts w:ascii="Times New Roman" w:hAnsi="Times New Roman" w:cs="Times New Roman"/>
          <w:sz w:val="24"/>
          <w:szCs w:val="24"/>
        </w:rPr>
        <w:t xml:space="preserve"> (1- γ</w:t>
      </w:r>
      <w:r w:rsidRPr="00B80E84">
        <w:rPr>
          <w:rFonts w:ascii="Times New Roman" w:hAnsi="Times New Roman" w:cs="Times New Roman"/>
          <w:sz w:val="24"/>
          <w:szCs w:val="24"/>
          <w:vertAlign w:val="subscript"/>
        </w:rPr>
        <w:t>i</w:t>
      </w:r>
      <w:r w:rsidRPr="00B80E84">
        <w:rPr>
          <w:rFonts w:ascii="Times New Roman" w:hAnsi="Times New Roman" w:cs="Times New Roman"/>
          <w:sz w:val="24"/>
          <w:szCs w:val="24"/>
        </w:rPr>
        <w:t>)) or moved to the next stage class i+1 (progression = σ</w:t>
      </w:r>
      <w:r w:rsidRPr="00B80E84">
        <w:rPr>
          <w:rFonts w:ascii="Times New Roman" w:hAnsi="Times New Roman" w:cs="Times New Roman"/>
          <w:sz w:val="24"/>
          <w:szCs w:val="24"/>
          <w:vertAlign w:val="subscript"/>
        </w:rPr>
        <w:t xml:space="preserve">i </w:t>
      </w:r>
      <w:r w:rsidRPr="00B80E84">
        <w:rPr>
          <w:rFonts w:ascii="Times New Roman" w:hAnsi="Times New Roman" w:cs="Times New Roman"/>
          <w:sz w:val="24"/>
          <w:szCs w:val="24"/>
        </w:rPr>
        <w:t>γ</w:t>
      </w:r>
      <w:r w:rsidRPr="00B80E84">
        <w:rPr>
          <w:rFonts w:ascii="Times New Roman" w:hAnsi="Times New Roman" w:cs="Times New Roman"/>
          <w:sz w:val="24"/>
          <w:szCs w:val="24"/>
          <w:vertAlign w:val="subscript"/>
        </w:rPr>
        <w:t>i</w:t>
      </w:r>
      <w:r w:rsidRPr="00B80E84">
        <w:rPr>
          <w:rFonts w:ascii="Times New Roman" w:hAnsi="Times New Roman" w:cs="Times New Roman"/>
          <w:sz w:val="24"/>
          <w:szCs w:val="24"/>
        </w:rPr>
        <w:t xml:space="preserve">). For simplicity we did not incorporate negative growth or retrogression. We assumed a pre-breeding census so that the reproduction elements in the first row did not include survival of adults. We also assumed survival occurred before transition, that is transition from stage class i required survival of individuals in stage i.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Demographic parameters were randomly generated for every non-zero matrix entry. Parameters bounded between zero and one (survival σ and growth γ) were initially simulated from a uniform distribution between these two values. To generate temporal variability in these vital rates, replicate values were drawn from a normal distribution specifying the logit-transformed vital rate as the mean and a standard deviation of one, thus variation was equivalent across all vital rates. The inverse-logit transformation then scaled the parameters to lie between zero and one. The subsequent value for each matrix coefficient was calculated from these vital rates using the equations in Supplementary Fig. 1. The bounded probability </w:t>
      </w:r>
      <w:r w:rsidRPr="00B80E84">
        <w:rPr>
          <w:rFonts w:ascii="Times New Roman" w:hAnsi="Times New Roman" w:cs="Times New Roman"/>
          <w:sz w:val="24"/>
          <w:szCs w:val="24"/>
        </w:rPr>
        <w:lastRenderedPageBreak/>
        <w:t xml:space="preserve">nature of the vital rates (σ and γ) guarantees that stasis and progression rates from each stage class cannot sum to more than one. </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Initial mean reproduction rates (φ) were randomly sampled from a uniform distribution between 2 and 8. To generate temporal variation in these rates, replicate values were drawn from a normal distribution specifying the log-transformed reproductive rate as the mean and a standard deviation of one. The exponential function then back-transformed the parameters, ensuring values did not fall below zero. The choice of one for standard deviation was representative of plant demographies, and changing this value did not qualitatively change the results.</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Observing the mean variance relationship</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For every simulated and average matrix from COMPADRE we estimated the variation of each matrix entry in terms of the standard deviation (sd) of the mean and also the coefficient of variation (CV; σ/µ). </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Testing the demographic buffering hypothesis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We tested for evidence of demographic buffering by exploring whether the standard deviation of matrix entries correlated with the contribution of a demographic rate to population growth, estimated as its sensitivity, for the simulated dataset and for the COMPADRE populations. Measures of absolute perturbations (sensitivity) were estimated using the popdemo package</w:t>
      </w:r>
      <w:r w:rsidRPr="00B80E84">
        <w:rPr>
          <w:rFonts w:ascii="Times New Roman" w:hAnsi="Times New Roman" w:cs="Times New Roman"/>
          <w:noProof/>
          <w:sz w:val="24"/>
          <w:szCs w:val="24"/>
          <w:vertAlign w:val="superscript"/>
        </w:rPr>
        <w:t>31</w:t>
      </w:r>
      <w:r w:rsidRPr="00B80E84">
        <w:rPr>
          <w:rFonts w:ascii="Times New Roman" w:hAnsi="Times New Roman" w:cs="Times New Roman"/>
          <w:sz w:val="24"/>
          <w:szCs w:val="24"/>
        </w:rPr>
        <w:t xml:space="preserve"> in R</w:t>
      </w:r>
      <w:r w:rsidRPr="00B80E84">
        <w:rPr>
          <w:rFonts w:ascii="Times New Roman" w:hAnsi="Times New Roman" w:cs="Times New Roman"/>
          <w:noProof/>
          <w:sz w:val="24"/>
          <w:szCs w:val="24"/>
          <w:vertAlign w:val="superscript"/>
        </w:rPr>
        <w:t>32</w:t>
      </w:r>
      <w:r w:rsidRPr="00B80E84">
        <w:rPr>
          <w:rFonts w:ascii="Times New Roman" w:hAnsi="Times New Roman" w:cs="Times New Roman"/>
          <w:sz w:val="24"/>
          <w:szCs w:val="24"/>
        </w:rPr>
        <w:t xml:space="preserve">.  We looked at the direction (positive/negative) of Spearman rank coefficients to provide insight into the ubiquity of negative associations, and the mean correlation coefficient (and 95% confidence intervals) to indicate the strength of the associations. </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Link-scaling</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We used a transformation approach to account for dissimilar demographic scales and heterogeneity of sensitivity estimates</w:t>
      </w:r>
      <w:r w:rsidRPr="00B80E84">
        <w:rPr>
          <w:rFonts w:ascii="Times New Roman" w:hAnsi="Times New Roman" w:cs="Times New Roman"/>
          <w:noProof/>
          <w:sz w:val="24"/>
          <w:szCs w:val="24"/>
          <w:vertAlign w:val="superscript"/>
        </w:rPr>
        <w:t>14</w:t>
      </w:r>
      <w:r w:rsidRPr="00B80E84">
        <w:rPr>
          <w:rFonts w:ascii="Times New Roman" w:hAnsi="Times New Roman" w:cs="Times New Roman"/>
          <w:sz w:val="24"/>
          <w:szCs w:val="24"/>
        </w:rPr>
        <w:t>. To achieve this, matrix entries were corrected by logit- and log- transformation of demographic probabilities (stasis and growth) and demographic rates (reproduction or recruitment) respectively. Specifically, for matrix entries that are probabilities (θ; e.g. survival and growth between classes) the variance is dependent upon the mean (µ). This restriction arises because</w:t>
      </w:r>
      <w:r w:rsidRPr="00B80E84">
        <w:rPr>
          <w:rFonts w:ascii="Times New Roman" w:hAnsi="Times New Roman" w:cs="Times New Roman"/>
          <w:noProof/>
          <w:sz w:val="24"/>
          <w:szCs w:val="24"/>
          <w:vertAlign w:val="superscript"/>
        </w:rPr>
        <w:t>14</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0 ≤ Var (θ) ≤ µ(1-µ)</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To avoid this, and ensure survival and mortality have equal rankings, we apply a variance-stabilizing transformation to sensitivity calculations. We use logit variance stabilised sensitivity (VSS), logit (θ) = ln (θ/ (1-θ)) and applied the following formula adapted from Link and Doherty Jr </w:t>
      </w:r>
      <w:r w:rsidRPr="00B80E84">
        <w:rPr>
          <w:rFonts w:ascii="Times New Roman" w:hAnsi="Times New Roman" w:cs="Times New Roman"/>
          <w:noProof/>
          <w:sz w:val="24"/>
          <w:szCs w:val="24"/>
          <w:vertAlign w:val="superscript"/>
        </w:rPr>
        <w:t>14</w:t>
      </w:r>
      <w:r w:rsidRPr="00B80E84">
        <w:rPr>
          <w:rFonts w:ascii="Times New Roman" w:hAnsi="Times New Roman" w:cs="Times New Roman"/>
          <w:sz w:val="24"/>
          <w:szCs w:val="24"/>
        </w:rPr>
        <w:t xml:space="preserve">, logit VSS = </w:t>
      </w:r>
      <w:r w:rsidRPr="00B80E84">
        <w:rPr>
          <w:rFonts w:ascii="Times New Roman" w:hAnsi="Times New Roman" w:cs="Times New Roman"/>
          <w:sz w:val="24"/>
          <w:szCs w:val="24"/>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v:imagedata r:id="rId8" o:title=""/>
          </v:shape>
          <o:OLEObject Type="Embed" ProgID="Equation.DSMT4" ShapeID="_x0000_i1025" DrawAspect="Content" ObjectID="_1547550206" r:id="rId9"/>
        </w:object>
      </w:r>
      <w:r w:rsidRPr="00B80E84">
        <w:rPr>
          <w:rFonts w:ascii="Times New Roman" w:hAnsi="Times New Roman" w:cs="Times New Roman"/>
          <w:sz w:val="24"/>
          <w:szCs w:val="24"/>
        </w:rPr>
        <w:t>. For fecundities, which are constrained below by zero but can have any positive value, the logarithm transforms the parameter to a scale on which changes are independent of the mean</w:t>
      </w:r>
      <w:r w:rsidRPr="00B80E84">
        <w:rPr>
          <w:rFonts w:ascii="Times New Roman" w:hAnsi="Times New Roman" w:cs="Times New Roman"/>
          <w:noProof/>
          <w:sz w:val="24"/>
          <w:szCs w:val="24"/>
          <w:vertAlign w:val="superscript"/>
        </w:rPr>
        <w:t>14</w:t>
      </w:r>
      <w:r w:rsidRPr="00B80E84">
        <w:rPr>
          <w:rFonts w:ascii="Times New Roman" w:hAnsi="Times New Roman" w:cs="Times New Roman"/>
          <w:sz w:val="24"/>
          <w:szCs w:val="24"/>
        </w:rPr>
        <w:t>, thus we applied log–scaled sensitivity (elasticity).  Additionally, we applied a logit transformation to probabilities and log transformed rates to every replicate matrix to calculate a matrix of link-scaled standard deviations for each population. The simulated and COMPADRE dataset was retested using link-scaling in addition to observing the mean-variance relationship. We also tested that link-scaling removed within species associations between the variance and mean of demographic rates.</w:t>
      </w:r>
    </w:p>
    <w:p w:rsidR="00E63627" w:rsidRPr="00B80E84" w:rsidRDefault="00E63627" w:rsidP="00E63627">
      <w:pPr>
        <w:spacing w:line="480" w:lineRule="auto"/>
        <w:rPr>
          <w:rFonts w:ascii="Times New Roman" w:hAnsi="Times New Roman" w:cs="Times New Roman"/>
          <w:sz w:val="24"/>
          <w:szCs w:val="24"/>
          <w:lang w:val="en-US"/>
        </w:rPr>
      </w:pPr>
      <w:r w:rsidRPr="00B80E84">
        <w:rPr>
          <w:rFonts w:ascii="Times New Roman" w:hAnsi="Times New Roman" w:cs="Times New Roman"/>
          <w:sz w:val="24"/>
          <w:szCs w:val="24"/>
        </w:rPr>
        <w:t>We initially applied an intercept only model to test whether the (overall) mean of the correlation coefficients was different from zero. We also tested for the effect of environmental variability, demographic variability and life</w:t>
      </w:r>
      <w:r w:rsidR="00E4130E" w:rsidRPr="00B80E84">
        <w:rPr>
          <w:rFonts w:ascii="Times New Roman" w:hAnsi="Times New Roman" w:cs="Times New Roman"/>
          <w:sz w:val="24"/>
          <w:szCs w:val="24"/>
        </w:rPr>
        <w:t xml:space="preserve"> </w:t>
      </w:r>
      <w:r w:rsidRPr="00B80E84">
        <w:rPr>
          <w:rFonts w:ascii="Times New Roman" w:hAnsi="Times New Roman" w:cs="Times New Roman"/>
          <w:sz w:val="24"/>
          <w:szCs w:val="24"/>
        </w:rPr>
        <w:t xml:space="preserve">history. Two covariates were used to explore whether environmental variability informs demographic strategy; </w:t>
      </w:r>
      <w:r w:rsidRPr="00B80E84">
        <w:rPr>
          <w:rFonts w:ascii="Times New Roman" w:hAnsi="Times New Roman" w:cs="Times New Roman"/>
          <w:i/>
          <w:sz w:val="24"/>
          <w:szCs w:val="24"/>
        </w:rPr>
        <w:t>latitude</w:t>
      </w:r>
      <w:r w:rsidRPr="00B80E84">
        <w:rPr>
          <w:rFonts w:ascii="Times New Roman" w:hAnsi="Times New Roman" w:cs="Times New Roman"/>
          <w:sz w:val="24"/>
          <w:szCs w:val="24"/>
        </w:rPr>
        <w:t xml:space="preserve"> and </w:t>
      </w:r>
      <w:r w:rsidRPr="00B80E84">
        <w:rPr>
          <w:rFonts w:ascii="Times New Roman" w:hAnsi="Times New Roman" w:cs="Times New Roman"/>
          <w:i/>
          <w:sz w:val="24"/>
          <w:szCs w:val="24"/>
        </w:rPr>
        <w:lastRenderedPageBreak/>
        <w:t>ecoregions</w:t>
      </w:r>
      <w:r w:rsidRPr="00B80E84">
        <w:rPr>
          <w:rFonts w:ascii="Times New Roman" w:hAnsi="Times New Roman" w:cs="Times New Roman"/>
          <w:sz w:val="24"/>
          <w:szCs w:val="24"/>
        </w:rPr>
        <w:t>. The ecoregions in COMPADRE were collapsed into major habitat classes to increase the statistical power: Alpine &amp; Arctic, Arid, Temperate and Tropical and Subtropical</w:t>
      </w:r>
      <w:r w:rsidRPr="00B80E84">
        <w:rPr>
          <w:rFonts w:ascii="Times New Roman" w:hAnsi="Times New Roman" w:cs="Times New Roman"/>
          <w:noProof/>
          <w:sz w:val="24"/>
          <w:szCs w:val="24"/>
          <w:vertAlign w:val="superscript"/>
        </w:rPr>
        <w:t>33</w:t>
      </w:r>
      <w:r w:rsidRPr="00B80E84">
        <w:rPr>
          <w:rFonts w:ascii="Times New Roman" w:hAnsi="Times New Roman" w:cs="Times New Roman"/>
          <w:sz w:val="24"/>
          <w:szCs w:val="24"/>
        </w:rPr>
        <w:t xml:space="preserve">. To test whether demographic variability influenced demographic strategy we used the </w:t>
      </w:r>
      <w:r w:rsidRPr="00B80E84">
        <w:rPr>
          <w:rFonts w:ascii="Times New Roman" w:hAnsi="Times New Roman" w:cs="Times New Roman"/>
          <w:i/>
          <w:sz w:val="24"/>
          <w:szCs w:val="24"/>
        </w:rPr>
        <w:t>mean variance standardised standard deviation</w:t>
      </w:r>
      <w:r w:rsidRPr="00B80E84">
        <w:rPr>
          <w:rFonts w:ascii="Times New Roman" w:hAnsi="Times New Roman" w:cs="Times New Roman"/>
          <w:sz w:val="24"/>
          <w:szCs w:val="24"/>
        </w:rPr>
        <w:t xml:space="preserve"> as a predictor value. This was calculated for each population from the variance standardised standard deviations of vital rates. </w:t>
      </w:r>
      <w:r w:rsidRPr="00B80E84">
        <w:rPr>
          <w:rFonts w:ascii="Times New Roman" w:hAnsi="Times New Roman" w:cs="Times New Roman"/>
          <w:i/>
          <w:sz w:val="24"/>
          <w:szCs w:val="24"/>
        </w:rPr>
        <w:t>Life expectancy</w:t>
      </w:r>
      <w:r w:rsidRPr="00B80E84">
        <w:rPr>
          <w:rFonts w:ascii="Times New Roman" w:hAnsi="Times New Roman" w:cs="Times New Roman"/>
          <w:sz w:val="24"/>
          <w:szCs w:val="24"/>
        </w:rPr>
        <w:t xml:space="preserve"> was calculated as a life history index, as the mean time to death given that the individual starts in the first year of their lifecycle. This was calculated from the fundamental matrix (N) of a transition matrix that includes transitions that depend only on survival. Methods described in </w:t>
      </w:r>
      <w:r w:rsidRPr="00B80E84">
        <w:rPr>
          <w:rFonts w:ascii="Times New Roman" w:hAnsi="Times New Roman" w:cs="Times New Roman"/>
          <w:noProof/>
          <w:sz w:val="24"/>
          <w:szCs w:val="24"/>
        </w:rPr>
        <w:t>Caswell</w:t>
      </w:r>
      <w:r w:rsidRPr="00B80E84">
        <w:rPr>
          <w:rFonts w:ascii="Times New Roman" w:hAnsi="Times New Roman" w:cs="Times New Roman"/>
          <w:noProof/>
          <w:sz w:val="24"/>
          <w:szCs w:val="24"/>
          <w:vertAlign w:val="superscript"/>
        </w:rPr>
        <w:t>20</w:t>
      </w:r>
      <w:r w:rsidRPr="00B80E84">
        <w:rPr>
          <w:rFonts w:ascii="Times New Roman" w:hAnsi="Times New Roman" w:cs="Times New Roman"/>
          <w:noProof/>
          <w:sz w:val="24"/>
          <w:szCs w:val="24"/>
        </w:rPr>
        <w:t xml:space="preserve"> </w:t>
      </w:r>
      <w:r w:rsidRPr="00B80E84">
        <w:rPr>
          <w:rFonts w:ascii="Times New Roman" w:hAnsi="Times New Roman" w:cs="Times New Roman"/>
          <w:sz w:val="24"/>
          <w:szCs w:val="24"/>
        </w:rPr>
        <w:t xml:space="preserve">. The number of </w:t>
      </w:r>
      <w:r w:rsidRPr="00B80E84">
        <w:rPr>
          <w:rFonts w:ascii="Times New Roman" w:hAnsi="Times New Roman" w:cs="Times New Roman"/>
          <w:i/>
          <w:sz w:val="24"/>
          <w:szCs w:val="24"/>
        </w:rPr>
        <w:t>stage classes</w:t>
      </w:r>
      <w:r w:rsidRPr="00B80E84">
        <w:rPr>
          <w:rFonts w:ascii="Times New Roman" w:hAnsi="Times New Roman" w:cs="Times New Roman"/>
          <w:sz w:val="24"/>
          <w:szCs w:val="24"/>
        </w:rPr>
        <w:t xml:space="preserve"> was also included as a measure of life history complexity. </w:t>
      </w:r>
      <w:r w:rsidR="00DC3CB9" w:rsidRPr="00B80E84">
        <w:rPr>
          <w:rFonts w:ascii="Times New Roman" w:hAnsi="Times New Roman" w:cs="Times New Roman"/>
          <w:sz w:val="24"/>
          <w:szCs w:val="24"/>
        </w:rPr>
        <w:t>Additionally, to account for</w:t>
      </w:r>
      <w:r w:rsidRPr="00B80E84">
        <w:rPr>
          <w:rFonts w:ascii="Times New Roman" w:hAnsi="Times New Roman" w:cs="Times New Roman"/>
          <w:sz w:val="24"/>
          <w:szCs w:val="24"/>
        </w:rPr>
        <w:t xml:space="preserve"> potential bias in species studied we incorporated </w:t>
      </w:r>
      <w:r w:rsidRPr="00B80E84">
        <w:rPr>
          <w:rFonts w:ascii="Times New Roman" w:hAnsi="Times New Roman" w:cs="Times New Roman"/>
          <w:i/>
          <w:sz w:val="24"/>
          <w:szCs w:val="24"/>
        </w:rPr>
        <w:t>invasive status</w:t>
      </w:r>
      <w:r w:rsidRPr="00B80E84">
        <w:rPr>
          <w:rFonts w:ascii="Times New Roman" w:hAnsi="Times New Roman" w:cs="Times New Roman"/>
          <w:sz w:val="24"/>
          <w:szCs w:val="24"/>
        </w:rPr>
        <w:t xml:space="preserve">. </w:t>
      </w:r>
      <w:r w:rsidRPr="00B80E84">
        <w:rPr>
          <w:rFonts w:ascii="Times New Roman" w:hAnsi="Times New Roman" w:cs="Times New Roman"/>
          <w:sz w:val="24"/>
          <w:szCs w:val="24"/>
          <w:lang w:val="en-US"/>
        </w:rPr>
        <w:t>Each of the plant species was classified as native or invasive at the location in which they were studied. Plant status was determined by searching the Global Invasive Species Database (GISD)</w:t>
      </w:r>
      <w:r w:rsidRPr="00B80E84">
        <w:rPr>
          <w:rFonts w:ascii="Times New Roman" w:hAnsi="Times New Roman" w:cs="Times New Roman"/>
          <w:noProof/>
          <w:sz w:val="24"/>
          <w:szCs w:val="24"/>
          <w:vertAlign w:val="superscript"/>
          <w:lang w:val="en-US"/>
        </w:rPr>
        <w:t>34</w:t>
      </w:r>
      <w:r w:rsidRPr="00B80E84">
        <w:rPr>
          <w:rFonts w:ascii="Times New Roman" w:hAnsi="Times New Roman" w:cs="Times New Roman"/>
          <w:sz w:val="24"/>
          <w:szCs w:val="24"/>
          <w:lang w:val="en-US"/>
        </w:rPr>
        <w:t>, the Invasive Species Compendium</w:t>
      </w:r>
      <w:r w:rsidRPr="00B80E84">
        <w:rPr>
          <w:rFonts w:ascii="Times New Roman" w:hAnsi="Times New Roman" w:cs="Times New Roman"/>
          <w:noProof/>
          <w:sz w:val="24"/>
          <w:szCs w:val="24"/>
          <w:vertAlign w:val="superscript"/>
          <w:lang w:val="en-US"/>
        </w:rPr>
        <w:t>35</w:t>
      </w:r>
      <w:r w:rsidRPr="00B80E84">
        <w:rPr>
          <w:rFonts w:ascii="Times New Roman" w:hAnsi="Times New Roman" w:cs="Times New Roman"/>
          <w:sz w:val="24"/>
          <w:szCs w:val="24"/>
          <w:lang w:val="en-US"/>
        </w:rPr>
        <w:t>, the Australian Invasive Weed List</w:t>
      </w:r>
      <w:r w:rsidRPr="00B80E84">
        <w:rPr>
          <w:rFonts w:ascii="Times New Roman" w:hAnsi="Times New Roman" w:cs="Times New Roman"/>
          <w:noProof/>
          <w:sz w:val="24"/>
          <w:szCs w:val="24"/>
          <w:vertAlign w:val="superscript"/>
          <w:lang w:val="en-US"/>
        </w:rPr>
        <w:t>36</w:t>
      </w:r>
      <w:r w:rsidRPr="00B80E84">
        <w:rPr>
          <w:rFonts w:ascii="Times New Roman" w:hAnsi="Times New Roman" w:cs="Times New Roman"/>
          <w:sz w:val="24"/>
          <w:szCs w:val="24"/>
          <w:lang w:val="en-US"/>
        </w:rPr>
        <w:t>, the Australian Plant Census</w:t>
      </w:r>
      <w:r w:rsidRPr="00B80E84">
        <w:rPr>
          <w:rFonts w:ascii="Times New Roman" w:hAnsi="Times New Roman" w:cs="Times New Roman"/>
          <w:noProof/>
          <w:sz w:val="24"/>
          <w:szCs w:val="24"/>
          <w:vertAlign w:val="superscript"/>
          <w:lang w:val="en-US"/>
        </w:rPr>
        <w:t>37</w:t>
      </w:r>
      <w:r w:rsidRPr="00B80E84">
        <w:rPr>
          <w:rFonts w:ascii="Times New Roman" w:hAnsi="Times New Roman" w:cs="Times New Roman"/>
          <w:sz w:val="24"/>
          <w:szCs w:val="24"/>
          <w:lang w:val="en-US"/>
        </w:rPr>
        <w:t>, the European and Mediterranean Plant Protection Organization database</w:t>
      </w:r>
      <w:r w:rsidRPr="00B80E84">
        <w:rPr>
          <w:rFonts w:ascii="Times New Roman" w:hAnsi="Times New Roman" w:cs="Times New Roman"/>
          <w:noProof/>
          <w:sz w:val="24"/>
          <w:szCs w:val="24"/>
          <w:vertAlign w:val="superscript"/>
          <w:lang w:val="en-US"/>
        </w:rPr>
        <w:t>38</w:t>
      </w:r>
      <w:r w:rsidRPr="00B80E84">
        <w:rPr>
          <w:rFonts w:ascii="Times New Roman" w:hAnsi="Times New Roman" w:cs="Times New Roman"/>
          <w:sz w:val="24"/>
          <w:szCs w:val="24"/>
          <w:lang w:val="en-US"/>
        </w:rPr>
        <w:t>, Schedule 9 of the Wildlife and Countryside Act (1981), the United States Department of Agriculture (USDA) Plant Database</w:t>
      </w:r>
      <w:r w:rsidR="005D5B53" w:rsidRPr="00B80E84">
        <w:rPr>
          <w:rFonts w:ascii="Times New Roman" w:hAnsi="Times New Roman" w:cs="Times New Roman"/>
          <w:noProof/>
          <w:sz w:val="24"/>
          <w:szCs w:val="24"/>
          <w:vertAlign w:val="superscript"/>
          <w:lang w:val="en-US"/>
        </w:rPr>
        <w:t>39</w:t>
      </w:r>
      <w:r w:rsidRPr="00B80E84">
        <w:rPr>
          <w:rFonts w:ascii="Times New Roman" w:hAnsi="Times New Roman" w:cs="Times New Roman"/>
          <w:sz w:val="24"/>
          <w:szCs w:val="24"/>
          <w:lang w:val="en-US"/>
        </w:rPr>
        <w:t xml:space="preserve"> and by using the following search term in Google ‘</w:t>
      </w:r>
      <w:r w:rsidRPr="00B80E84">
        <w:rPr>
          <w:rFonts w:ascii="Times New Roman" w:hAnsi="Times New Roman" w:cs="Times New Roman"/>
          <w:i/>
          <w:sz w:val="24"/>
          <w:szCs w:val="24"/>
          <w:lang w:val="en-US"/>
        </w:rPr>
        <w:t>Latin name</w:t>
      </w:r>
      <w:r w:rsidRPr="00B80E84">
        <w:rPr>
          <w:rFonts w:ascii="Times New Roman" w:hAnsi="Times New Roman" w:cs="Times New Roman"/>
          <w:sz w:val="24"/>
          <w:szCs w:val="24"/>
          <w:lang w:val="en-US"/>
        </w:rPr>
        <w:t xml:space="preserve"> invasive’.  Species are considered invasive when designated as ‘invasive’ (also ‘weedy’ or ‘noxious’ in the USDA Plant Database</w:t>
      </w:r>
      <w:r w:rsidR="005D5B53" w:rsidRPr="00B80E84">
        <w:rPr>
          <w:rFonts w:ascii="Times New Roman" w:hAnsi="Times New Roman" w:cs="Times New Roman"/>
          <w:noProof/>
          <w:sz w:val="24"/>
          <w:szCs w:val="24"/>
          <w:vertAlign w:val="superscript"/>
          <w:lang w:val="en-US"/>
        </w:rPr>
        <w:t>39</w:t>
      </w:r>
      <w:r w:rsidRPr="00B80E84">
        <w:rPr>
          <w:rFonts w:ascii="Times New Roman" w:hAnsi="Times New Roman" w:cs="Times New Roman"/>
          <w:sz w:val="24"/>
          <w:szCs w:val="24"/>
          <w:lang w:val="en-US"/>
        </w:rPr>
        <w:t xml:space="preserve">) in one or more of the databases listed above or when designated as invasive by a Government Agency or Academic Institution. </w:t>
      </w:r>
      <w:r w:rsidR="00DC1E4D" w:rsidRPr="00B80E84">
        <w:rPr>
          <w:rFonts w:ascii="Times New Roman" w:hAnsi="Times New Roman" w:cs="Times New Roman"/>
          <w:sz w:val="24"/>
          <w:szCs w:val="24"/>
        </w:rPr>
        <w:t>Twelve populations comprising two plant species were identified as invasive plants at the study location.</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We fitted our model using a Bayesian MCMCglmm package</w:t>
      </w:r>
      <w:r w:rsidRPr="00B80E84">
        <w:rPr>
          <w:rFonts w:ascii="Times New Roman" w:hAnsi="Times New Roman" w:cs="Times New Roman"/>
          <w:noProof/>
          <w:sz w:val="24"/>
          <w:szCs w:val="24"/>
          <w:vertAlign w:val="superscript"/>
        </w:rPr>
        <w:t>22</w:t>
      </w:r>
      <w:r w:rsidRPr="00B80E84">
        <w:rPr>
          <w:rFonts w:ascii="Times New Roman" w:hAnsi="Times New Roman" w:cs="Times New Roman"/>
          <w:sz w:val="24"/>
          <w:szCs w:val="24"/>
        </w:rPr>
        <w:t xml:space="preserve"> in R v.3.1.1</w:t>
      </w:r>
      <w:r w:rsidRPr="00B80E84">
        <w:rPr>
          <w:rFonts w:ascii="Times New Roman" w:hAnsi="Times New Roman" w:cs="Times New Roman"/>
          <w:noProof/>
          <w:sz w:val="24"/>
          <w:szCs w:val="24"/>
          <w:vertAlign w:val="superscript"/>
        </w:rPr>
        <w:t>32</w:t>
      </w:r>
      <w:r w:rsidRPr="00B80E84">
        <w:rPr>
          <w:rFonts w:ascii="Times New Roman" w:hAnsi="Times New Roman" w:cs="Times New Roman"/>
          <w:sz w:val="24"/>
          <w:szCs w:val="24"/>
        </w:rPr>
        <w:t xml:space="preserve"> to account for non-independence due to species and phylogeny, by scaling random effects by the inverse variance–covariance distance matrix estimated by the phylogeny associated with our species</w:t>
      </w:r>
      <w:r w:rsidRPr="00B80E84">
        <w:rPr>
          <w:rFonts w:ascii="Times New Roman" w:hAnsi="Times New Roman" w:cs="Times New Roman"/>
          <w:noProof/>
          <w:sz w:val="24"/>
          <w:szCs w:val="24"/>
          <w:vertAlign w:val="superscript"/>
        </w:rPr>
        <w:t>21</w:t>
      </w:r>
      <w:r w:rsidRPr="00B80E84">
        <w:rPr>
          <w:rFonts w:ascii="Times New Roman" w:hAnsi="Times New Roman" w:cs="Times New Roman"/>
          <w:sz w:val="24"/>
          <w:szCs w:val="24"/>
        </w:rPr>
        <w:t>. We excluded two fern species that made up all ferns in our sample (</w:t>
      </w:r>
      <w:r w:rsidRPr="00B80E84">
        <w:rPr>
          <w:rFonts w:ascii="Times New Roman" w:hAnsi="Times New Roman" w:cs="Times New Roman"/>
          <w:i/>
          <w:sz w:val="24"/>
          <w:szCs w:val="24"/>
        </w:rPr>
        <w:t xml:space="preserve">Asplenium </w:t>
      </w:r>
      <w:r w:rsidRPr="00B80E84">
        <w:rPr>
          <w:rFonts w:ascii="Times New Roman" w:hAnsi="Times New Roman" w:cs="Times New Roman"/>
          <w:i/>
          <w:sz w:val="24"/>
          <w:szCs w:val="24"/>
        </w:rPr>
        <w:lastRenderedPageBreak/>
        <w:t>adulterinum</w:t>
      </w:r>
      <w:r w:rsidRPr="00B80E84">
        <w:rPr>
          <w:rFonts w:ascii="Times New Roman" w:hAnsi="Times New Roman" w:cs="Times New Roman"/>
          <w:sz w:val="24"/>
          <w:szCs w:val="24"/>
        </w:rPr>
        <w:t xml:space="preserve"> and </w:t>
      </w:r>
      <w:r w:rsidRPr="00B80E84">
        <w:rPr>
          <w:rFonts w:ascii="Times New Roman" w:hAnsi="Times New Roman" w:cs="Times New Roman"/>
          <w:i/>
          <w:sz w:val="24"/>
          <w:szCs w:val="24"/>
        </w:rPr>
        <w:t>A. cuneifolium</w:t>
      </w:r>
      <w:r w:rsidRPr="00B80E84">
        <w:rPr>
          <w:rFonts w:ascii="Times New Roman" w:hAnsi="Times New Roman" w:cs="Times New Roman"/>
          <w:sz w:val="24"/>
          <w:szCs w:val="24"/>
        </w:rPr>
        <w:t>), which were not present in the phylogeny. Consequently, 138 populations consisting of 71 species were included in our MCMCglmm analysis. Our response variable (correlation coefficients) was modelled using a Gaussian distribution. We determined the number of iterations, burn-in and thinning by visually assessing the mixing of three chains and formally using Gelman and Rubin’s convergence diagnostic using R package coda</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0</w:t>
      </w:r>
      <w:r w:rsidRPr="00B80E84">
        <w:rPr>
          <w:rFonts w:ascii="Times New Roman" w:hAnsi="Times New Roman" w:cs="Times New Roman"/>
          <w:sz w:val="24"/>
          <w:szCs w:val="24"/>
        </w:rPr>
        <w:t>. We let the MCMC algorithm run for 800,000 iterations, with a burn in period of 80,000 and a sampling interval of 400. Each model generated ~1,800 independent samples of model parameters. Parameter-expanded proper diffuse priors were used for random effects (inverse Wishart distribution with V=1 and ν=0.001, alpha-μ=0 and alpha-V=100), and proper diffuse priors for residuals (inverse Wishart distribution with V=1 and ν=0.001). We confirmed results were not sensitive to the choice of prior by fitting multiple models. The adequacy of models with and without phylogeny was assessed by comparing the Deviance Information Criterion (DIC) of the two models</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1</w:t>
      </w:r>
      <w:r w:rsidRPr="00B80E84">
        <w:rPr>
          <w:rFonts w:ascii="Times New Roman" w:hAnsi="Times New Roman" w:cs="Times New Roman"/>
          <w:sz w:val="24"/>
          <w:szCs w:val="24"/>
        </w:rPr>
        <w:t>. The relative variance attributable to the phylogenetic random effect component was subsequently calculated as the ratio of variance explained by phylogeny to the sum of phylogenetic variance, species variance and residual variance.</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To visualize evidence for demographic buffering through phylogeny we used the contmap function of the phytools R package</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2</w:t>
      </w:r>
      <w:r w:rsidRPr="00B80E84">
        <w:rPr>
          <w:rFonts w:ascii="Times New Roman" w:hAnsi="Times New Roman" w:cs="Times New Roman"/>
          <w:sz w:val="24"/>
          <w:szCs w:val="24"/>
        </w:rPr>
        <w:t>. The mapping of the degree of demographic buffering (represented by the mean correlation coefficient per species) is based on maximum-likelihood estimation of states at internal nodes and interpolation of the states along each edge</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3</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4</w:t>
      </w:r>
      <w:r w:rsidRPr="00B80E84">
        <w:rPr>
          <w:rFonts w:ascii="Times New Roman" w:hAnsi="Times New Roman" w:cs="Times New Roman"/>
          <w:sz w:val="24"/>
          <w:szCs w:val="24"/>
        </w:rPr>
        <w:t>.</w:t>
      </w:r>
    </w:p>
    <w:p w:rsidR="00E63627" w:rsidRPr="00B80E84" w:rsidRDefault="00E63627" w:rsidP="00E63627">
      <w:pPr>
        <w:keepNext/>
        <w:spacing w:line="480" w:lineRule="auto"/>
        <w:rPr>
          <w:rFonts w:ascii="Times New Roman" w:hAnsi="Times New Roman" w:cs="Times New Roman"/>
          <w:b/>
          <w:sz w:val="24"/>
          <w:szCs w:val="24"/>
        </w:rPr>
      </w:pPr>
      <w:r w:rsidRPr="00B80E84">
        <w:rPr>
          <w:rFonts w:ascii="Times New Roman" w:hAnsi="Times New Roman" w:cs="Times New Roman"/>
          <w:b/>
          <w:sz w:val="24"/>
          <w:szCs w:val="24"/>
        </w:rPr>
        <w:t>Phylogeny</w:t>
      </w:r>
    </w:p>
    <w:p w:rsidR="00E63627"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Study species were allocated to their currently recognised families under the Angiosperm Phylogeny Group classification</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5</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6</w:t>
      </w:r>
      <w:r w:rsidRPr="00B80E84">
        <w:rPr>
          <w:rFonts w:ascii="Times New Roman" w:hAnsi="Times New Roman" w:cs="Times New Roman"/>
          <w:sz w:val="24"/>
          <w:szCs w:val="24"/>
        </w:rPr>
        <w:t xml:space="preserve"> and guided by The Plant List </w:t>
      </w:r>
      <w:r w:rsidRPr="00B80E84">
        <w:rPr>
          <w:rFonts w:ascii="Times New Roman" w:hAnsi="Times New Roman" w:cs="Times New Roman"/>
          <w:sz w:val="24"/>
          <w:szCs w:val="24"/>
        </w:rPr>
        <w:lastRenderedPageBreak/>
        <w:t>(http://www.theplantlist.org/). The full species list with corresponding families was then submitted to PHYLOMATIC (http://phylodiversity.net/phylomatic/</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7</w:t>
      </w:r>
      <w:r w:rsidRPr="00B80E84">
        <w:rPr>
          <w:rFonts w:ascii="Times New Roman" w:hAnsi="Times New Roman" w:cs="Times New Roman"/>
          <w:sz w:val="24"/>
          <w:szCs w:val="24"/>
        </w:rPr>
        <w:t xml:space="preserve">) to produce a topologically correct tree at family level. Further resolution was accomplished by reference to more specific phylogenetic studies. These more specific studies are listed in the Supporting Information (Electronic Appendix S5) of </w:t>
      </w:r>
      <w:r w:rsidRPr="00B80E84">
        <w:rPr>
          <w:rFonts w:ascii="Times New Roman" w:hAnsi="Times New Roman" w:cs="Times New Roman"/>
          <w:noProof/>
          <w:sz w:val="24"/>
          <w:szCs w:val="24"/>
        </w:rPr>
        <w:t>Salguero-Gomez, et al.</w:t>
      </w:r>
      <w:r w:rsidRPr="00B80E84">
        <w:rPr>
          <w:rFonts w:ascii="Times New Roman" w:hAnsi="Times New Roman" w:cs="Times New Roman"/>
          <w:noProof/>
          <w:sz w:val="24"/>
          <w:szCs w:val="24"/>
          <w:vertAlign w:val="superscript"/>
        </w:rPr>
        <w:t>21</w:t>
      </w:r>
      <w:r w:rsidRPr="00B80E84">
        <w:rPr>
          <w:rFonts w:ascii="Times New Roman" w:hAnsi="Times New Roman" w:cs="Times New Roman"/>
          <w:noProof/>
          <w:sz w:val="24"/>
          <w:szCs w:val="24"/>
        </w:rPr>
        <w:t>.</w:t>
      </w:r>
      <w:r w:rsidRPr="00B80E84">
        <w:rPr>
          <w:rFonts w:ascii="Times New Roman" w:hAnsi="Times New Roman" w:cs="Times New Roman"/>
          <w:sz w:val="24"/>
          <w:szCs w:val="24"/>
        </w:rPr>
        <w:t xml:space="preserve"> For this purpose, the tree topology was manipulated in MESQUITE (http://mesquiteproject.wikispaces.com/</w:t>
      </w:r>
      <w:r w:rsidRPr="00B80E84">
        <w:rPr>
          <w:rFonts w:ascii="Times New Roman" w:hAnsi="Times New Roman" w:cs="Times New Roman"/>
          <w:noProof/>
          <w:sz w:val="24"/>
          <w:szCs w:val="24"/>
          <w:vertAlign w:val="superscript"/>
        </w:rPr>
        <w:t>4</w:t>
      </w:r>
      <w:r w:rsidR="005D5B53" w:rsidRPr="00B80E84">
        <w:rPr>
          <w:rFonts w:ascii="Times New Roman" w:hAnsi="Times New Roman" w:cs="Times New Roman"/>
          <w:noProof/>
          <w:sz w:val="24"/>
          <w:szCs w:val="24"/>
          <w:vertAlign w:val="superscript"/>
        </w:rPr>
        <w:t>8</w:t>
      </w:r>
      <w:r w:rsidRPr="00B80E84">
        <w:rPr>
          <w:rFonts w:ascii="Times New Roman" w:hAnsi="Times New Roman" w:cs="Times New Roman"/>
          <w:sz w:val="24"/>
          <w:szCs w:val="24"/>
        </w:rPr>
        <w:t>). Our priority was to produce a topologically accurate tree given expert knowledge on systematics of the taxa concerned including all the information available (e.g., genetic, morphological and chemical). In this respect, we followed the philosophy employed for the NCBI taxonomy, which is not generated directly from DNA sequence data, but from authoritative primary literature sources for nomenclature and classification</w:t>
      </w:r>
      <w:r w:rsidR="005D5B53" w:rsidRPr="00B80E84">
        <w:rPr>
          <w:rFonts w:ascii="Times New Roman" w:hAnsi="Times New Roman" w:cs="Times New Roman"/>
          <w:noProof/>
          <w:sz w:val="24"/>
          <w:szCs w:val="24"/>
          <w:vertAlign w:val="superscript"/>
        </w:rPr>
        <w:t>49</w:t>
      </w:r>
      <w:r w:rsidRPr="00B80E84">
        <w:rPr>
          <w:rFonts w:ascii="Times New Roman" w:hAnsi="Times New Roman" w:cs="Times New Roman"/>
          <w:sz w:val="24"/>
          <w:szCs w:val="24"/>
        </w:rPr>
        <w:t xml:space="preserve">. Finally, in order to temporally calibrate this topologically acceptable tree, phylogenetic distances were interpolated with the </w:t>
      </w:r>
      <w:r w:rsidRPr="00B80E84">
        <w:rPr>
          <w:rFonts w:ascii="Times New Roman" w:hAnsi="Times New Roman" w:cs="Times New Roman"/>
          <w:i/>
          <w:iCs/>
          <w:sz w:val="24"/>
          <w:szCs w:val="24"/>
        </w:rPr>
        <w:t>bladj</w:t>
      </w:r>
      <w:r w:rsidRPr="00B80E84">
        <w:rPr>
          <w:rFonts w:ascii="Times New Roman" w:hAnsi="Times New Roman" w:cs="Times New Roman"/>
          <w:sz w:val="24"/>
          <w:szCs w:val="24"/>
        </w:rPr>
        <w:t xml:space="preserve"> function of PHYLOCOM</w:t>
      </w:r>
      <w:r w:rsidRPr="00B80E84">
        <w:rPr>
          <w:rFonts w:ascii="Times New Roman" w:hAnsi="Times New Roman" w:cs="Times New Roman"/>
          <w:noProof/>
          <w:sz w:val="24"/>
          <w:szCs w:val="24"/>
          <w:vertAlign w:val="superscript"/>
        </w:rPr>
        <w:t>5</w:t>
      </w:r>
      <w:r w:rsidR="005D5B53" w:rsidRPr="00B80E84">
        <w:rPr>
          <w:rFonts w:ascii="Times New Roman" w:hAnsi="Times New Roman" w:cs="Times New Roman"/>
          <w:noProof/>
          <w:sz w:val="24"/>
          <w:szCs w:val="24"/>
          <w:vertAlign w:val="superscript"/>
        </w:rPr>
        <w:t>0</w:t>
      </w:r>
      <w:r w:rsidRPr="00B80E84">
        <w:rPr>
          <w:rFonts w:ascii="Times New Roman" w:hAnsi="Times New Roman" w:cs="Times New Roman"/>
          <w:sz w:val="24"/>
          <w:szCs w:val="24"/>
        </w:rPr>
        <w:t xml:space="preserve">, using the node ages provided by </w:t>
      </w:r>
      <w:r w:rsidRPr="00B80E84">
        <w:rPr>
          <w:rFonts w:ascii="Times New Roman" w:hAnsi="Times New Roman" w:cs="Times New Roman"/>
          <w:noProof/>
          <w:sz w:val="24"/>
          <w:szCs w:val="24"/>
        </w:rPr>
        <w:t>Wikström, et al.</w:t>
      </w:r>
      <w:r w:rsidRPr="00B80E84">
        <w:rPr>
          <w:rFonts w:ascii="Times New Roman" w:hAnsi="Times New Roman" w:cs="Times New Roman"/>
          <w:noProof/>
          <w:sz w:val="24"/>
          <w:szCs w:val="24"/>
          <w:vertAlign w:val="superscript"/>
        </w:rPr>
        <w:t>5</w:t>
      </w:r>
      <w:r w:rsidR="005D5B53" w:rsidRPr="00B80E84">
        <w:rPr>
          <w:rFonts w:ascii="Times New Roman" w:hAnsi="Times New Roman" w:cs="Times New Roman"/>
          <w:noProof/>
          <w:sz w:val="24"/>
          <w:szCs w:val="24"/>
          <w:vertAlign w:val="superscript"/>
        </w:rPr>
        <w:t>1</w:t>
      </w:r>
      <w:r w:rsidRPr="00B80E84">
        <w:rPr>
          <w:rFonts w:ascii="Times New Roman" w:hAnsi="Times New Roman" w:cs="Times New Roman"/>
          <w:sz w:val="24"/>
          <w:szCs w:val="24"/>
        </w:rPr>
        <w:t>.</w:t>
      </w:r>
    </w:p>
    <w:p w:rsidR="004E1CD1" w:rsidRPr="00B80E84" w:rsidRDefault="004E1CD1" w:rsidP="00E63627">
      <w:pPr>
        <w:spacing w:line="480" w:lineRule="auto"/>
        <w:rPr>
          <w:rFonts w:ascii="Times New Roman" w:hAnsi="Times New Roman" w:cs="Times New Roman"/>
          <w:sz w:val="24"/>
          <w:szCs w:val="24"/>
        </w:rPr>
      </w:pPr>
      <w:r w:rsidRPr="00B80E84">
        <w:rPr>
          <w:rFonts w:ascii="Times New Roman" w:hAnsi="Times New Roman" w:cs="Times New Roman"/>
          <w:b/>
          <w:sz w:val="24"/>
          <w:szCs w:val="24"/>
        </w:rPr>
        <w:t>Data Availability</w:t>
      </w:r>
      <w:r>
        <w:rPr>
          <w:rFonts w:ascii="Times New Roman" w:hAnsi="Times New Roman" w:cs="Times New Roman"/>
          <w:b/>
          <w:sz w:val="24"/>
          <w:szCs w:val="24"/>
        </w:rPr>
        <w:t>:</w:t>
      </w:r>
      <w:r w:rsidRPr="00B80E84">
        <w:rPr>
          <w:rFonts w:ascii="Times New Roman" w:hAnsi="Times New Roman" w:cs="Times New Roman"/>
          <w:b/>
          <w:sz w:val="24"/>
          <w:szCs w:val="24"/>
        </w:rPr>
        <w:t xml:space="preserve"> </w:t>
      </w:r>
      <w:r w:rsidR="007A2264">
        <w:rPr>
          <w:rFonts w:ascii="Times New Roman" w:hAnsi="Times New Roman" w:cs="Times New Roman"/>
          <w:sz w:val="24"/>
          <w:szCs w:val="24"/>
        </w:rPr>
        <w:t>The dataset</w:t>
      </w:r>
      <w:r w:rsidRPr="004E1CD1">
        <w:rPr>
          <w:rFonts w:ascii="Times New Roman" w:hAnsi="Times New Roman" w:cs="Times New Roman"/>
          <w:sz w:val="24"/>
          <w:szCs w:val="24"/>
        </w:rPr>
        <w:t xml:space="preserve"> analysed during the current study are available from</w:t>
      </w:r>
      <w:r w:rsidRPr="00B80E84">
        <w:rPr>
          <w:rFonts w:ascii="Times New Roman" w:hAnsi="Times New Roman" w:cs="Times New Roman"/>
          <w:sz w:val="24"/>
          <w:szCs w:val="24"/>
        </w:rPr>
        <w:t xml:space="preserve"> http://www.compadre-db.org/.</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REFERENCES</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w:t>
      </w:r>
      <w:r w:rsidRPr="00B80E84">
        <w:rPr>
          <w:rFonts w:ascii="Times New Roman" w:hAnsi="Times New Roman"/>
          <w:sz w:val="24"/>
          <w:szCs w:val="24"/>
        </w:rPr>
        <w:tab/>
        <w:t xml:space="preserve">Boyce, M. S., Haridas, C. V., Lee, C. T. &amp; Group, N. S. D. W. Demography in an increasingly variable world. </w:t>
      </w:r>
      <w:r w:rsidRPr="00B80E84">
        <w:rPr>
          <w:rFonts w:ascii="Times New Roman" w:hAnsi="Times New Roman"/>
          <w:i/>
          <w:sz w:val="24"/>
          <w:szCs w:val="24"/>
        </w:rPr>
        <w:t>Trends in Ecology &amp; Evolution</w:t>
      </w:r>
      <w:r w:rsidRPr="00B80E84">
        <w:rPr>
          <w:rFonts w:ascii="Times New Roman" w:hAnsi="Times New Roman"/>
          <w:sz w:val="24"/>
          <w:szCs w:val="24"/>
        </w:rPr>
        <w:t xml:space="preserve"> </w:t>
      </w:r>
      <w:r w:rsidRPr="00B80E84">
        <w:rPr>
          <w:rFonts w:ascii="Times New Roman" w:hAnsi="Times New Roman"/>
          <w:b/>
          <w:sz w:val="24"/>
          <w:szCs w:val="24"/>
        </w:rPr>
        <w:t>21</w:t>
      </w:r>
      <w:r w:rsidRPr="00B80E84">
        <w:rPr>
          <w:rFonts w:ascii="Times New Roman" w:hAnsi="Times New Roman"/>
          <w:sz w:val="24"/>
          <w:szCs w:val="24"/>
        </w:rPr>
        <w:t>, 141-148 (2006).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w:t>
      </w:r>
      <w:r w:rsidRPr="00B80E84">
        <w:rPr>
          <w:rFonts w:ascii="Times New Roman" w:hAnsi="Times New Roman"/>
          <w:sz w:val="24"/>
          <w:szCs w:val="24"/>
        </w:rPr>
        <w:tab/>
        <w:t xml:space="preserve">Gillespie, J. H. Natural selection for variances in offspring numbers: a new evolutionary principle. </w:t>
      </w:r>
      <w:r w:rsidRPr="00B80E84">
        <w:rPr>
          <w:rFonts w:ascii="Times New Roman" w:hAnsi="Times New Roman"/>
          <w:i/>
          <w:sz w:val="24"/>
          <w:szCs w:val="24"/>
        </w:rPr>
        <w:t>The American Naturalist</w:t>
      </w:r>
      <w:r w:rsidRPr="00B80E84">
        <w:rPr>
          <w:rFonts w:ascii="Times New Roman" w:hAnsi="Times New Roman"/>
          <w:sz w:val="24"/>
          <w:szCs w:val="24"/>
        </w:rPr>
        <w:t xml:space="preserve"> </w:t>
      </w:r>
      <w:r w:rsidRPr="00B80E84">
        <w:rPr>
          <w:rFonts w:ascii="Times New Roman" w:hAnsi="Times New Roman"/>
          <w:b/>
          <w:sz w:val="24"/>
          <w:szCs w:val="24"/>
        </w:rPr>
        <w:t>111</w:t>
      </w:r>
      <w:r w:rsidRPr="00B80E84">
        <w:rPr>
          <w:rFonts w:ascii="Times New Roman" w:hAnsi="Times New Roman"/>
          <w:sz w:val="24"/>
          <w:szCs w:val="24"/>
        </w:rPr>
        <w:t>, 1010-1014 (1977).</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w:t>
      </w:r>
      <w:r w:rsidRPr="00B80E84">
        <w:rPr>
          <w:rFonts w:ascii="Times New Roman" w:hAnsi="Times New Roman"/>
          <w:sz w:val="24"/>
          <w:szCs w:val="24"/>
        </w:rPr>
        <w:tab/>
        <w:t xml:space="preserve">Lewontin, R. C. &amp; Cohen, D. On population growth in a randomly varying environment. </w:t>
      </w:r>
      <w:r w:rsidRPr="00B80E84">
        <w:rPr>
          <w:rFonts w:ascii="Times New Roman" w:hAnsi="Times New Roman"/>
          <w:i/>
          <w:sz w:val="24"/>
          <w:szCs w:val="24"/>
        </w:rPr>
        <w:t>Proceedings of the National Academy of Sciences</w:t>
      </w:r>
      <w:r w:rsidRPr="00B80E84">
        <w:rPr>
          <w:rFonts w:ascii="Times New Roman" w:hAnsi="Times New Roman"/>
          <w:sz w:val="24"/>
          <w:szCs w:val="24"/>
        </w:rPr>
        <w:t xml:space="preserve"> </w:t>
      </w:r>
      <w:r w:rsidRPr="00B80E84">
        <w:rPr>
          <w:rFonts w:ascii="Times New Roman" w:hAnsi="Times New Roman"/>
          <w:b/>
          <w:sz w:val="24"/>
          <w:szCs w:val="24"/>
        </w:rPr>
        <w:t>62</w:t>
      </w:r>
      <w:r w:rsidRPr="00B80E84">
        <w:rPr>
          <w:rFonts w:ascii="Times New Roman" w:hAnsi="Times New Roman"/>
          <w:sz w:val="24"/>
          <w:szCs w:val="24"/>
        </w:rPr>
        <w:t>, 1056-1060 (1969).</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Pr="00B80E84">
        <w:rPr>
          <w:rFonts w:ascii="Times New Roman" w:hAnsi="Times New Roman"/>
          <w:sz w:val="24"/>
          <w:szCs w:val="24"/>
        </w:rPr>
        <w:tab/>
        <w:t xml:space="preserve">Gaillard, J.-M. &amp; Yoccoz, N. G. Temporal variation in survival of mammals: a case of environmental canalization? </w:t>
      </w:r>
      <w:r w:rsidRPr="00B80E84">
        <w:rPr>
          <w:rFonts w:ascii="Times New Roman" w:hAnsi="Times New Roman"/>
          <w:i/>
          <w:sz w:val="24"/>
          <w:szCs w:val="24"/>
        </w:rPr>
        <w:t>Ecology</w:t>
      </w:r>
      <w:r w:rsidRPr="00B80E84">
        <w:rPr>
          <w:rFonts w:ascii="Times New Roman" w:hAnsi="Times New Roman"/>
          <w:sz w:val="24"/>
          <w:szCs w:val="24"/>
        </w:rPr>
        <w:t xml:space="preserve"> </w:t>
      </w:r>
      <w:r w:rsidRPr="00B80E84">
        <w:rPr>
          <w:rFonts w:ascii="Times New Roman" w:hAnsi="Times New Roman"/>
          <w:b/>
          <w:sz w:val="24"/>
          <w:szCs w:val="24"/>
        </w:rPr>
        <w:t>84</w:t>
      </w:r>
      <w:r w:rsidRPr="00B80E84">
        <w:rPr>
          <w:rFonts w:ascii="Times New Roman" w:hAnsi="Times New Roman"/>
          <w:sz w:val="24"/>
          <w:szCs w:val="24"/>
        </w:rPr>
        <w:t>, 3294-3306 (2003).</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lastRenderedPageBreak/>
        <w:t>5</w:t>
      </w:r>
      <w:r w:rsidRPr="00B80E84">
        <w:rPr>
          <w:rFonts w:ascii="Times New Roman" w:hAnsi="Times New Roman"/>
          <w:sz w:val="24"/>
          <w:szCs w:val="24"/>
        </w:rPr>
        <w:tab/>
        <w:t xml:space="preserve">Sæther, B.-E. &amp; Bakke, Ø. Avian life history variation and contribution of demographic traits to the population growth rate. </w:t>
      </w:r>
      <w:r w:rsidRPr="00B80E84">
        <w:rPr>
          <w:rFonts w:ascii="Times New Roman" w:hAnsi="Times New Roman"/>
          <w:i/>
          <w:sz w:val="24"/>
          <w:szCs w:val="24"/>
        </w:rPr>
        <w:t>Ecology</w:t>
      </w:r>
      <w:r w:rsidRPr="00B80E84">
        <w:rPr>
          <w:rFonts w:ascii="Times New Roman" w:hAnsi="Times New Roman"/>
          <w:sz w:val="24"/>
          <w:szCs w:val="24"/>
        </w:rPr>
        <w:t xml:space="preserve"> </w:t>
      </w:r>
      <w:r w:rsidRPr="00B80E84">
        <w:rPr>
          <w:rFonts w:ascii="Times New Roman" w:hAnsi="Times New Roman"/>
          <w:b/>
          <w:sz w:val="24"/>
          <w:szCs w:val="24"/>
        </w:rPr>
        <w:t>81</w:t>
      </w:r>
      <w:r w:rsidRPr="00B80E84">
        <w:rPr>
          <w:rFonts w:ascii="Times New Roman" w:hAnsi="Times New Roman"/>
          <w:sz w:val="24"/>
          <w:szCs w:val="24"/>
        </w:rPr>
        <w:t>, 642-653 (2000).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6</w:t>
      </w:r>
      <w:r w:rsidRPr="00B80E84">
        <w:rPr>
          <w:rFonts w:ascii="Times New Roman" w:hAnsi="Times New Roman"/>
          <w:sz w:val="24"/>
          <w:szCs w:val="24"/>
        </w:rPr>
        <w:tab/>
        <w:t>Chantepie, S.</w:t>
      </w:r>
      <w:r w:rsidRPr="00B80E84">
        <w:rPr>
          <w:rFonts w:ascii="Times New Roman" w:hAnsi="Times New Roman"/>
          <w:i/>
          <w:sz w:val="24"/>
          <w:szCs w:val="24"/>
        </w:rPr>
        <w:t xml:space="preserve"> et al.</w:t>
      </w:r>
      <w:r w:rsidRPr="00B80E84">
        <w:rPr>
          <w:rFonts w:ascii="Times New Roman" w:hAnsi="Times New Roman"/>
          <w:sz w:val="24"/>
          <w:szCs w:val="24"/>
        </w:rPr>
        <w:t xml:space="preserve"> Age-related variation and temporal patterns in the survival of a long-lived scavenger. </w:t>
      </w:r>
      <w:r w:rsidRPr="00B80E84">
        <w:rPr>
          <w:rFonts w:ascii="Times New Roman" w:hAnsi="Times New Roman"/>
          <w:i/>
          <w:sz w:val="24"/>
          <w:szCs w:val="24"/>
        </w:rPr>
        <w:t>Oikos</w:t>
      </w:r>
      <w:r w:rsidRPr="00B80E84">
        <w:rPr>
          <w:rFonts w:ascii="Times New Roman" w:hAnsi="Times New Roman"/>
          <w:sz w:val="24"/>
          <w:szCs w:val="24"/>
        </w:rPr>
        <w:t>, doi:10.1111/oik.02216 (2015).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7</w:t>
      </w:r>
      <w:r w:rsidRPr="00B80E84">
        <w:rPr>
          <w:rFonts w:ascii="Times New Roman" w:hAnsi="Times New Roman"/>
          <w:sz w:val="24"/>
          <w:szCs w:val="24"/>
        </w:rPr>
        <w:tab/>
        <w:t xml:space="preserve">Pfister, C. A. Patterns of variance in stage-structured populations: evolutionary predictions and ecological implications. </w:t>
      </w:r>
      <w:r w:rsidRPr="00B80E84">
        <w:rPr>
          <w:rFonts w:ascii="Times New Roman" w:hAnsi="Times New Roman"/>
          <w:i/>
          <w:sz w:val="24"/>
          <w:szCs w:val="24"/>
        </w:rPr>
        <w:t>Proceedings of the National Academy of Sciences</w:t>
      </w:r>
      <w:r w:rsidRPr="00B80E84">
        <w:rPr>
          <w:rFonts w:ascii="Times New Roman" w:hAnsi="Times New Roman"/>
          <w:sz w:val="24"/>
          <w:szCs w:val="24"/>
        </w:rPr>
        <w:t xml:space="preserve"> </w:t>
      </w:r>
      <w:r w:rsidRPr="00B80E84">
        <w:rPr>
          <w:rFonts w:ascii="Times New Roman" w:hAnsi="Times New Roman"/>
          <w:b/>
          <w:sz w:val="24"/>
          <w:szCs w:val="24"/>
        </w:rPr>
        <w:t>95</w:t>
      </w:r>
      <w:r w:rsidRPr="00B80E84">
        <w:rPr>
          <w:rFonts w:ascii="Times New Roman" w:hAnsi="Times New Roman"/>
          <w:sz w:val="24"/>
          <w:szCs w:val="24"/>
        </w:rPr>
        <w:t>, 213-218 (1998).</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8</w:t>
      </w:r>
      <w:r w:rsidRPr="00B80E84">
        <w:rPr>
          <w:rFonts w:ascii="Times New Roman" w:hAnsi="Times New Roman"/>
          <w:sz w:val="24"/>
          <w:szCs w:val="24"/>
        </w:rPr>
        <w:tab/>
        <w:t xml:space="preserve">Gaillard, J.-M., Festa-Bianchet, M. &amp; Yoccoz, N. G. Population dynamics of large herbivores: variable recruitment with constant adult survival. </w:t>
      </w:r>
      <w:r w:rsidRPr="00B80E84">
        <w:rPr>
          <w:rFonts w:ascii="Times New Roman" w:hAnsi="Times New Roman"/>
          <w:i/>
          <w:sz w:val="24"/>
          <w:szCs w:val="24"/>
        </w:rPr>
        <w:t>Trends in Ecology &amp; Evolution</w:t>
      </w:r>
      <w:r w:rsidRPr="00B80E84">
        <w:rPr>
          <w:rFonts w:ascii="Times New Roman" w:hAnsi="Times New Roman"/>
          <w:sz w:val="24"/>
          <w:szCs w:val="24"/>
        </w:rPr>
        <w:t xml:space="preserve"> </w:t>
      </w:r>
      <w:r w:rsidRPr="00B80E84">
        <w:rPr>
          <w:rFonts w:ascii="Times New Roman" w:hAnsi="Times New Roman"/>
          <w:b/>
          <w:sz w:val="24"/>
          <w:szCs w:val="24"/>
        </w:rPr>
        <w:t>13</w:t>
      </w:r>
      <w:r w:rsidRPr="00B80E84">
        <w:rPr>
          <w:rFonts w:ascii="Times New Roman" w:hAnsi="Times New Roman"/>
          <w:sz w:val="24"/>
          <w:szCs w:val="24"/>
        </w:rPr>
        <w:t>, 58-63 (1998).</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9</w:t>
      </w:r>
      <w:r w:rsidRPr="00B80E84">
        <w:rPr>
          <w:rFonts w:ascii="Times New Roman" w:hAnsi="Times New Roman"/>
          <w:sz w:val="24"/>
          <w:szCs w:val="24"/>
        </w:rPr>
        <w:tab/>
        <w:t xml:space="preserve">Gaillard, J.-M., Festa-Bianchet, M., Yoccoz, N., Loison, A. &amp; Toigo, C. Temporal variation in fitness components and population dynamics of large herbivores. </w:t>
      </w:r>
      <w:r w:rsidRPr="00B80E84">
        <w:rPr>
          <w:rFonts w:ascii="Times New Roman" w:hAnsi="Times New Roman"/>
          <w:i/>
          <w:sz w:val="24"/>
          <w:szCs w:val="24"/>
        </w:rPr>
        <w:t>Annual Review of Ecology and Systematics</w:t>
      </w:r>
      <w:r w:rsidRPr="00B80E84">
        <w:rPr>
          <w:rFonts w:ascii="Times New Roman" w:hAnsi="Times New Roman"/>
          <w:sz w:val="24"/>
          <w:szCs w:val="24"/>
        </w:rPr>
        <w:t>, 367-393 (2000).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10</w:t>
      </w:r>
      <w:r w:rsidRPr="00B80E84">
        <w:rPr>
          <w:rFonts w:ascii="Times New Roman" w:hAnsi="Times New Roman"/>
          <w:sz w:val="24"/>
          <w:szCs w:val="24"/>
        </w:rPr>
        <w:tab/>
        <w:t xml:space="preserve">Heppell, S. S. Application of life-history theory and population model analysis to turtle conservation. </w:t>
      </w:r>
      <w:r w:rsidRPr="00B80E84">
        <w:rPr>
          <w:rFonts w:ascii="Times New Roman" w:hAnsi="Times New Roman"/>
          <w:i/>
          <w:sz w:val="24"/>
          <w:szCs w:val="24"/>
        </w:rPr>
        <w:t>Copeia</w:t>
      </w:r>
      <w:r w:rsidRPr="00B80E84">
        <w:rPr>
          <w:rFonts w:ascii="Times New Roman" w:hAnsi="Times New Roman"/>
          <w:sz w:val="24"/>
          <w:szCs w:val="24"/>
        </w:rPr>
        <w:t>, 367-375 (1998).</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11</w:t>
      </w:r>
      <w:r w:rsidRPr="00B80E84">
        <w:rPr>
          <w:rFonts w:ascii="Times New Roman" w:hAnsi="Times New Roman"/>
          <w:sz w:val="24"/>
          <w:szCs w:val="24"/>
        </w:rPr>
        <w:tab/>
        <w:t>Koons, D. N., Pavard, S., Baudisch, A. &amp; Metcalf, J. E. Is life</w:t>
      </w:r>
      <w:r w:rsidRPr="00B80E84">
        <w:rPr>
          <w:rFonts w:ascii="Cambria Math" w:hAnsi="Cambria Math" w:cs="Cambria Math"/>
          <w:sz w:val="24"/>
          <w:szCs w:val="24"/>
        </w:rPr>
        <w:t>‐</w:t>
      </w:r>
      <w:r w:rsidRPr="00B80E84">
        <w:rPr>
          <w:rFonts w:ascii="Times New Roman" w:hAnsi="Times New Roman"/>
          <w:sz w:val="24"/>
          <w:szCs w:val="24"/>
        </w:rPr>
        <w:t xml:space="preserve">history buffering or lability adaptive in stochastic environments? </w:t>
      </w:r>
      <w:r w:rsidRPr="00B80E84">
        <w:rPr>
          <w:rFonts w:ascii="Times New Roman" w:hAnsi="Times New Roman"/>
          <w:i/>
          <w:sz w:val="24"/>
          <w:szCs w:val="24"/>
        </w:rPr>
        <w:t>Oikos</w:t>
      </w:r>
      <w:r w:rsidRPr="00B80E84">
        <w:rPr>
          <w:rFonts w:ascii="Times New Roman" w:hAnsi="Times New Roman"/>
          <w:sz w:val="24"/>
          <w:szCs w:val="24"/>
        </w:rPr>
        <w:t xml:space="preserve"> </w:t>
      </w:r>
      <w:r w:rsidRPr="00B80E84">
        <w:rPr>
          <w:rFonts w:ascii="Times New Roman" w:hAnsi="Times New Roman"/>
          <w:b/>
          <w:sz w:val="24"/>
          <w:szCs w:val="24"/>
        </w:rPr>
        <w:t>118</w:t>
      </w:r>
      <w:r w:rsidRPr="00B80E84">
        <w:rPr>
          <w:rFonts w:ascii="Times New Roman" w:hAnsi="Times New Roman"/>
          <w:sz w:val="24"/>
          <w:szCs w:val="24"/>
        </w:rPr>
        <w:t>, 972-980 (2009).</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12</w:t>
      </w:r>
      <w:r w:rsidRPr="00B80E84">
        <w:rPr>
          <w:rFonts w:ascii="Times New Roman" w:hAnsi="Times New Roman"/>
          <w:sz w:val="24"/>
          <w:szCs w:val="24"/>
        </w:rPr>
        <w:tab/>
        <w:t xml:space="preserve">Morris, W. F. &amp; Doak, D. F. Buffering of life histories against environmental stochasticity: accounting for a spurious correlation between the variabilities of vital rates and their contributions to fitness. </w:t>
      </w:r>
      <w:r w:rsidRPr="00B80E84">
        <w:rPr>
          <w:rFonts w:ascii="Times New Roman" w:hAnsi="Times New Roman"/>
          <w:i/>
          <w:sz w:val="24"/>
          <w:szCs w:val="24"/>
        </w:rPr>
        <w:t>The American Naturalist</w:t>
      </w:r>
      <w:r w:rsidRPr="00B80E84">
        <w:rPr>
          <w:rFonts w:ascii="Times New Roman" w:hAnsi="Times New Roman"/>
          <w:sz w:val="24"/>
          <w:szCs w:val="24"/>
        </w:rPr>
        <w:t xml:space="preserve"> </w:t>
      </w:r>
      <w:r w:rsidRPr="00B80E84">
        <w:rPr>
          <w:rFonts w:ascii="Times New Roman" w:hAnsi="Times New Roman"/>
          <w:b/>
          <w:sz w:val="24"/>
          <w:szCs w:val="24"/>
        </w:rPr>
        <w:t>163</w:t>
      </w:r>
      <w:r w:rsidRPr="00B80E84">
        <w:rPr>
          <w:rFonts w:ascii="Times New Roman" w:hAnsi="Times New Roman"/>
          <w:sz w:val="24"/>
          <w:szCs w:val="24"/>
        </w:rPr>
        <w:t>, 579-590 (2004).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13</w:t>
      </w:r>
      <w:r w:rsidRPr="00B80E84">
        <w:rPr>
          <w:rFonts w:ascii="Times New Roman" w:hAnsi="Times New Roman"/>
          <w:sz w:val="24"/>
          <w:szCs w:val="24"/>
        </w:rPr>
        <w:tab/>
        <w:t>Bjørkvoll, E.</w:t>
      </w:r>
      <w:r w:rsidRPr="00B80E84">
        <w:rPr>
          <w:rFonts w:ascii="Times New Roman" w:hAnsi="Times New Roman"/>
          <w:i/>
          <w:sz w:val="24"/>
          <w:szCs w:val="24"/>
        </w:rPr>
        <w:t xml:space="preserve"> et al.</w:t>
      </w:r>
      <w:r w:rsidRPr="00B80E84">
        <w:rPr>
          <w:rFonts w:ascii="Times New Roman" w:hAnsi="Times New Roman"/>
          <w:sz w:val="24"/>
          <w:szCs w:val="24"/>
        </w:rPr>
        <w:t xml:space="preserve"> Demographic buffering of life histories? Implications of the choice of measurement scale. </w:t>
      </w:r>
      <w:r w:rsidRPr="00B80E84">
        <w:rPr>
          <w:rFonts w:ascii="Times New Roman" w:hAnsi="Times New Roman"/>
          <w:i/>
          <w:sz w:val="24"/>
          <w:szCs w:val="24"/>
        </w:rPr>
        <w:t>Ecology</w:t>
      </w:r>
      <w:r w:rsidRPr="00B80E84">
        <w:rPr>
          <w:rFonts w:ascii="Times New Roman" w:hAnsi="Times New Roman"/>
          <w:sz w:val="24"/>
          <w:szCs w:val="24"/>
        </w:rPr>
        <w:t xml:space="preserve"> </w:t>
      </w:r>
      <w:r w:rsidRPr="00B80E84">
        <w:rPr>
          <w:rFonts w:ascii="Times New Roman" w:hAnsi="Times New Roman"/>
          <w:b/>
          <w:sz w:val="24"/>
          <w:szCs w:val="24"/>
        </w:rPr>
        <w:t>97</w:t>
      </w:r>
      <w:r w:rsidRPr="00B80E84">
        <w:rPr>
          <w:rFonts w:ascii="Times New Roman" w:hAnsi="Times New Roman"/>
          <w:sz w:val="24"/>
          <w:szCs w:val="24"/>
        </w:rPr>
        <w:t>, 40-47 (2016).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14</w:t>
      </w:r>
      <w:r w:rsidRPr="00B80E84">
        <w:rPr>
          <w:rFonts w:ascii="Times New Roman" w:hAnsi="Times New Roman"/>
          <w:sz w:val="24"/>
          <w:szCs w:val="24"/>
        </w:rPr>
        <w:tab/>
        <w:t xml:space="preserve">Link, W. A. &amp; Doherty Jr, P. F. Scaling in sensitivity analysis. </w:t>
      </w:r>
      <w:r w:rsidRPr="00B80E84">
        <w:rPr>
          <w:rFonts w:ascii="Times New Roman" w:hAnsi="Times New Roman"/>
          <w:i/>
          <w:sz w:val="24"/>
          <w:szCs w:val="24"/>
        </w:rPr>
        <w:t>Ecology</w:t>
      </w:r>
      <w:r w:rsidRPr="00B80E84">
        <w:rPr>
          <w:rFonts w:ascii="Times New Roman" w:hAnsi="Times New Roman"/>
          <w:sz w:val="24"/>
          <w:szCs w:val="24"/>
        </w:rPr>
        <w:t xml:space="preserve"> </w:t>
      </w:r>
      <w:r w:rsidRPr="00B80E84">
        <w:rPr>
          <w:rFonts w:ascii="Times New Roman" w:hAnsi="Times New Roman"/>
          <w:b/>
          <w:sz w:val="24"/>
          <w:szCs w:val="24"/>
        </w:rPr>
        <w:t>83</w:t>
      </w:r>
      <w:r w:rsidRPr="00B80E84">
        <w:rPr>
          <w:rFonts w:ascii="Times New Roman" w:hAnsi="Times New Roman"/>
          <w:sz w:val="24"/>
          <w:szCs w:val="24"/>
        </w:rPr>
        <w:t>, 3299-3305 (2002).</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lastRenderedPageBreak/>
        <w:t>15</w:t>
      </w:r>
      <w:r w:rsidRPr="00B80E84">
        <w:rPr>
          <w:rFonts w:ascii="Times New Roman" w:hAnsi="Times New Roman"/>
          <w:sz w:val="24"/>
          <w:szCs w:val="24"/>
        </w:rPr>
        <w:tab/>
        <w:t xml:space="preserve">Jongejans, E., De Kroon, H., Tuljapurkar, S. &amp; Shea, K. Plant populations track rather than buffer climate fluctuations. </w:t>
      </w:r>
      <w:r w:rsidRPr="00B80E84">
        <w:rPr>
          <w:rFonts w:ascii="Times New Roman" w:hAnsi="Times New Roman"/>
          <w:i/>
          <w:sz w:val="24"/>
          <w:szCs w:val="24"/>
        </w:rPr>
        <w:t>Ecology Letters</w:t>
      </w:r>
      <w:r w:rsidRPr="00B80E84">
        <w:rPr>
          <w:rFonts w:ascii="Times New Roman" w:hAnsi="Times New Roman"/>
          <w:sz w:val="24"/>
          <w:szCs w:val="24"/>
        </w:rPr>
        <w:t xml:space="preserve"> </w:t>
      </w:r>
      <w:r w:rsidRPr="00B80E84">
        <w:rPr>
          <w:rFonts w:ascii="Times New Roman" w:hAnsi="Times New Roman"/>
          <w:b/>
          <w:sz w:val="24"/>
          <w:szCs w:val="24"/>
        </w:rPr>
        <w:t>13</w:t>
      </w:r>
      <w:r w:rsidRPr="00B80E84">
        <w:rPr>
          <w:rFonts w:ascii="Times New Roman" w:hAnsi="Times New Roman"/>
          <w:sz w:val="24"/>
          <w:szCs w:val="24"/>
        </w:rPr>
        <w:t>, 736-743 (2010).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16</w:t>
      </w:r>
      <w:r w:rsidRPr="00B80E84">
        <w:rPr>
          <w:rFonts w:ascii="Times New Roman" w:hAnsi="Times New Roman"/>
          <w:sz w:val="24"/>
          <w:szCs w:val="24"/>
        </w:rPr>
        <w:tab/>
        <w:t xml:space="preserve">Levine, J. M. &amp; Rees, M. Effects of temporal variability on rare plant persistence in annual systems. </w:t>
      </w:r>
      <w:r w:rsidRPr="00B80E84">
        <w:rPr>
          <w:rFonts w:ascii="Times New Roman" w:hAnsi="Times New Roman"/>
          <w:i/>
          <w:sz w:val="24"/>
          <w:szCs w:val="24"/>
        </w:rPr>
        <w:t>The American Naturalist</w:t>
      </w:r>
      <w:r w:rsidRPr="00B80E84">
        <w:rPr>
          <w:rFonts w:ascii="Times New Roman" w:hAnsi="Times New Roman"/>
          <w:sz w:val="24"/>
          <w:szCs w:val="24"/>
        </w:rPr>
        <w:t xml:space="preserve"> </w:t>
      </w:r>
      <w:r w:rsidRPr="00B80E84">
        <w:rPr>
          <w:rFonts w:ascii="Times New Roman" w:hAnsi="Times New Roman"/>
          <w:b/>
          <w:sz w:val="24"/>
          <w:szCs w:val="24"/>
        </w:rPr>
        <w:t>164</w:t>
      </w:r>
      <w:r w:rsidRPr="00B80E84">
        <w:rPr>
          <w:rFonts w:ascii="Times New Roman" w:hAnsi="Times New Roman"/>
          <w:sz w:val="24"/>
          <w:szCs w:val="24"/>
        </w:rPr>
        <w:t>, 350-363 (2004).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17</w:t>
      </w:r>
      <w:r w:rsidRPr="00B80E84">
        <w:rPr>
          <w:rFonts w:ascii="Times New Roman" w:hAnsi="Times New Roman"/>
          <w:sz w:val="24"/>
          <w:szCs w:val="24"/>
        </w:rPr>
        <w:tab/>
        <w:t xml:space="preserve">Jensen, J. L. W. V. Sur les fonctions convexes et les inégalités entre les valeurs moyennes. </w:t>
      </w:r>
      <w:r w:rsidRPr="00B80E84">
        <w:rPr>
          <w:rFonts w:ascii="Times New Roman" w:hAnsi="Times New Roman"/>
          <w:i/>
          <w:sz w:val="24"/>
          <w:szCs w:val="24"/>
        </w:rPr>
        <w:t>Acta Mathematica</w:t>
      </w:r>
      <w:r w:rsidRPr="00B80E84">
        <w:rPr>
          <w:rFonts w:ascii="Times New Roman" w:hAnsi="Times New Roman"/>
          <w:sz w:val="24"/>
          <w:szCs w:val="24"/>
        </w:rPr>
        <w:t xml:space="preserve"> </w:t>
      </w:r>
      <w:r w:rsidRPr="00B80E84">
        <w:rPr>
          <w:rFonts w:ascii="Times New Roman" w:hAnsi="Times New Roman"/>
          <w:b/>
          <w:sz w:val="24"/>
          <w:szCs w:val="24"/>
        </w:rPr>
        <w:t>30</w:t>
      </w:r>
      <w:r w:rsidRPr="00B80E84">
        <w:rPr>
          <w:rFonts w:ascii="Times New Roman" w:hAnsi="Times New Roman"/>
          <w:sz w:val="24"/>
          <w:szCs w:val="24"/>
        </w:rPr>
        <w:t>, 175-193 (1906).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18</w:t>
      </w:r>
      <w:r w:rsidRPr="00B80E84">
        <w:rPr>
          <w:rFonts w:ascii="Times New Roman" w:hAnsi="Times New Roman"/>
          <w:sz w:val="24"/>
          <w:szCs w:val="24"/>
        </w:rPr>
        <w:tab/>
        <w:t xml:space="preserve">Ruel, J. J. &amp; Ayres, M. P. Jensen’s inequality predicts effects of environmental variation. </w:t>
      </w:r>
      <w:r w:rsidRPr="00B80E84">
        <w:rPr>
          <w:rFonts w:ascii="Times New Roman" w:hAnsi="Times New Roman"/>
          <w:i/>
          <w:sz w:val="24"/>
          <w:szCs w:val="24"/>
        </w:rPr>
        <w:t>Trends in Ecology &amp; Evolution</w:t>
      </w:r>
      <w:r w:rsidRPr="00B80E84">
        <w:rPr>
          <w:rFonts w:ascii="Times New Roman" w:hAnsi="Times New Roman"/>
          <w:sz w:val="24"/>
          <w:szCs w:val="24"/>
        </w:rPr>
        <w:t xml:space="preserve"> </w:t>
      </w:r>
      <w:r w:rsidRPr="00B80E84">
        <w:rPr>
          <w:rFonts w:ascii="Times New Roman" w:hAnsi="Times New Roman"/>
          <w:b/>
          <w:sz w:val="24"/>
          <w:szCs w:val="24"/>
        </w:rPr>
        <w:t>14</w:t>
      </w:r>
      <w:r w:rsidRPr="00B80E84">
        <w:rPr>
          <w:rFonts w:ascii="Times New Roman" w:hAnsi="Times New Roman"/>
          <w:sz w:val="24"/>
          <w:szCs w:val="24"/>
        </w:rPr>
        <w:t>, 361-366 (1999).</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19</w:t>
      </w:r>
      <w:r w:rsidRPr="00B80E84">
        <w:rPr>
          <w:rFonts w:ascii="Times New Roman" w:hAnsi="Times New Roman"/>
          <w:sz w:val="24"/>
          <w:szCs w:val="24"/>
        </w:rPr>
        <w:tab/>
        <w:t xml:space="preserve">Li, S. L. &amp; Ramula, S. Demographic strategies of plant invaders in temporally varying environments. </w:t>
      </w:r>
      <w:r w:rsidRPr="00B80E84">
        <w:rPr>
          <w:rFonts w:ascii="Times New Roman" w:hAnsi="Times New Roman"/>
          <w:i/>
          <w:sz w:val="24"/>
          <w:szCs w:val="24"/>
        </w:rPr>
        <w:t>Population Ecology</w:t>
      </w:r>
      <w:r w:rsidRPr="00B80E84">
        <w:rPr>
          <w:rFonts w:ascii="Times New Roman" w:hAnsi="Times New Roman"/>
          <w:sz w:val="24"/>
          <w:szCs w:val="24"/>
        </w:rPr>
        <w:t xml:space="preserve"> </w:t>
      </w:r>
      <w:r w:rsidRPr="00B80E84">
        <w:rPr>
          <w:rFonts w:ascii="Times New Roman" w:hAnsi="Times New Roman"/>
          <w:b/>
          <w:sz w:val="24"/>
          <w:szCs w:val="24"/>
        </w:rPr>
        <w:t>57</w:t>
      </w:r>
      <w:r w:rsidRPr="00B80E84">
        <w:rPr>
          <w:rFonts w:ascii="Times New Roman" w:hAnsi="Times New Roman"/>
          <w:sz w:val="24"/>
          <w:szCs w:val="24"/>
        </w:rPr>
        <w:t>, 373-380 (2015).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20</w:t>
      </w:r>
      <w:r w:rsidRPr="00B80E84">
        <w:rPr>
          <w:rFonts w:ascii="Times New Roman" w:hAnsi="Times New Roman"/>
          <w:sz w:val="24"/>
          <w:szCs w:val="24"/>
        </w:rPr>
        <w:tab/>
        <w:t xml:space="preserve">Caswell, H. </w:t>
      </w:r>
      <w:r w:rsidRPr="00B80E84">
        <w:rPr>
          <w:rFonts w:ascii="Times New Roman" w:hAnsi="Times New Roman"/>
          <w:i/>
          <w:sz w:val="24"/>
          <w:szCs w:val="24"/>
        </w:rPr>
        <w:t>Matrix population models</w:t>
      </w:r>
      <w:r w:rsidRPr="00B80E84">
        <w:rPr>
          <w:rFonts w:ascii="Times New Roman" w:hAnsi="Times New Roman"/>
          <w:sz w:val="24"/>
          <w:szCs w:val="24"/>
        </w:rPr>
        <w:t>.  (Wiley Online Library, 2001).</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21</w:t>
      </w:r>
      <w:r w:rsidRPr="00B80E84">
        <w:rPr>
          <w:rFonts w:ascii="Times New Roman" w:hAnsi="Times New Roman"/>
          <w:sz w:val="24"/>
          <w:szCs w:val="24"/>
        </w:rPr>
        <w:tab/>
        <w:t>Salguero-Gomez, R.</w:t>
      </w:r>
      <w:r w:rsidRPr="00B80E84">
        <w:rPr>
          <w:rFonts w:ascii="Times New Roman" w:hAnsi="Times New Roman"/>
          <w:i/>
          <w:sz w:val="24"/>
          <w:szCs w:val="24"/>
        </w:rPr>
        <w:t xml:space="preserve"> et al.</w:t>
      </w:r>
      <w:r w:rsidRPr="00B80E84">
        <w:rPr>
          <w:rFonts w:ascii="Times New Roman" w:hAnsi="Times New Roman"/>
          <w:sz w:val="24"/>
          <w:szCs w:val="24"/>
        </w:rPr>
        <w:t xml:space="preserve"> The COMPADRE plant matrix database: an open online repository for plant demography. </w:t>
      </w:r>
      <w:r w:rsidRPr="00B80E84">
        <w:rPr>
          <w:rFonts w:ascii="Times New Roman" w:hAnsi="Times New Roman"/>
          <w:i/>
          <w:sz w:val="24"/>
          <w:szCs w:val="24"/>
        </w:rPr>
        <w:t>Journal of Ecology</w:t>
      </w:r>
      <w:r w:rsidRPr="00B80E84">
        <w:rPr>
          <w:rFonts w:ascii="Times New Roman" w:hAnsi="Times New Roman"/>
          <w:sz w:val="24"/>
          <w:szCs w:val="24"/>
        </w:rPr>
        <w:t xml:space="preserve"> </w:t>
      </w:r>
      <w:r w:rsidRPr="00B80E84">
        <w:rPr>
          <w:rFonts w:ascii="Times New Roman" w:hAnsi="Times New Roman"/>
          <w:b/>
          <w:sz w:val="24"/>
          <w:szCs w:val="24"/>
        </w:rPr>
        <w:t>103</w:t>
      </w:r>
      <w:r w:rsidRPr="00B80E84">
        <w:rPr>
          <w:rFonts w:ascii="Times New Roman" w:hAnsi="Times New Roman"/>
          <w:sz w:val="24"/>
          <w:szCs w:val="24"/>
        </w:rPr>
        <w:t>, 202-218 (2015).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22</w:t>
      </w:r>
      <w:r w:rsidRPr="00B80E84">
        <w:rPr>
          <w:rFonts w:ascii="Times New Roman" w:hAnsi="Times New Roman"/>
          <w:sz w:val="24"/>
          <w:szCs w:val="24"/>
        </w:rPr>
        <w:tab/>
        <w:t xml:space="preserve">Hadfield, J. D. MCMC methods for multi-response generalized linear mixed models: the MCMCglmm R package. </w:t>
      </w:r>
      <w:r w:rsidRPr="00B80E84">
        <w:rPr>
          <w:rFonts w:ascii="Times New Roman" w:hAnsi="Times New Roman"/>
          <w:i/>
          <w:sz w:val="24"/>
          <w:szCs w:val="24"/>
        </w:rPr>
        <w:t>Journal of Statistical Software</w:t>
      </w:r>
      <w:r w:rsidRPr="00B80E84">
        <w:rPr>
          <w:rFonts w:ascii="Times New Roman" w:hAnsi="Times New Roman"/>
          <w:sz w:val="24"/>
          <w:szCs w:val="24"/>
        </w:rPr>
        <w:t xml:space="preserve"> </w:t>
      </w:r>
      <w:r w:rsidRPr="00B80E84">
        <w:rPr>
          <w:rFonts w:ascii="Times New Roman" w:hAnsi="Times New Roman"/>
          <w:b/>
          <w:sz w:val="24"/>
          <w:szCs w:val="24"/>
        </w:rPr>
        <w:t>33</w:t>
      </w:r>
      <w:r w:rsidRPr="00B80E84">
        <w:rPr>
          <w:rFonts w:ascii="Times New Roman" w:hAnsi="Times New Roman"/>
          <w:sz w:val="24"/>
          <w:szCs w:val="24"/>
        </w:rPr>
        <w:t>, 1-22 (2010).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23</w:t>
      </w:r>
      <w:r w:rsidRPr="00B80E84">
        <w:rPr>
          <w:rFonts w:ascii="Times New Roman" w:hAnsi="Times New Roman"/>
          <w:sz w:val="24"/>
          <w:szCs w:val="24"/>
        </w:rPr>
        <w:tab/>
        <w:t xml:space="preserve">Chevin, L. M. &amp; Lande, R. Adaptation to marginal habitats by evolution of increased phenotypic plasticity. </w:t>
      </w:r>
      <w:r w:rsidRPr="00B80E84">
        <w:rPr>
          <w:rFonts w:ascii="Times New Roman" w:hAnsi="Times New Roman"/>
          <w:i/>
          <w:sz w:val="24"/>
          <w:szCs w:val="24"/>
        </w:rPr>
        <w:t>Journal of evolutionary biology</w:t>
      </w:r>
      <w:r w:rsidRPr="00B80E84">
        <w:rPr>
          <w:rFonts w:ascii="Times New Roman" w:hAnsi="Times New Roman"/>
          <w:sz w:val="24"/>
          <w:szCs w:val="24"/>
        </w:rPr>
        <w:t xml:space="preserve"> </w:t>
      </w:r>
      <w:r w:rsidRPr="00B80E84">
        <w:rPr>
          <w:rFonts w:ascii="Times New Roman" w:hAnsi="Times New Roman"/>
          <w:b/>
          <w:sz w:val="24"/>
          <w:szCs w:val="24"/>
        </w:rPr>
        <w:t>24</w:t>
      </w:r>
      <w:r w:rsidRPr="00B80E84">
        <w:rPr>
          <w:rFonts w:ascii="Times New Roman" w:hAnsi="Times New Roman"/>
          <w:sz w:val="24"/>
          <w:szCs w:val="24"/>
        </w:rPr>
        <w:t>, 1462-1476 (2011).</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24</w:t>
      </w:r>
      <w:r w:rsidRPr="00B80E84">
        <w:rPr>
          <w:rFonts w:ascii="Times New Roman" w:hAnsi="Times New Roman"/>
          <w:sz w:val="24"/>
          <w:szCs w:val="24"/>
        </w:rPr>
        <w:tab/>
        <w:t xml:space="preserve">Lande, R. Adaptation to an extraordinary environment by evolution of phenotypic plasticity and genetic assimilation. </w:t>
      </w:r>
      <w:r w:rsidRPr="00B80E84">
        <w:rPr>
          <w:rFonts w:ascii="Times New Roman" w:hAnsi="Times New Roman"/>
          <w:i/>
          <w:sz w:val="24"/>
          <w:szCs w:val="24"/>
        </w:rPr>
        <w:t>Journal of evolutionary biology</w:t>
      </w:r>
      <w:r w:rsidRPr="00B80E84">
        <w:rPr>
          <w:rFonts w:ascii="Times New Roman" w:hAnsi="Times New Roman"/>
          <w:sz w:val="24"/>
          <w:szCs w:val="24"/>
        </w:rPr>
        <w:t xml:space="preserve"> </w:t>
      </w:r>
      <w:r w:rsidRPr="00B80E84">
        <w:rPr>
          <w:rFonts w:ascii="Times New Roman" w:hAnsi="Times New Roman"/>
          <w:b/>
          <w:sz w:val="24"/>
          <w:szCs w:val="24"/>
        </w:rPr>
        <w:t>22</w:t>
      </w:r>
      <w:r w:rsidRPr="00B80E84">
        <w:rPr>
          <w:rFonts w:ascii="Times New Roman" w:hAnsi="Times New Roman"/>
          <w:sz w:val="24"/>
          <w:szCs w:val="24"/>
        </w:rPr>
        <w:t>, 1435-1446 (2009).</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25</w:t>
      </w:r>
      <w:r w:rsidRPr="00B80E84">
        <w:rPr>
          <w:rFonts w:ascii="Times New Roman" w:hAnsi="Times New Roman"/>
          <w:sz w:val="24"/>
          <w:szCs w:val="24"/>
        </w:rPr>
        <w:tab/>
        <w:t xml:space="preserve">Melbourne, B. A. &amp; Hastings, A. Extinction risk depends strongly on factors contributing to stochasticity. </w:t>
      </w:r>
      <w:r w:rsidRPr="00B80E84">
        <w:rPr>
          <w:rFonts w:ascii="Times New Roman" w:hAnsi="Times New Roman"/>
          <w:i/>
          <w:sz w:val="24"/>
          <w:szCs w:val="24"/>
        </w:rPr>
        <w:t>Nature</w:t>
      </w:r>
      <w:r w:rsidRPr="00B80E84">
        <w:rPr>
          <w:rFonts w:ascii="Times New Roman" w:hAnsi="Times New Roman"/>
          <w:sz w:val="24"/>
          <w:szCs w:val="24"/>
        </w:rPr>
        <w:t xml:space="preserve"> </w:t>
      </w:r>
      <w:r w:rsidRPr="00B80E84">
        <w:rPr>
          <w:rFonts w:ascii="Times New Roman" w:hAnsi="Times New Roman"/>
          <w:b/>
          <w:sz w:val="24"/>
          <w:szCs w:val="24"/>
        </w:rPr>
        <w:t>454</w:t>
      </w:r>
      <w:r w:rsidRPr="00B80E84">
        <w:rPr>
          <w:rFonts w:ascii="Times New Roman" w:hAnsi="Times New Roman"/>
          <w:sz w:val="24"/>
          <w:szCs w:val="24"/>
        </w:rPr>
        <w:t>, 100-103 (2008).</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26</w:t>
      </w:r>
      <w:r w:rsidRPr="00B80E84">
        <w:rPr>
          <w:rFonts w:ascii="Times New Roman" w:hAnsi="Times New Roman"/>
          <w:sz w:val="24"/>
          <w:szCs w:val="24"/>
        </w:rPr>
        <w:tab/>
        <w:t xml:space="preserve">McDonald, J. L., Stott, I., Townley, S. &amp; Hodgson, D. J. Transients drive the demographic dynamics of plant populations in variable environments. </w:t>
      </w:r>
      <w:r w:rsidRPr="00B80E84">
        <w:rPr>
          <w:rFonts w:ascii="Times New Roman" w:hAnsi="Times New Roman"/>
          <w:i/>
          <w:sz w:val="24"/>
          <w:szCs w:val="24"/>
        </w:rPr>
        <w:t>Journal of Ecology</w:t>
      </w:r>
      <w:r w:rsidRPr="00B80E84">
        <w:rPr>
          <w:rFonts w:ascii="Times New Roman" w:hAnsi="Times New Roman"/>
          <w:sz w:val="24"/>
          <w:szCs w:val="24"/>
        </w:rPr>
        <w:t xml:space="preserve"> </w:t>
      </w:r>
      <w:r w:rsidRPr="00B80E84">
        <w:rPr>
          <w:rFonts w:ascii="Times New Roman" w:hAnsi="Times New Roman"/>
          <w:b/>
          <w:sz w:val="24"/>
          <w:szCs w:val="24"/>
        </w:rPr>
        <w:t>104</w:t>
      </w:r>
      <w:r w:rsidRPr="00B80E84">
        <w:rPr>
          <w:rFonts w:ascii="Times New Roman" w:hAnsi="Times New Roman"/>
          <w:sz w:val="24"/>
          <w:szCs w:val="24"/>
        </w:rPr>
        <w:t>, 306-314, doi:10.1111/1365-2745.12528 (2016).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lastRenderedPageBreak/>
        <w:t>27</w:t>
      </w:r>
      <w:r w:rsidRPr="00B80E84">
        <w:rPr>
          <w:rFonts w:ascii="Times New Roman" w:hAnsi="Times New Roman"/>
          <w:sz w:val="24"/>
          <w:szCs w:val="24"/>
        </w:rPr>
        <w:tab/>
        <w:t xml:space="preserve">Childs, D. Z., Metcalf, C. &amp; Rees, M. Evolutionary bet-hedging in the real world: empirical evidence and challenges revealed by plants. </w:t>
      </w:r>
      <w:r w:rsidRPr="00B80E84">
        <w:rPr>
          <w:rFonts w:ascii="Times New Roman" w:hAnsi="Times New Roman"/>
          <w:i/>
          <w:sz w:val="24"/>
          <w:szCs w:val="24"/>
        </w:rPr>
        <w:t>Proceedings of the Royal Society of London B: Biological Sciences</w:t>
      </w:r>
      <w:r w:rsidRPr="00B80E84">
        <w:rPr>
          <w:rFonts w:ascii="Times New Roman" w:hAnsi="Times New Roman"/>
          <w:sz w:val="24"/>
          <w:szCs w:val="24"/>
        </w:rPr>
        <w:t>, rspb20100707 (2010).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28</w:t>
      </w:r>
      <w:r w:rsidRPr="00B80E84">
        <w:rPr>
          <w:rFonts w:ascii="Times New Roman" w:hAnsi="Times New Roman"/>
          <w:sz w:val="24"/>
          <w:szCs w:val="24"/>
        </w:rPr>
        <w:tab/>
        <w:t xml:space="preserve">Chesson, P. Mechanisms of maintenance of species diversity. </w:t>
      </w:r>
      <w:r w:rsidRPr="00B80E84">
        <w:rPr>
          <w:rFonts w:ascii="Times New Roman" w:hAnsi="Times New Roman"/>
          <w:i/>
          <w:sz w:val="24"/>
          <w:szCs w:val="24"/>
        </w:rPr>
        <w:t>Annual review of Ecology and Systematics</w:t>
      </w:r>
      <w:r w:rsidRPr="00B80E84">
        <w:rPr>
          <w:rFonts w:ascii="Times New Roman" w:hAnsi="Times New Roman"/>
          <w:sz w:val="24"/>
          <w:szCs w:val="24"/>
        </w:rPr>
        <w:t>, 343-366 (2000).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29</w:t>
      </w:r>
      <w:r w:rsidRPr="00B80E84">
        <w:rPr>
          <w:rFonts w:ascii="Times New Roman" w:hAnsi="Times New Roman"/>
          <w:sz w:val="24"/>
          <w:szCs w:val="24"/>
        </w:rPr>
        <w:tab/>
        <w:t xml:space="preserve">Stott, I., Townley, S., Carslake, D. &amp; Hodgson, D. J. On reducibility and ergodicity of population projection matrix models. </w:t>
      </w:r>
      <w:r w:rsidRPr="00B80E84">
        <w:rPr>
          <w:rFonts w:ascii="Times New Roman" w:hAnsi="Times New Roman"/>
          <w:i/>
          <w:sz w:val="24"/>
          <w:szCs w:val="24"/>
        </w:rPr>
        <w:t>Methods in Ecology and Evolution</w:t>
      </w:r>
      <w:r w:rsidRPr="00B80E84">
        <w:rPr>
          <w:rFonts w:ascii="Times New Roman" w:hAnsi="Times New Roman"/>
          <w:sz w:val="24"/>
          <w:szCs w:val="24"/>
        </w:rPr>
        <w:t xml:space="preserve"> </w:t>
      </w:r>
      <w:r w:rsidRPr="00B80E84">
        <w:rPr>
          <w:rFonts w:ascii="Times New Roman" w:hAnsi="Times New Roman"/>
          <w:b/>
          <w:sz w:val="24"/>
          <w:szCs w:val="24"/>
        </w:rPr>
        <w:t>1</w:t>
      </w:r>
      <w:r w:rsidRPr="00B80E84">
        <w:rPr>
          <w:rFonts w:ascii="Times New Roman" w:hAnsi="Times New Roman"/>
          <w:sz w:val="24"/>
          <w:szCs w:val="24"/>
        </w:rPr>
        <w:t>, 242-252 (2010).</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30</w:t>
      </w:r>
      <w:r w:rsidRPr="00B80E84">
        <w:rPr>
          <w:rFonts w:ascii="Times New Roman" w:hAnsi="Times New Roman"/>
          <w:sz w:val="24"/>
          <w:szCs w:val="24"/>
        </w:rPr>
        <w:tab/>
        <w:t xml:space="preserve">Lefkovitch, L. The study of population growth in organisms grouped by stages. </w:t>
      </w:r>
      <w:r w:rsidRPr="00B80E84">
        <w:rPr>
          <w:rFonts w:ascii="Times New Roman" w:hAnsi="Times New Roman"/>
          <w:i/>
          <w:sz w:val="24"/>
          <w:szCs w:val="24"/>
        </w:rPr>
        <w:t>Biometrics</w:t>
      </w:r>
      <w:r w:rsidRPr="00B80E84">
        <w:rPr>
          <w:rFonts w:ascii="Times New Roman" w:hAnsi="Times New Roman"/>
          <w:sz w:val="24"/>
          <w:szCs w:val="24"/>
        </w:rPr>
        <w:t>, 1-18 (1965).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31</w:t>
      </w:r>
      <w:r w:rsidRPr="00B80E84">
        <w:rPr>
          <w:rFonts w:ascii="Times New Roman" w:hAnsi="Times New Roman"/>
          <w:sz w:val="24"/>
          <w:szCs w:val="24"/>
        </w:rPr>
        <w:tab/>
        <w:t xml:space="preserve">Stott, I., Hodgson, D. J. &amp; Townley, S. popdemo: an R package for population demography using projection matrix analysis. </w:t>
      </w:r>
      <w:r w:rsidRPr="00B80E84">
        <w:rPr>
          <w:rFonts w:ascii="Times New Roman" w:hAnsi="Times New Roman"/>
          <w:i/>
          <w:sz w:val="24"/>
          <w:szCs w:val="24"/>
        </w:rPr>
        <w:t>Methods in Ecology and Evolution</w:t>
      </w:r>
      <w:r w:rsidRPr="00B80E84">
        <w:rPr>
          <w:rFonts w:ascii="Times New Roman" w:hAnsi="Times New Roman"/>
          <w:sz w:val="24"/>
          <w:szCs w:val="24"/>
        </w:rPr>
        <w:t xml:space="preserve"> </w:t>
      </w:r>
      <w:r w:rsidRPr="00B80E84">
        <w:rPr>
          <w:rFonts w:ascii="Times New Roman" w:hAnsi="Times New Roman"/>
          <w:b/>
          <w:sz w:val="24"/>
          <w:szCs w:val="24"/>
        </w:rPr>
        <w:t>3</w:t>
      </w:r>
      <w:r w:rsidRPr="00B80E84">
        <w:rPr>
          <w:rFonts w:ascii="Times New Roman" w:hAnsi="Times New Roman"/>
          <w:sz w:val="24"/>
          <w:szCs w:val="24"/>
        </w:rPr>
        <w:t>, 797-802 (2012).</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32</w:t>
      </w:r>
      <w:r w:rsidRPr="00B80E84">
        <w:rPr>
          <w:rFonts w:ascii="Times New Roman" w:hAnsi="Times New Roman"/>
          <w:sz w:val="24"/>
          <w:szCs w:val="24"/>
        </w:rPr>
        <w:tab/>
        <w:t>R: A language and environment for statistical computing (Vienna, Austria, 2016).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33</w:t>
      </w:r>
      <w:r w:rsidRPr="00B80E84">
        <w:rPr>
          <w:rFonts w:ascii="Times New Roman" w:hAnsi="Times New Roman"/>
          <w:sz w:val="24"/>
          <w:szCs w:val="24"/>
        </w:rPr>
        <w:tab/>
        <w:t>Salguero-Gómez, R.</w:t>
      </w:r>
      <w:r w:rsidRPr="00B80E84">
        <w:rPr>
          <w:rFonts w:ascii="Times New Roman" w:hAnsi="Times New Roman"/>
          <w:i/>
          <w:sz w:val="24"/>
          <w:szCs w:val="24"/>
        </w:rPr>
        <w:t xml:space="preserve"> et al.</w:t>
      </w:r>
      <w:r w:rsidRPr="00B80E84">
        <w:rPr>
          <w:rFonts w:ascii="Times New Roman" w:hAnsi="Times New Roman"/>
          <w:sz w:val="24"/>
          <w:szCs w:val="24"/>
        </w:rPr>
        <w:t xml:space="preserve"> Fast–slow continuum and reproductive strategies structure plant life-history variation worldwide. </w:t>
      </w:r>
      <w:r w:rsidRPr="00B80E84">
        <w:rPr>
          <w:rFonts w:ascii="Times New Roman" w:hAnsi="Times New Roman"/>
          <w:i/>
          <w:sz w:val="24"/>
          <w:szCs w:val="24"/>
        </w:rPr>
        <w:t>Proceedings of the National Academy of Sciences</w:t>
      </w:r>
      <w:r w:rsidRPr="00B80E84">
        <w:rPr>
          <w:rFonts w:ascii="Times New Roman" w:hAnsi="Times New Roman"/>
          <w:sz w:val="24"/>
          <w:szCs w:val="24"/>
        </w:rPr>
        <w:t xml:space="preserve"> </w:t>
      </w:r>
      <w:r w:rsidRPr="00B80E84">
        <w:rPr>
          <w:rFonts w:ascii="Times New Roman" w:hAnsi="Times New Roman"/>
          <w:b/>
          <w:sz w:val="24"/>
          <w:szCs w:val="24"/>
        </w:rPr>
        <w:t>113</w:t>
      </w:r>
      <w:r w:rsidRPr="00B80E84">
        <w:rPr>
          <w:rFonts w:ascii="Times New Roman" w:hAnsi="Times New Roman"/>
          <w:sz w:val="24"/>
          <w:szCs w:val="24"/>
        </w:rPr>
        <w:t>, 230-235 (2016).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34</w:t>
      </w:r>
      <w:r w:rsidRPr="00B80E84">
        <w:rPr>
          <w:rFonts w:ascii="Times New Roman" w:hAnsi="Times New Roman"/>
          <w:sz w:val="24"/>
          <w:szCs w:val="24"/>
        </w:rPr>
        <w:tab/>
        <w:t xml:space="preserve">ISSG. </w:t>
      </w:r>
      <w:r w:rsidRPr="00B80E84">
        <w:rPr>
          <w:rFonts w:ascii="Times New Roman" w:hAnsi="Times New Roman"/>
          <w:i/>
          <w:sz w:val="24"/>
          <w:szCs w:val="24"/>
        </w:rPr>
        <w:t xml:space="preserve">The global invasive species database </w:t>
      </w:r>
      <w:r w:rsidRPr="00B80E84">
        <w:rPr>
          <w:rFonts w:ascii="Times New Roman" w:hAnsi="Times New Roman"/>
          <w:sz w:val="24"/>
          <w:szCs w:val="24"/>
        </w:rPr>
        <w:t>&lt;&gt;http://www.issg.org/database/welcome/&lt;&gt; (2014).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35</w:t>
      </w:r>
      <w:r w:rsidRPr="00B80E84">
        <w:rPr>
          <w:rFonts w:ascii="Times New Roman" w:hAnsi="Times New Roman"/>
          <w:sz w:val="24"/>
          <w:szCs w:val="24"/>
        </w:rPr>
        <w:tab/>
        <w:t xml:space="preserve">CABI. </w:t>
      </w:r>
      <w:r w:rsidRPr="00B80E84">
        <w:rPr>
          <w:rFonts w:ascii="Times New Roman" w:hAnsi="Times New Roman"/>
          <w:i/>
          <w:sz w:val="24"/>
          <w:szCs w:val="24"/>
        </w:rPr>
        <w:t>Invasive species compendium</w:t>
      </w:r>
      <w:r w:rsidRPr="00B80E84">
        <w:rPr>
          <w:rFonts w:ascii="Times New Roman" w:hAnsi="Times New Roman"/>
          <w:sz w:val="24"/>
          <w:szCs w:val="24"/>
        </w:rPr>
        <w:t>, &lt;http://www.cabi.org/isc/&gt; (2014).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36</w:t>
      </w:r>
      <w:r w:rsidRPr="00B80E84">
        <w:rPr>
          <w:rFonts w:ascii="Times New Roman" w:hAnsi="Times New Roman"/>
          <w:sz w:val="24"/>
          <w:szCs w:val="24"/>
        </w:rPr>
        <w:tab/>
        <w:t xml:space="preserve">Australian Government. </w:t>
      </w:r>
      <w:r w:rsidRPr="00B80E84">
        <w:rPr>
          <w:rFonts w:ascii="Times New Roman" w:hAnsi="Times New Roman"/>
          <w:i/>
          <w:sz w:val="24"/>
          <w:szCs w:val="24"/>
        </w:rPr>
        <w:t>Australian weed list</w:t>
      </w:r>
      <w:r w:rsidRPr="00B80E84">
        <w:rPr>
          <w:rFonts w:ascii="Times New Roman" w:hAnsi="Times New Roman"/>
          <w:sz w:val="24"/>
          <w:szCs w:val="24"/>
        </w:rPr>
        <w:t>, &lt;http://www.environment.gov.au/biodiversity/invasive/weeds/index.html&gt; (2014).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37</w:t>
      </w:r>
      <w:r w:rsidRPr="00B80E84">
        <w:rPr>
          <w:rFonts w:ascii="Times New Roman" w:hAnsi="Times New Roman"/>
          <w:sz w:val="24"/>
          <w:szCs w:val="24"/>
        </w:rPr>
        <w:tab/>
        <w:t xml:space="preserve">CHAH. </w:t>
      </w:r>
      <w:r w:rsidRPr="00B80E84">
        <w:rPr>
          <w:rFonts w:ascii="Times New Roman" w:hAnsi="Times New Roman"/>
          <w:i/>
          <w:sz w:val="24"/>
          <w:szCs w:val="24"/>
        </w:rPr>
        <w:t>Australian Plant Census</w:t>
      </w:r>
      <w:r w:rsidRPr="00B80E84">
        <w:rPr>
          <w:rFonts w:ascii="Times New Roman" w:hAnsi="Times New Roman"/>
          <w:sz w:val="24"/>
          <w:szCs w:val="24"/>
        </w:rPr>
        <w:t>, &lt;http://biodiversity.org.au/apni.reference/181584&gt; (2006).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lastRenderedPageBreak/>
        <w:t>38</w:t>
      </w:r>
      <w:r w:rsidRPr="00B80E84">
        <w:rPr>
          <w:rFonts w:ascii="Times New Roman" w:hAnsi="Times New Roman"/>
          <w:sz w:val="24"/>
          <w:szCs w:val="24"/>
        </w:rPr>
        <w:tab/>
        <w:t xml:space="preserve">EPPO. </w:t>
      </w:r>
      <w:r w:rsidRPr="00B80E84">
        <w:rPr>
          <w:rFonts w:ascii="Times New Roman" w:hAnsi="Times New Roman"/>
          <w:i/>
          <w:sz w:val="24"/>
          <w:szCs w:val="24"/>
        </w:rPr>
        <w:t>European and Mediterranean Plant Protection Organization database</w:t>
      </w:r>
      <w:r w:rsidRPr="00B80E84">
        <w:rPr>
          <w:rFonts w:ascii="Times New Roman" w:hAnsi="Times New Roman"/>
          <w:sz w:val="24"/>
          <w:szCs w:val="24"/>
        </w:rPr>
        <w:t>, &lt;http://www.eppo.int/DATABASES/databases.htm&gt; (2014).</w:t>
      </w:r>
    </w:p>
    <w:p w:rsidR="00E63627" w:rsidRPr="00B80E84" w:rsidRDefault="005D5B53"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39</w:t>
      </w:r>
      <w:r w:rsidR="00E63627" w:rsidRPr="00B80E84">
        <w:rPr>
          <w:rFonts w:ascii="Times New Roman" w:hAnsi="Times New Roman"/>
          <w:sz w:val="24"/>
          <w:szCs w:val="24"/>
        </w:rPr>
        <w:tab/>
        <w:t xml:space="preserve">USDA. </w:t>
      </w:r>
      <w:r w:rsidR="00E63627" w:rsidRPr="00B80E84">
        <w:rPr>
          <w:rFonts w:ascii="Times New Roman" w:hAnsi="Times New Roman"/>
          <w:i/>
          <w:sz w:val="24"/>
          <w:szCs w:val="24"/>
        </w:rPr>
        <w:t>Plants database</w:t>
      </w:r>
      <w:r w:rsidR="00E63627" w:rsidRPr="00B80E84">
        <w:rPr>
          <w:rFonts w:ascii="Times New Roman" w:hAnsi="Times New Roman"/>
          <w:sz w:val="24"/>
          <w:szCs w:val="24"/>
        </w:rPr>
        <w:t>, &lt;http://plants.usda.gov/checklist.html&gt; (2014).</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0</w:t>
      </w:r>
      <w:r w:rsidRPr="00B80E84">
        <w:rPr>
          <w:rFonts w:ascii="Times New Roman" w:hAnsi="Times New Roman"/>
          <w:sz w:val="24"/>
          <w:szCs w:val="24"/>
        </w:rPr>
        <w:tab/>
        <w:t xml:space="preserve">Plummer, M., Best, N., Cowles, K. &amp; Vines, K. CODA: Convergence diagnosis and output analysis for MCMC. </w:t>
      </w:r>
      <w:r w:rsidRPr="00B80E84">
        <w:rPr>
          <w:rFonts w:ascii="Times New Roman" w:hAnsi="Times New Roman"/>
          <w:i/>
          <w:sz w:val="24"/>
          <w:szCs w:val="24"/>
        </w:rPr>
        <w:t>R news</w:t>
      </w:r>
      <w:r w:rsidRPr="00B80E84">
        <w:rPr>
          <w:rFonts w:ascii="Times New Roman" w:hAnsi="Times New Roman"/>
          <w:sz w:val="24"/>
          <w:szCs w:val="24"/>
        </w:rPr>
        <w:t xml:space="preserve"> </w:t>
      </w:r>
      <w:r w:rsidRPr="00B80E84">
        <w:rPr>
          <w:rFonts w:ascii="Times New Roman" w:hAnsi="Times New Roman"/>
          <w:b/>
          <w:sz w:val="24"/>
          <w:szCs w:val="24"/>
        </w:rPr>
        <w:t>6</w:t>
      </w:r>
      <w:r w:rsidRPr="00B80E84">
        <w:rPr>
          <w:rFonts w:ascii="Times New Roman" w:hAnsi="Times New Roman"/>
          <w:sz w:val="24"/>
          <w:szCs w:val="24"/>
        </w:rPr>
        <w:t>, 7-11 (2006).</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1</w:t>
      </w:r>
      <w:r w:rsidRPr="00B80E84">
        <w:rPr>
          <w:rFonts w:ascii="Times New Roman" w:hAnsi="Times New Roman"/>
          <w:sz w:val="24"/>
          <w:szCs w:val="24"/>
        </w:rPr>
        <w:tab/>
        <w:t xml:space="preserve">Spiegelhalter, D. J., Best, N. G., Carlin, B. P. &amp; Van Der Linde, A. Bayesian measures of model complexity and fit. </w:t>
      </w:r>
      <w:r w:rsidRPr="00B80E84">
        <w:rPr>
          <w:rFonts w:ascii="Times New Roman" w:hAnsi="Times New Roman"/>
          <w:i/>
          <w:sz w:val="24"/>
          <w:szCs w:val="24"/>
        </w:rPr>
        <w:t>Journal of the Royal Statistical Society: Series B (Statistical Methodology)</w:t>
      </w:r>
      <w:r w:rsidRPr="00B80E84">
        <w:rPr>
          <w:rFonts w:ascii="Times New Roman" w:hAnsi="Times New Roman"/>
          <w:sz w:val="24"/>
          <w:szCs w:val="24"/>
        </w:rPr>
        <w:t xml:space="preserve"> </w:t>
      </w:r>
      <w:r w:rsidRPr="00B80E84">
        <w:rPr>
          <w:rFonts w:ascii="Times New Roman" w:hAnsi="Times New Roman"/>
          <w:b/>
          <w:sz w:val="24"/>
          <w:szCs w:val="24"/>
        </w:rPr>
        <w:t>64</w:t>
      </w:r>
      <w:r w:rsidRPr="00B80E84">
        <w:rPr>
          <w:rFonts w:ascii="Times New Roman" w:hAnsi="Times New Roman"/>
          <w:sz w:val="24"/>
          <w:szCs w:val="24"/>
        </w:rPr>
        <w:t>, 583-639 (2002).</w:t>
      </w:r>
    </w:p>
    <w:p w:rsidR="00E63627" w:rsidRPr="00B80E84" w:rsidRDefault="005D5B53"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42</w:t>
      </w:r>
      <w:r w:rsidR="00E63627" w:rsidRPr="00B80E84">
        <w:rPr>
          <w:rFonts w:ascii="Times New Roman" w:hAnsi="Times New Roman"/>
          <w:sz w:val="24"/>
          <w:szCs w:val="24"/>
        </w:rPr>
        <w:tab/>
        <w:t xml:space="preserve">Revell, L. J. phytools: an R package for phylogenetic comparative biology (and other things). </w:t>
      </w:r>
      <w:r w:rsidR="00E63627" w:rsidRPr="00B80E84">
        <w:rPr>
          <w:rFonts w:ascii="Times New Roman" w:hAnsi="Times New Roman"/>
          <w:i/>
          <w:sz w:val="24"/>
          <w:szCs w:val="24"/>
        </w:rPr>
        <w:t>Methods in Ecology and Evolution</w:t>
      </w:r>
      <w:r w:rsidR="00E63627" w:rsidRPr="00B80E84">
        <w:rPr>
          <w:rFonts w:ascii="Times New Roman" w:hAnsi="Times New Roman"/>
          <w:sz w:val="24"/>
          <w:szCs w:val="24"/>
        </w:rPr>
        <w:t xml:space="preserve"> </w:t>
      </w:r>
      <w:r w:rsidR="00E63627" w:rsidRPr="00B80E84">
        <w:rPr>
          <w:rFonts w:ascii="Times New Roman" w:hAnsi="Times New Roman"/>
          <w:b/>
          <w:sz w:val="24"/>
          <w:szCs w:val="24"/>
        </w:rPr>
        <w:t>3</w:t>
      </w:r>
      <w:r w:rsidR="00E63627" w:rsidRPr="00B80E84">
        <w:rPr>
          <w:rFonts w:ascii="Times New Roman" w:hAnsi="Times New Roman"/>
          <w:sz w:val="24"/>
          <w:szCs w:val="24"/>
        </w:rPr>
        <w:t>, 217-223 (2012).</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3</w:t>
      </w:r>
      <w:r w:rsidRPr="00B80E84">
        <w:rPr>
          <w:rFonts w:ascii="Times New Roman" w:hAnsi="Times New Roman"/>
          <w:sz w:val="24"/>
          <w:szCs w:val="24"/>
        </w:rPr>
        <w:tab/>
        <w:t xml:space="preserve">Revell, L. J. Two new graphical methods for mapping trait evolution on phylogenies. </w:t>
      </w:r>
      <w:r w:rsidRPr="00B80E84">
        <w:rPr>
          <w:rFonts w:ascii="Times New Roman" w:hAnsi="Times New Roman"/>
          <w:i/>
          <w:sz w:val="24"/>
          <w:szCs w:val="24"/>
        </w:rPr>
        <w:t>Methods in Ecology and Evolution</w:t>
      </w:r>
      <w:r w:rsidRPr="00B80E84">
        <w:rPr>
          <w:rFonts w:ascii="Times New Roman" w:hAnsi="Times New Roman"/>
          <w:sz w:val="24"/>
          <w:szCs w:val="24"/>
        </w:rPr>
        <w:t xml:space="preserve"> </w:t>
      </w:r>
      <w:r w:rsidRPr="00B80E84">
        <w:rPr>
          <w:rFonts w:ascii="Times New Roman" w:hAnsi="Times New Roman"/>
          <w:b/>
          <w:sz w:val="24"/>
          <w:szCs w:val="24"/>
        </w:rPr>
        <w:t>4</w:t>
      </w:r>
      <w:r w:rsidRPr="00B80E84">
        <w:rPr>
          <w:rFonts w:ascii="Times New Roman" w:hAnsi="Times New Roman"/>
          <w:sz w:val="24"/>
          <w:szCs w:val="24"/>
        </w:rPr>
        <w:t>, 754-759 (2013).</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4</w:t>
      </w:r>
      <w:r w:rsidRPr="00B80E84">
        <w:rPr>
          <w:rFonts w:ascii="Times New Roman" w:hAnsi="Times New Roman"/>
          <w:sz w:val="24"/>
          <w:szCs w:val="24"/>
        </w:rPr>
        <w:tab/>
        <w:t xml:space="preserve">Felsenstein, J. Phylogenies and the comparative method. </w:t>
      </w:r>
      <w:r w:rsidRPr="00B80E84">
        <w:rPr>
          <w:rFonts w:ascii="Times New Roman" w:hAnsi="Times New Roman"/>
          <w:i/>
          <w:sz w:val="24"/>
          <w:szCs w:val="24"/>
        </w:rPr>
        <w:t>American Naturalist</w:t>
      </w:r>
      <w:r w:rsidRPr="00B80E84">
        <w:rPr>
          <w:rFonts w:ascii="Times New Roman" w:hAnsi="Times New Roman"/>
          <w:sz w:val="24"/>
          <w:szCs w:val="24"/>
        </w:rPr>
        <w:t>, 1-15 (1985).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5</w:t>
      </w:r>
      <w:r w:rsidRPr="00B80E84">
        <w:rPr>
          <w:rFonts w:ascii="Times New Roman" w:hAnsi="Times New Roman"/>
          <w:sz w:val="24"/>
          <w:szCs w:val="24"/>
        </w:rPr>
        <w:tab/>
        <w:t>Bremer, B.</w:t>
      </w:r>
      <w:r w:rsidRPr="00B80E84">
        <w:rPr>
          <w:rFonts w:ascii="Times New Roman" w:hAnsi="Times New Roman"/>
          <w:i/>
          <w:sz w:val="24"/>
          <w:szCs w:val="24"/>
        </w:rPr>
        <w:t xml:space="preserve"> et al.</w:t>
      </w:r>
      <w:r w:rsidRPr="00B80E84">
        <w:rPr>
          <w:rFonts w:ascii="Times New Roman" w:hAnsi="Times New Roman"/>
          <w:sz w:val="24"/>
          <w:szCs w:val="24"/>
        </w:rPr>
        <w:t xml:space="preserve"> An update of the Angiosperm Phylogeny Group classification for the orders and families of flowering plants: APG III. </w:t>
      </w:r>
      <w:r w:rsidRPr="00B80E84">
        <w:rPr>
          <w:rFonts w:ascii="Times New Roman" w:hAnsi="Times New Roman"/>
          <w:i/>
          <w:sz w:val="24"/>
          <w:szCs w:val="24"/>
        </w:rPr>
        <w:t>Botanical Journal of the Linnean Society</w:t>
      </w:r>
      <w:r w:rsidRPr="00B80E84">
        <w:rPr>
          <w:rFonts w:ascii="Times New Roman" w:hAnsi="Times New Roman"/>
          <w:sz w:val="24"/>
          <w:szCs w:val="24"/>
        </w:rPr>
        <w:t xml:space="preserve"> (2009).</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6</w:t>
      </w:r>
      <w:r w:rsidRPr="00B80E84">
        <w:rPr>
          <w:rFonts w:ascii="Times New Roman" w:hAnsi="Times New Roman"/>
          <w:sz w:val="24"/>
          <w:szCs w:val="24"/>
        </w:rPr>
        <w:tab/>
        <w:t xml:space="preserve">Stevens, P. F., Davis, H. &amp; Garden, M. B. </w:t>
      </w:r>
      <w:r w:rsidRPr="00B80E84">
        <w:rPr>
          <w:rFonts w:ascii="Times New Roman" w:hAnsi="Times New Roman"/>
          <w:i/>
          <w:sz w:val="24"/>
          <w:szCs w:val="24"/>
        </w:rPr>
        <w:t>Angiosperm phylogeny website</w:t>
      </w:r>
      <w:r w:rsidRPr="00B80E84">
        <w:rPr>
          <w:rFonts w:ascii="Times New Roman" w:hAnsi="Times New Roman"/>
          <w:sz w:val="24"/>
          <w:szCs w:val="24"/>
        </w:rPr>
        <w:t>.  (Missouri Botanical Garden St Louis, MO, USA, 2001).</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7</w:t>
      </w:r>
      <w:r w:rsidRPr="00B80E84">
        <w:rPr>
          <w:rFonts w:ascii="Times New Roman" w:hAnsi="Times New Roman"/>
          <w:sz w:val="24"/>
          <w:szCs w:val="24"/>
        </w:rPr>
        <w:tab/>
        <w:t xml:space="preserve">Webb, C. O. &amp; Donoghue, M. J. Phylomatic: tree assembly for applied phylogenetics. </w:t>
      </w:r>
      <w:r w:rsidRPr="00B80E84">
        <w:rPr>
          <w:rFonts w:ascii="Times New Roman" w:hAnsi="Times New Roman"/>
          <w:i/>
          <w:sz w:val="24"/>
          <w:szCs w:val="24"/>
        </w:rPr>
        <w:t>Molecular Ecology Notes</w:t>
      </w:r>
      <w:r w:rsidRPr="00B80E84">
        <w:rPr>
          <w:rFonts w:ascii="Times New Roman" w:hAnsi="Times New Roman"/>
          <w:sz w:val="24"/>
          <w:szCs w:val="24"/>
        </w:rPr>
        <w:t xml:space="preserve"> </w:t>
      </w:r>
      <w:r w:rsidRPr="00B80E84">
        <w:rPr>
          <w:rFonts w:ascii="Times New Roman" w:hAnsi="Times New Roman"/>
          <w:b/>
          <w:sz w:val="24"/>
          <w:szCs w:val="24"/>
        </w:rPr>
        <w:t>5</w:t>
      </w:r>
      <w:r w:rsidRPr="00B80E84">
        <w:rPr>
          <w:rFonts w:ascii="Times New Roman" w:hAnsi="Times New Roman"/>
          <w:sz w:val="24"/>
          <w:szCs w:val="24"/>
        </w:rPr>
        <w:t>, 181-183 (2005).</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w:t>
      </w:r>
      <w:r w:rsidR="005D5B53" w:rsidRPr="00B80E84">
        <w:rPr>
          <w:rFonts w:ascii="Times New Roman" w:hAnsi="Times New Roman"/>
          <w:sz w:val="24"/>
          <w:szCs w:val="24"/>
        </w:rPr>
        <w:t>8</w:t>
      </w:r>
      <w:r w:rsidRPr="00B80E84">
        <w:rPr>
          <w:rFonts w:ascii="Times New Roman" w:hAnsi="Times New Roman"/>
          <w:sz w:val="24"/>
          <w:szCs w:val="24"/>
        </w:rPr>
        <w:tab/>
        <w:t>Maddison, W. P. &amp; Maddison, D. R. Mesquite: a modular system for evolutionary analysis.  (2001).</w:t>
      </w:r>
    </w:p>
    <w:p w:rsidR="00E63627" w:rsidRPr="00B80E84" w:rsidRDefault="005D5B53"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49</w:t>
      </w:r>
      <w:r w:rsidR="00E63627" w:rsidRPr="00B80E84">
        <w:rPr>
          <w:rFonts w:ascii="Times New Roman" w:hAnsi="Times New Roman"/>
          <w:sz w:val="24"/>
          <w:szCs w:val="24"/>
        </w:rPr>
        <w:tab/>
        <w:t xml:space="preserve">Federhen, S. The NCBI taxonomy database. </w:t>
      </w:r>
      <w:r w:rsidR="00E63627" w:rsidRPr="00B80E84">
        <w:rPr>
          <w:rFonts w:ascii="Times New Roman" w:hAnsi="Times New Roman"/>
          <w:i/>
          <w:sz w:val="24"/>
          <w:szCs w:val="24"/>
        </w:rPr>
        <w:t>Nucleic acids research</w:t>
      </w:r>
      <w:r w:rsidR="00E63627" w:rsidRPr="00B80E84">
        <w:rPr>
          <w:rFonts w:ascii="Times New Roman" w:hAnsi="Times New Roman"/>
          <w:sz w:val="24"/>
          <w:szCs w:val="24"/>
        </w:rPr>
        <w:t xml:space="preserve"> </w:t>
      </w:r>
      <w:r w:rsidR="00E63627" w:rsidRPr="00B80E84">
        <w:rPr>
          <w:rFonts w:ascii="Times New Roman" w:hAnsi="Times New Roman"/>
          <w:b/>
          <w:sz w:val="24"/>
          <w:szCs w:val="24"/>
        </w:rPr>
        <w:t>40</w:t>
      </w:r>
      <w:r w:rsidR="00E63627" w:rsidRPr="00B80E84">
        <w:rPr>
          <w:rFonts w:ascii="Times New Roman" w:hAnsi="Times New Roman"/>
          <w:sz w:val="24"/>
          <w:szCs w:val="24"/>
        </w:rPr>
        <w:t>, D136-D143 (2012).</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lastRenderedPageBreak/>
        <w:t>5</w:t>
      </w:r>
      <w:r w:rsidR="005D5B53" w:rsidRPr="00B80E84">
        <w:rPr>
          <w:rFonts w:ascii="Times New Roman" w:hAnsi="Times New Roman"/>
          <w:sz w:val="24"/>
          <w:szCs w:val="24"/>
        </w:rPr>
        <w:t>0</w:t>
      </w:r>
      <w:r w:rsidRPr="00B80E84">
        <w:rPr>
          <w:rFonts w:ascii="Times New Roman" w:hAnsi="Times New Roman"/>
          <w:sz w:val="24"/>
          <w:szCs w:val="24"/>
        </w:rPr>
        <w:tab/>
        <w:t xml:space="preserve">Webb, C. O., Ackerly, D. D. &amp; Kembel, S. W. Phylocom: software for the analysis of phylogenetic community structure and trait evolution. </w:t>
      </w:r>
      <w:r w:rsidRPr="00B80E84">
        <w:rPr>
          <w:rFonts w:ascii="Times New Roman" w:hAnsi="Times New Roman"/>
          <w:i/>
          <w:sz w:val="24"/>
          <w:szCs w:val="24"/>
        </w:rPr>
        <w:t>Bioinformatics</w:t>
      </w:r>
      <w:r w:rsidRPr="00B80E84">
        <w:rPr>
          <w:rFonts w:ascii="Times New Roman" w:hAnsi="Times New Roman"/>
          <w:sz w:val="24"/>
          <w:szCs w:val="24"/>
        </w:rPr>
        <w:t xml:space="preserve"> </w:t>
      </w:r>
      <w:r w:rsidRPr="00B80E84">
        <w:rPr>
          <w:rFonts w:ascii="Times New Roman" w:hAnsi="Times New Roman"/>
          <w:b/>
          <w:sz w:val="24"/>
          <w:szCs w:val="24"/>
        </w:rPr>
        <w:t>24</w:t>
      </w:r>
      <w:r w:rsidRPr="00B80E84">
        <w:rPr>
          <w:rFonts w:ascii="Times New Roman" w:hAnsi="Times New Roman"/>
          <w:sz w:val="24"/>
          <w:szCs w:val="24"/>
        </w:rPr>
        <w:t>, 2098-2100 (2008).</w:t>
      </w:r>
    </w:p>
    <w:p w:rsidR="00E63627" w:rsidRPr="00B80E84" w:rsidRDefault="00E63627" w:rsidP="00E63627">
      <w:pPr>
        <w:pStyle w:val="EndNoteBibliography"/>
        <w:numPr>
          <w:ilvl w:val="0"/>
          <w:numId w:val="0"/>
        </w:numPr>
        <w:spacing w:after="0" w:line="480" w:lineRule="auto"/>
        <w:ind w:left="360"/>
        <w:rPr>
          <w:rFonts w:ascii="Times New Roman" w:hAnsi="Times New Roman"/>
          <w:sz w:val="24"/>
          <w:szCs w:val="24"/>
        </w:rPr>
      </w:pPr>
      <w:r w:rsidRPr="00B80E84">
        <w:rPr>
          <w:rFonts w:ascii="Times New Roman" w:hAnsi="Times New Roman"/>
          <w:sz w:val="24"/>
          <w:szCs w:val="24"/>
        </w:rPr>
        <w:t>5</w:t>
      </w:r>
      <w:r w:rsidR="005D5B53" w:rsidRPr="00B80E84">
        <w:rPr>
          <w:rFonts w:ascii="Times New Roman" w:hAnsi="Times New Roman"/>
          <w:sz w:val="24"/>
          <w:szCs w:val="24"/>
        </w:rPr>
        <w:t>1</w:t>
      </w:r>
      <w:r w:rsidRPr="00B80E84">
        <w:rPr>
          <w:rFonts w:ascii="Times New Roman" w:hAnsi="Times New Roman"/>
          <w:sz w:val="24"/>
          <w:szCs w:val="24"/>
        </w:rPr>
        <w:tab/>
        <w:t xml:space="preserve">Wikström, N., Savolainen, V. &amp; Chase, M. W. Evolution of the angiosperms: calibrating the family tree. </w:t>
      </w:r>
      <w:r w:rsidRPr="00B80E84">
        <w:rPr>
          <w:rFonts w:ascii="Times New Roman" w:hAnsi="Times New Roman"/>
          <w:i/>
          <w:sz w:val="24"/>
          <w:szCs w:val="24"/>
        </w:rPr>
        <w:t>Proceedings of the Royal Society of London B: Biological Sciences</w:t>
      </w:r>
      <w:r w:rsidRPr="00B80E84">
        <w:rPr>
          <w:rFonts w:ascii="Times New Roman" w:hAnsi="Times New Roman"/>
          <w:sz w:val="24"/>
          <w:szCs w:val="24"/>
        </w:rPr>
        <w:t xml:space="preserve"> </w:t>
      </w:r>
      <w:r w:rsidRPr="00B80E84">
        <w:rPr>
          <w:rFonts w:ascii="Times New Roman" w:hAnsi="Times New Roman"/>
          <w:b/>
          <w:sz w:val="24"/>
          <w:szCs w:val="24"/>
        </w:rPr>
        <w:t>268</w:t>
      </w:r>
      <w:r w:rsidRPr="00B80E84">
        <w:rPr>
          <w:rFonts w:ascii="Times New Roman" w:hAnsi="Times New Roman"/>
          <w:sz w:val="24"/>
          <w:szCs w:val="24"/>
        </w:rPr>
        <w:t>, 2211-2220 (2001).</w:t>
      </w:r>
    </w:p>
    <w:p w:rsidR="00E63627" w:rsidRPr="00B80E84" w:rsidRDefault="00E63627" w:rsidP="00E63627">
      <w:pPr>
        <w:pStyle w:val="EndNoteBibliography"/>
        <w:numPr>
          <w:ilvl w:val="0"/>
          <w:numId w:val="0"/>
        </w:numPr>
        <w:spacing w:line="480" w:lineRule="auto"/>
        <w:ind w:left="360"/>
        <w:rPr>
          <w:rFonts w:ascii="Times New Roman" w:hAnsi="Times New Roman"/>
          <w:sz w:val="24"/>
          <w:szCs w:val="24"/>
        </w:rPr>
      </w:pPr>
      <w:r w:rsidRPr="00B80E84">
        <w:rPr>
          <w:rFonts w:ascii="Times New Roman" w:hAnsi="Times New Roman"/>
          <w:sz w:val="24"/>
          <w:szCs w:val="24"/>
        </w:rPr>
        <w:t>5</w:t>
      </w:r>
      <w:r w:rsidR="005D5B53" w:rsidRPr="00B80E84">
        <w:rPr>
          <w:rFonts w:ascii="Times New Roman" w:hAnsi="Times New Roman"/>
          <w:sz w:val="24"/>
          <w:szCs w:val="24"/>
        </w:rPr>
        <w:t>2</w:t>
      </w:r>
      <w:r w:rsidRPr="00B80E84">
        <w:rPr>
          <w:rFonts w:ascii="Times New Roman" w:hAnsi="Times New Roman"/>
          <w:sz w:val="24"/>
          <w:szCs w:val="24"/>
        </w:rPr>
        <w:tab/>
        <w:t>Hadfield, J. &amp; Nakagawa, S. General quantitative genetic methods for comparative biology: phylogenies, taxonomies and multi</w:t>
      </w:r>
      <w:r w:rsidRPr="00B80E84">
        <w:rPr>
          <w:rFonts w:ascii="Cambria Math" w:hAnsi="Cambria Math" w:cs="Cambria Math"/>
          <w:sz w:val="24"/>
          <w:szCs w:val="24"/>
        </w:rPr>
        <w:t>‐</w:t>
      </w:r>
      <w:r w:rsidRPr="00B80E84">
        <w:rPr>
          <w:rFonts w:ascii="Times New Roman" w:hAnsi="Times New Roman"/>
          <w:sz w:val="24"/>
          <w:szCs w:val="24"/>
        </w:rPr>
        <w:t xml:space="preserve">trait models for continuous and categorical characters. </w:t>
      </w:r>
      <w:r w:rsidRPr="00B80E84">
        <w:rPr>
          <w:rFonts w:ascii="Times New Roman" w:hAnsi="Times New Roman"/>
          <w:i/>
          <w:sz w:val="24"/>
          <w:szCs w:val="24"/>
        </w:rPr>
        <w:t>Journal of evolutionary biology</w:t>
      </w:r>
      <w:r w:rsidRPr="00B80E84">
        <w:rPr>
          <w:rFonts w:ascii="Times New Roman" w:hAnsi="Times New Roman"/>
          <w:sz w:val="24"/>
          <w:szCs w:val="24"/>
        </w:rPr>
        <w:t xml:space="preserve"> </w:t>
      </w:r>
      <w:r w:rsidRPr="00B80E84">
        <w:rPr>
          <w:rFonts w:ascii="Times New Roman" w:hAnsi="Times New Roman"/>
          <w:b/>
          <w:sz w:val="24"/>
          <w:szCs w:val="24"/>
        </w:rPr>
        <w:t>23</w:t>
      </w:r>
      <w:r w:rsidRPr="00B80E84">
        <w:rPr>
          <w:rFonts w:ascii="Times New Roman" w:hAnsi="Times New Roman"/>
          <w:sz w:val="24"/>
          <w:szCs w:val="24"/>
        </w:rPr>
        <w:t>, 494-508 (2010).</w:t>
      </w:r>
    </w:p>
    <w:p w:rsidR="00E63627" w:rsidRPr="00B80E84" w:rsidRDefault="00E63627" w:rsidP="00E63627">
      <w:pPr>
        <w:spacing w:line="480" w:lineRule="auto"/>
        <w:rPr>
          <w:rFonts w:ascii="Times New Roman" w:hAnsi="Times New Roman" w:cs="Times New Roman"/>
          <w:b/>
          <w:sz w:val="24"/>
          <w:szCs w:val="24"/>
        </w:rPr>
      </w:pP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b/>
          <w:sz w:val="24"/>
          <w:szCs w:val="24"/>
        </w:rPr>
        <w:t>Acknowledgements</w:t>
      </w:r>
      <w:r w:rsidRPr="00B80E84">
        <w:rPr>
          <w:rFonts w:ascii="Times New Roman" w:hAnsi="Times New Roman" w:cs="Times New Roman"/>
          <w:sz w:val="24"/>
          <w:szCs w:val="24"/>
        </w:rPr>
        <w:t xml:space="preserve"> This work was funded by the Natural Environment Research Council UK, grant NE/L007770/1 and supported by </w:t>
      </w:r>
      <w:r w:rsidRPr="00B80E84">
        <w:rPr>
          <w:rFonts w:ascii="Times New Roman" w:hAnsi="Times New Roman" w:cs="Times New Roman"/>
          <w:bCs/>
          <w:sz w:val="24"/>
          <w:szCs w:val="24"/>
        </w:rPr>
        <w:t>NERC IOF grant NE/N006798/1</w:t>
      </w:r>
      <w:r w:rsidRPr="00B80E84">
        <w:rPr>
          <w:rFonts w:ascii="Times New Roman" w:hAnsi="Times New Roman" w:cs="Times New Roman"/>
          <w:sz w:val="24"/>
          <w:szCs w:val="24"/>
        </w:rPr>
        <w:t>. THGE is funded by NERC Fellowship NE/J018163/1.</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b/>
          <w:sz w:val="24"/>
          <w:szCs w:val="24"/>
        </w:rPr>
        <w:t>Author Contributions</w:t>
      </w:r>
      <w:r w:rsidRPr="00B80E84">
        <w:rPr>
          <w:rFonts w:ascii="Times New Roman" w:hAnsi="Times New Roman" w:cs="Times New Roman"/>
          <w:sz w:val="24"/>
          <w:szCs w:val="24"/>
        </w:rPr>
        <w:t xml:space="preserve"> Research conceived by DJH, TE, MF, ST &amp; JLM. Analyses performed by JLM with advice from DJH. Phylogeny provided by MF. Results int</w:t>
      </w:r>
      <w:r w:rsidR="00E37CB1" w:rsidRPr="00B80E84">
        <w:rPr>
          <w:rFonts w:ascii="Times New Roman" w:hAnsi="Times New Roman" w:cs="Times New Roman"/>
          <w:sz w:val="24"/>
          <w:szCs w:val="24"/>
        </w:rPr>
        <w:t>erpreted by JLM &amp; DJH. Invasiveness</w:t>
      </w:r>
      <w:r w:rsidRPr="00B80E84">
        <w:rPr>
          <w:rFonts w:ascii="Times New Roman" w:hAnsi="Times New Roman" w:cs="Times New Roman"/>
          <w:sz w:val="24"/>
          <w:szCs w:val="24"/>
        </w:rPr>
        <w:t xml:space="preserve"> data provided by KJ. Manuscript written by JLM &amp; DJH with advice and revisions from all authors.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b/>
          <w:sz w:val="24"/>
          <w:szCs w:val="24"/>
        </w:rPr>
        <w:t xml:space="preserve">Competing Financial Interests statement </w:t>
      </w:r>
      <w:r w:rsidRPr="00B80E84">
        <w:rPr>
          <w:rFonts w:ascii="Times New Roman" w:hAnsi="Times New Roman" w:cs="Times New Roman"/>
          <w:sz w:val="24"/>
          <w:szCs w:val="24"/>
        </w:rPr>
        <w:t xml:space="preserve">The authors declare no competing financial interests. </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Figure legends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Figure 1. Distribution of correlation coefficients from uncorrected (sd, sensitivity) and corrected (variance standardised standard deviation, variance standardised sensitivity) Spearman correlations (N=141)</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lastRenderedPageBreak/>
        <w:t>Figure 2: Posterior distributions of the correlation coefficient (at average number of stage classes) between sensitivity and standard deviation of vital rates, as predicted from MCMCglmm models that account for species identity and the number of stage classes. Posterior distributions are shown for a naïve uncorrected analysis, an uncorrected analysis with phylogenetic control, a variance standardised (vs) analysis and a vs analysis with phylogenetic control. Naïve analyses using unscaled sensitivities and standard deviations yield highly credible evidence for demographic buffering throughout the plant kingdom. Link-scaling, to remove mean-variance relationships, yielded no credible bias towards demographic buffering in the presence of phylogenetic control. **pMCMC&lt;0.01; * pMCMC&lt;0.05; ns not significantly different from zero (N=138)</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Figure 3: Maximum likelihood ancestral state reconstruction of demographic strategy onto the phylogeny. Legend shows the colour range from blue-green (demographic buffering) to yellow-red (demographic lability).</w:t>
      </w:r>
    </w:p>
    <w:p w:rsidR="00E63627" w:rsidRPr="00B80E84" w:rsidRDefault="00E63627" w:rsidP="00E63627">
      <w:pPr>
        <w:spacing w:line="480" w:lineRule="auto"/>
        <w:rPr>
          <w:rFonts w:ascii="Times New Roman" w:hAnsi="Times New Roman" w:cs="Times New Roman"/>
          <w:b/>
          <w:sz w:val="24"/>
          <w:szCs w:val="24"/>
        </w:rPr>
      </w:pPr>
      <w:r w:rsidRPr="00B80E84">
        <w:rPr>
          <w:rFonts w:ascii="Times New Roman" w:hAnsi="Times New Roman" w:cs="Times New Roman"/>
          <w:b/>
          <w:sz w:val="24"/>
          <w:szCs w:val="24"/>
        </w:rPr>
        <w:t>Tables</w:t>
      </w:r>
    </w:p>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 xml:space="preserve">Table 1: Phylogenetic MCMCglmm model on predictors of demographic buffering across plant populations (N=138) with dimension standardised.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43"/>
        <w:gridCol w:w="2212"/>
        <w:gridCol w:w="2230"/>
        <w:gridCol w:w="2557"/>
      </w:tblGrid>
      <w:tr w:rsidR="00B80E84" w:rsidRPr="00B80E84" w:rsidTr="0028630E">
        <w:trPr>
          <w:trHeight w:val="391"/>
          <w:jc w:val="center"/>
        </w:trPr>
        <w:tc>
          <w:tcPr>
            <w:tcW w:w="2243" w:type="dxa"/>
            <w:vAlign w:val="center"/>
          </w:tcPr>
          <w:p w:rsidR="00E63627" w:rsidRPr="00B80E84" w:rsidRDefault="00E63627" w:rsidP="00E63627">
            <w:pPr>
              <w:spacing w:line="480" w:lineRule="auto"/>
              <w:rPr>
                <w:rFonts w:ascii="Times New Roman" w:hAnsi="Times New Roman"/>
                <w:sz w:val="24"/>
                <w:szCs w:val="24"/>
              </w:rPr>
            </w:pP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Estimate</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95% CRIs</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Posterior Density</w:t>
            </w:r>
          </w:p>
        </w:tc>
      </w:tr>
      <w:tr w:rsidR="00B80E84" w:rsidRPr="00B80E84" w:rsidTr="0028630E">
        <w:trPr>
          <w:trHeight w:val="25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fixed term</w:t>
            </w:r>
          </w:p>
        </w:tc>
        <w:tc>
          <w:tcPr>
            <w:tcW w:w="6999" w:type="dxa"/>
            <w:gridSpan w:val="3"/>
            <w:vAlign w:val="center"/>
          </w:tcPr>
          <w:p w:rsidR="00E63627" w:rsidRPr="00B80E84" w:rsidRDefault="00E63627" w:rsidP="00E63627">
            <w:pPr>
              <w:spacing w:line="480" w:lineRule="auto"/>
              <w:rPr>
                <w:rFonts w:ascii="Times New Roman" w:hAnsi="Times New Roman"/>
                <w:sz w:val="24"/>
                <w:szCs w:val="24"/>
              </w:rPr>
            </w:pP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Intercept</w:t>
            </w: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-0.04</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(-0.49,0.44)</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noProof/>
                <w:sz w:val="24"/>
                <w:szCs w:val="24"/>
              </w:rPr>
              <w:drawing>
                <wp:inline distT="0" distB="0" distL="0" distR="0" wp14:anchorId="46F42D3E" wp14:editId="20787400">
                  <wp:extent cx="1080000" cy="735140"/>
                  <wp:effectExtent l="0" t="0" r="6350" b="8255"/>
                  <wp:docPr id="4" name="Picture 4" descr="C:\Users\jm626\Dropbox\Compadre\R_Projects\DBH_Revisions\DBH-NEW\TablePlot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626\Dropbox\Compadre\R_Projects\DBH_Revisions\DBH-NEW\TablePlot1.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735140"/>
                          </a:xfrm>
                          <a:prstGeom prst="rect">
                            <a:avLst/>
                          </a:prstGeom>
                          <a:noFill/>
                          <a:ln>
                            <a:noFill/>
                          </a:ln>
                        </pic:spPr>
                      </pic:pic>
                    </a:graphicData>
                  </a:graphic>
                </wp:inline>
              </w:drawing>
            </w: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number of stage classes</w:t>
            </w: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-0.22</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(-0.31,-0.11)</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noProof/>
                <w:sz w:val="24"/>
                <w:szCs w:val="24"/>
              </w:rPr>
              <w:drawing>
                <wp:inline distT="0" distB="0" distL="0" distR="0" wp14:anchorId="59D45E95" wp14:editId="433D570A">
                  <wp:extent cx="1080000" cy="735140"/>
                  <wp:effectExtent l="0" t="0" r="6350" b="8255"/>
                  <wp:docPr id="8" name="Picture 8" descr="C:\Users\jm626\Dropbox\Compadre\R_Projects\DBH_Revisions\DBH-NEW\TablePlot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626\Dropbox\Compadre\R_Projects\DBH_Revisions\DBH-NEW\TablePlot2.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735140"/>
                          </a:xfrm>
                          <a:prstGeom prst="rect">
                            <a:avLst/>
                          </a:prstGeom>
                          <a:noFill/>
                          <a:ln>
                            <a:noFill/>
                          </a:ln>
                        </pic:spPr>
                      </pic:pic>
                    </a:graphicData>
                  </a:graphic>
                </wp:inline>
              </w:drawing>
            </w: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lastRenderedPageBreak/>
              <w:t>random terms</w:t>
            </w:r>
          </w:p>
        </w:tc>
        <w:tc>
          <w:tcPr>
            <w:tcW w:w="2212" w:type="dxa"/>
            <w:vAlign w:val="center"/>
          </w:tcPr>
          <w:p w:rsidR="00E63627" w:rsidRPr="00B80E84" w:rsidRDefault="00E63627" w:rsidP="00E63627">
            <w:pPr>
              <w:spacing w:line="480" w:lineRule="auto"/>
              <w:rPr>
                <w:rFonts w:ascii="Times New Roman" w:hAnsi="Times New Roman"/>
                <w:sz w:val="24"/>
                <w:szCs w:val="24"/>
              </w:rPr>
            </w:pPr>
          </w:p>
        </w:tc>
        <w:tc>
          <w:tcPr>
            <w:tcW w:w="2230" w:type="dxa"/>
            <w:vAlign w:val="center"/>
          </w:tcPr>
          <w:p w:rsidR="00E63627" w:rsidRPr="00B80E84" w:rsidRDefault="00E63627" w:rsidP="00E63627">
            <w:pPr>
              <w:spacing w:line="480" w:lineRule="auto"/>
              <w:rPr>
                <w:rFonts w:ascii="Times New Roman" w:hAnsi="Times New Roman"/>
                <w:sz w:val="24"/>
                <w:szCs w:val="24"/>
              </w:rPr>
            </w:pPr>
          </w:p>
        </w:tc>
        <w:tc>
          <w:tcPr>
            <w:tcW w:w="2557" w:type="dxa"/>
            <w:vAlign w:val="center"/>
          </w:tcPr>
          <w:p w:rsidR="00E63627" w:rsidRPr="00B80E84" w:rsidRDefault="00E63627" w:rsidP="00E63627">
            <w:pPr>
              <w:spacing w:line="480" w:lineRule="auto"/>
              <w:rPr>
                <w:rFonts w:ascii="Times New Roman" w:hAnsi="Times New Roman"/>
                <w:sz w:val="24"/>
                <w:szCs w:val="24"/>
              </w:rPr>
            </w:pP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residual variance</w:t>
            </w: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0.11</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(0.08,0.15)</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noProof/>
                <w:sz w:val="24"/>
                <w:szCs w:val="24"/>
              </w:rPr>
              <w:drawing>
                <wp:inline distT="0" distB="0" distL="0" distR="0" wp14:anchorId="569469B3" wp14:editId="16A7D71D">
                  <wp:extent cx="1078913" cy="734400"/>
                  <wp:effectExtent l="0" t="0" r="6985" b="8890"/>
                  <wp:docPr id="9" name="Picture 9" descr="C:\Users\jm626\Dropbox\Compadre\R_Projects\DBH_Revisions\DBH-NEW\TablePlot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626\Dropbox\Compadre\R_Projects\DBH_Revisions\DBH-NEW\TablePlot3.tif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913" cy="734400"/>
                          </a:xfrm>
                          <a:prstGeom prst="rect">
                            <a:avLst/>
                          </a:prstGeom>
                          <a:noFill/>
                          <a:ln>
                            <a:noFill/>
                          </a:ln>
                        </pic:spPr>
                      </pic:pic>
                    </a:graphicData>
                  </a:graphic>
                </wp:inline>
              </w:drawing>
            </w: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species variance</w:t>
            </w: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0.02</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(0.00,0.07)</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noProof/>
                <w:sz w:val="24"/>
                <w:szCs w:val="24"/>
              </w:rPr>
              <w:drawing>
                <wp:inline distT="0" distB="0" distL="0" distR="0" wp14:anchorId="79888652" wp14:editId="0595F6F2">
                  <wp:extent cx="1080000" cy="734400"/>
                  <wp:effectExtent l="0" t="0" r="6350" b="8890"/>
                  <wp:docPr id="10" name="Picture 10" descr="C:\Users\jm626\Dropbox\Compadre\R_Projects\DBH_Revisions\DBH-NEW\TablePlot4.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jm626\Dropbox\Compadre\R_Projects\DBH_Revisions\DBH-NEW\TablePlot4.tif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734400"/>
                          </a:xfrm>
                          <a:prstGeom prst="rect">
                            <a:avLst/>
                          </a:prstGeom>
                          <a:noFill/>
                          <a:ln>
                            <a:noFill/>
                          </a:ln>
                        </pic:spPr>
                      </pic:pic>
                    </a:graphicData>
                  </a:graphic>
                </wp:inline>
              </w:drawing>
            </w:r>
          </w:p>
        </w:tc>
      </w:tr>
      <w:tr w:rsidR="00B80E84" w:rsidRPr="00B80E84" w:rsidTr="0028630E">
        <w:trPr>
          <w:trHeight w:val="227"/>
          <w:jc w:val="center"/>
        </w:trPr>
        <w:tc>
          <w:tcPr>
            <w:tcW w:w="2243"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phylogenetic variance</w:t>
            </w:r>
          </w:p>
        </w:tc>
        <w:tc>
          <w:tcPr>
            <w:tcW w:w="2212"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0.19</w:t>
            </w:r>
          </w:p>
        </w:tc>
        <w:tc>
          <w:tcPr>
            <w:tcW w:w="2230"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sz w:val="24"/>
                <w:szCs w:val="24"/>
              </w:rPr>
              <w:t>(0.00,0.39)</w:t>
            </w:r>
          </w:p>
        </w:tc>
        <w:tc>
          <w:tcPr>
            <w:tcW w:w="2557" w:type="dxa"/>
            <w:vAlign w:val="center"/>
          </w:tcPr>
          <w:p w:rsidR="00E63627" w:rsidRPr="00B80E84" w:rsidRDefault="00E63627" w:rsidP="00E63627">
            <w:pPr>
              <w:spacing w:line="480" w:lineRule="auto"/>
              <w:rPr>
                <w:rFonts w:ascii="Times New Roman" w:hAnsi="Times New Roman"/>
                <w:sz w:val="24"/>
                <w:szCs w:val="24"/>
              </w:rPr>
            </w:pPr>
            <w:r w:rsidRPr="00B80E84">
              <w:rPr>
                <w:rFonts w:ascii="Times New Roman" w:hAnsi="Times New Roman"/>
                <w:noProof/>
                <w:sz w:val="24"/>
                <w:szCs w:val="24"/>
              </w:rPr>
              <w:drawing>
                <wp:inline distT="0" distB="0" distL="0" distR="0" wp14:anchorId="5809E1C6" wp14:editId="0E274E89">
                  <wp:extent cx="1080000" cy="735140"/>
                  <wp:effectExtent l="0" t="0" r="6350" b="8255"/>
                  <wp:docPr id="11" name="Picture 11" descr="C:\Users\jm626\Dropbox\Compadre\R_Projects\DBH_Revisions\DBH-NEW\TablePlot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m626\Dropbox\Compadre\R_Projects\DBH_Revisions\DBH-NEW\TablePlot5.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735140"/>
                          </a:xfrm>
                          <a:prstGeom prst="rect">
                            <a:avLst/>
                          </a:prstGeom>
                          <a:noFill/>
                          <a:ln>
                            <a:noFill/>
                          </a:ln>
                        </pic:spPr>
                      </pic:pic>
                    </a:graphicData>
                  </a:graphic>
                </wp:inline>
              </w:drawing>
            </w:r>
          </w:p>
        </w:tc>
      </w:tr>
    </w:tbl>
    <w:p w:rsidR="00E63627" w:rsidRPr="00B80E84" w:rsidRDefault="00E63627" w:rsidP="00E63627">
      <w:pPr>
        <w:spacing w:line="480" w:lineRule="auto"/>
        <w:rPr>
          <w:rFonts w:ascii="Times New Roman" w:hAnsi="Times New Roman" w:cs="Times New Roman"/>
          <w:sz w:val="24"/>
          <w:szCs w:val="24"/>
        </w:rPr>
      </w:pPr>
      <w:r w:rsidRPr="00B80E84">
        <w:rPr>
          <w:rFonts w:ascii="Times New Roman" w:hAnsi="Times New Roman" w:cs="Times New Roman"/>
          <w:sz w:val="24"/>
          <w:szCs w:val="24"/>
        </w:rPr>
        <w:t>To account for phylogenetic non-independence, models included a phylogenetic random effect derived from the Angiosperm phylogeny associated with our species</w:t>
      </w:r>
      <w:r w:rsidRPr="00B80E84">
        <w:rPr>
          <w:rFonts w:ascii="Times New Roman" w:hAnsi="Times New Roman" w:cs="Times New Roman"/>
          <w:noProof/>
          <w:sz w:val="24"/>
          <w:szCs w:val="24"/>
          <w:vertAlign w:val="superscript"/>
        </w:rPr>
        <w:t>21</w:t>
      </w:r>
      <w:r w:rsidRPr="00B80E84">
        <w:rPr>
          <w:rFonts w:ascii="Times New Roman" w:hAnsi="Times New Roman" w:cs="Times New Roman"/>
          <w:sz w:val="24"/>
          <w:szCs w:val="24"/>
        </w:rPr>
        <w:t>. Provided are the posterior means and 95% credible intervals of fixed and random effects, with number of stage classes as the fixed variable, and species and phylogeny as random variables. After accounting for species, the phylogenetic signal, estimated as heritability</w:t>
      </w:r>
      <w:r w:rsidRPr="00B80E84">
        <w:rPr>
          <w:rFonts w:ascii="Times New Roman" w:hAnsi="Times New Roman" w:cs="Times New Roman"/>
          <w:noProof/>
          <w:sz w:val="24"/>
          <w:szCs w:val="24"/>
          <w:vertAlign w:val="superscript"/>
        </w:rPr>
        <w:t>5</w:t>
      </w:r>
      <w:r w:rsidR="00E37CB1" w:rsidRPr="00B80E84">
        <w:rPr>
          <w:rFonts w:ascii="Times New Roman" w:hAnsi="Times New Roman" w:cs="Times New Roman"/>
          <w:noProof/>
          <w:sz w:val="24"/>
          <w:szCs w:val="24"/>
          <w:vertAlign w:val="superscript"/>
        </w:rPr>
        <w:t>2</w:t>
      </w:r>
      <w:r w:rsidRPr="00B80E84">
        <w:rPr>
          <w:rFonts w:ascii="Times New Roman" w:hAnsi="Times New Roman" w:cs="Times New Roman"/>
          <w:sz w:val="24"/>
          <w:szCs w:val="24"/>
        </w:rPr>
        <w:t>, was H</w:t>
      </w:r>
      <w:r w:rsidRPr="00B80E84">
        <w:rPr>
          <w:rFonts w:ascii="Times New Roman" w:hAnsi="Times New Roman" w:cs="Times New Roman"/>
          <w:sz w:val="24"/>
          <w:szCs w:val="24"/>
          <w:vertAlign w:val="superscript"/>
        </w:rPr>
        <w:t>2</w:t>
      </w:r>
      <w:r w:rsidRPr="00B80E84">
        <w:rPr>
          <w:rFonts w:ascii="Times New Roman" w:hAnsi="Times New Roman" w:cs="Times New Roman"/>
          <w:sz w:val="24"/>
          <w:szCs w:val="24"/>
        </w:rPr>
        <w:t xml:space="preserve"> = 0.57 (95% CRI: 0.17–0.81).</w:t>
      </w:r>
    </w:p>
    <w:p w:rsidR="00E63627" w:rsidRDefault="00287EFA" w:rsidP="00E63627">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extent cx="5731510" cy="493450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934504"/>
                    </a:xfrm>
                    <a:prstGeom prst="rect">
                      <a:avLst/>
                    </a:prstGeom>
                    <a:noFill/>
                    <a:ln>
                      <a:noFill/>
                    </a:ln>
                  </pic:spPr>
                </pic:pic>
              </a:graphicData>
            </a:graphic>
          </wp:inline>
        </w:drawing>
      </w:r>
    </w:p>
    <w:p w:rsidR="00287EFA" w:rsidRDefault="00287EFA" w:rsidP="00E63627">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extent cx="5731510" cy="4932241"/>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932241"/>
                    </a:xfrm>
                    <a:prstGeom prst="rect">
                      <a:avLst/>
                    </a:prstGeom>
                    <a:noFill/>
                    <a:ln>
                      <a:noFill/>
                    </a:ln>
                  </pic:spPr>
                </pic:pic>
              </a:graphicData>
            </a:graphic>
          </wp:inline>
        </w:drawing>
      </w:r>
    </w:p>
    <w:p w:rsidR="00287EFA" w:rsidRPr="00B80E84" w:rsidRDefault="00287EFA" w:rsidP="00E63627">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extent cx="5731510" cy="3907441"/>
            <wp:effectExtent l="0" t="0" r="2540" b="0"/>
            <wp:docPr id="3" name="Picture 3" descr="C:\Users\jm626\Dropbox\Compadre\DBH paper and analysis\Nature_Paper\Submission\Revised_2\Nat.Ecol.Evol.Revision\Figure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626\Dropbox\Compadre\DBH paper and analysis\Nature_Paper\Submission\Revised_2\Nat.Ecol.Evol.Revision\Figure3.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907441"/>
                    </a:xfrm>
                    <a:prstGeom prst="rect">
                      <a:avLst/>
                    </a:prstGeom>
                    <a:noFill/>
                    <a:ln>
                      <a:noFill/>
                    </a:ln>
                  </pic:spPr>
                </pic:pic>
              </a:graphicData>
            </a:graphic>
          </wp:inline>
        </w:drawing>
      </w:r>
      <w:bookmarkStart w:id="0" w:name="_GoBack"/>
      <w:bookmarkEnd w:id="0"/>
    </w:p>
    <w:p w:rsidR="00F3282A" w:rsidRPr="00B80E84" w:rsidRDefault="00F3282A" w:rsidP="00E63627">
      <w:pPr>
        <w:spacing w:line="480" w:lineRule="auto"/>
        <w:rPr>
          <w:rFonts w:ascii="Times New Roman" w:hAnsi="Times New Roman" w:cs="Times New Roman"/>
          <w:sz w:val="24"/>
          <w:szCs w:val="24"/>
        </w:rPr>
      </w:pPr>
    </w:p>
    <w:sectPr w:rsidR="00F3282A" w:rsidRPr="00B80E84" w:rsidSect="00227C9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12" w:rsidRDefault="007F1112">
      <w:pPr>
        <w:spacing w:after="0" w:line="240" w:lineRule="auto"/>
      </w:pPr>
      <w:r>
        <w:separator/>
      </w:r>
    </w:p>
  </w:endnote>
  <w:endnote w:type="continuationSeparator" w:id="0">
    <w:p w:rsidR="007F1112" w:rsidRDefault="007F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251095"/>
      <w:docPartObj>
        <w:docPartGallery w:val="Page Numbers (Bottom of Page)"/>
        <w:docPartUnique/>
      </w:docPartObj>
    </w:sdtPr>
    <w:sdtEndPr>
      <w:rPr>
        <w:noProof/>
      </w:rPr>
    </w:sdtEndPr>
    <w:sdtContent>
      <w:p w:rsidR="003E7AC2" w:rsidRDefault="00E63627">
        <w:pPr>
          <w:pStyle w:val="Footer"/>
          <w:jc w:val="right"/>
        </w:pPr>
        <w:r>
          <w:fldChar w:fldCharType="begin"/>
        </w:r>
        <w:r>
          <w:instrText xml:space="preserve"> PAGE   \* MERGEFORMAT </w:instrText>
        </w:r>
        <w:r>
          <w:fldChar w:fldCharType="separate"/>
        </w:r>
        <w:r w:rsidR="00287EFA">
          <w:rPr>
            <w:noProof/>
          </w:rPr>
          <w:t>25</w:t>
        </w:r>
        <w:r>
          <w:rPr>
            <w:noProof/>
          </w:rPr>
          <w:fldChar w:fldCharType="end"/>
        </w:r>
      </w:p>
    </w:sdtContent>
  </w:sdt>
  <w:p w:rsidR="003E7AC2" w:rsidRDefault="007F1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12" w:rsidRDefault="007F1112">
      <w:pPr>
        <w:spacing w:after="0" w:line="240" w:lineRule="auto"/>
      </w:pPr>
      <w:r>
        <w:separator/>
      </w:r>
    </w:p>
  </w:footnote>
  <w:footnote w:type="continuationSeparator" w:id="0">
    <w:p w:rsidR="007F1112" w:rsidRDefault="007F1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19F"/>
    <w:multiLevelType w:val="multilevel"/>
    <w:tmpl w:val="5A9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B6C5A"/>
    <w:multiLevelType w:val="hybridMultilevel"/>
    <w:tmpl w:val="3D1E2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B251F6"/>
    <w:multiLevelType w:val="hybridMultilevel"/>
    <w:tmpl w:val="DE282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945EA1"/>
    <w:multiLevelType w:val="hybridMultilevel"/>
    <w:tmpl w:val="90441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753912"/>
    <w:multiLevelType w:val="hybridMultilevel"/>
    <w:tmpl w:val="7C066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956961"/>
    <w:multiLevelType w:val="hybridMultilevel"/>
    <w:tmpl w:val="22F67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6C1497"/>
    <w:multiLevelType w:val="hybridMultilevel"/>
    <w:tmpl w:val="B1D8324E"/>
    <w:lvl w:ilvl="0" w:tplc="9FC4B81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F22AF2"/>
    <w:multiLevelType w:val="hybridMultilevel"/>
    <w:tmpl w:val="6A325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AD46F1"/>
    <w:multiLevelType w:val="hybridMultilevel"/>
    <w:tmpl w:val="99665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D640DD"/>
    <w:multiLevelType w:val="hybridMultilevel"/>
    <w:tmpl w:val="29DE7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AB6702"/>
    <w:multiLevelType w:val="hybridMultilevel"/>
    <w:tmpl w:val="0CDED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DE4978"/>
    <w:multiLevelType w:val="hybridMultilevel"/>
    <w:tmpl w:val="9488C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655F2D"/>
    <w:multiLevelType w:val="hybridMultilevel"/>
    <w:tmpl w:val="16FC3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2C1918"/>
    <w:multiLevelType w:val="hybridMultilevel"/>
    <w:tmpl w:val="7ECAAAF4"/>
    <w:lvl w:ilvl="0" w:tplc="0809000F">
      <w:start w:val="1"/>
      <w:numFmt w:val="decimal"/>
      <w:lvlText w:val="%1."/>
      <w:lvlJc w:val="left"/>
      <w:pPr>
        <w:ind w:left="720" w:hanging="360"/>
      </w:pPr>
    </w:lvl>
    <w:lvl w:ilvl="1" w:tplc="DE2E2A9C">
      <w:start w:val="10"/>
      <w:numFmt w:val="bullet"/>
      <w:lvlText w:val=""/>
      <w:lvlJc w:val="left"/>
      <w:pPr>
        <w:ind w:left="1440" w:hanging="360"/>
      </w:pPr>
      <w:rPr>
        <w:rFonts w:ascii="Symbol" w:eastAsiaTheme="minorHAnsi"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43D84"/>
    <w:multiLevelType w:val="hybridMultilevel"/>
    <w:tmpl w:val="32F8C0A4"/>
    <w:lvl w:ilvl="0" w:tplc="02D06834">
      <w:start w:val="1"/>
      <w:numFmt w:val="decimal"/>
      <w:pStyle w:val="EndNoteBibliograph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12"/>
  </w:num>
  <w:num w:numId="5">
    <w:abstractNumId w:val="11"/>
  </w:num>
  <w:num w:numId="6">
    <w:abstractNumId w:val="7"/>
  </w:num>
  <w:num w:numId="7">
    <w:abstractNumId w:val="0"/>
  </w:num>
  <w:num w:numId="8">
    <w:abstractNumId w:val="13"/>
  </w:num>
  <w:num w:numId="9">
    <w:abstractNumId w:val="5"/>
  </w:num>
  <w:num w:numId="10">
    <w:abstractNumId w:val="10"/>
  </w:num>
  <w:num w:numId="11">
    <w:abstractNumId w:val="3"/>
  </w:num>
  <w:num w:numId="12">
    <w:abstractNumId w:val="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3627"/>
    <w:rsid w:val="000F132B"/>
    <w:rsid w:val="00287EFA"/>
    <w:rsid w:val="004E1CD1"/>
    <w:rsid w:val="005D5B53"/>
    <w:rsid w:val="00621593"/>
    <w:rsid w:val="00780BBC"/>
    <w:rsid w:val="007A2264"/>
    <w:rsid w:val="007E6D82"/>
    <w:rsid w:val="007F1112"/>
    <w:rsid w:val="00826255"/>
    <w:rsid w:val="00A327C0"/>
    <w:rsid w:val="00B80E84"/>
    <w:rsid w:val="00C97711"/>
    <w:rsid w:val="00CA799E"/>
    <w:rsid w:val="00D57AEB"/>
    <w:rsid w:val="00DC1E4D"/>
    <w:rsid w:val="00DC3CB9"/>
    <w:rsid w:val="00E37CB1"/>
    <w:rsid w:val="00E4130E"/>
    <w:rsid w:val="00E63627"/>
    <w:rsid w:val="00F3282A"/>
    <w:rsid w:val="00FE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3627"/>
    <w:pPr>
      <w:ind w:left="720"/>
      <w:contextualSpacing/>
    </w:pPr>
  </w:style>
  <w:style w:type="character" w:styleId="Hyperlink">
    <w:name w:val="Hyperlink"/>
    <w:basedOn w:val="DefaultParagraphFont"/>
    <w:uiPriority w:val="99"/>
    <w:unhideWhenUsed/>
    <w:rsid w:val="00E63627"/>
    <w:rPr>
      <w:color w:val="0000FF" w:themeColor="hyperlink"/>
      <w:u w:val="single"/>
    </w:rPr>
  </w:style>
  <w:style w:type="paragraph" w:styleId="BalloonText">
    <w:name w:val="Balloon Text"/>
    <w:basedOn w:val="Normal"/>
    <w:link w:val="BalloonTextChar"/>
    <w:uiPriority w:val="99"/>
    <w:semiHidden/>
    <w:unhideWhenUsed/>
    <w:rsid w:val="00E6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27"/>
    <w:rPr>
      <w:rFonts w:ascii="Tahoma" w:hAnsi="Tahoma" w:cs="Tahoma"/>
      <w:sz w:val="16"/>
      <w:szCs w:val="16"/>
    </w:rPr>
  </w:style>
  <w:style w:type="table" w:styleId="TableGrid">
    <w:name w:val="Table Grid"/>
    <w:basedOn w:val="TableNormal"/>
    <w:uiPriority w:val="59"/>
    <w:rsid w:val="00E6362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3627"/>
  </w:style>
  <w:style w:type="paragraph" w:customStyle="1" w:styleId="EndNoteBibliographyTitle">
    <w:name w:val="EndNote Bibliography Title"/>
    <w:basedOn w:val="Normal"/>
    <w:link w:val="EndNoteBibliographyTitleChar"/>
    <w:rsid w:val="00E63627"/>
    <w:pPr>
      <w:spacing w:after="0"/>
      <w:jc w:val="center"/>
    </w:pPr>
    <w:rPr>
      <w:rFonts w:ascii="Calibri" w:hAnsi="Calibri" w:cs="Times New Roman"/>
      <w:noProof/>
      <w:lang w:val="en-US"/>
    </w:rPr>
  </w:style>
  <w:style w:type="character" w:customStyle="1" w:styleId="ListParagraphChar">
    <w:name w:val="List Paragraph Char"/>
    <w:basedOn w:val="DefaultParagraphFont"/>
    <w:link w:val="ListParagraph"/>
    <w:uiPriority w:val="34"/>
    <w:rsid w:val="00E63627"/>
  </w:style>
  <w:style w:type="character" w:customStyle="1" w:styleId="EndNoteBibliographyTitleChar">
    <w:name w:val="EndNote Bibliography Title Char"/>
    <w:basedOn w:val="ListParagraphChar"/>
    <w:link w:val="EndNoteBibliographyTitle"/>
    <w:rsid w:val="00E63627"/>
    <w:rPr>
      <w:rFonts w:ascii="Calibri" w:hAnsi="Calibri" w:cs="Times New Roman"/>
      <w:noProof/>
      <w:lang w:val="en-US"/>
    </w:rPr>
  </w:style>
  <w:style w:type="paragraph" w:customStyle="1" w:styleId="EndNoteBibliography">
    <w:name w:val="EndNote Bibliography"/>
    <w:basedOn w:val="Normal"/>
    <w:link w:val="EndNoteBibliographyChar"/>
    <w:rsid w:val="00E63627"/>
    <w:pPr>
      <w:numPr>
        <w:numId w:val="3"/>
      </w:numPr>
      <w:spacing w:line="240" w:lineRule="auto"/>
    </w:pPr>
    <w:rPr>
      <w:rFonts w:ascii="Calibri" w:hAnsi="Calibri" w:cs="Times New Roman"/>
      <w:noProof/>
      <w:lang w:val="en-US"/>
    </w:rPr>
  </w:style>
  <w:style w:type="character" w:customStyle="1" w:styleId="EndNoteBibliographyChar">
    <w:name w:val="EndNote Bibliography Char"/>
    <w:basedOn w:val="ListParagraphChar"/>
    <w:link w:val="EndNoteBibliography"/>
    <w:rsid w:val="00E63627"/>
    <w:rPr>
      <w:rFonts w:ascii="Calibri" w:hAnsi="Calibri" w:cs="Times New Roman"/>
      <w:noProof/>
      <w:lang w:val="en-US"/>
    </w:rPr>
  </w:style>
  <w:style w:type="character" w:styleId="LineNumber">
    <w:name w:val="line number"/>
    <w:basedOn w:val="DefaultParagraphFont"/>
    <w:uiPriority w:val="99"/>
    <w:semiHidden/>
    <w:unhideWhenUsed/>
    <w:rsid w:val="00E63627"/>
  </w:style>
  <w:style w:type="character" w:styleId="CommentReference">
    <w:name w:val="annotation reference"/>
    <w:basedOn w:val="DefaultParagraphFont"/>
    <w:uiPriority w:val="99"/>
    <w:semiHidden/>
    <w:unhideWhenUsed/>
    <w:rsid w:val="00E63627"/>
    <w:rPr>
      <w:sz w:val="16"/>
      <w:szCs w:val="16"/>
    </w:rPr>
  </w:style>
  <w:style w:type="paragraph" w:styleId="CommentText">
    <w:name w:val="annotation text"/>
    <w:basedOn w:val="Normal"/>
    <w:link w:val="CommentTextChar"/>
    <w:uiPriority w:val="99"/>
    <w:semiHidden/>
    <w:unhideWhenUsed/>
    <w:rsid w:val="00E63627"/>
    <w:pPr>
      <w:spacing w:line="240" w:lineRule="auto"/>
    </w:pPr>
    <w:rPr>
      <w:sz w:val="20"/>
      <w:szCs w:val="20"/>
    </w:rPr>
  </w:style>
  <w:style w:type="character" w:customStyle="1" w:styleId="CommentTextChar">
    <w:name w:val="Comment Text Char"/>
    <w:basedOn w:val="DefaultParagraphFont"/>
    <w:link w:val="CommentText"/>
    <w:uiPriority w:val="99"/>
    <w:semiHidden/>
    <w:rsid w:val="00E63627"/>
    <w:rPr>
      <w:sz w:val="20"/>
      <w:szCs w:val="20"/>
    </w:rPr>
  </w:style>
  <w:style w:type="paragraph" w:styleId="CommentSubject">
    <w:name w:val="annotation subject"/>
    <w:basedOn w:val="CommentText"/>
    <w:next w:val="CommentText"/>
    <w:link w:val="CommentSubjectChar"/>
    <w:uiPriority w:val="99"/>
    <w:semiHidden/>
    <w:unhideWhenUsed/>
    <w:rsid w:val="00E63627"/>
    <w:rPr>
      <w:b/>
      <w:bCs/>
    </w:rPr>
  </w:style>
  <w:style w:type="character" w:customStyle="1" w:styleId="CommentSubjectChar">
    <w:name w:val="Comment Subject Char"/>
    <w:basedOn w:val="CommentTextChar"/>
    <w:link w:val="CommentSubject"/>
    <w:uiPriority w:val="99"/>
    <w:semiHidden/>
    <w:rsid w:val="00E63627"/>
    <w:rPr>
      <w:b/>
      <w:bCs/>
      <w:sz w:val="20"/>
      <w:szCs w:val="20"/>
    </w:rPr>
  </w:style>
  <w:style w:type="paragraph" w:styleId="HTMLPreformatted">
    <w:name w:val="HTML Preformatted"/>
    <w:basedOn w:val="Normal"/>
    <w:link w:val="HTMLPreformattedChar"/>
    <w:uiPriority w:val="99"/>
    <w:semiHidden/>
    <w:unhideWhenUsed/>
    <w:rsid w:val="00E636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627"/>
    <w:rPr>
      <w:rFonts w:ascii="Consolas" w:hAnsi="Consolas"/>
      <w:sz w:val="20"/>
      <w:szCs w:val="20"/>
    </w:rPr>
  </w:style>
  <w:style w:type="character" w:styleId="FollowedHyperlink">
    <w:name w:val="FollowedHyperlink"/>
    <w:basedOn w:val="DefaultParagraphFont"/>
    <w:uiPriority w:val="99"/>
    <w:semiHidden/>
    <w:unhideWhenUsed/>
    <w:rsid w:val="00E63627"/>
    <w:rPr>
      <w:color w:val="800080" w:themeColor="followedHyperlink"/>
      <w:u w:val="single"/>
    </w:rPr>
  </w:style>
  <w:style w:type="paragraph" w:styleId="Header">
    <w:name w:val="header"/>
    <w:basedOn w:val="Normal"/>
    <w:link w:val="HeaderChar"/>
    <w:uiPriority w:val="99"/>
    <w:unhideWhenUsed/>
    <w:rsid w:val="00E63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627"/>
  </w:style>
  <w:style w:type="paragraph" w:styleId="Footer">
    <w:name w:val="footer"/>
    <w:basedOn w:val="Normal"/>
    <w:link w:val="FooterChar"/>
    <w:uiPriority w:val="99"/>
    <w:unhideWhenUsed/>
    <w:rsid w:val="00E63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3627"/>
    <w:pPr>
      <w:ind w:left="720"/>
      <w:contextualSpacing/>
    </w:pPr>
  </w:style>
  <w:style w:type="character" w:styleId="Hyperlink">
    <w:name w:val="Hyperlink"/>
    <w:basedOn w:val="DefaultParagraphFont"/>
    <w:uiPriority w:val="99"/>
    <w:unhideWhenUsed/>
    <w:rsid w:val="00E63627"/>
    <w:rPr>
      <w:color w:val="0000FF" w:themeColor="hyperlink"/>
      <w:u w:val="single"/>
    </w:rPr>
  </w:style>
  <w:style w:type="paragraph" w:styleId="BalloonText">
    <w:name w:val="Balloon Text"/>
    <w:basedOn w:val="Normal"/>
    <w:link w:val="BalloonTextChar"/>
    <w:uiPriority w:val="99"/>
    <w:semiHidden/>
    <w:unhideWhenUsed/>
    <w:rsid w:val="00E6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27"/>
    <w:rPr>
      <w:rFonts w:ascii="Tahoma" w:hAnsi="Tahoma" w:cs="Tahoma"/>
      <w:sz w:val="16"/>
      <w:szCs w:val="16"/>
    </w:rPr>
  </w:style>
  <w:style w:type="table" w:styleId="TableGrid">
    <w:name w:val="Table Grid"/>
    <w:basedOn w:val="TableNormal"/>
    <w:uiPriority w:val="59"/>
    <w:rsid w:val="00E6362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3627"/>
  </w:style>
  <w:style w:type="paragraph" w:customStyle="1" w:styleId="EndNoteBibliographyTitle">
    <w:name w:val="EndNote Bibliography Title"/>
    <w:basedOn w:val="Normal"/>
    <w:link w:val="EndNoteBibliographyTitleChar"/>
    <w:rsid w:val="00E63627"/>
    <w:pPr>
      <w:spacing w:after="0"/>
      <w:jc w:val="center"/>
    </w:pPr>
    <w:rPr>
      <w:rFonts w:ascii="Calibri" w:hAnsi="Calibri" w:cs="Times New Roman"/>
      <w:noProof/>
      <w:lang w:val="en-US"/>
    </w:rPr>
  </w:style>
  <w:style w:type="character" w:customStyle="1" w:styleId="ListParagraphChar">
    <w:name w:val="List Paragraph Char"/>
    <w:basedOn w:val="DefaultParagraphFont"/>
    <w:link w:val="ListParagraph"/>
    <w:uiPriority w:val="34"/>
    <w:rsid w:val="00E63627"/>
  </w:style>
  <w:style w:type="character" w:customStyle="1" w:styleId="EndNoteBibliographyTitleChar">
    <w:name w:val="EndNote Bibliography Title Char"/>
    <w:basedOn w:val="ListParagraphChar"/>
    <w:link w:val="EndNoteBibliographyTitle"/>
    <w:rsid w:val="00E63627"/>
    <w:rPr>
      <w:rFonts w:ascii="Calibri" w:hAnsi="Calibri" w:cs="Times New Roman"/>
      <w:noProof/>
      <w:lang w:val="en-US"/>
    </w:rPr>
  </w:style>
  <w:style w:type="paragraph" w:customStyle="1" w:styleId="EndNoteBibliography">
    <w:name w:val="EndNote Bibliography"/>
    <w:basedOn w:val="Normal"/>
    <w:link w:val="EndNoteBibliographyChar"/>
    <w:rsid w:val="00E63627"/>
    <w:pPr>
      <w:numPr>
        <w:numId w:val="3"/>
      </w:numPr>
      <w:spacing w:line="240" w:lineRule="auto"/>
    </w:pPr>
    <w:rPr>
      <w:rFonts w:ascii="Calibri" w:hAnsi="Calibri" w:cs="Times New Roman"/>
      <w:noProof/>
      <w:lang w:val="en-US"/>
    </w:rPr>
  </w:style>
  <w:style w:type="character" w:customStyle="1" w:styleId="EndNoteBibliographyChar">
    <w:name w:val="EndNote Bibliography Char"/>
    <w:basedOn w:val="ListParagraphChar"/>
    <w:link w:val="EndNoteBibliography"/>
    <w:rsid w:val="00E63627"/>
    <w:rPr>
      <w:rFonts w:ascii="Calibri" w:hAnsi="Calibri" w:cs="Times New Roman"/>
      <w:noProof/>
      <w:lang w:val="en-US"/>
    </w:rPr>
  </w:style>
  <w:style w:type="character" w:styleId="LineNumber">
    <w:name w:val="line number"/>
    <w:basedOn w:val="DefaultParagraphFont"/>
    <w:uiPriority w:val="99"/>
    <w:semiHidden/>
    <w:unhideWhenUsed/>
    <w:rsid w:val="00E63627"/>
  </w:style>
  <w:style w:type="character" w:styleId="CommentReference">
    <w:name w:val="annotation reference"/>
    <w:basedOn w:val="DefaultParagraphFont"/>
    <w:uiPriority w:val="99"/>
    <w:semiHidden/>
    <w:unhideWhenUsed/>
    <w:rsid w:val="00E63627"/>
    <w:rPr>
      <w:sz w:val="16"/>
      <w:szCs w:val="16"/>
    </w:rPr>
  </w:style>
  <w:style w:type="paragraph" w:styleId="CommentText">
    <w:name w:val="annotation text"/>
    <w:basedOn w:val="Normal"/>
    <w:link w:val="CommentTextChar"/>
    <w:uiPriority w:val="99"/>
    <w:semiHidden/>
    <w:unhideWhenUsed/>
    <w:rsid w:val="00E63627"/>
    <w:pPr>
      <w:spacing w:line="240" w:lineRule="auto"/>
    </w:pPr>
    <w:rPr>
      <w:sz w:val="20"/>
      <w:szCs w:val="20"/>
    </w:rPr>
  </w:style>
  <w:style w:type="character" w:customStyle="1" w:styleId="CommentTextChar">
    <w:name w:val="Comment Text Char"/>
    <w:basedOn w:val="DefaultParagraphFont"/>
    <w:link w:val="CommentText"/>
    <w:uiPriority w:val="99"/>
    <w:semiHidden/>
    <w:rsid w:val="00E63627"/>
    <w:rPr>
      <w:sz w:val="20"/>
      <w:szCs w:val="20"/>
    </w:rPr>
  </w:style>
  <w:style w:type="paragraph" w:styleId="CommentSubject">
    <w:name w:val="annotation subject"/>
    <w:basedOn w:val="CommentText"/>
    <w:next w:val="CommentText"/>
    <w:link w:val="CommentSubjectChar"/>
    <w:uiPriority w:val="99"/>
    <w:semiHidden/>
    <w:unhideWhenUsed/>
    <w:rsid w:val="00E63627"/>
    <w:rPr>
      <w:b/>
      <w:bCs/>
    </w:rPr>
  </w:style>
  <w:style w:type="character" w:customStyle="1" w:styleId="CommentSubjectChar">
    <w:name w:val="Comment Subject Char"/>
    <w:basedOn w:val="CommentTextChar"/>
    <w:link w:val="CommentSubject"/>
    <w:uiPriority w:val="99"/>
    <w:semiHidden/>
    <w:rsid w:val="00E63627"/>
    <w:rPr>
      <w:b/>
      <w:bCs/>
      <w:sz w:val="20"/>
      <w:szCs w:val="20"/>
    </w:rPr>
  </w:style>
  <w:style w:type="paragraph" w:styleId="HTMLPreformatted">
    <w:name w:val="HTML Preformatted"/>
    <w:basedOn w:val="Normal"/>
    <w:link w:val="HTMLPreformattedChar"/>
    <w:uiPriority w:val="99"/>
    <w:semiHidden/>
    <w:unhideWhenUsed/>
    <w:rsid w:val="00E636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627"/>
    <w:rPr>
      <w:rFonts w:ascii="Consolas" w:hAnsi="Consolas"/>
      <w:sz w:val="20"/>
      <w:szCs w:val="20"/>
    </w:rPr>
  </w:style>
  <w:style w:type="character" w:styleId="FollowedHyperlink">
    <w:name w:val="FollowedHyperlink"/>
    <w:basedOn w:val="DefaultParagraphFont"/>
    <w:uiPriority w:val="99"/>
    <w:semiHidden/>
    <w:unhideWhenUsed/>
    <w:rsid w:val="00E63627"/>
    <w:rPr>
      <w:color w:val="800080" w:themeColor="followedHyperlink"/>
      <w:u w:val="single"/>
    </w:rPr>
  </w:style>
  <w:style w:type="paragraph" w:styleId="Header">
    <w:name w:val="header"/>
    <w:basedOn w:val="Normal"/>
    <w:link w:val="HeaderChar"/>
    <w:uiPriority w:val="99"/>
    <w:unhideWhenUsed/>
    <w:rsid w:val="00E63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627"/>
  </w:style>
  <w:style w:type="paragraph" w:styleId="Footer">
    <w:name w:val="footer"/>
    <w:basedOn w:val="Normal"/>
    <w:link w:val="FooterChar"/>
    <w:uiPriority w:val="99"/>
    <w:unhideWhenUsed/>
    <w:rsid w:val="00E63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tif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9.tif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5644</Words>
  <Characters>32173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Jennifer</dc:creator>
  <cp:lastModifiedBy>Jenni McDonald</cp:lastModifiedBy>
  <cp:revision>2</cp:revision>
  <dcterms:created xsi:type="dcterms:W3CDTF">2017-02-02T14:17:00Z</dcterms:created>
  <dcterms:modified xsi:type="dcterms:W3CDTF">2017-02-02T14:17:00Z</dcterms:modified>
</cp:coreProperties>
</file>